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A0E67" w14:textId="795FE9F0" w:rsidR="001A6FB7" w:rsidRDefault="00015800" w:rsidP="00BD7A4E">
      <w:pPr>
        <w:rPr>
          <w:b/>
          <w:bCs/>
          <w:color w:val="2F5496" w:themeColor="accent1" w:themeShade="BF"/>
          <w:sz w:val="28"/>
          <w:szCs w:val="28"/>
        </w:rPr>
      </w:pPr>
      <w:bookmarkStart w:id="0" w:name="_Hlk80697841"/>
      <w:r>
        <w:rPr>
          <w:b/>
          <w:bCs/>
          <w:noProof/>
          <w:color w:val="2F5496" w:themeColor="accent1" w:themeShade="BF"/>
          <w:sz w:val="28"/>
          <w:szCs w:val="28"/>
        </w:rPr>
        <w:drawing>
          <wp:anchor distT="0" distB="0" distL="114300" distR="114300" simplePos="0" relativeHeight="251659264" behindDoc="0" locked="0" layoutInCell="1" allowOverlap="1" wp14:anchorId="00D52E15" wp14:editId="3DB5C6F5">
            <wp:simplePos x="0" y="0"/>
            <wp:positionH relativeFrom="column">
              <wp:posOffset>-914400</wp:posOffset>
            </wp:positionH>
            <wp:positionV relativeFrom="paragraph">
              <wp:posOffset>-776915</wp:posOffset>
            </wp:positionV>
            <wp:extent cx="7575433" cy="10710530"/>
            <wp:effectExtent l="0" t="0" r="6985" b="0"/>
            <wp:wrapNone/>
            <wp:docPr id="9" name="Picture 9" descr="Cover page with Australian Government logo and the title of the report.&#10;&#10;Next Steps: Report of the Quality Initial Teacher Education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ver page with Australian Government logo and the title of the report.&#10;&#10;Next Steps: Report of the Quality Initial Teacher Education Review.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3953" cy="10722575"/>
                    </a:xfrm>
                    <a:prstGeom prst="rect">
                      <a:avLst/>
                    </a:prstGeom>
                    <a:noFill/>
                  </pic:spPr>
                </pic:pic>
              </a:graphicData>
            </a:graphic>
            <wp14:sizeRelH relativeFrom="margin">
              <wp14:pctWidth>0</wp14:pctWidth>
            </wp14:sizeRelH>
            <wp14:sizeRelV relativeFrom="margin">
              <wp14:pctHeight>0</wp14:pctHeight>
            </wp14:sizeRelV>
          </wp:anchor>
        </w:drawing>
      </w:r>
    </w:p>
    <w:p w14:paraId="0A9A1FB5" w14:textId="77777777" w:rsidR="001A6FB7" w:rsidRDefault="001A6FB7">
      <w:pPr>
        <w:spacing w:after="0" w:line="240" w:lineRule="auto"/>
        <w:rPr>
          <w:b/>
          <w:bCs/>
          <w:color w:val="2F5496" w:themeColor="accent1" w:themeShade="BF"/>
          <w:sz w:val="28"/>
          <w:szCs w:val="28"/>
        </w:rPr>
      </w:pPr>
      <w:r>
        <w:rPr>
          <w:b/>
          <w:bCs/>
          <w:color w:val="2F5496" w:themeColor="accent1" w:themeShade="BF"/>
          <w:sz w:val="28"/>
          <w:szCs w:val="28"/>
        </w:rPr>
        <w:br w:type="page"/>
      </w:r>
    </w:p>
    <w:p w14:paraId="779A8115" w14:textId="77777777" w:rsidR="00162374" w:rsidRPr="00BD7A4E" w:rsidRDefault="00F85ED4" w:rsidP="00BD7A4E">
      <w:pPr>
        <w:rPr>
          <w:b/>
          <w:bCs/>
          <w:color w:val="2F5496" w:themeColor="accent1" w:themeShade="BF"/>
          <w:sz w:val="28"/>
          <w:szCs w:val="28"/>
        </w:rPr>
      </w:pPr>
      <w:r w:rsidRPr="00BD7A4E">
        <w:rPr>
          <w:b/>
          <w:bCs/>
          <w:color w:val="2F5496" w:themeColor="accent1" w:themeShade="BF"/>
          <w:sz w:val="28"/>
          <w:szCs w:val="28"/>
        </w:rPr>
        <w:lastRenderedPageBreak/>
        <w:t>Contents</w:t>
      </w:r>
    </w:p>
    <w:p w14:paraId="162C3F21" w14:textId="0A1522F9" w:rsidR="00F14D16" w:rsidRDefault="004C629C">
      <w:pPr>
        <w:pStyle w:val="TOC2"/>
        <w:tabs>
          <w:tab w:val="right" w:leader="dot" w:pos="9010"/>
        </w:tabs>
        <w:rPr>
          <w:rFonts w:eastAsiaTheme="minorEastAsia" w:cstheme="minorBidi"/>
          <w:i w:val="0"/>
          <w:iCs w:val="0"/>
          <w:noProof/>
          <w:color w:val="auto"/>
          <w:sz w:val="22"/>
          <w:szCs w:val="22"/>
          <w:lang w:eastAsia="en-AU"/>
        </w:rPr>
      </w:pPr>
      <w:r>
        <w:fldChar w:fldCharType="begin"/>
      </w:r>
      <w:r>
        <w:instrText xml:space="preserve"> TOC \o "1-2" \h \z \u </w:instrText>
      </w:r>
      <w:r>
        <w:fldChar w:fldCharType="separate"/>
      </w:r>
      <w:hyperlink w:anchor="_Toc91160192" w:history="1">
        <w:r w:rsidR="00F14D16" w:rsidRPr="0083151C">
          <w:rPr>
            <w:rStyle w:val="Hyperlink"/>
            <w:noProof/>
          </w:rPr>
          <w:t>Acronyms and Abbreviations</w:t>
        </w:r>
        <w:r w:rsidR="00F14D16">
          <w:rPr>
            <w:noProof/>
            <w:webHidden/>
          </w:rPr>
          <w:tab/>
        </w:r>
        <w:r w:rsidR="00F14D16">
          <w:rPr>
            <w:noProof/>
            <w:webHidden/>
          </w:rPr>
          <w:fldChar w:fldCharType="begin"/>
        </w:r>
        <w:r w:rsidR="00F14D16">
          <w:rPr>
            <w:noProof/>
            <w:webHidden/>
          </w:rPr>
          <w:instrText xml:space="preserve"> PAGEREF _Toc91160192 \h </w:instrText>
        </w:r>
        <w:r w:rsidR="00F14D16">
          <w:rPr>
            <w:noProof/>
            <w:webHidden/>
          </w:rPr>
        </w:r>
        <w:r w:rsidR="00F14D16">
          <w:rPr>
            <w:noProof/>
            <w:webHidden/>
          </w:rPr>
          <w:fldChar w:fldCharType="separate"/>
        </w:r>
        <w:r w:rsidR="00F14D16">
          <w:rPr>
            <w:noProof/>
            <w:webHidden/>
          </w:rPr>
          <w:t>iv</w:t>
        </w:r>
        <w:r w:rsidR="00F14D16">
          <w:rPr>
            <w:noProof/>
            <w:webHidden/>
          </w:rPr>
          <w:fldChar w:fldCharType="end"/>
        </w:r>
      </w:hyperlink>
    </w:p>
    <w:p w14:paraId="3A7EA563" w14:textId="56880F25"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193" w:history="1">
        <w:r w:rsidR="00F14D16" w:rsidRPr="0083151C">
          <w:rPr>
            <w:rStyle w:val="Hyperlink"/>
            <w:noProof/>
          </w:rPr>
          <w:t>Executive Summary</w:t>
        </w:r>
        <w:r w:rsidR="00F14D16">
          <w:rPr>
            <w:noProof/>
            <w:webHidden/>
          </w:rPr>
          <w:tab/>
        </w:r>
        <w:r w:rsidR="00F14D16">
          <w:rPr>
            <w:noProof/>
            <w:webHidden/>
          </w:rPr>
          <w:fldChar w:fldCharType="begin"/>
        </w:r>
        <w:r w:rsidR="00F14D16">
          <w:rPr>
            <w:noProof/>
            <w:webHidden/>
          </w:rPr>
          <w:instrText xml:space="preserve"> PAGEREF _Toc91160193 \h </w:instrText>
        </w:r>
        <w:r w:rsidR="00F14D16">
          <w:rPr>
            <w:noProof/>
            <w:webHidden/>
          </w:rPr>
        </w:r>
        <w:r w:rsidR="00F14D16">
          <w:rPr>
            <w:noProof/>
            <w:webHidden/>
          </w:rPr>
          <w:fldChar w:fldCharType="separate"/>
        </w:r>
        <w:r w:rsidR="00F14D16">
          <w:rPr>
            <w:noProof/>
            <w:webHidden/>
          </w:rPr>
          <w:t>v</w:t>
        </w:r>
        <w:r w:rsidR="00F14D16">
          <w:rPr>
            <w:noProof/>
            <w:webHidden/>
          </w:rPr>
          <w:fldChar w:fldCharType="end"/>
        </w:r>
      </w:hyperlink>
    </w:p>
    <w:p w14:paraId="279B9CFC" w14:textId="5DF132B8"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194" w:history="1">
        <w:r w:rsidR="00F14D16" w:rsidRPr="0083151C">
          <w:rPr>
            <w:rStyle w:val="Hyperlink"/>
            <w:noProof/>
          </w:rPr>
          <w:t>Recommendations</w:t>
        </w:r>
        <w:r w:rsidR="00F14D16">
          <w:rPr>
            <w:noProof/>
            <w:webHidden/>
          </w:rPr>
          <w:tab/>
        </w:r>
        <w:r w:rsidR="00F14D16">
          <w:rPr>
            <w:noProof/>
            <w:webHidden/>
          </w:rPr>
          <w:fldChar w:fldCharType="begin"/>
        </w:r>
        <w:r w:rsidR="00F14D16">
          <w:rPr>
            <w:noProof/>
            <w:webHidden/>
          </w:rPr>
          <w:instrText xml:space="preserve"> PAGEREF _Toc91160194 \h </w:instrText>
        </w:r>
        <w:r w:rsidR="00F14D16">
          <w:rPr>
            <w:noProof/>
            <w:webHidden/>
          </w:rPr>
        </w:r>
        <w:r w:rsidR="00F14D16">
          <w:rPr>
            <w:noProof/>
            <w:webHidden/>
          </w:rPr>
          <w:fldChar w:fldCharType="separate"/>
        </w:r>
        <w:r w:rsidR="00F14D16">
          <w:rPr>
            <w:noProof/>
            <w:webHidden/>
          </w:rPr>
          <w:t>viii</w:t>
        </w:r>
        <w:r w:rsidR="00F14D16">
          <w:rPr>
            <w:noProof/>
            <w:webHidden/>
          </w:rPr>
          <w:fldChar w:fldCharType="end"/>
        </w:r>
      </w:hyperlink>
    </w:p>
    <w:p w14:paraId="17E2371B" w14:textId="1C07BCD1"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195" w:history="1">
        <w:r w:rsidR="00F14D16" w:rsidRPr="0083151C">
          <w:rPr>
            <w:rStyle w:val="Hyperlink"/>
            <w:noProof/>
          </w:rPr>
          <w:t>Findings</w:t>
        </w:r>
        <w:r w:rsidR="00F14D16">
          <w:rPr>
            <w:noProof/>
            <w:webHidden/>
          </w:rPr>
          <w:tab/>
        </w:r>
        <w:r w:rsidR="00F14D16">
          <w:rPr>
            <w:noProof/>
            <w:webHidden/>
          </w:rPr>
          <w:fldChar w:fldCharType="begin"/>
        </w:r>
        <w:r w:rsidR="00F14D16">
          <w:rPr>
            <w:noProof/>
            <w:webHidden/>
          </w:rPr>
          <w:instrText xml:space="preserve"> PAGEREF _Toc91160195 \h </w:instrText>
        </w:r>
        <w:r w:rsidR="00F14D16">
          <w:rPr>
            <w:noProof/>
            <w:webHidden/>
          </w:rPr>
        </w:r>
        <w:r w:rsidR="00F14D16">
          <w:rPr>
            <w:noProof/>
            <w:webHidden/>
          </w:rPr>
          <w:fldChar w:fldCharType="separate"/>
        </w:r>
        <w:r w:rsidR="00F14D16">
          <w:rPr>
            <w:noProof/>
            <w:webHidden/>
          </w:rPr>
          <w:t>xii</w:t>
        </w:r>
        <w:r w:rsidR="00F14D16">
          <w:rPr>
            <w:noProof/>
            <w:webHidden/>
          </w:rPr>
          <w:fldChar w:fldCharType="end"/>
        </w:r>
      </w:hyperlink>
    </w:p>
    <w:p w14:paraId="5C68CC31" w14:textId="14A33915" w:rsidR="00F14D16" w:rsidRDefault="00FB3AB8">
      <w:pPr>
        <w:pStyle w:val="TOC1"/>
        <w:tabs>
          <w:tab w:val="right" w:leader="dot" w:pos="9010"/>
        </w:tabs>
        <w:rPr>
          <w:rFonts w:eastAsiaTheme="minorEastAsia" w:cstheme="minorBidi"/>
          <w:b w:val="0"/>
          <w:bCs w:val="0"/>
          <w:noProof/>
          <w:color w:val="auto"/>
          <w:sz w:val="22"/>
          <w:szCs w:val="22"/>
          <w:lang w:eastAsia="en-AU"/>
        </w:rPr>
      </w:pPr>
      <w:hyperlink w:anchor="_Toc91160196" w:history="1">
        <w:r w:rsidR="00F14D16" w:rsidRPr="0083151C">
          <w:rPr>
            <w:rStyle w:val="Hyperlink"/>
            <w:noProof/>
          </w:rPr>
          <w:t>Introduction</w:t>
        </w:r>
        <w:r w:rsidR="00F14D16">
          <w:rPr>
            <w:noProof/>
            <w:webHidden/>
          </w:rPr>
          <w:tab/>
        </w:r>
        <w:r w:rsidR="00F14D16">
          <w:rPr>
            <w:noProof/>
            <w:webHidden/>
          </w:rPr>
          <w:fldChar w:fldCharType="begin"/>
        </w:r>
        <w:r w:rsidR="00F14D16">
          <w:rPr>
            <w:noProof/>
            <w:webHidden/>
          </w:rPr>
          <w:instrText xml:space="preserve"> PAGEREF _Toc91160196 \h </w:instrText>
        </w:r>
        <w:r w:rsidR="00F14D16">
          <w:rPr>
            <w:noProof/>
            <w:webHidden/>
          </w:rPr>
        </w:r>
        <w:r w:rsidR="00F14D16">
          <w:rPr>
            <w:noProof/>
            <w:webHidden/>
          </w:rPr>
          <w:fldChar w:fldCharType="separate"/>
        </w:r>
        <w:r w:rsidR="00F14D16">
          <w:rPr>
            <w:noProof/>
            <w:webHidden/>
          </w:rPr>
          <w:t>1</w:t>
        </w:r>
        <w:r w:rsidR="00F14D16">
          <w:rPr>
            <w:noProof/>
            <w:webHidden/>
          </w:rPr>
          <w:fldChar w:fldCharType="end"/>
        </w:r>
      </w:hyperlink>
    </w:p>
    <w:p w14:paraId="3B6E5548" w14:textId="04C6F32B" w:rsidR="00F14D16" w:rsidRDefault="00FB3AB8">
      <w:pPr>
        <w:pStyle w:val="TOC1"/>
        <w:tabs>
          <w:tab w:val="right" w:leader="dot" w:pos="9010"/>
        </w:tabs>
        <w:rPr>
          <w:rFonts w:eastAsiaTheme="minorEastAsia" w:cstheme="minorBidi"/>
          <w:b w:val="0"/>
          <w:bCs w:val="0"/>
          <w:noProof/>
          <w:color w:val="auto"/>
          <w:sz w:val="22"/>
          <w:szCs w:val="22"/>
          <w:lang w:eastAsia="en-AU"/>
        </w:rPr>
      </w:pPr>
      <w:hyperlink w:anchor="_Toc91160197" w:history="1">
        <w:r w:rsidR="00F14D16" w:rsidRPr="0083151C">
          <w:rPr>
            <w:rStyle w:val="Hyperlink"/>
            <w:noProof/>
          </w:rPr>
          <w:t>Part A: Attraction and Selection</w:t>
        </w:r>
        <w:r w:rsidR="00F14D16">
          <w:rPr>
            <w:noProof/>
            <w:webHidden/>
          </w:rPr>
          <w:tab/>
        </w:r>
        <w:r w:rsidR="00F14D16">
          <w:rPr>
            <w:noProof/>
            <w:webHidden/>
          </w:rPr>
          <w:fldChar w:fldCharType="begin"/>
        </w:r>
        <w:r w:rsidR="00F14D16">
          <w:rPr>
            <w:noProof/>
            <w:webHidden/>
          </w:rPr>
          <w:instrText xml:space="preserve"> PAGEREF _Toc91160197 \h </w:instrText>
        </w:r>
        <w:r w:rsidR="00F14D16">
          <w:rPr>
            <w:noProof/>
            <w:webHidden/>
          </w:rPr>
        </w:r>
        <w:r w:rsidR="00F14D16">
          <w:rPr>
            <w:noProof/>
            <w:webHidden/>
          </w:rPr>
          <w:fldChar w:fldCharType="separate"/>
        </w:r>
        <w:r w:rsidR="00F14D16">
          <w:rPr>
            <w:noProof/>
            <w:webHidden/>
          </w:rPr>
          <w:t>5</w:t>
        </w:r>
        <w:r w:rsidR="00F14D16">
          <w:rPr>
            <w:noProof/>
            <w:webHidden/>
          </w:rPr>
          <w:fldChar w:fldCharType="end"/>
        </w:r>
      </w:hyperlink>
    </w:p>
    <w:p w14:paraId="12CA9110" w14:textId="29A66D81"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198" w:history="1">
        <w:r w:rsidR="00F14D16" w:rsidRPr="0083151C">
          <w:rPr>
            <w:rStyle w:val="Hyperlink"/>
            <w:bCs/>
            <w:noProof/>
          </w:rPr>
          <w:t>Chapter 1: Attracting High-quality and Diverse Candidates to Teaching</w:t>
        </w:r>
        <w:r w:rsidR="00F14D16">
          <w:rPr>
            <w:noProof/>
            <w:webHidden/>
          </w:rPr>
          <w:tab/>
        </w:r>
        <w:r w:rsidR="00F14D16">
          <w:rPr>
            <w:noProof/>
            <w:webHidden/>
          </w:rPr>
          <w:fldChar w:fldCharType="begin"/>
        </w:r>
        <w:r w:rsidR="00F14D16">
          <w:rPr>
            <w:noProof/>
            <w:webHidden/>
          </w:rPr>
          <w:instrText xml:space="preserve"> PAGEREF _Toc91160198 \h </w:instrText>
        </w:r>
        <w:r w:rsidR="00F14D16">
          <w:rPr>
            <w:noProof/>
            <w:webHidden/>
          </w:rPr>
        </w:r>
        <w:r w:rsidR="00F14D16">
          <w:rPr>
            <w:noProof/>
            <w:webHidden/>
          </w:rPr>
          <w:fldChar w:fldCharType="separate"/>
        </w:r>
        <w:r w:rsidR="00F14D16">
          <w:rPr>
            <w:noProof/>
            <w:webHidden/>
          </w:rPr>
          <w:t>6</w:t>
        </w:r>
        <w:r w:rsidR="00F14D16">
          <w:rPr>
            <w:noProof/>
            <w:webHidden/>
          </w:rPr>
          <w:fldChar w:fldCharType="end"/>
        </w:r>
      </w:hyperlink>
    </w:p>
    <w:p w14:paraId="002BC77E" w14:textId="45B1A245"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199" w:history="1">
        <w:r w:rsidR="00F14D16" w:rsidRPr="0083151C">
          <w:rPr>
            <w:rStyle w:val="Hyperlink"/>
            <w:bCs/>
            <w:noProof/>
          </w:rPr>
          <w:t>Chapter 2: Selection and Pathways through Initial Teacher Education</w:t>
        </w:r>
        <w:r w:rsidR="00F14D16">
          <w:rPr>
            <w:noProof/>
            <w:webHidden/>
          </w:rPr>
          <w:tab/>
        </w:r>
        <w:r w:rsidR="00F14D16">
          <w:rPr>
            <w:noProof/>
            <w:webHidden/>
          </w:rPr>
          <w:fldChar w:fldCharType="begin"/>
        </w:r>
        <w:r w:rsidR="00F14D16">
          <w:rPr>
            <w:noProof/>
            <w:webHidden/>
          </w:rPr>
          <w:instrText xml:space="preserve"> PAGEREF _Toc91160199 \h </w:instrText>
        </w:r>
        <w:r w:rsidR="00F14D16">
          <w:rPr>
            <w:noProof/>
            <w:webHidden/>
          </w:rPr>
        </w:r>
        <w:r w:rsidR="00F14D16">
          <w:rPr>
            <w:noProof/>
            <w:webHidden/>
          </w:rPr>
          <w:fldChar w:fldCharType="separate"/>
        </w:r>
        <w:r w:rsidR="00F14D16">
          <w:rPr>
            <w:noProof/>
            <w:webHidden/>
          </w:rPr>
          <w:t>20</w:t>
        </w:r>
        <w:r w:rsidR="00F14D16">
          <w:rPr>
            <w:noProof/>
            <w:webHidden/>
          </w:rPr>
          <w:fldChar w:fldCharType="end"/>
        </w:r>
      </w:hyperlink>
    </w:p>
    <w:p w14:paraId="2A90D47D" w14:textId="779DEC51" w:rsidR="00F14D16" w:rsidRDefault="00FB3AB8">
      <w:pPr>
        <w:pStyle w:val="TOC1"/>
        <w:tabs>
          <w:tab w:val="right" w:leader="dot" w:pos="9010"/>
        </w:tabs>
        <w:rPr>
          <w:rFonts w:eastAsiaTheme="minorEastAsia" w:cstheme="minorBidi"/>
          <w:b w:val="0"/>
          <w:bCs w:val="0"/>
          <w:noProof/>
          <w:color w:val="auto"/>
          <w:sz w:val="22"/>
          <w:szCs w:val="22"/>
          <w:lang w:eastAsia="en-AU"/>
        </w:rPr>
      </w:pPr>
      <w:hyperlink w:anchor="_Toc91160200" w:history="1">
        <w:r w:rsidR="00F14D16" w:rsidRPr="0083151C">
          <w:rPr>
            <w:rStyle w:val="Hyperlink"/>
            <w:noProof/>
          </w:rPr>
          <w:t>Part B: Initial Teacher Education Program Quality</w:t>
        </w:r>
        <w:r w:rsidR="00F14D16">
          <w:rPr>
            <w:noProof/>
            <w:webHidden/>
          </w:rPr>
          <w:tab/>
        </w:r>
        <w:r w:rsidR="00F14D16">
          <w:rPr>
            <w:noProof/>
            <w:webHidden/>
          </w:rPr>
          <w:fldChar w:fldCharType="begin"/>
        </w:r>
        <w:r w:rsidR="00F14D16">
          <w:rPr>
            <w:noProof/>
            <w:webHidden/>
          </w:rPr>
          <w:instrText xml:space="preserve"> PAGEREF _Toc91160200 \h </w:instrText>
        </w:r>
        <w:r w:rsidR="00F14D16">
          <w:rPr>
            <w:noProof/>
            <w:webHidden/>
          </w:rPr>
        </w:r>
        <w:r w:rsidR="00F14D16">
          <w:rPr>
            <w:noProof/>
            <w:webHidden/>
          </w:rPr>
          <w:fldChar w:fldCharType="separate"/>
        </w:r>
        <w:r w:rsidR="00F14D16">
          <w:rPr>
            <w:noProof/>
            <w:webHidden/>
          </w:rPr>
          <w:t>30</w:t>
        </w:r>
        <w:r w:rsidR="00F14D16">
          <w:rPr>
            <w:noProof/>
            <w:webHidden/>
          </w:rPr>
          <w:fldChar w:fldCharType="end"/>
        </w:r>
      </w:hyperlink>
    </w:p>
    <w:p w14:paraId="11347D3B" w14:textId="0DCDAC48"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201" w:history="1">
        <w:r w:rsidR="00F14D16" w:rsidRPr="0083151C">
          <w:rPr>
            <w:rStyle w:val="Hyperlink"/>
            <w:noProof/>
          </w:rPr>
          <w:t xml:space="preserve">Chapter 3: </w:t>
        </w:r>
        <w:r w:rsidR="00F14D16" w:rsidRPr="0083151C">
          <w:rPr>
            <w:rStyle w:val="Hyperlink"/>
            <w:bCs/>
            <w:noProof/>
          </w:rPr>
          <w:t>Initial Teacher Education Program Content</w:t>
        </w:r>
        <w:r w:rsidR="00F14D16">
          <w:rPr>
            <w:noProof/>
            <w:webHidden/>
          </w:rPr>
          <w:tab/>
        </w:r>
        <w:r w:rsidR="00F14D16">
          <w:rPr>
            <w:noProof/>
            <w:webHidden/>
          </w:rPr>
          <w:fldChar w:fldCharType="begin"/>
        </w:r>
        <w:r w:rsidR="00F14D16">
          <w:rPr>
            <w:noProof/>
            <w:webHidden/>
          </w:rPr>
          <w:instrText xml:space="preserve"> PAGEREF _Toc91160201 \h </w:instrText>
        </w:r>
        <w:r w:rsidR="00F14D16">
          <w:rPr>
            <w:noProof/>
            <w:webHidden/>
          </w:rPr>
        </w:r>
        <w:r w:rsidR="00F14D16">
          <w:rPr>
            <w:noProof/>
            <w:webHidden/>
          </w:rPr>
          <w:fldChar w:fldCharType="separate"/>
        </w:r>
        <w:r w:rsidR="00F14D16">
          <w:rPr>
            <w:noProof/>
            <w:webHidden/>
          </w:rPr>
          <w:t>31</w:t>
        </w:r>
        <w:r w:rsidR="00F14D16">
          <w:rPr>
            <w:noProof/>
            <w:webHidden/>
          </w:rPr>
          <w:fldChar w:fldCharType="end"/>
        </w:r>
      </w:hyperlink>
    </w:p>
    <w:p w14:paraId="25B4FCAE" w14:textId="1143CBD4"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202" w:history="1">
        <w:r w:rsidR="00F14D16" w:rsidRPr="0083151C">
          <w:rPr>
            <w:rStyle w:val="Hyperlink"/>
            <w:noProof/>
          </w:rPr>
          <w:t>Chapter 4: Assessing Classroom Readiness</w:t>
        </w:r>
        <w:r w:rsidR="00F14D16">
          <w:rPr>
            <w:noProof/>
            <w:webHidden/>
          </w:rPr>
          <w:tab/>
        </w:r>
        <w:r w:rsidR="00F14D16">
          <w:rPr>
            <w:noProof/>
            <w:webHidden/>
          </w:rPr>
          <w:fldChar w:fldCharType="begin"/>
        </w:r>
        <w:r w:rsidR="00F14D16">
          <w:rPr>
            <w:noProof/>
            <w:webHidden/>
          </w:rPr>
          <w:instrText xml:space="preserve"> PAGEREF _Toc91160202 \h </w:instrText>
        </w:r>
        <w:r w:rsidR="00F14D16">
          <w:rPr>
            <w:noProof/>
            <w:webHidden/>
          </w:rPr>
        </w:r>
        <w:r w:rsidR="00F14D16">
          <w:rPr>
            <w:noProof/>
            <w:webHidden/>
          </w:rPr>
          <w:fldChar w:fldCharType="separate"/>
        </w:r>
        <w:r w:rsidR="00F14D16">
          <w:rPr>
            <w:noProof/>
            <w:webHidden/>
          </w:rPr>
          <w:t>43</w:t>
        </w:r>
        <w:r w:rsidR="00F14D16">
          <w:rPr>
            <w:noProof/>
            <w:webHidden/>
          </w:rPr>
          <w:fldChar w:fldCharType="end"/>
        </w:r>
      </w:hyperlink>
    </w:p>
    <w:p w14:paraId="2B4E5430" w14:textId="5210A949"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203" w:history="1">
        <w:r w:rsidR="00F14D16" w:rsidRPr="0083151C">
          <w:rPr>
            <w:rStyle w:val="Hyperlink"/>
            <w:noProof/>
          </w:rPr>
          <w:t>Chapter 5: School-Higher Education Provider Partnerships</w:t>
        </w:r>
        <w:r w:rsidR="00F14D16">
          <w:rPr>
            <w:noProof/>
            <w:webHidden/>
          </w:rPr>
          <w:tab/>
        </w:r>
        <w:r w:rsidR="00F14D16">
          <w:rPr>
            <w:noProof/>
            <w:webHidden/>
          </w:rPr>
          <w:fldChar w:fldCharType="begin"/>
        </w:r>
        <w:r w:rsidR="00F14D16">
          <w:rPr>
            <w:noProof/>
            <w:webHidden/>
          </w:rPr>
          <w:instrText xml:space="preserve"> PAGEREF _Toc91160203 \h </w:instrText>
        </w:r>
        <w:r w:rsidR="00F14D16">
          <w:rPr>
            <w:noProof/>
            <w:webHidden/>
          </w:rPr>
        </w:r>
        <w:r w:rsidR="00F14D16">
          <w:rPr>
            <w:noProof/>
            <w:webHidden/>
          </w:rPr>
          <w:fldChar w:fldCharType="separate"/>
        </w:r>
        <w:r w:rsidR="00F14D16">
          <w:rPr>
            <w:noProof/>
            <w:webHidden/>
          </w:rPr>
          <w:t>56</w:t>
        </w:r>
        <w:r w:rsidR="00F14D16">
          <w:rPr>
            <w:noProof/>
            <w:webHidden/>
          </w:rPr>
          <w:fldChar w:fldCharType="end"/>
        </w:r>
      </w:hyperlink>
    </w:p>
    <w:p w14:paraId="77007905" w14:textId="228A7D0D"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204" w:history="1">
        <w:r w:rsidR="00F14D16" w:rsidRPr="0083151C">
          <w:rPr>
            <w:rStyle w:val="Hyperlink"/>
            <w:noProof/>
          </w:rPr>
          <w:t>Chapter 6: Authorising Environment and Funding Arrangements</w:t>
        </w:r>
        <w:r w:rsidR="00F14D16">
          <w:rPr>
            <w:rStyle w:val="Hyperlink"/>
            <w:noProof/>
          </w:rPr>
          <w:t>`</w:t>
        </w:r>
        <w:r w:rsidR="00F14D16">
          <w:rPr>
            <w:noProof/>
            <w:webHidden/>
          </w:rPr>
          <w:tab/>
        </w:r>
        <w:r w:rsidR="00F14D16">
          <w:rPr>
            <w:noProof/>
            <w:webHidden/>
          </w:rPr>
          <w:fldChar w:fldCharType="begin"/>
        </w:r>
        <w:r w:rsidR="00F14D16">
          <w:rPr>
            <w:noProof/>
            <w:webHidden/>
          </w:rPr>
          <w:instrText xml:space="preserve"> PAGEREF _Toc91160204 \h </w:instrText>
        </w:r>
        <w:r w:rsidR="00F14D16">
          <w:rPr>
            <w:noProof/>
            <w:webHidden/>
          </w:rPr>
        </w:r>
        <w:r w:rsidR="00F14D16">
          <w:rPr>
            <w:noProof/>
            <w:webHidden/>
          </w:rPr>
          <w:fldChar w:fldCharType="separate"/>
        </w:r>
        <w:r w:rsidR="00F14D16">
          <w:rPr>
            <w:noProof/>
            <w:webHidden/>
          </w:rPr>
          <w:t>60</w:t>
        </w:r>
        <w:r w:rsidR="00F14D16">
          <w:rPr>
            <w:noProof/>
            <w:webHidden/>
          </w:rPr>
          <w:fldChar w:fldCharType="end"/>
        </w:r>
      </w:hyperlink>
    </w:p>
    <w:p w14:paraId="682FAEDF" w14:textId="4E050FD5" w:rsidR="00F14D16" w:rsidRDefault="00FB3AB8">
      <w:pPr>
        <w:pStyle w:val="TOC1"/>
        <w:tabs>
          <w:tab w:val="right" w:leader="dot" w:pos="9010"/>
        </w:tabs>
        <w:rPr>
          <w:rFonts w:eastAsiaTheme="minorEastAsia" w:cstheme="minorBidi"/>
          <w:b w:val="0"/>
          <w:bCs w:val="0"/>
          <w:noProof/>
          <w:color w:val="auto"/>
          <w:sz w:val="22"/>
          <w:szCs w:val="22"/>
          <w:lang w:eastAsia="en-AU"/>
        </w:rPr>
      </w:pPr>
      <w:hyperlink w:anchor="_Toc91160205" w:history="1">
        <w:r w:rsidR="00F14D16" w:rsidRPr="0083151C">
          <w:rPr>
            <w:rStyle w:val="Hyperlink"/>
            <w:noProof/>
          </w:rPr>
          <w:t>Part C: Early Years of Teaching</w:t>
        </w:r>
        <w:r w:rsidR="00F14D16">
          <w:rPr>
            <w:noProof/>
            <w:webHidden/>
          </w:rPr>
          <w:tab/>
        </w:r>
        <w:r w:rsidR="00F14D16">
          <w:rPr>
            <w:noProof/>
            <w:webHidden/>
          </w:rPr>
          <w:fldChar w:fldCharType="begin"/>
        </w:r>
        <w:r w:rsidR="00F14D16">
          <w:rPr>
            <w:noProof/>
            <w:webHidden/>
          </w:rPr>
          <w:instrText xml:space="preserve"> PAGEREF _Toc91160205 \h </w:instrText>
        </w:r>
        <w:r w:rsidR="00F14D16">
          <w:rPr>
            <w:noProof/>
            <w:webHidden/>
          </w:rPr>
        </w:r>
        <w:r w:rsidR="00F14D16">
          <w:rPr>
            <w:noProof/>
            <w:webHidden/>
          </w:rPr>
          <w:fldChar w:fldCharType="separate"/>
        </w:r>
        <w:r w:rsidR="00F14D16">
          <w:rPr>
            <w:noProof/>
            <w:webHidden/>
          </w:rPr>
          <w:t>67</w:t>
        </w:r>
        <w:r w:rsidR="00F14D16">
          <w:rPr>
            <w:noProof/>
            <w:webHidden/>
          </w:rPr>
          <w:fldChar w:fldCharType="end"/>
        </w:r>
      </w:hyperlink>
    </w:p>
    <w:p w14:paraId="08549D2C" w14:textId="1FA2C4A5"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206" w:history="1">
        <w:r w:rsidR="00F14D16" w:rsidRPr="0083151C">
          <w:rPr>
            <w:rStyle w:val="Hyperlink"/>
            <w:noProof/>
          </w:rPr>
          <w:t>Chapter 7: Supporting Early Career Teachers, Teachers and Schools Leaders</w:t>
        </w:r>
        <w:r w:rsidR="00F14D16">
          <w:rPr>
            <w:noProof/>
            <w:webHidden/>
          </w:rPr>
          <w:tab/>
        </w:r>
        <w:r w:rsidR="00F14D16">
          <w:rPr>
            <w:noProof/>
            <w:webHidden/>
          </w:rPr>
          <w:fldChar w:fldCharType="begin"/>
        </w:r>
        <w:r w:rsidR="00F14D16">
          <w:rPr>
            <w:noProof/>
            <w:webHidden/>
          </w:rPr>
          <w:instrText xml:space="preserve"> PAGEREF _Toc91160206 \h </w:instrText>
        </w:r>
        <w:r w:rsidR="00F14D16">
          <w:rPr>
            <w:noProof/>
            <w:webHidden/>
          </w:rPr>
        </w:r>
        <w:r w:rsidR="00F14D16">
          <w:rPr>
            <w:noProof/>
            <w:webHidden/>
          </w:rPr>
          <w:fldChar w:fldCharType="separate"/>
        </w:r>
        <w:r w:rsidR="00F14D16">
          <w:rPr>
            <w:noProof/>
            <w:webHidden/>
          </w:rPr>
          <w:t>68</w:t>
        </w:r>
        <w:r w:rsidR="00F14D16">
          <w:rPr>
            <w:noProof/>
            <w:webHidden/>
          </w:rPr>
          <w:fldChar w:fldCharType="end"/>
        </w:r>
      </w:hyperlink>
    </w:p>
    <w:p w14:paraId="311E53A3" w14:textId="1942FFE8"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207" w:history="1">
        <w:r w:rsidR="00F14D16" w:rsidRPr="0083151C">
          <w:rPr>
            <w:rStyle w:val="Hyperlink"/>
            <w:noProof/>
          </w:rPr>
          <w:t>Chapter 8: Understanding the Teacher Workforce</w:t>
        </w:r>
        <w:r w:rsidR="00F14D16">
          <w:rPr>
            <w:noProof/>
            <w:webHidden/>
          </w:rPr>
          <w:tab/>
        </w:r>
        <w:r w:rsidR="00F14D16">
          <w:rPr>
            <w:noProof/>
            <w:webHidden/>
          </w:rPr>
          <w:fldChar w:fldCharType="begin"/>
        </w:r>
        <w:r w:rsidR="00F14D16">
          <w:rPr>
            <w:noProof/>
            <w:webHidden/>
          </w:rPr>
          <w:instrText xml:space="preserve"> PAGEREF _Toc91160207 \h </w:instrText>
        </w:r>
        <w:r w:rsidR="00F14D16">
          <w:rPr>
            <w:noProof/>
            <w:webHidden/>
          </w:rPr>
        </w:r>
        <w:r w:rsidR="00F14D16">
          <w:rPr>
            <w:noProof/>
            <w:webHidden/>
          </w:rPr>
          <w:fldChar w:fldCharType="separate"/>
        </w:r>
        <w:r w:rsidR="00F14D16">
          <w:rPr>
            <w:noProof/>
            <w:webHidden/>
          </w:rPr>
          <w:t>77</w:t>
        </w:r>
        <w:r w:rsidR="00F14D16">
          <w:rPr>
            <w:noProof/>
            <w:webHidden/>
          </w:rPr>
          <w:fldChar w:fldCharType="end"/>
        </w:r>
      </w:hyperlink>
    </w:p>
    <w:p w14:paraId="737B65F5" w14:textId="39BDF145"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208" w:history="1">
        <w:r w:rsidR="00F14D16" w:rsidRPr="0083151C">
          <w:rPr>
            <w:rStyle w:val="Hyperlink"/>
            <w:noProof/>
          </w:rPr>
          <w:t>Appendices</w:t>
        </w:r>
        <w:r w:rsidR="00F14D16">
          <w:rPr>
            <w:noProof/>
            <w:webHidden/>
          </w:rPr>
          <w:tab/>
        </w:r>
        <w:r w:rsidR="00F14D16">
          <w:rPr>
            <w:noProof/>
            <w:webHidden/>
          </w:rPr>
          <w:fldChar w:fldCharType="begin"/>
        </w:r>
        <w:r w:rsidR="00F14D16">
          <w:rPr>
            <w:noProof/>
            <w:webHidden/>
          </w:rPr>
          <w:instrText xml:space="preserve"> PAGEREF _Toc91160208 \h </w:instrText>
        </w:r>
        <w:r w:rsidR="00F14D16">
          <w:rPr>
            <w:noProof/>
            <w:webHidden/>
          </w:rPr>
        </w:r>
        <w:r w:rsidR="00F14D16">
          <w:rPr>
            <w:noProof/>
            <w:webHidden/>
          </w:rPr>
          <w:fldChar w:fldCharType="separate"/>
        </w:r>
        <w:r w:rsidR="00F14D16">
          <w:rPr>
            <w:noProof/>
            <w:webHidden/>
          </w:rPr>
          <w:t>83</w:t>
        </w:r>
        <w:r w:rsidR="00F14D16">
          <w:rPr>
            <w:noProof/>
            <w:webHidden/>
          </w:rPr>
          <w:fldChar w:fldCharType="end"/>
        </w:r>
      </w:hyperlink>
    </w:p>
    <w:p w14:paraId="60036EB9" w14:textId="59F9D93E" w:rsidR="00F14D16" w:rsidRDefault="00FB3AB8">
      <w:pPr>
        <w:pStyle w:val="TOC2"/>
        <w:tabs>
          <w:tab w:val="right" w:leader="dot" w:pos="9010"/>
        </w:tabs>
        <w:rPr>
          <w:rFonts w:eastAsiaTheme="minorEastAsia" w:cstheme="minorBidi"/>
          <w:i w:val="0"/>
          <w:iCs w:val="0"/>
          <w:noProof/>
          <w:color w:val="auto"/>
          <w:sz w:val="22"/>
          <w:szCs w:val="22"/>
          <w:lang w:eastAsia="en-AU"/>
        </w:rPr>
      </w:pPr>
      <w:hyperlink w:anchor="_Toc91160209" w:history="1">
        <w:r w:rsidR="00F14D16" w:rsidRPr="0083151C">
          <w:rPr>
            <w:rStyle w:val="Hyperlink"/>
            <w:noProof/>
          </w:rPr>
          <w:t>References</w:t>
        </w:r>
        <w:r w:rsidR="00F14D16">
          <w:rPr>
            <w:noProof/>
            <w:webHidden/>
          </w:rPr>
          <w:tab/>
        </w:r>
        <w:r w:rsidR="00F14D16">
          <w:rPr>
            <w:noProof/>
            <w:webHidden/>
          </w:rPr>
          <w:fldChar w:fldCharType="begin"/>
        </w:r>
        <w:r w:rsidR="00F14D16">
          <w:rPr>
            <w:noProof/>
            <w:webHidden/>
          </w:rPr>
          <w:instrText xml:space="preserve"> PAGEREF _Toc91160209 \h </w:instrText>
        </w:r>
        <w:r w:rsidR="00F14D16">
          <w:rPr>
            <w:noProof/>
            <w:webHidden/>
          </w:rPr>
        </w:r>
        <w:r w:rsidR="00F14D16">
          <w:rPr>
            <w:noProof/>
            <w:webHidden/>
          </w:rPr>
          <w:fldChar w:fldCharType="separate"/>
        </w:r>
        <w:r w:rsidR="00F14D16">
          <w:rPr>
            <w:noProof/>
            <w:webHidden/>
          </w:rPr>
          <w:t>90</w:t>
        </w:r>
        <w:r w:rsidR="00F14D16">
          <w:rPr>
            <w:noProof/>
            <w:webHidden/>
          </w:rPr>
          <w:fldChar w:fldCharType="end"/>
        </w:r>
      </w:hyperlink>
    </w:p>
    <w:p w14:paraId="208D8802" w14:textId="7EBB9FD2" w:rsidR="0046151F" w:rsidRDefault="004C629C">
      <w:pPr>
        <w:spacing w:after="0" w:line="240" w:lineRule="auto"/>
        <w:rPr>
          <w:bCs/>
          <w:color w:val="2F5496" w:themeColor="accent1" w:themeShade="BF"/>
          <w:sz w:val="24"/>
          <w:szCs w:val="24"/>
        </w:rPr>
      </w:pPr>
      <w:r>
        <w:fldChar w:fldCharType="end"/>
      </w:r>
      <w:r w:rsidR="0046151F">
        <w:br w:type="page"/>
      </w:r>
    </w:p>
    <w:p w14:paraId="6212B487" w14:textId="77777777" w:rsidR="00AD0A7F" w:rsidRDefault="00AD0A7F" w:rsidP="00A37130">
      <w:pPr>
        <w:pStyle w:val="Heading2"/>
        <w:rPr>
          <w:bCs w:val="0"/>
        </w:rPr>
        <w:sectPr w:rsidR="00AD0A7F" w:rsidSect="00D97054">
          <w:headerReference w:type="even" r:id="rId12"/>
          <w:headerReference w:type="default" r:id="rId13"/>
          <w:footerReference w:type="even" r:id="rId14"/>
          <w:footerReference w:type="default" r:id="rId15"/>
          <w:headerReference w:type="first" r:id="rId16"/>
          <w:footerReference w:type="first" r:id="rId17"/>
          <w:type w:val="continuous"/>
          <w:pgSz w:w="11900" w:h="16840"/>
          <w:pgMar w:top="284" w:right="1440" w:bottom="284" w:left="1440" w:header="709" w:footer="709" w:gutter="0"/>
          <w:pgNumType w:fmt="lowerRoman" w:start="1"/>
          <w:cols w:space="708"/>
          <w:titlePg/>
          <w:docGrid w:linePitch="360"/>
        </w:sectPr>
      </w:pPr>
    </w:p>
    <w:p w14:paraId="4A121D08" w14:textId="77777777" w:rsidR="00451ECC" w:rsidRPr="00451ECC" w:rsidRDefault="00451ECC" w:rsidP="00451ECC">
      <w:pPr>
        <w:spacing w:after="0" w:line="259" w:lineRule="auto"/>
        <w:rPr>
          <w:color w:val="auto"/>
        </w:rPr>
      </w:pPr>
      <w:bookmarkStart w:id="1" w:name="_Toc86138397"/>
      <w:bookmarkStart w:id="2" w:name="_Toc86141301"/>
      <w:r w:rsidRPr="00451ECC">
        <w:rPr>
          <w:color w:val="auto"/>
        </w:rPr>
        <w:lastRenderedPageBreak/>
        <w:t>The Hon Alan Tudge MP</w:t>
      </w:r>
    </w:p>
    <w:p w14:paraId="33F0A329" w14:textId="77777777" w:rsidR="00451ECC" w:rsidRPr="00451ECC" w:rsidRDefault="00451ECC" w:rsidP="00451ECC">
      <w:pPr>
        <w:spacing w:after="0" w:line="259" w:lineRule="auto"/>
        <w:rPr>
          <w:color w:val="auto"/>
        </w:rPr>
      </w:pPr>
      <w:r w:rsidRPr="00451ECC">
        <w:rPr>
          <w:color w:val="auto"/>
        </w:rPr>
        <w:t>Minister for Education and Youth</w:t>
      </w:r>
    </w:p>
    <w:p w14:paraId="31B01AE9" w14:textId="77777777" w:rsidR="00451ECC" w:rsidRPr="00451ECC" w:rsidRDefault="00451ECC" w:rsidP="00451ECC">
      <w:pPr>
        <w:spacing w:after="0" w:line="259" w:lineRule="auto"/>
        <w:rPr>
          <w:color w:val="auto"/>
        </w:rPr>
      </w:pPr>
      <w:r w:rsidRPr="00451ECC">
        <w:rPr>
          <w:color w:val="auto"/>
        </w:rPr>
        <w:t>Parliament House</w:t>
      </w:r>
    </w:p>
    <w:p w14:paraId="4C052D44" w14:textId="77777777" w:rsidR="00451ECC" w:rsidRPr="00451ECC" w:rsidRDefault="00451ECC" w:rsidP="00451ECC">
      <w:pPr>
        <w:spacing w:after="0" w:line="259" w:lineRule="auto"/>
        <w:rPr>
          <w:color w:val="auto"/>
        </w:rPr>
      </w:pPr>
      <w:r w:rsidRPr="00451ECC">
        <w:rPr>
          <w:color w:val="auto"/>
        </w:rPr>
        <w:t>CANBERRA ACT 2600</w:t>
      </w:r>
    </w:p>
    <w:p w14:paraId="7DA6749F" w14:textId="77777777" w:rsidR="00451ECC" w:rsidRPr="00451ECC" w:rsidRDefault="00451ECC" w:rsidP="00451ECC">
      <w:pPr>
        <w:spacing w:before="120" w:after="0" w:line="259" w:lineRule="auto"/>
        <w:rPr>
          <w:color w:val="auto"/>
        </w:rPr>
      </w:pPr>
      <w:r w:rsidRPr="00451ECC">
        <w:rPr>
          <w:color w:val="auto"/>
        </w:rPr>
        <w:t>29 October 2021</w:t>
      </w:r>
    </w:p>
    <w:p w14:paraId="75D4FFAE" w14:textId="77777777" w:rsidR="00451ECC" w:rsidRPr="00451ECC" w:rsidRDefault="00451ECC" w:rsidP="00451ECC">
      <w:pPr>
        <w:spacing w:before="840" w:after="160" w:line="259" w:lineRule="auto"/>
        <w:rPr>
          <w:color w:val="auto"/>
        </w:rPr>
      </w:pPr>
      <w:r w:rsidRPr="00451ECC">
        <w:rPr>
          <w:color w:val="auto"/>
        </w:rPr>
        <w:t>Dear Minister</w:t>
      </w:r>
    </w:p>
    <w:p w14:paraId="0761A33C" w14:textId="77777777" w:rsidR="00451ECC" w:rsidRPr="00451ECC" w:rsidRDefault="00451ECC" w:rsidP="00451ECC">
      <w:pPr>
        <w:spacing w:after="160" w:line="259" w:lineRule="auto"/>
        <w:rPr>
          <w:color w:val="auto"/>
        </w:rPr>
      </w:pPr>
      <w:r w:rsidRPr="00451ECC">
        <w:rPr>
          <w:color w:val="auto"/>
        </w:rPr>
        <w:t xml:space="preserve">We write to transmit the final report of the Quality Initial Teacher Education Review, </w:t>
      </w:r>
      <w:r w:rsidRPr="00451ECC">
        <w:rPr>
          <w:i/>
          <w:iCs/>
          <w:color w:val="auto"/>
        </w:rPr>
        <w:t>Next Steps: Report of the Quality Initial Teacher Education Review.</w:t>
      </w:r>
      <w:r w:rsidRPr="00451ECC">
        <w:rPr>
          <w:color w:val="auto"/>
        </w:rPr>
        <w:t xml:space="preserve"> </w:t>
      </w:r>
    </w:p>
    <w:p w14:paraId="47BFF35D" w14:textId="77777777" w:rsidR="00451ECC" w:rsidRPr="00451ECC" w:rsidRDefault="00451ECC" w:rsidP="00451ECC">
      <w:pPr>
        <w:spacing w:after="160" w:line="259" w:lineRule="auto"/>
        <w:rPr>
          <w:color w:val="auto"/>
        </w:rPr>
      </w:pPr>
      <w:r w:rsidRPr="00451ECC">
        <w:rPr>
          <w:color w:val="auto"/>
        </w:rPr>
        <w:t>On 15 April 2021, you launched a review of initial teacher education as a key element of the Australian Government’s plan to return Australia to the top group of education nations by 2030.</w:t>
      </w:r>
    </w:p>
    <w:p w14:paraId="29E803F7" w14:textId="2EAFD6FE" w:rsidR="00451ECC" w:rsidRPr="00451ECC" w:rsidRDefault="00451ECC" w:rsidP="00451ECC">
      <w:pPr>
        <w:spacing w:after="160" w:line="259" w:lineRule="auto"/>
        <w:rPr>
          <w:color w:val="auto"/>
        </w:rPr>
      </w:pPr>
      <w:r w:rsidRPr="00451ECC">
        <w:rPr>
          <w:color w:val="auto"/>
        </w:rPr>
        <w:t xml:space="preserve">You appointed an Expert Panel to undertake the Review with me as Chair; </w:t>
      </w:r>
      <w:r w:rsidR="00E75B6D" w:rsidRPr="00E75B6D">
        <w:rPr>
          <w:color w:val="auto"/>
        </w:rPr>
        <w:t>Mr Malcolm Elliott, President of the Australian Primary Principals Association</w:t>
      </w:r>
      <w:r w:rsidR="00E75B6D">
        <w:rPr>
          <w:color w:val="auto"/>
        </w:rPr>
        <w:t xml:space="preserve">; </w:t>
      </w:r>
      <w:r w:rsidRPr="00451ECC">
        <w:rPr>
          <w:color w:val="auto"/>
        </w:rPr>
        <w:t>Emeritus Professor Bill Louden AM;</w:t>
      </w:r>
      <w:r w:rsidR="00E75B6D">
        <w:rPr>
          <w:color w:val="auto"/>
        </w:rPr>
        <w:t xml:space="preserve"> and</w:t>
      </w:r>
      <w:r w:rsidRPr="00451ECC">
        <w:rPr>
          <w:color w:val="auto"/>
        </w:rPr>
        <w:t xml:space="preserve"> Mr Derek Scott, Principal of Haileybury School and 2019 Australian School Principal of the Year.</w:t>
      </w:r>
    </w:p>
    <w:p w14:paraId="44ECD1A7" w14:textId="77777777" w:rsidR="00451ECC" w:rsidRPr="00451ECC" w:rsidRDefault="00451ECC" w:rsidP="00451ECC">
      <w:pPr>
        <w:spacing w:after="160" w:line="259" w:lineRule="auto"/>
        <w:rPr>
          <w:color w:val="auto"/>
        </w:rPr>
      </w:pPr>
      <w:r w:rsidRPr="00451ECC">
        <w:rPr>
          <w:color w:val="auto"/>
        </w:rPr>
        <w:t xml:space="preserve">Teachers hold the key to our nation's future. Preparing teachers to have the greatest impact on their students‘ learning is a national priority. </w:t>
      </w:r>
    </w:p>
    <w:p w14:paraId="4C33D2FA" w14:textId="77777777" w:rsidR="00451ECC" w:rsidRPr="00451ECC" w:rsidRDefault="00451ECC" w:rsidP="00451ECC">
      <w:pPr>
        <w:spacing w:after="160" w:line="259" w:lineRule="auto"/>
        <w:rPr>
          <w:color w:val="auto"/>
        </w:rPr>
      </w:pPr>
      <w:r w:rsidRPr="00451ECC">
        <w:rPr>
          <w:color w:val="auto"/>
        </w:rPr>
        <w:t xml:space="preserve">This report highlights three key areas to help new teachers be most effective: </w:t>
      </w:r>
    </w:p>
    <w:p w14:paraId="7B319C74" w14:textId="77777777" w:rsidR="00451ECC" w:rsidRPr="00451ECC" w:rsidRDefault="00451ECC" w:rsidP="00F66D2A">
      <w:pPr>
        <w:numPr>
          <w:ilvl w:val="0"/>
          <w:numId w:val="40"/>
        </w:numPr>
        <w:spacing w:after="0" w:line="259" w:lineRule="auto"/>
        <w:contextualSpacing/>
        <w:rPr>
          <w:color w:val="auto"/>
        </w:rPr>
      </w:pPr>
      <w:r w:rsidRPr="00451ECC">
        <w:rPr>
          <w:color w:val="auto"/>
        </w:rPr>
        <w:t>Attracting high-quality, diverse candidates into initial teacher education</w:t>
      </w:r>
    </w:p>
    <w:p w14:paraId="394C13F7" w14:textId="77777777" w:rsidR="00451ECC" w:rsidRPr="00451ECC" w:rsidRDefault="00451ECC" w:rsidP="00F66D2A">
      <w:pPr>
        <w:numPr>
          <w:ilvl w:val="0"/>
          <w:numId w:val="40"/>
        </w:numPr>
        <w:spacing w:after="0" w:line="259" w:lineRule="auto"/>
        <w:contextualSpacing/>
        <w:rPr>
          <w:rFonts w:eastAsiaTheme="minorEastAsia"/>
          <w:color w:val="auto"/>
        </w:rPr>
      </w:pPr>
      <w:r w:rsidRPr="00451ECC">
        <w:rPr>
          <w:color w:val="auto"/>
        </w:rPr>
        <w:t>Ensuring their preparation is evidence-based and practical</w:t>
      </w:r>
    </w:p>
    <w:p w14:paraId="36A6AE18" w14:textId="77777777" w:rsidR="00451ECC" w:rsidRDefault="00451ECC" w:rsidP="00F66D2A">
      <w:pPr>
        <w:numPr>
          <w:ilvl w:val="0"/>
          <w:numId w:val="40"/>
        </w:numPr>
        <w:spacing w:after="160" w:line="259" w:lineRule="auto"/>
        <w:contextualSpacing/>
        <w:rPr>
          <w:color w:val="auto"/>
        </w:rPr>
      </w:pPr>
      <w:r w:rsidRPr="00451ECC">
        <w:rPr>
          <w:color w:val="auto"/>
        </w:rPr>
        <w:t>Inducting new teachers well.</w:t>
      </w:r>
    </w:p>
    <w:p w14:paraId="33718D82" w14:textId="77777777" w:rsidR="00451ECC" w:rsidRPr="00451ECC" w:rsidRDefault="00451ECC" w:rsidP="00603B44">
      <w:pPr>
        <w:spacing w:before="240" w:after="160" w:line="259" w:lineRule="auto"/>
        <w:rPr>
          <w:color w:val="auto"/>
        </w:rPr>
      </w:pPr>
      <w:r w:rsidRPr="00451ECC">
        <w:rPr>
          <w:color w:val="auto"/>
        </w:rPr>
        <w:t xml:space="preserve">We consider once implemented, our recommendations will attract more highly suitable people to teaching and increase the quality of their preparation and introduction to the profession. </w:t>
      </w:r>
    </w:p>
    <w:p w14:paraId="264E964F" w14:textId="77777777" w:rsidR="00451ECC" w:rsidRPr="00451ECC" w:rsidRDefault="00451ECC" w:rsidP="00451ECC">
      <w:pPr>
        <w:spacing w:after="160" w:line="259" w:lineRule="auto"/>
        <w:rPr>
          <w:color w:val="auto"/>
        </w:rPr>
      </w:pPr>
      <w:r w:rsidRPr="00451ECC">
        <w:rPr>
          <w:color w:val="auto"/>
        </w:rPr>
        <w:t xml:space="preserve">We heard from approximately 3,000 people through meetings, submissions, webinars, focus groups and surveys, </w:t>
      </w:r>
      <w:r w:rsidRPr="00451ECC">
        <w:rPr>
          <w:rFonts w:cstheme="minorHAnsi"/>
          <w:color w:val="242424"/>
          <w:shd w:val="clear" w:color="auto" w:fill="FFFFFF"/>
        </w:rPr>
        <w:t>including those participating in research commissioned by the Expert Panel</w:t>
      </w:r>
      <w:r w:rsidRPr="00451ECC">
        <w:rPr>
          <w:color w:val="auto"/>
        </w:rPr>
        <w:t xml:space="preserve">. The Expert Panel extends its appreciation to the organisations and individuals who took part in the consultation and written submission processes, particularly during the challenges created by the COVID-19 pandemic. </w:t>
      </w:r>
    </w:p>
    <w:p w14:paraId="2FE925A0" w14:textId="77777777" w:rsidR="00451ECC" w:rsidRPr="00451ECC" w:rsidRDefault="00451ECC" w:rsidP="00451ECC">
      <w:pPr>
        <w:spacing w:after="160" w:line="259" w:lineRule="auto"/>
        <w:rPr>
          <w:color w:val="auto"/>
        </w:rPr>
      </w:pPr>
      <w:r w:rsidRPr="00451ECC">
        <w:rPr>
          <w:color w:val="auto"/>
        </w:rPr>
        <w:t>We thank the Secretariat from the Department of Education, Skills and Employment for its outstanding support. The Secretariat was faultless in all aspects of input and organisation for the Review. The Expert Panel simply could not have done it without them.</w:t>
      </w:r>
    </w:p>
    <w:p w14:paraId="1E552532" w14:textId="77777777" w:rsidR="00451ECC" w:rsidRPr="00451ECC" w:rsidRDefault="00451ECC" w:rsidP="00451ECC">
      <w:pPr>
        <w:spacing w:after="480" w:line="259" w:lineRule="auto"/>
        <w:rPr>
          <w:color w:val="auto"/>
        </w:rPr>
      </w:pPr>
      <w:r w:rsidRPr="00451ECC">
        <w:rPr>
          <w:color w:val="auto"/>
        </w:rPr>
        <w:t>As quality teaching is the most important in-school influence on student learning, it is vital to ensure that the initial teacher education ecosystem supports graduates to be confident, effective and classroom ready. The Expert Panel believes the ambitious reform agenda outlined in this report is necessary to ensure initial teacher education fulfils this ambition.</w:t>
      </w:r>
    </w:p>
    <w:p w14:paraId="4380C03D" w14:textId="77777777" w:rsidR="00451ECC" w:rsidRPr="00451ECC" w:rsidRDefault="00451ECC" w:rsidP="00451ECC">
      <w:pPr>
        <w:spacing w:after="720" w:line="259" w:lineRule="auto"/>
        <w:rPr>
          <w:color w:val="auto"/>
        </w:rPr>
      </w:pPr>
      <w:r w:rsidRPr="00451ECC">
        <w:rPr>
          <w:noProof/>
          <w:color w:val="auto"/>
        </w:rPr>
        <mc:AlternateContent>
          <mc:Choice Requires="wpi">
            <w:drawing>
              <wp:anchor distT="0" distB="0" distL="114300" distR="114300" simplePos="0" relativeHeight="251658240" behindDoc="0" locked="0" layoutInCell="1" allowOverlap="1" wp14:anchorId="7DE6411E" wp14:editId="30D97183">
                <wp:simplePos x="0" y="0"/>
                <wp:positionH relativeFrom="column">
                  <wp:posOffset>141605</wp:posOffset>
                </wp:positionH>
                <wp:positionV relativeFrom="paragraph">
                  <wp:posOffset>221615</wp:posOffset>
                </wp:positionV>
                <wp:extent cx="741210" cy="315595"/>
                <wp:effectExtent l="38100" t="38100" r="0" b="46355"/>
                <wp:wrapNone/>
                <wp:docPr id="5" name="Ink 5" descr="Lisa Paul's signature "/>
                <wp:cNvGraphicFramePr/>
                <a:graphic xmlns:a="http://schemas.openxmlformats.org/drawingml/2006/main">
                  <a:graphicData uri="http://schemas.microsoft.com/office/word/2010/wordprocessingInk">
                    <w14:contentPart bwMode="auto" r:id="rId18">
                      <w14:nvContentPartPr>
                        <w14:cNvContentPartPr/>
                      </w14:nvContentPartPr>
                      <w14:xfrm>
                        <a:off x="0" y="0"/>
                        <a:ext cx="741210" cy="315595"/>
                      </w14:xfrm>
                    </w14:contentPart>
                  </a:graphicData>
                </a:graphic>
              </wp:anchor>
            </w:drawing>
          </mc:Choice>
          <mc:Fallback>
            <w:pict>
              <v:shapetype w14:anchorId="673051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alt="Lisa Paul's signature " style="position:absolute;margin-left:10.8pt;margin-top:17.1pt;width:59.05pt;height:25.5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">
                <v:imagedata r:id="rId19" o:title="Lisa Paul's signature "/>
              </v:shape>
            </w:pict>
          </mc:Fallback>
        </mc:AlternateContent>
      </w:r>
      <w:r w:rsidRPr="00451ECC">
        <w:rPr>
          <w:color w:val="auto"/>
        </w:rPr>
        <w:t>Yours sincerely</w:t>
      </w:r>
    </w:p>
    <w:p w14:paraId="3D5BAC2B" w14:textId="77777777" w:rsidR="00451ECC" w:rsidRPr="00451ECC" w:rsidRDefault="00451ECC" w:rsidP="00451ECC">
      <w:pPr>
        <w:spacing w:after="0" w:line="259" w:lineRule="auto"/>
        <w:rPr>
          <w:color w:val="auto"/>
        </w:rPr>
      </w:pPr>
      <w:r w:rsidRPr="00451ECC">
        <w:rPr>
          <w:color w:val="auto"/>
        </w:rPr>
        <w:t>Lisa Paul AO PSM</w:t>
      </w:r>
    </w:p>
    <w:p w14:paraId="00E8B675" w14:textId="77777777" w:rsidR="00451ECC" w:rsidRPr="00451ECC" w:rsidRDefault="00451ECC" w:rsidP="00451ECC">
      <w:pPr>
        <w:spacing w:after="160" w:line="259" w:lineRule="auto"/>
        <w:rPr>
          <w:color w:val="auto"/>
        </w:rPr>
      </w:pPr>
      <w:r w:rsidRPr="00451ECC">
        <w:rPr>
          <w:color w:val="auto"/>
        </w:rPr>
        <w:t>Chair</w:t>
      </w:r>
    </w:p>
    <w:p w14:paraId="7AAC48E5" w14:textId="77777777" w:rsidR="00451ECC" w:rsidRPr="00451ECC" w:rsidRDefault="00451ECC" w:rsidP="00451ECC">
      <w:pPr>
        <w:spacing w:after="0" w:line="259" w:lineRule="auto"/>
        <w:rPr>
          <w:color w:val="auto"/>
        </w:rPr>
      </w:pPr>
      <w:r w:rsidRPr="00451ECC">
        <w:rPr>
          <w:color w:val="auto"/>
        </w:rPr>
        <w:t>For Expert Panel members</w:t>
      </w:r>
    </w:p>
    <w:p w14:paraId="3E756158" w14:textId="77777777" w:rsidR="00451ECC" w:rsidRPr="00451ECC" w:rsidRDefault="00451ECC" w:rsidP="00451ECC">
      <w:pPr>
        <w:spacing w:after="0" w:line="259" w:lineRule="auto"/>
        <w:rPr>
          <w:color w:val="auto"/>
        </w:rPr>
      </w:pPr>
    </w:p>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2"/>
        <w:gridCol w:w="2894"/>
        <w:gridCol w:w="3004"/>
      </w:tblGrid>
      <w:tr w:rsidR="00451ECC" w:rsidRPr="00451ECC" w14:paraId="656E3EEE" w14:textId="77777777" w:rsidTr="00603B44">
        <w:tc>
          <w:tcPr>
            <w:tcW w:w="3114" w:type="dxa"/>
          </w:tcPr>
          <w:p w14:paraId="38243E6B" w14:textId="77777777" w:rsidR="00451ECC" w:rsidRPr="00451ECC" w:rsidRDefault="00451ECC" w:rsidP="00451ECC">
            <w:pPr>
              <w:spacing w:after="0" w:line="240" w:lineRule="auto"/>
              <w:jc w:val="center"/>
              <w:rPr>
                <w:color w:val="auto"/>
              </w:rPr>
            </w:pPr>
            <w:r w:rsidRPr="00451ECC">
              <w:rPr>
                <w:color w:val="auto"/>
              </w:rPr>
              <w:t>Emeritus Professor Bill Louden AM</w:t>
            </w:r>
          </w:p>
        </w:tc>
        <w:tc>
          <w:tcPr>
            <w:tcW w:w="2896" w:type="dxa"/>
          </w:tcPr>
          <w:p w14:paraId="617B535B" w14:textId="5D095C0D" w:rsidR="00451ECC" w:rsidRPr="00451ECC" w:rsidRDefault="00E75B6D" w:rsidP="00451ECC">
            <w:pPr>
              <w:spacing w:after="0" w:line="240" w:lineRule="auto"/>
              <w:jc w:val="center"/>
              <w:rPr>
                <w:color w:val="auto"/>
              </w:rPr>
            </w:pPr>
            <w:r w:rsidRPr="00E75B6D">
              <w:rPr>
                <w:color w:val="auto"/>
              </w:rPr>
              <w:t xml:space="preserve">Mr Malcolm Elliott </w:t>
            </w:r>
          </w:p>
        </w:tc>
        <w:tc>
          <w:tcPr>
            <w:tcW w:w="3006" w:type="dxa"/>
          </w:tcPr>
          <w:p w14:paraId="5339A4A5" w14:textId="7D55A0CE" w:rsidR="00451ECC" w:rsidRPr="00451ECC" w:rsidRDefault="00E75B6D" w:rsidP="00451ECC">
            <w:pPr>
              <w:spacing w:after="0" w:line="240" w:lineRule="auto"/>
              <w:jc w:val="center"/>
              <w:rPr>
                <w:color w:val="auto"/>
              </w:rPr>
            </w:pPr>
            <w:r w:rsidRPr="00E75B6D">
              <w:rPr>
                <w:color w:val="auto"/>
              </w:rPr>
              <w:t>Mr Derek Scott</w:t>
            </w:r>
          </w:p>
        </w:tc>
      </w:tr>
    </w:tbl>
    <w:p w14:paraId="7E0B822C" w14:textId="037E774A" w:rsidR="009E0246" w:rsidRDefault="009E0246" w:rsidP="009E0246">
      <w:pPr>
        <w:pStyle w:val="Heading2"/>
      </w:pPr>
      <w:bookmarkStart w:id="3" w:name="_Toc91160192"/>
      <w:r>
        <w:lastRenderedPageBreak/>
        <w:t>Acronyms and Abbreviations</w:t>
      </w:r>
      <w:bookmarkEnd w:id="3"/>
    </w:p>
    <w:tbl>
      <w:tblPr>
        <w:tblStyle w:val="ITEReview"/>
        <w:tblW w:w="9921" w:type="dxa"/>
        <w:jc w:val="center"/>
        <w:tblBorders>
          <w:top w:val="single" w:sz="4" w:space="0" w:color="auto"/>
          <w:bottom w:val="single" w:sz="4" w:space="0" w:color="auto"/>
        </w:tblBorders>
        <w:tblLook w:val="0480" w:firstRow="0" w:lastRow="0" w:firstColumn="1" w:lastColumn="0" w:noHBand="0" w:noVBand="1"/>
      </w:tblPr>
      <w:tblGrid>
        <w:gridCol w:w="2266"/>
        <w:gridCol w:w="7655"/>
      </w:tblGrid>
      <w:tr w:rsidR="00146560" w14:paraId="1FCE8CD3"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bookmarkEnd w:id="1"/>
          <w:bookmarkEnd w:id="2"/>
          <w:p w14:paraId="7E04AC2E" w14:textId="77777777" w:rsidR="00146560" w:rsidRDefault="00146560" w:rsidP="00146560">
            <w:pPr>
              <w:spacing w:after="0" w:line="360" w:lineRule="auto"/>
            </w:pPr>
            <w:r>
              <w:t>Accreditation Standards</w:t>
            </w:r>
          </w:p>
        </w:tc>
        <w:tc>
          <w:tcPr>
            <w:tcW w:w="7655" w:type="dxa"/>
            <w:vAlign w:val="center"/>
          </w:tcPr>
          <w:p w14:paraId="144E6D94" w14:textId="77777777" w:rsidR="00146560" w:rsidRDefault="00146560" w:rsidP="00146560">
            <w:pPr>
              <w:spacing w:after="0" w:line="360" w:lineRule="auto"/>
            </w:pPr>
            <w:r>
              <w:t>Accreditation of Initial Teacher Education Programs in Australia: Standards and Procedures</w:t>
            </w:r>
          </w:p>
        </w:tc>
      </w:tr>
      <w:tr w:rsidR="00146560" w14:paraId="1FBDC119" w14:textId="77777777" w:rsidTr="005261C7">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51FD4E1F" w14:textId="77777777" w:rsidR="00146560" w:rsidRDefault="00146560" w:rsidP="00146560">
            <w:pPr>
              <w:spacing w:after="0" w:line="360" w:lineRule="auto"/>
            </w:pPr>
            <w:r>
              <w:t>AITSL</w:t>
            </w:r>
          </w:p>
        </w:tc>
        <w:tc>
          <w:tcPr>
            <w:tcW w:w="7655" w:type="dxa"/>
            <w:vAlign w:val="center"/>
          </w:tcPr>
          <w:p w14:paraId="7DAAE26F" w14:textId="77777777" w:rsidR="00146560" w:rsidRDefault="00146560" w:rsidP="00146560">
            <w:pPr>
              <w:spacing w:after="0" w:line="360" w:lineRule="auto"/>
            </w:pPr>
            <w:r>
              <w:t>Australian Institute for Teaching and School Leadership</w:t>
            </w:r>
          </w:p>
        </w:tc>
      </w:tr>
      <w:tr w:rsidR="00146560" w14:paraId="309F7E9B"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4DA5B0D3" w14:textId="77777777" w:rsidR="00146560" w:rsidRDefault="00146560" w:rsidP="00146560">
            <w:pPr>
              <w:spacing w:after="0" w:line="360" w:lineRule="auto"/>
            </w:pPr>
            <w:r>
              <w:t>AQF</w:t>
            </w:r>
          </w:p>
        </w:tc>
        <w:tc>
          <w:tcPr>
            <w:tcW w:w="7655" w:type="dxa"/>
            <w:vAlign w:val="center"/>
          </w:tcPr>
          <w:p w14:paraId="687D7933" w14:textId="77777777" w:rsidR="00146560" w:rsidRDefault="00146560" w:rsidP="00146560">
            <w:pPr>
              <w:spacing w:after="0" w:line="360" w:lineRule="auto"/>
            </w:pPr>
            <w:r>
              <w:t>Australian Qualifications Framework</w:t>
            </w:r>
          </w:p>
        </w:tc>
      </w:tr>
      <w:tr w:rsidR="00146560" w14:paraId="489CEAED" w14:textId="77777777" w:rsidTr="005261C7">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71C8DB6B" w14:textId="77777777" w:rsidR="00146560" w:rsidRDefault="00146560" w:rsidP="00146560">
            <w:pPr>
              <w:spacing w:after="0" w:line="360" w:lineRule="auto"/>
            </w:pPr>
            <w:r>
              <w:t>ATAR</w:t>
            </w:r>
          </w:p>
        </w:tc>
        <w:tc>
          <w:tcPr>
            <w:tcW w:w="7655" w:type="dxa"/>
            <w:vAlign w:val="center"/>
          </w:tcPr>
          <w:p w14:paraId="41969347" w14:textId="77777777" w:rsidR="00146560" w:rsidRDefault="00146560" w:rsidP="00146560">
            <w:pPr>
              <w:spacing w:after="0" w:line="360" w:lineRule="auto"/>
            </w:pPr>
            <w:r>
              <w:t>Australian Tertiary Admission Rank</w:t>
            </w:r>
          </w:p>
        </w:tc>
      </w:tr>
      <w:tr w:rsidR="00146560" w14:paraId="726C93CB"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46ED61A9" w14:textId="77777777" w:rsidR="00146560" w:rsidRDefault="00146560" w:rsidP="00146560">
            <w:pPr>
              <w:spacing w:after="0" w:line="360" w:lineRule="auto"/>
            </w:pPr>
            <w:r>
              <w:t>ATWD</w:t>
            </w:r>
          </w:p>
        </w:tc>
        <w:tc>
          <w:tcPr>
            <w:tcW w:w="7655" w:type="dxa"/>
            <w:vAlign w:val="center"/>
          </w:tcPr>
          <w:p w14:paraId="1BC868E3" w14:textId="77777777" w:rsidR="00146560" w:rsidRDefault="00146560" w:rsidP="00146560">
            <w:pPr>
              <w:spacing w:after="0" w:line="360" w:lineRule="auto"/>
            </w:pPr>
            <w:r>
              <w:t>Australian Teacher Workforce Data</w:t>
            </w:r>
          </w:p>
        </w:tc>
      </w:tr>
      <w:tr w:rsidR="00F23137" w14:paraId="30C0D92C" w14:textId="77777777" w:rsidTr="00711BEB">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61218452" w14:textId="7E5AE12F" w:rsidR="00F23137" w:rsidRDefault="00F23137" w:rsidP="00146560">
            <w:pPr>
              <w:spacing w:after="0" w:line="360" w:lineRule="auto"/>
            </w:pPr>
            <w:r>
              <w:t>CALD</w:t>
            </w:r>
          </w:p>
        </w:tc>
        <w:tc>
          <w:tcPr>
            <w:tcW w:w="7655" w:type="dxa"/>
            <w:vAlign w:val="center"/>
          </w:tcPr>
          <w:p w14:paraId="5DDE35BF" w14:textId="1E253E22" w:rsidR="00F23137" w:rsidRDefault="00F23137" w:rsidP="00146560">
            <w:pPr>
              <w:spacing w:after="0" w:line="360" w:lineRule="auto"/>
            </w:pPr>
            <w:r>
              <w:t>Culturally and Linguistically Diverse</w:t>
            </w:r>
          </w:p>
        </w:tc>
      </w:tr>
      <w:tr w:rsidR="00146560" w14:paraId="7FE4E8E8"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4A6ECFF3" w14:textId="15E7569D" w:rsidR="00146560" w:rsidRDefault="00146560" w:rsidP="00146560">
            <w:pPr>
              <w:spacing w:after="0" w:line="360" w:lineRule="auto"/>
            </w:pPr>
            <w:r>
              <w:t>CSP</w:t>
            </w:r>
          </w:p>
        </w:tc>
        <w:tc>
          <w:tcPr>
            <w:tcW w:w="7655" w:type="dxa"/>
            <w:vAlign w:val="center"/>
          </w:tcPr>
          <w:p w14:paraId="182C8B33" w14:textId="2403FEAB" w:rsidR="00146560" w:rsidRDefault="00146560" w:rsidP="00146560">
            <w:pPr>
              <w:spacing w:after="0" w:line="360" w:lineRule="auto"/>
            </w:pPr>
            <w:r>
              <w:t xml:space="preserve">Commonwealth </w:t>
            </w:r>
            <w:r w:rsidR="007B1E58">
              <w:t>supported place</w:t>
            </w:r>
          </w:p>
        </w:tc>
      </w:tr>
      <w:tr w:rsidR="00146560" w14:paraId="73B2F6F3" w14:textId="77777777" w:rsidTr="005261C7">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0BC81421" w14:textId="77777777" w:rsidR="00146560" w:rsidRDefault="00146560" w:rsidP="00146560">
            <w:pPr>
              <w:spacing w:after="0" w:line="360" w:lineRule="auto"/>
            </w:pPr>
            <w:r>
              <w:t>ITE</w:t>
            </w:r>
          </w:p>
        </w:tc>
        <w:tc>
          <w:tcPr>
            <w:tcW w:w="7655" w:type="dxa"/>
            <w:vAlign w:val="center"/>
          </w:tcPr>
          <w:p w14:paraId="15B8F59B" w14:textId="77777777" w:rsidR="00146560" w:rsidRDefault="00146560" w:rsidP="00146560">
            <w:pPr>
              <w:spacing w:after="0" w:line="360" w:lineRule="auto"/>
            </w:pPr>
            <w:r>
              <w:t>Initial teacher education</w:t>
            </w:r>
          </w:p>
        </w:tc>
      </w:tr>
      <w:tr w:rsidR="00121941" w14:paraId="76F75D8C"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4BBABC9D" w14:textId="76E0314B" w:rsidR="00121941" w:rsidRDefault="00121941" w:rsidP="00146560">
            <w:pPr>
              <w:spacing w:after="0" w:line="360" w:lineRule="auto"/>
            </w:pPr>
            <w:r>
              <w:t>HESA</w:t>
            </w:r>
          </w:p>
        </w:tc>
        <w:tc>
          <w:tcPr>
            <w:tcW w:w="7655" w:type="dxa"/>
            <w:vAlign w:val="center"/>
          </w:tcPr>
          <w:p w14:paraId="55E2C048" w14:textId="7B845FB1" w:rsidR="00121941" w:rsidRDefault="004521CA" w:rsidP="00146560">
            <w:pPr>
              <w:spacing w:after="0" w:line="360" w:lineRule="auto"/>
            </w:pPr>
            <w:r>
              <w:t>Higher Education Support Act 2003</w:t>
            </w:r>
          </w:p>
        </w:tc>
      </w:tr>
      <w:tr w:rsidR="00B3270B" w14:paraId="7FAC4009" w14:textId="77777777" w:rsidTr="005261C7">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479B4BED" w14:textId="05036C85" w:rsidR="00B3270B" w:rsidRDefault="00B3270B" w:rsidP="00146560">
            <w:pPr>
              <w:spacing w:after="0" w:line="360" w:lineRule="auto"/>
            </w:pPr>
            <w:r>
              <w:t>LANTITE</w:t>
            </w:r>
          </w:p>
        </w:tc>
        <w:tc>
          <w:tcPr>
            <w:tcW w:w="7655" w:type="dxa"/>
            <w:vAlign w:val="center"/>
          </w:tcPr>
          <w:p w14:paraId="2BBCA900" w14:textId="396C15B3" w:rsidR="00B3270B" w:rsidRDefault="002E2F4D" w:rsidP="00146560">
            <w:pPr>
              <w:spacing w:after="0" w:line="360" w:lineRule="auto"/>
            </w:pPr>
            <w:r>
              <w:t>Literacy and Numeracy Test for Initial Teacher Education</w:t>
            </w:r>
          </w:p>
        </w:tc>
      </w:tr>
      <w:tr w:rsidR="00146560" w14:paraId="0664F381"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33B8B899" w14:textId="77777777" w:rsidR="00146560" w:rsidRDefault="00146560" w:rsidP="00146560">
            <w:pPr>
              <w:spacing w:after="0" w:line="360" w:lineRule="auto"/>
            </w:pPr>
            <w:r>
              <w:t>OECD</w:t>
            </w:r>
          </w:p>
        </w:tc>
        <w:tc>
          <w:tcPr>
            <w:tcW w:w="7655" w:type="dxa"/>
            <w:vAlign w:val="center"/>
          </w:tcPr>
          <w:p w14:paraId="508E83D9" w14:textId="2637C950" w:rsidR="00146560" w:rsidRDefault="00146560" w:rsidP="00146560">
            <w:pPr>
              <w:spacing w:after="0" w:line="360" w:lineRule="auto"/>
            </w:pPr>
            <w:r>
              <w:t>Organisation for Economic Co</w:t>
            </w:r>
            <w:r w:rsidR="0052151B">
              <w:noBreakHyphen/>
            </w:r>
            <w:r>
              <w:t>operation and Development</w:t>
            </w:r>
          </w:p>
        </w:tc>
      </w:tr>
      <w:tr w:rsidR="00146560" w14:paraId="03335215" w14:textId="77777777" w:rsidTr="005261C7">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69DE3CE8" w14:textId="77777777" w:rsidR="00146560" w:rsidRDefault="00146560" w:rsidP="00146560">
            <w:pPr>
              <w:spacing w:after="0" w:line="360" w:lineRule="auto"/>
            </w:pPr>
            <w:r>
              <w:t>PISA</w:t>
            </w:r>
          </w:p>
        </w:tc>
        <w:tc>
          <w:tcPr>
            <w:tcW w:w="7655" w:type="dxa"/>
            <w:vAlign w:val="center"/>
          </w:tcPr>
          <w:p w14:paraId="0DD36E18" w14:textId="77777777" w:rsidR="00146560" w:rsidRDefault="00146560" w:rsidP="00146560">
            <w:pPr>
              <w:spacing w:after="0" w:line="360" w:lineRule="auto"/>
            </w:pPr>
            <w:r>
              <w:t>Programme for International Student Assessment</w:t>
            </w:r>
          </w:p>
        </w:tc>
      </w:tr>
      <w:tr w:rsidR="00146560" w14:paraId="144D1892"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62E0AE6B" w14:textId="77777777" w:rsidR="00146560" w:rsidRDefault="00146560" w:rsidP="00146560">
            <w:pPr>
              <w:spacing w:after="0" w:line="360" w:lineRule="auto"/>
            </w:pPr>
            <w:r>
              <w:t>TALIS</w:t>
            </w:r>
          </w:p>
        </w:tc>
        <w:tc>
          <w:tcPr>
            <w:tcW w:w="7655" w:type="dxa"/>
            <w:vAlign w:val="center"/>
          </w:tcPr>
          <w:p w14:paraId="609020F4" w14:textId="77777777" w:rsidR="00146560" w:rsidRDefault="00146560" w:rsidP="00146560">
            <w:pPr>
              <w:spacing w:after="0" w:line="360" w:lineRule="auto"/>
            </w:pPr>
            <w:r>
              <w:t>Teaching and Learning International Survey</w:t>
            </w:r>
          </w:p>
        </w:tc>
      </w:tr>
      <w:tr w:rsidR="0095081D" w14:paraId="4AEEC79E" w14:textId="77777777" w:rsidTr="005261C7">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094988DB" w14:textId="028D5BE3" w:rsidR="0095081D" w:rsidRDefault="0095081D" w:rsidP="00146560">
            <w:pPr>
              <w:spacing w:after="0" w:line="360" w:lineRule="auto"/>
            </w:pPr>
            <w:r>
              <w:t>TCAT</w:t>
            </w:r>
          </w:p>
        </w:tc>
        <w:tc>
          <w:tcPr>
            <w:tcW w:w="7655" w:type="dxa"/>
            <w:vAlign w:val="center"/>
          </w:tcPr>
          <w:p w14:paraId="6513FD71" w14:textId="5EA4254A" w:rsidR="0095081D" w:rsidRDefault="0095081D" w:rsidP="00146560">
            <w:pPr>
              <w:spacing w:after="0" w:line="360" w:lineRule="auto"/>
            </w:pPr>
            <w:r>
              <w:t xml:space="preserve">Teacher Capability </w:t>
            </w:r>
            <w:r w:rsidR="00BC3153">
              <w:t>Assessment Tool</w:t>
            </w:r>
          </w:p>
        </w:tc>
      </w:tr>
      <w:tr w:rsidR="00146560" w14:paraId="3F4A6E33"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6CB44A0A" w14:textId="77777777" w:rsidR="00146560" w:rsidRDefault="00146560" w:rsidP="00146560">
            <w:pPr>
              <w:spacing w:after="0" w:line="360" w:lineRule="auto"/>
            </w:pPr>
            <w:r>
              <w:t>Teacher Standards</w:t>
            </w:r>
          </w:p>
        </w:tc>
        <w:tc>
          <w:tcPr>
            <w:tcW w:w="7655" w:type="dxa"/>
            <w:vAlign w:val="center"/>
          </w:tcPr>
          <w:p w14:paraId="5B8959E4" w14:textId="77777777" w:rsidR="00146560" w:rsidRDefault="00146560" w:rsidP="00146560">
            <w:pPr>
              <w:spacing w:after="0" w:line="360" w:lineRule="auto"/>
            </w:pPr>
            <w:r>
              <w:t>Australian Professional Standards for Teachers</w:t>
            </w:r>
          </w:p>
        </w:tc>
      </w:tr>
      <w:tr w:rsidR="00146560" w14:paraId="1C4D6B80" w14:textId="77777777" w:rsidTr="005261C7">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2572635C" w14:textId="77777777" w:rsidR="00146560" w:rsidRDefault="00146560" w:rsidP="00146560">
            <w:pPr>
              <w:spacing w:after="0" w:line="360" w:lineRule="auto"/>
            </w:pPr>
            <w:r>
              <w:t>TEMAG</w:t>
            </w:r>
          </w:p>
        </w:tc>
        <w:tc>
          <w:tcPr>
            <w:tcW w:w="7655" w:type="dxa"/>
            <w:vAlign w:val="center"/>
          </w:tcPr>
          <w:p w14:paraId="305A892E" w14:textId="77777777" w:rsidR="00146560" w:rsidRDefault="00146560" w:rsidP="00146560">
            <w:pPr>
              <w:spacing w:after="0" w:line="360" w:lineRule="auto"/>
            </w:pPr>
            <w:r>
              <w:t>Teacher Education Ministerial Advisory Group</w:t>
            </w:r>
          </w:p>
        </w:tc>
      </w:tr>
      <w:tr w:rsidR="00146560" w14:paraId="58FD6444"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6121D368" w14:textId="77777777" w:rsidR="00146560" w:rsidRDefault="00146560" w:rsidP="00146560">
            <w:pPr>
              <w:spacing w:after="0" w:line="360" w:lineRule="auto"/>
            </w:pPr>
            <w:r>
              <w:t>TFA</w:t>
            </w:r>
          </w:p>
        </w:tc>
        <w:tc>
          <w:tcPr>
            <w:tcW w:w="7655" w:type="dxa"/>
            <w:vAlign w:val="center"/>
          </w:tcPr>
          <w:p w14:paraId="69B828AD" w14:textId="77777777" w:rsidR="00146560" w:rsidRDefault="00146560" w:rsidP="00146560">
            <w:pPr>
              <w:spacing w:after="0" w:line="360" w:lineRule="auto"/>
            </w:pPr>
            <w:r>
              <w:t>Teach For Australia</w:t>
            </w:r>
          </w:p>
        </w:tc>
      </w:tr>
      <w:tr w:rsidR="00146560" w14:paraId="49837F6F" w14:textId="77777777" w:rsidTr="005261C7">
        <w:trPr>
          <w:cnfStyle w:val="000000010000" w:firstRow="0" w:lastRow="0" w:firstColumn="0" w:lastColumn="0" w:oddVBand="0" w:evenVBand="0" w:oddHBand="0" w:evenHBand="1" w:firstRowFirstColumn="0" w:firstRowLastColumn="0" w:lastRowFirstColumn="0" w:lastRowLastColumn="0"/>
          <w:trHeight w:val="283"/>
          <w:jc w:val="center"/>
        </w:trPr>
        <w:tc>
          <w:tcPr>
            <w:tcW w:w="2266" w:type="dxa"/>
            <w:vAlign w:val="center"/>
          </w:tcPr>
          <w:p w14:paraId="0BFC625E" w14:textId="77777777" w:rsidR="00146560" w:rsidRDefault="00146560" w:rsidP="00146560">
            <w:pPr>
              <w:spacing w:after="0" w:line="360" w:lineRule="auto"/>
            </w:pPr>
            <w:r>
              <w:t>TPA</w:t>
            </w:r>
          </w:p>
        </w:tc>
        <w:tc>
          <w:tcPr>
            <w:tcW w:w="7655" w:type="dxa"/>
            <w:vAlign w:val="center"/>
          </w:tcPr>
          <w:p w14:paraId="6C566592" w14:textId="77777777" w:rsidR="00146560" w:rsidRDefault="00146560" w:rsidP="00146560">
            <w:pPr>
              <w:spacing w:after="0" w:line="360" w:lineRule="auto"/>
            </w:pPr>
            <w:r>
              <w:t>Teaching Performance Assessment</w:t>
            </w:r>
          </w:p>
        </w:tc>
      </w:tr>
      <w:tr w:rsidR="00146560" w14:paraId="4546E3EB" w14:textId="77777777" w:rsidTr="005261C7">
        <w:trPr>
          <w:cnfStyle w:val="000000100000" w:firstRow="0" w:lastRow="0" w:firstColumn="0" w:lastColumn="0" w:oddVBand="0" w:evenVBand="0" w:oddHBand="1" w:evenHBand="0" w:firstRowFirstColumn="0" w:firstRowLastColumn="0" w:lastRowFirstColumn="0" w:lastRowLastColumn="0"/>
          <w:trHeight w:val="283"/>
          <w:jc w:val="center"/>
        </w:trPr>
        <w:tc>
          <w:tcPr>
            <w:tcW w:w="2266" w:type="dxa"/>
            <w:vAlign w:val="center"/>
          </w:tcPr>
          <w:p w14:paraId="54BCA6A8" w14:textId="5930CC74" w:rsidR="00146560" w:rsidRDefault="002D2FA9" w:rsidP="00146560">
            <w:pPr>
              <w:spacing w:after="0" w:line="360" w:lineRule="auto"/>
            </w:pPr>
            <w:r>
              <w:t xml:space="preserve">TRA </w:t>
            </w:r>
          </w:p>
        </w:tc>
        <w:tc>
          <w:tcPr>
            <w:tcW w:w="7655" w:type="dxa"/>
            <w:vAlign w:val="center"/>
          </w:tcPr>
          <w:p w14:paraId="645252FF" w14:textId="3A00E594" w:rsidR="00146560" w:rsidRDefault="004A0C50" w:rsidP="00146560">
            <w:pPr>
              <w:spacing w:after="0" w:line="360" w:lineRule="auto"/>
            </w:pPr>
            <w:r>
              <w:t xml:space="preserve">Teacher Regulatory Authority </w:t>
            </w:r>
          </w:p>
        </w:tc>
      </w:tr>
    </w:tbl>
    <w:p w14:paraId="49925296" w14:textId="77777777" w:rsidR="007D19A9" w:rsidRPr="007D19A9" w:rsidRDefault="007D19A9" w:rsidP="00D21E2E"/>
    <w:p w14:paraId="0E4E58FE" w14:textId="77777777" w:rsidR="00CF13BE" w:rsidRDefault="00CF13BE" w:rsidP="007E638A"/>
    <w:p w14:paraId="420FCF04" w14:textId="77777777" w:rsidR="00CF13BE" w:rsidRDefault="00CF13BE" w:rsidP="007E638A"/>
    <w:p w14:paraId="66AE7AEB" w14:textId="77777777" w:rsidR="00CF13BE" w:rsidRDefault="00CF13BE" w:rsidP="007E638A"/>
    <w:p w14:paraId="186223C4" w14:textId="77777777" w:rsidR="00CF13BE" w:rsidRDefault="00CF13BE" w:rsidP="007E638A"/>
    <w:p w14:paraId="721BFA8C" w14:textId="77777777" w:rsidR="00CF13BE" w:rsidRDefault="00CF13BE" w:rsidP="007E638A"/>
    <w:p w14:paraId="454FC649" w14:textId="77777777" w:rsidR="00CF13BE" w:rsidRDefault="00CF13BE" w:rsidP="007E638A"/>
    <w:p w14:paraId="06CA84BE" w14:textId="77777777" w:rsidR="00CF13BE" w:rsidRDefault="00CF13BE" w:rsidP="007E638A"/>
    <w:p w14:paraId="6A717BE7" w14:textId="77777777" w:rsidR="00CF13BE" w:rsidRDefault="00CF13BE" w:rsidP="007E638A"/>
    <w:p w14:paraId="5428DD42" w14:textId="77777777" w:rsidR="00CF13BE" w:rsidRDefault="00CF13BE" w:rsidP="007E638A"/>
    <w:p w14:paraId="7692BC63" w14:textId="77777777" w:rsidR="008D0B5D" w:rsidRDefault="008D0B5D" w:rsidP="00295052"/>
    <w:p w14:paraId="00C3791B" w14:textId="77777777" w:rsidR="009E0246" w:rsidRDefault="009E0246" w:rsidP="00295052">
      <w:bookmarkStart w:id="4" w:name="_Toc86138398"/>
      <w:bookmarkStart w:id="5" w:name="_Toc86141302"/>
    </w:p>
    <w:p w14:paraId="4C92BA81" w14:textId="77777777" w:rsidR="004219FC" w:rsidRDefault="004219FC">
      <w:pPr>
        <w:spacing w:after="0" w:line="240" w:lineRule="auto"/>
        <w:rPr>
          <w:bCs/>
          <w:color w:val="2F5496" w:themeColor="accent1" w:themeShade="BF"/>
          <w:sz w:val="24"/>
          <w:szCs w:val="24"/>
        </w:rPr>
      </w:pPr>
      <w:r>
        <w:br w:type="page"/>
      </w:r>
    </w:p>
    <w:p w14:paraId="38CB3708" w14:textId="00300093" w:rsidR="00290051" w:rsidRDefault="00290051" w:rsidP="00630D1F">
      <w:pPr>
        <w:pStyle w:val="Heading2"/>
      </w:pPr>
      <w:bookmarkStart w:id="6" w:name="_Toc91160193"/>
      <w:r>
        <w:lastRenderedPageBreak/>
        <w:t>Executive</w:t>
      </w:r>
      <w:bookmarkStart w:id="7" w:name="_Hlk86257551"/>
      <w:r>
        <w:t xml:space="preserve"> Summary</w:t>
      </w:r>
      <w:bookmarkEnd w:id="4"/>
      <w:bookmarkEnd w:id="5"/>
      <w:bookmarkEnd w:id="7"/>
      <w:bookmarkEnd w:id="6"/>
    </w:p>
    <w:p w14:paraId="0A1F949B" w14:textId="77777777" w:rsidR="003B306C" w:rsidRDefault="003B306C" w:rsidP="0001208F">
      <w:pPr>
        <w:spacing w:after="120"/>
      </w:pPr>
      <w:r>
        <w:t>Teachers hold the key to our future. What could be more important than teaching our children the knowledge, skills and personal qualities they need to succeed in the world beyond school? Teachers contribute to 12 or more vital developmental years in children’s lives. Teachers and school leaders are passionately committed to their students’ learning.</w:t>
      </w:r>
    </w:p>
    <w:p w14:paraId="7894B65A" w14:textId="7F6FDEEC" w:rsidR="003B306C" w:rsidRDefault="003B306C" w:rsidP="0001208F">
      <w:pPr>
        <w:spacing w:after="120"/>
      </w:pPr>
      <w:r>
        <w:t>In commissioning th</w:t>
      </w:r>
      <w:r w:rsidR="002D232A">
        <w:t>e Quality Initial Teacher Education Review (the Review)</w:t>
      </w:r>
      <w:r>
        <w:t>, the Hon Alan Tudge MP, Minister for Education and Youth, reaffirmed an ambition to return Australia to the top group of nations across the three major learning areas of reading, mathematics and science by 2030.</w:t>
      </w:r>
    </w:p>
    <w:p w14:paraId="2293C419" w14:textId="1AFDAABB" w:rsidR="003B306C" w:rsidRDefault="003B306C" w:rsidP="0001208F">
      <w:pPr>
        <w:spacing w:after="120"/>
      </w:pPr>
      <w:r>
        <w:t xml:space="preserve">The Expert Panel were </w:t>
      </w:r>
      <w:r w:rsidR="001D182C">
        <w:t>Ms</w:t>
      </w:r>
      <w:r>
        <w:t xml:space="preserve"> Lisa Paul AO PSM (Chair);</w:t>
      </w:r>
      <w:r w:rsidR="00E75B6D" w:rsidRPr="00E75B6D">
        <w:t xml:space="preserve"> Mr Malcolm Elliott, President of the Australian Primary Principals Association</w:t>
      </w:r>
      <w:r w:rsidR="00E75B6D">
        <w:t>;</w:t>
      </w:r>
      <w:r>
        <w:t xml:space="preserve"> Emeritus Professor Bill Louden AM, former Deputy Vice Chancellor and Dean of Education at the University of WA;</w:t>
      </w:r>
      <w:r w:rsidR="00FE2ABB">
        <w:t xml:space="preserve"> </w:t>
      </w:r>
      <w:r>
        <w:t xml:space="preserve">and </w:t>
      </w:r>
      <w:r w:rsidR="002D232A">
        <w:t xml:space="preserve">Mr </w:t>
      </w:r>
      <w:r>
        <w:t>Derek Scott, Principal of Haileybury School and 2019 Australian School Principal of the Year.</w:t>
      </w:r>
      <w:r w:rsidR="00506B4F">
        <w:t xml:space="preserve"> </w:t>
      </w:r>
    </w:p>
    <w:p w14:paraId="19D6B8D8" w14:textId="2CA535EE" w:rsidR="003B306C" w:rsidRPr="001301C6" w:rsidRDefault="003B306C" w:rsidP="0001208F">
      <w:pPr>
        <w:spacing w:after="120"/>
        <w:rPr>
          <w:rFonts w:cstheme="minorHAnsi"/>
        </w:rPr>
      </w:pPr>
      <w:r>
        <w:t xml:space="preserve">The Expert Panel were ably supported by an outstanding Secretariat from the </w:t>
      </w:r>
      <w:r w:rsidR="00AE5998">
        <w:t xml:space="preserve">Australian Government </w:t>
      </w:r>
      <w:r>
        <w:t xml:space="preserve">Department of Education, Skills and Employment led by </w:t>
      </w:r>
      <w:r w:rsidR="00FC332E">
        <w:t>M</w:t>
      </w:r>
      <w:r w:rsidR="00313CC5">
        <w:t xml:space="preserve">s </w:t>
      </w:r>
      <w:r>
        <w:t>Jess Mohr.</w:t>
      </w:r>
    </w:p>
    <w:p w14:paraId="5D7DEE10" w14:textId="3BE95D88" w:rsidR="00557D91" w:rsidRPr="001301C6" w:rsidRDefault="00557D91" w:rsidP="00557D91">
      <w:pPr>
        <w:rPr>
          <w:rFonts w:cstheme="minorHAnsi"/>
        </w:rPr>
      </w:pPr>
      <w:r w:rsidRPr="001301C6">
        <w:rPr>
          <w:rFonts w:cstheme="minorHAnsi"/>
        </w:rPr>
        <w:t xml:space="preserve">The Review heard from </w:t>
      </w:r>
      <w:r w:rsidR="00EC721E" w:rsidRPr="001301C6">
        <w:rPr>
          <w:rFonts w:cstheme="minorHAnsi"/>
        </w:rPr>
        <w:t>3</w:t>
      </w:r>
      <w:r w:rsidR="005673BC">
        <w:rPr>
          <w:rFonts w:cstheme="minorHAnsi"/>
        </w:rPr>
        <w:t>,</w:t>
      </w:r>
      <w:r w:rsidR="00EC721E" w:rsidRPr="001301C6">
        <w:rPr>
          <w:rFonts w:cstheme="minorHAnsi"/>
        </w:rPr>
        <w:t>000</w:t>
      </w:r>
      <w:r w:rsidRPr="001301C6">
        <w:rPr>
          <w:rFonts w:cstheme="minorHAnsi"/>
        </w:rPr>
        <w:t xml:space="preserve"> people interested in initial teacher education</w:t>
      </w:r>
      <w:r w:rsidR="00AC0FA3">
        <w:rPr>
          <w:rFonts w:cstheme="minorHAnsi"/>
        </w:rPr>
        <w:t xml:space="preserve"> (ITE)</w:t>
      </w:r>
      <w:r w:rsidRPr="001301C6">
        <w:rPr>
          <w:rFonts w:cstheme="minorHAnsi"/>
        </w:rPr>
        <w:t xml:space="preserve">. They were reached through meetings with the Expert Panel, publicly sought submissions, webinars, </w:t>
      </w:r>
      <w:r w:rsidR="00BF6189">
        <w:rPr>
          <w:rFonts w:cstheme="minorHAnsi"/>
        </w:rPr>
        <w:t xml:space="preserve">a </w:t>
      </w:r>
      <w:r w:rsidR="00EC721E" w:rsidRPr="001301C6">
        <w:rPr>
          <w:rFonts w:cstheme="minorHAnsi"/>
        </w:rPr>
        <w:t>workshop</w:t>
      </w:r>
      <w:r w:rsidRPr="001301C6">
        <w:rPr>
          <w:rFonts w:cstheme="minorHAnsi"/>
        </w:rPr>
        <w:t>, focus groups and surveys</w:t>
      </w:r>
      <w:r w:rsidR="001301C6">
        <w:rPr>
          <w:rFonts w:cstheme="minorHAnsi"/>
        </w:rPr>
        <w:t xml:space="preserve">, </w:t>
      </w:r>
      <w:r w:rsidR="001301C6" w:rsidRPr="001301C6">
        <w:rPr>
          <w:rFonts w:cstheme="minorHAnsi"/>
          <w:color w:val="242424"/>
          <w:shd w:val="clear" w:color="auto" w:fill="FFFFFF"/>
        </w:rPr>
        <w:t xml:space="preserve">including those </w:t>
      </w:r>
      <w:r w:rsidR="00D1382C">
        <w:rPr>
          <w:rFonts w:cstheme="minorHAnsi"/>
          <w:color w:val="242424"/>
          <w:shd w:val="clear" w:color="auto" w:fill="FFFFFF"/>
        </w:rPr>
        <w:t>participating in</w:t>
      </w:r>
      <w:r w:rsidR="001301C6" w:rsidRPr="001301C6">
        <w:rPr>
          <w:rFonts w:cstheme="minorHAnsi"/>
          <w:color w:val="242424"/>
          <w:shd w:val="clear" w:color="auto" w:fill="FFFFFF"/>
        </w:rPr>
        <w:t xml:space="preserve"> research commissioned by the Expert Panel</w:t>
      </w:r>
      <w:r w:rsidR="00476486">
        <w:rPr>
          <w:rFonts w:cstheme="minorHAnsi"/>
          <w:color w:val="242424"/>
          <w:shd w:val="clear" w:color="auto" w:fill="FFFFFF"/>
        </w:rPr>
        <w:t>.</w:t>
      </w:r>
    </w:p>
    <w:p w14:paraId="4322D379" w14:textId="1977D176" w:rsidR="003B306C" w:rsidRDefault="003B306C" w:rsidP="004450F5">
      <w:pPr>
        <w:spacing w:after="120"/>
      </w:pPr>
      <w:r w:rsidRPr="001301C6">
        <w:rPr>
          <w:rFonts w:cstheme="minorHAnsi"/>
        </w:rPr>
        <w:t xml:space="preserve">The </w:t>
      </w:r>
      <w:r w:rsidR="004450F5">
        <w:rPr>
          <w:rFonts w:cstheme="minorHAnsi"/>
        </w:rPr>
        <w:t>Expert</w:t>
      </w:r>
      <w:r>
        <w:rPr>
          <w:rFonts w:cstheme="minorHAnsi"/>
        </w:rPr>
        <w:t xml:space="preserve"> </w:t>
      </w:r>
      <w:r w:rsidRPr="001301C6">
        <w:rPr>
          <w:rFonts w:cstheme="minorHAnsi"/>
        </w:rPr>
        <w:t>Panel commissioned two pieces of work. The Behavioural Economics Team of the Australian Government (BETA) asked high</w:t>
      </w:r>
      <w:r w:rsidR="00BD611B">
        <w:rPr>
          <w:rFonts w:cstheme="minorHAnsi"/>
        </w:rPr>
        <w:t>-</w:t>
      </w:r>
      <w:r w:rsidRPr="001301C6">
        <w:rPr>
          <w:rFonts w:cstheme="minorHAnsi"/>
        </w:rPr>
        <w:t xml:space="preserve">achieving school leavers and suitable </w:t>
      </w:r>
      <w:r w:rsidR="00EC721E" w:rsidRPr="001301C6">
        <w:rPr>
          <w:rFonts w:cstheme="minorHAnsi"/>
        </w:rPr>
        <w:t>mid</w:t>
      </w:r>
      <w:r w:rsidR="00CB66DF">
        <w:rPr>
          <w:rFonts w:cstheme="minorHAnsi"/>
        </w:rPr>
        <w:t>-</w:t>
      </w:r>
      <w:r w:rsidR="00EC721E" w:rsidRPr="001301C6">
        <w:rPr>
          <w:rFonts w:cstheme="minorHAnsi"/>
        </w:rPr>
        <w:t>career</w:t>
      </w:r>
      <w:r w:rsidRPr="001301C6">
        <w:rPr>
          <w:rFonts w:cstheme="minorHAnsi"/>
        </w:rPr>
        <w:t xml:space="preserve"> </w:t>
      </w:r>
      <w:r w:rsidR="002956E3">
        <w:rPr>
          <w:rFonts w:cstheme="minorHAnsi"/>
        </w:rPr>
        <w:t>professionals</w:t>
      </w:r>
      <w:r w:rsidR="002956E3">
        <w:t xml:space="preserve"> </w:t>
      </w:r>
      <w:r>
        <w:t>what it would take to interest them in teaching. Deloitte Access Economics reviewed data sources of teacher workforce supply and demand.</w:t>
      </w:r>
    </w:p>
    <w:p w14:paraId="2A17A5DF" w14:textId="24AB5C16" w:rsidR="003B306C" w:rsidRDefault="003B306C" w:rsidP="0001208F">
      <w:pPr>
        <w:spacing w:after="120"/>
      </w:pPr>
      <w:r w:rsidRPr="0066021B">
        <w:t xml:space="preserve">The </w:t>
      </w:r>
      <w:r w:rsidR="004450F5">
        <w:t>Expert</w:t>
      </w:r>
      <w:r>
        <w:t xml:space="preserve"> Panel also had regard to published research and heard from researchers interested in </w:t>
      </w:r>
      <w:r w:rsidR="00DC681E">
        <w:t>ITE</w:t>
      </w:r>
      <w:r>
        <w:t>.</w:t>
      </w:r>
    </w:p>
    <w:p w14:paraId="6843187A" w14:textId="412D2846" w:rsidR="003B306C" w:rsidRDefault="003B306C" w:rsidP="0001208F">
      <w:pPr>
        <w:spacing w:after="120"/>
      </w:pPr>
      <w:r w:rsidRPr="0066021B">
        <w:t xml:space="preserve">The </w:t>
      </w:r>
      <w:r w:rsidR="004450F5">
        <w:t>Expert</w:t>
      </w:r>
      <w:r>
        <w:t xml:space="preserve"> Panel is grateful to everyone who contributed to this Review.</w:t>
      </w:r>
      <w:r w:rsidR="00F56CB7" w:rsidRPr="00F56CB7">
        <w:t xml:space="preserve"> It has been a privilege to guide this Review.</w:t>
      </w:r>
    </w:p>
    <w:p w14:paraId="710EF08F" w14:textId="77777777" w:rsidR="003B306C" w:rsidRPr="00E11B26" w:rsidRDefault="003B306C" w:rsidP="004219FC">
      <w:pPr>
        <w:spacing w:after="0"/>
        <w:rPr>
          <w:i/>
          <w:iCs/>
          <w:color w:val="002060"/>
        </w:rPr>
      </w:pPr>
      <w:r w:rsidRPr="00E11B26">
        <w:rPr>
          <w:i/>
          <w:iCs/>
          <w:color w:val="002060"/>
        </w:rPr>
        <w:t>Recommendations</w:t>
      </w:r>
    </w:p>
    <w:p w14:paraId="652FA1E5" w14:textId="5CF875A8" w:rsidR="003B306C" w:rsidRDefault="003B306C" w:rsidP="0001208F">
      <w:pPr>
        <w:spacing w:after="120"/>
      </w:pPr>
      <w:r w:rsidRPr="0066021B">
        <w:t xml:space="preserve">The </w:t>
      </w:r>
      <w:r w:rsidR="004450F5">
        <w:t>Expert</w:t>
      </w:r>
      <w:r>
        <w:t xml:space="preserve"> Panel has made 17 recommendations</w:t>
      </w:r>
      <w:r w:rsidR="003B0866">
        <w:t xml:space="preserve"> and </w:t>
      </w:r>
      <w:r w:rsidR="00463F75">
        <w:t>seven</w:t>
      </w:r>
      <w:r w:rsidR="003B0866">
        <w:t xml:space="preserve"> findings</w:t>
      </w:r>
      <w:r>
        <w:t xml:space="preserve"> which build on the significant reforms arising from the 2014 review by the Teacher Education Ministerial Advisory Group (TEMAG).</w:t>
      </w:r>
    </w:p>
    <w:p w14:paraId="6F62C972" w14:textId="0155958E" w:rsidR="003B306C" w:rsidRDefault="003B306C" w:rsidP="0001208F">
      <w:pPr>
        <w:spacing w:after="120"/>
      </w:pPr>
      <w:r w:rsidRPr="0066021B">
        <w:t xml:space="preserve">The </w:t>
      </w:r>
      <w:r w:rsidR="004450F5">
        <w:t>Expert</w:t>
      </w:r>
      <w:r>
        <w:t xml:space="preserve"> Panel considers that if its recommendations are implemented, teacher workforce shortages will be significantly alleviated.</w:t>
      </w:r>
    </w:p>
    <w:p w14:paraId="3BD712E6" w14:textId="77777777" w:rsidR="003B306C" w:rsidRDefault="003B306C" w:rsidP="00F66D2A">
      <w:pPr>
        <w:pStyle w:val="ListParagraph"/>
        <w:numPr>
          <w:ilvl w:val="0"/>
          <w:numId w:val="38"/>
        </w:numPr>
        <w:spacing w:after="0"/>
      </w:pPr>
      <w:r>
        <w:t>More highly suitable people will want to become teachers.</w:t>
      </w:r>
    </w:p>
    <w:p w14:paraId="44FCDE64" w14:textId="0896681F" w:rsidR="003B306C" w:rsidRDefault="003B306C" w:rsidP="00F66D2A">
      <w:pPr>
        <w:pStyle w:val="ListParagraph"/>
        <w:numPr>
          <w:ilvl w:val="0"/>
          <w:numId w:val="38"/>
        </w:numPr>
        <w:spacing w:after="0"/>
      </w:pPr>
      <w:r>
        <w:t xml:space="preserve">Teachers will be better </w:t>
      </w:r>
      <w:r w:rsidR="001739DB">
        <w:t>prepared</w:t>
      </w:r>
      <w:r>
        <w:t xml:space="preserve"> in the skills they need to make the most difference to students’ learning.</w:t>
      </w:r>
    </w:p>
    <w:p w14:paraId="33EC7E31" w14:textId="77777777" w:rsidR="003B306C" w:rsidRDefault="003B306C" w:rsidP="00F66D2A">
      <w:pPr>
        <w:pStyle w:val="ListParagraph"/>
        <w:numPr>
          <w:ilvl w:val="0"/>
          <w:numId w:val="38"/>
        </w:numPr>
        <w:spacing w:after="120"/>
      </w:pPr>
      <w:r>
        <w:t>They will be more supported as they move into the classroom.</w:t>
      </w:r>
    </w:p>
    <w:p w14:paraId="12B1EBCE" w14:textId="61675C5C" w:rsidR="003B306C" w:rsidRDefault="003B306C" w:rsidP="0001208F">
      <w:pPr>
        <w:spacing w:after="120"/>
      </w:pPr>
      <w:r>
        <w:t xml:space="preserve">Everyone </w:t>
      </w:r>
      <w:r w:rsidR="000A4C24">
        <w:t>the Expert Panel</w:t>
      </w:r>
      <w:r>
        <w:t xml:space="preserve"> heard from called for the status of teaching to rise. </w:t>
      </w:r>
      <w:r w:rsidR="00ED6884">
        <w:t>The Expert Panel</w:t>
      </w:r>
      <w:r>
        <w:t xml:space="preserve"> agree</w:t>
      </w:r>
      <w:r w:rsidR="00286967">
        <w:t>s</w:t>
      </w:r>
      <w:r>
        <w:t xml:space="preserve"> and recommend</w:t>
      </w:r>
      <w:r w:rsidR="00286967">
        <w:t>s</w:t>
      </w:r>
      <w:r>
        <w:t xml:space="preserve"> a national recruitment campaign. It should feature expert teachers and celebrate the positives of teaching and debunk negative myths. </w:t>
      </w:r>
      <w:r w:rsidR="00C40054">
        <w:t>The Expert Panel</w:t>
      </w:r>
      <w:r>
        <w:t xml:space="preserve"> hope</w:t>
      </w:r>
      <w:r w:rsidR="00286967">
        <w:t>s</w:t>
      </w:r>
      <w:r>
        <w:t xml:space="preserve"> teachers will be more frequently awarded Honours in the Order of Australia for their unparalleled contribution to our children’s learning </w:t>
      </w:r>
      <w:r w:rsidRPr="00F34143">
        <w:rPr>
          <w:b/>
          <w:bCs/>
        </w:rPr>
        <w:t>(Recommendation 1)</w:t>
      </w:r>
      <w:r w:rsidR="00073DD8" w:rsidRPr="00073DD8">
        <w:t>.</w:t>
      </w:r>
    </w:p>
    <w:p w14:paraId="4EAFF4AF" w14:textId="5828C739" w:rsidR="003B306C" w:rsidRDefault="003B306C" w:rsidP="00C52581">
      <w:pPr>
        <w:spacing w:after="120"/>
      </w:pPr>
      <w:r>
        <w:t xml:space="preserve">The best evidence should be used to select candidates into </w:t>
      </w:r>
      <w:r w:rsidR="00292552">
        <w:t>ITE</w:t>
      </w:r>
      <w:r>
        <w:t xml:space="preserve"> who are most likely to succeed in helping their students’ learning grow. Research shows prior academic achievement is a strong indicator of success. In addition, there are some robust tested instruments that measure academic prowess and personal characteristics. Rigorous selection was recommended by </w:t>
      </w:r>
      <w:r w:rsidR="00D66A2B">
        <w:t xml:space="preserve">the </w:t>
      </w:r>
      <w:r>
        <w:t xml:space="preserve">TEMAG </w:t>
      </w:r>
      <w:r w:rsidR="00D66A2B">
        <w:t>Review</w:t>
      </w:r>
      <w:r>
        <w:t xml:space="preserve"> and remains a first-order priority.</w:t>
      </w:r>
    </w:p>
    <w:p w14:paraId="4F4AB5EA" w14:textId="554F1AB9" w:rsidR="003B306C" w:rsidRDefault="003B69E6" w:rsidP="00C52581">
      <w:pPr>
        <w:spacing w:after="120"/>
      </w:pPr>
      <w:r>
        <w:lastRenderedPageBreak/>
        <w:t>The Expert Panel</w:t>
      </w:r>
      <w:r w:rsidR="003B306C">
        <w:t xml:space="preserve"> were delighted to find through </w:t>
      </w:r>
      <w:r>
        <w:t>the</w:t>
      </w:r>
      <w:r w:rsidR="003B306C">
        <w:t xml:space="preserve"> commissioned work</w:t>
      </w:r>
      <w:r w:rsidR="000B5CEE">
        <w:t>,</w:t>
      </w:r>
      <w:r w:rsidR="003B306C">
        <w:t xml:space="preserve"> that given the right incentives, more high</w:t>
      </w:r>
      <w:r w:rsidR="00BD611B">
        <w:t>-</w:t>
      </w:r>
      <w:r w:rsidR="003B306C">
        <w:t xml:space="preserve">achieving school leavers and </w:t>
      </w:r>
      <w:r w:rsidR="00EC721E" w:rsidRPr="0066021B">
        <w:t>mid</w:t>
      </w:r>
      <w:r w:rsidR="00CB66DF">
        <w:t>-</w:t>
      </w:r>
      <w:r w:rsidR="00EC721E" w:rsidRPr="0066021B">
        <w:t>career</w:t>
      </w:r>
      <w:r w:rsidR="003B306C">
        <w:t xml:space="preserve"> </w:t>
      </w:r>
      <w:r w:rsidR="00A3451A">
        <w:t xml:space="preserve">professionals </w:t>
      </w:r>
      <w:r w:rsidR="003B306C">
        <w:t xml:space="preserve">would consider teaching than now. </w:t>
      </w:r>
      <w:r w:rsidR="004703C9">
        <w:t>The Expert Panel</w:t>
      </w:r>
      <w:r w:rsidR="003B306C">
        <w:t xml:space="preserve"> recommend</w:t>
      </w:r>
      <w:r w:rsidR="00286967">
        <w:t>s</w:t>
      </w:r>
      <w:r w:rsidR="003B306C">
        <w:t xml:space="preserve"> incentives be offered to these groups and to </w:t>
      </w:r>
      <w:r w:rsidR="00E4233B">
        <w:t xml:space="preserve">people in </w:t>
      </w:r>
      <w:r w:rsidR="003B306C">
        <w:t xml:space="preserve">regional, rural and remote </w:t>
      </w:r>
      <w:r w:rsidR="00E4233B">
        <w:t>location</w:t>
      </w:r>
      <w:r w:rsidR="00051EBA">
        <w:t>s</w:t>
      </w:r>
      <w:r w:rsidR="003B306C">
        <w:t xml:space="preserve">, people </w:t>
      </w:r>
      <w:r w:rsidR="00FE0F9B">
        <w:t>from Culturally and Linguistically Diverse backgrounds</w:t>
      </w:r>
      <w:r w:rsidR="00FE0F9B" w:rsidDel="00FE0F9B">
        <w:t xml:space="preserve"> </w:t>
      </w:r>
      <w:r w:rsidR="003B306C">
        <w:t xml:space="preserve">and Aboriginal and Torres Strait Islander peoples to attract them to teach </w:t>
      </w:r>
      <w:r w:rsidR="003B306C" w:rsidRPr="00F34143">
        <w:rPr>
          <w:b/>
          <w:bCs/>
        </w:rPr>
        <w:t>(Recommendation 2)</w:t>
      </w:r>
      <w:r w:rsidR="00073DD8" w:rsidRPr="00073DD8">
        <w:t>.</w:t>
      </w:r>
    </w:p>
    <w:p w14:paraId="0031B1C5" w14:textId="5D0470DA" w:rsidR="003B306C" w:rsidRDefault="003B306C" w:rsidP="00C52581">
      <w:pPr>
        <w:spacing w:after="120"/>
      </w:pPr>
      <w:r>
        <w:t xml:space="preserve">It was made crystal clear to </w:t>
      </w:r>
      <w:r w:rsidR="00E71E09">
        <w:t>the Expert Panel</w:t>
      </w:r>
      <w:r>
        <w:t xml:space="preserve"> that a significant barrier to well-qualified </w:t>
      </w:r>
      <w:r w:rsidR="00EC721E" w:rsidRPr="0066021B">
        <w:t>mid</w:t>
      </w:r>
      <w:r w:rsidR="00CB66DF">
        <w:t>-</w:t>
      </w:r>
      <w:r w:rsidR="00EC721E" w:rsidRPr="0066021B">
        <w:t>career</w:t>
      </w:r>
      <w:r>
        <w:t xml:space="preserve"> </w:t>
      </w:r>
      <w:r w:rsidR="00FE0F9B">
        <w:t xml:space="preserve">professionals </w:t>
      </w:r>
      <w:r>
        <w:t xml:space="preserve">taking up teaching is the loss of earnings whilst studying teaching. </w:t>
      </w:r>
      <w:r w:rsidR="00E71E09">
        <w:t>The Expert Panel</w:t>
      </w:r>
      <w:r>
        <w:t xml:space="preserve"> recommend</w:t>
      </w:r>
      <w:r w:rsidR="00286967">
        <w:t>s</w:t>
      </w:r>
      <w:r>
        <w:t xml:space="preserve"> funding to support employment-based pathways into teaching and that recognition of prior learning be reformed urgently. </w:t>
      </w:r>
      <w:r w:rsidR="00E71E09">
        <w:t>The Expert Panel</w:t>
      </w:r>
      <w:r>
        <w:t xml:space="preserve"> consider</w:t>
      </w:r>
      <w:r w:rsidR="00286967">
        <w:t>s</w:t>
      </w:r>
      <w:r>
        <w:t xml:space="preserve"> that for highly qualified candidates with strong subject knowledge</w:t>
      </w:r>
      <w:r w:rsidR="00EF4156">
        <w:t>,</w:t>
      </w:r>
      <w:r>
        <w:t xml:space="preserve"> the </w:t>
      </w:r>
      <w:r w:rsidR="00354541">
        <w:t>G</w:t>
      </w:r>
      <w:r>
        <w:t xml:space="preserve">raduate </w:t>
      </w:r>
      <w:r w:rsidR="00354541">
        <w:t>D</w:t>
      </w:r>
      <w:r>
        <w:t xml:space="preserve">iploma might be sufficient preparation for teaching in secondary schools </w:t>
      </w:r>
      <w:r w:rsidRPr="00F34143">
        <w:rPr>
          <w:b/>
          <w:bCs/>
        </w:rPr>
        <w:t>(Recommendation 5)</w:t>
      </w:r>
      <w:r w:rsidR="0063300A" w:rsidRPr="0063300A">
        <w:t>.</w:t>
      </w:r>
    </w:p>
    <w:p w14:paraId="0D7D8B4A" w14:textId="11B02611" w:rsidR="003B306C" w:rsidRDefault="00E71E09" w:rsidP="00C52581">
      <w:pPr>
        <w:spacing w:after="120"/>
      </w:pPr>
      <w:r>
        <w:t>The Expert Panel</w:t>
      </w:r>
      <w:r w:rsidR="003B306C">
        <w:t xml:space="preserve"> recommend</w:t>
      </w:r>
      <w:r w:rsidR="00286967">
        <w:t>s</w:t>
      </w:r>
      <w:r w:rsidR="003B306C">
        <w:t xml:space="preserve"> a fund be established that supports innovative employment-based pathways </w:t>
      </w:r>
      <w:r w:rsidR="003B306C" w:rsidRPr="00F34143">
        <w:rPr>
          <w:b/>
          <w:bCs/>
        </w:rPr>
        <w:t>(Recommendation 6</w:t>
      </w:r>
      <w:r w:rsidR="003B306C" w:rsidRPr="00F34143">
        <w:rPr>
          <w:b/>
        </w:rPr>
        <w:t>)</w:t>
      </w:r>
      <w:r w:rsidR="0063300A" w:rsidRPr="0063300A">
        <w:rPr>
          <w:bCs/>
        </w:rPr>
        <w:t>.</w:t>
      </w:r>
    </w:p>
    <w:p w14:paraId="24555C9E" w14:textId="2DB10376" w:rsidR="003B306C" w:rsidRDefault="003B306C" w:rsidP="00355FF5">
      <w:pPr>
        <w:spacing w:after="120"/>
      </w:pPr>
      <w:r>
        <w:t xml:space="preserve">Teachers should be able to focus on teaching. The profession will be more attractive to new candidates if the burden of red tape is removed from teachers’ workloads and </w:t>
      </w:r>
      <w:r w:rsidR="00355FF5">
        <w:t>the Expert Panel</w:t>
      </w:r>
      <w:r>
        <w:t xml:space="preserve"> recommend</w:t>
      </w:r>
      <w:r w:rsidR="00286967">
        <w:t>s</w:t>
      </w:r>
      <w:r>
        <w:t xml:space="preserve"> an audit </w:t>
      </w:r>
      <w:r w:rsidRPr="00F34143">
        <w:rPr>
          <w:b/>
          <w:bCs/>
        </w:rPr>
        <w:t>(Recommendation 3</w:t>
      </w:r>
      <w:r w:rsidR="00EC721E" w:rsidRPr="00F34143">
        <w:rPr>
          <w:b/>
          <w:bCs/>
        </w:rPr>
        <w:t>)</w:t>
      </w:r>
      <w:r w:rsidR="0063300A" w:rsidRPr="0063300A">
        <w:t>.</w:t>
      </w:r>
    </w:p>
    <w:p w14:paraId="79CEED39" w14:textId="0E6A46B9" w:rsidR="003B306C" w:rsidRDefault="00F52351" w:rsidP="00C52581">
      <w:pPr>
        <w:spacing w:after="120"/>
      </w:pPr>
      <w:r>
        <w:t>The Expert Panel</w:t>
      </w:r>
      <w:r w:rsidR="003B306C">
        <w:t xml:space="preserve"> were disappointed to find limited career advice resources promoting teaching as a career and </w:t>
      </w:r>
      <w:r w:rsidR="00EC721E" w:rsidRPr="0066021B">
        <w:t>recommend</w:t>
      </w:r>
      <w:r w:rsidR="00286967">
        <w:t>s</w:t>
      </w:r>
      <w:r w:rsidR="00EC721E" w:rsidRPr="0066021B">
        <w:t xml:space="preserve"> this gap be filled</w:t>
      </w:r>
      <w:r w:rsidR="003B306C">
        <w:t xml:space="preserve"> </w:t>
      </w:r>
      <w:r w:rsidR="003B306C" w:rsidRPr="00F34143">
        <w:rPr>
          <w:b/>
          <w:bCs/>
        </w:rPr>
        <w:t>(Recommendation 4)</w:t>
      </w:r>
      <w:r w:rsidR="007C161C" w:rsidRPr="007C161C">
        <w:t>.</w:t>
      </w:r>
    </w:p>
    <w:p w14:paraId="126F8F3B" w14:textId="1E27CD6C" w:rsidR="003B306C" w:rsidRDefault="003B306C" w:rsidP="00C52581">
      <w:pPr>
        <w:spacing w:after="120"/>
      </w:pPr>
      <w:r>
        <w:t xml:space="preserve">Families and carers are the key partners with teachers in their children’s learning and </w:t>
      </w:r>
      <w:r w:rsidR="00EC721E">
        <w:t>the Expert Panel</w:t>
      </w:r>
      <w:r>
        <w:t xml:space="preserve"> recommend</w:t>
      </w:r>
      <w:r w:rsidR="00286967">
        <w:t>s</w:t>
      </w:r>
      <w:r>
        <w:t xml:space="preserve"> more resources be created for families and carers to understand what teaching best practice looks like </w:t>
      </w:r>
      <w:r w:rsidRPr="00F34143">
        <w:rPr>
          <w:b/>
          <w:bCs/>
        </w:rPr>
        <w:t>(Recommendation 9)</w:t>
      </w:r>
      <w:r w:rsidR="007C161C">
        <w:t>.</w:t>
      </w:r>
    </w:p>
    <w:p w14:paraId="5CD69715" w14:textId="46C1BE59" w:rsidR="003B306C" w:rsidRDefault="000270B9" w:rsidP="00C52581">
      <w:pPr>
        <w:spacing w:after="120"/>
      </w:pPr>
      <w:r>
        <w:t>The Expert Panel</w:t>
      </w:r>
      <w:r w:rsidR="003B306C">
        <w:t xml:space="preserve"> strongly recommend</w:t>
      </w:r>
      <w:r w:rsidR="00286967">
        <w:t>s</w:t>
      </w:r>
      <w:r w:rsidR="003B306C">
        <w:t xml:space="preserve"> the </w:t>
      </w:r>
      <w:r w:rsidR="00A514B6">
        <w:t>Australian Government</w:t>
      </w:r>
      <w:r w:rsidR="003B306C">
        <w:t xml:space="preserve"> create a Centre for Excellence in </w:t>
      </w:r>
      <w:r w:rsidR="009173C9">
        <w:t>ITE</w:t>
      </w:r>
      <w:r w:rsidR="003B306C">
        <w:t xml:space="preserve">. The Centre for Excellence would be a </w:t>
      </w:r>
      <w:r w:rsidR="00EC721E">
        <w:t>model</w:t>
      </w:r>
      <w:r w:rsidR="003B306C">
        <w:t xml:space="preserve"> for evidence-based </w:t>
      </w:r>
      <w:r w:rsidR="00193BE1">
        <w:t>ITE</w:t>
      </w:r>
      <w:r w:rsidR="003B306C">
        <w:t xml:space="preserve"> and for research into which elements of selecting </w:t>
      </w:r>
      <w:r w:rsidR="00E941CA">
        <w:t>ITE students</w:t>
      </w:r>
      <w:r w:rsidR="003B306C">
        <w:t xml:space="preserve">, preparing them and supporting them once in the classroom best contribute to students’ learning </w:t>
      </w:r>
      <w:r w:rsidR="003B306C" w:rsidRPr="00F34143">
        <w:rPr>
          <w:b/>
          <w:bCs/>
        </w:rPr>
        <w:t>(Recommendation 14)</w:t>
      </w:r>
      <w:r w:rsidR="007C161C">
        <w:t>.</w:t>
      </w:r>
    </w:p>
    <w:p w14:paraId="2F6EF9DD" w14:textId="77777777" w:rsidR="003B306C" w:rsidRDefault="00B60C5C" w:rsidP="00C52581">
      <w:pPr>
        <w:spacing w:after="120"/>
      </w:pPr>
      <w:r>
        <w:t>The Expert Panel</w:t>
      </w:r>
      <w:r w:rsidR="003B306C">
        <w:t xml:space="preserve"> heard loud and clear from teachers that many had felt underprepared by their </w:t>
      </w:r>
      <w:r w:rsidR="003653B0">
        <w:t>ITE program</w:t>
      </w:r>
      <w:r w:rsidR="003B306C">
        <w:t xml:space="preserve"> for the practical aspects of teaching including phonemic awareness and phonics in teaching reading, classroom management, cultural responsiveness, supporting diverse learners and students with a disability, working with families and carers and working in regional settings.</w:t>
      </w:r>
    </w:p>
    <w:p w14:paraId="3B3B72ED" w14:textId="615D5348" w:rsidR="00464A74" w:rsidRPr="00487BC7" w:rsidRDefault="001169E8" w:rsidP="00C52581">
      <w:pPr>
        <w:spacing w:after="120"/>
        <w:rPr>
          <w:color w:val="auto"/>
        </w:rPr>
      </w:pPr>
      <w:r w:rsidRPr="00487BC7">
        <w:rPr>
          <w:color w:val="auto"/>
        </w:rPr>
        <w:t>One way to ensure ITE students are classroom ready is to strengthen</w:t>
      </w:r>
      <w:r w:rsidR="002D77AA" w:rsidRPr="00487BC7">
        <w:rPr>
          <w:color w:val="auto"/>
        </w:rPr>
        <w:t xml:space="preserve"> the</w:t>
      </w:r>
      <w:r w:rsidR="00FA3288" w:rsidRPr="00487BC7">
        <w:rPr>
          <w:color w:val="auto"/>
        </w:rPr>
        <w:t xml:space="preserve"> link between practice and theory</w:t>
      </w:r>
      <w:r w:rsidR="001C1D18" w:rsidRPr="00487BC7">
        <w:rPr>
          <w:color w:val="auto"/>
        </w:rPr>
        <w:t xml:space="preserve">. </w:t>
      </w:r>
      <w:r w:rsidR="00D17F53" w:rsidRPr="00487BC7">
        <w:rPr>
          <w:color w:val="auto"/>
        </w:rPr>
        <w:t>If h</w:t>
      </w:r>
      <w:r w:rsidRPr="00487BC7">
        <w:rPr>
          <w:color w:val="auto"/>
        </w:rPr>
        <w:t>igher</w:t>
      </w:r>
      <w:r w:rsidR="0024246E" w:rsidRPr="00487BC7">
        <w:rPr>
          <w:color w:val="auto"/>
        </w:rPr>
        <w:t xml:space="preserve"> education prov</w:t>
      </w:r>
      <w:r w:rsidR="008A3E29" w:rsidRPr="00487BC7">
        <w:rPr>
          <w:color w:val="auto"/>
        </w:rPr>
        <w:t>iders</w:t>
      </w:r>
      <w:r w:rsidR="0024246E" w:rsidRPr="00487BC7">
        <w:rPr>
          <w:color w:val="auto"/>
        </w:rPr>
        <w:t xml:space="preserve"> prioritise </w:t>
      </w:r>
      <w:r w:rsidR="00706AFA" w:rsidRPr="00487BC7">
        <w:rPr>
          <w:color w:val="auto"/>
        </w:rPr>
        <w:t>recent practical exper</w:t>
      </w:r>
      <w:r w:rsidR="00836EBB" w:rsidRPr="00487BC7">
        <w:rPr>
          <w:color w:val="auto"/>
        </w:rPr>
        <w:t>ience</w:t>
      </w:r>
      <w:r w:rsidR="0024246E" w:rsidRPr="00487BC7">
        <w:rPr>
          <w:color w:val="auto"/>
        </w:rPr>
        <w:t xml:space="preserve"> for academic staff in ITE</w:t>
      </w:r>
      <w:r w:rsidR="00427E7D" w:rsidRPr="00487BC7">
        <w:rPr>
          <w:color w:val="auto"/>
        </w:rPr>
        <w:t xml:space="preserve"> programs</w:t>
      </w:r>
      <w:r w:rsidR="00893703" w:rsidRPr="00487BC7">
        <w:rPr>
          <w:color w:val="auto"/>
        </w:rPr>
        <w:t xml:space="preserve">, there is an assurance that these programs </w:t>
      </w:r>
      <w:r w:rsidR="00553FEF" w:rsidRPr="00487BC7">
        <w:rPr>
          <w:color w:val="auto"/>
        </w:rPr>
        <w:t>will be</w:t>
      </w:r>
      <w:r w:rsidR="00893703" w:rsidRPr="00487BC7">
        <w:rPr>
          <w:color w:val="auto"/>
        </w:rPr>
        <w:t xml:space="preserve"> </w:t>
      </w:r>
      <w:r w:rsidR="00D05E33" w:rsidRPr="00487BC7">
        <w:rPr>
          <w:color w:val="auto"/>
        </w:rPr>
        <w:t>guided by</w:t>
      </w:r>
      <w:r w:rsidR="00893703" w:rsidRPr="00487BC7">
        <w:rPr>
          <w:color w:val="auto"/>
        </w:rPr>
        <w:t xml:space="preserve"> the most up</w:t>
      </w:r>
      <w:r w:rsidR="00CE6A08" w:rsidRPr="00487BC7">
        <w:rPr>
          <w:color w:val="auto"/>
        </w:rPr>
        <w:t>-</w:t>
      </w:r>
      <w:r w:rsidR="00893703" w:rsidRPr="00487BC7">
        <w:rPr>
          <w:color w:val="auto"/>
        </w:rPr>
        <w:t>to</w:t>
      </w:r>
      <w:r w:rsidR="002D4BEF" w:rsidRPr="00487BC7">
        <w:rPr>
          <w:color w:val="auto"/>
        </w:rPr>
        <w:t>-</w:t>
      </w:r>
      <w:r w:rsidR="00893703" w:rsidRPr="00487BC7">
        <w:rPr>
          <w:color w:val="auto"/>
        </w:rPr>
        <w:t xml:space="preserve">date </w:t>
      </w:r>
      <w:r w:rsidR="00D30295" w:rsidRPr="00487BC7">
        <w:rPr>
          <w:color w:val="auto"/>
        </w:rPr>
        <w:t xml:space="preserve">teaching practices. </w:t>
      </w:r>
      <w:r w:rsidR="00E73E72" w:rsidRPr="00487BC7">
        <w:rPr>
          <w:color w:val="auto"/>
        </w:rPr>
        <w:t xml:space="preserve"> </w:t>
      </w:r>
    </w:p>
    <w:p w14:paraId="4F746914" w14:textId="6A472776" w:rsidR="003B306C" w:rsidRDefault="003B306C" w:rsidP="00C52581">
      <w:pPr>
        <w:spacing w:after="120"/>
      </w:pPr>
      <w:r>
        <w:t xml:space="preserve">Accordingly, </w:t>
      </w:r>
      <w:r w:rsidR="00B60C5C">
        <w:t>the Expert Panel</w:t>
      </w:r>
      <w:r>
        <w:t xml:space="preserve"> recommend</w:t>
      </w:r>
      <w:r w:rsidR="00286967">
        <w:t>s</w:t>
      </w:r>
      <w:r>
        <w:t xml:space="preserve"> </w:t>
      </w:r>
      <w:r w:rsidR="0042444C">
        <w:t>higher</w:t>
      </w:r>
      <w:r>
        <w:t xml:space="preserve"> education providers publicly report the proportion of academic staff who have recent teaching experience </w:t>
      </w:r>
      <w:r w:rsidRPr="00F34143">
        <w:rPr>
          <w:b/>
          <w:bCs/>
        </w:rPr>
        <w:t>(Recommendation 13)</w:t>
      </w:r>
      <w:r w:rsidR="007C161C">
        <w:t>.</w:t>
      </w:r>
    </w:p>
    <w:p w14:paraId="3FEFFD48" w14:textId="67ACC67A" w:rsidR="003B306C" w:rsidRDefault="00B60C5C" w:rsidP="00C52581">
      <w:pPr>
        <w:spacing w:after="120"/>
      </w:pPr>
      <w:r>
        <w:t>The Expert Panel</w:t>
      </w:r>
      <w:r w:rsidR="003B306C">
        <w:t xml:space="preserve"> recommend</w:t>
      </w:r>
      <w:r w:rsidR="00286967">
        <w:t>s</w:t>
      </w:r>
      <w:r w:rsidR="003B306C">
        <w:t xml:space="preserve"> that the </w:t>
      </w:r>
      <w:r w:rsidR="002E3524" w:rsidRPr="00A808B6">
        <w:rPr>
          <w:i/>
        </w:rPr>
        <w:t xml:space="preserve">Accreditation </w:t>
      </w:r>
      <w:r w:rsidR="00EF486C" w:rsidRPr="00A808B6">
        <w:rPr>
          <w:i/>
        </w:rPr>
        <w:t xml:space="preserve">of </w:t>
      </w:r>
      <w:r w:rsidR="00B63260">
        <w:rPr>
          <w:i/>
          <w:iCs/>
        </w:rPr>
        <w:t>I</w:t>
      </w:r>
      <w:r w:rsidR="00EF486C" w:rsidRPr="00A808B6">
        <w:rPr>
          <w:i/>
        </w:rPr>
        <w:t xml:space="preserve">nitial </w:t>
      </w:r>
      <w:r w:rsidR="00B63260">
        <w:rPr>
          <w:i/>
          <w:iCs/>
        </w:rPr>
        <w:t>T</w:t>
      </w:r>
      <w:r w:rsidR="00EF486C" w:rsidRPr="00A808B6">
        <w:rPr>
          <w:i/>
        </w:rPr>
        <w:t xml:space="preserve">eacher </w:t>
      </w:r>
      <w:r w:rsidR="00B63260">
        <w:rPr>
          <w:i/>
          <w:iCs/>
        </w:rPr>
        <w:t>E</w:t>
      </w:r>
      <w:r w:rsidR="00EF486C" w:rsidRPr="00A808B6">
        <w:rPr>
          <w:i/>
        </w:rPr>
        <w:t xml:space="preserve">ducation </w:t>
      </w:r>
      <w:r w:rsidR="00B63260">
        <w:rPr>
          <w:i/>
          <w:iCs/>
        </w:rPr>
        <w:t>P</w:t>
      </w:r>
      <w:r w:rsidR="00EF486C" w:rsidRPr="00A808B6">
        <w:rPr>
          <w:i/>
        </w:rPr>
        <w:t>rograms in Australia: Standards and Procedures</w:t>
      </w:r>
      <w:r w:rsidR="00EF486C">
        <w:t xml:space="preserve"> </w:t>
      </w:r>
      <w:r w:rsidR="003B306C">
        <w:t xml:space="preserve">be made more specific in a manner similar to the </w:t>
      </w:r>
      <w:r w:rsidR="009A3F24">
        <w:t xml:space="preserve">United Kingdom’s </w:t>
      </w:r>
      <w:r w:rsidR="00711336" w:rsidRPr="00AF0FA9">
        <w:rPr>
          <w:bCs/>
          <w:i/>
          <w:iCs/>
        </w:rPr>
        <w:t>Initial Teacher Training (ITT): Core Content Framework</w:t>
      </w:r>
      <w:r w:rsidR="003B306C">
        <w:t xml:space="preserve">, so </w:t>
      </w:r>
      <w:r w:rsidR="00E15586">
        <w:t>ITE students</w:t>
      </w:r>
      <w:r w:rsidR="003B306C">
        <w:t xml:space="preserve"> better understand what is being asked of them </w:t>
      </w:r>
      <w:r w:rsidR="003B306C" w:rsidRPr="00F34143">
        <w:rPr>
          <w:b/>
          <w:bCs/>
        </w:rPr>
        <w:t>(Recommendation 7)</w:t>
      </w:r>
      <w:r w:rsidR="007C161C">
        <w:t>.</w:t>
      </w:r>
    </w:p>
    <w:p w14:paraId="74D484E6" w14:textId="78007422" w:rsidR="003B306C" w:rsidRDefault="00B60C5C" w:rsidP="00C52581">
      <w:pPr>
        <w:spacing w:after="120"/>
      </w:pPr>
      <w:r>
        <w:t>The Expert Panel</w:t>
      </w:r>
      <w:r w:rsidR="003B306C">
        <w:t xml:space="preserve"> heard overwhelmingly, support for the Teaching Performance Assessment (TPA), which was a flagship reform arising from the TEMAG Review. </w:t>
      </w:r>
      <w:r w:rsidR="005314AE">
        <w:t>The Expert Panel</w:t>
      </w:r>
      <w:r w:rsidR="003B306C">
        <w:t xml:space="preserve"> recommend</w:t>
      </w:r>
      <w:r w:rsidR="00286967">
        <w:t>s</w:t>
      </w:r>
      <w:r w:rsidR="003B306C">
        <w:t xml:space="preserve"> strengthening the TPA</w:t>
      </w:r>
      <w:r w:rsidR="00305686">
        <w:t>s</w:t>
      </w:r>
      <w:r w:rsidR="003B306C">
        <w:t xml:space="preserve"> by setting up a board with authority to approve TPAs and undertake national standard-setting, moderation and comparability. Higher education providers should only be allowed three attempts at a TPA. The two most widely used TPAs should be funded to support their efforts </w:t>
      </w:r>
      <w:r w:rsidR="003B306C" w:rsidRPr="00F34143">
        <w:rPr>
          <w:b/>
          <w:bCs/>
        </w:rPr>
        <w:t>(Recommendation 10)</w:t>
      </w:r>
      <w:r w:rsidR="007C161C">
        <w:t>.</w:t>
      </w:r>
    </w:p>
    <w:p w14:paraId="17FB7247" w14:textId="625C72C3" w:rsidR="003B306C" w:rsidRDefault="005314AE" w:rsidP="00EC721E">
      <w:pPr>
        <w:spacing w:after="120"/>
      </w:pPr>
      <w:r>
        <w:lastRenderedPageBreak/>
        <w:t>The Expert Panel</w:t>
      </w:r>
      <w:r w:rsidR="003B306C">
        <w:t xml:space="preserve"> heard of the cost and time burden students can face if they find they are </w:t>
      </w:r>
      <w:r w:rsidR="000D1311">
        <w:t>not suited</w:t>
      </w:r>
      <w:r w:rsidR="003B306C">
        <w:t xml:space="preserve"> for teaching late in the degree or even when they start teaching. </w:t>
      </w:r>
    </w:p>
    <w:p w14:paraId="727C1E6C" w14:textId="44743CA1" w:rsidR="003B306C" w:rsidRDefault="005314AE" w:rsidP="00C52581">
      <w:pPr>
        <w:spacing w:after="120"/>
      </w:pPr>
      <w:r>
        <w:t>The Expert Panel</w:t>
      </w:r>
      <w:r w:rsidR="003B306C">
        <w:t xml:space="preserve"> recommend</w:t>
      </w:r>
      <w:r w:rsidR="00286967">
        <w:t>s</w:t>
      </w:r>
      <w:r w:rsidR="003B306C">
        <w:t xml:space="preserve"> that the </w:t>
      </w:r>
      <w:r w:rsidR="00A808B6" w:rsidRPr="00FE09FB">
        <w:t>Literacy</w:t>
      </w:r>
      <w:r w:rsidR="003B306C">
        <w:t xml:space="preserve"> and </w:t>
      </w:r>
      <w:r w:rsidR="00A808B6" w:rsidRPr="00FE09FB">
        <w:t>Numeracy Test for Initial Teacher Education</w:t>
      </w:r>
      <w:r w:rsidR="003B306C">
        <w:t xml:space="preserve"> (LANTITE) be available before students start their degree and required in the first year. </w:t>
      </w:r>
      <w:r w:rsidR="00BB2FD4">
        <w:t>Culturally and Linguistically Diverse candidates</w:t>
      </w:r>
      <w:r w:rsidR="003B306C">
        <w:t xml:space="preserve"> or </w:t>
      </w:r>
      <w:r w:rsidR="00A808B6">
        <w:t>those</w:t>
      </w:r>
      <w:r w:rsidR="003B306C">
        <w:t xml:space="preserve"> who face other disadvantages should be offered foundation courses before they begin their degree. </w:t>
      </w:r>
      <w:r w:rsidR="00F55D85">
        <w:t>ITE</w:t>
      </w:r>
      <w:r w:rsidR="003B306C">
        <w:t xml:space="preserve"> students should be offered experience in schools in their first year of study and short courses should be offered so students can explore teaching without committing to a full degree </w:t>
      </w:r>
      <w:r w:rsidR="003B306C" w:rsidRPr="00F34143">
        <w:rPr>
          <w:b/>
          <w:bCs/>
        </w:rPr>
        <w:t>(Recommendation</w:t>
      </w:r>
      <w:r w:rsidR="004219FC">
        <w:rPr>
          <w:b/>
          <w:bCs/>
        </w:rPr>
        <w:t> </w:t>
      </w:r>
      <w:r w:rsidR="003B306C" w:rsidRPr="00F34143">
        <w:rPr>
          <w:b/>
          <w:bCs/>
        </w:rPr>
        <w:t>11</w:t>
      </w:r>
      <w:r w:rsidR="003B306C" w:rsidRPr="00F34143">
        <w:rPr>
          <w:b/>
        </w:rPr>
        <w:t>)</w:t>
      </w:r>
      <w:r w:rsidR="007C161C">
        <w:t>.</w:t>
      </w:r>
    </w:p>
    <w:p w14:paraId="1EA7FBD0" w14:textId="76F7B7FE" w:rsidR="003B306C" w:rsidRDefault="003B306C" w:rsidP="00926D72">
      <w:pPr>
        <w:spacing w:after="120"/>
      </w:pPr>
      <w:r>
        <w:t xml:space="preserve">Because </w:t>
      </w:r>
      <w:r w:rsidR="003E677E">
        <w:t>the Expert Panel</w:t>
      </w:r>
      <w:r>
        <w:t xml:space="preserve"> see</w:t>
      </w:r>
      <w:r w:rsidR="00286967">
        <w:t>s</w:t>
      </w:r>
      <w:r>
        <w:t xml:space="preserve"> teaching as a key national priority, </w:t>
      </w:r>
      <w:r w:rsidR="00EC721E">
        <w:t>the Expert Panel</w:t>
      </w:r>
      <w:r>
        <w:t xml:space="preserve"> recommend</w:t>
      </w:r>
      <w:r w:rsidR="00286967">
        <w:t>s</w:t>
      </w:r>
      <w:r>
        <w:t xml:space="preserve"> strengthening the link between the quality of </w:t>
      </w:r>
      <w:r w:rsidR="00436784">
        <w:t>ITE</w:t>
      </w:r>
      <w:r>
        <w:t xml:space="preserve"> and its funding. </w:t>
      </w:r>
      <w:r w:rsidR="00EC721E">
        <w:t>The Expert Panel</w:t>
      </w:r>
      <w:r>
        <w:t xml:space="preserve"> suggest</w:t>
      </w:r>
      <w:r w:rsidR="00286967">
        <w:t>s</w:t>
      </w:r>
      <w:r>
        <w:t xml:space="preserve"> </w:t>
      </w:r>
      <w:r w:rsidR="005B3F4F">
        <w:t xml:space="preserve">these </w:t>
      </w:r>
      <w:r>
        <w:t>recommendations be phased in to provide a clear incentive for higher education providers to offer evidence</w:t>
      </w:r>
      <w:r w:rsidR="00A97910">
        <w:noBreakHyphen/>
      </w:r>
      <w:r>
        <w:t xml:space="preserve">based and practical </w:t>
      </w:r>
      <w:r w:rsidR="006076DE">
        <w:t>ITE</w:t>
      </w:r>
      <w:r>
        <w:t xml:space="preserve">. </w:t>
      </w:r>
    </w:p>
    <w:p w14:paraId="5C227B13" w14:textId="48055842" w:rsidR="003B306C" w:rsidRDefault="008C69AE" w:rsidP="00EB6999">
      <w:pPr>
        <w:spacing w:after="120"/>
      </w:pPr>
      <w:r>
        <w:t>The Expert Panel</w:t>
      </w:r>
      <w:r w:rsidR="003B306C">
        <w:t xml:space="preserve"> recommend</w:t>
      </w:r>
      <w:r w:rsidR="00286967">
        <w:t>s</w:t>
      </w:r>
      <w:r w:rsidR="003B306C">
        <w:t xml:space="preserve"> developing a measure for </w:t>
      </w:r>
      <w:r w:rsidR="006076DE">
        <w:t>ITE</w:t>
      </w:r>
      <w:r w:rsidR="003B306C">
        <w:t xml:space="preserve"> courses that enables performance-based assessments of their programs against quality and other relevant factors.</w:t>
      </w:r>
      <w:r w:rsidR="009A2E53">
        <w:t xml:space="preserve"> </w:t>
      </w:r>
      <w:r w:rsidR="003B306C">
        <w:t>Development of these performance measures should be guided by a new national body</w:t>
      </w:r>
      <w:r w:rsidR="00007DD8">
        <w:t xml:space="preserve"> or expert group</w:t>
      </w:r>
      <w:r w:rsidR="003B306C">
        <w:t>.</w:t>
      </w:r>
    </w:p>
    <w:p w14:paraId="7985AE43" w14:textId="1B72E45B" w:rsidR="003B306C" w:rsidRDefault="003B306C" w:rsidP="00531406">
      <w:pPr>
        <w:spacing w:after="120"/>
      </w:pPr>
      <w:r>
        <w:t xml:space="preserve">Performance by </w:t>
      </w:r>
      <w:r w:rsidR="003438E7">
        <w:t>higher</w:t>
      </w:r>
      <w:r>
        <w:t xml:space="preserve"> education providers should be made transparent amongst providers and then made </w:t>
      </w:r>
      <w:r w:rsidR="000D1E8E">
        <w:t xml:space="preserve">public. </w:t>
      </w:r>
      <w:r>
        <w:t xml:space="preserve">Then, funding for </w:t>
      </w:r>
      <w:r w:rsidR="00FF6AC3">
        <w:t>ITE</w:t>
      </w:r>
      <w:r>
        <w:t xml:space="preserve"> should be based on performance.</w:t>
      </w:r>
      <w:r w:rsidR="00722127">
        <w:t xml:space="preserve"> </w:t>
      </w:r>
      <w:r>
        <w:t>Funding could also be tendered to higher education providers that meet quality criteria</w:t>
      </w:r>
      <w:r w:rsidR="00AF0FA9">
        <w:t xml:space="preserve"> </w:t>
      </w:r>
      <w:r w:rsidRPr="00D80A9E">
        <w:rPr>
          <w:b/>
          <w:bCs/>
        </w:rPr>
        <w:t>(Recommendation 15</w:t>
      </w:r>
      <w:r w:rsidRPr="00D80A9E">
        <w:rPr>
          <w:b/>
        </w:rPr>
        <w:t>)</w:t>
      </w:r>
      <w:r w:rsidR="007C161C">
        <w:t>.</w:t>
      </w:r>
    </w:p>
    <w:p w14:paraId="187B3C0D" w14:textId="185A8F60" w:rsidR="003B306C" w:rsidRDefault="00AF0FA9" w:rsidP="003C55CE">
      <w:pPr>
        <w:spacing w:after="120"/>
      </w:pPr>
      <w:r>
        <w:t xml:space="preserve">Teacher employers should also have clear incentives to reinforce best practice. </w:t>
      </w:r>
      <w:r w:rsidR="00EC721E">
        <w:t>The Expert Panel</w:t>
      </w:r>
      <w:r w:rsidR="003B306C">
        <w:t xml:space="preserve"> recommend</w:t>
      </w:r>
      <w:r w:rsidR="00286967">
        <w:t>s</w:t>
      </w:r>
      <w:r w:rsidR="003B306C">
        <w:t xml:space="preserve"> new funding to reward schools, groups of schools, systems, employers and higher education providers in best practice teaching particularly evidence-based approaches to the teaching of reading </w:t>
      </w:r>
      <w:r w:rsidR="003B306C" w:rsidRPr="00D80A9E">
        <w:rPr>
          <w:b/>
          <w:bCs/>
        </w:rPr>
        <w:t>(Recommendation 8</w:t>
      </w:r>
      <w:r w:rsidR="003B306C" w:rsidRPr="00D80A9E">
        <w:rPr>
          <w:b/>
        </w:rPr>
        <w:t>)</w:t>
      </w:r>
      <w:r w:rsidR="007C161C">
        <w:t>.</w:t>
      </w:r>
    </w:p>
    <w:p w14:paraId="4ABB6E01" w14:textId="00EB7B1E" w:rsidR="003B306C" w:rsidRDefault="003B306C" w:rsidP="00576ECC">
      <w:pPr>
        <w:spacing w:after="120"/>
      </w:pPr>
      <w:r>
        <w:t>In addition, state and territory teacher employers should be required</w:t>
      </w:r>
      <w:r w:rsidR="00AB7F16">
        <w:t>,</w:t>
      </w:r>
      <w:r>
        <w:t xml:space="preserve"> through the next National School Reform Agreement</w:t>
      </w:r>
      <w:r w:rsidR="00AB7F16">
        <w:t>,</w:t>
      </w:r>
      <w:r>
        <w:t xml:space="preserve"> to demonstrate the evidence-based teaching of reading, partnerships with </w:t>
      </w:r>
      <w:r w:rsidR="0071256E">
        <w:t>higher</w:t>
      </w:r>
      <w:r>
        <w:t xml:space="preserve"> education providers, data on student achievement linked to </w:t>
      </w:r>
      <w:r w:rsidR="0071256E">
        <w:t>ITE</w:t>
      </w:r>
      <w:r>
        <w:t xml:space="preserve"> programs and reforms to Teacher </w:t>
      </w:r>
      <w:r w:rsidR="00786DF1">
        <w:t xml:space="preserve">Regulatory </w:t>
      </w:r>
      <w:r>
        <w:t>Authorities to improve transparency</w:t>
      </w:r>
      <w:r w:rsidR="004E5A21">
        <w:t xml:space="preserve">, </w:t>
      </w:r>
      <w:r>
        <w:t xml:space="preserve">and to require LANTITE to be passed in the first year of </w:t>
      </w:r>
      <w:r w:rsidR="00C32215">
        <w:t>an ITE</w:t>
      </w:r>
      <w:r>
        <w:t xml:space="preserve"> course </w:t>
      </w:r>
      <w:r w:rsidRPr="00D80A9E">
        <w:rPr>
          <w:b/>
          <w:bCs/>
        </w:rPr>
        <w:t>(Recommendation 12</w:t>
      </w:r>
      <w:r w:rsidRPr="00D80A9E">
        <w:rPr>
          <w:b/>
        </w:rPr>
        <w:t>)</w:t>
      </w:r>
      <w:r w:rsidR="007C161C">
        <w:t>.</w:t>
      </w:r>
    </w:p>
    <w:p w14:paraId="1377E772" w14:textId="653B1257" w:rsidR="00EC721E" w:rsidRPr="0066021B" w:rsidRDefault="00EC721E" w:rsidP="00EC721E">
      <w:pPr>
        <w:spacing w:after="120"/>
      </w:pPr>
      <w:r w:rsidRPr="0066021B">
        <w:t xml:space="preserve">Once teachers reach the classroom, </w:t>
      </w:r>
      <w:r>
        <w:t>the Expert Panel</w:t>
      </w:r>
      <w:r w:rsidRPr="0066021B">
        <w:t xml:space="preserve"> heard clearly that they value effective mentors. </w:t>
      </w:r>
      <w:r>
        <w:t>The Expert Panel</w:t>
      </w:r>
      <w:r w:rsidRPr="0066021B">
        <w:t xml:space="preserve"> recommend</w:t>
      </w:r>
      <w:r w:rsidR="00286967">
        <w:t>s</w:t>
      </w:r>
      <w:r w:rsidRPr="0066021B">
        <w:t xml:space="preserve"> developing an agreed set of national standards to set the bar for mentoring early career teachers </w:t>
      </w:r>
      <w:r w:rsidRPr="00D80A9E">
        <w:rPr>
          <w:b/>
          <w:bCs/>
        </w:rPr>
        <w:t>(Recommendation 16)</w:t>
      </w:r>
      <w:r w:rsidR="007C161C" w:rsidRPr="0066021B">
        <w:t>.</w:t>
      </w:r>
    </w:p>
    <w:p w14:paraId="79F6B409" w14:textId="57789A87" w:rsidR="00EC721E" w:rsidRPr="0066021B" w:rsidRDefault="00EC721E" w:rsidP="00EC721E">
      <w:pPr>
        <w:spacing w:after="120"/>
      </w:pPr>
      <w:r w:rsidRPr="0066021B">
        <w:t xml:space="preserve">While most of </w:t>
      </w:r>
      <w:r w:rsidR="00494F19">
        <w:t>the</w:t>
      </w:r>
      <w:r w:rsidR="00F6528F">
        <w:t>se</w:t>
      </w:r>
      <w:r w:rsidRPr="0066021B">
        <w:t xml:space="preserve"> recommendations will help address teacher shortages, </w:t>
      </w:r>
      <w:r>
        <w:t>the Expert Panel</w:t>
      </w:r>
      <w:r w:rsidRPr="0066021B">
        <w:t xml:space="preserve"> found significant variability between jurisdictions and sectors in the quality of data available to understand teacher workforce supply and demand.</w:t>
      </w:r>
    </w:p>
    <w:p w14:paraId="0865C33F" w14:textId="263B83DA" w:rsidR="00EC721E" w:rsidRPr="0066021B" w:rsidRDefault="00EC721E" w:rsidP="00EC721E">
      <w:pPr>
        <w:spacing w:after="0"/>
      </w:pPr>
      <w:r>
        <w:t>The Expert Panel</w:t>
      </w:r>
      <w:r w:rsidRPr="0066021B">
        <w:t xml:space="preserve"> recommend</w:t>
      </w:r>
      <w:r w:rsidR="00286967">
        <w:t>s</w:t>
      </w:r>
      <w:r w:rsidRPr="0066021B">
        <w:t xml:space="preserve"> a national model of teacher supply and demand be developed to support a sustainable pipeline of high-quality teachers in the right subject areas and locations. It should use the Australian Teacher Workforce Data </w:t>
      </w:r>
      <w:r w:rsidR="00F6528F">
        <w:t>collection</w:t>
      </w:r>
      <w:r w:rsidRPr="0066021B">
        <w:t xml:space="preserve"> as a basis, fill data gaps and model </w:t>
      </w:r>
      <w:r w:rsidR="00AE1B5F">
        <w:t>ITE</w:t>
      </w:r>
      <w:r w:rsidRPr="0066021B">
        <w:t xml:space="preserve"> data as a component of a broader teacher workforce model. Such a national model should be easily accessible to higher education providers, systems, employers and schools </w:t>
      </w:r>
      <w:r w:rsidRPr="00D80A9E">
        <w:rPr>
          <w:b/>
          <w:bCs/>
        </w:rPr>
        <w:t>(Recommendation 17)</w:t>
      </w:r>
      <w:r w:rsidR="007C161C" w:rsidRPr="0066021B">
        <w:t>.</w:t>
      </w:r>
    </w:p>
    <w:p w14:paraId="49D6EFB0" w14:textId="77777777" w:rsidR="009D38C4" w:rsidRDefault="009D38C4" w:rsidP="00D97054"/>
    <w:p w14:paraId="377E366C" w14:textId="77777777" w:rsidR="00D97054" w:rsidRDefault="00D97054">
      <w:pPr>
        <w:spacing w:after="0" w:line="240" w:lineRule="auto"/>
        <w:rPr>
          <w:bCs/>
          <w:color w:val="2F5496" w:themeColor="accent1" w:themeShade="BF"/>
          <w:sz w:val="24"/>
          <w:szCs w:val="24"/>
        </w:rPr>
      </w:pPr>
      <w:bookmarkStart w:id="8" w:name="_Toc86138399"/>
      <w:bookmarkStart w:id="9" w:name="_Toc86141303"/>
      <w:bookmarkStart w:id="10" w:name="_Hlk86305273"/>
      <w:r>
        <w:br w:type="page"/>
      </w:r>
    </w:p>
    <w:p w14:paraId="35ED714B" w14:textId="5CC61E1D" w:rsidR="00D045C1" w:rsidRDefault="00D92C1C" w:rsidP="00D21E2E">
      <w:pPr>
        <w:pStyle w:val="Heading2"/>
        <w:ind w:left="794" w:hanging="794"/>
      </w:pPr>
      <w:bookmarkStart w:id="11" w:name="_Toc91160194"/>
      <w:r>
        <w:lastRenderedPageBreak/>
        <w:t>Recommendations</w:t>
      </w:r>
      <w:bookmarkEnd w:id="8"/>
      <w:bookmarkEnd w:id="9"/>
      <w:bookmarkEnd w:id="11"/>
    </w:p>
    <w:p w14:paraId="453AC53C" w14:textId="6372887A" w:rsidR="00E62A80" w:rsidRPr="004219FC" w:rsidRDefault="00E62A80" w:rsidP="004219FC">
      <w:pPr>
        <w:pStyle w:val="Recommendation2"/>
        <w:spacing w:after="0"/>
        <w:rPr>
          <w:b/>
          <w:sz w:val="20"/>
        </w:rPr>
      </w:pPr>
      <w:r w:rsidRPr="004219FC">
        <w:rPr>
          <w:b/>
          <w:sz w:val="20"/>
        </w:rPr>
        <w:t xml:space="preserve">Recommendation 1: Raise the status of teaching </w:t>
      </w:r>
    </w:p>
    <w:p w14:paraId="7AAD675C" w14:textId="77777777" w:rsidR="00E62A80" w:rsidRPr="004219FC" w:rsidRDefault="00E62A80" w:rsidP="004219FC">
      <w:pPr>
        <w:pStyle w:val="Recommendation2"/>
        <w:spacing w:after="0"/>
        <w:rPr>
          <w:sz w:val="20"/>
        </w:rPr>
      </w:pPr>
      <w:r w:rsidRPr="004219FC">
        <w:rPr>
          <w:sz w:val="20"/>
        </w:rPr>
        <w:t>Raise the status and value of the profession to inspire more people to become teachers. All jurisdictions, sectors and schools should work together to raise the status of the profession by:</w:t>
      </w:r>
    </w:p>
    <w:p w14:paraId="69632915" w14:textId="55468F20" w:rsidR="00E62A80" w:rsidRPr="004219FC" w:rsidRDefault="00E62A80" w:rsidP="00F66D2A">
      <w:pPr>
        <w:pStyle w:val="Recommendation2"/>
        <w:numPr>
          <w:ilvl w:val="0"/>
          <w:numId w:val="43"/>
        </w:numPr>
        <w:spacing w:after="0"/>
        <w:rPr>
          <w:sz w:val="20"/>
        </w:rPr>
      </w:pPr>
      <w:r w:rsidRPr="004219FC">
        <w:rPr>
          <w:sz w:val="20"/>
        </w:rPr>
        <w:t>undertaking a national recruitment campaign which:</w:t>
      </w:r>
    </w:p>
    <w:p w14:paraId="1C2C03CA" w14:textId="7D8232C7" w:rsidR="00E62A80" w:rsidRPr="004219FC" w:rsidRDefault="00E62A80" w:rsidP="00F66D2A">
      <w:pPr>
        <w:pStyle w:val="Recommendation2"/>
        <w:numPr>
          <w:ilvl w:val="0"/>
          <w:numId w:val="37"/>
        </w:numPr>
        <w:spacing w:after="0"/>
        <w:rPr>
          <w:sz w:val="20"/>
        </w:rPr>
      </w:pPr>
      <w:r w:rsidRPr="004219FC">
        <w:rPr>
          <w:sz w:val="20"/>
        </w:rPr>
        <w:t>features high-achieving teachers, such as Highly Accomplished and Lead Teachers (HALT</w:t>
      </w:r>
      <w:r w:rsidR="00D51C3C" w:rsidRPr="004219FC">
        <w:rPr>
          <w:sz w:val="20"/>
        </w:rPr>
        <w:t>s</w:t>
      </w:r>
      <w:r w:rsidRPr="004219FC">
        <w:rPr>
          <w:sz w:val="20"/>
        </w:rPr>
        <w:t xml:space="preserve">) and the Schools Plus Fellows, to debunk myths and promote positive aspects of teaching </w:t>
      </w:r>
    </w:p>
    <w:p w14:paraId="5F9A2B35" w14:textId="3C73ABA5" w:rsidR="00E62A80" w:rsidRPr="004219FC" w:rsidRDefault="00E62A80" w:rsidP="00F66D2A">
      <w:pPr>
        <w:pStyle w:val="Recommendation2"/>
        <w:numPr>
          <w:ilvl w:val="0"/>
          <w:numId w:val="37"/>
        </w:numPr>
        <w:spacing w:after="0"/>
        <w:rPr>
          <w:sz w:val="20"/>
        </w:rPr>
      </w:pPr>
      <w:r w:rsidRPr="004219FC">
        <w:rPr>
          <w:sz w:val="20"/>
        </w:rPr>
        <w:t>targets specific cohorts such as Aboriginal and Torres Strait Islander peoples, regional</w:t>
      </w:r>
      <w:r w:rsidR="003A257E">
        <w:rPr>
          <w:sz w:val="20"/>
        </w:rPr>
        <w:t xml:space="preserve">, rural </w:t>
      </w:r>
      <w:r w:rsidRPr="004219FC">
        <w:rPr>
          <w:sz w:val="20"/>
        </w:rPr>
        <w:t>and remote school leavers and other underrepresented groups to consider teaching</w:t>
      </w:r>
      <w:r w:rsidR="001C3384" w:rsidRPr="004219FC">
        <w:rPr>
          <w:sz w:val="20"/>
        </w:rPr>
        <w:t>.</w:t>
      </w:r>
    </w:p>
    <w:p w14:paraId="38786D64" w14:textId="44D3F58A" w:rsidR="00E62A80" w:rsidRPr="004219FC" w:rsidRDefault="00E62A80" w:rsidP="00F66D2A">
      <w:pPr>
        <w:pStyle w:val="Recommendation2"/>
        <w:numPr>
          <w:ilvl w:val="0"/>
          <w:numId w:val="43"/>
        </w:numPr>
        <w:spacing w:after="0"/>
        <w:rPr>
          <w:sz w:val="20"/>
        </w:rPr>
      </w:pPr>
      <w:r w:rsidRPr="004219FC">
        <w:rPr>
          <w:sz w:val="20"/>
        </w:rPr>
        <w:t xml:space="preserve">encouraging the community to nominate teachers and school leaders for an award in the Order of Australia </w:t>
      </w:r>
    </w:p>
    <w:p w14:paraId="7F0966B2" w14:textId="127F8C6C" w:rsidR="00E62A80" w:rsidRPr="004219FC" w:rsidRDefault="00E62A80" w:rsidP="00F66D2A">
      <w:pPr>
        <w:pStyle w:val="Recommendation2"/>
        <w:numPr>
          <w:ilvl w:val="0"/>
          <w:numId w:val="43"/>
        </w:numPr>
        <w:spacing w:after="0"/>
        <w:rPr>
          <w:sz w:val="20"/>
        </w:rPr>
      </w:pPr>
      <w:r w:rsidRPr="004219FC">
        <w:rPr>
          <w:sz w:val="20"/>
        </w:rPr>
        <w:t>introducing a national patron of education and/or using, for example, HALT</w:t>
      </w:r>
      <w:r w:rsidR="00A350DC" w:rsidRPr="004219FC">
        <w:rPr>
          <w:sz w:val="20"/>
        </w:rPr>
        <w:t>s</w:t>
      </w:r>
      <w:r w:rsidRPr="004219FC">
        <w:rPr>
          <w:sz w:val="20"/>
        </w:rPr>
        <w:t xml:space="preserve"> and Schools Plus Fellows as ambassadors of Education. </w:t>
      </w:r>
    </w:p>
    <w:p w14:paraId="26B5C4E9" w14:textId="77777777" w:rsidR="00E62A80" w:rsidRPr="004219FC" w:rsidRDefault="00E62A80" w:rsidP="004219FC">
      <w:pPr>
        <w:spacing w:after="0"/>
      </w:pPr>
    </w:p>
    <w:p w14:paraId="264FD711" w14:textId="77777777" w:rsidR="00E62A80" w:rsidRPr="004219FC" w:rsidRDefault="00E62A80" w:rsidP="004219FC">
      <w:pPr>
        <w:pStyle w:val="Recommendation2"/>
        <w:spacing w:after="0"/>
        <w:rPr>
          <w:b/>
          <w:sz w:val="20"/>
        </w:rPr>
      </w:pPr>
      <w:r w:rsidRPr="004219FC">
        <w:rPr>
          <w:b/>
          <w:sz w:val="20"/>
        </w:rPr>
        <w:t>Recommendation 2: Attract high-quality candidates</w:t>
      </w:r>
    </w:p>
    <w:p w14:paraId="5FFA7865" w14:textId="06E2F708" w:rsidR="00E62A80" w:rsidRPr="004219FC" w:rsidRDefault="00E62A80" w:rsidP="004219FC">
      <w:pPr>
        <w:pStyle w:val="Recommendation2"/>
        <w:spacing w:after="0"/>
        <w:rPr>
          <w:sz w:val="20"/>
        </w:rPr>
      </w:pPr>
      <w:r w:rsidRPr="004219FC">
        <w:rPr>
          <w:sz w:val="20"/>
        </w:rPr>
        <w:t xml:space="preserve">Attract high-quality, diverse candidates including school leavers and mid-career changers into initial teacher education </w:t>
      </w:r>
      <w:r w:rsidR="004C3A56" w:rsidRPr="004219FC">
        <w:rPr>
          <w:sz w:val="20"/>
        </w:rPr>
        <w:t xml:space="preserve">including </w:t>
      </w:r>
      <w:r w:rsidRPr="004219FC">
        <w:rPr>
          <w:sz w:val="20"/>
        </w:rPr>
        <w:t xml:space="preserve">by providing evidence-based incentives. Specifically, incentives should target: </w:t>
      </w:r>
    </w:p>
    <w:p w14:paraId="26E9B700" w14:textId="77777777" w:rsidR="00E62A80" w:rsidRPr="004219FC" w:rsidRDefault="00E62A80" w:rsidP="00F66D2A">
      <w:pPr>
        <w:pStyle w:val="Recommendation2"/>
        <w:numPr>
          <w:ilvl w:val="0"/>
          <w:numId w:val="36"/>
        </w:numPr>
        <w:spacing w:after="0"/>
        <w:rPr>
          <w:sz w:val="20"/>
        </w:rPr>
      </w:pPr>
      <w:r w:rsidRPr="004219FC">
        <w:rPr>
          <w:sz w:val="20"/>
        </w:rPr>
        <w:t>high-performing high school students</w:t>
      </w:r>
    </w:p>
    <w:p w14:paraId="6F1E3B96" w14:textId="77777777" w:rsidR="00E62A80" w:rsidRPr="004219FC" w:rsidRDefault="00E62A80" w:rsidP="00F66D2A">
      <w:pPr>
        <w:pStyle w:val="Recommendation2"/>
        <w:numPr>
          <w:ilvl w:val="0"/>
          <w:numId w:val="36"/>
        </w:numPr>
        <w:spacing w:after="0"/>
        <w:rPr>
          <w:sz w:val="20"/>
        </w:rPr>
      </w:pPr>
      <w:r w:rsidRPr="004219FC">
        <w:rPr>
          <w:sz w:val="20"/>
        </w:rPr>
        <w:t>mid-career changers in relevant fields of demand</w:t>
      </w:r>
    </w:p>
    <w:p w14:paraId="75E0D95B" w14:textId="77777777" w:rsidR="00E62A80" w:rsidRPr="004219FC" w:rsidRDefault="00E62A80" w:rsidP="00F66D2A">
      <w:pPr>
        <w:pStyle w:val="Recommendation2"/>
        <w:numPr>
          <w:ilvl w:val="0"/>
          <w:numId w:val="36"/>
        </w:numPr>
        <w:spacing w:after="0"/>
        <w:rPr>
          <w:sz w:val="20"/>
        </w:rPr>
      </w:pPr>
      <w:r w:rsidRPr="004219FC">
        <w:rPr>
          <w:sz w:val="20"/>
        </w:rPr>
        <w:t xml:space="preserve">Aboriginal and Torres Strait Islander peoples </w:t>
      </w:r>
    </w:p>
    <w:p w14:paraId="4DFF7F9A" w14:textId="2550E7F4" w:rsidR="00E62A80" w:rsidRPr="004219FC" w:rsidRDefault="00E62A80" w:rsidP="00F66D2A">
      <w:pPr>
        <w:pStyle w:val="Recommendation2"/>
        <w:numPr>
          <w:ilvl w:val="0"/>
          <w:numId w:val="36"/>
        </w:numPr>
        <w:spacing w:after="0"/>
        <w:rPr>
          <w:sz w:val="20"/>
        </w:rPr>
      </w:pPr>
      <w:r w:rsidRPr="004219FC">
        <w:rPr>
          <w:sz w:val="20"/>
        </w:rPr>
        <w:t xml:space="preserve">school leavers and suitability qualified people in </w:t>
      </w:r>
      <w:r w:rsidR="003A257E">
        <w:rPr>
          <w:sz w:val="20"/>
        </w:rPr>
        <w:t>regional</w:t>
      </w:r>
      <w:r w:rsidR="0085343C" w:rsidRPr="004219FC">
        <w:rPr>
          <w:sz w:val="20"/>
        </w:rPr>
        <w:t xml:space="preserve">, </w:t>
      </w:r>
      <w:r w:rsidR="003A257E">
        <w:rPr>
          <w:sz w:val="20"/>
        </w:rPr>
        <w:t>rural</w:t>
      </w:r>
      <w:r w:rsidR="00A350DC" w:rsidRPr="004219FC">
        <w:rPr>
          <w:sz w:val="20"/>
        </w:rPr>
        <w:t xml:space="preserve"> </w:t>
      </w:r>
      <w:r w:rsidRPr="004219FC">
        <w:rPr>
          <w:sz w:val="20"/>
        </w:rPr>
        <w:t>and remote areas</w:t>
      </w:r>
    </w:p>
    <w:p w14:paraId="5DCF2769" w14:textId="77777777" w:rsidR="00E62A80" w:rsidRPr="004219FC" w:rsidRDefault="00E62A80" w:rsidP="00F66D2A">
      <w:pPr>
        <w:pStyle w:val="Recommendation2"/>
        <w:numPr>
          <w:ilvl w:val="0"/>
          <w:numId w:val="36"/>
        </w:numPr>
        <w:spacing w:after="0"/>
        <w:rPr>
          <w:sz w:val="20"/>
        </w:rPr>
      </w:pPr>
      <w:r w:rsidRPr="004219FC">
        <w:rPr>
          <w:sz w:val="20"/>
        </w:rPr>
        <w:t>Culturally and Linguistically Diverse people.</w:t>
      </w:r>
    </w:p>
    <w:p w14:paraId="6F27D9A2" w14:textId="77777777" w:rsidR="00E62A80" w:rsidRPr="004219FC" w:rsidRDefault="00E62A80" w:rsidP="004219FC">
      <w:pPr>
        <w:spacing w:after="0"/>
      </w:pPr>
    </w:p>
    <w:p w14:paraId="2A973D7E" w14:textId="4A44D347" w:rsidR="00D26CB6" w:rsidRPr="004219FC" w:rsidRDefault="00E62A80" w:rsidP="004219FC">
      <w:pPr>
        <w:pStyle w:val="Recommendation2"/>
        <w:spacing w:after="0"/>
        <w:rPr>
          <w:b/>
          <w:color w:val="auto"/>
          <w:sz w:val="20"/>
        </w:rPr>
      </w:pPr>
      <w:r w:rsidRPr="004219FC">
        <w:rPr>
          <w:b/>
          <w:color w:val="auto"/>
          <w:sz w:val="20"/>
        </w:rPr>
        <w:t>Recommendation 3. Reduce teachers' workloads</w:t>
      </w:r>
    </w:p>
    <w:p w14:paraId="160734D7" w14:textId="77777777" w:rsidR="00E62A80" w:rsidRPr="004219FC" w:rsidRDefault="00E62A80" w:rsidP="004219FC">
      <w:pPr>
        <w:pStyle w:val="Recommendation2"/>
        <w:spacing w:after="0"/>
        <w:rPr>
          <w:sz w:val="20"/>
        </w:rPr>
      </w:pPr>
      <w:r w:rsidRPr="004219FC">
        <w:rPr>
          <w:sz w:val="20"/>
        </w:rPr>
        <w:t>Audit the red tape burden on classroom teachers and recommend ways to decrease this burden.</w:t>
      </w:r>
    </w:p>
    <w:p w14:paraId="2CE2FABA" w14:textId="77777777" w:rsidR="00E62A80" w:rsidRPr="004219FC" w:rsidRDefault="00E62A80" w:rsidP="004219FC">
      <w:pPr>
        <w:spacing w:after="0"/>
      </w:pPr>
    </w:p>
    <w:p w14:paraId="1AB96B0B" w14:textId="5693FED9" w:rsidR="00E62A80" w:rsidRPr="004219FC" w:rsidRDefault="00E62A80" w:rsidP="004219FC">
      <w:pPr>
        <w:pStyle w:val="Recommendation2"/>
        <w:spacing w:after="0"/>
        <w:rPr>
          <w:b/>
          <w:sz w:val="20"/>
        </w:rPr>
      </w:pPr>
      <w:r w:rsidRPr="004219FC">
        <w:rPr>
          <w:b/>
          <w:color w:val="auto"/>
          <w:sz w:val="20"/>
        </w:rPr>
        <w:t xml:space="preserve">Recommendation 4: Improve </w:t>
      </w:r>
      <w:r w:rsidRPr="004219FC">
        <w:rPr>
          <w:b/>
          <w:sz w:val="20"/>
        </w:rPr>
        <w:t>career advice</w:t>
      </w:r>
    </w:p>
    <w:p w14:paraId="564C44AF" w14:textId="7F8C4F27" w:rsidR="00E62A80" w:rsidRPr="004219FC" w:rsidRDefault="00E62A80" w:rsidP="004219FC">
      <w:pPr>
        <w:pStyle w:val="Recommendation2"/>
        <w:spacing w:after="0"/>
        <w:rPr>
          <w:sz w:val="20"/>
        </w:rPr>
      </w:pPr>
      <w:r w:rsidRPr="004219FC">
        <w:rPr>
          <w:sz w:val="20"/>
        </w:rPr>
        <w:t>Develop easy and reliable access to high</w:t>
      </w:r>
      <w:r w:rsidR="00302E6E" w:rsidRPr="004219FC">
        <w:rPr>
          <w:sz w:val="20"/>
        </w:rPr>
        <w:noBreakHyphen/>
      </w:r>
      <w:r w:rsidRPr="004219FC">
        <w:rPr>
          <w:sz w:val="20"/>
        </w:rPr>
        <w:t xml:space="preserve">quality career advice that promotes the teaching profession. </w:t>
      </w:r>
    </w:p>
    <w:p w14:paraId="5C53A0A3" w14:textId="77777777" w:rsidR="00E62A80" w:rsidRPr="004219FC" w:rsidRDefault="00E62A80" w:rsidP="004219FC">
      <w:pPr>
        <w:pStyle w:val="ListParagraph"/>
        <w:spacing w:after="0"/>
        <w:ind w:left="0"/>
      </w:pPr>
    </w:p>
    <w:p w14:paraId="76491F1C" w14:textId="32BBA87D" w:rsidR="00E62A80" w:rsidRPr="004219FC" w:rsidRDefault="00E62A80" w:rsidP="004219FC">
      <w:pPr>
        <w:pStyle w:val="Recommendation2"/>
        <w:spacing w:after="0"/>
        <w:rPr>
          <w:b/>
          <w:sz w:val="20"/>
        </w:rPr>
      </w:pPr>
      <w:r w:rsidRPr="004219FC">
        <w:rPr>
          <w:b/>
          <w:sz w:val="20"/>
        </w:rPr>
        <w:t>Recommendation 5: Better recognise prior learning of high-quality</w:t>
      </w:r>
      <w:r w:rsidR="00830A61" w:rsidRPr="004219FC">
        <w:rPr>
          <w:b/>
          <w:sz w:val="20"/>
        </w:rPr>
        <w:t>,</w:t>
      </w:r>
      <w:r w:rsidRPr="004219FC">
        <w:rPr>
          <w:b/>
          <w:sz w:val="20"/>
        </w:rPr>
        <w:t xml:space="preserve"> mid-career changers </w:t>
      </w:r>
    </w:p>
    <w:p w14:paraId="6E3B7CDD" w14:textId="43C457CE" w:rsidR="00E62A80" w:rsidRPr="004219FC" w:rsidRDefault="00E62A80" w:rsidP="004219FC">
      <w:pPr>
        <w:pStyle w:val="Recommendation2"/>
        <w:spacing w:after="0"/>
        <w:rPr>
          <w:sz w:val="20"/>
        </w:rPr>
      </w:pPr>
      <w:r w:rsidRPr="004219FC">
        <w:rPr>
          <w:sz w:val="20"/>
        </w:rPr>
        <w:t>The prior learning of well</w:t>
      </w:r>
      <w:r w:rsidR="00302E6E" w:rsidRPr="004219FC">
        <w:rPr>
          <w:sz w:val="20"/>
        </w:rPr>
        <w:noBreakHyphen/>
      </w:r>
      <w:r w:rsidRPr="004219FC">
        <w:rPr>
          <w:sz w:val="20"/>
        </w:rPr>
        <w:t>qualified</w:t>
      </w:r>
      <w:r w:rsidR="0061130A" w:rsidRPr="004219FC">
        <w:rPr>
          <w:sz w:val="20"/>
        </w:rPr>
        <w:t>,</w:t>
      </w:r>
      <w:r w:rsidRPr="004219FC">
        <w:rPr>
          <w:sz w:val="20"/>
        </w:rPr>
        <w:t xml:space="preserve"> suitable</w:t>
      </w:r>
      <w:r w:rsidR="009E1A56" w:rsidRPr="004219FC">
        <w:rPr>
          <w:sz w:val="20"/>
        </w:rPr>
        <w:t>,</w:t>
      </w:r>
      <w:r w:rsidRPr="004219FC">
        <w:rPr>
          <w:sz w:val="20"/>
        </w:rPr>
        <w:t xml:space="preserve"> mid</w:t>
      </w:r>
      <w:r w:rsidR="00302E6E" w:rsidRPr="004219FC">
        <w:rPr>
          <w:sz w:val="20"/>
        </w:rPr>
        <w:noBreakHyphen/>
      </w:r>
      <w:r w:rsidRPr="004219FC">
        <w:rPr>
          <w:sz w:val="20"/>
        </w:rPr>
        <w:t>career changers with skills in areas of high demand should be better recognised, with the goal of reducing to one year the time taken to complete a secondary teaching qualification.</w:t>
      </w:r>
    </w:p>
    <w:p w14:paraId="7B3228B0" w14:textId="77777777" w:rsidR="00E62A80" w:rsidRPr="004219FC" w:rsidRDefault="00E62A80" w:rsidP="004219FC">
      <w:pPr>
        <w:pStyle w:val="Recommendation2"/>
        <w:spacing w:after="0"/>
        <w:rPr>
          <w:sz w:val="20"/>
        </w:rPr>
      </w:pPr>
    </w:p>
    <w:p w14:paraId="4E4FD243" w14:textId="03A6E594" w:rsidR="00E62A80" w:rsidRPr="004219FC" w:rsidRDefault="00E62A80" w:rsidP="004219FC">
      <w:pPr>
        <w:pStyle w:val="Recommendation2"/>
        <w:spacing w:after="0"/>
        <w:rPr>
          <w:sz w:val="20"/>
        </w:rPr>
      </w:pPr>
      <w:r w:rsidRPr="004219FC">
        <w:rPr>
          <w:sz w:val="20"/>
        </w:rPr>
        <w:t xml:space="preserve">Consider amending the </w:t>
      </w:r>
      <w:r w:rsidRPr="004219FC">
        <w:rPr>
          <w:i/>
          <w:sz w:val="20"/>
        </w:rPr>
        <w:t xml:space="preserve">Accreditation of Initial Teacher Education Programs in Australia: Standards and Procedures </w:t>
      </w:r>
      <w:r w:rsidRPr="004219FC">
        <w:rPr>
          <w:sz w:val="20"/>
        </w:rPr>
        <w:t xml:space="preserve">to reinstate the </w:t>
      </w:r>
      <w:r w:rsidR="00354541">
        <w:rPr>
          <w:sz w:val="20"/>
        </w:rPr>
        <w:t>G</w:t>
      </w:r>
      <w:r w:rsidRPr="004219FC">
        <w:rPr>
          <w:sz w:val="20"/>
        </w:rPr>
        <w:t xml:space="preserve">raduate </w:t>
      </w:r>
      <w:r w:rsidR="00354541">
        <w:rPr>
          <w:sz w:val="20"/>
        </w:rPr>
        <w:t>D</w:t>
      </w:r>
      <w:r w:rsidRPr="004219FC">
        <w:rPr>
          <w:sz w:val="20"/>
        </w:rPr>
        <w:t xml:space="preserve">iploma for highly qualified candidates. </w:t>
      </w:r>
    </w:p>
    <w:p w14:paraId="67422496" w14:textId="77777777" w:rsidR="00E62A80" w:rsidRPr="004219FC" w:rsidRDefault="00E62A80" w:rsidP="004219FC">
      <w:pPr>
        <w:spacing w:after="0"/>
      </w:pPr>
    </w:p>
    <w:p w14:paraId="6F827CEF" w14:textId="2D7E969F" w:rsidR="00E62A80" w:rsidRPr="004219FC" w:rsidRDefault="00E62A80" w:rsidP="004219FC">
      <w:pPr>
        <w:pStyle w:val="Recommendation2"/>
        <w:spacing w:after="0"/>
        <w:rPr>
          <w:b/>
          <w:sz w:val="20"/>
        </w:rPr>
      </w:pPr>
      <w:r w:rsidRPr="004219FC">
        <w:rPr>
          <w:b/>
          <w:sz w:val="20"/>
        </w:rPr>
        <w:t>Recommendation 6: Accelerate high</w:t>
      </w:r>
      <w:r w:rsidR="00302E6E" w:rsidRPr="004219FC">
        <w:rPr>
          <w:b/>
          <w:sz w:val="20"/>
        </w:rPr>
        <w:noBreakHyphen/>
      </w:r>
      <w:r w:rsidRPr="004219FC">
        <w:rPr>
          <w:b/>
          <w:sz w:val="20"/>
        </w:rPr>
        <w:t>quality candidates into teaching</w:t>
      </w:r>
    </w:p>
    <w:p w14:paraId="7BFFD2FC" w14:textId="163941A2" w:rsidR="00E62A80" w:rsidRPr="004219FC" w:rsidRDefault="00E62A80" w:rsidP="004219FC">
      <w:pPr>
        <w:pStyle w:val="Recommendation2"/>
        <w:spacing w:after="0"/>
        <w:rPr>
          <w:sz w:val="20"/>
        </w:rPr>
      </w:pPr>
      <w:r w:rsidRPr="004219FC">
        <w:rPr>
          <w:sz w:val="20"/>
        </w:rPr>
        <w:t xml:space="preserve">Accelerate entry of high-quality candidates into teaching by: </w:t>
      </w:r>
    </w:p>
    <w:p w14:paraId="204DF89F" w14:textId="34579526" w:rsidR="00E62A80" w:rsidRPr="004219FC" w:rsidRDefault="00E62A80" w:rsidP="00F66D2A">
      <w:pPr>
        <w:pStyle w:val="Recommendation2"/>
        <w:numPr>
          <w:ilvl w:val="0"/>
          <w:numId w:val="35"/>
        </w:numPr>
        <w:spacing w:after="0"/>
        <w:rPr>
          <w:sz w:val="20"/>
        </w:rPr>
      </w:pPr>
      <w:r w:rsidRPr="004219FC">
        <w:rPr>
          <w:sz w:val="20"/>
        </w:rPr>
        <w:t xml:space="preserve">establishing an innovation in </w:t>
      </w:r>
      <w:r w:rsidR="00C406AE" w:rsidRPr="004219FC">
        <w:rPr>
          <w:sz w:val="20"/>
        </w:rPr>
        <w:t xml:space="preserve">initial teacher education </w:t>
      </w:r>
      <w:r w:rsidRPr="004219FC">
        <w:rPr>
          <w:sz w:val="20"/>
        </w:rPr>
        <w:t>fund that supports innovative employment</w:t>
      </w:r>
      <w:r w:rsidR="00B90435" w:rsidRPr="004219FC">
        <w:rPr>
          <w:sz w:val="20"/>
        </w:rPr>
        <w:noBreakHyphen/>
      </w:r>
      <w:r w:rsidRPr="004219FC">
        <w:rPr>
          <w:sz w:val="20"/>
        </w:rPr>
        <w:t xml:space="preserve">based pathways </w:t>
      </w:r>
    </w:p>
    <w:p w14:paraId="6A47B4F7" w14:textId="77777777" w:rsidR="00E62A80" w:rsidRPr="004219FC" w:rsidRDefault="00E62A80" w:rsidP="00F66D2A">
      <w:pPr>
        <w:pStyle w:val="Recommendation2"/>
        <w:numPr>
          <w:ilvl w:val="0"/>
          <w:numId w:val="35"/>
        </w:numPr>
        <w:spacing w:after="0"/>
        <w:rPr>
          <w:sz w:val="20"/>
        </w:rPr>
      </w:pPr>
      <w:r w:rsidRPr="004219FC">
        <w:rPr>
          <w:sz w:val="20"/>
        </w:rPr>
        <w:t>expanding existing Australian Government alternative pathways and securing long-term funding for Teach For Australia</w:t>
      </w:r>
    </w:p>
    <w:p w14:paraId="5BF65353" w14:textId="77777777" w:rsidR="00E62A80" w:rsidRPr="004219FC" w:rsidRDefault="00E62A80" w:rsidP="00F66D2A">
      <w:pPr>
        <w:pStyle w:val="Recommendation2"/>
        <w:numPr>
          <w:ilvl w:val="0"/>
          <w:numId w:val="35"/>
        </w:numPr>
        <w:spacing w:after="0"/>
        <w:rPr>
          <w:sz w:val="20"/>
        </w:rPr>
      </w:pPr>
      <w:r w:rsidRPr="004219FC">
        <w:rPr>
          <w:sz w:val="20"/>
        </w:rPr>
        <w:t xml:space="preserve">expanding state and territory alternative pathway programs. </w:t>
      </w:r>
    </w:p>
    <w:p w14:paraId="13E79110" w14:textId="77777777" w:rsidR="00E62A80" w:rsidRPr="004219FC" w:rsidRDefault="00E62A80" w:rsidP="004219FC">
      <w:pPr>
        <w:spacing w:after="0"/>
      </w:pPr>
    </w:p>
    <w:p w14:paraId="4066280E" w14:textId="77777777" w:rsidR="004219FC" w:rsidRPr="004219FC" w:rsidRDefault="004219FC" w:rsidP="004219FC">
      <w:pPr>
        <w:spacing w:after="0"/>
        <w:rPr>
          <w:b/>
        </w:rPr>
      </w:pPr>
      <w:r w:rsidRPr="004219FC">
        <w:rPr>
          <w:b/>
        </w:rPr>
        <w:br w:type="page"/>
      </w:r>
    </w:p>
    <w:p w14:paraId="35B4DA98" w14:textId="379DEBA7" w:rsidR="00E62A80" w:rsidRPr="004219FC" w:rsidRDefault="00E62A80" w:rsidP="004219FC">
      <w:pPr>
        <w:pStyle w:val="Recommendation4"/>
        <w:keepNext/>
        <w:spacing w:after="0"/>
        <w:rPr>
          <w:b/>
          <w:sz w:val="20"/>
        </w:rPr>
      </w:pPr>
      <w:r w:rsidRPr="004219FC">
        <w:rPr>
          <w:b/>
          <w:sz w:val="20"/>
        </w:rPr>
        <w:lastRenderedPageBreak/>
        <w:t xml:space="preserve">Recommendation 7: Strengthen </w:t>
      </w:r>
      <w:r w:rsidR="003D0169" w:rsidRPr="004219FC">
        <w:rPr>
          <w:b/>
          <w:sz w:val="20"/>
        </w:rPr>
        <w:t>initial teacher education (</w:t>
      </w:r>
      <w:r w:rsidRPr="004219FC">
        <w:rPr>
          <w:b/>
          <w:sz w:val="20"/>
        </w:rPr>
        <w:t>ITE</w:t>
      </w:r>
      <w:r w:rsidR="003D0169" w:rsidRPr="004219FC">
        <w:rPr>
          <w:b/>
          <w:sz w:val="20"/>
        </w:rPr>
        <w:t>)</w:t>
      </w:r>
      <w:r w:rsidRPr="004219FC">
        <w:rPr>
          <w:b/>
          <w:sz w:val="20"/>
        </w:rPr>
        <w:t xml:space="preserve"> programs to deliver confident, effective, classroom-ready graduates</w:t>
      </w:r>
    </w:p>
    <w:p w14:paraId="7632D381" w14:textId="1E7F4D43" w:rsidR="00E62A80" w:rsidRPr="004219FC" w:rsidRDefault="00E62A80" w:rsidP="004219FC">
      <w:pPr>
        <w:pStyle w:val="Recommendation4"/>
        <w:spacing w:after="0"/>
        <w:rPr>
          <w:sz w:val="20"/>
        </w:rPr>
      </w:pPr>
      <w:r w:rsidRPr="004219FC">
        <w:rPr>
          <w:sz w:val="20"/>
        </w:rPr>
        <w:t xml:space="preserve">Amend </w:t>
      </w:r>
      <w:r w:rsidRPr="004219FC" w:rsidDel="00175448">
        <w:rPr>
          <w:sz w:val="20"/>
        </w:rPr>
        <w:t xml:space="preserve">the </w:t>
      </w:r>
      <w:r w:rsidR="00175448" w:rsidRPr="004219FC">
        <w:rPr>
          <w:i/>
          <w:sz w:val="20"/>
        </w:rPr>
        <w:t xml:space="preserve">Accreditation of Initial Teacher Education Programs in Australia: </w:t>
      </w:r>
      <w:r w:rsidR="00A90105" w:rsidRPr="004219FC">
        <w:rPr>
          <w:i/>
          <w:sz w:val="20"/>
        </w:rPr>
        <w:t xml:space="preserve">Standards </w:t>
      </w:r>
      <w:r w:rsidR="00175448" w:rsidRPr="004219FC">
        <w:rPr>
          <w:i/>
          <w:sz w:val="20"/>
        </w:rPr>
        <w:t>and Procedures</w:t>
      </w:r>
      <w:r w:rsidRPr="004219FC">
        <w:rPr>
          <w:sz w:val="20"/>
        </w:rPr>
        <w:t>, in a manner similar to the U</w:t>
      </w:r>
      <w:r w:rsidR="000E673F">
        <w:rPr>
          <w:sz w:val="20"/>
        </w:rPr>
        <w:t xml:space="preserve">nited </w:t>
      </w:r>
      <w:r w:rsidRPr="004219FC">
        <w:rPr>
          <w:sz w:val="20"/>
        </w:rPr>
        <w:t>K</w:t>
      </w:r>
      <w:r w:rsidR="000E673F">
        <w:rPr>
          <w:sz w:val="20"/>
        </w:rPr>
        <w:t>ingdom</w:t>
      </w:r>
      <w:r w:rsidRPr="004219FC">
        <w:rPr>
          <w:sz w:val="20"/>
        </w:rPr>
        <w:t xml:space="preserve"> standards, to ensure</w:t>
      </w:r>
      <w:r w:rsidR="0083692C" w:rsidRPr="004219FC">
        <w:rPr>
          <w:sz w:val="20"/>
        </w:rPr>
        <w:t xml:space="preserve"> </w:t>
      </w:r>
      <w:r w:rsidR="006455BE" w:rsidRPr="004219FC">
        <w:rPr>
          <w:sz w:val="20"/>
        </w:rPr>
        <w:t>ITE</w:t>
      </w:r>
      <w:r w:rsidRPr="004219FC">
        <w:rPr>
          <w:sz w:val="20"/>
        </w:rPr>
        <w:t xml:space="preserve"> graduates are taught sufficient evidence-based practices to meet the </w:t>
      </w:r>
      <w:r w:rsidRPr="004219FC">
        <w:rPr>
          <w:i/>
          <w:iCs/>
          <w:sz w:val="20"/>
        </w:rPr>
        <w:t>Australian Professional Standards for Teachers</w:t>
      </w:r>
      <w:r w:rsidRPr="004219FC">
        <w:rPr>
          <w:sz w:val="20"/>
        </w:rPr>
        <w:t xml:space="preserve"> and empower them with the tools to lead a classroom, with particular attention to: </w:t>
      </w:r>
    </w:p>
    <w:p w14:paraId="16E8F759" w14:textId="77777777" w:rsidR="00E62A80" w:rsidRPr="004219FC" w:rsidRDefault="00E62A80" w:rsidP="00F66D2A">
      <w:pPr>
        <w:pStyle w:val="Recommendation4"/>
        <w:numPr>
          <w:ilvl w:val="0"/>
          <w:numId w:val="34"/>
        </w:numPr>
        <w:spacing w:after="0"/>
        <w:rPr>
          <w:sz w:val="20"/>
        </w:rPr>
      </w:pPr>
      <w:r w:rsidRPr="004219FC">
        <w:rPr>
          <w:sz w:val="20"/>
        </w:rPr>
        <w:t>teaching reading, including phonemic awareness and phonics as an essential element of the teaching of reading in the early years</w:t>
      </w:r>
    </w:p>
    <w:p w14:paraId="0265D200" w14:textId="77777777" w:rsidR="00E62A80" w:rsidRPr="004219FC" w:rsidRDefault="00E62A80" w:rsidP="00F66D2A">
      <w:pPr>
        <w:pStyle w:val="Recommendation4"/>
        <w:numPr>
          <w:ilvl w:val="0"/>
          <w:numId w:val="34"/>
        </w:numPr>
        <w:spacing w:after="0"/>
        <w:rPr>
          <w:sz w:val="20"/>
        </w:rPr>
      </w:pPr>
      <w:r w:rsidRPr="004219FC">
        <w:rPr>
          <w:sz w:val="20"/>
        </w:rPr>
        <w:t>classroom management</w:t>
      </w:r>
    </w:p>
    <w:p w14:paraId="1735F41D" w14:textId="77777777" w:rsidR="00E62A80" w:rsidRPr="004219FC" w:rsidRDefault="00E62A80" w:rsidP="00F66D2A">
      <w:pPr>
        <w:pStyle w:val="Recommendation4"/>
        <w:numPr>
          <w:ilvl w:val="0"/>
          <w:numId w:val="34"/>
        </w:numPr>
        <w:spacing w:after="0"/>
        <w:rPr>
          <w:sz w:val="20"/>
        </w:rPr>
      </w:pPr>
      <w:r w:rsidRPr="004219FC">
        <w:rPr>
          <w:sz w:val="20"/>
        </w:rPr>
        <w:t>cultural responsiveness</w:t>
      </w:r>
    </w:p>
    <w:p w14:paraId="0BE2B32A" w14:textId="77777777" w:rsidR="00E62A80" w:rsidRPr="004219FC" w:rsidRDefault="00E62A80" w:rsidP="00F66D2A">
      <w:pPr>
        <w:pStyle w:val="Recommendation4"/>
        <w:numPr>
          <w:ilvl w:val="0"/>
          <w:numId w:val="34"/>
        </w:numPr>
        <w:spacing w:after="0"/>
        <w:rPr>
          <w:sz w:val="20"/>
        </w:rPr>
      </w:pPr>
      <w:r w:rsidRPr="004219FC">
        <w:rPr>
          <w:sz w:val="20"/>
        </w:rPr>
        <w:t xml:space="preserve">supporting diverse learners and students with disability </w:t>
      </w:r>
    </w:p>
    <w:p w14:paraId="13000656" w14:textId="77777777" w:rsidR="00E62A80" w:rsidRPr="004219FC" w:rsidRDefault="00E62A80" w:rsidP="00F66D2A">
      <w:pPr>
        <w:pStyle w:val="Recommendation4"/>
        <w:numPr>
          <w:ilvl w:val="0"/>
          <w:numId w:val="34"/>
        </w:numPr>
        <w:spacing w:after="0"/>
        <w:rPr>
          <w:sz w:val="20"/>
        </w:rPr>
      </w:pPr>
      <w:r w:rsidRPr="004219FC">
        <w:rPr>
          <w:sz w:val="20"/>
        </w:rPr>
        <w:t>working with families/carers.</w:t>
      </w:r>
    </w:p>
    <w:p w14:paraId="5864A385" w14:textId="77777777" w:rsidR="003D0169" w:rsidRPr="004219FC" w:rsidRDefault="003D0169" w:rsidP="004219FC">
      <w:pPr>
        <w:spacing w:after="0"/>
      </w:pPr>
    </w:p>
    <w:p w14:paraId="2A8C289C" w14:textId="147FC942" w:rsidR="00E62A80" w:rsidRPr="004219FC" w:rsidRDefault="00E62A80" w:rsidP="004219FC">
      <w:pPr>
        <w:pStyle w:val="Recommendation4"/>
        <w:spacing w:after="0"/>
        <w:rPr>
          <w:b/>
          <w:sz w:val="20"/>
        </w:rPr>
      </w:pPr>
      <w:r w:rsidRPr="004219FC">
        <w:rPr>
          <w:b/>
          <w:sz w:val="20"/>
        </w:rPr>
        <w:t>Recommendation 8: Reward good performance</w:t>
      </w:r>
    </w:p>
    <w:p w14:paraId="5DFEB9E5" w14:textId="77777777" w:rsidR="00E62A80" w:rsidRPr="004219FC" w:rsidRDefault="00E62A80" w:rsidP="004219FC">
      <w:pPr>
        <w:pStyle w:val="Recommendation4"/>
        <w:spacing w:after="0"/>
        <w:rPr>
          <w:sz w:val="20"/>
        </w:rPr>
      </w:pPr>
      <w:r w:rsidRPr="004219FC">
        <w:rPr>
          <w:sz w:val="20"/>
        </w:rPr>
        <w:t>Establish a fund to:</w:t>
      </w:r>
    </w:p>
    <w:p w14:paraId="102E7324" w14:textId="10FF3BF2" w:rsidR="00E62A80" w:rsidRPr="004219FC" w:rsidRDefault="00E62A80" w:rsidP="00F66D2A">
      <w:pPr>
        <w:pStyle w:val="Recommendation4"/>
        <w:numPr>
          <w:ilvl w:val="0"/>
          <w:numId w:val="44"/>
        </w:numPr>
        <w:spacing w:after="0"/>
        <w:rPr>
          <w:sz w:val="20"/>
        </w:rPr>
      </w:pPr>
      <w:r w:rsidRPr="004219FC">
        <w:rPr>
          <w:sz w:val="20"/>
        </w:rPr>
        <w:t>reward good performance of schools, groups of schools, systems, employers and higher education providers, with a focus on rewarding those that use evidence-based approaches to the teaching of reading</w:t>
      </w:r>
    </w:p>
    <w:p w14:paraId="6103E399" w14:textId="3BFA1220" w:rsidR="00E62A80" w:rsidRPr="004219FC" w:rsidRDefault="00E62A80" w:rsidP="00F66D2A">
      <w:pPr>
        <w:pStyle w:val="Recommendation4"/>
        <w:numPr>
          <w:ilvl w:val="0"/>
          <w:numId w:val="44"/>
        </w:numPr>
        <w:spacing w:after="0"/>
        <w:rPr>
          <w:sz w:val="20"/>
        </w:rPr>
      </w:pPr>
      <w:r w:rsidRPr="004219FC">
        <w:rPr>
          <w:sz w:val="20"/>
        </w:rPr>
        <w:t>support innovation in the delivery of evidence-based approaches.</w:t>
      </w:r>
    </w:p>
    <w:p w14:paraId="1E842C60" w14:textId="77777777" w:rsidR="00E62A80" w:rsidRPr="004219FC" w:rsidRDefault="00E62A80" w:rsidP="004219FC">
      <w:pPr>
        <w:pStyle w:val="ListParagraph"/>
        <w:spacing w:after="0"/>
        <w:ind w:left="0"/>
      </w:pPr>
    </w:p>
    <w:p w14:paraId="5900E8CD" w14:textId="39973508" w:rsidR="00E62A80" w:rsidRPr="004219FC" w:rsidRDefault="00E62A80" w:rsidP="004219FC">
      <w:pPr>
        <w:pStyle w:val="Recommendation4"/>
        <w:spacing w:after="0"/>
        <w:rPr>
          <w:b/>
          <w:sz w:val="20"/>
        </w:rPr>
      </w:pPr>
      <w:r w:rsidRPr="004219FC">
        <w:rPr>
          <w:b/>
          <w:sz w:val="20"/>
        </w:rPr>
        <w:t>Recommendation 9: Support families and carers to engage with teachers</w:t>
      </w:r>
    </w:p>
    <w:p w14:paraId="12EFEC73" w14:textId="77777777" w:rsidR="00E62A80" w:rsidRPr="004219FC" w:rsidRDefault="00E62A80" w:rsidP="004219FC">
      <w:pPr>
        <w:pStyle w:val="Recommendation4"/>
        <w:spacing w:after="0"/>
        <w:rPr>
          <w:sz w:val="20"/>
        </w:rPr>
      </w:pPr>
      <w:r w:rsidRPr="004219FC">
        <w:rPr>
          <w:sz w:val="20"/>
        </w:rPr>
        <w:t>Assist</w:t>
      </w:r>
      <w:r w:rsidRPr="004219FC" w:rsidDel="00993D69">
        <w:rPr>
          <w:sz w:val="20"/>
        </w:rPr>
        <w:t xml:space="preserve"> </w:t>
      </w:r>
      <w:r w:rsidRPr="004219FC">
        <w:rPr>
          <w:sz w:val="20"/>
        </w:rPr>
        <w:t>families and carers to engage with teachers about their child’s learning, particularly in relation to reading, through reinvigorating the existing Learning Potential platform and ensuring it is accessible for all families and carers.</w:t>
      </w:r>
    </w:p>
    <w:p w14:paraId="6A0292B4" w14:textId="77777777" w:rsidR="00767E98" w:rsidRPr="004219FC" w:rsidRDefault="00767E98" w:rsidP="004219FC">
      <w:pPr>
        <w:spacing w:after="0"/>
        <w:rPr>
          <w:color w:val="203864"/>
        </w:rPr>
      </w:pPr>
    </w:p>
    <w:p w14:paraId="194EA171" w14:textId="7608734B" w:rsidR="00E62A80" w:rsidRPr="004219FC" w:rsidRDefault="00E62A80" w:rsidP="004219FC">
      <w:pPr>
        <w:pStyle w:val="Recommendation4"/>
        <w:spacing w:after="0"/>
        <w:rPr>
          <w:b/>
          <w:sz w:val="20"/>
        </w:rPr>
      </w:pPr>
      <w:r w:rsidRPr="004219FC">
        <w:rPr>
          <w:b/>
          <w:sz w:val="20"/>
        </w:rPr>
        <w:t>Recommendation 10: Strengthen national standard setting and moderation of Teaching Performance Assessments</w:t>
      </w:r>
      <w:r w:rsidR="001A7447" w:rsidRPr="004219FC">
        <w:rPr>
          <w:b/>
          <w:sz w:val="20"/>
        </w:rPr>
        <w:t xml:space="preserve"> (TPAs)</w:t>
      </w:r>
    </w:p>
    <w:p w14:paraId="78941F39" w14:textId="04584409" w:rsidR="00E62A80" w:rsidRPr="004219FC" w:rsidRDefault="00E62A80" w:rsidP="004219FC">
      <w:pPr>
        <w:pStyle w:val="Recommendation4"/>
        <w:spacing w:after="0"/>
        <w:rPr>
          <w:sz w:val="20"/>
        </w:rPr>
      </w:pPr>
      <w:r w:rsidRPr="004219FC">
        <w:rPr>
          <w:sz w:val="20"/>
        </w:rPr>
        <w:t xml:space="preserve">Strengthen </w:t>
      </w:r>
      <w:r w:rsidR="001A7447" w:rsidRPr="004219FC">
        <w:rPr>
          <w:sz w:val="20"/>
        </w:rPr>
        <w:t>TPAs</w:t>
      </w:r>
      <w:r w:rsidRPr="004219FC">
        <w:rPr>
          <w:sz w:val="20"/>
        </w:rPr>
        <w:t xml:space="preserve"> to ensure graduate teachers are classroom</w:t>
      </w:r>
      <w:r w:rsidR="004B7C59" w:rsidRPr="004219FC">
        <w:rPr>
          <w:sz w:val="20"/>
        </w:rPr>
        <w:t xml:space="preserve"> </w:t>
      </w:r>
      <w:r w:rsidRPr="004219FC">
        <w:rPr>
          <w:sz w:val="20"/>
        </w:rPr>
        <w:t xml:space="preserve">ready by: </w:t>
      </w:r>
    </w:p>
    <w:p w14:paraId="657ED03B" w14:textId="182F4C8B" w:rsidR="00E62A80" w:rsidRPr="004219FC" w:rsidRDefault="00E62A80" w:rsidP="00F66D2A">
      <w:pPr>
        <w:pStyle w:val="Recommendation4"/>
        <w:numPr>
          <w:ilvl w:val="0"/>
          <w:numId w:val="45"/>
        </w:numPr>
        <w:spacing w:after="0"/>
        <w:rPr>
          <w:sz w:val="20"/>
        </w:rPr>
      </w:pPr>
      <w:r w:rsidRPr="004219FC">
        <w:rPr>
          <w:sz w:val="20"/>
        </w:rPr>
        <w:t>establishing a governance board with delegated authority to make decisions on TPAs, including national standard setting, moderation and comparability</w:t>
      </w:r>
    </w:p>
    <w:p w14:paraId="4D075175" w14:textId="3EAE4B31" w:rsidR="00E62A80" w:rsidRPr="004219FC" w:rsidRDefault="00E62A80" w:rsidP="00F66D2A">
      <w:pPr>
        <w:pStyle w:val="Recommendation4"/>
        <w:numPr>
          <w:ilvl w:val="0"/>
          <w:numId w:val="45"/>
        </w:numPr>
        <w:spacing w:after="0"/>
        <w:rPr>
          <w:sz w:val="20"/>
        </w:rPr>
      </w:pPr>
      <w:r w:rsidRPr="004219FC">
        <w:rPr>
          <w:sz w:val="20"/>
        </w:rPr>
        <w:t xml:space="preserve">limiting the number of attempts a higher education provider can have, to seek endorsement of their TPA, to three through amendment of the </w:t>
      </w:r>
      <w:r w:rsidR="001977ED" w:rsidRPr="004219FC">
        <w:rPr>
          <w:i/>
          <w:sz w:val="20"/>
        </w:rPr>
        <w:t>Accreditation of Initial Teacher Education Programs in Australia: Standards and Procedures</w:t>
      </w:r>
    </w:p>
    <w:p w14:paraId="2CCCD02B" w14:textId="3F875DFC" w:rsidR="00E62A80" w:rsidRPr="004219FC" w:rsidRDefault="00E62A80" w:rsidP="00F66D2A">
      <w:pPr>
        <w:pStyle w:val="Recommendation4"/>
        <w:numPr>
          <w:ilvl w:val="0"/>
          <w:numId w:val="45"/>
        </w:numPr>
        <w:spacing w:after="0"/>
        <w:rPr>
          <w:sz w:val="20"/>
        </w:rPr>
      </w:pPr>
      <w:r w:rsidRPr="004219FC">
        <w:rPr>
          <w:sz w:val="20"/>
        </w:rPr>
        <w:t>allocating Australian Government support for the providers who operate the two most widely used TPAs to support national standard setting, moderation and comparability.</w:t>
      </w:r>
    </w:p>
    <w:p w14:paraId="26C3DCF0" w14:textId="77777777" w:rsidR="00767E98" w:rsidRPr="004219FC" w:rsidRDefault="00767E98" w:rsidP="004219FC">
      <w:pPr>
        <w:spacing w:after="0"/>
        <w:rPr>
          <w:rFonts w:eastAsia="Times New Roman"/>
          <w:bCs/>
          <w:color w:val="203864"/>
        </w:rPr>
      </w:pPr>
    </w:p>
    <w:p w14:paraId="485AD338" w14:textId="77777777" w:rsidR="00E62A80" w:rsidRPr="004219FC" w:rsidRDefault="00E62A80" w:rsidP="004219FC">
      <w:pPr>
        <w:pStyle w:val="Recommendation4"/>
        <w:spacing w:after="0"/>
        <w:rPr>
          <w:b/>
          <w:sz w:val="20"/>
        </w:rPr>
      </w:pPr>
      <w:r w:rsidRPr="004219FC">
        <w:rPr>
          <w:b/>
          <w:sz w:val="20"/>
        </w:rPr>
        <w:t xml:space="preserve">Recommendation 11: Require earlier identification of suitability to teach </w:t>
      </w:r>
    </w:p>
    <w:p w14:paraId="5F65DDC3" w14:textId="773FC067" w:rsidR="00E62A80" w:rsidRPr="004219FC" w:rsidRDefault="00E62A80" w:rsidP="004219FC">
      <w:pPr>
        <w:pStyle w:val="Recommendation4"/>
        <w:spacing w:after="0"/>
        <w:rPr>
          <w:sz w:val="20"/>
        </w:rPr>
      </w:pPr>
      <w:r w:rsidRPr="004219FC">
        <w:rPr>
          <w:sz w:val="20"/>
        </w:rPr>
        <w:t xml:space="preserve">Empower </w:t>
      </w:r>
      <w:r w:rsidR="00B737DF" w:rsidRPr="004219FC">
        <w:rPr>
          <w:sz w:val="20"/>
        </w:rPr>
        <w:t>initial teacher education (</w:t>
      </w:r>
      <w:r w:rsidRPr="004219FC">
        <w:rPr>
          <w:sz w:val="20"/>
        </w:rPr>
        <w:t>ITE</w:t>
      </w:r>
      <w:r w:rsidR="00B737DF" w:rsidRPr="004219FC">
        <w:rPr>
          <w:sz w:val="20"/>
        </w:rPr>
        <w:t>)</w:t>
      </w:r>
      <w:r w:rsidRPr="004219FC">
        <w:rPr>
          <w:sz w:val="20"/>
        </w:rPr>
        <w:t xml:space="preserve"> students to identify earlier whether a career in teaching is likely to be suitable by:</w:t>
      </w:r>
    </w:p>
    <w:p w14:paraId="61F97A8C" w14:textId="3A1E4D4F" w:rsidR="00E62A80" w:rsidRPr="004219FC" w:rsidRDefault="00E62A80" w:rsidP="00F66D2A">
      <w:pPr>
        <w:pStyle w:val="Recommendation4"/>
        <w:numPr>
          <w:ilvl w:val="0"/>
          <w:numId w:val="46"/>
        </w:numPr>
        <w:spacing w:after="0"/>
        <w:rPr>
          <w:sz w:val="20"/>
        </w:rPr>
      </w:pPr>
      <w:r w:rsidRPr="004219FC">
        <w:rPr>
          <w:sz w:val="20"/>
        </w:rPr>
        <w:t>requiring significant, practical school experience in the first year of study</w:t>
      </w:r>
    </w:p>
    <w:p w14:paraId="3ADF3E9A" w14:textId="0B8F9F87" w:rsidR="00E62A80" w:rsidRPr="004219FC" w:rsidRDefault="00E62A80" w:rsidP="00F66D2A">
      <w:pPr>
        <w:pStyle w:val="Recommendation4"/>
        <w:numPr>
          <w:ilvl w:val="0"/>
          <w:numId w:val="46"/>
        </w:numPr>
        <w:spacing w:after="0"/>
        <w:rPr>
          <w:sz w:val="20"/>
        </w:rPr>
      </w:pPr>
      <w:r w:rsidRPr="004219FC">
        <w:rPr>
          <w:sz w:val="20"/>
        </w:rPr>
        <w:t xml:space="preserve">requiring the Literacy and Numeracy Test for Initial Teacher Education (LANTITE) be passed by the end of the first year of study </w:t>
      </w:r>
    </w:p>
    <w:p w14:paraId="21716972" w14:textId="1FE7B9D7" w:rsidR="00E62A80" w:rsidRPr="004219FC" w:rsidRDefault="00E62A80" w:rsidP="00F66D2A">
      <w:pPr>
        <w:pStyle w:val="Recommendation4"/>
        <w:numPr>
          <w:ilvl w:val="0"/>
          <w:numId w:val="46"/>
        </w:numPr>
        <w:spacing w:after="0"/>
        <w:rPr>
          <w:sz w:val="20"/>
        </w:rPr>
      </w:pPr>
      <w:r w:rsidRPr="004219FC">
        <w:rPr>
          <w:sz w:val="20"/>
        </w:rPr>
        <w:t xml:space="preserve">funding foundation courses to support diverse groups such as </w:t>
      </w:r>
      <w:r w:rsidR="00A37130" w:rsidRPr="004219FC">
        <w:rPr>
          <w:sz w:val="20"/>
        </w:rPr>
        <w:t xml:space="preserve">Culturally and Linguistically Diverse </w:t>
      </w:r>
      <w:r w:rsidRPr="004219FC">
        <w:rPr>
          <w:sz w:val="20"/>
        </w:rPr>
        <w:t>students to successfully complete LANTITE</w:t>
      </w:r>
    </w:p>
    <w:p w14:paraId="16E7098B" w14:textId="17D11EA3" w:rsidR="00E62A80" w:rsidRPr="004219FC" w:rsidRDefault="00E62A80" w:rsidP="00F66D2A">
      <w:pPr>
        <w:pStyle w:val="Recommendation4"/>
        <w:numPr>
          <w:ilvl w:val="0"/>
          <w:numId w:val="46"/>
        </w:numPr>
        <w:spacing w:after="0"/>
        <w:rPr>
          <w:sz w:val="20"/>
        </w:rPr>
      </w:pPr>
      <w:r w:rsidRPr="004219FC">
        <w:rPr>
          <w:sz w:val="20"/>
        </w:rPr>
        <w:t>allocating funding for ITE short courses so students can explore the prospect of a teaching career without committing to a full degree.</w:t>
      </w:r>
    </w:p>
    <w:p w14:paraId="56B2972C" w14:textId="77777777" w:rsidR="00767E98" w:rsidRPr="004219FC" w:rsidRDefault="00767E98" w:rsidP="004219FC">
      <w:pPr>
        <w:spacing w:after="0"/>
        <w:rPr>
          <w:color w:val="203864"/>
        </w:rPr>
      </w:pPr>
    </w:p>
    <w:p w14:paraId="3865C5C8" w14:textId="77777777" w:rsidR="00E62A80" w:rsidRPr="004219FC" w:rsidRDefault="00E62A80" w:rsidP="004219FC">
      <w:pPr>
        <w:pStyle w:val="Recommendation4"/>
        <w:keepNext/>
        <w:spacing w:after="0"/>
        <w:rPr>
          <w:b/>
          <w:sz w:val="20"/>
        </w:rPr>
      </w:pPr>
      <w:r w:rsidRPr="004219FC">
        <w:rPr>
          <w:b/>
          <w:sz w:val="20"/>
        </w:rPr>
        <w:lastRenderedPageBreak/>
        <w:t>Recommendation 12: Promote reform through the next National School Reform Agreement</w:t>
      </w:r>
    </w:p>
    <w:p w14:paraId="33614A8C" w14:textId="7CF826A2" w:rsidR="00E62A80" w:rsidRPr="004219FC" w:rsidRDefault="00E62A80" w:rsidP="004219FC">
      <w:pPr>
        <w:pStyle w:val="Recommendation4"/>
        <w:keepNext/>
        <w:spacing w:after="0"/>
        <w:rPr>
          <w:sz w:val="20"/>
        </w:rPr>
      </w:pPr>
      <w:r w:rsidRPr="004219FC">
        <w:rPr>
          <w:sz w:val="20"/>
        </w:rPr>
        <w:t>Ensure that the next National School Reform Agreement requires states and territories to demonstrate</w:t>
      </w:r>
      <w:r w:rsidR="00991712" w:rsidRPr="004219FC">
        <w:rPr>
          <w:sz w:val="20"/>
        </w:rPr>
        <w:t>, at least</w:t>
      </w:r>
      <w:r w:rsidRPr="004219FC">
        <w:rPr>
          <w:sz w:val="20"/>
        </w:rPr>
        <w:t xml:space="preserve">: </w:t>
      </w:r>
    </w:p>
    <w:p w14:paraId="36759BE0" w14:textId="77777777" w:rsidR="00E62A80" w:rsidRPr="004219FC" w:rsidRDefault="00E62A80" w:rsidP="00F66D2A">
      <w:pPr>
        <w:pStyle w:val="Recommendation4"/>
        <w:keepNext/>
        <w:numPr>
          <w:ilvl w:val="0"/>
          <w:numId w:val="33"/>
        </w:numPr>
        <w:spacing w:after="0"/>
        <w:ind w:left="357" w:hanging="357"/>
        <w:rPr>
          <w:sz w:val="20"/>
        </w:rPr>
      </w:pPr>
      <w:r w:rsidRPr="004219FC">
        <w:rPr>
          <w:sz w:val="20"/>
        </w:rPr>
        <w:t xml:space="preserve">evidence-based teaching of reading </w:t>
      </w:r>
    </w:p>
    <w:p w14:paraId="58E9B0FF" w14:textId="1F77EB34" w:rsidR="00E62A80" w:rsidRPr="004219FC" w:rsidRDefault="00B737DF" w:rsidP="00F66D2A">
      <w:pPr>
        <w:pStyle w:val="Recommendation4"/>
        <w:numPr>
          <w:ilvl w:val="0"/>
          <w:numId w:val="33"/>
        </w:numPr>
        <w:spacing w:after="0"/>
        <w:rPr>
          <w:sz w:val="20"/>
        </w:rPr>
      </w:pPr>
      <w:r w:rsidRPr="004219FC">
        <w:rPr>
          <w:sz w:val="20"/>
        </w:rPr>
        <w:t>the Literacy and Numeracy Test for Initial Teacher Education</w:t>
      </w:r>
      <w:r w:rsidR="00E62A80" w:rsidRPr="004219FC">
        <w:rPr>
          <w:sz w:val="20"/>
        </w:rPr>
        <w:t xml:space="preserve"> to be passed in the first year of a</w:t>
      </w:r>
      <w:r w:rsidR="00D96FC1" w:rsidRPr="004219FC">
        <w:rPr>
          <w:sz w:val="20"/>
        </w:rPr>
        <w:t>n</w:t>
      </w:r>
      <w:r w:rsidR="00E62A80" w:rsidRPr="004219FC">
        <w:rPr>
          <w:sz w:val="20"/>
        </w:rPr>
        <w:t xml:space="preserve"> </w:t>
      </w:r>
      <w:r w:rsidRPr="004219FC">
        <w:rPr>
          <w:sz w:val="20"/>
        </w:rPr>
        <w:t>initial teacher education (</w:t>
      </w:r>
      <w:r w:rsidR="00E62A80" w:rsidRPr="004219FC">
        <w:rPr>
          <w:sz w:val="20"/>
        </w:rPr>
        <w:t>ITE</w:t>
      </w:r>
      <w:r w:rsidRPr="004219FC">
        <w:rPr>
          <w:sz w:val="20"/>
        </w:rPr>
        <w:t>)</w:t>
      </w:r>
      <w:r w:rsidR="00E62A80" w:rsidRPr="004219FC">
        <w:rPr>
          <w:sz w:val="20"/>
        </w:rPr>
        <w:t xml:space="preserve"> course</w:t>
      </w:r>
    </w:p>
    <w:p w14:paraId="18381190" w14:textId="77777777" w:rsidR="00E62A80" w:rsidRPr="004219FC" w:rsidRDefault="00E62A80" w:rsidP="00F66D2A">
      <w:pPr>
        <w:pStyle w:val="Recommendation4"/>
        <w:numPr>
          <w:ilvl w:val="0"/>
          <w:numId w:val="33"/>
        </w:numPr>
        <w:spacing w:after="0"/>
        <w:rPr>
          <w:sz w:val="20"/>
        </w:rPr>
      </w:pPr>
      <w:r w:rsidRPr="004219FC">
        <w:rPr>
          <w:sz w:val="20"/>
        </w:rPr>
        <w:t xml:space="preserve">early exposure to professional placement </w:t>
      </w:r>
    </w:p>
    <w:p w14:paraId="3A067C82" w14:textId="5686F5F1" w:rsidR="00E62A80" w:rsidRPr="004219FC" w:rsidRDefault="00E62A80" w:rsidP="00F66D2A">
      <w:pPr>
        <w:pStyle w:val="Recommendation4"/>
        <w:numPr>
          <w:ilvl w:val="0"/>
          <w:numId w:val="33"/>
        </w:numPr>
        <w:spacing w:after="0"/>
        <w:rPr>
          <w:sz w:val="20"/>
        </w:rPr>
      </w:pPr>
      <w:r w:rsidRPr="004219FC">
        <w:rPr>
          <w:sz w:val="20"/>
        </w:rPr>
        <w:t xml:space="preserve">Teacher </w:t>
      </w:r>
      <w:r w:rsidR="00491B59" w:rsidRPr="004219FC">
        <w:rPr>
          <w:sz w:val="20"/>
        </w:rPr>
        <w:t xml:space="preserve">Regulatory </w:t>
      </w:r>
      <w:r w:rsidRPr="004219FC">
        <w:rPr>
          <w:sz w:val="20"/>
        </w:rPr>
        <w:t xml:space="preserve">Authority transparency on each accredited </w:t>
      </w:r>
      <w:r w:rsidR="003B3E21" w:rsidRPr="004219FC">
        <w:rPr>
          <w:sz w:val="20"/>
        </w:rPr>
        <w:t xml:space="preserve">higher education provider’s </w:t>
      </w:r>
      <w:r w:rsidRPr="004219FC">
        <w:rPr>
          <w:sz w:val="20"/>
        </w:rPr>
        <w:t xml:space="preserve">student entry characteristics, attrition and completions and other data relevant for accountability. </w:t>
      </w:r>
    </w:p>
    <w:p w14:paraId="25E34DBC" w14:textId="77777777" w:rsidR="00E62A80" w:rsidRPr="004219FC" w:rsidRDefault="00E62A80" w:rsidP="00F66D2A">
      <w:pPr>
        <w:pStyle w:val="Recommendation4"/>
        <w:numPr>
          <w:ilvl w:val="0"/>
          <w:numId w:val="33"/>
        </w:numPr>
        <w:spacing w:after="0"/>
        <w:rPr>
          <w:sz w:val="20"/>
        </w:rPr>
      </w:pPr>
      <w:r w:rsidRPr="004219FC">
        <w:rPr>
          <w:sz w:val="20"/>
        </w:rPr>
        <w:t xml:space="preserve">making available data, including student achievement data, for research purposes to determine the impact of candidate selection and ITE programs on student achievement </w:t>
      </w:r>
    </w:p>
    <w:p w14:paraId="770A1628" w14:textId="285D969D" w:rsidR="00E62A80" w:rsidRPr="004219FC" w:rsidRDefault="00E62A80" w:rsidP="00F66D2A">
      <w:pPr>
        <w:pStyle w:val="Recommendation4"/>
        <w:numPr>
          <w:ilvl w:val="0"/>
          <w:numId w:val="33"/>
        </w:numPr>
        <w:spacing w:after="0"/>
        <w:rPr>
          <w:sz w:val="20"/>
        </w:rPr>
      </w:pPr>
      <w:r w:rsidRPr="004219FC">
        <w:rPr>
          <w:sz w:val="20"/>
        </w:rPr>
        <w:t xml:space="preserve">school and </w:t>
      </w:r>
      <w:r w:rsidR="003B3E21" w:rsidRPr="004219FC">
        <w:rPr>
          <w:sz w:val="20"/>
        </w:rPr>
        <w:t xml:space="preserve">higher education provider </w:t>
      </w:r>
      <w:r w:rsidRPr="004219FC">
        <w:rPr>
          <w:sz w:val="20"/>
        </w:rPr>
        <w:t>partnerships and mentoring requirements for early years teachers.</w:t>
      </w:r>
    </w:p>
    <w:p w14:paraId="07E78DAC" w14:textId="77777777" w:rsidR="00E62A80" w:rsidRPr="004219FC" w:rsidRDefault="00E62A80" w:rsidP="004219FC">
      <w:pPr>
        <w:pStyle w:val="ListParagraph"/>
        <w:spacing w:after="0"/>
        <w:ind w:left="0"/>
      </w:pPr>
    </w:p>
    <w:p w14:paraId="3F759DB0" w14:textId="65203522" w:rsidR="00E62A80" w:rsidRPr="004219FC" w:rsidRDefault="00E62A80" w:rsidP="004219FC">
      <w:pPr>
        <w:pStyle w:val="Recommendation4"/>
        <w:spacing w:after="0"/>
        <w:rPr>
          <w:b/>
          <w:sz w:val="20"/>
        </w:rPr>
      </w:pPr>
      <w:r w:rsidRPr="004219FC">
        <w:rPr>
          <w:b/>
          <w:sz w:val="20"/>
        </w:rPr>
        <w:t xml:space="preserve">Recommendation 13: Require transparency of </w:t>
      </w:r>
      <w:r w:rsidR="00D477F8" w:rsidRPr="004219FC">
        <w:rPr>
          <w:b/>
          <w:sz w:val="20"/>
        </w:rPr>
        <w:t>initial teacher education (</w:t>
      </w:r>
      <w:r w:rsidRPr="004219FC">
        <w:rPr>
          <w:b/>
          <w:sz w:val="20"/>
        </w:rPr>
        <w:t>ITE</w:t>
      </w:r>
      <w:r w:rsidR="00D477F8" w:rsidRPr="004219FC">
        <w:rPr>
          <w:b/>
          <w:sz w:val="20"/>
        </w:rPr>
        <w:t>)</w:t>
      </w:r>
      <w:r w:rsidRPr="004219FC">
        <w:rPr>
          <w:b/>
          <w:sz w:val="20"/>
        </w:rPr>
        <w:t xml:space="preserve"> academic staff with recent teaching experience</w:t>
      </w:r>
    </w:p>
    <w:p w14:paraId="1E2F301F" w14:textId="12960668" w:rsidR="00E62A80" w:rsidRPr="004219FC" w:rsidRDefault="00E62A80" w:rsidP="004219FC">
      <w:pPr>
        <w:pStyle w:val="Recommendation4"/>
        <w:spacing w:after="0"/>
        <w:rPr>
          <w:sz w:val="20"/>
        </w:rPr>
      </w:pPr>
      <w:r w:rsidRPr="004219FC">
        <w:rPr>
          <w:sz w:val="20"/>
        </w:rPr>
        <w:t xml:space="preserve">Require </w:t>
      </w:r>
      <w:r w:rsidR="004C5820" w:rsidRPr="004219FC">
        <w:rPr>
          <w:sz w:val="20"/>
        </w:rPr>
        <w:t xml:space="preserve">higher education </w:t>
      </w:r>
      <w:r w:rsidRPr="004219FC">
        <w:rPr>
          <w:sz w:val="20"/>
        </w:rPr>
        <w:t>providers to publicly report the proportion of academic staff in ITE who have substantial recent experience teaching in schools or childcare centres.</w:t>
      </w:r>
    </w:p>
    <w:p w14:paraId="1355DE2C" w14:textId="77777777" w:rsidR="00E62A80" w:rsidRPr="004219FC" w:rsidRDefault="00E62A80" w:rsidP="004219FC">
      <w:pPr>
        <w:spacing w:after="0"/>
        <w:rPr>
          <w:rFonts w:eastAsia="Times New Roman"/>
        </w:rPr>
      </w:pPr>
    </w:p>
    <w:p w14:paraId="6038E758" w14:textId="77777777" w:rsidR="00E62A80" w:rsidRPr="004219FC" w:rsidRDefault="00E62A80" w:rsidP="004219FC">
      <w:pPr>
        <w:pStyle w:val="Recommendation4"/>
        <w:spacing w:after="0"/>
        <w:rPr>
          <w:b/>
          <w:sz w:val="20"/>
        </w:rPr>
      </w:pPr>
      <w:r w:rsidRPr="004219FC">
        <w:rPr>
          <w:b/>
          <w:sz w:val="20"/>
        </w:rPr>
        <w:t>Recommendation 14: Establish a Centre for Excellence to teach, research and evaluate best teaching practice</w:t>
      </w:r>
    </w:p>
    <w:p w14:paraId="020FFF01" w14:textId="3F439D8A" w:rsidR="00E62A80" w:rsidRPr="004219FC" w:rsidRDefault="00E62A80" w:rsidP="004219FC">
      <w:pPr>
        <w:pStyle w:val="Recommendation4"/>
        <w:spacing w:after="0"/>
        <w:rPr>
          <w:sz w:val="20"/>
        </w:rPr>
      </w:pPr>
      <w:r w:rsidRPr="004219FC">
        <w:rPr>
          <w:sz w:val="20"/>
        </w:rPr>
        <w:t xml:space="preserve">Establish a national Centre for Excellence in </w:t>
      </w:r>
      <w:r w:rsidR="00D477F8" w:rsidRPr="004219FC">
        <w:rPr>
          <w:sz w:val="20"/>
        </w:rPr>
        <w:t>initial teacher education (</w:t>
      </w:r>
      <w:r w:rsidRPr="004219FC">
        <w:rPr>
          <w:sz w:val="20"/>
        </w:rPr>
        <w:t>ITE</w:t>
      </w:r>
      <w:r w:rsidR="00D477F8" w:rsidRPr="004219FC">
        <w:rPr>
          <w:sz w:val="20"/>
        </w:rPr>
        <w:t>)</w:t>
      </w:r>
      <w:r w:rsidRPr="004219FC">
        <w:rPr>
          <w:sz w:val="20"/>
        </w:rPr>
        <w:t xml:space="preserve"> to showcase and evaluate best</w:t>
      </w:r>
      <w:r w:rsidR="00522BAE" w:rsidRPr="004219FC">
        <w:rPr>
          <w:sz w:val="20"/>
        </w:rPr>
        <w:t>-</w:t>
      </w:r>
      <w:r w:rsidRPr="004219FC">
        <w:rPr>
          <w:sz w:val="20"/>
        </w:rPr>
        <w:t>practice</w:t>
      </w:r>
      <w:r w:rsidR="009E1A56" w:rsidRPr="004219FC">
        <w:rPr>
          <w:sz w:val="20"/>
        </w:rPr>
        <w:t>,</w:t>
      </w:r>
      <w:r w:rsidRPr="004219FC">
        <w:rPr>
          <w:sz w:val="20"/>
        </w:rPr>
        <w:t xml:space="preserve"> evidence-based ITE. The Centre for Excellence should also undertake specific research into the key selection, ITE program and early years teaching components that drive quality teaching and student achievement.</w:t>
      </w:r>
    </w:p>
    <w:p w14:paraId="3AB66949" w14:textId="77777777" w:rsidR="00E62A80" w:rsidRPr="004219FC" w:rsidRDefault="00E62A80" w:rsidP="004219FC">
      <w:pPr>
        <w:spacing w:after="0"/>
      </w:pPr>
    </w:p>
    <w:p w14:paraId="02F1D78A" w14:textId="4DEB23A1" w:rsidR="00E62A80" w:rsidRPr="004219FC" w:rsidRDefault="00E62A80" w:rsidP="004219FC">
      <w:pPr>
        <w:pStyle w:val="Recommendation4"/>
        <w:spacing w:after="0"/>
        <w:rPr>
          <w:b/>
          <w:sz w:val="20"/>
        </w:rPr>
      </w:pPr>
      <w:r w:rsidRPr="004219FC">
        <w:rPr>
          <w:b/>
          <w:sz w:val="20"/>
        </w:rPr>
        <w:t xml:space="preserve">Recommendation 15: Strengthen the link between performance and funding of </w:t>
      </w:r>
      <w:r w:rsidR="00D477F8" w:rsidRPr="004219FC">
        <w:rPr>
          <w:b/>
          <w:sz w:val="20"/>
        </w:rPr>
        <w:t>initial teacher education (</w:t>
      </w:r>
      <w:r w:rsidRPr="004219FC">
        <w:rPr>
          <w:b/>
          <w:sz w:val="20"/>
        </w:rPr>
        <w:t>ITE</w:t>
      </w:r>
      <w:r w:rsidR="00D477F8" w:rsidRPr="004219FC">
        <w:rPr>
          <w:b/>
          <w:sz w:val="20"/>
        </w:rPr>
        <w:t>)</w:t>
      </w:r>
      <w:r w:rsidRPr="004219FC">
        <w:rPr>
          <w:color w:val="203864"/>
          <w:sz w:val="20"/>
        </w:rPr>
        <w:tab/>
      </w:r>
    </w:p>
    <w:p w14:paraId="12E66E3A" w14:textId="77777777" w:rsidR="00E62A80" w:rsidRPr="004219FC" w:rsidRDefault="00E62A80" w:rsidP="004219FC">
      <w:pPr>
        <w:pStyle w:val="Recommendation4"/>
        <w:spacing w:after="0"/>
        <w:rPr>
          <w:sz w:val="20"/>
        </w:rPr>
      </w:pPr>
      <w:r w:rsidRPr="004219FC">
        <w:rPr>
          <w:sz w:val="20"/>
        </w:rPr>
        <w:t>Strengthen the link between performance and funding of ITE by:</w:t>
      </w:r>
    </w:p>
    <w:p w14:paraId="2D1F572E" w14:textId="0AA09550" w:rsidR="00E62A80" w:rsidRPr="004219FC" w:rsidRDefault="00E62A80" w:rsidP="00F66D2A">
      <w:pPr>
        <w:pStyle w:val="Recommendation4"/>
        <w:numPr>
          <w:ilvl w:val="0"/>
          <w:numId w:val="47"/>
        </w:numPr>
        <w:spacing w:after="0"/>
        <w:rPr>
          <w:sz w:val="20"/>
        </w:rPr>
      </w:pPr>
      <w:r w:rsidRPr="004219FC">
        <w:rPr>
          <w:sz w:val="20"/>
        </w:rPr>
        <w:t xml:space="preserve">establishing a national body </w:t>
      </w:r>
      <w:r w:rsidR="00E11B26" w:rsidRPr="004219FC">
        <w:rPr>
          <w:sz w:val="20"/>
        </w:rPr>
        <w:t xml:space="preserve">or expert group </w:t>
      </w:r>
      <w:r w:rsidRPr="004219FC">
        <w:rPr>
          <w:sz w:val="20"/>
        </w:rPr>
        <w:t>to advise on how</w:t>
      </w:r>
      <w:r w:rsidR="00E61B44" w:rsidRPr="004219FC">
        <w:rPr>
          <w:sz w:val="20"/>
        </w:rPr>
        <w:t xml:space="preserve"> </w:t>
      </w:r>
      <w:r w:rsidRPr="004219FC">
        <w:rPr>
          <w:sz w:val="20"/>
        </w:rPr>
        <w:t>ITE Commonwealth supported places (CSPs) should be allocated amongst higher education providers, based on quality and other relevant factors</w:t>
      </w:r>
    </w:p>
    <w:p w14:paraId="26603B5B" w14:textId="7438B31C" w:rsidR="00E62A80" w:rsidRPr="004219FC" w:rsidRDefault="00E62A80" w:rsidP="00F66D2A">
      <w:pPr>
        <w:pStyle w:val="Recommendation4"/>
        <w:numPr>
          <w:ilvl w:val="0"/>
          <w:numId w:val="47"/>
        </w:numPr>
        <w:spacing w:after="0"/>
        <w:rPr>
          <w:sz w:val="20"/>
        </w:rPr>
      </w:pPr>
      <w:r w:rsidRPr="004219FC">
        <w:rPr>
          <w:sz w:val="20"/>
        </w:rPr>
        <w:t>developing a quality measure for ITE courses that enables performance-based assessments of ITE programs and assists in student choice</w:t>
      </w:r>
    </w:p>
    <w:p w14:paraId="54D1DC03" w14:textId="3E3C1D94" w:rsidR="00E62A80" w:rsidRPr="004219FC" w:rsidRDefault="00E62A80" w:rsidP="00F66D2A">
      <w:pPr>
        <w:pStyle w:val="Recommendation4"/>
        <w:numPr>
          <w:ilvl w:val="0"/>
          <w:numId w:val="47"/>
        </w:numPr>
        <w:spacing w:after="0"/>
        <w:rPr>
          <w:sz w:val="20"/>
        </w:rPr>
      </w:pPr>
      <w:r w:rsidRPr="004219FC">
        <w:rPr>
          <w:sz w:val="20"/>
        </w:rPr>
        <w:t>rewarding those providers who score highly on the measure</w:t>
      </w:r>
    </w:p>
    <w:p w14:paraId="11F243A6" w14:textId="23477987" w:rsidR="00E62A80" w:rsidRPr="004219FC" w:rsidRDefault="00E62A80" w:rsidP="00F66D2A">
      <w:pPr>
        <w:pStyle w:val="Recommendation4"/>
        <w:numPr>
          <w:ilvl w:val="0"/>
          <w:numId w:val="47"/>
        </w:numPr>
        <w:spacing w:after="0"/>
        <w:rPr>
          <w:sz w:val="20"/>
        </w:rPr>
      </w:pPr>
      <w:r w:rsidRPr="004219FC">
        <w:rPr>
          <w:sz w:val="20"/>
        </w:rPr>
        <w:t xml:space="preserve">increasing transparency by making publicly available information on how each higher education provider scores on the quality measure </w:t>
      </w:r>
    </w:p>
    <w:p w14:paraId="1619E1A4" w14:textId="080E03D1" w:rsidR="00E62A80" w:rsidRPr="004219FC" w:rsidRDefault="00E62A80" w:rsidP="00F66D2A">
      <w:pPr>
        <w:pStyle w:val="Recommendation4"/>
        <w:numPr>
          <w:ilvl w:val="0"/>
          <w:numId w:val="47"/>
        </w:numPr>
        <w:spacing w:after="0"/>
        <w:rPr>
          <w:sz w:val="20"/>
        </w:rPr>
      </w:pPr>
      <w:r w:rsidRPr="004219FC">
        <w:rPr>
          <w:sz w:val="20"/>
        </w:rPr>
        <w:t xml:space="preserve">allocating CSPs based on ITE performance </w:t>
      </w:r>
    </w:p>
    <w:p w14:paraId="79F21C1A" w14:textId="1CB51F40" w:rsidR="00E62A80" w:rsidRPr="004219FC" w:rsidRDefault="00E62A80" w:rsidP="00F66D2A">
      <w:pPr>
        <w:pStyle w:val="Recommendation4"/>
        <w:numPr>
          <w:ilvl w:val="0"/>
          <w:numId w:val="47"/>
        </w:numPr>
        <w:spacing w:after="0"/>
        <w:rPr>
          <w:sz w:val="20"/>
        </w:rPr>
      </w:pPr>
      <w:r w:rsidRPr="004219FC">
        <w:rPr>
          <w:sz w:val="20"/>
        </w:rPr>
        <w:t>tendering a portion of CSPs to higher education providers that meet specific program criteria.</w:t>
      </w:r>
    </w:p>
    <w:p w14:paraId="0605544B" w14:textId="77777777" w:rsidR="00DB79D4" w:rsidRPr="004219FC" w:rsidRDefault="00DB79D4" w:rsidP="004219FC">
      <w:pPr>
        <w:spacing w:after="0"/>
        <w:rPr>
          <w:bCs/>
          <w:color w:val="203864"/>
        </w:rPr>
      </w:pPr>
    </w:p>
    <w:p w14:paraId="0E138390" w14:textId="77777777" w:rsidR="0099568C" w:rsidRPr="004219FC" w:rsidRDefault="0099568C" w:rsidP="004219FC">
      <w:pPr>
        <w:pStyle w:val="Recommendation3"/>
        <w:spacing w:after="0"/>
        <w:rPr>
          <w:b/>
          <w:sz w:val="20"/>
        </w:rPr>
      </w:pPr>
      <w:r w:rsidRPr="004219FC">
        <w:rPr>
          <w:b/>
          <w:sz w:val="20"/>
        </w:rPr>
        <w:t xml:space="preserve">Recommendation 16: Develop national guidelines for mentors </w:t>
      </w:r>
    </w:p>
    <w:p w14:paraId="4B02DF5C" w14:textId="7A01C0F1" w:rsidR="0099568C" w:rsidRPr="004219FC" w:rsidRDefault="0099568C" w:rsidP="004219FC">
      <w:pPr>
        <w:pStyle w:val="Recommendation3"/>
        <w:spacing w:after="0"/>
        <w:rPr>
          <w:sz w:val="20"/>
        </w:rPr>
      </w:pPr>
      <w:r w:rsidRPr="004219FC">
        <w:rPr>
          <w:sz w:val="20"/>
        </w:rPr>
        <w:t xml:space="preserve">Develop an agreed set of mentor standards </w:t>
      </w:r>
      <w:r w:rsidR="00067A6D" w:rsidRPr="004219FC">
        <w:rPr>
          <w:sz w:val="20"/>
        </w:rPr>
        <w:t xml:space="preserve">that </w:t>
      </w:r>
      <w:r w:rsidRPr="004219FC">
        <w:rPr>
          <w:sz w:val="20"/>
        </w:rPr>
        <w:t xml:space="preserve">could be used by jurisdictions and schools to support early </w:t>
      </w:r>
      <w:r w:rsidR="00766E80" w:rsidRPr="004219FC">
        <w:rPr>
          <w:sz w:val="20"/>
        </w:rPr>
        <w:t xml:space="preserve">career </w:t>
      </w:r>
      <w:r w:rsidRPr="004219FC">
        <w:rPr>
          <w:sz w:val="20"/>
        </w:rPr>
        <w:t xml:space="preserve">teachers. </w:t>
      </w:r>
    </w:p>
    <w:p w14:paraId="3798B039" w14:textId="77777777" w:rsidR="004219FC" w:rsidRDefault="004219FC">
      <w:pPr>
        <w:spacing w:after="0" w:line="240" w:lineRule="auto"/>
        <w:rPr>
          <w:b/>
        </w:rPr>
      </w:pPr>
      <w:r>
        <w:rPr>
          <w:b/>
        </w:rPr>
        <w:br w:type="page"/>
      </w:r>
    </w:p>
    <w:p w14:paraId="62034393" w14:textId="0558B808" w:rsidR="00081A63" w:rsidRPr="004219FC" w:rsidRDefault="00081A63" w:rsidP="004219FC">
      <w:pPr>
        <w:pStyle w:val="Recommendation3"/>
        <w:keepNext/>
        <w:spacing w:after="0"/>
        <w:rPr>
          <w:b/>
          <w:sz w:val="20"/>
        </w:rPr>
      </w:pPr>
      <w:r w:rsidRPr="004219FC">
        <w:rPr>
          <w:b/>
          <w:sz w:val="20"/>
        </w:rPr>
        <w:lastRenderedPageBreak/>
        <w:t>Recommendation 17: Develop a national approach to understanding teacher workforce supply and demand</w:t>
      </w:r>
    </w:p>
    <w:p w14:paraId="78803DAB" w14:textId="105D2FE6" w:rsidR="00147C05" w:rsidRPr="004219FC" w:rsidRDefault="00147C05" w:rsidP="00F14E73">
      <w:pPr>
        <w:pStyle w:val="Recommendation3"/>
        <w:keepNext/>
        <w:spacing w:after="0"/>
        <w:rPr>
          <w:sz w:val="20"/>
        </w:rPr>
      </w:pPr>
      <w:r w:rsidRPr="004219FC">
        <w:rPr>
          <w:bCs/>
          <w:sz w:val="20"/>
        </w:rPr>
        <w:t>Develop a national model of teacher supply and demand to support a sustainable pipeline of high-quality teachers in the right subject areas and locatio</w:t>
      </w:r>
      <w:r w:rsidRPr="004219FC">
        <w:rPr>
          <w:sz w:val="20"/>
        </w:rPr>
        <w:t>ns. This should:</w:t>
      </w:r>
    </w:p>
    <w:p w14:paraId="73FB0807" w14:textId="6B90DA0E" w:rsidR="00147C05" w:rsidRPr="004219FC" w:rsidRDefault="00147C05" w:rsidP="00F66D2A">
      <w:pPr>
        <w:pStyle w:val="Recommendation3"/>
        <w:keepNext/>
        <w:numPr>
          <w:ilvl w:val="0"/>
          <w:numId w:val="48"/>
        </w:numPr>
        <w:spacing w:after="0"/>
        <w:rPr>
          <w:sz w:val="20"/>
        </w:rPr>
      </w:pPr>
      <w:r w:rsidRPr="004219FC">
        <w:rPr>
          <w:sz w:val="20"/>
        </w:rPr>
        <w:t>leverage the Australian Teacher Workforce Data collection as a basis for projecting supply and demand</w:t>
      </w:r>
    </w:p>
    <w:p w14:paraId="10B8F03A" w14:textId="2F119FB1" w:rsidR="00147C05" w:rsidRPr="004219FC" w:rsidRDefault="00147C05" w:rsidP="00F66D2A">
      <w:pPr>
        <w:pStyle w:val="Recommendation3"/>
        <w:numPr>
          <w:ilvl w:val="0"/>
          <w:numId w:val="48"/>
        </w:numPr>
        <w:spacing w:after="0"/>
        <w:rPr>
          <w:sz w:val="20"/>
        </w:rPr>
      </w:pPr>
      <w:r w:rsidRPr="004219FC">
        <w:rPr>
          <w:sz w:val="20"/>
        </w:rPr>
        <w:t>address outstanding supply and demand</w:t>
      </w:r>
      <w:r w:rsidR="00CE4C67" w:rsidRPr="004219FC">
        <w:rPr>
          <w:sz w:val="20"/>
        </w:rPr>
        <w:t xml:space="preserve"> data gaps</w:t>
      </w:r>
      <w:r w:rsidRPr="004219FC">
        <w:rPr>
          <w:sz w:val="20"/>
        </w:rPr>
        <w:t xml:space="preserve"> to enable timely projections disaggregated by key dimensions of interest (for example, by subject specialisation and location)</w:t>
      </w:r>
    </w:p>
    <w:p w14:paraId="4D1A6CBE" w14:textId="52281F8B" w:rsidR="00147C05" w:rsidRPr="004219FC" w:rsidRDefault="00147C05" w:rsidP="00F66D2A">
      <w:pPr>
        <w:pStyle w:val="Recommendation3"/>
        <w:numPr>
          <w:ilvl w:val="0"/>
          <w:numId w:val="48"/>
        </w:numPr>
        <w:spacing w:after="0"/>
        <w:rPr>
          <w:sz w:val="20"/>
        </w:rPr>
      </w:pPr>
      <w:r w:rsidRPr="004219FC">
        <w:rPr>
          <w:sz w:val="20"/>
        </w:rPr>
        <w:t xml:space="preserve">model </w:t>
      </w:r>
      <w:r w:rsidR="00471DDC" w:rsidRPr="004219FC">
        <w:rPr>
          <w:sz w:val="20"/>
        </w:rPr>
        <w:t>initial teacher education (</w:t>
      </w:r>
      <w:r w:rsidRPr="004219FC">
        <w:rPr>
          <w:sz w:val="20"/>
        </w:rPr>
        <w:t>ITE</w:t>
      </w:r>
      <w:r w:rsidR="00471DDC" w:rsidRPr="004219FC">
        <w:rPr>
          <w:sz w:val="20"/>
        </w:rPr>
        <w:t>)</w:t>
      </w:r>
      <w:r w:rsidRPr="004219FC">
        <w:rPr>
          <w:sz w:val="20"/>
        </w:rPr>
        <w:t xml:space="preserve"> needs as a subcomponent of a broader teacher workforce model (for example incorporating latent supply and migration)</w:t>
      </w:r>
    </w:p>
    <w:p w14:paraId="50F98869" w14:textId="684EF3F5" w:rsidR="00081A63" w:rsidRPr="00FE09FB" w:rsidRDefault="00081A63" w:rsidP="00F66D2A">
      <w:pPr>
        <w:pStyle w:val="Recommendation3"/>
        <w:numPr>
          <w:ilvl w:val="0"/>
          <w:numId w:val="48"/>
        </w:numPr>
        <w:spacing w:after="0"/>
        <w:rPr>
          <w:sz w:val="20"/>
        </w:rPr>
      </w:pPr>
      <w:r w:rsidRPr="004219FC">
        <w:rPr>
          <w:sz w:val="20"/>
        </w:rPr>
        <w:t>include a workforce planning tool to assess ITE needs that can be accessed at a system, employer and provider level.</w:t>
      </w:r>
    </w:p>
    <w:p w14:paraId="4C72347C" w14:textId="77777777" w:rsidR="004219FC" w:rsidRPr="004219FC" w:rsidRDefault="004219FC" w:rsidP="004219FC">
      <w:pPr>
        <w:spacing w:after="0"/>
      </w:pPr>
      <w:bookmarkStart w:id="12" w:name="_Toc86138400"/>
      <w:bookmarkStart w:id="13" w:name="_Toc86141304"/>
    </w:p>
    <w:p w14:paraId="2EB2530C" w14:textId="77777777" w:rsidR="004219FC" w:rsidRDefault="004219FC">
      <w:pPr>
        <w:spacing w:after="0" w:line="240" w:lineRule="auto"/>
        <w:rPr>
          <w:bCs/>
          <w:color w:val="2F5496" w:themeColor="accent1" w:themeShade="BF"/>
          <w:sz w:val="24"/>
          <w:szCs w:val="24"/>
        </w:rPr>
      </w:pPr>
      <w:r>
        <w:br w:type="page"/>
      </w:r>
    </w:p>
    <w:p w14:paraId="3941B486" w14:textId="56705679" w:rsidR="00C62A1C" w:rsidRDefault="00C62A1C" w:rsidP="00C62A1C">
      <w:pPr>
        <w:pStyle w:val="Heading2"/>
        <w:ind w:left="794" w:hanging="794"/>
      </w:pPr>
      <w:bookmarkStart w:id="14" w:name="_Toc91160195"/>
      <w:r>
        <w:lastRenderedPageBreak/>
        <w:t>Findings</w:t>
      </w:r>
      <w:bookmarkEnd w:id="12"/>
      <w:bookmarkEnd w:id="13"/>
      <w:bookmarkEnd w:id="14"/>
    </w:p>
    <w:p w14:paraId="45C068C2" w14:textId="31AE17A0" w:rsidR="00141AA3" w:rsidRDefault="00141AA3" w:rsidP="00A96F4F">
      <w:pPr>
        <w:pStyle w:val="Breakoutbox2"/>
        <w:spacing w:after="0"/>
        <w:rPr>
          <w:b/>
        </w:rPr>
      </w:pPr>
      <w:r w:rsidRPr="005B504E">
        <w:rPr>
          <w:b/>
        </w:rPr>
        <w:t xml:space="preserve">Finding </w:t>
      </w:r>
      <w:r w:rsidR="001149A3">
        <w:rPr>
          <w:b/>
        </w:rPr>
        <w:t>1</w:t>
      </w:r>
    </w:p>
    <w:p w14:paraId="7161888C" w14:textId="7F9E7388" w:rsidR="00141AA3" w:rsidRDefault="00141AA3" w:rsidP="00A96F4F">
      <w:pPr>
        <w:pStyle w:val="Breakoutbox2"/>
        <w:spacing w:after="0"/>
        <w:rPr>
          <w:lang w:val="en-GB"/>
        </w:rPr>
      </w:pPr>
      <w:r w:rsidRPr="00A6567B">
        <w:rPr>
          <w:lang w:val="en-GB"/>
        </w:rPr>
        <w:t>As well as the opportunity to make a real difference in the lives of children and contribute to nation’s future, teaching is a secure career choice and starting salaries are among the best in the world. More high</w:t>
      </w:r>
      <w:r w:rsidR="00460B4A">
        <w:rPr>
          <w:lang w:val="en-GB"/>
        </w:rPr>
        <w:noBreakHyphen/>
      </w:r>
      <w:r w:rsidRPr="00A6567B">
        <w:rPr>
          <w:lang w:val="en-GB"/>
        </w:rPr>
        <w:t>quality, diverse candidates would be open to teaching if these aspects were better acknowledged and promoted.</w:t>
      </w:r>
    </w:p>
    <w:p w14:paraId="7244B6BD" w14:textId="77777777" w:rsidR="00BE3AF0" w:rsidRPr="00141AA3" w:rsidRDefault="00BE3AF0" w:rsidP="00A96F4F">
      <w:pPr>
        <w:spacing w:after="0"/>
      </w:pPr>
    </w:p>
    <w:p w14:paraId="205649CE" w14:textId="7ECD30AF" w:rsidR="00BE3AF0" w:rsidRPr="005B504E" w:rsidRDefault="00BE3AF0" w:rsidP="00A96F4F">
      <w:pPr>
        <w:pStyle w:val="Breakoutbox2"/>
        <w:spacing w:after="0"/>
        <w:rPr>
          <w:b/>
        </w:rPr>
      </w:pPr>
      <w:r w:rsidRPr="005B504E">
        <w:rPr>
          <w:b/>
        </w:rPr>
        <w:t xml:space="preserve">Finding </w:t>
      </w:r>
      <w:r w:rsidR="001149A3">
        <w:rPr>
          <w:b/>
        </w:rPr>
        <w:t>2</w:t>
      </w:r>
    </w:p>
    <w:p w14:paraId="295A33A3" w14:textId="539A68D9" w:rsidR="00853E26" w:rsidRPr="00F325BC" w:rsidRDefault="00853E26" w:rsidP="00A96F4F">
      <w:pPr>
        <w:pStyle w:val="Breakoutbox2"/>
        <w:spacing w:after="0"/>
        <w:rPr>
          <w:rFonts w:eastAsia="Times New Roman"/>
        </w:rPr>
      </w:pPr>
      <w:r w:rsidRPr="00F325BC">
        <w:rPr>
          <w:rFonts w:eastAsia="Times New Roman"/>
        </w:rPr>
        <w:t xml:space="preserve">Employing jurisdictions, sectors, schools and unions should consider whether the existing career structure for teachers supports a modern high-performing workforce and what alternative options might exist to create new career pathways for teachers within the profession which harness their skills and expertise, without requiring them to leave the classroom. </w:t>
      </w:r>
    </w:p>
    <w:p w14:paraId="65B52672" w14:textId="77777777" w:rsidR="00BE3AF0" w:rsidRDefault="00BE3AF0" w:rsidP="00A96F4F">
      <w:pPr>
        <w:spacing w:after="0"/>
      </w:pPr>
    </w:p>
    <w:p w14:paraId="58CCA5C9" w14:textId="20D1A86E" w:rsidR="00E86A27" w:rsidRPr="003A2166" w:rsidRDefault="00E86A27" w:rsidP="003A2166">
      <w:pPr>
        <w:pStyle w:val="Breakoutbox2"/>
        <w:spacing w:after="0"/>
        <w:rPr>
          <w:b/>
          <w:bCs/>
        </w:rPr>
      </w:pPr>
      <w:r w:rsidRPr="003A2166">
        <w:rPr>
          <w:b/>
          <w:bCs/>
        </w:rPr>
        <w:t xml:space="preserve">Finding </w:t>
      </w:r>
      <w:r w:rsidR="001149A3">
        <w:rPr>
          <w:b/>
          <w:bCs/>
        </w:rPr>
        <w:t>3</w:t>
      </w:r>
    </w:p>
    <w:p w14:paraId="3E00F15A" w14:textId="637A0077" w:rsidR="00396184" w:rsidRPr="00F325BC" w:rsidRDefault="00396184" w:rsidP="00FA2041">
      <w:pPr>
        <w:pStyle w:val="Breakoutbox2"/>
        <w:spacing w:after="0"/>
      </w:pPr>
      <w:r w:rsidRPr="00F325BC">
        <w:t>The use of non-academic characteristic criteria was introduced following the T</w:t>
      </w:r>
      <w:r w:rsidR="00471DDC">
        <w:t xml:space="preserve">eacher </w:t>
      </w:r>
      <w:r w:rsidRPr="00F325BC">
        <w:t>E</w:t>
      </w:r>
      <w:r w:rsidR="00471DDC">
        <w:t xml:space="preserve">ducation </w:t>
      </w:r>
      <w:r w:rsidRPr="00F325BC">
        <w:t>M</w:t>
      </w:r>
      <w:r w:rsidR="00AC511E">
        <w:t xml:space="preserve">inisterial </w:t>
      </w:r>
      <w:r w:rsidRPr="00F325BC">
        <w:t>A</w:t>
      </w:r>
      <w:r w:rsidR="00AC511E">
        <w:t xml:space="preserve">dvisory </w:t>
      </w:r>
      <w:r w:rsidRPr="00F325BC">
        <w:t>G</w:t>
      </w:r>
      <w:r w:rsidR="00AC511E">
        <w:t>roup</w:t>
      </w:r>
      <w:r w:rsidRPr="00F325BC">
        <w:t xml:space="preserve"> Review. Research into how it is being applied across providers, its impact on different cohorts, and the characteristics that are most likely to indicate suitability for teaching should be undertaken to gain an understanding of its effect on </w:t>
      </w:r>
      <w:r w:rsidR="00AC511E">
        <w:t>initial teacher education</w:t>
      </w:r>
      <w:r w:rsidRPr="00F325BC">
        <w:t>. The outcomes of this research could then be used to test and make decisions on the most effective instruments for assessing non-academic characteristics predicting quality teaching.</w:t>
      </w:r>
    </w:p>
    <w:p w14:paraId="35AD8DA3" w14:textId="77777777" w:rsidR="002A194A" w:rsidRDefault="002A194A" w:rsidP="00A96F4F">
      <w:pPr>
        <w:spacing w:after="0"/>
      </w:pPr>
    </w:p>
    <w:p w14:paraId="5F930DAF" w14:textId="26374B5F" w:rsidR="002A194A" w:rsidRPr="003A2166" w:rsidRDefault="002A194A" w:rsidP="003A2166">
      <w:pPr>
        <w:pStyle w:val="Breakoutbox2"/>
        <w:spacing w:after="0"/>
        <w:rPr>
          <w:b/>
          <w:bCs/>
        </w:rPr>
      </w:pPr>
      <w:r w:rsidRPr="003A2166">
        <w:rPr>
          <w:b/>
          <w:bCs/>
        </w:rPr>
        <w:t xml:space="preserve">Finding </w:t>
      </w:r>
      <w:r w:rsidR="001149A3">
        <w:rPr>
          <w:b/>
          <w:bCs/>
        </w:rPr>
        <w:t>4</w:t>
      </w:r>
    </w:p>
    <w:p w14:paraId="2780D807" w14:textId="7C5BCAAD" w:rsidR="004851C9" w:rsidRPr="009F6CAD" w:rsidRDefault="004851C9" w:rsidP="00FA2041">
      <w:pPr>
        <w:pStyle w:val="Breakoutbox2"/>
        <w:spacing w:after="0"/>
      </w:pPr>
      <w:r w:rsidRPr="00A236CB">
        <w:t>Randomised Controlled Trials</w:t>
      </w:r>
      <w:r>
        <w:rPr>
          <w:bCs/>
        </w:rPr>
        <w:t xml:space="preserve"> (RCTs), the gold standard in empirical research, are rarely used in evaluating the impact of </w:t>
      </w:r>
      <w:r w:rsidR="00AC511E">
        <w:rPr>
          <w:bCs/>
        </w:rPr>
        <w:t>initial teacher education (</w:t>
      </w:r>
      <w:r>
        <w:rPr>
          <w:bCs/>
        </w:rPr>
        <w:t>ITE</w:t>
      </w:r>
      <w:r w:rsidR="00AC511E">
        <w:rPr>
          <w:bCs/>
        </w:rPr>
        <w:t>)</w:t>
      </w:r>
      <w:r>
        <w:rPr>
          <w:bCs/>
        </w:rPr>
        <w:t xml:space="preserve"> programs. Higher education providers are encouraged to conduct RCTs to inform evidence-based teaching practice. The Expert Panel also encourages higher education providers and employers to consider adopting the Quality Teaching Rounds approach to teacher development </w:t>
      </w:r>
      <w:r>
        <w:t>to ensure ITE students are equipped to implement</w:t>
      </w:r>
      <w:r>
        <w:rPr>
          <w:bCs/>
        </w:rPr>
        <w:t xml:space="preserve"> </w:t>
      </w:r>
      <w:r>
        <w:rPr>
          <w:bCs/>
          <w:noProof/>
        </w:rPr>
        <w:t>evidence-based teaching practices</w:t>
      </w:r>
      <w:r>
        <w:t xml:space="preserve"> when they enter the profession</w:t>
      </w:r>
      <w:r>
        <w:rPr>
          <w:bCs/>
          <w:noProof/>
        </w:rPr>
        <w:t>.</w:t>
      </w:r>
    </w:p>
    <w:p w14:paraId="5A4B08AB" w14:textId="77777777" w:rsidR="00D23118" w:rsidRDefault="00D23118" w:rsidP="00A96F4F">
      <w:pPr>
        <w:spacing w:after="0"/>
      </w:pPr>
    </w:p>
    <w:p w14:paraId="04BC9123" w14:textId="3CD6CABA" w:rsidR="00D23118" w:rsidRPr="009E3242" w:rsidRDefault="00D23118" w:rsidP="00A96F4F">
      <w:pPr>
        <w:pStyle w:val="Breakoutbox2"/>
        <w:spacing w:after="0"/>
        <w:rPr>
          <w:b/>
          <w:bCs/>
        </w:rPr>
      </w:pPr>
      <w:r w:rsidRPr="009E3242">
        <w:rPr>
          <w:b/>
          <w:bCs/>
        </w:rPr>
        <w:t>Finding</w:t>
      </w:r>
      <w:r w:rsidR="001149A3">
        <w:rPr>
          <w:b/>
          <w:bCs/>
        </w:rPr>
        <w:t xml:space="preserve"> 5</w:t>
      </w:r>
    </w:p>
    <w:p w14:paraId="51189AEB" w14:textId="52D07BFA" w:rsidR="00396184" w:rsidRPr="00F325BC" w:rsidDel="00892A3C" w:rsidRDefault="00396184" w:rsidP="00A96F4F">
      <w:pPr>
        <w:pStyle w:val="Breakoutbox2"/>
        <w:spacing w:after="0"/>
      </w:pPr>
      <w:r w:rsidRPr="00F325BC">
        <w:t>H</w:t>
      </w:r>
      <w:r w:rsidR="00AC511E">
        <w:t xml:space="preserve">ighly </w:t>
      </w:r>
      <w:r w:rsidRPr="00F325BC">
        <w:t>A</w:t>
      </w:r>
      <w:r w:rsidR="00AC511E">
        <w:t xml:space="preserve">ccomplished and </w:t>
      </w:r>
      <w:r w:rsidRPr="00F325BC">
        <w:t>L</w:t>
      </w:r>
      <w:r w:rsidR="00AC511E">
        <w:t xml:space="preserve">ead </w:t>
      </w:r>
      <w:r w:rsidRPr="00F325BC">
        <w:t>T</w:t>
      </w:r>
      <w:r w:rsidR="00AC511E">
        <w:t>eacher</w:t>
      </w:r>
      <w:r w:rsidRPr="00F325BC">
        <w:t xml:space="preserve">s </w:t>
      </w:r>
      <w:r w:rsidR="00AC511E">
        <w:t xml:space="preserve">(HALTs) </w:t>
      </w:r>
      <w:r w:rsidRPr="00F325BC">
        <w:t>represent some of the most highly</w:t>
      </w:r>
      <w:r w:rsidR="00D23118">
        <w:t xml:space="preserve"> </w:t>
      </w:r>
      <w:r w:rsidRPr="00F325BC">
        <w:t xml:space="preserve">skilled teachers in Australia. Consideration should be given to how best to increase the number of HALTs and how they can help support early career teachers through mentoring and professional development. </w:t>
      </w:r>
    </w:p>
    <w:p w14:paraId="0EC69488" w14:textId="77777777" w:rsidR="009F57FD" w:rsidRPr="004219FC" w:rsidRDefault="009F57FD" w:rsidP="00A96F4F">
      <w:pPr>
        <w:spacing w:after="0"/>
        <w:rPr>
          <w:bCs/>
          <w:color w:val="002060"/>
        </w:rPr>
      </w:pPr>
    </w:p>
    <w:p w14:paraId="0B0A0859" w14:textId="13D6694B" w:rsidR="009F57FD" w:rsidRDefault="009F57FD" w:rsidP="00A96F4F">
      <w:pPr>
        <w:pStyle w:val="Breakoutbox2"/>
        <w:spacing w:after="0"/>
        <w:rPr>
          <w:b/>
          <w:bCs/>
        </w:rPr>
      </w:pPr>
      <w:r>
        <w:rPr>
          <w:b/>
          <w:bCs/>
        </w:rPr>
        <w:t>Finding</w:t>
      </w:r>
      <w:r w:rsidR="001149A3">
        <w:rPr>
          <w:b/>
          <w:bCs/>
        </w:rPr>
        <w:t xml:space="preserve"> 6</w:t>
      </w:r>
    </w:p>
    <w:p w14:paraId="1AEEE3E0" w14:textId="18B1F8E8" w:rsidR="00396184" w:rsidRPr="00F325BC" w:rsidRDefault="00396184" w:rsidP="00A96F4F">
      <w:pPr>
        <w:pStyle w:val="Breakoutbox2"/>
        <w:spacing w:after="0"/>
      </w:pPr>
      <w:r w:rsidRPr="00F325BC">
        <w:t xml:space="preserve">Teacher Regulatory Authorities should consider creating a new category of registration, Community Educators, which would recognise the work these educators already do and create a new pathway for Aboriginal and Torres Strait Islander </w:t>
      </w:r>
      <w:r w:rsidR="00AC511E">
        <w:t>initial teacher education</w:t>
      </w:r>
      <w:r w:rsidR="00AC511E" w:rsidRPr="00F325BC">
        <w:t xml:space="preserve"> </w:t>
      </w:r>
      <w:r w:rsidRPr="00F325BC">
        <w:t>students to consider.</w:t>
      </w:r>
    </w:p>
    <w:p w14:paraId="0C41E163" w14:textId="0A28CD34" w:rsidR="004219FC" w:rsidRPr="004219FC" w:rsidRDefault="004219FC">
      <w:pPr>
        <w:spacing w:after="0" w:line="240" w:lineRule="auto"/>
      </w:pPr>
    </w:p>
    <w:p w14:paraId="414B4AEF" w14:textId="2F59348D" w:rsidR="00E65F54" w:rsidRPr="009E3242" w:rsidRDefault="00E65F54" w:rsidP="00A96F4F">
      <w:pPr>
        <w:pStyle w:val="Breakoutbox2"/>
        <w:spacing w:after="0"/>
        <w:rPr>
          <w:b/>
          <w:bCs/>
        </w:rPr>
      </w:pPr>
      <w:r w:rsidRPr="009E3242">
        <w:rPr>
          <w:b/>
          <w:bCs/>
        </w:rPr>
        <w:t>Finding</w:t>
      </w:r>
      <w:r w:rsidR="001149A3">
        <w:rPr>
          <w:b/>
          <w:bCs/>
        </w:rPr>
        <w:t xml:space="preserve"> 7</w:t>
      </w:r>
    </w:p>
    <w:p w14:paraId="0086791C" w14:textId="5632131B" w:rsidR="00E65F54" w:rsidRDefault="00E65F54" w:rsidP="00A96F4F">
      <w:pPr>
        <w:pStyle w:val="Breakoutbox2"/>
        <w:spacing w:after="0"/>
      </w:pPr>
      <w:r>
        <w:t>Given the potential for micro-credentials and short courses to provide quality access to opportunities to enhance teacher capability in a short timeframe, higher education providers could consider ways to make the delivery of these programs more widespread in areas where teachers feel they need additional support, including classroom management, cultural competency, and teaching diverse learners.</w:t>
      </w:r>
    </w:p>
    <w:p w14:paraId="75A7BC9B" w14:textId="77777777" w:rsidR="00A222D4" w:rsidRDefault="00A222D4" w:rsidP="000470DA">
      <w:pPr>
        <w:rPr>
          <w:sz w:val="18"/>
          <w:szCs w:val="18"/>
        </w:rPr>
        <w:sectPr w:rsidR="00A222D4" w:rsidSect="003C6733">
          <w:type w:val="continuous"/>
          <w:pgSz w:w="11900" w:h="16840"/>
          <w:pgMar w:top="284" w:right="1440" w:bottom="284" w:left="1440" w:header="709" w:footer="709" w:gutter="0"/>
          <w:pgNumType w:fmt="lowerRoman"/>
          <w:cols w:space="708"/>
          <w:docGrid w:linePitch="360"/>
        </w:sectPr>
      </w:pPr>
    </w:p>
    <w:p w14:paraId="494FA068" w14:textId="77777777" w:rsidR="004219FC" w:rsidRDefault="004219FC" w:rsidP="007F5172">
      <w:pPr>
        <w:pStyle w:val="Heading1"/>
        <w:sectPr w:rsidR="004219FC" w:rsidSect="00DE4FE5">
          <w:footerReference w:type="default" r:id="rId20"/>
          <w:type w:val="continuous"/>
          <w:pgSz w:w="11900" w:h="16840"/>
          <w:pgMar w:top="426" w:right="1440" w:bottom="284" w:left="1440" w:header="708" w:footer="708" w:gutter="0"/>
          <w:pgNumType w:start="1"/>
          <w:cols w:space="708"/>
          <w:docGrid w:linePitch="360"/>
        </w:sectPr>
      </w:pPr>
      <w:bookmarkStart w:id="15" w:name="_Toc86138401"/>
      <w:bookmarkStart w:id="16" w:name="_Toc86141305"/>
      <w:bookmarkEnd w:id="10"/>
    </w:p>
    <w:p w14:paraId="795D290E" w14:textId="7918D927" w:rsidR="00290051" w:rsidRDefault="00290051" w:rsidP="007F5172">
      <w:pPr>
        <w:pStyle w:val="Heading1"/>
      </w:pPr>
      <w:bookmarkStart w:id="17" w:name="_Toc91160196"/>
      <w:r>
        <w:lastRenderedPageBreak/>
        <w:t>Introduction</w:t>
      </w:r>
      <w:bookmarkEnd w:id="15"/>
      <w:bookmarkEnd w:id="16"/>
      <w:bookmarkEnd w:id="17"/>
    </w:p>
    <w:bookmarkEnd w:id="0"/>
    <w:p w14:paraId="350B4384" w14:textId="163FADE5" w:rsidR="00C22FD4" w:rsidRDefault="00AF4BB4" w:rsidP="004219FC">
      <w:pPr>
        <w:spacing w:after="120"/>
      </w:pPr>
      <w:r>
        <w:t xml:space="preserve">The shared vision of the Alice Springs (Mparntwe) Education Declaration (the Declaration) </w:t>
      </w:r>
      <w:r w:rsidR="001E1F31">
        <w:t>is for Australia to have a world class education system that supports every student.</w:t>
      </w:r>
      <w:r w:rsidR="00C22FD4">
        <w:t xml:space="preserve"> </w:t>
      </w:r>
      <w:r w:rsidR="00073688">
        <w:t>Quality teaching, as the most important in</w:t>
      </w:r>
      <w:r w:rsidR="00B944F8">
        <w:noBreakHyphen/>
      </w:r>
      <w:r w:rsidR="00073688">
        <w:t xml:space="preserve">school influence on student learning, is fundamental to achieving this vision. </w:t>
      </w:r>
    </w:p>
    <w:p w14:paraId="777BED5F" w14:textId="6661CA8F" w:rsidR="00BB02D7" w:rsidRPr="004D6AE0" w:rsidRDefault="00C3292C" w:rsidP="00CD1FEB">
      <w:pPr>
        <w:pStyle w:val="Quote"/>
        <w:framePr w:wrap="around"/>
      </w:pPr>
      <w:r>
        <w:t>T</w:t>
      </w:r>
      <w:r w:rsidR="00D44B15" w:rsidRPr="004D6AE0">
        <w:t>eachers, educators and leaders are vital to achieving these education</w:t>
      </w:r>
      <w:r w:rsidR="00ED522E" w:rsidRPr="004D6AE0">
        <w:t xml:space="preserve"> goals [… and] have the ability to transform the lives of young people and inspire and nurture their personal and academic </w:t>
      </w:r>
      <w:r w:rsidR="0097543D" w:rsidRPr="004D6AE0">
        <w:t xml:space="preserve">development. They provide significant encouragement, advice and support for learners outside the </w:t>
      </w:r>
      <w:r w:rsidR="00860383" w:rsidRPr="004D6AE0">
        <w:t>home, shaping teaching to nurture the unique abilities of every child.</w:t>
      </w:r>
    </w:p>
    <w:p w14:paraId="5119C119" w14:textId="658D4423" w:rsidR="00D44B15" w:rsidRPr="004D6AE0" w:rsidRDefault="00BB02D7" w:rsidP="00CD1FEB">
      <w:pPr>
        <w:pStyle w:val="Quote"/>
        <w:framePr w:wrap="around"/>
      </w:pPr>
      <w:r w:rsidRPr="004D6AE0">
        <w:t>Alice Springs (Mparntwe) Education Declaration</w:t>
      </w:r>
    </w:p>
    <w:p w14:paraId="3B99D19E" w14:textId="77777777" w:rsidR="004219FC" w:rsidRDefault="004219FC" w:rsidP="004219FC">
      <w:pPr>
        <w:spacing w:after="0"/>
      </w:pPr>
    </w:p>
    <w:p w14:paraId="6F791A17" w14:textId="5529B1E0" w:rsidR="00C22FD4" w:rsidRDefault="00E81F5C" w:rsidP="004219FC">
      <w:r>
        <w:t>Australia has a strong</w:t>
      </w:r>
      <w:r w:rsidR="00436845">
        <w:t xml:space="preserve">, committed teaching workforce. </w:t>
      </w:r>
      <w:r w:rsidR="000A2172">
        <w:t xml:space="preserve">The ongoing experience of the COVID-19 pandemic has </w:t>
      </w:r>
      <w:r w:rsidR="000E4005">
        <w:t xml:space="preserve">highlighted </w:t>
      </w:r>
      <w:r w:rsidR="000A2172">
        <w:t>the critical role teachers play in society</w:t>
      </w:r>
      <w:r w:rsidR="00C05DCE">
        <w:t xml:space="preserve"> and how much they are valued</w:t>
      </w:r>
      <w:r w:rsidR="00855CE2">
        <w:t xml:space="preserve"> by students and families</w:t>
      </w:r>
      <w:r w:rsidR="000A2172">
        <w:t>.</w:t>
      </w:r>
      <w:r>
        <w:t xml:space="preserve"> </w:t>
      </w:r>
      <w:r w:rsidR="008F085C">
        <w:t xml:space="preserve">It has also </w:t>
      </w:r>
      <w:r w:rsidR="00777F5D">
        <w:t xml:space="preserve">brought to light </w:t>
      </w:r>
      <w:r w:rsidR="00F943DC">
        <w:t>teachers’</w:t>
      </w:r>
      <w:r w:rsidR="008F085C">
        <w:t xml:space="preserve"> adaptability</w:t>
      </w:r>
      <w:r w:rsidR="00FC5163">
        <w:t xml:space="preserve"> </w:t>
      </w:r>
      <w:r w:rsidR="0057330C">
        <w:t>and resilience</w:t>
      </w:r>
      <w:r w:rsidR="008F085C">
        <w:t xml:space="preserve"> </w:t>
      </w:r>
      <w:r w:rsidR="00D122FA">
        <w:t xml:space="preserve">as they continue to support </w:t>
      </w:r>
      <w:r w:rsidR="003A23F1">
        <w:t xml:space="preserve">students and school communities in challenging circumstances. </w:t>
      </w:r>
    </w:p>
    <w:p w14:paraId="4B22F1DF" w14:textId="604C18B5" w:rsidR="00AC7ED4" w:rsidRDefault="00EC35D7" w:rsidP="004219FC">
      <w:r>
        <w:t xml:space="preserve">We must ensure that the expertise, experience </w:t>
      </w:r>
      <w:r w:rsidR="00B45DEF">
        <w:t xml:space="preserve">and skills of Australia’s teachers </w:t>
      </w:r>
      <w:r w:rsidR="00DF3817">
        <w:t xml:space="preserve">are </w:t>
      </w:r>
      <w:r w:rsidR="00B45DEF">
        <w:t xml:space="preserve">supported by highly effective </w:t>
      </w:r>
      <w:r w:rsidR="00B47072">
        <w:t>initial teacher education (ITE)</w:t>
      </w:r>
      <w:r w:rsidR="00B45DEF">
        <w:t xml:space="preserve"> </w:t>
      </w:r>
      <w:r w:rsidR="00A2271B">
        <w:t>that prepares the next generation of teachers</w:t>
      </w:r>
      <w:r w:rsidR="0005128E">
        <w:t>.</w:t>
      </w:r>
    </w:p>
    <w:p w14:paraId="0EA94734" w14:textId="36F1948C" w:rsidR="00E4240B" w:rsidRDefault="00E4240B" w:rsidP="004219FC">
      <w:pPr>
        <w:pStyle w:val="Heading7"/>
      </w:pPr>
      <w:r>
        <w:t xml:space="preserve">About the </w:t>
      </w:r>
      <w:bookmarkStart w:id="18" w:name="_Hlk86053680"/>
      <w:r>
        <w:t>Revie</w:t>
      </w:r>
      <w:bookmarkEnd w:id="18"/>
      <w:r>
        <w:t>w</w:t>
      </w:r>
    </w:p>
    <w:p w14:paraId="651D253C" w14:textId="0075B3A4" w:rsidR="00E4240B" w:rsidRDefault="00E4240B" w:rsidP="004219FC">
      <w:r>
        <w:t xml:space="preserve">On 11 March 2021, the Hon Alan Tudge MP, Australian Government Minister for Education and Youth, delivered a speech which announced his intention to launch a review looking at the next evolution of reforms to ITE. </w:t>
      </w:r>
    </w:p>
    <w:p w14:paraId="2CAB1408" w14:textId="577EF2BD" w:rsidR="00350E21" w:rsidRDefault="00E4240B" w:rsidP="004219FC">
      <w:r>
        <w:t>In his speech, Minister Tudge highlighted Australia's declining Programme for International Student Assessment (PISA) outcomes in both absolute terms and relative to other countries</w:t>
      </w:r>
      <w:r w:rsidR="008E37C7">
        <w:t xml:space="preserve">, </w:t>
      </w:r>
      <w:r>
        <w:t>and identified quality teaching as one of the key areas of focus to return Australia to the top group of nations. Minister Tudge</w:t>
      </w:r>
      <w:r w:rsidDel="00A3254A">
        <w:t xml:space="preserve"> </w:t>
      </w:r>
      <w:r w:rsidR="00A3254A">
        <w:t>said</w:t>
      </w:r>
      <w:r>
        <w:t xml:space="preserve"> that this review would build upon the significant reforms arising from the Teacher Education Ministerial Advisory Group (TEMAG) report. </w:t>
      </w:r>
    </w:p>
    <w:p w14:paraId="691AABD1" w14:textId="0ADF589B" w:rsidR="00190252" w:rsidRDefault="00E4240B" w:rsidP="004219FC">
      <w:r>
        <w:t>The Quality Initial Teacher Education Review (the Review) was launched on 15 April</w:t>
      </w:r>
      <w:r w:rsidR="320F2E84">
        <w:t xml:space="preserve"> 2021</w:t>
      </w:r>
      <w:r>
        <w:t xml:space="preserve">, with the announcement of the Terms of Reference and an Expert Panel </w:t>
      </w:r>
      <w:r w:rsidR="002B401E">
        <w:t>chaired by</w:t>
      </w:r>
      <w:r>
        <w:t xml:space="preserve"> Ms Lisa Paul AO PSM (former Secretary of the Department of Education), </w:t>
      </w:r>
      <w:r w:rsidR="00EF6D76">
        <w:t>with</w:t>
      </w:r>
      <w:r w:rsidR="00FD35DD">
        <w:t xml:space="preserve"> </w:t>
      </w:r>
      <w:r w:rsidR="00305686" w:rsidRPr="00305686">
        <w:t>Mr Malcolm Elliott (President, Australian Primary Principals Association)</w:t>
      </w:r>
      <w:r w:rsidR="00305686">
        <w:t xml:space="preserve">, </w:t>
      </w:r>
      <w:r>
        <w:t>Emeritus Professor Bill Louden AM (former Dean of Education and Deputy Vice Chancellor, University of Western Australia), and Mr Derek Scott (Principal, Haileybury and 2019 Australian School Principal of the Year).</w:t>
      </w:r>
    </w:p>
    <w:p w14:paraId="17F45B9B" w14:textId="67C6EB62" w:rsidR="00C8351C" w:rsidRDefault="00C8351C" w:rsidP="004219FC">
      <w:r>
        <w:t xml:space="preserve">The Terms of Reference </w:t>
      </w:r>
      <w:r w:rsidRPr="00FC6239">
        <w:t xml:space="preserve">(Appendix </w:t>
      </w:r>
      <w:r w:rsidR="00516CB7" w:rsidRPr="00FC6239">
        <w:t>A</w:t>
      </w:r>
      <w:r w:rsidRPr="00FC6239">
        <w:t>)</w:t>
      </w:r>
      <w:r>
        <w:t xml:space="preserve"> </w:t>
      </w:r>
      <w:r w:rsidR="00977B53">
        <w:t xml:space="preserve">set out </w:t>
      </w:r>
      <w:r>
        <w:t>the two key questions that form the scope of the Review: how best to attract and select high-quality candidates into ITE and how best to prepare them to become effective teachers.</w:t>
      </w:r>
    </w:p>
    <w:p w14:paraId="0D7D6BDD" w14:textId="14C812F9" w:rsidR="006576DB" w:rsidRDefault="00726AB8" w:rsidP="004219FC">
      <w:pPr>
        <w:pStyle w:val="Heading7"/>
      </w:pPr>
      <w:r>
        <w:t>Stakeholder engagement and consultation</w:t>
      </w:r>
    </w:p>
    <w:p w14:paraId="1C7E0562" w14:textId="697919ED" w:rsidR="00923FAD" w:rsidRDefault="33EF2781" w:rsidP="004219FC">
      <w:pPr>
        <w:spacing w:after="0"/>
      </w:pPr>
      <w:r>
        <w:t xml:space="preserve">The </w:t>
      </w:r>
      <w:hyperlink r:id="rId21">
        <w:r w:rsidR="22164B7C" w:rsidRPr="69743BDD">
          <w:rPr>
            <w:rStyle w:val="Hyperlink"/>
          </w:rPr>
          <w:t>Discussion Paper</w:t>
        </w:r>
      </w:hyperlink>
      <w:r w:rsidR="22164B7C">
        <w:t xml:space="preserve"> </w:t>
      </w:r>
      <w:r>
        <w:t xml:space="preserve">was released </w:t>
      </w:r>
      <w:r w:rsidR="22164B7C">
        <w:t>on 19 June</w:t>
      </w:r>
      <w:r w:rsidR="1EB03B9B">
        <w:t xml:space="preserve"> 2021</w:t>
      </w:r>
      <w:r w:rsidR="22164B7C">
        <w:t>.</w:t>
      </w:r>
      <w:r w:rsidR="2684E3F6">
        <w:t xml:space="preserve"> The </w:t>
      </w:r>
      <w:r w:rsidR="211398A2">
        <w:t>Discussion Paper highlighted that:</w:t>
      </w:r>
    </w:p>
    <w:p w14:paraId="7A18EDB8" w14:textId="7ABE43F7" w:rsidR="002B5FD0" w:rsidRDefault="00185FF5" w:rsidP="00F66D2A">
      <w:pPr>
        <w:pStyle w:val="ListParagraph"/>
        <w:numPr>
          <w:ilvl w:val="0"/>
          <w:numId w:val="8"/>
        </w:numPr>
      </w:pPr>
      <w:r>
        <w:t>the proportion of young high</w:t>
      </w:r>
      <w:r w:rsidR="00C96B4E">
        <w:t xml:space="preserve"> </w:t>
      </w:r>
      <w:r>
        <w:t>achievers choosing teaching is declining</w:t>
      </w:r>
    </w:p>
    <w:p w14:paraId="4E0EA1B2" w14:textId="77777777" w:rsidR="00185FF5" w:rsidRDefault="00185FF5" w:rsidP="00F66D2A">
      <w:pPr>
        <w:pStyle w:val="ListParagraph"/>
        <w:numPr>
          <w:ilvl w:val="0"/>
          <w:numId w:val="8"/>
        </w:numPr>
      </w:pPr>
      <w:r>
        <w:t xml:space="preserve">completion rates for ITE courses vary significantly across </w:t>
      </w:r>
      <w:r w:rsidR="005D2BAE">
        <w:t xml:space="preserve">higher education </w:t>
      </w:r>
      <w:r>
        <w:t>providers with some as low as 34 per cent</w:t>
      </w:r>
    </w:p>
    <w:p w14:paraId="50564EA2" w14:textId="77777777" w:rsidR="00185FF5" w:rsidRDefault="005D2BAE" w:rsidP="00F66D2A">
      <w:pPr>
        <w:pStyle w:val="ListParagraph"/>
        <w:numPr>
          <w:ilvl w:val="0"/>
          <w:numId w:val="8"/>
        </w:numPr>
      </w:pPr>
      <w:r>
        <w:t xml:space="preserve">some six years after </w:t>
      </w:r>
      <w:r w:rsidR="00C5450D">
        <w:t xml:space="preserve">the </w:t>
      </w:r>
      <w:r>
        <w:t>TEMAG</w:t>
      </w:r>
      <w:r w:rsidR="00C5450D">
        <w:t xml:space="preserve"> Review</w:t>
      </w:r>
      <w:r>
        <w:t xml:space="preserve">, some </w:t>
      </w:r>
      <w:r w:rsidR="005F13D7">
        <w:t xml:space="preserve">higher education </w:t>
      </w:r>
      <w:r>
        <w:t xml:space="preserve">providers </w:t>
      </w:r>
      <w:r w:rsidR="00046344">
        <w:t xml:space="preserve">still </w:t>
      </w:r>
      <w:r w:rsidR="00E76BFE">
        <w:t xml:space="preserve">at that time </w:t>
      </w:r>
      <w:r w:rsidR="00046344">
        <w:t>did not have an</w:t>
      </w:r>
      <w:r>
        <w:t xml:space="preserve"> endorsed Teach</w:t>
      </w:r>
      <w:r w:rsidR="00F5378E">
        <w:t xml:space="preserve">ing Performance Assessment </w:t>
      </w:r>
      <w:r w:rsidR="0052492C">
        <w:t>(TPA)</w:t>
      </w:r>
      <w:r w:rsidR="00F5378E">
        <w:t xml:space="preserve"> in place – a critical element to ensuring that graduates are classroom</w:t>
      </w:r>
      <w:r w:rsidR="00CE6DE9">
        <w:t xml:space="preserve"> </w:t>
      </w:r>
      <w:r w:rsidR="00F5378E">
        <w:t>ready.</w:t>
      </w:r>
    </w:p>
    <w:p w14:paraId="4137BCB3" w14:textId="52599A62" w:rsidR="00E432A8" w:rsidRDefault="47D436E7" w:rsidP="004219FC">
      <w:pPr>
        <w:rPr>
          <w:rFonts w:ascii="Calibri" w:eastAsia="Calibri" w:hAnsi="Calibri" w:cs="Calibri"/>
        </w:rPr>
      </w:pPr>
      <w:r w:rsidRPr="00893217">
        <w:rPr>
          <w:rFonts w:ascii="Calibri" w:eastAsia="Calibri" w:hAnsi="Calibri" w:cs="Calibri"/>
        </w:rPr>
        <w:lastRenderedPageBreak/>
        <w:t xml:space="preserve">To ensure the views of key stakeholder and audience groups </w:t>
      </w:r>
      <w:r w:rsidR="007F6163">
        <w:rPr>
          <w:rFonts w:ascii="Calibri" w:eastAsia="Calibri" w:hAnsi="Calibri" w:cs="Calibri"/>
        </w:rPr>
        <w:t xml:space="preserve">were </w:t>
      </w:r>
      <w:r w:rsidR="00C47136">
        <w:rPr>
          <w:rFonts w:ascii="Calibri" w:eastAsia="Calibri" w:hAnsi="Calibri" w:cs="Calibri"/>
        </w:rPr>
        <w:t>captured by the Review</w:t>
      </w:r>
      <w:r w:rsidRPr="00893217">
        <w:rPr>
          <w:rFonts w:ascii="Calibri" w:eastAsia="Calibri" w:hAnsi="Calibri" w:cs="Calibri"/>
        </w:rPr>
        <w:t>, a consultation process was undertaken between May and August 2021</w:t>
      </w:r>
      <w:r w:rsidR="00361E3B">
        <w:rPr>
          <w:rFonts w:ascii="Calibri" w:eastAsia="Calibri" w:hAnsi="Calibri" w:cs="Calibri"/>
        </w:rPr>
        <w:t>.</w:t>
      </w:r>
      <w:r w:rsidR="00D01FE8">
        <w:rPr>
          <w:rFonts w:ascii="Calibri" w:eastAsia="Calibri" w:hAnsi="Calibri" w:cs="Calibri"/>
        </w:rPr>
        <w:t xml:space="preserve"> </w:t>
      </w:r>
      <w:r w:rsidR="2FBD96DF" w:rsidRPr="0051067B">
        <w:rPr>
          <w:rFonts w:ascii="Calibri" w:eastAsia="Calibri" w:hAnsi="Calibri" w:cs="Calibri"/>
        </w:rPr>
        <w:t xml:space="preserve">The Social Deck was engaged to </w:t>
      </w:r>
      <w:r w:rsidR="51F641CC" w:rsidRPr="0051067B">
        <w:rPr>
          <w:rFonts w:ascii="Calibri" w:eastAsia="Calibri" w:hAnsi="Calibri" w:cs="Calibri"/>
        </w:rPr>
        <w:t xml:space="preserve">facilitate a range of consultation activities </w:t>
      </w:r>
      <w:r w:rsidR="005117FD">
        <w:rPr>
          <w:rFonts w:ascii="Calibri" w:eastAsia="Calibri" w:hAnsi="Calibri" w:cs="Calibri"/>
        </w:rPr>
        <w:t xml:space="preserve">to </w:t>
      </w:r>
      <w:r w:rsidR="00582D41">
        <w:rPr>
          <w:rFonts w:ascii="Calibri" w:eastAsia="Calibri" w:hAnsi="Calibri" w:cs="Calibri"/>
        </w:rPr>
        <w:t>promote</w:t>
      </w:r>
      <w:r w:rsidR="005117FD">
        <w:rPr>
          <w:rFonts w:ascii="Calibri" w:eastAsia="Calibri" w:hAnsi="Calibri" w:cs="Calibri"/>
        </w:rPr>
        <w:t xml:space="preserve"> public engagement with the Review</w:t>
      </w:r>
      <w:r w:rsidR="51F641CC" w:rsidRPr="0051067B">
        <w:rPr>
          <w:rFonts w:ascii="Calibri" w:eastAsia="Calibri" w:hAnsi="Calibri" w:cs="Calibri"/>
        </w:rPr>
        <w:t>.</w:t>
      </w:r>
      <w:r w:rsidR="2FBD96DF" w:rsidRPr="0051067B">
        <w:rPr>
          <w:rFonts w:ascii="Calibri" w:eastAsia="Calibri" w:hAnsi="Calibri" w:cs="Calibri"/>
        </w:rPr>
        <w:t xml:space="preserve"> </w:t>
      </w:r>
      <w:r w:rsidRPr="00893217">
        <w:rPr>
          <w:rFonts w:ascii="Calibri" w:eastAsia="Calibri" w:hAnsi="Calibri" w:cs="Calibri"/>
        </w:rPr>
        <w:t xml:space="preserve">Due to the ongoing COVID-19 pandemic, the majority of consultation activities were held virtually. </w:t>
      </w:r>
      <w:r w:rsidR="00FE2256" w:rsidRPr="001834F1">
        <w:t>Nearly 3</w:t>
      </w:r>
      <w:r w:rsidR="006B780D">
        <w:t>,</w:t>
      </w:r>
      <w:r w:rsidR="00FE2256" w:rsidRPr="001834F1">
        <w:t xml:space="preserve">000 responses were received over the course of the Review through submissions, stakeholder meetings, webinars, focus groups and multiple surveys, including conjoint analysis surveys conducted by the Behavioural Economics Team of the Australian Government </w:t>
      </w:r>
      <w:r w:rsidR="006A466E">
        <w:t>(BETA)</w:t>
      </w:r>
      <w:r w:rsidR="00FE2256" w:rsidRPr="001834F1">
        <w:t xml:space="preserve"> on behalf of the Review.</w:t>
      </w:r>
      <w:r w:rsidR="000A7DE7" w:rsidRPr="007F0CA0">
        <w:rPr>
          <w:rFonts w:ascii="Calibri" w:eastAsia="Calibri" w:hAnsi="Calibri" w:cs="Calibri"/>
        </w:rPr>
        <w:t xml:space="preserve"> </w:t>
      </w:r>
      <w:r w:rsidR="00C64F7B">
        <w:rPr>
          <w:rFonts w:ascii="Calibri" w:eastAsia="Calibri" w:hAnsi="Calibri" w:cs="Calibri"/>
        </w:rPr>
        <w:t xml:space="preserve">Consultation activities and key participation data are detailed in </w:t>
      </w:r>
      <w:r w:rsidR="00C64F7B" w:rsidRPr="00983855">
        <w:rPr>
          <w:rFonts w:ascii="Calibri" w:eastAsia="Calibri" w:hAnsi="Calibri" w:cs="Calibri"/>
        </w:rPr>
        <w:t>Table 1</w:t>
      </w:r>
      <w:r w:rsidR="00C64F7B" w:rsidRPr="004B37A0">
        <w:rPr>
          <w:rFonts w:ascii="Calibri" w:eastAsia="Calibri" w:hAnsi="Calibri" w:cs="Calibri"/>
        </w:rPr>
        <w:t>.</w:t>
      </w:r>
    </w:p>
    <w:p w14:paraId="5556D4A0" w14:textId="6DA11072" w:rsidR="00341983" w:rsidRPr="00CA25DD" w:rsidRDefault="00341983" w:rsidP="00E14F7E">
      <w:pPr>
        <w:pStyle w:val="Caption"/>
        <w:keepNext/>
        <w:spacing w:after="0"/>
      </w:pPr>
      <w:r w:rsidRPr="00D04FD2">
        <w:rPr>
          <w:i w:val="0"/>
          <w:color w:val="000000" w:themeColor="text1"/>
        </w:rPr>
        <w:t xml:space="preserve">Table </w:t>
      </w:r>
      <w:r w:rsidRPr="00D04FD2">
        <w:rPr>
          <w:i w:val="0"/>
          <w:color w:val="000000" w:themeColor="text1"/>
        </w:rPr>
        <w:fldChar w:fldCharType="begin"/>
      </w:r>
      <w:r w:rsidRPr="00D04FD2">
        <w:rPr>
          <w:i w:val="0"/>
          <w:color w:val="000000" w:themeColor="text1"/>
        </w:rPr>
        <w:instrText xml:space="preserve"> SEQ Table \* ARABIC </w:instrText>
      </w:r>
      <w:r w:rsidRPr="00D04FD2">
        <w:rPr>
          <w:i w:val="0"/>
          <w:color w:val="000000" w:themeColor="text1"/>
        </w:rPr>
        <w:fldChar w:fldCharType="separate"/>
      </w:r>
      <w:r w:rsidR="00B454C1">
        <w:rPr>
          <w:i w:val="0"/>
          <w:noProof/>
          <w:color w:val="000000" w:themeColor="text1"/>
        </w:rPr>
        <w:t>1</w:t>
      </w:r>
      <w:r w:rsidRPr="00D04FD2">
        <w:rPr>
          <w:i w:val="0"/>
          <w:color w:val="000000" w:themeColor="text1"/>
        </w:rPr>
        <w:fldChar w:fldCharType="end"/>
      </w:r>
      <w:r w:rsidR="00493066">
        <w:rPr>
          <w:i w:val="0"/>
          <w:color w:val="000000" w:themeColor="text1"/>
        </w:rPr>
        <w:t>.</w:t>
      </w:r>
      <w:r w:rsidRPr="00D04FD2">
        <w:rPr>
          <w:i w:val="0"/>
          <w:color w:val="000000" w:themeColor="text1"/>
        </w:rPr>
        <w:t xml:space="preserve"> Consultation Activities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6374"/>
        <w:gridCol w:w="1275"/>
      </w:tblGrid>
      <w:tr w:rsidR="004C5C4A" w14:paraId="5989DD03" w14:textId="77777777" w:rsidTr="5D701926">
        <w:tc>
          <w:tcPr>
            <w:tcW w:w="1413" w:type="dxa"/>
            <w:shd w:val="clear" w:color="auto" w:fill="B4C6E7" w:themeFill="accent1" w:themeFillTint="66"/>
            <w:tcMar>
              <w:top w:w="0" w:type="dxa"/>
              <w:left w:w="108" w:type="dxa"/>
              <w:bottom w:w="0" w:type="dxa"/>
              <w:right w:w="108" w:type="dxa"/>
            </w:tcMar>
            <w:hideMark/>
          </w:tcPr>
          <w:p w14:paraId="1CA1C511" w14:textId="77777777" w:rsidR="004C5C4A" w:rsidRDefault="004C5C4A" w:rsidP="004219FC">
            <w:pPr>
              <w:spacing w:after="0"/>
              <w:jc w:val="center"/>
              <w:rPr>
                <w:b/>
                <w:bCs/>
              </w:rPr>
            </w:pPr>
            <w:r>
              <w:rPr>
                <w:b/>
                <w:bCs/>
              </w:rPr>
              <w:t>Consultation activity</w:t>
            </w:r>
          </w:p>
        </w:tc>
        <w:tc>
          <w:tcPr>
            <w:tcW w:w="6374" w:type="dxa"/>
            <w:shd w:val="clear" w:color="auto" w:fill="B4C6E7" w:themeFill="accent1" w:themeFillTint="66"/>
            <w:tcMar>
              <w:top w:w="0" w:type="dxa"/>
              <w:left w:w="108" w:type="dxa"/>
              <w:bottom w:w="0" w:type="dxa"/>
              <w:right w:w="108" w:type="dxa"/>
            </w:tcMar>
            <w:hideMark/>
          </w:tcPr>
          <w:p w14:paraId="0511D620" w14:textId="094228F7" w:rsidR="004C5C4A" w:rsidRDefault="004B4544" w:rsidP="004219FC">
            <w:pPr>
              <w:spacing w:after="0"/>
              <w:jc w:val="center"/>
              <w:rPr>
                <w:b/>
                <w:bCs/>
              </w:rPr>
            </w:pPr>
            <w:r>
              <w:rPr>
                <w:b/>
                <w:bCs/>
              </w:rPr>
              <w:t>Description</w:t>
            </w:r>
          </w:p>
        </w:tc>
        <w:tc>
          <w:tcPr>
            <w:tcW w:w="1275" w:type="dxa"/>
            <w:shd w:val="clear" w:color="auto" w:fill="B4C6E7" w:themeFill="accent1" w:themeFillTint="66"/>
            <w:tcMar>
              <w:top w:w="0" w:type="dxa"/>
              <w:left w:w="108" w:type="dxa"/>
              <w:bottom w:w="0" w:type="dxa"/>
              <w:right w:w="108" w:type="dxa"/>
            </w:tcMar>
            <w:hideMark/>
          </w:tcPr>
          <w:p w14:paraId="18503EE7" w14:textId="77777777" w:rsidR="004C5C4A" w:rsidRDefault="004C5C4A" w:rsidP="004219FC">
            <w:pPr>
              <w:spacing w:after="0"/>
              <w:jc w:val="center"/>
              <w:rPr>
                <w:b/>
                <w:bCs/>
              </w:rPr>
            </w:pPr>
            <w:r>
              <w:rPr>
                <w:b/>
                <w:bCs/>
                <w:color w:val="000000"/>
              </w:rPr>
              <w:t>Number of attendees/ responses</w:t>
            </w:r>
          </w:p>
        </w:tc>
      </w:tr>
      <w:tr w:rsidR="004C5C4A" w14:paraId="37C5E3D5" w14:textId="77777777" w:rsidTr="5D701926">
        <w:tc>
          <w:tcPr>
            <w:tcW w:w="1413" w:type="dxa"/>
            <w:tcMar>
              <w:top w:w="0" w:type="dxa"/>
              <w:left w:w="108" w:type="dxa"/>
              <w:bottom w:w="0" w:type="dxa"/>
              <w:right w:w="108" w:type="dxa"/>
            </w:tcMar>
            <w:hideMark/>
          </w:tcPr>
          <w:p w14:paraId="18F0A5AB" w14:textId="77777777" w:rsidR="004C5C4A" w:rsidRDefault="004C5C4A" w:rsidP="004219FC">
            <w:pPr>
              <w:spacing w:after="0"/>
              <w:jc w:val="center"/>
            </w:pPr>
            <w:r>
              <w:t>Submissions process</w:t>
            </w:r>
          </w:p>
        </w:tc>
        <w:tc>
          <w:tcPr>
            <w:tcW w:w="6374" w:type="dxa"/>
            <w:tcMar>
              <w:top w:w="0" w:type="dxa"/>
              <w:left w:w="108" w:type="dxa"/>
              <w:bottom w:w="0" w:type="dxa"/>
              <w:right w:w="108" w:type="dxa"/>
            </w:tcMar>
            <w:hideMark/>
          </w:tcPr>
          <w:p w14:paraId="631041F9" w14:textId="4E5A364A" w:rsidR="004C5C4A" w:rsidRDefault="00B234C5" w:rsidP="004219FC">
            <w:pPr>
              <w:spacing w:after="0"/>
            </w:pPr>
            <w:r>
              <w:t xml:space="preserve">The submissions </w:t>
            </w:r>
            <w:r w:rsidR="00320D22">
              <w:t xml:space="preserve">were invited </w:t>
            </w:r>
            <w:r w:rsidR="00944552">
              <w:t>publicly</w:t>
            </w:r>
            <w:r>
              <w:t xml:space="preserve"> </w:t>
            </w:r>
            <w:r w:rsidRPr="0068045E">
              <w:t xml:space="preserve">in response to questions identified in the Discussion Paper. </w:t>
            </w:r>
            <w:r>
              <w:t xml:space="preserve">Stakeholders who have agreed to have their submission/s published are listed at </w:t>
            </w:r>
            <w:r w:rsidR="00B37554" w:rsidRPr="00FC6239">
              <w:t xml:space="preserve">Appendix </w:t>
            </w:r>
            <w:r w:rsidR="00516CB7" w:rsidRPr="00FC6239">
              <w:t>B</w:t>
            </w:r>
            <w:r w:rsidRPr="00FC6239">
              <w:t>.</w:t>
            </w:r>
          </w:p>
        </w:tc>
        <w:tc>
          <w:tcPr>
            <w:tcW w:w="1275" w:type="dxa"/>
            <w:tcMar>
              <w:top w:w="0" w:type="dxa"/>
              <w:left w:w="108" w:type="dxa"/>
              <w:bottom w:w="0" w:type="dxa"/>
              <w:right w:w="108" w:type="dxa"/>
            </w:tcMar>
            <w:vAlign w:val="center"/>
            <w:hideMark/>
          </w:tcPr>
          <w:p w14:paraId="01BFD7C9" w14:textId="77777777" w:rsidR="004C5C4A" w:rsidRDefault="004C5C4A" w:rsidP="004219FC">
            <w:pPr>
              <w:spacing w:after="0"/>
              <w:jc w:val="center"/>
            </w:pPr>
            <w:r>
              <w:t>242</w:t>
            </w:r>
          </w:p>
        </w:tc>
      </w:tr>
      <w:tr w:rsidR="004C5C4A" w14:paraId="0A3DC238" w14:textId="77777777" w:rsidTr="00FA2041">
        <w:trPr>
          <w:trHeight w:val="612"/>
        </w:trPr>
        <w:tc>
          <w:tcPr>
            <w:tcW w:w="1413" w:type="dxa"/>
            <w:tcMar>
              <w:top w:w="0" w:type="dxa"/>
              <w:left w:w="108" w:type="dxa"/>
              <w:bottom w:w="0" w:type="dxa"/>
              <w:right w:w="108" w:type="dxa"/>
            </w:tcMar>
          </w:tcPr>
          <w:p w14:paraId="3DC2237F" w14:textId="77777777" w:rsidR="004C5C4A" w:rsidRDefault="004C5C4A" w:rsidP="004219FC">
            <w:pPr>
              <w:spacing w:after="0"/>
              <w:jc w:val="center"/>
            </w:pPr>
            <w:r>
              <w:t>Stakeholder meetings</w:t>
            </w:r>
          </w:p>
        </w:tc>
        <w:tc>
          <w:tcPr>
            <w:tcW w:w="6374" w:type="dxa"/>
            <w:tcMar>
              <w:top w:w="0" w:type="dxa"/>
              <w:left w:w="108" w:type="dxa"/>
              <w:bottom w:w="0" w:type="dxa"/>
              <w:right w:w="108" w:type="dxa"/>
            </w:tcMar>
          </w:tcPr>
          <w:p w14:paraId="5BD883B2" w14:textId="5C69613B" w:rsidR="004C5C4A" w:rsidRDefault="064076F3" w:rsidP="004219FC">
            <w:pPr>
              <w:spacing w:after="0"/>
            </w:pPr>
            <w:r>
              <w:t xml:space="preserve">Virtual meetings were held </w:t>
            </w:r>
            <w:r w:rsidR="000E594B">
              <w:t xml:space="preserve">with </w:t>
            </w:r>
            <w:r w:rsidR="000E594B" w:rsidRPr="00FC6239">
              <w:t>8</w:t>
            </w:r>
            <w:r w:rsidR="69250EDF" w:rsidRPr="00FC6239">
              <w:t>3</w:t>
            </w:r>
            <w:r w:rsidR="000E594B" w:rsidRPr="00FC6239">
              <w:t xml:space="preserve"> education stakeholders and organisations, who are listed at </w:t>
            </w:r>
            <w:r w:rsidR="00B37554" w:rsidRPr="00FC6239">
              <w:t xml:space="preserve">Appendix </w:t>
            </w:r>
            <w:r w:rsidR="00516CB7" w:rsidRPr="00FC6239">
              <w:t>C</w:t>
            </w:r>
            <w:r w:rsidR="000E594B" w:rsidRPr="00FC6239">
              <w:t>.</w:t>
            </w:r>
            <w:r w:rsidR="000E594B">
              <w:t xml:space="preserve"> </w:t>
            </w:r>
          </w:p>
        </w:tc>
        <w:tc>
          <w:tcPr>
            <w:tcW w:w="1275" w:type="dxa"/>
            <w:tcMar>
              <w:top w:w="0" w:type="dxa"/>
              <w:left w:w="108" w:type="dxa"/>
              <w:bottom w:w="0" w:type="dxa"/>
              <w:right w:w="108" w:type="dxa"/>
            </w:tcMar>
            <w:vAlign w:val="center"/>
          </w:tcPr>
          <w:p w14:paraId="1C412539" w14:textId="77777777" w:rsidR="004C5C4A" w:rsidRDefault="004C5C4A" w:rsidP="004219FC">
            <w:pPr>
              <w:spacing w:after="0"/>
              <w:jc w:val="center"/>
            </w:pPr>
            <w:r>
              <w:t>82</w:t>
            </w:r>
          </w:p>
        </w:tc>
      </w:tr>
      <w:tr w:rsidR="004C5C4A" w14:paraId="4724CCBD" w14:textId="77777777" w:rsidTr="00FA2041">
        <w:trPr>
          <w:trHeight w:val="1403"/>
        </w:trPr>
        <w:tc>
          <w:tcPr>
            <w:tcW w:w="1413" w:type="dxa"/>
            <w:tcMar>
              <w:top w:w="0" w:type="dxa"/>
              <w:left w:w="108" w:type="dxa"/>
              <w:bottom w:w="0" w:type="dxa"/>
              <w:right w:w="108" w:type="dxa"/>
            </w:tcMar>
            <w:hideMark/>
          </w:tcPr>
          <w:p w14:paraId="7E508EE5" w14:textId="77777777" w:rsidR="004C5C4A" w:rsidRDefault="004C5C4A" w:rsidP="004219FC">
            <w:pPr>
              <w:spacing w:after="0"/>
              <w:jc w:val="center"/>
            </w:pPr>
            <w:r>
              <w:t>Webinars</w:t>
            </w:r>
          </w:p>
        </w:tc>
        <w:tc>
          <w:tcPr>
            <w:tcW w:w="6374" w:type="dxa"/>
            <w:tcMar>
              <w:top w:w="0" w:type="dxa"/>
              <w:left w:w="108" w:type="dxa"/>
              <w:bottom w:w="0" w:type="dxa"/>
              <w:right w:w="108" w:type="dxa"/>
            </w:tcMar>
            <w:hideMark/>
          </w:tcPr>
          <w:p w14:paraId="7386DC00" w14:textId="7419445D" w:rsidR="004C5C4A" w:rsidRDefault="00C64F7B" w:rsidP="004219FC">
            <w:pPr>
              <w:spacing w:after="0"/>
            </w:pPr>
            <w:r w:rsidRPr="00374B29">
              <w:t>Two live webinars were conducted via Zoom</w:t>
            </w:r>
            <w:r>
              <w:t xml:space="preserve"> using the</w:t>
            </w:r>
            <w:r w:rsidRPr="00374B29">
              <w:t xml:space="preserve"> interactive engagement tool Mentimeter</w:t>
            </w:r>
            <w:r>
              <w:t xml:space="preserve"> to allow </w:t>
            </w:r>
            <w:r w:rsidR="04D03E4A">
              <w:t>all Review audiences</w:t>
            </w:r>
            <w:r w:rsidR="001F112C">
              <w:t xml:space="preserve"> to comment on the Review’s key focus areas –</w:t>
            </w:r>
            <w:r w:rsidR="04D03E4A">
              <w:t xml:space="preserve"> particularly ITE students, teachers and principals, higher education providers</w:t>
            </w:r>
            <w:r w:rsidR="5F0CB230">
              <w:t>, education peak bodies and people considering a career as a teacher</w:t>
            </w:r>
            <w:r>
              <w:t xml:space="preserve">. </w:t>
            </w:r>
          </w:p>
        </w:tc>
        <w:tc>
          <w:tcPr>
            <w:tcW w:w="1275" w:type="dxa"/>
            <w:tcMar>
              <w:top w:w="0" w:type="dxa"/>
              <w:left w:w="108" w:type="dxa"/>
              <w:bottom w:w="0" w:type="dxa"/>
              <w:right w:w="108" w:type="dxa"/>
            </w:tcMar>
            <w:vAlign w:val="center"/>
            <w:hideMark/>
          </w:tcPr>
          <w:p w14:paraId="17B2F319" w14:textId="77777777" w:rsidR="004C5C4A" w:rsidRDefault="004C5C4A" w:rsidP="004219FC">
            <w:pPr>
              <w:spacing w:after="0"/>
              <w:jc w:val="center"/>
            </w:pPr>
            <w:r>
              <w:t>166</w:t>
            </w:r>
          </w:p>
        </w:tc>
      </w:tr>
      <w:tr w:rsidR="004C5C4A" w14:paraId="7E2FB3E7" w14:textId="77777777" w:rsidTr="5D701926">
        <w:tc>
          <w:tcPr>
            <w:tcW w:w="1413" w:type="dxa"/>
            <w:tcMar>
              <w:top w:w="0" w:type="dxa"/>
              <w:left w:w="108" w:type="dxa"/>
              <w:bottom w:w="0" w:type="dxa"/>
              <w:right w:w="108" w:type="dxa"/>
            </w:tcMar>
            <w:hideMark/>
          </w:tcPr>
          <w:p w14:paraId="69CF5383" w14:textId="77777777" w:rsidR="004C5C4A" w:rsidRDefault="004C5C4A" w:rsidP="004219FC">
            <w:pPr>
              <w:spacing w:after="0"/>
              <w:jc w:val="center"/>
            </w:pPr>
            <w:r>
              <w:t>Surveys</w:t>
            </w:r>
          </w:p>
        </w:tc>
        <w:tc>
          <w:tcPr>
            <w:tcW w:w="6374" w:type="dxa"/>
            <w:tcMar>
              <w:top w:w="0" w:type="dxa"/>
              <w:left w:w="108" w:type="dxa"/>
              <w:bottom w:w="0" w:type="dxa"/>
              <w:right w:w="108" w:type="dxa"/>
            </w:tcMar>
            <w:hideMark/>
          </w:tcPr>
          <w:p w14:paraId="00890755" w14:textId="4C1E10C0" w:rsidR="00C64F7B" w:rsidRDefault="00C64F7B" w:rsidP="004219FC">
            <w:pPr>
              <w:spacing w:after="0"/>
            </w:pPr>
            <w:r>
              <w:t>Online surveys were conducted to capture insights from senior secondary students (</w:t>
            </w:r>
            <w:r w:rsidR="00D21E28">
              <w:t>QITE student survey</w:t>
            </w:r>
            <w:r>
              <w:t xml:space="preserve">) and </w:t>
            </w:r>
            <w:r w:rsidR="006323E8">
              <w:t xml:space="preserve">other </w:t>
            </w:r>
            <w:r>
              <w:t xml:space="preserve">key groups including </w:t>
            </w:r>
            <w:r w:rsidR="00660FF2">
              <w:t>ITE</w:t>
            </w:r>
            <w:r w:rsidR="00445686">
              <w:t xml:space="preserve"> students</w:t>
            </w:r>
            <w:r>
              <w:t>, teachers and school leaders, teacher educators and people considering a career as a teacher (</w:t>
            </w:r>
            <w:r w:rsidR="00D21E28">
              <w:t>QITE general survey</w:t>
            </w:r>
            <w:r>
              <w:t xml:space="preserve">). </w:t>
            </w:r>
          </w:p>
          <w:p w14:paraId="51C3B529" w14:textId="49C6E533" w:rsidR="004C5C4A" w:rsidRDefault="00C64F7B" w:rsidP="004219FC">
            <w:pPr>
              <w:spacing w:after="0"/>
            </w:pPr>
            <w:r>
              <w:t>Surveys addressed a range of topics, including incentives to attract high</w:t>
            </w:r>
            <w:r w:rsidR="001F112C">
              <w:noBreakHyphen/>
            </w:r>
            <w:r>
              <w:t xml:space="preserve">achieving young people and mid-career professionals, ITE course content and delivery and </w:t>
            </w:r>
            <w:r w:rsidRPr="00374B29">
              <w:t>support for early career teachers</w:t>
            </w:r>
            <w:r>
              <w:t xml:space="preserve">. </w:t>
            </w:r>
          </w:p>
        </w:tc>
        <w:tc>
          <w:tcPr>
            <w:tcW w:w="1275" w:type="dxa"/>
            <w:tcMar>
              <w:top w:w="0" w:type="dxa"/>
              <w:left w:w="108" w:type="dxa"/>
              <w:bottom w:w="0" w:type="dxa"/>
              <w:right w:w="108" w:type="dxa"/>
            </w:tcMar>
            <w:vAlign w:val="center"/>
            <w:hideMark/>
          </w:tcPr>
          <w:p w14:paraId="5C09C74D" w14:textId="77777777" w:rsidR="004C5C4A" w:rsidRDefault="004C5C4A" w:rsidP="004219FC">
            <w:pPr>
              <w:spacing w:after="0"/>
              <w:jc w:val="center"/>
            </w:pPr>
            <w:r>
              <w:t>500</w:t>
            </w:r>
          </w:p>
        </w:tc>
      </w:tr>
      <w:tr w:rsidR="004C5C4A" w14:paraId="35DDBF62" w14:textId="77777777" w:rsidTr="00FA2041">
        <w:trPr>
          <w:trHeight w:val="1141"/>
        </w:trPr>
        <w:tc>
          <w:tcPr>
            <w:tcW w:w="1413" w:type="dxa"/>
            <w:tcMar>
              <w:top w:w="0" w:type="dxa"/>
              <w:left w:w="108" w:type="dxa"/>
              <w:bottom w:w="0" w:type="dxa"/>
              <w:right w:w="108" w:type="dxa"/>
            </w:tcMar>
            <w:hideMark/>
          </w:tcPr>
          <w:p w14:paraId="0715AA72" w14:textId="77777777" w:rsidR="004C5C4A" w:rsidRDefault="004C5C4A" w:rsidP="004219FC">
            <w:pPr>
              <w:spacing w:after="0"/>
              <w:jc w:val="center"/>
            </w:pPr>
            <w:r>
              <w:t>Focus Groups</w:t>
            </w:r>
          </w:p>
        </w:tc>
        <w:tc>
          <w:tcPr>
            <w:tcW w:w="6374" w:type="dxa"/>
            <w:tcMar>
              <w:top w:w="0" w:type="dxa"/>
              <w:left w:w="108" w:type="dxa"/>
              <w:bottom w:w="0" w:type="dxa"/>
              <w:right w:w="108" w:type="dxa"/>
            </w:tcMar>
            <w:hideMark/>
          </w:tcPr>
          <w:p w14:paraId="65387EE6" w14:textId="1BB3A7C3" w:rsidR="004C5C4A" w:rsidRPr="00893217" w:rsidRDefault="25DB6897" w:rsidP="004219FC">
            <w:pPr>
              <w:spacing w:after="0"/>
              <w:rPr>
                <w:i/>
              </w:rPr>
            </w:pPr>
            <w:r>
              <w:t>Three</w:t>
            </w:r>
            <w:r w:rsidR="00C64F7B">
              <w:t xml:space="preserve"> focus groups were conducted to facilitate targeted discussion with key audiences. Focus groups explored issues such as</w:t>
            </w:r>
            <w:r w:rsidR="00C64F7B" w:rsidRPr="0068045E">
              <w:t xml:space="preserve"> barriers and motivat</w:t>
            </w:r>
            <w:r w:rsidR="00C64F7B">
              <w:t>ors</w:t>
            </w:r>
            <w:r w:rsidR="00C64F7B" w:rsidRPr="0068045E">
              <w:t xml:space="preserve"> </w:t>
            </w:r>
            <w:r w:rsidR="00C64F7B">
              <w:t>to becoming a</w:t>
            </w:r>
            <w:r w:rsidR="00C64F7B" w:rsidRPr="0068045E">
              <w:t xml:space="preserve"> teacher</w:t>
            </w:r>
            <w:r w:rsidR="00C64F7B">
              <w:t xml:space="preserve"> and what a</w:t>
            </w:r>
            <w:r w:rsidR="00C64F7B" w:rsidRPr="0068045E">
              <w:t xml:space="preserve"> highly effective ITE</w:t>
            </w:r>
            <w:r w:rsidR="001F112C">
              <w:t> </w:t>
            </w:r>
            <w:r w:rsidR="00C64F7B" w:rsidRPr="0068045E">
              <w:t>experience might look like</w:t>
            </w:r>
            <w:r w:rsidR="00C64F7B">
              <w:t xml:space="preserve">. </w:t>
            </w:r>
          </w:p>
        </w:tc>
        <w:tc>
          <w:tcPr>
            <w:tcW w:w="1275" w:type="dxa"/>
            <w:tcMar>
              <w:top w:w="0" w:type="dxa"/>
              <w:left w:w="108" w:type="dxa"/>
              <w:bottom w:w="0" w:type="dxa"/>
              <w:right w:w="108" w:type="dxa"/>
            </w:tcMar>
            <w:vAlign w:val="center"/>
            <w:hideMark/>
          </w:tcPr>
          <w:p w14:paraId="43693331" w14:textId="7715EAEA" w:rsidR="004C5C4A" w:rsidRDefault="2D5B4C8A" w:rsidP="004219FC">
            <w:pPr>
              <w:spacing w:after="0"/>
              <w:jc w:val="center"/>
            </w:pPr>
            <w:r>
              <w:t>17</w:t>
            </w:r>
          </w:p>
        </w:tc>
      </w:tr>
      <w:tr w:rsidR="004C5C4A" w14:paraId="6AADBFCC" w14:textId="77777777" w:rsidTr="00476C92">
        <w:trPr>
          <w:trHeight w:val="1129"/>
        </w:trPr>
        <w:tc>
          <w:tcPr>
            <w:tcW w:w="1413" w:type="dxa"/>
            <w:tcMar>
              <w:top w:w="0" w:type="dxa"/>
              <w:left w:w="108" w:type="dxa"/>
              <w:bottom w:w="0" w:type="dxa"/>
              <w:right w:w="108" w:type="dxa"/>
            </w:tcMar>
            <w:hideMark/>
          </w:tcPr>
          <w:p w14:paraId="1703F19D" w14:textId="77777777" w:rsidR="004C5C4A" w:rsidRDefault="004C5C4A" w:rsidP="004219FC">
            <w:pPr>
              <w:spacing w:after="0"/>
              <w:jc w:val="center"/>
            </w:pPr>
            <w:r>
              <w:t>Workshop</w:t>
            </w:r>
          </w:p>
        </w:tc>
        <w:tc>
          <w:tcPr>
            <w:tcW w:w="6374" w:type="dxa"/>
            <w:tcMar>
              <w:top w:w="0" w:type="dxa"/>
              <w:left w:w="108" w:type="dxa"/>
              <w:bottom w:w="0" w:type="dxa"/>
              <w:right w:w="108" w:type="dxa"/>
            </w:tcMar>
            <w:hideMark/>
          </w:tcPr>
          <w:p w14:paraId="0D58D3CD" w14:textId="4A1FFA2F" w:rsidR="004C5C4A" w:rsidRDefault="00C64F7B" w:rsidP="004219FC">
            <w:pPr>
              <w:spacing w:after="0"/>
            </w:pPr>
            <w:r w:rsidRPr="00374B29">
              <w:t xml:space="preserve">A workshop was </w:t>
            </w:r>
            <w:r>
              <w:t xml:space="preserve">held </w:t>
            </w:r>
            <w:r w:rsidRPr="00374B29">
              <w:t>with teachers and ITE</w:t>
            </w:r>
            <w:r w:rsidR="001F112C">
              <w:t> </w:t>
            </w:r>
            <w:r w:rsidRPr="00374B29">
              <w:t xml:space="preserve">students on system-level issues and </w:t>
            </w:r>
            <w:r w:rsidR="00AB3675">
              <w:t xml:space="preserve">on </w:t>
            </w:r>
            <w:r w:rsidRPr="00374B29">
              <w:t xml:space="preserve">ideas for </w:t>
            </w:r>
            <w:r w:rsidR="00531775">
              <w:t xml:space="preserve">how </w:t>
            </w:r>
            <w:r w:rsidRPr="00374B29">
              <w:t xml:space="preserve">barriers could be overcome. Participants </w:t>
            </w:r>
            <w:r>
              <w:t>discussed how to raise the status of the teaching profession, optimal models of ITE course delivery and effective ITE course content.</w:t>
            </w:r>
          </w:p>
        </w:tc>
        <w:tc>
          <w:tcPr>
            <w:tcW w:w="1275" w:type="dxa"/>
            <w:tcMar>
              <w:top w:w="0" w:type="dxa"/>
              <w:left w:w="108" w:type="dxa"/>
              <w:bottom w:w="0" w:type="dxa"/>
              <w:right w:w="108" w:type="dxa"/>
            </w:tcMar>
            <w:vAlign w:val="center"/>
            <w:hideMark/>
          </w:tcPr>
          <w:p w14:paraId="23C2290E" w14:textId="77777777" w:rsidR="004C5C4A" w:rsidRDefault="004C5C4A" w:rsidP="004219FC">
            <w:pPr>
              <w:spacing w:after="0"/>
              <w:jc w:val="center"/>
            </w:pPr>
            <w:r>
              <w:t>21</w:t>
            </w:r>
          </w:p>
        </w:tc>
      </w:tr>
      <w:tr w:rsidR="004C5C4A" w14:paraId="7FF30D84" w14:textId="77777777" w:rsidTr="5D701926">
        <w:tc>
          <w:tcPr>
            <w:tcW w:w="1413" w:type="dxa"/>
            <w:tcMar>
              <w:top w:w="0" w:type="dxa"/>
              <w:left w:w="108" w:type="dxa"/>
              <w:bottom w:w="0" w:type="dxa"/>
              <w:right w:w="108" w:type="dxa"/>
            </w:tcMar>
          </w:tcPr>
          <w:p w14:paraId="26A3DA6A" w14:textId="77777777" w:rsidR="004C5C4A" w:rsidRDefault="004C5C4A" w:rsidP="004219FC">
            <w:pPr>
              <w:spacing w:after="0"/>
              <w:jc w:val="center"/>
            </w:pPr>
            <w:r>
              <w:t>Conjoint analysis survey</w:t>
            </w:r>
          </w:p>
        </w:tc>
        <w:tc>
          <w:tcPr>
            <w:tcW w:w="6374" w:type="dxa"/>
            <w:tcMar>
              <w:top w:w="0" w:type="dxa"/>
              <w:left w:w="108" w:type="dxa"/>
              <w:bottom w:w="0" w:type="dxa"/>
              <w:right w:w="108" w:type="dxa"/>
            </w:tcMar>
          </w:tcPr>
          <w:p w14:paraId="76FEDE29" w14:textId="69A97D5F" w:rsidR="004C5C4A" w:rsidRDefault="00345215" w:rsidP="004219FC">
            <w:pPr>
              <w:spacing w:after="0"/>
            </w:pPr>
            <w:r>
              <w:rPr>
                <w:rStyle w:val="normaltextrun"/>
              </w:rPr>
              <w:t>BETA surveyed 501 young high</w:t>
            </w:r>
            <w:r w:rsidR="00B82A71">
              <w:rPr>
                <w:rStyle w:val="normaltextrun"/>
              </w:rPr>
              <w:t xml:space="preserve"> </w:t>
            </w:r>
            <w:r>
              <w:rPr>
                <w:rStyle w:val="normaltextrun"/>
              </w:rPr>
              <w:t>achievers (aged 18</w:t>
            </w:r>
            <w:r w:rsidR="009E1A56">
              <w:rPr>
                <w:rStyle w:val="normaltextrun"/>
              </w:rPr>
              <w:t>–</w:t>
            </w:r>
            <w:r>
              <w:rPr>
                <w:rStyle w:val="normaltextrun"/>
              </w:rPr>
              <w:t>25 with an A</w:t>
            </w:r>
            <w:r w:rsidR="00EA53AA">
              <w:rPr>
                <w:rStyle w:val="normaltextrun"/>
              </w:rPr>
              <w:t xml:space="preserve">ustralian </w:t>
            </w:r>
            <w:r>
              <w:rPr>
                <w:rStyle w:val="normaltextrun"/>
              </w:rPr>
              <w:t>T</w:t>
            </w:r>
            <w:r w:rsidR="00EA53AA">
              <w:rPr>
                <w:rStyle w:val="normaltextrun"/>
              </w:rPr>
              <w:t xml:space="preserve">ertiary </w:t>
            </w:r>
            <w:r>
              <w:rPr>
                <w:rStyle w:val="normaltextrun"/>
              </w:rPr>
              <w:t>A</w:t>
            </w:r>
            <w:r w:rsidR="00EA53AA">
              <w:rPr>
                <w:rStyle w:val="normaltextrun"/>
              </w:rPr>
              <w:t xml:space="preserve">dmission </w:t>
            </w:r>
            <w:r>
              <w:rPr>
                <w:rStyle w:val="normaltextrun"/>
              </w:rPr>
              <w:t>R</w:t>
            </w:r>
            <w:r w:rsidR="00EA53AA">
              <w:rPr>
                <w:rStyle w:val="normaltextrun"/>
              </w:rPr>
              <w:t>ank [</w:t>
            </w:r>
            <w:r>
              <w:rPr>
                <w:rStyle w:val="normaltextrun"/>
              </w:rPr>
              <w:t>ATAR</w:t>
            </w:r>
            <w:r w:rsidR="00EA53AA">
              <w:rPr>
                <w:rStyle w:val="normaltextrun"/>
              </w:rPr>
              <w:t>]</w:t>
            </w:r>
            <w:r>
              <w:rPr>
                <w:rStyle w:val="normaltextrun"/>
              </w:rPr>
              <w:t xml:space="preserve"> or equivalent over 80) and 1</w:t>
            </w:r>
            <w:r w:rsidR="001F112C">
              <w:rPr>
                <w:rStyle w:val="normaltextrun"/>
              </w:rPr>
              <w:t>,</w:t>
            </w:r>
            <w:r>
              <w:rPr>
                <w:rStyle w:val="normaltextrun"/>
              </w:rPr>
              <w:t>432 mid</w:t>
            </w:r>
            <w:r w:rsidR="00111C07">
              <w:rPr>
                <w:rStyle w:val="normaltextrun"/>
              </w:rPr>
              <w:noBreakHyphen/>
            </w:r>
            <w:r>
              <w:rPr>
                <w:rStyle w:val="normaltextrun"/>
              </w:rPr>
              <w:t>career professionals (aged 26</w:t>
            </w:r>
            <w:r w:rsidR="009E1A56">
              <w:rPr>
                <w:rStyle w:val="normaltextrun"/>
              </w:rPr>
              <w:t>–</w:t>
            </w:r>
            <w:r>
              <w:rPr>
                <w:rStyle w:val="normaltextrun"/>
              </w:rPr>
              <w:t>60 with a</w:t>
            </w:r>
            <w:r w:rsidR="003B21DE">
              <w:rPr>
                <w:rStyle w:val="normaltextrun"/>
              </w:rPr>
              <w:t>n undergraduate</w:t>
            </w:r>
            <w:r>
              <w:rPr>
                <w:rStyle w:val="normaltextrun"/>
              </w:rPr>
              <w:t xml:space="preserve"> degree or higher) using a discrete choice experiment, in which survey responders were presented with different packages of incentives (such as scholarship, salary or employment</w:t>
            </w:r>
            <w:r w:rsidR="0089347F">
              <w:rPr>
                <w:rStyle w:val="normaltextrun"/>
              </w:rPr>
              <w:t>-</w:t>
            </w:r>
            <w:r>
              <w:rPr>
                <w:rStyle w:val="normaltextrun"/>
              </w:rPr>
              <w:t>based incentives). This allowed BETA to quantify the relative importance of teaching-related incentives</w:t>
            </w:r>
            <w:r w:rsidR="00111C07">
              <w:rPr>
                <w:rStyle w:val="normaltextrun"/>
              </w:rPr>
              <w:t>.</w:t>
            </w:r>
          </w:p>
        </w:tc>
        <w:tc>
          <w:tcPr>
            <w:tcW w:w="1275" w:type="dxa"/>
            <w:tcMar>
              <w:top w:w="0" w:type="dxa"/>
              <w:left w:w="108" w:type="dxa"/>
              <w:bottom w:w="0" w:type="dxa"/>
              <w:right w:w="108" w:type="dxa"/>
            </w:tcMar>
            <w:vAlign w:val="center"/>
          </w:tcPr>
          <w:p w14:paraId="2A9DB9F1" w14:textId="77777777" w:rsidR="004C5C4A" w:rsidRDefault="004C5C4A" w:rsidP="004219FC">
            <w:pPr>
              <w:spacing w:after="0"/>
              <w:jc w:val="center"/>
            </w:pPr>
            <w:r>
              <w:t>1933</w:t>
            </w:r>
          </w:p>
        </w:tc>
      </w:tr>
    </w:tbl>
    <w:p w14:paraId="1A881F8B" w14:textId="7C2B1BBD" w:rsidR="47D436E7" w:rsidRPr="00D04FD2" w:rsidRDefault="47D436E7" w:rsidP="00FD2280">
      <w:pPr>
        <w:spacing w:after="0" w:line="257" w:lineRule="auto"/>
        <w:rPr>
          <w:rFonts w:ascii="Calibri" w:eastAsia="Calibri" w:hAnsi="Calibri" w:cs="Calibri"/>
        </w:rPr>
      </w:pPr>
    </w:p>
    <w:p w14:paraId="66BF9755" w14:textId="34716ACA" w:rsidR="00121834" w:rsidRDefault="0021341B" w:rsidP="00D04FD2">
      <w:pPr>
        <w:spacing w:line="257" w:lineRule="auto"/>
      </w:pPr>
      <w:r>
        <w:rPr>
          <w:rFonts w:eastAsiaTheme="minorEastAsia"/>
        </w:rPr>
        <w:t xml:space="preserve">Further information about the public consultation phase of the Review can be found </w:t>
      </w:r>
      <w:r w:rsidRPr="00FC6239">
        <w:rPr>
          <w:rFonts w:eastAsiaTheme="minorEastAsia"/>
        </w:rPr>
        <w:t xml:space="preserve">at </w:t>
      </w:r>
      <w:r w:rsidRPr="005B0A0F">
        <w:rPr>
          <w:rFonts w:eastAsiaTheme="minorEastAsia"/>
        </w:rPr>
        <w:t xml:space="preserve">Appendix </w:t>
      </w:r>
      <w:r w:rsidR="00FC6239" w:rsidRPr="005B0A0F">
        <w:rPr>
          <w:rFonts w:eastAsiaTheme="minorEastAsia"/>
        </w:rPr>
        <w:t>D</w:t>
      </w:r>
      <w:r w:rsidRPr="005B0A0F">
        <w:rPr>
          <w:rFonts w:eastAsiaTheme="minorEastAsia"/>
        </w:rPr>
        <w:t>.</w:t>
      </w:r>
      <w:r>
        <w:rPr>
          <w:rFonts w:eastAsiaTheme="minorEastAsia"/>
        </w:rPr>
        <w:t xml:space="preserve"> </w:t>
      </w:r>
      <w:r w:rsidR="00577034" w:rsidRPr="00577034">
        <w:rPr>
          <w:rFonts w:eastAsiaTheme="minorEastAsia"/>
        </w:rPr>
        <w:br w:type="textWrapping" w:clear="all"/>
      </w:r>
    </w:p>
    <w:p w14:paraId="75503C8B" w14:textId="715DE30C" w:rsidR="00E13BCC" w:rsidRDefault="00E13BCC" w:rsidP="004B5D3D">
      <w:pPr>
        <w:pStyle w:val="Heading7"/>
      </w:pPr>
      <w:r>
        <w:lastRenderedPageBreak/>
        <w:t>I</w:t>
      </w:r>
      <w:r w:rsidR="000752E1">
        <w:t>nitial teacher education</w:t>
      </w:r>
      <w:r>
        <w:t xml:space="preserve"> in Australia</w:t>
      </w:r>
    </w:p>
    <w:p w14:paraId="451CD5B3" w14:textId="3AE545A7" w:rsidR="00E13BCC" w:rsidRDefault="00F06AE9" w:rsidP="004B5D3D">
      <w:r>
        <w:t xml:space="preserve">ITE is a shared responsibility between the </w:t>
      </w:r>
      <w:r w:rsidR="00261445">
        <w:t>Australian Government</w:t>
      </w:r>
      <w:r>
        <w:t xml:space="preserve">, states and territories, </w:t>
      </w:r>
      <w:r w:rsidR="007B0B49">
        <w:t xml:space="preserve">higher education </w:t>
      </w:r>
      <w:r>
        <w:t>providers and the</w:t>
      </w:r>
      <w:r w:rsidR="00FA3F35">
        <w:t> </w:t>
      </w:r>
      <w:r>
        <w:t>profession.</w:t>
      </w:r>
      <w:r w:rsidR="00AD584D">
        <w:t xml:space="preserve"> The </w:t>
      </w:r>
      <w:r w:rsidR="00261445">
        <w:t>Australian Government</w:t>
      </w:r>
      <w:r w:rsidR="00AD584D">
        <w:t xml:space="preserve"> funds ITE through the provision </w:t>
      </w:r>
      <w:r w:rsidR="00587972">
        <w:t>of Commonwealth supported places</w:t>
      </w:r>
      <w:r w:rsidR="1DA410C2">
        <w:t xml:space="preserve"> to higher education providers</w:t>
      </w:r>
      <w:r w:rsidR="00587972">
        <w:t xml:space="preserve">. ITE courses are </w:t>
      </w:r>
      <w:r w:rsidR="00A83CBC">
        <w:t xml:space="preserve">accredited </w:t>
      </w:r>
      <w:r w:rsidR="00DE332C">
        <w:t xml:space="preserve">by state and territory </w:t>
      </w:r>
      <w:r w:rsidR="00563E38">
        <w:t>Teacher R</w:t>
      </w:r>
      <w:r w:rsidR="00DE332C">
        <w:t xml:space="preserve">egulatory </w:t>
      </w:r>
      <w:r w:rsidR="00563E38">
        <w:t>Authorities</w:t>
      </w:r>
      <w:r w:rsidR="00B5177C">
        <w:t xml:space="preserve"> (TRAs)</w:t>
      </w:r>
      <w:r w:rsidR="000641DE">
        <w:t xml:space="preserve">, </w:t>
      </w:r>
      <w:r w:rsidR="00BF660B">
        <w:t>with reference to an agreed national standard</w:t>
      </w:r>
      <w:r w:rsidR="0034017B">
        <w:t>.</w:t>
      </w:r>
      <w:r w:rsidR="002F4E07">
        <w:t xml:space="preserve"> </w:t>
      </w:r>
      <w:r w:rsidR="00F61652">
        <w:t>Forty-seven higher education providers deliver more than 350</w:t>
      </w:r>
      <w:r w:rsidR="00FA3F35">
        <w:t> </w:t>
      </w:r>
      <w:r w:rsidR="00F61652">
        <w:t xml:space="preserve">programs </w:t>
      </w:r>
      <w:r w:rsidR="00747AD7">
        <w:t>to close to 90,000 students</w:t>
      </w:r>
      <w:r w:rsidR="00CA56BC">
        <w:t xml:space="preserve"> each year</w:t>
      </w:r>
      <w:r w:rsidR="00747AD7">
        <w:t>. Schools and school systems provide professional experience placements for these students and support graduate teachers once they enter the classroom.</w:t>
      </w:r>
    </w:p>
    <w:p w14:paraId="170CB206" w14:textId="78727C72" w:rsidR="00E13BCC" w:rsidRDefault="007673FE" w:rsidP="004B5D3D">
      <w:r>
        <w:t>Over the last decade</w:t>
      </w:r>
      <w:r w:rsidR="002C0547">
        <w:t xml:space="preserve">, </w:t>
      </w:r>
      <w:r>
        <w:t xml:space="preserve">significant progress has been made </w:t>
      </w:r>
      <w:r w:rsidR="00AB4C33">
        <w:t xml:space="preserve">in raising standards in the selection and preparation of teachers. </w:t>
      </w:r>
      <w:r w:rsidR="00F27AE2">
        <w:t xml:space="preserve">A national framework based on the </w:t>
      </w:r>
      <w:r w:rsidR="00F27AE2" w:rsidRPr="00985339">
        <w:rPr>
          <w:i/>
        </w:rPr>
        <w:t>Australian Professional Standards for Teachers</w:t>
      </w:r>
      <w:r w:rsidR="00F27AE2">
        <w:t xml:space="preserve"> (Teacher</w:t>
      </w:r>
      <w:r w:rsidR="00F14E73">
        <w:t> </w:t>
      </w:r>
      <w:r w:rsidR="00F27AE2">
        <w:t xml:space="preserve">Standards) and the </w:t>
      </w:r>
      <w:r w:rsidR="00AB4C33" w:rsidRPr="00985339">
        <w:rPr>
          <w:i/>
          <w:iCs/>
        </w:rPr>
        <w:t>A</w:t>
      </w:r>
      <w:r w:rsidR="00F27AE2" w:rsidRPr="00985339">
        <w:rPr>
          <w:i/>
          <w:iCs/>
        </w:rPr>
        <w:t>ccreditation</w:t>
      </w:r>
      <w:r w:rsidR="00F27AE2" w:rsidRPr="00985339">
        <w:rPr>
          <w:i/>
        </w:rPr>
        <w:t xml:space="preserve"> of Initial Teacher Education Programs in Australia: Standards and Procedures</w:t>
      </w:r>
      <w:r w:rsidR="00F27AE2">
        <w:t xml:space="preserve"> (Accreditation Standards) </w:t>
      </w:r>
      <w:r w:rsidR="00AD584D">
        <w:t xml:space="preserve">has shaped the development of ITE over </w:t>
      </w:r>
      <w:r w:rsidR="00AB4C33">
        <w:t>this time</w:t>
      </w:r>
      <w:r w:rsidR="00AD584D">
        <w:t>.</w:t>
      </w:r>
    </w:p>
    <w:p w14:paraId="04420C59" w14:textId="3E93D1CD" w:rsidR="00A30839" w:rsidRDefault="007D4883" w:rsidP="004B5D3D">
      <w:pPr>
        <w:pStyle w:val="Heading7"/>
      </w:pPr>
      <w:r>
        <w:t xml:space="preserve">Building on </w:t>
      </w:r>
      <w:r w:rsidR="000D6EE9">
        <w:t>the</w:t>
      </w:r>
      <w:r>
        <w:t xml:space="preserve"> TEMAG</w:t>
      </w:r>
      <w:r w:rsidR="000D6EE9">
        <w:t xml:space="preserve"> Review</w:t>
      </w:r>
    </w:p>
    <w:p w14:paraId="4F0B1147" w14:textId="092C0C03" w:rsidR="0049621B" w:rsidRDefault="004A7BB5" w:rsidP="004B5D3D">
      <w:r>
        <w:t>The last significant review of ITE, the TEMAG Review, recommended reforms that have been progressively implemented since 2015.</w:t>
      </w:r>
      <w:r w:rsidR="002B266B">
        <w:t xml:space="preserve"> </w:t>
      </w:r>
      <w:r w:rsidR="004766D0">
        <w:t xml:space="preserve">The TEMAG reforms </w:t>
      </w:r>
      <w:r w:rsidR="00C65F63">
        <w:t xml:space="preserve">introduced </w:t>
      </w:r>
      <w:r w:rsidR="005F5540">
        <w:t>significant new elements</w:t>
      </w:r>
      <w:r w:rsidR="0004741C">
        <w:t xml:space="preserve"> to </w:t>
      </w:r>
      <w:r w:rsidR="00D97054">
        <w:t xml:space="preserve">ITE (Figure 1). </w:t>
      </w:r>
    </w:p>
    <w:p w14:paraId="2DB79E20" w14:textId="3C4565A3" w:rsidR="003036A8" w:rsidRDefault="003036A8" w:rsidP="00387926">
      <w:pPr>
        <w:pStyle w:val="Caption"/>
        <w:keepNext/>
        <w:spacing w:after="0"/>
        <w:rPr>
          <w:i w:val="0"/>
          <w:iCs w:val="0"/>
          <w:color w:val="auto"/>
        </w:rPr>
      </w:pPr>
      <w:r w:rsidRPr="000E5580">
        <w:rPr>
          <w:i w:val="0"/>
          <w:color w:val="auto"/>
        </w:rPr>
        <w:t xml:space="preserve">Figure </w:t>
      </w:r>
      <w:r w:rsidRPr="000E5580">
        <w:rPr>
          <w:i w:val="0"/>
          <w:color w:val="auto"/>
        </w:rPr>
        <w:fldChar w:fldCharType="begin"/>
      </w:r>
      <w:r w:rsidRPr="000E5580">
        <w:rPr>
          <w:i w:val="0"/>
          <w:color w:val="auto"/>
        </w:rPr>
        <w:instrText xml:space="preserve"> SEQ Figure \* ARABIC </w:instrText>
      </w:r>
      <w:r w:rsidRPr="000E5580">
        <w:rPr>
          <w:i w:val="0"/>
          <w:color w:val="auto"/>
        </w:rPr>
        <w:fldChar w:fldCharType="separate"/>
      </w:r>
      <w:r w:rsidR="00B454C1">
        <w:rPr>
          <w:i w:val="0"/>
          <w:noProof/>
          <w:color w:val="auto"/>
        </w:rPr>
        <w:t>1</w:t>
      </w:r>
      <w:r w:rsidRPr="000E5580">
        <w:rPr>
          <w:i w:val="0"/>
          <w:color w:val="auto"/>
        </w:rPr>
        <w:fldChar w:fldCharType="end"/>
      </w:r>
      <w:r w:rsidR="00387926">
        <w:rPr>
          <w:i w:val="0"/>
          <w:color w:val="auto"/>
        </w:rPr>
        <w:t>.</w:t>
      </w:r>
      <w:r w:rsidR="000E5580" w:rsidRPr="000E5580">
        <w:rPr>
          <w:i w:val="0"/>
          <w:iCs w:val="0"/>
          <w:color w:val="auto"/>
        </w:rPr>
        <w:t xml:space="preserve"> Key TEMAG reforms</w:t>
      </w:r>
    </w:p>
    <w:p w14:paraId="4D58EE3D" w14:textId="449FDDC7" w:rsidR="002972CE" w:rsidRPr="002972CE" w:rsidRDefault="002972CE" w:rsidP="002972CE">
      <w:r w:rsidRPr="002972CE">
        <w:rPr>
          <w:noProof/>
        </w:rPr>
        <w:drawing>
          <wp:inline distT="0" distB="0" distL="0" distR="0" wp14:anchorId="440BF31C" wp14:editId="2ECC7890">
            <wp:extent cx="4838103" cy="1882140"/>
            <wp:effectExtent l="0" t="0" r="635" b="3810"/>
            <wp:docPr id="2" name="Picture 2" descr="This diagram outlines the key reforms arising from the Teacher Education Ministerial Advisory Group (TEMAG) Review, including the:&#10;•introduction of Teaching Performance Assessments (TPAs)&#10;•the Literacy and Numeracy Test for Initial Teacher Education&#10;•non-academic selection criteria for entry into initial teacher education&#10;•strengthened accreditation processes and quality assurance&#10;•establishment of the Australian Teacher Workforce Data (ATWD)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diagram outlines the key reforms arising from the Teacher Education Ministerial Advisory Group (TEMAG) Review, including the:&#10;•introduction of Teaching Performance Assessments (TPAs)&#10;•the Literacy and Numeracy Test for Initial Teacher Education&#10;•non-academic selection criteria for entry into initial teacher education&#10;•strengthened accreditation processes and quality assurance&#10;•establishment of the Australian Teacher Workforce Data (ATWD) collection.&#10;"/>
                    <pic:cNvPicPr/>
                  </pic:nvPicPr>
                  <pic:blipFill>
                    <a:blip r:embed="rId22"/>
                    <a:stretch>
                      <a:fillRect/>
                    </a:stretch>
                  </pic:blipFill>
                  <pic:spPr>
                    <a:xfrm>
                      <a:off x="0" y="0"/>
                      <a:ext cx="4847032" cy="1885614"/>
                    </a:xfrm>
                    <a:prstGeom prst="rect">
                      <a:avLst/>
                    </a:prstGeom>
                  </pic:spPr>
                </pic:pic>
              </a:graphicData>
            </a:graphic>
          </wp:inline>
        </w:drawing>
      </w:r>
    </w:p>
    <w:p w14:paraId="136F42AA" w14:textId="77777777" w:rsidR="002972CE" w:rsidRPr="002972CE" w:rsidRDefault="002972CE" w:rsidP="002972CE">
      <w:pPr>
        <w:pStyle w:val="Caption"/>
        <w:spacing w:after="0"/>
        <w:rPr>
          <w:i w:val="0"/>
          <w:iCs w:val="0"/>
          <w:color w:val="000000" w:themeColor="text1"/>
          <w:sz w:val="16"/>
          <w:szCs w:val="16"/>
        </w:rPr>
      </w:pPr>
      <w:r w:rsidRPr="002972CE">
        <w:rPr>
          <w:i w:val="0"/>
          <w:iCs w:val="0"/>
          <w:color w:val="000000" w:themeColor="text1"/>
          <w:sz w:val="16"/>
          <w:szCs w:val="16"/>
        </w:rPr>
        <w:t>Source: Diagram developed by the Quality Initial Teacher Education Review</w:t>
      </w:r>
    </w:p>
    <w:p w14:paraId="1DD676D5" w14:textId="4E0D921B" w:rsidR="00CE3E2D" w:rsidRDefault="00CE3E2D" w:rsidP="002972CE">
      <w:pPr>
        <w:spacing w:after="0"/>
      </w:pPr>
    </w:p>
    <w:p w14:paraId="3A133F1D" w14:textId="02650CFE" w:rsidR="003D0402" w:rsidRDefault="0030276B" w:rsidP="004B5D3D">
      <w:r>
        <w:t>All stakeholders have contributed</w:t>
      </w:r>
      <w:r w:rsidR="00C63E2A">
        <w:t xml:space="preserve"> significant time, effort and resources to implement these reforms, a testament to the professionalism and dedication </w:t>
      </w:r>
      <w:r w:rsidR="00E44A26">
        <w:t xml:space="preserve">of </w:t>
      </w:r>
      <w:r w:rsidR="00411AC8">
        <w:t xml:space="preserve">the sector. </w:t>
      </w:r>
      <w:r w:rsidR="00E81CFF">
        <w:t xml:space="preserve">Some aspects </w:t>
      </w:r>
      <w:r w:rsidR="005F2B04">
        <w:t>are still being implemented and are maturing at different rates across the country.</w:t>
      </w:r>
      <w:r w:rsidR="00411AC8">
        <w:t xml:space="preserve"> </w:t>
      </w:r>
      <w:r w:rsidR="00560837">
        <w:t xml:space="preserve">In consultations for this Review, </w:t>
      </w:r>
      <w:r w:rsidR="00FA313A">
        <w:t xml:space="preserve">some </w:t>
      </w:r>
      <w:r w:rsidR="00560837">
        <w:t xml:space="preserve">stakeholders noted that </w:t>
      </w:r>
      <w:r w:rsidR="005F2B04">
        <w:t xml:space="preserve">the TEMAG reforms have not been formally evaluated and </w:t>
      </w:r>
      <w:r w:rsidR="00560837">
        <w:t>not enough time has elapsed to see the full effect of many of the reforms introduced from 2015</w:t>
      </w:r>
      <w:r w:rsidR="00E92687">
        <w:t xml:space="preserve">. </w:t>
      </w:r>
    </w:p>
    <w:p w14:paraId="61637C3E" w14:textId="6852FB66" w:rsidR="00ED4AA7" w:rsidRDefault="008D03B4" w:rsidP="004B5D3D">
      <w:r>
        <w:t xml:space="preserve">The Expert Panel </w:t>
      </w:r>
      <w:r w:rsidR="00E92687" w:rsidRPr="00CE5C79">
        <w:t>acknowledge</w:t>
      </w:r>
      <w:r w:rsidR="007B4298">
        <w:t>s</w:t>
      </w:r>
      <w:r w:rsidR="00E92687" w:rsidRPr="00CE5C79">
        <w:t xml:space="preserve"> </w:t>
      </w:r>
      <w:r w:rsidR="002C1424" w:rsidRPr="00CE5C79">
        <w:t xml:space="preserve">that </w:t>
      </w:r>
      <w:r w:rsidR="00A635B9">
        <w:t>some</w:t>
      </w:r>
      <w:r w:rsidR="00A635B9" w:rsidRPr="00CE5C79">
        <w:t xml:space="preserve"> </w:t>
      </w:r>
      <w:r w:rsidR="002C1424" w:rsidRPr="00CE5C79">
        <w:t xml:space="preserve">of </w:t>
      </w:r>
      <w:r w:rsidR="00171986" w:rsidRPr="00CE5C79">
        <w:t xml:space="preserve">the </w:t>
      </w:r>
      <w:r w:rsidR="002C1424" w:rsidRPr="00CE5C79">
        <w:t xml:space="preserve">reforms introduced by </w:t>
      </w:r>
      <w:r w:rsidR="009F703A">
        <w:t xml:space="preserve">the </w:t>
      </w:r>
      <w:r w:rsidR="002C1424" w:rsidRPr="00CE5C79">
        <w:t xml:space="preserve">TEMAG </w:t>
      </w:r>
      <w:r w:rsidR="009F703A">
        <w:t>Review</w:t>
      </w:r>
      <w:r w:rsidR="002C1424" w:rsidRPr="00CE5C79">
        <w:t xml:space="preserve"> are </w:t>
      </w:r>
      <w:r w:rsidR="00473D06">
        <w:t>still being implemented</w:t>
      </w:r>
      <w:r w:rsidR="00171986" w:rsidRPr="00CE5C79">
        <w:t xml:space="preserve"> and the </w:t>
      </w:r>
      <w:r w:rsidR="002C1424" w:rsidRPr="00CE5C79">
        <w:t>longitudinal evidence to evaluate the impact of these reforms</w:t>
      </w:r>
      <w:r w:rsidR="00915C96">
        <w:t xml:space="preserve"> </w:t>
      </w:r>
      <w:r w:rsidR="00F1620C">
        <w:t>is not yet available</w:t>
      </w:r>
      <w:r w:rsidR="002C1424" w:rsidRPr="00CE5C79">
        <w:t>.</w:t>
      </w:r>
      <w:r w:rsidR="00D4491C" w:rsidRPr="00CE5C79">
        <w:t xml:space="preserve"> </w:t>
      </w:r>
      <w:r w:rsidR="004A347B">
        <w:t>The</w:t>
      </w:r>
      <w:r w:rsidR="00DD3036">
        <w:t> </w:t>
      </w:r>
      <w:r w:rsidR="004A347B">
        <w:t>Expert Panel has</w:t>
      </w:r>
      <w:r w:rsidR="00322138">
        <w:t xml:space="preserve"> heard positive reports of the quality of recent graduates from ITE programs, indicating that the most recent reforms introduced in response to </w:t>
      </w:r>
      <w:r w:rsidR="009F703A">
        <w:t>the</w:t>
      </w:r>
      <w:r w:rsidR="00322138">
        <w:t xml:space="preserve"> TEMAG</w:t>
      </w:r>
      <w:r w:rsidR="009F703A">
        <w:t xml:space="preserve"> Review</w:t>
      </w:r>
      <w:r w:rsidR="00322138">
        <w:t xml:space="preserve"> are having a positive impact. </w:t>
      </w:r>
      <w:r w:rsidR="003A5148">
        <w:t xml:space="preserve">However, the Expert Panel also </w:t>
      </w:r>
      <w:r w:rsidR="004F4FE6">
        <w:t>heard</w:t>
      </w:r>
      <w:r w:rsidR="00322138">
        <w:t xml:space="preserve"> that in certain key areas</w:t>
      </w:r>
      <w:r w:rsidR="004901DA">
        <w:t xml:space="preserve"> </w:t>
      </w:r>
      <w:r w:rsidR="00322138">
        <w:t xml:space="preserve">the preparation of teachers is not based on the latest evidence. </w:t>
      </w:r>
    </w:p>
    <w:p w14:paraId="618B6962" w14:textId="053DCF64" w:rsidR="00171986" w:rsidRDefault="00D4491C" w:rsidP="004B5D3D">
      <w:r w:rsidRPr="001F1FE9" w:rsidDel="001432DB">
        <w:t>The c</w:t>
      </w:r>
      <w:r w:rsidRPr="001F1FE9">
        <w:t>onsultation</w:t>
      </w:r>
      <w:r w:rsidR="00B54839">
        <w:t>s</w:t>
      </w:r>
      <w:r w:rsidRPr="001F1FE9">
        <w:t xml:space="preserve"> and </w:t>
      </w:r>
      <w:r w:rsidR="00EA1BF5">
        <w:t xml:space="preserve">the </w:t>
      </w:r>
      <w:r w:rsidRPr="001F1FE9">
        <w:t>evidence considered in the course of this Review</w:t>
      </w:r>
      <w:r w:rsidR="002D5D4A" w:rsidRPr="001F1FE9">
        <w:t xml:space="preserve"> </w:t>
      </w:r>
      <w:r w:rsidR="00002C18" w:rsidRPr="001F1FE9">
        <w:t xml:space="preserve">has convinced </w:t>
      </w:r>
      <w:r w:rsidR="00F75ADF">
        <w:t>the Expert Panel</w:t>
      </w:r>
      <w:r w:rsidR="00002C18" w:rsidRPr="001F1FE9">
        <w:t xml:space="preserve"> that there </w:t>
      </w:r>
      <w:r w:rsidR="00CF6A42">
        <w:t>remain</w:t>
      </w:r>
      <w:r w:rsidR="002D5D4A" w:rsidRPr="001F1FE9">
        <w:t xml:space="preserve"> </w:t>
      </w:r>
      <w:r w:rsidR="00002C18" w:rsidRPr="001F1FE9">
        <w:t xml:space="preserve">aspects of ITE that need to be addressed </w:t>
      </w:r>
      <w:r w:rsidR="00AC4333" w:rsidRPr="001F1FE9">
        <w:t xml:space="preserve">and that </w:t>
      </w:r>
      <w:r w:rsidR="007105C0">
        <w:t>Australia</w:t>
      </w:r>
      <w:r w:rsidR="00AC4333" w:rsidRPr="001F1FE9">
        <w:t xml:space="preserve"> cannot afford to rest on the </w:t>
      </w:r>
      <w:r w:rsidR="00171986" w:rsidRPr="001F1FE9">
        <w:t xml:space="preserve">changes </w:t>
      </w:r>
      <w:r w:rsidR="00AC4333" w:rsidRPr="001F1FE9">
        <w:t xml:space="preserve">made in response to </w:t>
      </w:r>
      <w:r w:rsidR="009F703A">
        <w:t>the</w:t>
      </w:r>
      <w:r w:rsidR="00AC4333" w:rsidRPr="001F1FE9">
        <w:t xml:space="preserve"> TEMAG</w:t>
      </w:r>
      <w:r w:rsidR="009F703A">
        <w:t xml:space="preserve"> Review</w:t>
      </w:r>
      <w:r w:rsidR="00455ACE" w:rsidRPr="001F1FE9">
        <w:t>.</w:t>
      </w:r>
      <w:r w:rsidR="00171986" w:rsidRPr="001F1FE9">
        <w:t xml:space="preserve"> </w:t>
      </w:r>
      <w:r w:rsidR="00BF0E4D">
        <w:t xml:space="preserve">We must look to build on the TEMAG reforms quickly </w:t>
      </w:r>
      <w:r w:rsidR="00D952E0">
        <w:t>to</w:t>
      </w:r>
      <w:r w:rsidR="00BF0E4D">
        <w:t xml:space="preserve"> work toward </w:t>
      </w:r>
      <w:r w:rsidR="00CE3A00">
        <w:t xml:space="preserve">reversing </w:t>
      </w:r>
      <w:r w:rsidR="00CE3A00" w:rsidRPr="001F1FE9">
        <w:t>the</w:t>
      </w:r>
      <w:r w:rsidR="002039F0" w:rsidRPr="001F1FE9">
        <w:t xml:space="preserve"> decline in Australia’s performance against international benchmarks </w:t>
      </w:r>
      <w:r w:rsidR="00AA6034" w:rsidRPr="001F1FE9">
        <w:t xml:space="preserve">and </w:t>
      </w:r>
      <w:r w:rsidR="002B43E7">
        <w:t>ensure</w:t>
      </w:r>
      <w:r w:rsidR="002B43E7" w:rsidRPr="00AD5BB8">
        <w:rPr>
          <w:bCs/>
        </w:rPr>
        <w:t xml:space="preserve"> an adequate</w:t>
      </w:r>
      <w:r w:rsidR="00520BD9" w:rsidRPr="00AD5BB8">
        <w:rPr>
          <w:bCs/>
        </w:rPr>
        <w:t xml:space="preserve"> supply </w:t>
      </w:r>
      <w:r w:rsidR="002B43E7" w:rsidRPr="00AD5BB8">
        <w:rPr>
          <w:bCs/>
        </w:rPr>
        <w:t>of teachers</w:t>
      </w:r>
      <w:r w:rsidR="00016FE8" w:rsidRPr="001F1FE9">
        <w:rPr>
          <w:bCs/>
        </w:rPr>
        <w:t xml:space="preserve"> to meet </w:t>
      </w:r>
      <w:r w:rsidR="003D49A2">
        <w:rPr>
          <w:bCs/>
        </w:rPr>
        <w:t xml:space="preserve">current and </w:t>
      </w:r>
      <w:r w:rsidR="00016FE8" w:rsidRPr="001F1FE9">
        <w:rPr>
          <w:bCs/>
        </w:rPr>
        <w:t>future demand</w:t>
      </w:r>
      <w:r w:rsidR="002039F0" w:rsidRPr="001F1FE9">
        <w:t>.</w:t>
      </w:r>
      <w:r w:rsidR="00504294">
        <w:t xml:space="preserve"> </w:t>
      </w:r>
    </w:p>
    <w:p w14:paraId="16653228" w14:textId="3AF9B17E" w:rsidR="00E766D6" w:rsidRDefault="00955B1D" w:rsidP="004B5D3D">
      <w:pPr>
        <w:pStyle w:val="Heading7"/>
      </w:pPr>
      <w:r>
        <w:lastRenderedPageBreak/>
        <w:t>Acknowledg</w:t>
      </w:r>
      <w:r w:rsidR="00B45B1E">
        <w:t xml:space="preserve">ing broader </w:t>
      </w:r>
      <w:r w:rsidR="00714982">
        <w:t>workforce</w:t>
      </w:r>
      <w:r>
        <w:t xml:space="preserve"> issues </w:t>
      </w:r>
    </w:p>
    <w:p w14:paraId="2D04B267" w14:textId="1441F7F6" w:rsidR="00835A64" w:rsidRDefault="00930BAF" w:rsidP="004B5D3D">
      <w:r>
        <w:t xml:space="preserve">Concerns with </w:t>
      </w:r>
      <w:r w:rsidR="009D7D08">
        <w:t>teacher salaries</w:t>
      </w:r>
      <w:r w:rsidR="0095199E">
        <w:t xml:space="preserve"> and </w:t>
      </w:r>
      <w:r w:rsidR="009D7D08">
        <w:t>workload</w:t>
      </w:r>
      <w:r w:rsidR="00BC4B83">
        <w:t xml:space="preserve"> </w:t>
      </w:r>
      <w:r w:rsidR="009D7D08">
        <w:t xml:space="preserve">are </w:t>
      </w:r>
      <w:r w:rsidR="00F01304">
        <w:t>held by a majority of stakeholders</w:t>
      </w:r>
      <w:r w:rsidR="00444D3A">
        <w:t xml:space="preserve">. </w:t>
      </w:r>
      <w:r w:rsidR="00616FA7">
        <w:t>The Expert Panel</w:t>
      </w:r>
      <w:r w:rsidR="00444D3A" w:rsidRPr="00444D3A">
        <w:t xml:space="preserve"> recognise</w:t>
      </w:r>
      <w:r w:rsidR="004736B9">
        <w:t>s</w:t>
      </w:r>
      <w:r w:rsidR="00444D3A" w:rsidRPr="00444D3A">
        <w:t xml:space="preserve"> that these matters are predominantly workforce related and not specifically part of ITE</w:t>
      </w:r>
      <w:r w:rsidR="00444D3A">
        <w:t>, however, t</w:t>
      </w:r>
      <w:r w:rsidR="007901C6">
        <w:t>he</w:t>
      </w:r>
      <w:r w:rsidR="00526E80">
        <w:t xml:space="preserve"> potential effect of these broader issues</w:t>
      </w:r>
      <w:r w:rsidR="00844DFA">
        <w:t xml:space="preserve"> on attracting high</w:t>
      </w:r>
      <w:r w:rsidR="00210C47">
        <w:noBreakHyphen/>
      </w:r>
      <w:r w:rsidR="00844DFA">
        <w:t>quality entrants to the profession</w:t>
      </w:r>
      <w:r w:rsidR="00BE02DA">
        <w:t xml:space="preserve"> </w:t>
      </w:r>
      <w:r w:rsidR="007901C6">
        <w:t xml:space="preserve">should not </w:t>
      </w:r>
      <w:r w:rsidR="00844DFA">
        <w:t>be ignored</w:t>
      </w:r>
      <w:r w:rsidR="00444D3A">
        <w:t xml:space="preserve">. </w:t>
      </w:r>
      <w:r w:rsidR="00366925">
        <w:t>Th</w:t>
      </w:r>
      <w:r w:rsidR="00210FCD">
        <w:t>is report</w:t>
      </w:r>
      <w:r w:rsidR="00FC276E">
        <w:t xml:space="preserve"> </w:t>
      </w:r>
      <w:r w:rsidR="00DB356D">
        <w:t>acknowledge</w:t>
      </w:r>
      <w:r w:rsidR="00210FCD">
        <w:t>s</w:t>
      </w:r>
      <w:r w:rsidR="00DB356D">
        <w:t xml:space="preserve"> these issues where relevant, and </w:t>
      </w:r>
      <w:r w:rsidR="00210FCD">
        <w:t xml:space="preserve">the Expert Panel has </w:t>
      </w:r>
      <w:r w:rsidR="00DB356D">
        <w:t xml:space="preserve">made </w:t>
      </w:r>
      <w:r w:rsidR="00680654">
        <w:t>recommendations</w:t>
      </w:r>
      <w:r w:rsidR="004C29A3">
        <w:t xml:space="preserve"> </w:t>
      </w:r>
      <w:r w:rsidR="00AF171B">
        <w:t xml:space="preserve">or </w:t>
      </w:r>
      <w:r w:rsidR="00DB356D">
        <w:t xml:space="preserve">findings where appropriate, </w:t>
      </w:r>
      <w:r w:rsidR="00C33970">
        <w:t xml:space="preserve">to </w:t>
      </w:r>
      <w:r w:rsidR="00BE64CD">
        <w:t xml:space="preserve">place </w:t>
      </w:r>
      <w:r w:rsidR="00951C22">
        <w:t xml:space="preserve">ITE in the context of the broader teaching </w:t>
      </w:r>
      <w:r w:rsidR="00934E72">
        <w:t>profession.</w:t>
      </w:r>
    </w:p>
    <w:p w14:paraId="2F7D01EA" w14:textId="42458325" w:rsidR="002431BE" w:rsidRDefault="00EE011B" w:rsidP="004B5D3D">
      <w:pPr>
        <w:pStyle w:val="Heading7"/>
      </w:pPr>
      <w:r>
        <w:t xml:space="preserve">Structure of the </w:t>
      </w:r>
      <w:r w:rsidR="00DE622F">
        <w:t>r</w:t>
      </w:r>
      <w:r>
        <w:t>eport</w:t>
      </w:r>
    </w:p>
    <w:p w14:paraId="4DBAB837" w14:textId="65396BA3" w:rsidR="00437F4C" w:rsidRDefault="00DE622F" w:rsidP="004B5D3D">
      <w:r>
        <w:t>A</w:t>
      </w:r>
      <w:r w:rsidR="00444C63">
        <w:t xml:space="preserve"> successful teacher is one whose students’ learning grows by at least a year in a year</w:t>
      </w:r>
      <w:r w:rsidR="00A36D3D">
        <w:t xml:space="preserve"> (Figure 2)</w:t>
      </w:r>
      <w:r w:rsidR="00444C63">
        <w:t xml:space="preserve">. </w:t>
      </w:r>
      <w:r w:rsidR="00761965">
        <w:t xml:space="preserve">Effective ITE should </w:t>
      </w:r>
      <w:r w:rsidR="00CE69CF">
        <w:t>set teachers up to be able to achieve this</w:t>
      </w:r>
      <w:r w:rsidR="00437F4C">
        <w:t>.</w:t>
      </w:r>
    </w:p>
    <w:p w14:paraId="004C6D39" w14:textId="3E9D889D" w:rsidR="00444C63" w:rsidRDefault="008F2434" w:rsidP="004B5D3D">
      <w:r>
        <w:t>T</w:t>
      </w:r>
      <w:r w:rsidR="00EC7CD6">
        <w:t xml:space="preserve">his requires that the system is </w:t>
      </w:r>
      <w:r w:rsidR="005676F7">
        <w:t>selecting the right people</w:t>
      </w:r>
      <w:r w:rsidR="00EC7CD6">
        <w:t xml:space="preserve"> into ITE</w:t>
      </w:r>
      <w:r w:rsidR="005676F7">
        <w:t xml:space="preserve">, </w:t>
      </w:r>
      <w:r w:rsidR="003C68DC">
        <w:t xml:space="preserve">ensuring </w:t>
      </w:r>
      <w:r w:rsidR="00D420E9">
        <w:t xml:space="preserve">that </w:t>
      </w:r>
      <w:r w:rsidR="003C68DC">
        <w:t xml:space="preserve">ITE programs teach the skills necessary to be </w:t>
      </w:r>
      <w:r w:rsidR="005027FA">
        <w:t>classroom</w:t>
      </w:r>
      <w:r w:rsidR="00BE320A">
        <w:t xml:space="preserve"> </w:t>
      </w:r>
      <w:r w:rsidR="005027FA">
        <w:t xml:space="preserve">ready, </w:t>
      </w:r>
      <w:r w:rsidR="00400C6D">
        <w:t xml:space="preserve">and </w:t>
      </w:r>
      <w:r w:rsidR="00B577B0">
        <w:t>providing individual and system support in the early years of a teacher</w:t>
      </w:r>
      <w:r w:rsidR="2BCDB3DF">
        <w:t>’</w:t>
      </w:r>
      <w:r w:rsidR="00B577B0">
        <w:t>s career</w:t>
      </w:r>
      <w:r w:rsidR="0012532E">
        <w:t xml:space="preserve"> as </w:t>
      </w:r>
      <w:r w:rsidR="00191624">
        <w:t>they progress from ITE graduate to classroom teacher</w:t>
      </w:r>
      <w:r w:rsidR="00B577B0">
        <w:t>.</w:t>
      </w:r>
    </w:p>
    <w:p w14:paraId="2F7F3C87" w14:textId="0847B710" w:rsidR="00D32BD2" w:rsidRPr="005B0A0F" w:rsidRDefault="00D32BD2" w:rsidP="00D32BD2">
      <w:pPr>
        <w:pStyle w:val="Caption"/>
        <w:keepNext/>
        <w:rPr>
          <w:i w:val="0"/>
          <w:iCs w:val="0"/>
          <w:color w:val="000000" w:themeColor="text1"/>
        </w:rPr>
      </w:pPr>
      <w:r w:rsidRPr="005B0A0F">
        <w:rPr>
          <w:i w:val="0"/>
          <w:iCs w:val="0"/>
          <w:color w:val="000000" w:themeColor="text1"/>
        </w:rPr>
        <w:t xml:space="preserve">Figure </w:t>
      </w:r>
      <w:r w:rsidR="005B0A0F" w:rsidRPr="005B0A0F">
        <w:rPr>
          <w:i w:val="0"/>
          <w:iCs w:val="0"/>
          <w:color w:val="000000" w:themeColor="text1"/>
        </w:rPr>
        <w:t>2</w:t>
      </w:r>
      <w:r w:rsidR="00387926">
        <w:rPr>
          <w:i w:val="0"/>
          <w:iCs w:val="0"/>
          <w:color w:val="000000" w:themeColor="text1"/>
        </w:rPr>
        <w:t>.</w:t>
      </w:r>
      <w:r w:rsidR="005B0A0F" w:rsidRPr="005B0A0F">
        <w:rPr>
          <w:i w:val="0"/>
          <w:iCs w:val="0"/>
          <w:color w:val="000000" w:themeColor="text1"/>
        </w:rPr>
        <w:t xml:space="preserve"> </w:t>
      </w:r>
      <w:r w:rsidR="00657265" w:rsidRPr="005B0A0F">
        <w:rPr>
          <w:i w:val="0"/>
          <w:iCs w:val="0"/>
          <w:color w:val="000000" w:themeColor="text1"/>
        </w:rPr>
        <w:t>Elements of</w:t>
      </w:r>
      <w:r w:rsidRPr="005B0A0F">
        <w:rPr>
          <w:i w:val="0"/>
          <w:iCs w:val="0"/>
          <w:color w:val="000000" w:themeColor="text1"/>
        </w:rPr>
        <w:t xml:space="preserve"> Quality Teaching</w:t>
      </w:r>
    </w:p>
    <w:p w14:paraId="2DB30BF8" w14:textId="77777777" w:rsidR="0063422C" w:rsidRDefault="005A7169" w:rsidP="00EB6114">
      <w:pPr>
        <w:keepNext/>
        <w:spacing w:after="0"/>
      </w:pPr>
      <w:r>
        <w:rPr>
          <w:noProof/>
        </w:rPr>
        <w:drawing>
          <wp:inline distT="0" distB="0" distL="0" distR="0" wp14:anchorId="3FE78A1D" wp14:editId="26A262F2">
            <wp:extent cx="5659395" cy="2574302"/>
            <wp:effectExtent l="0" t="0" r="0" b="0"/>
            <wp:docPr id="4" name="Picture 4" descr="This Venn diagram shows the three interrelated components that make up quality teaching. &#10;&#10;The first circle refers to Attraction and Selection, which includes:&#10;• personal characteristics&#10;• academic achievement&#10;The second circle refers to initial teacher education program quality, which includes:&#10;• development of knowledge (pedagogical and content)&#10;• duration of program &#10;• experience in schools&#10;• coaching and feedback&#10;The third circle refers to the Early Years of Teaching, which includes:&#10;• complexity of the school context&#10;• induction&#10;• mento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Venn diagram shows the three interrelated components that make up quality teaching. &#10;&#10;The first circle refers to Attraction and Selection, which includes:&#10;• personal characteristics&#10;• academic achievement&#10;The second circle refers to initial teacher education program quality, which includes:&#10;• development of knowledge (pedagogical and content)&#10;• duration of program &#10;• experience in schools&#10;• coaching and feedback&#10;The third circle refers to the Early Years of Teaching, which includes:&#10;• complexity of the school context&#10;• induction&#10;• mentoring&#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190"/>
                    <a:stretch/>
                  </pic:blipFill>
                  <pic:spPr bwMode="auto">
                    <a:xfrm>
                      <a:off x="0" y="0"/>
                      <a:ext cx="5684123" cy="2585550"/>
                    </a:xfrm>
                    <a:prstGeom prst="rect">
                      <a:avLst/>
                    </a:prstGeom>
                    <a:noFill/>
                    <a:ln>
                      <a:noFill/>
                    </a:ln>
                    <a:extLst>
                      <a:ext uri="{53640926-AAD7-44D8-BBD7-CCE9431645EC}">
                        <a14:shadowObscured xmlns:a14="http://schemas.microsoft.com/office/drawing/2010/main"/>
                      </a:ext>
                    </a:extLst>
                  </pic:spPr>
                </pic:pic>
              </a:graphicData>
            </a:graphic>
          </wp:inline>
        </w:drawing>
      </w:r>
    </w:p>
    <w:p w14:paraId="0C0B7818" w14:textId="245821A6" w:rsidR="00D32BD2" w:rsidRPr="000D56BC" w:rsidRDefault="0063422C" w:rsidP="00F42F44">
      <w:pPr>
        <w:pStyle w:val="Caption"/>
        <w:rPr>
          <w:i w:val="0"/>
          <w:iCs w:val="0"/>
          <w:color w:val="000000" w:themeColor="text1"/>
          <w:sz w:val="16"/>
          <w:szCs w:val="16"/>
        </w:rPr>
      </w:pPr>
      <w:r w:rsidRPr="000D56BC">
        <w:rPr>
          <w:i w:val="0"/>
          <w:iCs w:val="0"/>
          <w:color w:val="000000" w:themeColor="text1"/>
          <w:sz w:val="16"/>
          <w:szCs w:val="16"/>
        </w:rPr>
        <w:t>Source</w:t>
      </w:r>
      <w:r w:rsidR="00F42F44" w:rsidRPr="000D56BC">
        <w:rPr>
          <w:i w:val="0"/>
          <w:iCs w:val="0"/>
          <w:color w:val="000000" w:themeColor="text1"/>
          <w:sz w:val="16"/>
          <w:szCs w:val="16"/>
        </w:rPr>
        <w:t>: Diagram developed by the Quality Initial Teacher Education Review</w:t>
      </w:r>
    </w:p>
    <w:p w14:paraId="31D9BACA" w14:textId="41D25A4E" w:rsidR="006037C5" w:rsidRDefault="00FC3EB1" w:rsidP="004B5D3D">
      <w:r>
        <w:t xml:space="preserve">Part A </w:t>
      </w:r>
      <w:r w:rsidR="00B74A2D">
        <w:t>of this report</w:t>
      </w:r>
      <w:r>
        <w:t xml:space="preserve"> discusses selection</w:t>
      </w:r>
      <w:r w:rsidR="00E75F9C">
        <w:t xml:space="preserve">, including attracting </w:t>
      </w:r>
      <w:r w:rsidR="00451324">
        <w:t xml:space="preserve">the right people to ITE and ensuring </w:t>
      </w:r>
      <w:r w:rsidR="00E737B6">
        <w:t xml:space="preserve">we are selecting those with the characteristics </w:t>
      </w:r>
      <w:r w:rsidR="00A43BB7">
        <w:t>to become effective teachers</w:t>
      </w:r>
      <w:r>
        <w:t xml:space="preserve">. </w:t>
      </w:r>
      <w:r w:rsidR="00F60CBE">
        <w:t xml:space="preserve">Part B looks at the quality </w:t>
      </w:r>
      <w:r w:rsidR="00B22E29">
        <w:t>and delivery</w:t>
      </w:r>
      <w:r w:rsidR="00F60CBE">
        <w:t xml:space="preserve"> of ITE programs</w:t>
      </w:r>
      <w:r w:rsidR="00EC08C3">
        <w:t xml:space="preserve">. Part C discusses </w:t>
      </w:r>
      <w:r w:rsidR="00FB75DA">
        <w:t xml:space="preserve">supporting teachers early in their career </w:t>
      </w:r>
      <w:r w:rsidR="00652932">
        <w:t xml:space="preserve">and how, at a system level, we can ensure Australia has </w:t>
      </w:r>
      <w:r w:rsidR="00B156AA">
        <w:t xml:space="preserve">an adequate supply of </w:t>
      </w:r>
      <w:r w:rsidR="00652932">
        <w:t>teachers when and where they are needed.</w:t>
      </w:r>
    </w:p>
    <w:p w14:paraId="4E615DCA" w14:textId="77777777" w:rsidR="00476C92" w:rsidRDefault="00476C92" w:rsidP="007F0576">
      <w:pPr>
        <w:pStyle w:val="Heading1"/>
        <w:sectPr w:rsidR="00476C92" w:rsidSect="004219FC">
          <w:pgSz w:w="11900" w:h="16840"/>
          <w:pgMar w:top="426" w:right="1440" w:bottom="284" w:left="1440" w:header="708" w:footer="708" w:gutter="0"/>
          <w:pgNumType w:start="1"/>
          <w:cols w:space="708"/>
          <w:docGrid w:linePitch="360"/>
        </w:sectPr>
      </w:pPr>
      <w:bookmarkStart w:id="19" w:name="_Toc86138402"/>
      <w:bookmarkStart w:id="20" w:name="_Toc86141306"/>
      <w:bookmarkStart w:id="21" w:name="_Hlk80697861"/>
    </w:p>
    <w:p w14:paraId="77FB6081" w14:textId="2478EE79" w:rsidR="00E477FD" w:rsidRPr="00E477FD" w:rsidRDefault="00E477FD" w:rsidP="007F0576">
      <w:pPr>
        <w:pStyle w:val="Heading1"/>
        <w:rPr>
          <w:b w:val="0"/>
          <w:szCs w:val="28"/>
        </w:rPr>
      </w:pPr>
      <w:bookmarkStart w:id="22" w:name="_Toc91160197"/>
      <w:r w:rsidRPr="00E477FD">
        <w:lastRenderedPageBreak/>
        <w:t>Part A</w:t>
      </w:r>
      <w:r w:rsidR="00973E35" w:rsidRPr="00214D17">
        <w:t>:</w:t>
      </w:r>
      <w:r w:rsidRPr="00214D17">
        <w:t xml:space="preserve"> </w:t>
      </w:r>
      <w:r w:rsidR="006845FF" w:rsidRPr="00214D17">
        <w:t xml:space="preserve">Attraction and </w:t>
      </w:r>
      <w:r w:rsidRPr="00214D17">
        <w:t>Selection</w:t>
      </w:r>
      <w:bookmarkEnd w:id="19"/>
      <w:bookmarkEnd w:id="20"/>
      <w:bookmarkEnd w:id="22"/>
      <w:r w:rsidRPr="00E477FD">
        <w:rPr>
          <w:b w:val="0"/>
          <w:szCs w:val="28"/>
        </w:rPr>
        <w:t xml:space="preserve"> </w:t>
      </w:r>
    </w:p>
    <w:p w14:paraId="68636926" w14:textId="77777777" w:rsidR="006845FF" w:rsidRDefault="00BC192A" w:rsidP="004219FC">
      <w:pPr>
        <w:rPr>
          <w:rFonts w:ascii="Calibri" w:hAnsi="Calibri" w:cs="Calibri"/>
          <w:color w:val="000000"/>
        </w:rPr>
      </w:pPr>
      <w:r>
        <w:rPr>
          <w:rFonts w:ascii="Calibri" w:hAnsi="Calibri" w:cs="Calibri"/>
          <w:color w:val="000000"/>
        </w:rPr>
        <w:t xml:space="preserve">Lifting student outcomes begins with attracting and selecting the right people to lead classrooms. </w:t>
      </w:r>
    </w:p>
    <w:p w14:paraId="7301E5BA" w14:textId="5C4C70F6" w:rsidR="00F438FA" w:rsidRDefault="00215161" w:rsidP="004219FC">
      <w:pPr>
        <w:rPr>
          <w:rFonts w:ascii="Calibri" w:hAnsi="Calibri" w:cs="Calibri"/>
          <w:color w:val="000000"/>
        </w:rPr>
      </w:pPr>
      <w:r>
        <w:rPr>
          <w:rFonts w:ascii="Calibri" w:hAnsi="Calibri" w:cs="Calibri"/>
        </w:rPr>
        <w:t>Q</w:t>
      </w:r>
      <w:r w:rsidR="00275F90" w:rsidRPr="5D701926">
        <w:rPr>
          <w:rFonts w:ascii="Calibri" w:hAnsi="Calibri" w:cs="Calibri"/>
        </w:rPr>
        <w:t>uality teaching is the most important in-school factor in lifting student achievement</w:t>
      </w:r>
      <w:r w:rsidR="00DC6B63" w:rsidRPr="5D701926">
        <w:rPr>
          <w:rFonts w:ascii="Calibri" w:hAnsi="Calibri" w:cs="Calibri"/>
        </w:rPr>
        <w:t xml:space="preserve">. </w:t>
      </w:r>
      <w:r w:rsidR="008E760C" w:rsidRPr="5D701926">
        <w:rPr>
          <w:rFonts w:ascii="Calibri" w:hAnsi="Calibri" w:cs="Calibri"/>
        </w:rPr>
        <w:t>T</w:t>
      </w:r>
      <w:r w:rsidR="008C6290" w:rsidRPr="5D701926">
        <w:rPr>
          <w:rFonts w:ascii="Calibri" w:hAnsi="Calibri" w:cs="Calibri"/>
        </w:rPr>
        <w:t xml:space="preserve">o ensure we continue to have a quality teaching workforce </w:t>
      </w:r>
      <w:r w:rsidR="004A3685" w:rsidRPr="5D701926">
        <w:rPr>
          <w:rFonts w:ascii="Calibri" w:hAnsi="Calibri" w:cs="Calibri"/>
        </w:rPr>
        <w:t>into</w:t>
      </w:r>
      <w:r w:rsidR="008C6290" w:rsidRPr="5D701926">
        <w:rPr>
          <w:rFonts w:ascii="Calibri" w:hAnsi="Calibri" w:cs="Calibri"/>
        </w:rPr>
        <w:t xml:space="preserve"> the future, we need to attract </w:t>
      </w:r>
      <w:r w:rsidR="006900DD" w:rsidRPr="5D701926">
        <w:rPr>
          <w:rFonts w:ascii="Calibri" w:hAnsi="Calibri" w:cs="Calibri"/>
        </w:rPr>
        <w:t xml:space="preserve">to the profession </w:t>
      </w:r>
      <w:r w:rsidR="008C6290" w:rsidRPr="5D701926">
        <w:rPr>
          <w:rFonts w:ascii="Calibri" w:hAnsi="Calibri" w:cs="Calibri"/>
        </w:rPr>
        <w:t>the next generation of smart, capable and diverse teachers who are motivated to work with children.</w:t>
      </w:r>
      <w:r w:rsidR="009A62AD" w:rsidRPr="5D701926">
        <w:rPr>
          <w:rFonts w:ascii="Calibri" w:hAnsi="Calibri" w:cs="Calibri"/>
        </w:rPr>
        <w:t xml:space="preserve"> </w:t>
      </w:r>
      <w:r w:rsidR="00F438FA" w:rsidRPr="5D701926">
        <w:rPr>
          <w:rFonts w:ascii="Calibri" w:hAnsi="Calibri" w:cs="Calibri"/>
        </w:rPr>
        <w:t xml:space="preserve">While a </w:t>
      </w:r>
      <w:r w:rsidR="00DB640F" w:rsidRPr="5D701926">
        <w:rPr>
          <w:rFonts w:ascii="Calibri" w:hAnsi="Calibri" w:cs="Calibri"/>
        </w:rPr>
        <w:t xml:space="preserve">passion for working with children is critical, </w:t>
      </w:r>
      <w:r w:rsidR="008B68E4" w:rsidRPr="5D701926">
        <w:rPr>
          <w:rFonts w:ascii="Calibri" w:hAnsi="Calibri" w:cs="Calibri"/>
        </w:rPr>
        <w:t xml:space="preserve">high </w:t>
      </w:r>
      <w:r w:rsidR="315F6FA0" w:rsidRPr="5D701926">
        <w:rPr>
          <w:rFonts w:ascii="Calibri" w:hAnsi="Calibri" w:cs="Calibri"/>
        </w:rPr>
        <w:t xml:space="preserve">academic </w:t>
      </w:r>
      <w:r w:rsidR="008B68E4" w:rsidRPr="5D701926">
        <w:rPr>
          <w:rFonts w:ascii="Calibri" w:hAnsi="Calibri" w:cs="Calibri"/>
        </w:rPr>
        <w:t>achievers</w:t>
      </w:r>
      <w:r w:rsidR="00631C34" w:rsidRPr="5D701926">
        <w:rPr>
          <w:rFonts w:ascii="Calibri" w:hAnsi="Calibri" w:cs="Calibri"/>
        </w:rPr>
        <w:t xml:space="preserve"> w</w:t>
      </w:r>
      <w:r w:rsidR="00A71C1B" w:rsidRPr="5D701926">
        <w:rPr>
          <w:rFonts w:ascii="Calibri" w:hAnsi="Calibri" w:cs="Calibri"/>
        </w:rPr>
        <w:t xml:space="preserve">ho like working with children are </w:t>
      </w:r>
      <w:r w:rsidR="00C57106" w:rsidRPr="5D701926">
        <w:rPr>
          <w:rFonts w:ascii="Calibri" w:hAnsi="Calibri" w:cs="Calibri"/>
        </w:rPr>
        <w:t xml:space="preserve">likely to </w:t>
      </w:r>
      <w:r w:rsidR="00D6351C" w:rsidRPr="5D701926">
        <w:rPr>
          <w:rFonts w:ascii="Calibri" w:hAnsi="Calibri" w:cs="Calibri"/>
        </w:rPr>
        <w:t>have a greater impact on student</w:t>
      </w:r>
      <w:r w:rsidR="00D049D9" w:rsidRPr="5D701926">
        <w:rPr>
          <w:rFonts w:ascii="Calibri" w:hAnsi="Calibri" w:cs="Calibri"/>
        </w:rPr>
        <w:t xml:space="preserve"> results</w:t>
      </w:r>
      <w:r w:rsidR="00AE0615" w:rsidRPr="5D701926">
        <w:rPr>
          <w:rFonts w:ascii="Calibri" w:hAnsi="Calibri" w:cs="Calibri"/>
        </w:rPr>
        <w:t xml:space="preserve">. </w:t>
      </w:r>
    </w:p>
    <w:p w14:paraId="4C005772" w14:textId="5228411E" w:rsidR="000576C8" w:rsidRDefault="00037977" w:rsidP="004219FC">
      <w:r>
        <w:t xml:space="preserve">While a </w:t>
      </w:r>
      <w:r w:rsidR="00AE0615">
        <w:t>teacher</w:t>
      </w:r>
      <w:r w:rsidR="00B81506">
        <w:t>’</w:t>
      </w:r>
      <w:r w:rsidR="00AE0615">
        <w:t>s academic background is not everything</w:t>
      </w:r>
      <w:r>
        <w:t xml:space="preserve"> </w:t>
      </w:r>
      <w:r w:rsidR="00AE0615">
        <w:t>and other traits such as leadership and conscientiousness can help predict teacher effectiveness</w:t>
      </w:r>
      <w:r w:rsidR="003108CA">
        <w:t>,</w:t>
      </w:r>
      <w:r w:rsidR="00A240EE">
        <w:t xml:space="preserve"> </w:t>
      </w:r>
      <w:r w:rsidR="00AE0615">
        <w:t>current evidence shows that academic achievement is a stronger predictor than non-academic traits of teaching quality</w:t>
      </w:r>
      <w:r w:rsidR="008572DC">
        <w:t xml:space="preserve"> (Goss and Sonnemann 2019a)</w:t>
      </w:r>
      <w:r w:rsidR="005D7FCB">
        <w:t>.</w:t>
      </w:r>
    </w:p>
    <w:p w14:paraId="050959A9" w14:textId="55E8FACF" w:rsidR="00927710" w:rsidRDefault="00927710" w:rsidP="004219FC">
      <w:r w:rsidRPr="00DD6E53">
        <w:rPr>
          <w:rFonts w:eastAsia="Calibri"/>
        </w:rPr>
        <w:t>To better</w:t>
      </w:r>
      <w:r w:rsidRPr="00DD6E53">
        <w:t xml:space="preserve"> understand </w:t>
      </w:r>
      <w:r w:rsidR="006E6438">
        <w:t>how to</w:t>
      </w:r>
      <w:r w:rsidRPr="00DD6E53">
        <w:t xml:space="preserve"> attract high-quality candidates to teaching, </w:t>
      </w:r>
      <w:r w:rsidR="0013310F">
        <w:t>the Expert Panel</w:t>
      </w:r>
      <w:r w:rsidRPr="00DD6E53">
        <w:t xml:space="preserve"> engaged </w:t>
      </w:r>
      <w:r w:rsidR="002F7C84">
        <w:t>the Behavioural Economics Team of the Australian Government (</w:t>
      </w:r>
      <w:r w:rsidRPr="00DD6E53">
        <w:t>BETA</w:t>
      </w:r>
      <w:r w:rsidR="002F7C84">
        <w:t>)</w:t>
      </w:r>
      <w:r w:rsidRPr="00DD6E53">
        <w:t xml:space="preserve"> to explore</w:t>
      </w:r>
      <w:r>
        <w:t xml:space="preserve"> the barriers and </w:t>
      </w:r>
      <w:r w:rsidR="006D4EFE">
        <w:t xml:space="preserve">investigate </w:t>
      </w:r>
      <w:r w:rsidR="006C44EC">
        <w:t>what would</w:t>
      </w:r>
      <w:r>
        <w:t xml:space="preserve"> attract </w:t>
      </w:r>
      <w:r w:rsidR="009B2DE6">
        <w:t xml:space="preserve">this cohort </w:t>
      </w:r>
      <w:r>
        <w:t>into teaching.</w:t>
      </w:r>
    </w:p>
    <w:p w14:paraId="52C16D1A" w14:textId="3E43B152" w:rsidR="00927710" w:rsidRPr="00C84860" w:rsidRDefault="00927710" w:rsidP="004219FC">
      <w:r w:rsidRPr="00C84860">
        <w:t>A key component of this research was an online survey</w:t>
      </w:r>
      <w:r w:rsidR="009D4491">
        <w:t xml:space="preserve"> (BETA survey)</w:t>
      </w:r>
      <w:r w:rsidRPr="00C84860">
        <w:t>, which asked respondents</w:t>
      </w:r>
      <w:r w:rsidR="00814F78">
        <w:t xml:space="preserve"> who were not currently enrolled in </w:t>
      </w:r>
      <w:r w:rsidR="001E4B39">
        <w:t>initial teacher education (ITE)</w:t>
      </w:r>
      <w:r w:rsidR="00814F78">
        <w:t xml:space="preserve"> </w:t>
      </w:r>
      <w:r w:rsidRPr="00C84860">
        <w:t>to quantify the relative importance of various incentives related to work and study, including pay. A total of 501 young high</w:t>
      </w:r>
      <w:r w:rsidR="009D056E">
        <w:t xml:space="preserve"> </w:t>
      </w:r>
      <w:r w:rsidRPr="00C84860">
        <w:t>achievers and 1,432 mid-career professionals responded to the survey.</w:t>
      </w:r>
      <w:r w:rsidR="00EC486F">
        <w:rPr>
          <w:rStyle w:val="FootnoteReference"/>
        </w:rPr>
        <w:footnoteReference w:id="2"/>
      </w:r>
    </w:p>
    <w:p w14:paraId="61836DF0" w14:textId="5A8C8D2F" w:rsidR="00927710" w:rsidRDefault="00927710" w:rsidP="00E63952">
      <w:r>
        <w:t xml:space="preserve">Two other surveys were also conducted as part of the Review, including a student survey targeting senior secondary students (QITE student survey) and a general </w:t>
      </w:r>
      <w:r w:rsidR="00D867A1">
        <w:t xml:space="preserve">open </w:t>
      </w:r>
      <w:r>
        <w:t xml:space="preserve">survey (QITE general survey). While the BETA survey focussed on methods to attract high-quality candidates, these surveys were structured around the Review Terms of Reference, which allowed us to collect insights into a number of issues related to ITE, including attraction. </w:t>
      </w:r>
    </w:p>
    <w:p w14:paraId="3949B147" w14:textId="5D111CCA" w:rsidR="00573C0B" w:rsidRDefault="00940507" w:rsidP="00E63952">
      <w:r>
        <w:t>T</w:t>
      </w:r>
      <w:r w:rsidR="00927710">
        <w:t>hese</w:t>
      </w:r>
      <w:r w:rsidR="00E74177">
        <w:t xml:space="preserve"> surveys, and the other</w:t>
      </w:r>
      <w:r w:rsidR="00927710">
        <w:t xml:space="preserve"> consultation activities </w:t>
      </w:r>
      <w:r w:rsidR="00556B21">
        <w:t>involving current ITE students, teachers, principals and mid-career changers,</w:t>
      </w:r>
      <w:r w:rsidR="00927710">
        <w:t xml:space="preserve"> </w:t>
      </w:r>
      <w:r>
        <w:t xml:space="preserve">gave the Expert Panel a </w:t>
      </w:r>
      <w:r w:rsidR="0003593E">
        <w:t xml:space="preserve">comprehensive </w:t>
      </w:r>
      <w:r w:rsidR="00927710">
        <w:t xml:space="preserve">understanding of the various factors </w:t>
      </w:r>
      <w:r w:rsidR="0003593E">
        <w:t xml:space="preserve">that affect </w:t>
      </w:r>
      <w:r w:rsidR="00F72865">
        <w:t>perceptions of ITE and decisions to study</w:t>
      </w:r>
      <w:r w:rsidR="00F941F1">
        <w:t xml:space="preserve"> teaching</w:t>
      </w:r>
      <w:r w:rsidR="00F72865">
        <w:t xml:space="preserve">. </w:t>
      </w:r>
    </w:p>
    <w:p w14:paraId="3B4B1466" w14:textId="77777777" w:rsidR="004A29FB" w:rsidRDefault="004A29FB" w:rsidP="006903DC">
      <w:pPr>
        <w:spacing w:after="0"/>
      </w:pPr>
    </w:p>
    <w:p w14:paraId="286AAABA" w14:textId="77777777" w:rsidR="00476C92" w:rsidRDefault="00476C92" w:rsidP="00E63952">
      <w:pPr>
        <w:outlineLvl w:val="1"/>
        <w:rPr>
          <w:bCs/>
          <w:color w:val="2F5496" w:themeColor="accent1" w:themeShade="BF"/>
          <w:sz w:val="24"/>
          <w:szCs w:val="24"/>
        </w:rPr>
        <w:sectPr w:rsidR="00476C92" w:rsidSect="003C6733">
          <w:pgSz w:w="11900" w:h="16840"/>
          <w:pgMar w:top="426" w:right="1440" w:bottom="284" w:left="1440" w:header="708" w:footer="708" w:gutter="0"/>
          <w:cols w:space="708"/>
          <w:docGrid w:linePitch="360"/>
        </w:sectPr>
      </w:pPr>
      <w:bookmarkStart w:id="23" w:name="_Toc86138403"/>
      <w:bookmarkStart w:id="24" w:name="_Toc86141307"/>
    </w:p>
    <w:p w14:paraId="4010C644" w14:textId="4E97E874" w:rsidR="00E477FD" w:rsidRDefault="00E477FD" w:rsidP="00E63952">
      <w:pPr>
        <w:outlineLvl w:val="1"/>
        <w:rPr>
          <w:bCs/>
          <w:color w:val="2F5496" w:themeColor="accent1" w:themeShade="BF"/>
          <w:sz w:val="24"/>
          <w:szCs w:val="24"/>
        </w:rPr>
      </w:pPr>
      <w:bookmarkStart w:id="25" w:name="_Toc91160198"/>
      <w:r w:rsidRPr="00E477FD">
        <w:rPr>
          <w:bCs/>
          <w:color w:val="2F5496" w:themeColor="accent1" w:themeShade="BF"/>
          <w:sz w:val="24"/>
          <w:szCs w:val="24"/>
        </w:rPr>
        <w:lastRenderedPageBreak/>
        <w:t xml:space="preserve">Chapter 1: Attracting </w:t>
      </w:r>
      <w:r w:rsidR="005D47D6">
        <w:rPr>
          <w:bCs/>
          <w:color w:val="2F5496" w:themeColor="accent1" w:themeShade="BF"/>
          <w:sz w:val="24"/>
          <w:szCs w:val="24"/>
        </w:rPr>
        <w:t>H</w:t>
      </w:r>
      <w:r w:rsidRPr="00E477FD">
        <w:rPr>
          <w:bCs/>
          <w:color w:val="2F5496" w:themeColor="accent1" w:themeShade="BF"/>
          <w:sz w:val="24"/>
          <w:szCs w:val="24"/>
        </w:rPr>
        <w:t>igh</w:t>
      </w:r>
      <w:r w:rsidR="00A97F59">
        <w:rPr>
          <w:bCs/>
          <w:color w:val="2F5496" w:themeColor="accent1" w:themeShade="BF"/>
          <w:sz w:val="24"/>
          <w:szCs w:val="24"/>
        </w:rPr>
        <w:t>-</w:t>
      </w:r>
      <w:r w:rsidRPr="00E477FD">
        <w:rPr>
          <w:bCs/>
          <w:color w:val="2F5496" w:themeColor="accent1" w:themeShade="BF"/>
          <w:sz w:val="24"/>
          <w:szCs w:val="24"/>
        </w:rPr>
        <w:t xml:space="preserve">quality and </w:t>
      </w:r>
      <w:r w:rsidR="005D47D6">
        <w:rPr>
          <w:bCs/>
          <w:color w:val="2F5496" w:themeColor="accent1" w:themeShade="BF"/>
          <w:sz w:val="24"/>
          <w:szCs w:val="24"/>
        </w:rPr>
        <w:t>D</w:t>
      </w:r>
      <w:r w:rsidRPr="00E477FD">
        <w:rPr>
          <w:bCs/>
          <w:color w:val="2F5496" w:themeColor="accent1" w:themeShade="BF"/>
          <w:sz w:val="24"/>
          <w:szCs w:val="24"/>
        </w:rPr>
        <w:t xml:space="preserve">iverse </w:t>
      </w:r>
      <w:r w:rsidR="005D47D6">
        <w:rPr>
          <w:bCs/>
          <w:color w:val="2F5496" w:themeColor="accent1" w:themeShade="BF"/>
          <w:sz w:val="24"/>
          <w:szCs w:val="24"/>
        </w:rPr>
        <w:t>C</w:t>
      </w:r>
      <w:r w:rsidRPr="00E477FD">
        <w:rPr>
          <w:bCs/>
          <w:color w:val="2F5496" w:themeColor="accent1" w:themeShade="BF"/>
          <w:sz w:val="24"/>
          <w:szCs w:val="24"/>
        </w:rPr>
        <w:t xml:space="preserve">andidates to </w:t>
      </w:r>
      <w:r w:rsidR="005D47D6">
        <w:rPr>
          <w:bCs/>
          <w:color w:val="2F5496" w:themeColor="accent1" w:themeShade="BF"/>
          <w:sz w:val="24"/>
          <w:szCs w:val="24"/>
        </w:rPr>
        <w:t>T</w:t>
      </w:r>
      <w:r w:rsidRPr="00E477FD">
        <w:rPr>
          <w:bCs/>
          <w:color w:val="2F5496" w:themeColor="accent1" w:themeShade="BF"/>
          <w:sz w:val="24"/>
          <w:szCs w:val="24"/>
        </w:rPr>
        <w:t>eaching</w:t>
      </w:r>
      <w:bookmarkEnd w:id="23"/>
      <w:bookmarkEnd w:id="24"/>
      <w:bookmarkEnd w:id="25"/>
    </w:p>
    <w:p w14:paraId="76B25CAD" w14:textId="7B6A3BE3" w:rsidR="002D4FE1" w:rsidRPr="00115DE5" w:rsidRDefault="002D4FE1" w:rsidP="5D701926">
      <w:pPr>
        <w:pStyle w:val="Keypoints"/>
      </w:pPr>
      <w:r>
        <w:t>Key points</w:t>
      </w:r>
    </w:p>
    <w:p w14:paraId="0B7E5612" w14:textId="4E1B1A7E" w:rsidR="009D1A45" w:rsidRPr="007F4C1C" w:rsidRDefault="00B21EBF" w:rsidP="00F66D2A">
      <w:pPr>
        <w:pStyle w:val="Keypoints"/>
        <w:numPr>
          <w:ilvl w:val="0"/>
          <w:numId w:val="21"/>
        </w:numPr>
        <w:spacing w:before="240" w:after="0"/>
        <w:rPr>
          <w:b w:val="0"/>
        </w:rPr>
      </w:pPr>
      <w:r>
        <w:rPr>
          <w:rFonts w:cstheme="minorHAnsi"/>
          <w:b w:val="0"/>
          <w:bCs/>
        </w:rPr>
        <w:t>There is a need</w:t>
      </w:r>
      <w:r w:rsidR="007B6984">
        <w:rPr>
          <w:rFonts w:cstheme="minorHAnsi"/>
          <w:b w:val="0"/>
          <w:bCs/>
        </w:rPr>
        <w:t xml:space="preserve"> to focus efforts </w:t>
      </w:r>
      <w:r w:rsidR="00F910CE">
        <w:rPr>
          <w:rFonts w:cstheme="minorHAnsi"/>
          <w:b w:val="0"/>
          <w:bCs/>
        </w:rPr>
        <w:t xml:space="preserve">on attracting </w:t>
      </w:r>
      <w:r w:rsidR="006E3621">
        <w:rPr>
          <w:rFonts w:cstheme="minorHAnsi"/>
          <w:b w:val="0"/>
          <w:bCs/>
        </w:rPr>
        <w:t xml:space="preserve">more </w:t>
      </w:r>
      <w:r w:rsidR="00F910CE">
        <w:rPr>
          <w:rFonts w:cstheme="minorHAnsi"/>
          <w:b w:val="0"/>
          <w:bCs/>
        </w:rPr>
        <w:t>high-quality candidates into teaching</w:t>
      </w:r>
      <w:r w:rsidR="00DF2D5F">
        <w:rPr>
          <w:rFonts w:cstheme="minorHAnsi"/>
          <w:b w:val="0"/>
          <w:bCs/>
        </w:rPr>
        <w:t>, including</w:t>
      </w:r>
      <w:r w:rsidR="00AE03FE">
        <w:rPr>
          <w:rFonts w:cstheme="minorHAnsi"/>
          <w:b w:val="0"/>
          <w:bCs/>
        </w:rPr>
        <w:t xml:space="preserve"> high</w:t>
      </w:r>
      <w:r w:rsidR="00BA1A71">
        <w:rPr>
          <w:rFonts w:cstheme="minorHAnsi"/>
          <w:b w:val="0"/>
          <w:bCs/>
        </w:rPr>
        <w:noBreakHyphen/>
      </w:r>
      <w:r w:rsidR="00AE03FE">
        <w:rPr>
          <w:rFonts w:cstheme="minorHAnsi"/>
          <w:b w:val="0"/>
          <w:bCs/>
        </w:rPr>
        <w:t xml:space="preserve">achieving school leavers, </w:t>
      </w:r>
      <w:r w:rsidR="006B0FD8">
        <w:rPr>
          <w:rFonts w:cstheme="minorHAnsi"/>
          <w:b w:val="0"/>
          <w:bCs/>
        </w:rPr>
        <w:t xml:space="preserve">mid-career </w:t>
      </w:r>
      <w:r w:rsidR="00B417E1">
        <w:rPr>
          <w:rFonts w:cstheme="minorHAnsi"/>
          <w:b w:val="0"/>
          <w:bCs/>
        </w:rPr>
        <w:t xml:space="preserve">changers and </w:t>
      </w:r>
      <w:r w:rsidR="00BC44A1">
        <w:rPr>
          <w:rFonts w:cstheme="minorHAnsi"/>
          <w:b w:val="0"/>
          <w:bCs/>
        </w:rPr>
        <w:t>those from diverse backgrounds.</w:t>
      </w:r>
    </w:p>
    <w:p w14:paraId="17D69669" w14:textId="66232417" w:rsidR="007F4C1C" w:rsidRPr="005E40BB" w:rsidRDefault="00C63F07" w:rsidP="00F66D2A">
      <w:pPr>
        <w:pStyle w:val="Keypoints"/>
        <w:numPr>
          <w:ilvl w:val="0"/>
          <w:numId w:val="21"/>
        </w:numPr>
        <w:spacing w:before="240" w:after="0"/>
        <w:rPr>
          <w:b w:val="0"/>
        </w:rPr>
      </w:pPr>
      <w:r>
        <w:rPr>
          <w:rFonts w:cstheme="minorHAnsi"/>
          <w:b w:val="0"/>
          <w:bCs/>
        </w:rPr>
        <w:t xml:space="preserve">With the right incentives, </w:t>
      </w:r>
      <w:r w:rsidR="00D443BC">
        <w:rPr>
          <w:rFonts w:cstheme="minorHAnsi"/>
          <w:b w:val="0"/>
          <w:bCs/>
        </w:rPr>
        <w:t xml:space="preserve">up to </w:t>
      </w:r>
      <w:r>
        <w:rPr>
          <w:rFonts w:cstheme="minorHAnsi"/>
          <w:b w:val="0"/>
          <w:bCs/>
        </w:rPr>
        <w:t xml:space="preserve">four in ten </w:t>
      </w:r>
      <w:r w:rsidR="0047197B">
        <w:rPr>
          <w:rFonts w:cstheme="minorHAnsi"/>
          <w:b w:val="0"/>
          <w:bCs/>
        </w:rPr>
        <w:t xml:space="preserve">mid-career professionals </w:t>
      </w:r>
      <w:r w:rsidR="00DB6387">
        <w:rPr>
          <w:rFonts w:cstheme="minorHAnsi"/>
          <w:b w:val="0"/>
          <w:bCs/>
        </w:rPr>
        <w:t>are open to</w:t>
      </w:r>
      <w:r>
        <w:rPr>
          <w:rFonts w:cstheme="minorHAnsi"/>
          <w:b w:val="0"/>
          <w:bCs/>
        </w:rPr>
        <w:t xml:space="preserve"> teaching</w:t>
      </w:r>
      <w:r w:rsidR="00DB6387">
        <w:rPr>
          <w:rFonts w:cstheme="minorHAnsi"/>
          <w:b w:val="0"/>
          <w:bCs/>
        </w:rPr>
        <w:t>.</w:t>
      </w:r>
    </w:p>
    <w:p w14:paraId="31255F45" w14:textId="6B211719" w:rsidR="00B01D95" w:rsidRPr="00217A33" w:rsidRDefault="0047597E" w:rsidP="00F66D2A">
      <w:pPr>
        <w:pStyle w:val="Keypoints"/>
        <w:numPr>
          <w:ilvl w:val="0"/>
          <w:numId w:val="21"/>
        </w:numPr>
        <w:spacing w:before="240" w:after="0"/>
      </w:pPr>
      <w:r>
        <w:rPr>
          <w:b w:val="0"/>
          <w:bCs/>
        </w:rPr>
        <w:t>The c</w:t>
      </w:r>
      <w:r w:rsidRPr="0034395C">
        <w:rPr>
          <w:b w:val="0"/>
        </w:rPr>
        <w:t>urrent</w:t>
      </w:r>
      <w:r w:rsidR="00752F13" w:rsidRPr="0034395C">
        <w:rPr>
          <w:b w:val="0"/>
        </w:rPr>
        <w:t xml:space="preserve"> appetite from high</w:t>
      </w:r>
      <w:r w:rsidR="00B01D95" w:rsidRPr="0034395C">
        <w:rPr>
          <w:b w:val="0"/>
        </w:rPr>
        <w:t>-</w:t>
      </w:r>
      <w:r w:rsidR="00752F13" w:rsidRPr="0034395C">
        <w:rPr>
          <w:b w:val="0"/>
        </w:rPr>
        <w:t>achiev</w:t>
      </w:r>
      <w:r w:rsidR="00565BEB" w:rsidRPr="0034395C">
        <w:rPr>
          <w:b w:val="0"/>
        </w:rPr>
        <w:t>ing school leavers</w:t>
      </w:r>
      <w:r w:rsidR="00752F13" w:rsidRPr="0034395C">
        <w:rPr>
          <w:b w:val="0"/>
        </w:rPr>
        <w:t xml:space="preserve"> to pursue teaching is low – in 2019 the proportion of young high</w:t>
      </w:r>
      <w:r w:rsidR="00D41BA9">
        <w:rPr>
          <w:b w:val="0"/>
        </w:rPr>
        <w:t xml:space="preserve"> </w:t>
      </w:r>
      <w:r w:rsidR="00752F13" w:rsidRPr="0034395C">
        <w:rPr>
          <w:b w:val="0"/>
        </w:rPr>
        <w:t>achievers who chose to study teaching declined by nearly a third from 2006.</w:t>
      </w:r>
    </w:p>
    <w:p w14:paraId="5522030F" w14:textId="3D26E3A4" w:rsidR="00922179" w:rsidRPr="00404D86" w:rsidRDefault="00922179" w:rsidP="00F66D2A">
      <w:pPr>
        <w:pStyle w:val="Keypoints"/>
        <w:numPr>
          <w:ilvl w:val="0"/>
          <w:numId w:val="21"/>
        </w:numPr>
        <w:spacing w:before="240" w:after="0"/>
      </w:pPr>
      <w:r w:rsidRPr="69E112F7">
        <w:rPr>
          <w:b w:val="0"/>
        </w:rPr>
        <w:t>There are currently misconceptions about the profession that might have an impact on a candidate’s decision to choose teaching, such as length of time taken to complete a degree and the expected starting salary. For example, school leavers significantly underestimated teachers' starting salaries.</w:t>
      </w:r>
    </w:p>
    <w:p w14:paraId="1595CA6A" w14:textId="468E21C1" w:rsidR="0047615C" w:rsidRPr="00A25B30" w:rsidRDefault="00B01D95" w:rsidP="00F66D2A">
      <w:pPr>
        <w:pStyle w:val="Keypoints"/>
        <w:numPr>
          <w:ilvl w:val="0"/>
          <w:numId w:val="21"/>
        </w:numPr>
        <w:spacing w:before="240" w:after="0"/>
      </w:pPr>
      <w:r>
        <w:rPr>
          <w:rFonts w:cstheme="minorHAnsi"/>
          <w:b w:val="0"/>
          <w:bCs/>
        </w:rPr>
        <w:t>M</w:t>
      </w:r>
      <w:r w:rsidR="00226F28">
        <w:rPr>
          <w:rFonts w:cstheme="minorHAnsi"/>
          <w:b w:val="0"/>
          <w:bCs/>
        </w:rPr>
        <w:t xml:space="preserve">ore </w:t>
      </w:r>
      <w:r w:rsidR="006E3621">
        <w:rPr>
          <w:rFonts w:cstheme="minorHAnsi"/>
          <w:b w:val="0"/>
          <w:bCs/>
        </w:rPr>
        <w:t>needs to</w:t>
      </w:r>
      <w:r w:rsidR="00226F28">
        <w:rPr>
          <w:rFonts w:cstheme="minorHAnsi"/>
          <w:b w:val="0"/>
          <w:bCs/>
        </w:rPr>
        <w:t xml:space="preserve"> be done</w:t>
      </w:r>
      <w:r w:rsidR="0091760E" w:rsidRPr="0047615C">
        <w:rPr>
          <w:rFonts w:cstheme="minorHAnsi"/>
          <w:b w:val="0"/>
          <w:bCs/>
        </w:rPr>
        <w:t xml:space="preserve"> to elevate the status of the teaching profession</w:t>
      </w:r>
      <w:r w:rsidR="00814491">
        <w:rPr>
          <w:rFonts w:cstheme="minorHAnsi"/>
          <w:b w:val="0"/>
          <w:bCs/>
        </w:rPr>
        <w:t>,</w:t>
      </w:r>
      <w:r w:rsidR="0091760E" w:rsidRPr="0047615C">
        <w:rPr>
          <w:rFonts w:cstheme="minorHAnsi"/>
          <w:b w:val="0"/>
          <w:bCs/>
        </w:rPr>
        <w:t xml:space="preserve"> as an important step towards attracting suitable candidates. </w:t>
      </w:r>
    </w:p>
    <w:p w14:paraId="41BBCFA2" w14:textId="477F89E2" w:rsidR="00A25B30" w:rsidRPr="0047615C" w:rsidRDefault="008B3618" w:rsidP="00F66D2A">
      <w:pPr>
        <w:pStyle w:val="Keypoints"/>
        <w:numPr>
          <w:ilvl w:val="0"/>
          <w:numId w:val="21"/>
        </w:numPr>
        <w:spacing w:before="240" w:after="0"/>
      </w:pPr>
      <w:r>
        <w:rPr>
          <w:b w:val="0"/>
          <w:bCs/>
        </w:rPr>
        <w:t>Despite teachers themselves being highly valued by the community, a</w:t>
      </w:r>
      <w:r w:rsidR="002943BA">
        <w:rPr>
          <w:b w:val="0"/>
          <w:bCs/>
        </w:rPr>
        <w:t xml:space="preserve"> number of factors </w:t>
      </w:r>
      <w:r w:rsidR="003E66B2">
        <w:rPr>
          <w:b w:val="0"/>
          <w:bCs/>
        </w:rPr>
        <w:t>devalu</w:t>
      </w:r>
      <w:r w:rsidR="00B01D95">
        <w:rPr>
          <w:b w:val="0"/>
          <w:bCs/>
        </w:rPr>
        <w:t>e</w:t>
      </w:r>
      <w:r w:rsidR="003E66B2">
        <w:rPr>
          <w:b w:val="0"/>
          <w:bCs/>
        </w:rPr>
        <w:t xml:space="preserve"> the</w:t>
      </w:r>
      <w:r w:rsidR="005C5326">
        <w:rPr>
          <w:b w:val="0"/>
          <w:bCs/>
        </w:rPr>
        <w:t xml:space="preserve"> status of the teaching profession, including perceptions of </w:t>
      </w:r>
      <w:r w:rsidR="00403E59">
        <w:rPr>
          <w:b w:val="0"/>
          <w:bCs/>
        </w:rPr>
        <w:t>pay</w:t>
      </w:r>
      <w:r w:rsidR="00740BA3">
        <w:rPr>
          <w:b w:val="0"/>
          <w:bCs/>
        </w:rPr>
        <w:t xml:space="preserve">, </w:t>
      </w:r>
      <w:r w:rsidR="00403E59">
        <w:rPr>
          <w:b w:val="0"/>
          <w:bCs/>
        </w:rPr>
        <w:t>workload</w:t>
      </w:r>
      <w:r w:rsidR="00740BA3">
        <w:rPr>
          <w:b w:val="0"/>
          <w:bCs/>
        </w:rPr>
        <w:t xml:space="preserve"> and career progression</w:t>
      </w:r>
      <w:r w:rsidR="0089080E">
        <w:rPr>
          <w:b w:val="0"/>
          <w:bCs/>
        </w:rPr>
        <w:t>.</w:t>
      </w:r>
    </w:p>
    <w:p w14:paraId="64D5BF2E" w14:textId="36C46C8D" w:rsidR="004C64F6" w:rsidRPr="007F399D" w:rsidRDefault="0061065F" w:rsidP="00F66D2A">
      <w:pPr>
        <w:pStyle w:val="Keypoints"/>
        <w:numPr>
          <w:ilvl w:val="0"/>
          <w:numId w:val="21"/>
        </w:numPr>
        <w:spacing w:before="240" w:after="0"/>
        <w:rPr>
          <w:rFonts w:cstheme="minorHAnsi"/>
          <w:b w:val="0"/>
        </w:rPr>
      </w:pPr>
      <w:r w:rsidRPr="0047615C">
        <w:rPr>
          <w:rFonts w:cstheme="minorHAnsi"/>
          <w:b w:val="0"/>
          <w:bCs/>
        </w:rPr>
        <w:t>A one-size-fits</w:t>
      </w:r>
      <w:r w:rsidR="00887662" w:rsidRPr="0047615C">
        <w:rPr>
          <w:rFonts w:cstheme="minorHAnsi"/>
          <w:b w:val="0"/>
          <w:bCs/>
        </w:rPr>
        <w:t>-</w:t>
      </w:r>
      <w:r w:rsidRPr="0047615C">
        <w:rPr>
          <w:rFonts w:cstheme="minorHAnsi"/>
          <w:b w:val="0"/>
          <w:bCs/>
        </w:rPr>
        <w:t xml:space="preserve">all </w:t>
      </w:r>
      <w:r w:rsidR="00887662" w:rsidRPr="0047615C">
        <w:rPr>
          <w:rFonts w:cstheme="minorHAnsi"/>
          <w:b w:val="0"/>
          <w:bCs/>
        </w:rPr>
        <w:t>approach to attracti</w:t>
      </w:r>
      <w:r w:rsidR="00996F76">
        <w:rPr>
          <w:rFonts w:cstheme="minorHAnsi"/>
          <w:b w:val="0"/>
          <w:bCs/>
        </w:rPr>
        <w:t xml:space="preserve">ng high-quality </w:t>
      </w:r>
      <w:r w:rsidR="00AB31D2">
        <w:rPr>
          <w:rFonts w:cstheme="minorHAnsi"/>
          <w:b w:val="0"/>
          <w:bCs/>
        </w:rPr>
        <w:t>candidates</w:t>
      </w:r>
      <w:r w:rsidR="00887662" w:rsidRPr="0047615C">
        <w:rPr>
          <w:rFonts w:cstheme="minorHAnsi"/>
          <w:b w:val="0"/>
          <w:bCs/>
        </w:rPr>
        <w:t xml:space="preserve"> is not</w:t>
      </w:r>
      <w:r w:rsidR="00D81720" w:rsidRPr="0047615C">
        <w:rPr>
          <w:rFonts w:cstheme="minorHAnsi"/>
          <w:b w:val="0"/>
          <w:bCs/>
        </w:rPr>
        <w:t xml:space="preserve"> effective</w:t>
      </w:r>
      <w:r w:rsidR="004C64F6">
        <w:rPr>
          <w:rFonts w:cstheme="minorHAnsi"/>
          <w:b w:val="0"/>
          <w:bCs/>
        </w:rPr>
        <w:t xml:space="preserve"> – </w:t>
      </w:r>
      <w:r w:rsidR="00826EFD" w:rsidRPr="0047615C">
        <w:rPr>
          <w:rFonts w:cstheme="minorHAnsi"/>
          <w:b w:val="0"/>
          <w:bCs/>
        </w:rPr>
        <w:t>t</w:t>
      </w:r>
      <w:r w:rsidR="00826EFD">
        <w:rPr>
          <w:rFonts w:cstheme="minorHAnsi"/>
          <w:b w:val="0"/>
          <w:bCs/>
        </w:rPr>
        <w:t>a</w:t>
      </w:r>
      <w:r w:rsidR="00826EFD" w:rsidRPr="0047615C">
        <w:rPr>
          <w:rFonts w:cstheme="minorHAnsi"/>
          <w:b w:val="0"/>
          <w:bCs/>
        </w:rPr>
        <w:t>rgeted</w:t>
      </w:r>
      <w:r w:rsidR="00573343" w:rsidRPr="0047615C">
        <w:rPr>
          <w:rFonts w:cstheme="minorHAnsi"/>
          <w:b w:val="0"/>
          <w:bCs/>
        </w:rPr>
        <w:t xml:space="preserve"> </w:t>
      </w:r>
      <w:r w:rsidR="00D81720" w:rsidRPr="0047615C">
        <w:rPr>
          <w:rFonts w:cstheme="minorHAnsi"/>
          <w:b w:val="0"/>
          <w:bCs/>
        </w:rPr>
        <w:t>i</w:t>
      </w:r>
      <w:r w:rsidR="00B16ACD" w:rsidRPr="0047615C">
        <w:rPr>
          <w:rFonts w:cstheme="minorHAnsi"/>
          <w:b w:val="0"/>
          <w:bCs/>
        </w:rPr>
        <w:t xml:space="preserve">ncentives </w:t>
      </w:r>
      <w:r w:rsidR="00573343" w:rsidRPr="0047615C">
        <w:rPr>
          <w:rFonts w:cstheme="minorHAnsi"/>
          <w:b w:val="0"/>
          <w:bCs/>
        </w:rPr>
        <w:t>are needed for</w:t>
      </w:r>
      <w:r w:rsidR="00B16ACD" w:rsidRPr="0047615C">
        <w:rPr>
          <w:rFonts w:cstheme="minorHAnsi"/>
          <w:b w:val="0"/>
          <w:bCs/>
        </w:rPr>
        <w:t xml:space="preserve"> different cohorts, including school-leavers, mid-career changers, Aboriginal and Torres Strait Islander </w:t>
      </w:r>
      <w:r w:rsidR="004E66FB" w:rsidRPr="0047615C">
        <w:rPr>
          <w:rFonts w:cstheme="minorHAnsi"/>
          <w:b w:val="0"/>
          <w:bCs/>
        </w:rPr>
        <w:t>people</w:t>
      </w:r>
      <w:r w:rsidR="00D33B77">
        <w:rPr>
          <w:rFonts w:cstheme="minorHAnsi"/>
          <w:b w:val="0"/>
          <w:bCs/>
        </w:rPr>
        <w:t>s</w:t>
      </w:r>
      <w:r w:rsidR="004E66FB" w:rsidRPr="0047615C">
        <w:rPr>
          <w:rFonts w:cstheme="minorHAnsi"/>
          <w:b w:val="0"/>
          <w:bCs/>
        </w:rPr>
        <w:t xml:space="preserve"> and </w:t>
      </w:r>
      <w:r w:rsidR="000E380A" w:rsidRPr="0047615C">
        <w:rPr>
          <w:rFonts w:cstheme="minorHAnsi"/>
          <w:b w:val="0"/>
          <w:bCs/>
        </w:rPr>
        <w:t xml:space="preserve">other </w:t>
      </w:r>
      <w:r w:rsidR="00F50411">
        <w:rPr>
          <w:rFonts w:cstheme="minorHAnsi"/>
          <w:b w:val="0"/>
          <w:bCs/>
        </w:rPr>
        <w:t>underrepresented</w:t>
      </w:r>
      <w:r w:rsidR="00F50411" w:rsidRPr="0047615C">
        <w:rPr>
          <w:rFonts w:cstheme="minorHAnsi"/>
          <w:b w:val="0"/>
          <w:bCs/>
        </w:rPr>
        <w:t xml:space="preserve"> </w:t>
      </w:r>
      <w:r w:rsidR="000E380A" w:rsidRPr="0047615C">
        <w:rPr>
          <w:rFonts w:cstheme="minorHAnsi"/>
          <w:b w:val="0"/>
          <w:bCs/>
        </w:rPr>
        <w:t>groups</w:t>
      </w:r>
      <w:r w:rsidR="004C64F6">
        <w:rPr>
          <w:rFonts w:cstheme="minorHAnsi"/>
          <w:b w:val="0"/>
          <w:bCs/>
        </w:rPr>
        <w:t>.</w:t>
      </w:r>
    </w:p>
    <w:p w14:paraId="6B896C41" w14:textId="77777777" w:rsidR="008569FB" w:rsidRDefault="008569FB" w:rsidP="00B24C5F">
      <w:pPr>
        <w:spacing w:after="0"/>
      </w:pPr>
    </w:p>
    <w:p w14:paraId="5E92FD69" w14:textId="1A2A8051" w:rsidR="00E477FD" w:rsidRPr="00E477FD" w:rsidRDefault="00E477FD" w:rsidP="00E63952">
      <w:pPr>
        <w:ind w:left="1021" w:hanging="1021"/>
        <w:outlineLvl w:val="2"/>
        <w:rPr>
          <w:b/>
          <w:bCs/>
          <w:sz w:val="22"/>
          <w:szCs w:val="21"/>
        </w:rPr>
      </w:pPr>
      <w:r w:rsidRPr="00E477FD">
        <w:rPr>
          <w:b/>
          <w:bCs/>
          <w:sz w:val="22"/>
          <w:szCs w:val="21"/>
        </w:rPr>
        <w:t>Current Context</w:t>
      </w:r>
    </w:p>
    <w:p w14:paraId="3856F506" w14:textId="77777777" w:rsidR="00883407" w:rsidRPr="00E477FD" w:rsidRDefault="00883407" w:rsidP="00B24C5F">
      <w:pPr>
        <w:spacing w:after="0"/>
        <w:rPr>
          <w:b/>
          <w:bCs/>
          <w:u w:val="single"/>
        </w:rPr>
      </w:pPr>
      <w:r w:rsidRPr="00E477FD">
        <w:rPr>
          <w:b/>
          <w:bCs/>
          <w:u w:val="single"/>
        </w:rPr>
        <w:t>The status of the profession</w:t>
      </w:r>
    </w:p>
    <w:p w14:paraId="313B4AF1" w14:textId="689029FA" w:rsidR="00883407" w:rsidRPr="004219FC" w:rsidRDefault="2B8C3E9B" w:rsidP="004219FC">
      <w:pPr>
        <w:textAlignment w:val="baseline"/>
      </w:pPr>
      <w:r>
        <w:t>T</w:t>
      </w:r>
      <w:r w:rsidR="43875BBC">
        <w:t>o</w:t>
      </w:r>
      <w:r w:rsidR="00883407" w:rsidRPr="0995B48D">
        <w:t xml:space="preserve"> attract the best people, we need them to consider a career in teaching in the first place. The social status and attractiveness of a career are key factors when deciding what study</w:t>
      </w:r>
      <w:r w:rsidR="00045D49" w:rsidRPr="0995B48D">
        <w:t xml:space="preserve"> and career path to take</w:t>
      </w:r>
      <w:r w:rsidR="004B3CDD">
        <w:t xml:space="preserve"> (</w:t>
      </w:r>
      <w:r w:rsidR="0075367C">
        <w:t>OECD 2019)</w:t>
      </w:r>
      <w:r w:rsidR="00883407" w:rsidRPr="0995B48D">
        <w:t>.</w:t>
      </w:r>
    </w:p>
    <w:p w14:paraId="28DC3C3B" w14:textId="09ED4D4F" w:rsidR="00AE50F5" w:rsidRPr="00BE2789" w:rsidRDefault="00883407" w:rsidP="006903DC">
      <w:pPr>
        <w:rPr>
          <w:rStyle w:val="normaltextrun"/>
          <w:rFonts w:cstheme="minorHAnsi"/>
        </w:rPr>
      </w:pPr>
      <w:r w:rsidRPr="00E477FD">
        <w:rPr>
          <w:rFonts w:cstheme="minorHAnsi"/>
        </w:rPr>
        <w:t xml:space="preserve">Perceptions of teaching and teachers have </w:t>
      </w:r>
      <w:r w:rsidR="00E72851">
        <w:rPr>
          <w:rFonts w:cstheme="minorHAnsi"/>
        </w:rPr>
        <w:t xml:space="preserve">long </w:t>
      </w:r>
      <w:r w:rsidRPr="00E477FD">
        <w:rPr>
          <w:rFonts w:cstheme="minorHAnsi"/>
        </w:rPr>
        <w:t>been the focus of national research and</w:t>
      </w:r>
      <w:r>
        <w:rPr>
          <w:rFonts w:cstheme="minorHAnsi"/>
        </w:rPr>
        <w:t xml:space="preserve"> </w:t>
      </w:r>
      <w:r w:rsidRPr="00E477FD">
        <w:rPr>
          <w:rFonts w:cstheme="minorHAnsi"/>
        </w:rPr>
        <w:t>inquir</w:t>
      </w:r>
      <w:r>
        <w:rPr>
          <w:rFonts w:cstheme="minorHAnsi"/>
        </w:rPr>
        <w:t>y</w:t>
      </w:r>
      <w:r w:rsidRPr="00E477FD">
        <w:rPr>
          <w:rFonts w:cstheme="minorHAnsi"/>
        </w:rPr>
        <w:t xml:space="preserve">. </w:t>
      </w:r>
      <w:r>
        <w:rPr>
          <w:rFonts w:cstheme="minorHAnsi"/>
        </w:rPr>
        <w:t>The</w:t>
      </w:r>
      <w:r w:rsidRPr="00E477FD">
        <w:rPr>
          <w:rFonts w:cstheme="minorHAnsi"/>
        </w:rPr>
        <w:t xml:space="preserve"> 2019</w:t>
      </w:r>
      <w:r w:rsidRPr="00E477FD" w:rsidDel="00C23C12">
        <w:rPr>
          <w:rFonts w:cstheme="minorHAnsi"/>
        </w:rPr>
        <w:t xml:space="preserve"> </w:t>
      </w:r>
      <w:r w:rsidR="00C23C12">
        <w:rPr>
          <w:rFonts w:cstheme="minorHAnsi"/>
        </w:rPr>
        <w:t>Australian Government</w:t>
      </w:r>
      <w:r w:rsidRPr="00E477FD">
        <w:rPr>
          <w:rFonts w:cstheme="minorHAnsi"/>
        </w:rPr>
        <w:t xml:space="preserve"> inquiry into the status of the teaching profession highlighted that although teachers are highly valued within communities, the </w:t>
      </w:r>
      <w:r w:rsidR="00A62E80">
        <w:rPr>
          <w:rFonts w:cstheme="minorHAnsi"/>
        </w:rPr>
        <w:t>perceived</w:t>
      </w:r>
      <w:r w:rsidR="00F50825">
        <w:rPr>
          <w:rFonts w:cstheme="minorHAnsi"/>
        </w:rPr>
        <w:t xml:space="preserve"> </w:t>
      </w:r>
      <w:r w:rsidRPr="00E477FD">
        <w:rPr>
          <w:rFonts w:cstheme="minorHAnsi"/>
        </w:rPr>
        <w:t xml:space="preserve">social standing of the occupation continues to </w:t>
      </w:r>
      <w:r w:rsidR="000B4A06">
        <w:rPr>
          <w:rFonts w:cstheme="minorHAnsi"/>
        </w:rPr>
        <w:t>be low</w:t>
      </w:r>
      <w:r w:rsidRPr="00E477FD">
        <w:rPr>
          <w:rFonts w:cstheme="minorHAnsi"/>
        </w:rPr>
        <w:t xml:space="preserve">. </w:t>
      </w:r>
      <w:r w:rsidRPr="00E477FD">
        <w:rPr>
          <w:rFonts w:eastAsia="Times New Roman" w:cstheme="minorHAnsi"/>
          <w:color w:val="auto"/>
          <w:lang w:eastAsia="en-AU"/>
        </w:rPr>
        <w:t xml:space="preserve">The Grattan Institute </w:t>
      </w:r>
      <w:r w:rsidR="00642B65">
        <w:rPr>
          <w:rFonts w:eastAsia="Times New Roman" w:cstheme="minorHAnsi"/>
          <w:color w:val="auto"/>
          <w:lang w:eastAsia="en-AU"/>
        </w:rPr>
        <w:t>highlight</w:t>
      </w:r>
      <w:r w:rsidR="00337874">
        <w:rPr>
          <w:rFonts w:eastAsia="Times New Roman" w:cstheme="minorHAnsi"/>
          <w:color w:val="auto"/>
          <w:lang w:eastAsia="en-AU"/>
        </w:rPr>
        <w:t>ed</w:t>
      </w:r>
      <w:r w:rsidR="00642B65">
        <w:rPr>
          <w:rFonts w:eastAsia="Times New Roman" w:cstheme="minorHAnsi"/>
          <w:color w:val="auto"/>
          <w:lang w:eastAsia="en-AU"/>
        </w:rPr>
        <w:t xml:space="preserve"> that teachers </w:t>
      </w:r>
      <w:r w:rsidR="00642B65" w:rsidRPr="00E477FD">
        <w:rPr>
          <w:rFonts w:eastAsia="Times New Roman" w:cstheme="minorHAnsi"/>
          <w:color w:val="auto"/>
          <w:lang w:eastAsia="en-AU"/>
        </w:rPr>
        <w:t>feel their work is under-valued</w:t>
      </w:r>
      <w:r w:rsidR="00B32A43">
        <w:rPr>
          <w:rFonts w:eastAsia="Times New Roman" w:cstheme="minorHAnsi"/>
          <w:color w:val="auto"/>
          <w:lang w:eastAsia="en-AU"/>
        </w:rPr>
        <w:t xml:space="preserve"> </w:t>
      </w:r>
      <w:r w:rsidR="00B32A43" w:rsidRPr="00E477FD">
        <w:rPr>
          <w:rFonts w:eastAsia="Times New Roman" w:cstheme="minorHAnsi"/>
          <w:color w:val="auto"/>
          <w:lang w:eastAsia="en-AU"/>
        </w:rPr>
        <w:t xml:space="preserve">and the best and brightest are increasingly </w:t>
      </w:r>
      <w:r w:rsidR="00B32A43" w:rsidRPr="00DE74FD">
        <w:rPr>
          <w:rFonts w:eastAsia="Times New Roman" w:cstheme="minorHAnsi"/>
          <w:color w:val="auto"/>
          <w:lang w:eastAsia="en-AU"/>
        </w:rPr>
        <w:t xml:space="preserve">rejecting the opportunity to teach </w:t>
      </w:r>
      <w:r w:rsidRPr="00DE74FD">
        <w:rPr>
          <w:rFonts w:eastAsia="Times New Roman" w:cstheme="minorHAnsi"/>
          <w:color w:val="auto"/>
          <w:lang w:eastAsia="en-AU"/>
        </w:rPr>
        <w:t>(</w:t>
      </w:r>
      <w:r w:rsidR="009B2517">
        <w:rPr>
          <w:rFonts w:eastAsia="Times New Roman" w:cstheme="minorHAnsi"/>
          <w:color w:val="auto"/>
          <w:lang w:eastAsia="en-AU"/>
        </w:rPr>
        <w:t>Goss</w:t>
      </w:r>
      <w:r w:rsidR="00FA6E42" w:rsidRPr="00DE74FD">
        <w:rPr>
          <w:rFonts w:eastAsia="Times New Roman" w:cstheme="minorHAnsi"/>
          <w:color w:val="auto"/>
          <w:lang w:eastAsia="en-AU"/>
        </w:rPr>
        <w:t xml:space="preserve"> </w:t>
      </w:r>
      <w:r w:rsidR="004E13FD">
        <w:rPr>
          <w:rFonts w:eastAsia="Times New Roman" w:cstheme="minorHAnsi"/>
          <w:color w:val="auto"/>
          <w:lang w:eastAsia="en-AU"/>
        </w:rPr>
        <w:t>and Sonnemann</w:t>
      </w:r>
      <w:r w:rsidR="00FA6E42" w:rsidRPr="00DE74FD">
        <w:rPr>
          <w:rFonts w:eastAsia="Times New Roman" w:cstheme="minorHAnsi"/>
          <w:color w:val="auto"/>
          <w:lang w:eastAsia="en-AU"/>
        </w:rPr>
        <w:t xml:space="preserve"> </w:t>
      </w:r>
      <w:r w:rsidRPr="00DE74FD">
        <w:rPr>
          <w:rFonts w:eastAsia="Times New Roman" w:cstheme="minorHAnsi"/>
          <w:color w:val="auto"/>
          <w:lang w:eastAsia="en-AU"/>
        </w:rPr>
        <w:t>2019a)</w:t>
      </w:r>
      <w:r w:rsidR="009F77AE" w:rsidRPr="00DE74FD">
        <w:rPr>
          <w:rFonts w:eastAsia="Times New Roman" w:cstheme="minorHAnsi"/>
          <w:color w:val="auto"/>
          <w:lang w:eastAsia="en-AU"/>
        </w:rPr>
        <w:t>.</w:t>
      </w:r>
      <w:r w:rsidRPr="00DE74FD">
        <w:rPr>
          <w:rFonts w:eastAsia="Times New Roman" w:cstheme="minorHAnsi"/>
          <w:color w:val="auto"/>
          <w:lang w:eastAsia="en-AU"/>
        </w:rPr>
        <w:t xml:space="preserve"> </w:t>
      </w:r>
      <w:r w:rsidR="00AE50F5" w:rsidRPr="00DE74FD">
        <w:rPr>
          <w:rFonts w:cstheme="minorHAnsi"/>
        </w:rPr>
        <w:t>Long standing factors e</w:t>
      </w:r>
      <w:r w:rsidR="00AE50F5" w:rsidRPr="002517C8">
        <w:rPr>
          <w:rFonts w:cstheme="minorHAnsi"/>
        </w:rPr>
        <w:t xml:space="preserve">ncumbering the status of </w:t>
      </w:r>
      <w:r w:rsidR="00AE50F5" w:rsidRPr="004C36AF">
        <w:rPr>
          <w:rFonts w:cstheme="minorHAnsi"/>
        </w:rPr>
        <w:t>teaching are both perceptual and industrial (</w:t>
      </w:r>
      <w:r w:rsidR="00AE50F5" w:rsidRPr="00DE74FD">
        <w:rPr>
          <w:rFonts w:cstheme="minorHAnsi"/>
        </w:rPr>
        <w:t xml:space="preserve">see, for example </w:t>
      </w:r>
      <w:r w:rsidR="001F0CB1" w:rsidRPr="00655657">
        <w:rPr>
          <w:rFonts w:cstheme="minorHAnsi"/>
        </w:rPr>
        <w:t>Heffernan et al.</w:t>
      </w:r>
      <w:r w:rsidR="00AE50F5" w:rsidRPr="00655657">
        <w:rPr>
          <w:rFonts w:cstheme="minorHAnsi"/>
        </w:rPr>
        <w:t xml:space="preserve"> 2019</w:t>
      </w:r>
      <w:r w:rsidR="00AE50F5" w:rsidRPr="00DE74FD">
        <w:rPr>
          <w:rFonts w:cstheme="minorHAnsi"/>
        </w:rPr>
        <w:t xml:space="preserve">; </w:t>
      </w:r>
      <w:r w:rsidR="004E13FD">
        <w:rPr>
          <w:rFonts w:cstheme="minorHAnsi"/>
        </w:rPr>
        <w:t>Goss and Sonnemann</w:t>
      </w:r>
      <w:r w:rsidR="004E13FD" w:rsidRPr="00DE74FD">
        <w:rPr>
          <w:rFonts w:cstheme="minorHAnsi"/>
        </w:rPr>
        <w:t xml:space="preserve"> </w:t>
      </w:r>
      <w:r w:rsidR="00AE50F5" w:rsidRPr="00DE74FD">
        <w:rPr>
          <w:rFonts w:cstheme="minorHAnsi"/>
        </w:rPr>
        <w:t>2019b; Shine 2015).</w:t>
      </w:r>
    </w:p>
    <w:p w14:paraId="6196BBD4" w14:textId="7DA73FD9" w:rsidR="00883407" w:rsidRPr="00E477FD" w:rsidRDefault="00883407" w:rsidP="004219FC">
      <w:pPr>
        <w:textAlignment w:val="baseline"/>
        <w:rPr>
          <w:rFonts w:eastAsia="Times New Roman" w:cstheme="minorHAnsi"/>
          <w:color w:val="auto"/>
          <w:lang w:eastAsia="en-AU"/>
        </w:rPr>
      </w:pPr>
      <w:r w:rsidRPr="00E477FD">
        <w:rPr>
          <w:rFonts w:cstheme="minorHAnsi"/>
        </w:rPr>
        <w:t>The appetite from high</w:t>
      </w:r>
      <w:r w:rsidR="00D41BA9">
        <w:rPr>
          <w:rFonts w:cstheme="minorHAnsi"/>
        </w:rPr>
        <w:t xml:space="preserve"> </w:t>
      </w:r>
      <w:r w:rsidRPr="00E477FD">
        <w:rPr>
          <w:rFonts w:cstheme="minorHAnsi"/>
        </w:rPr>
        <w:t xml:space="preserve">achievers to pursue teaching is </w:t>
      </w:r>
      <w:r w:rsidR="000603FC">
        <w:rPr>
          <w:rFonts w:cstheme="minorHAnsi"/>
        </w:rPr>
        <w:t>relatively</w:t>
      </w:r>
      <w:r w:rsidRPr="00E477FD">
        <w:rPr>
          <w:rFonts w:cstheme="minorHAnsi"/>
        </w:rPr>
        <w:t xml:space="preserve"> low</w:t>
      </w:r>
      <w:r w:rsidR="005D3F6A">
        <w:rPr>
          <w:rFonts w:cstheme="minorHAnsi"/>
        </w:rPr>
        <w:t xml:space="preserve"> </w:t>
      </w:r>
      <w:r w:rsidRPr="00E477FD">
        <w:rPr>
          <w:rFonts w:cstheme="minorHAnsi"/>
        </w:rPr>
        <w:t>when weighed up against what other professions have to offer (</w:t>
      </w:r>
      <w:r w:rsidR="00D40230">
        <w:rPr>
          <w:rFonts w:cstheme="minorHAnsi"/>
        </w:rPr>
        <w:t>Goss and Sonnemann</w:t>
      </w:r>
      <w:r w:rsidR="00D40230" w:rsidRPr="00E477FD">
        <w:rPr>
          <w:rFonts w:cstheme="minorHAnsi"/>
        </w:rPr>
        <w:t xml:space="preserve"> </w:t>
      </w:r>
      <w:r w:rsidRPr="00E477FD">
        <w:rPr>
          <w:rFonts w:cstheme="minorHAnsi"/>
        </w:rPr>
        <w:t>2019b</w:t>
      </w:r>
      <w:r w:rsidR="007F1432">
        <w:rPr>
          <w:rFonts w:cstheme="minorHAnsi"/>
        </w:rPr>
        <w:t>)</w:t>
      </w:r>
      <w:r w:rsidRPr="00E477FD">
        <w:rPr>
          <w:rFonts w:cstheme="minorHAnsi"/>
        </w:rPr>
        <w:t xml:space="preserve">. With more career options for young people </w:t>
      </w:r>
      <w:r>
        <w:rPr>
          <w:rFonts w:cstheme="minorHAnsi"/>
        </w:rPr>
        <w:t xml:space="preserve">and </w:t>
      </w:r>
      <w:r w:rsidR="007438B0">
        <w:rPr>
          <w:rFonts w:cstheme="minorHAnsi"/>
        </w:rPr>
        <w:t>mid</w:t>
      </w:r>
      <w:r w:rsidR="00EF26D3">
        <w:rPr>
          <w:rFonts w:cstheme="minorHAnsi"/>
        </w:rPr>
        <w:noBreakHyphen/>
      </w:r>
      <w:r>
        <w:rPr>
          <w:rFonts w:cstheme="minorHAnsi"/>
        </w:rPr>
        <w:t xml:space="preserve">career changers </w:t>
      </w:r>
      <w:r w:rsidRPr="00E477FD">
        <w:rPr>
          <w:rFonts w:cstheme="minorHAnsi"/>
        </w:rPr>
        <w:t>than ever before, this is unlikely to change without concerted efforts to make teaching a more attractive and competitive career option.</w:t>
      </w:r>
    </w:p>
    <w:p w14:paraId="6AA7C5CE" w14:textId="63A4506F" w:rsidR="00B90871" w:rsidRDefault="00B4041C" w:rsidP="006903DC">
      <w:pPr>
        <w:pStyle w:val="Heading6"/>
        <w:rPr>
          <w:rStyle w:val="normaltextrun"/>
          <w:rFonts w:cs="Calibri"/>
          <w:color w:val="000000"/>
          <w:bdr w:val="none" w:sz="0" w:space="0" w:color="auto" w:frame="1"/>
        </w:rPr>
      </w:pPr>
      <w:r w:rsidRPr="00CF0322">
        <w:rPr>
          <w:rStyle w:val="normaltextrun"/>
          <w:rFonts w:cs="Calibri"/>
          <w:color w:val="000000"/>
          <w:bdr w:val="none" w:sz="0" w:space="0" w:color="auto" w:frame="1"/>
        </w:rPr>
        <w:t xml:space="preserve">Current </w:t>
      </w:r>
      <w:r w:rsidR="000752E1">
        <w:rPr>
          <w:rStyle w:val="normaltextrun"/>
          <w:rFonts w:cs="Calibri"/>
          <w:color w:val="000000"/>
          <w:bdr w:val="none" w:sz="0" w:space="0" w:color="auto" w:frame="1"/>
        </w:rPr>
        <w:t>initial teacher education</w:t>
      </w:r>
      <w:r w:rsidR="003F074E" w:rsidRPr="00CF0322">
        <w:rPr>
          <w:rStyle w:val="normaltextrun"/>
          <w:rFonts w:cs="Calibri"/>
          <w:color w:val="000000"/>
          <w:bdr w:val="none" w:sz="0" w:space="0" w:color="auto" w:frame="1"/>
        </w:rPr>
        <w:t xml:space="preserve"> </w:t>
      </w:r>
      <w:r w:rsidRPr="00CF0322">
        <w:rPr>
          <w:rStyle w:val="normaltextrun"/>
          <w:rFonts w:cs="Calibri"/>
          <w:color w:val="000000"/>
          <w:bdr w:val="none" w:sz="0" w:space="0" w:color="auto" w:frame="1"/>
        </w:rPr>
        <w:t>demographics</w:t>
      </w:r>
    </w:p>
    <w:p w14:paraId="4582159D" w14:textId="28853424" w:rsidR="00BE2789" w:rsidRDefault="00A02F47" w:rsidP="006903DC">
      <w:r>
        <w:t>In 2019</w:t>
      </w:r>
      <w:r w:rsidR="00C04BCD">
        <w:t>,</w:t>
      </w:r>
      <w:r>
        <w:t xml:space="preserve"> there were </w:t>
      </w:r>
      <w:r w:rsidR="000F5D32">
        <w:t>more than 87,000 students enrolled in ITE programs in Australia.</w:t>
      </w:r>
      <w:r w:rsidR="00AD2CCD">
        <w:t xml:space="preserve"> </w:t>
      </w:r>
      <w:r w:rsidR="003019F0">
        <w:t xml:space="preserve">Key demographic </w:t>
      </w:r>
      <w:r w:rsidR="006F1726">
        <w:t xml:space="preserve">characteristics of ITE students are outlined </w:t>
      </w:r>
      <w:r w:rsidR="007A3DE5">
        <w:t>in Figure 3</w:t>
      </w:r>
      <w:r w:rsidR="006F1726">
        <w:t xml:space="preserve">. </w:t>
      </w:r>
      <w:r w:rsidR="00D16FAD">
        <w:t xml:space="preserve">Common concerns about the </w:t>
      </w:r>
      <w:r w:rsidR="00145260">
        <w:t>ITE pipeline</w:t>
      </w:r>
      <w:r w:rsidR="006C63AE">
        <w:t xml:space="preserve"> include whether</w:t>
      </w:r>
      <w:r w:rsidR="002067B4">
        <w:t xml:space="preserve"> </w:t>
      </w:r>
      <w:r w:rsidR="00573635">
        <w:t>there are sufficient</w:t>
      </w:r>
      <w:r w:rsidR="000B6238">
        <w:t xml:space="preserve"> </w:t>
      </w:r>
      <w:r w:rsidR="00007468">
        <w:t xml:space="preserve">ITE </w:t>
      </w:r>
      <w:r w:rsidR="00573635">
        <w:t xml:space="preserve">graduates </w:t>
      </w:r>
      <w:r w:rsidR="002067B4">
        <w:t xml:space="preserve">with </w:t>
      </w:r>
      <w:r w:rsidR="00573635">
        <w:t>skil</w:t>
      </w:r>
      <w:r w:rsidR="007315A3">
        <w:t>l</w:t>
      </w:r>
      <w:r w:rsidR="000E3A0C">
        <w:t>s</w:t>
      </w:r>
      <w:r w:rsidR="007315A3">
        <w:t xml:space="preserve"> </w:t>
      </w:r>
      <w:r w:rsidR="00407538">
        <w:t>in</w:t>
      </w:r>
      <w:r w:rsidR="007315A3">
        <w:t xml:space="preserve"> </w:t>
      </w:r>
      <w:r w:rsidR="000B6238">
        <w:t xml:space="preserve">high </w:t>
      </w:r>
      <w:r w:rsidR="00407538">
        <w:t>demand</w:t>
      </w:r>
      <w:r w:rsidR="002067B4">
        <w:t xml:space="preserve"> </w:t>
      </w:r>
      <w:r w:rsidR="007C1C87">
        <w:t xml:space="preserve">subject specialisations </w:t>
      </w:r>
      <w:r w:rsidR="00407538">
        <w:t xml:space="preserve">and whether the </w:t>
      </w:r>
      <w:r w:rsidR="001A33B6">
        <w:t xml:space="preserve">diversity of </w:t>
      </w:r>
      <w:r w:rsidR="00DE39BD">
        <w:t xml:space="preserve">ITE </w:t>
      </w:r>
      <w:r w:rsidR="000B6238">
        <w:t xml:space="preserve">graduates </w:t>
      </w:r>
      <w:r w:rsidR="00DE39BD">
        <w:t xml:space="preserve">reflects the diversity of the </w:t>
      </w:r>
      <w:r w:rsidR="00EC228D">
        <w:t>school student population.</w:t>
      </w:r>
    </w:p>
    <w:p w14:paraId="7D41E020" w14:textId="192E1788" w:rsidR="009300ED" w:rsidRPr="00392197" w:rsidRDefault="009300ED" w:rsidP="00BE1A01">
      <w:pPr>
        <w:pStyle w:val="Caption"/>
        <w:keepNext/>
        <w:spacing w:after="0"/>
        <w:rPr>
          <w:i w:val="0"/>
          <w:color w:val="000000" w:themeColor="text1"/>
        </w:rPr>
      </w:pPr>
      <w:r w:rsidRPr="00392197">
        <w:rPr>
          <w:i w:val="0"/>
          <w:color w:val="000000" w:themeColor="text1"/>
        </w:rPr>
        <w:lastRenderedPageBreak/>
        <w:t xml:space="preserve">Figure </w:t>
      </w:r>
      <w:r w:rsidR="0073697F" w:rsidRPr="00392197">
        <w:rPr>
          <w:i w:val="0"/>
          <w:color w:val="000000" w:themeColor="text1"/>
        </w:rPr>
        <w:t>3</w:t>
      </w:r>
      <w:r w:rsidR="00387926">
        <w:rPr>
          <w:i w:val="0"/>
          <w:color w:val="000000" w:themeColor="text1"/>
        </w:rPr>
        <w:t>.</w:t>
      </w:r>
      <w:r w:rsidRPr="00392197">
        <w:rPr>
          <w:i w:val="0"/>
          <w:color w:val="000000" w:themeColor="text1"/>
        </w:rPr>
        <w:t xml:space="preserve"> ITE Demographics</w:t>
      </w:r>
    </w:p>
    <w:p w14:paraId="367E5EA3" w14:textId="4C4672D4" w:rsidR="00745B46" w:rsidRDefault="008C4E09" w:rsidP="00377D92">
      <w:pPr>
        <w:keepNext/>
        <w:spacing w:after="0"/>
      </w:pPr>
      <w:r>
        <w:rPr>
          <w:noProof/>
        </w:rPr>
        <w:drawing>
          <wp:inline distT="0" distB="0" distL="0" distR="0" wp14:anchorId="74E1A3F9" wp14:editId="71DF791A">
            <wp:extent cx="5742940" cy="6905339"/>
            <wp:effectExtent l="0" t="0" r="0" b="0"/>
            <wp:docPr id="7" name="Picture 7" descr="This diagram highlights initial teacher education  demographics:&#10;•The proportion of young high achievers (students aged 20 and under with an ATAR of 80 or more) choosing teaching has declined by nearly a third from 2006 to 2019&#10;•The number of students graduating from initial teacher education declined five per cent, compared with a 40 % increase in completions across all fields of study from 2009 to 2019&#10;•The share of students aged 25 or more increased to 38% compared to 35% in 2009&#10;•The share of postgraduate enrolments increased too – from 16% in 2009 to 22% in 2019&#10;•The share of part-time enrolments increased from 20% in 2009 to 25% in 2019&#10;•The share of students studying online (external and multi-mode) increased from 28% of enrolments in 2009 to 48% in 2019&#10;•The share of male enrolments increased from 24% in 2009 to 26% in 2019&#10;•23% of students who completed an initial teacher education program in 2019 came from regional and remote locations&#10;•In 2019, the proportion of initial teacher education  students that were Aboriginal and Torres Strait Islander was 1%, relative to 6% for school students&#10;•In 2019, the proportion of initial teacher education  students that were Low SES was 19%, relative to 25% for school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iagram highlights initial teacher education  demographics:&#10;•The proportion of young high achievers (students aged 20 and under with an ATAR of 80 or more) choosing teaching has declined by nearly a third from 2006 to 2019&#10;•The number of students graduating from initial teacher education declined five per cent, compared with a 40 % increase in completions across all fields of study from 2009 to 2019&#10;•The share of students aged 25 or more increased to 38% compared to 35% in 2009&#10;•The share of postgraduate enrolments increased too – from 16% in 2009 to 22% in 2019&#10;•The share of part-time enrolments increased from 20% in 2009 to 25% in 2019&#10;•The share of students studying online (external and multi-mode) increased from 28% of enrolments in 2009 to 48% in 2019&#10;•The share of male enrolments increased from 24% in 2009 to 26% in 2019&#10;•23% of students who completed an initial teacher education program in 2019 came from regional and remote locations&#10;•In 2019, the proportion of initial teacher education  students that were Aboriginal and Torres Strait Islander was 1%, relative to 6% for school students&#10;•In 2019, the proportion of initial teacher education  students that were Low SES was 19%, relative to 25% for school students&#10;"/>
                    <pic:cNvPicPr/>
                  </pic:nvPicPr>
                  <pic:blipFill>
                    <a:blip r:embed="rId24">
                      <a:extLst>
                        <a:ext uri="{28A0092B-C50C-407E-A947-70E740481C1C}">
                          <a14:useLocalDpi xmlns:a14="http://schemas.microsoft.com/office/drawing/2010/main" val="0"/>
                        </a:ext>
                      </a:extLst>
                    </a:blip>
                    <a:stretch>
                      <a:fillRect/>
                    </a:stretch>
                  </pic:blipFill>
                  <pic:spPr>
                    <a:xfrm>
                      <a:off x="0" y="0"/>
                      <a:ext cx="5759736" cy="6925535"/>
                    </a:xfrm>
                    <a:prstGeom prst="rect">
                      <a:avLst/>
                    </a:prstGeom>
                  </pic:spPr>
                </pic:pic>
              </a:graphicData>
            </a:graphic>
          </wp:inline>
        </w:drawing>
      </w:r>
    </w:p>
    <w:p w14:paraId="2A9D7DE6" w14:textId="0C0E2436" w:rsidR="008D140B" w:rsidRPr="00387926" w:rsidRDefault="00745B46" w:rsidP="00745B46">
      <w:pPr>
        <w:pStyle w:val="Caption"/>
        <w:rPr>
          <w:i w:val="0"/>
          <w:color w:val="auto"/>
          <w:sz w:val="16"/>
          <w:szCs w:val="16"/>
        </w:rPr>
      </w:pPr>
      <w:r w:rsidRPr="00387926">
        <w:rPr>
          <w:i w:val="0"/>
          <w:color w:val="auto"/>
          <w:sz w:val="16"/>
          <w:szCs w:val="16"/>
        </w:rPr>
        <w:t>Source</w:t>
      </w:r>
      <w:r w:rsidR="00B614F7" w:rsidRPr="00387926">
        <w:rPr>
          <w:i w:val="0"/>
          <w:color w:val="auto"/>
          <w:sz w:val="16"/>
          <w:szCs w:val="16"/>
        </w:rPr>
        <w:t xml:space="preserve">: Selected Higher Education Student Statistics, </w:t>
      </w:r>
      <w:hyperlink r:id="rId25" w:history="1">
        <w:r w:rsidR="00B614F7" w:rsidRPr="00387926">
          <w:rPr>
            <w:rStyle w:val="Hyperlink"/>
            <w:i w:val="0"/>
            <w:sz w:val="16"/>
            <w:szCs w:val="16"/>
          </w:rPr>
          <w:t>www.dese.gov.au</w:t>
        </w:r>
      </w:hyperlink>
      <w:r w:rsidR="00B614F7" w:rsidRPr="00387926">
        <w:rPr>
          <w:i w:val="0"/>
          <w:color w:val="auto"/>
          <w:sz w:val="16"/>
          <w:szCs w:val="16"/>
        </w:rPr>
        <w:t xml:space="preserve">. </w:t>
      </w:r>
    </w:p>
    <w:p w14:paraId="52A4C618" w14:textId="2C052959" w:rsidR="008E2D38" w:rsidRPr="008E2D38" w:rsidRDefault="00CC242D" w:rsidP="008E2D38">
      <w:r>
        <w:t>Although we know who we need to attract and why, data from the Department of Education, Skills and Employment’s (DESE) Selected Higher Education Student Statistics shows that in 2019, the proportion of young high</w:t>
      </w:r>
      <w:r w:rsidR="005021AE">
        <w:t xml:space="preserve"> </w:t>
      </w:r>
      <w:r>
        <w:t>achievers (students aged 20 and under with an ATAR of 80 or more) choosing teaching has declined by nearly a third from 2006 and postgraduate completions have also declined.</w:t>
      </w:r>
    </w:p>
    <w:p w14:paraId="589AB8F8" w14:textId="3A72C0AD" w:rsidR="00EB100E" w:rsidRDefault="00CC242D" w:rsidP="00E63952">
      <w:pPr>
        <w:rPr>
          <w:noProof/>
        </w:rPr>
      </w:pPr>
      <w:r>
        <w:t xml:space="preserve">Further to this, the teaching workforce </w:t>
      </w:r>
      <w:r w:rsidR="00D2442B">
        <w:t xml:space="preserve">does not </w:t>
      </w:r>
      <w:r>
        <w:t>reflect the cultural</w:t>
      </w:r>
      <w:r w:rsidR="576E2EF9">
        <w:t xml:space="preserve">, geographical </w:t>
      </w:r>
      <w:r>
        <w:t>and linguistic diversity that exists in school communities</w:t>
      </w:r>
      <w:r w:rsidR="00A36D3D">
        <w:t xml:space="preserve"> (Figure 4)</w:t>
      </w:r>
      <w:r>
        <w:t>. Research has shown that diverse workforces are more innovative and effective (</w:t>
      </w:r>
      <w:r w:rsidR="00E259D9">
        <w:t xml:space="preserve">for example, </w:t>
      </w:r>
      <w:r w:rsidR="00E44B43">
        <w:t>Hunt</w:t>
      </w:r>
      <w:r>
        <w:t xml:space="preserve"> et al. </w:t>
      </w:r>
      <w:r w:rsidR="00D5146F">
        <w:t>2020</w:t>
      </w:r>
      <w:r>
        <w:t>) and better serve the learning needs of a culturally diverse student population (Buckskin 2016).</w:t>
      </w:r>
      <w:r w:rsidR="00EB100E" w:rsidRPr="5D701926">
        <w:rPr>
          <w:noProof/>
        </w:rPr>
        <w:t xml:space="preserve"> </w:t>
      </w:r>
    </w:p>
    <w:p w14:paraId="2B44D00C" w14:textId="184976B4" w:rsidR="009300ED" w:rsidRPr="00B53107" w:rsidRDefault="009300ED" w:rsidP="003A7913">
      <w:pPr>
        <w:pStyle w:val="Caption"/>
        <w:keepNext/>
        <w:spacing w:after="0"/>
        <w:rPr>
          <w:i w:val="0"/>
          <w:color w:val="000000" w:themeColor="text1"/>
          <w:sz w:val="20"/>
          <w:szCs w:val="20"/>
        </w:rPr>
      </w:pPr>
      <w:r w:rsidRPr="00B53107">
        <w:rPr>
          <w:i w:val="0"/>
          <w:iCs w:val="0"/>
          <w:color w:val="000000" w:themeColor="text1"/>
        </w:rPr>
        <w:lastRenderedPageBreak/>
        <w:t xml:space="preserve">Figure </w:t>
      </w:r>
      <w:r w:rsidR="00B53107">
        <w:rPr>
          <w:i w:val="0"/>
          <w:iCs w:val="0"/>
          <w:color w:val="000000" w:themeColor="text1"/>
        </w:rPr>
        <w:t>4</w:t>
      </w:r>
      <w:r w:rsidR="003A7913">
        <w:rPr>
          <w:i w:val="0"/>
          <w:iCs w:val="0"/>
          <w:color w:val="000000" w:themeColor="text1"/>
        </w:rPr>
        <w:t xml:space="preserve">. </w:t>
      </w:r>
      <w:r w:rsidR="00D75F38" w:rsidRPr="00D75F38">
        <w:rPr>
          <w:i w:val="0"/>
          <w:iCs w:val="0"/>
          <w:color w:val="000000" w:themeColor="text1"/>
        </w:rPr>
        <w:t>Percentage of people that speak a language other than English at home compared to schools</w:t>
      </w:r>
      <w:r w:rsidR="00D75F38" w:rsidRPr="00D75F38" w:rsidDel="00814A25">
        <w:rPr>
          <w:i w:val="0"/>
          <w:iCs w:val="0"/>
          <w:color w:val="000000" w:themeColor="text1"/>
        </w:rPr>
        <w:t xml:space="preserve"> </w:t>
      </w:r>
    </w:p>
    <w:p w14:paraId="0A7DFCF0" w14:textId="77777777" w:rsidR="00D75F38" w:rsidRDefault="00EC7CBA" w:rsidP="00377D92">
      <w:pPr>
        <w:keepNext/>
        <w:spacing w:after="0"/>
      </w:pPr>
      <w:r>
        <w:rPr>
          <w:noProof/>
        </w:rPr>
        <w:drawing>
          <wp:inline distT="0" distB="0" distL="0" distR="0" wp14:anchorId="2DA6115A" wp14:editId="130BB0C1">
            <wp:extent cx="5742940" cy="4464908"/>
            <wp:effectExtent l="0" t="0" r="0" b="0"/>
            <wp:docPr id="18" name="Picture 18" descr="This diagram shows the difference between the percentage of people who speak a language other than English at home in the general population and among school children, compared to this percentage in the teaching workforce. &#10;It shows that 21% of the population and 24.8% of school children speak a language other than English at home.&#10;&#10;8.9% of primary school teachers and 2.6% of primary school leaders speak a language other than English at home.&#10;&#10;10.8% of secondary school teachers and 7.7% of secondary school leaders speak a language other than English at h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diagram shows the difference between the percentage of people who speak a language other than English at home in the general population and among school children, compared to this percentage in the teaching workforce. &#10;It shows that 21% of the population and 24.8% of school children speak a language other than English at home.&#10;&#10;8.9% of primary school teachers and 2.6% of primary school leaders speak a language other than English at home.&#10;&#10;10.8% of secondary school teachers and 7.7% of secondary school leaders speak a language other than English at home.&#10;"/>
                    <pic:cNvPicPr>
                      <a:picLocks noChangeAspect="1" noChangeArrowheads="1"/>
                    </pic:cNvPicPr>
                  </pic:nvPicPr>
                  <pic:blipFill rotWithShape="1">
                    <a:blip r:embed="rId26">
                      <a:extLst>
                        <a:ext uri="{28A0092B-C50C-407E-A947-70E740481C1C}">
                          <a14:useLocalDpi xmlns:a14="http://schemas.microsoft.com/office/drawing/2010/main" val="0"/>
                        </a:ext>
                      </a:extLst>
                    </a:blip>
                    <a:srcRect b="5985"/>
                    <a:stretch/>
                  </pic:blipFill>
                  <pic:spPr bwMode="auto">
                    <a:xfrm>
                      <a:off x="0" y="0"/>
                      <a:ext cx="5742940" cy="4464908"/>
                    </a:xfrm>
                    <a:prstGeom prst="rect">
                      <a:avLst/>
                    </a:prstGeom>
                    <a:noFill/>
                    <a:ln>
                      <a:noFill/>
                    </a:ln>
                    <a:extLst>
                      <a:ext uri="{53640926-AAD7-44D8-BBD7-CCE9431645EC}">
                        <a14:shadowObscured xmlns:a14="http://schemas.microsoft.com/office/drawing/2010/main"/>
                      </a:ext>
                    </a:extLst>
                  </pic:spPr>
                </pic:pic>
              </a:graphicData>
            </a:graphic>
          </wp:inline>
        </w:drawing>
      </w:r>
    </w:p>
    <w:p w14:paraId="0C54478C" w14:textId="3224C422" w:rsidR="0039449B" w:rsidRDefault="00D75F38" w:rsidP="00D75F38">
      <w:pPr>
        <w:pStyle w:val="Caption"/>
        <w:spacing w:after="0"/>
        <w:rPr>
          <w:i w:val="0"/>
          <w:iCs w:val="0"/>
          <w:color w:val="auto"/>
          <w:sz w:val="16"/>
          <w:szCs w:val="16"/>
        </w:rPr>
      </w:pPr>
      <w:r w:rsidRPr="0039449B">
        <w:rPr>
          <w:i w:val="0"/>
          <w:iCs w:val="0"/>
          <w:color w:val="auto"/>
          <w:sz w:val="16"/>
          <w:szCs w:val="16"/>
        </w:rPr>
        <w:t>Source:</w:t>
      </w:r>
      <w:r w:rsidR="0039449B" w:rsidRPr="0039449B">
        <w:rPr>
          <w:sz w:val="16"/>
          <w:szCs w:val="16"/>
        </w:rPr>
        <w:t xml:space="preserve"> </w:t>
      </w:r>
      <w:r w:rsidR="0039449B" w:rsidRPr="0039449B">
        <w:rPr>
          <w:i w:val="0"/>
          <w:iCs w:val="0"/>
          <w:color w:val="auto"/>
          <w:sz w:val="16"/>
          <w:szCs w:val="16"/>
        </w:rPr>
        <w:t xml:space="preserve">Diagram derived from the AITSL </w:t>
      </w:r>
      <w:r w:rsidR="0039449B" w:rsidRPr="0039449B">
        <w:rPr>
          <w:color w:val="auto"/>
          <w:sz w:val="16"/>
          <w:szCs w:val="16"/>
        </w:rPr>
        <w:t>Spotlight on Diversity and School Leadership</w:t>
      </w:r>
      <w:r w:rsidR="0039449B" w:rsidRPr="0039449B">
        <w:rPr>
          <w:i w:val="0"/>
          <w:iCs w:val="0"/>
          <w:color w:val="auto"/>
          <w:sz w:val="16"/>
          <w:szCs w:val="16"/>
        </w:rPr>
        <w:t xml:space="preserve"> report, </w:t>
      </w:r>
      <w:hyperlink r:id="rId27" w:history="1">
        <w:r w:rsidR="0039449B" w:rsidRPr="0039449B">
          <w:rPr>
            <w:rStyle w:val="Hyperlink"/>
            <w:i w:val="0"/>
            <w:iCs w:val="0"/>
            <w:sz w:val="16"/>
            <w:szCs w:val="16"/>
          </w:rPr>
          <w:t>www.aitsl.edu.au</w:t>
        </w:r>
      </w:hyperlink>
      <w:r w:rsidR="0039449B" w:rsidRPr="0039449B">
        <w:rPr>
          <w:i w:val="0"/>
          <w:iCs w:val="0"/>
          <w:color w:val="auto"/>
          <w:sz w:val="16"/>
          <w:szCs w:val="16"/>
        </w:rPr>
        <w:t>.</w:t>
      </w:r>
    </w:p>
    <w:p w14:paraId="1345FE61" w14:textId="77777777" w:rsidR="0023049F" w:rsidRPr="0023049F" w:rsidRDefault="0023049F" w:rsidP="0023049F">
      <w:pPr>
        <w:spacing w:after="0"/>
      </w:pPr>
    </w:p>
    <w:p w14:paraId="7E7B5189" w14:textId="48AC082C" w:rsidR="00E477FD" w:rsidRPr="00E477FD" w:rsidRDefault="00E477FD" w:rsidP="007234D7">
      <w:pPr>
        <w:ind w:left="1021" w:hanging="1021"/>
        <w:outlineLvl w:val="2"/>
        <w:rPr>
          <w:b/>
          <w:bCs/>
          <w:sz w:val="22"/>
          <w:szCs w:val="21"/>
        </w:rPr>
      </w:pPr>
      <w:bookmarkStart w:id="26" w:name="_Hlk82427391"/>
      <w:bookmarkEnd w:id="21"/>
      <w:r w:rsidRPr="00E477FD">
        <w:rPr>
          <w:b/>
          <w:bCs/>
          <w:sz w:val="22"/>
          <w:szCs w:val="21"/>
        </w:rPr>
        <w:t xml:space="preserve">Key Consultation Themes and Analysis </w:t>
      </w:r>
    </w:p>
    <w:p w14:paraId="752AA7E4" w14:textId="6B2AB4B5" w:rsidR="008831F8" w:rsidRPr="00E63952" w:rsidRDefault="008831F8" w:rsidP="008E71C0">
      <w:pPr>
        <w:pStyle w:val="Heading6"/>
        <w:spacing w:before="0"/>
      </w:pPr>
      <w:r w:rsidRPr="00C47B92">
        <w:t>Raising t</w:t>
      </w:r>
      <w:r w:rsidRPr="00E63952">
        <w:t xml:space="preserve">he </w:t>
      </w:r>
      <w:r w:rsidR="0030355A">
        <w:t>s</w:t>
      </w:r>
      <w:r w:rsidRPr="00E63952">
        <w:t xml:space="preserve">tatus </w:t>
      </w:r>
    </w:p>
    <w:p w14:paraId="7689A8F6" w14:textId="70872B30" w:rsidR="001A157C" w:rsidRDefault="00E719EE" w:rsidP="008E71C0">
      <w:pPr>
        <w:rPr>
          <w:rFonts w:cstheme="minorHAnsi"/>
        </w:rPr>
      </w:pPr>
      <w:r>
        <w:rPr>
          <w:rFonts w:eastAsia="Calibri"/>
        </w:rPr>
        <w:t xml:space="preserve">In general, employers and higher education providers acknowledge there are a number of factors, besides an interest in the role, that influence whether someone is attracted to </w:t>
      </w:r>
      <w:r w:rsidR="00FB18B5">
        <w:rPr>
          <w:rFonts w:eastAsia="Calibri"/>
        </w:rPr>
        <w:t>entering</w:t>
      </w:r>
      <w:r>
        <w:rPr>
          <w:rFonts w:eastAsia="Calibri"/>
        </w:rPr>
        <w:t xml:space="preserve"> teaching</w:t>
      </w:r>
      <w:r w:rsidR="00F33364">
        <w:rPr>
          <w:rFonts w:eastAsia="Calibri"/>
        </w:rPr>
        <w:t xml:space="preserve">. </w:t>
      </w:r>
      <w:bookmarkStart w:id="27" w:name="_Hlk84333432"/>
      <w:r w:rsidR="008831F8" w:rsidRPr="00E477FD">
        <w:rPr>
          <w:rFonts w:cstheme="minorHAnsi"/>
        </w:rPr>
        <w:t xml:space="preserve">The social status </w:t>
      </w:r>
      <w:r w:rsidR="00C971CE">
        <w:rPr>
          <w:rFonts w:cstheme="minorHAnsi"/>
        </w:rPr>
        <w:t xml:space="preserve">and </w:t>
      </w:r>
      <w:r w:rsidR="004E55FF">
        <w:rPr>
          <w:rFonts w:cstheme="minorHAnsi"/>
        </w:rPr>
        <w:t xml:space="preserve">relative </w:t>
      </w:r>
      <w:r w:rsidR="00C971CE">
        <w:rPr>
          <w:rFonts w:cstheme="minorHAnsi"/>
        </w:rPr>
        <w:t>attractiveness</w:t>
      </w:r>
      <w:r w:rsidR="008831F8" w:rsidRPr="00E477FD">
        <w:rPr>
          <w:rFonts w:cstheme="minorHAnsi"/>
        </w:rPr>
        <w:t xml:space="preserve"> of the teaching profession w</w:t>
      </w:r>
      <w:r w:rsidR="00042B53">
        <w:rPr>
          <w:rFonts w:cstheme="minorHAnsi"/>
        </w:rPr>
        <w:t>ere</w:t>
      </w:r>
      <w:r w:rsidR="008831F8" w:rsidRPr="00E477FD">
        <w:rPr>
          <w:rFonts w:cstheme="minorHAnsi"/>
        </w:rPr>
        <w:t xml:space="preserve"> raised by many stakeholders as </w:t>
      </w:r>
      <w:r w:rsidR="00E111CF">
        <w:rPr>
          <w:rFonts w:cstheme="minorHAnsi"/>
        </w:rPr>
        <w:t>reason</w:t>
      </w:r>
      <w:r w:rsidR="00023D7F">
        <w:rPr>
          <w:rFonts w:cstheme="minorHAnsi"/>
        </w:rPr>
        <w:t>s</w:t>
      </w:r>
      <w:r w:rsidR="00E111CF">
        <w:rPr>
          <w:rFonts w:cstheme="minorHAnsi"/>
        </w:rPr>
        <w:t xml:space="preserve"> for </w:t>
      </w:r>
      <w:r w:rsidR="00BB3FD6">
        <w:rPr>
          <w:rFonts w:cstheme="minorHAnsi"/>
        </w:rPr>
        <w:t xml:space="preserve">declining ITE </w:t>
      </w:r>
      <w:r w:rsidR="0073465C">
        <w:rPr>
          <w:rFonts w:cstheme="minorHAnsi"/>
        </w:rPr>
        <w:t>commencements.</w:t>
      </w:r>
      <w:r w:rsidR="008831F8" w:rsidRPr="00E477FD">
        <w:rPr>
          <w:rFonts w:cstheme="minorHAnsi"/>
        </w:rPr>
        <w:t xml:space="preserve"> </w:t>
      </w:r>
      <w:bookmarkEnd w:id="27"/>
      <w:r w:rsidR="008831F8" w:rsidRPr="00E477FD">
        <w:rPr>
          <w:rFonts w:cstheme="minorHAnsi"/>
        </w:rPr>
        <w:t xml:space="preserve">Submissions </w:t>
      </w:r>
      <w:r w:rsidR="008831F8">
        <w:rPr>
          <w:rFonts w:cstheme="minorHAnsi"/>
        </w:rPr>
        <w:t>across stakeholder groups</w:t>
      </w:r>
      <w:r w:rsidR="008831F8" w:rsidRPr="00E477FD">
        <w:rPr>
          <w:rFonts w:cstheme="minorHAnsi"/>
        </w:rPr>
        <w:t xml:space="preserve"> mentioned the need for greater efforts to elevate the status of the teaching profession as an important step towards attracting </w:t>
      </w:r>
      <w:r w:rsidR="00650436">
        <w:rPr>
          <w:rFonts w:cstheme="minorHAnsi"/>
        </w:rPr>
        <w:t>suitable</w:t>
      </w:r>
      <w:r w:rsidR="008831F8" w:rsidRPr="00E477FD">
        <w:rPr>
          <w:rFonts w:cstheme="minorHAnsi"/>
        </w:rPr>
        <w:t xml:space="preserve"> candidates. </w:t>
      </w:r>
    </w:p>
    <w:p w14:paraId="0077BC69" w14:textId="35BCE35F" w:rsidR="008831F8" w:rsidRPr="00E477FD" w:rsidRDefault="008831F8" w:rsidP="00E63952">
      <w:pPr>
        <w:spacing w:before="240"/>
        <w:rPr>
          <w:rFonts w:cstheme="minorHAnsi"/>
        </w:rPr>
      </w:pPr>
      <w:r>
        <w:rPr>
          <w:rFonts w:cstheme="minorHAnsi"/>
        </w:rPr>
        <w:t xml:space="preserve">Enduring </w:t>
      </w:r>
      <w:r w:rsidRPr="00E477FD">
        <w:rPr>
          <w:rFonts w:cstheme="minorHAnsi"/>
        </w:rPr>
        <w:t xml:space="preserve">concerns over </w:t>
      </w:r>
      <w:r w:rsidR="00F82FD5">
        <w:rPr>
          <w:rFonts w:cstheme="minorHAnsi"/>
        </w:rPr>
        <w:t>the community’s perception of teaching</w:t>
      </w:r>
      <w:r w:rsidRPr="00E477FD">
        <w:rPr>
          <w:rFonts w:cstheme="minorHAnsi"/>
        </w:rPr>
        <w:t xml:space="preserve"> workload</w:t>
      </w:r>
      <w:r w:rsidR="000742B6">
        <w:rPr>
          <w:rFonts w:cstheme="minorHAnsi"/>
        </w:rPr>
        <w:t>s</w:t>
      </w:r>
      <w:r w:rsidRPr="00E477FD">
        <w:rPr>
          <w:rFonts w:cstheme="minorHAnsi"/>
        </w:rPr>
        <w:t>, earning potential and lack of career progression options</w:t>
      </w:r>
      <w:r w:rsidR="00C34527">
        <w:rPr>
          <w:rFonts w:cstheme="minorHAnsi"/>
        </w:rPr>
        <w:t xml:space="preserve">, </w:t>
      </w:r>
      <w:r w:rsidRPr="00E477FD">
        <w:rPr>
          <w:rFonts w:cstheme="minorHAnsi"/>
        </w:rPr>
        <w:t>emerged as key themes</w:t>
      </w:r>
      <w:r>
        <w:rPr>
          <w:rFonts w:cstheme="minorHAnsi"/>
        </w:rPr>
        <w:t xml:space="preserve"> throughout stakeholder engagement.</w:t>
      </w:r>
      <w:r w:rsidR="00281F86">
        <w:rPr>
          <w:rFonts w:cstheme="minorHAnsi"/>
        </w:rPr>
        <w:t xml:space="preserve"> In the QITE general survey, 70 per cent of respondents </w:t>
      </w:r>
      <w:r w:rsidR="00371066">
        <w:rPr>
          <w:rFonts w:cstheme="minorHAnsi"/>
        </w:rPr>
        <w:t>indicated</w:t>
      </w:r>
      <w:r w:rsidR="008707EB">
        <w:rPr>
          <w:rFonts w:cstheme="minorHAnsi"/>
        </w:rPr>
        <w:t xml:space="preserve"> that if teaching</w:t>
      </w:r>
      <w:r w:rsidR="003328F7">
        <w:rPr>
          <w:rFonts w:cstheme="minorHAnsi"/>
        </w:rPr>
        <w:t xml:space="preserve"> </w:t>
      </w:r>
      <w:r w:rsidR="007C5F24">
        <w:rPr>
          <w:rFonts w:cstheme="minorHAnsi"/>
        </w:rPr>
        <w:t xml:space="preserve">were </w:t>
      </w:r>
      <w:r w:rsidR="003328F7">
        <w:rPr>
          <w:rFonts w:cstheme="minorHAnsi"/>
        </w:rPr>
        <w:t xml:space="preserve">a more highly respected profession it would be </w:t>
      </w:r>
      <w:r w:rsidR="00DA5FFA">
        <w:rPr>
          <w:rFonts w:cstheme="minorHAnsi"/>
        </w:rPr>
        <w:t xml:space="preserve">a </w:t>
      </w:r>
      <w:r w:rsidR="00127243">
        <w:rPr>
          <w:rFonts w:cstheme="minorHAnsi"/>
        </w:rPr>
        <w:t>great deal</w:t>
      </w:r>
      <w:r w:rsidR="00DA5FFA">
        <w:rPr>
          <w:rFonts w:cstheme="minorHAnsi"/>
        </w:rPr>
        <w:t xml:space="preserve"> </w:t>
      </w:r>
      <w:r w:rsidR="003328F7">
        <w:rPr>
          <w:rFonts w:cstheme="minorHAnsi"/>
        </w:rPr>
        <w:t>more appealing to both mid-career professionals and school leavers.</w:t>
      </w:r>
    </w:p>
    <w:p w14:paraId="0944DB76" w14:textId="3A93B791" w:rsidR="00F35E27" w:rsidRPr="00E63952" w:rsidRDefault="00AF1C2D" w:rsidP="006903DC">
      <w:pPr>
        <w:pStyle w:val="Heading7"/>
      </w:pPr>
      <w:r w:rsidRPr="00C47B92">
        <w:t>P</w:t>
      </w:r>
      <w:r w:rsidR="00894A9C" w:rsidRPr="00E63952">
        <w:t>erception</w:t>
      </w:r>
      <w:r w:rsidR="00BB6EDB" w:rsidRPr="00E63952">
        <w:t xml:space="preserve"> of teaching</w:t>
      </w:r>
    </w:p>
    <w:p w14:paraId="5758195B" w14:textId="77777777" w:rsidR="001130CD" w:rsidRPr="00E477FD" w:rsidRDefault="001130CD" w:rsidP="00CD1FEB">
      <w:pPr>
        <w:pStyle w:val="Quote"/>
        <w:framePr w:wrap="around"/>
        <w:rPr>
          <w:lang w:val="en-US"/>
        </w:rPr>
      </w:pPr>
      <w:r w:rsidRPr="00E477FD">
        <w:rPr>
          <w:lang w:val="en-US"/>
        </w:rPr>
        <w:t>‘So often the discourse is that teaching is an inferior career choice and other professions such as being a lawyer, or a doctor are more important. This is not just a public perception, even within the profession we often apologise for ourselves. How can quality applicants be attracted to the profession when even teachers talk themselves down?’</w:t>
      </w:r>
    </w:p>
    <w:p w14:paraId="69D1AA66" w14:textId="77777777" w:rsidR="001130CD" w:rsidRPr="00E477FD" w:rsidRDefault="001130CD" w:rsidP="00CD1FEB">
      <w:pPr>
        <w:pStyle w:val="Quote"/>
        <w:framePr w:wrap="around"/>
        <w:rPr>
          <w:noProof/>
        </w:rPr>
      </w:pPr>
      <w:r w:rsidRPr="00E477FD">
        <w:rPr>
          <w:lang w:val="en-US"/>
        </w:rPr>
        <w:t xml:space="preserve"> (Schools Plus Fellow submission)</w:t>
      </w:r>
    </w:p>
    <w:p w14:paraId="147068D9" w14:textId="77777777" w:rsidR="001130CD" w:rsidRDefault="001130CD" w:rsidP="00476EDB">
      <w:pPr>
        <w:spacing w:after="0"/>
        <w:rPr>
          <w:rFonts w:cstheme="minorHAnsi"/>
        </w:rPr>
      </w:pPr>
    </w:p>
    <w:p w14:paraId="3019CC52" w14:textId="77777777" w:rsidR="00570948" w:rsidRDefault="008A084C" w:rsidP="00570948">
      <w:pPr>
        <w:keepNext/>
        <w:keepLines/>
        <w:rPr>
          <w:rFonts w:eastAsia="Times New Roman"/>
          <w:color w:val="auto"/>
          <w:lang w:eastAsia="en-AU"/>
        </w:rPr>
      </w:pPr>
      <w:r w:rsidRPr="5D701926">
        <w:lastRenderedPageBreak/>
        <w:t xml:space="preserve">There is strong support for better public promotion of the profession, including the need to </w:t>
      </w:r>
      <w:r>
        <w:t xml:space="preserve">counter negative </w:t>
      </w:r>
      <w:r w:rsidR="00D26D69">
        <w:t xml:space="preserve">public </w:t>
      </w:r>
      <w:r>
        <w:t xml:space="preserve">rhetoric about education and teacher quality. </w:t>
      </w:r>
      <w:r w:rsidR="003C5E30" w:rsidRPr="5D701926">
        <w:rPr>
          <w:rFonts w:eastAsia="Times New Roman"/>
          <w:color w:val="auto"/>
          <w:lang w:eastAsia="en-AU"/>
        </w:rPr>
        <w:t>Media coverage rarely highlights the benefits and rewards of a teaching career, and teachers’ voices are largely absent in reporting (Shine 2015).</w:t>
      </w:r>
    </w:p>
    <w:p w14:paraId="7D2EED23" w14:textId="3F796B65" w:rsidR="00392F4E" w:rsidRPr="00CE17D2" w:rsidRDefault="00090A9D" w:rsidP="00570948">
      <w:pPr>
        <w:keepNext/>
        <w:keepLines/>
      </w:pPr>
      <w:r>
        <w:t xml:space="preserve"> </w:t>
      </w:r>
      <w:r w:rsidR="002314ED">
        <w:t>The Expert Panel</w:t>
      </w:r>
      <w:r w:rsidR="00392F4E">
        <w:t xml:space="preserve"> heard that high-achieving school students are more likely to choose to study professions they consider more prestigious. </w:t>
      </w:r>
      <w:r w:rsidR="002F4741">
        <w:t>When a</w:t>
      </w:r>
      <w:r w:rsidR="00E11A58">
        <w:t>sked</w:t>
      </w:r>
      <w:r w:rsidR="00392F4E">
        <w:t xml:space="preserve"> why some school leavers would be deterred from choosing a career in teaching</w:t>
      </w:r>
      <w:r w:rsidR="00AF66AE">
        <w:t>, f</w:t>
      </w:r>
      <w:r w:rsidR="00392F4E">
        <w:t xml:space="preserve">ocus group participants </w:t>
      </w:r>
      <w:r w:rsidR="00EF14E8">
        <w:t>reported</w:t>
      </w:r>
      <w:r w:rsidR="0043181C">
        <w:t xml:space="preserve"> that there are</w:t>
      </w:r>
      <w:r w:rsidR="00392F4E">
        <w:t xml:space="preserve"> perceptions teaching is a low status career, is not </w:t>
      </w:r>
      <w:r w:rsidR="00577892">
        <w:t>intellectually</w:t>
      </w:r>
      <w:r w:rsidR="00392F4E" w:rsidDel="00577892">
        <w:t xml:space="preserve"> </w:t>
      </w:r>
      <w:r w:rsidR="00392F4E">
        <w:t xml:space="preserve">challenging, and </w:t>
      </w:r>
      <w:r w:rsidR="007529CB">
        <w:t>is</w:t>
      </w:r>
      <w:r w:rsidR="00392F4E">
        <w:t xml:space="preserve"> for ‘less intelligent students’. </w:t>
      </w:r>
      <w:r w:rsidR="008F365E">
        <w:t xml:space="preserve">These concerns were also raised in the QITE </w:t>
      </w:r>
      <w:r w:rsidR="00ED6265">
        <w:t xml:space="preserve">general </w:t>
      </w:r>
      <w:r w:rsidR="008F365E">
        <w:t>survey, with 40 per</w:t>
      </w:r>
      <w:r w:rsidR="00861CF8">
        <w:t xml:space="preserve"> </w:t>
      </w:r>
      <w:r w:rsidR="008F365E">
        <w:t xml:space="preserve">cent </w:t>
      </w:r>
      <w:r w:rsidR="00DB50FB">
        <w:t xml:space="preserve">of respondents </w:t>
      </w:r>
      <w:r w:rsidR="000F5F87">
        <w:t>suggesting</w:t>
      </w:r>
      <w:r w:rsidR="000F5F87" w:rsidRPr="000F5F87">
        <w:t xml:space="preserve"> that teaching could be made more appealing by elevating the status and respect for teaching as a profession</w:t>
      </w:r>
      <w:r w:rsidR="000F5F87">
        <w:t xml:space="preserve">. </w:t>
      </w:r>
    </w:p>
    <w:p w14:paraId="6C889DD9" w14:textId="08E3AA1F" w:rsidR="00FC05AA" w:rsidRPr="00CE17D2" w:rsidRDefault="00FC05AA" w:rsidP="00FC05AA">
      <w:r>
        <w:t xml:space="preserve">The </w:t>
      </w:r>
      <w:r w:rsidR="00DA0D9F">
        <w:t>Expert</w:t>
      </w:r>
      <w:r>
        <w:t xml:space="preserve"> Panel had the opportunity to engage with many high-performing, energ</w:t>
      </w:r>
      <w:r w:rsidR="001A6BCD">
        <w:t>is</w:t>
      </w:r>
      <w:r>
        <w:t xml:space="preserve">ing and inspiring teachers </w:t>
      </w:r>
      <w:r w:rsidR="000F703C">
        <w:t xml:space="preserve">and school leaders </w:t>
      </w:r>
      <w:r w:rsidR="00464707">
        <w:t xml:space="preserve">over </w:t>
      </w:r>
      <w:r>
        <w:t xml:space="preserve">the course of the </w:t>
      </w:r>
      <w:r w:rsidR="00B011BF">
        <w:t>R</w:t>
      </w:r>
      <w:r>
        <w:t xml:space="preserve">eview. </w:t>
      </w:r>
      <w:r w:rsidR="000F703C">
        <w:t>These role models should be encouraged to share their stories</w:t>
      </w:r>
      <w:r w:rsidR="00A201FB">
        <w:t xml:space="preserve"> </w:t>
      </w:r>
      <w:r w:rsidR="008271D6">
        <w:t>to</w:t>
      </w:r>
      <w:r w:rsidR="00A201FB">
        <w:t xml:space="preserve"> encourage the next generation of </w:t>
      </w:r>
      <w:r w:rsidR="008271D6">
        <w:t xml:space="preserve">teachers to join the profession. </w:t>
      </w:r>
    </w:p>
    <w:p w14:paraId="59234026" w14:textId="77777777" w:rsidR="00303499" w:rsidRDefault="00303499" w:rsidP="00A44017">
      <w:pPr>
        <w:pStyle w:val="BreakoutBox1heading"/>
      </w:pPr>
      <w:r>
        <w:t>Teaching Fellowships</w:t>
      </w:r>
    </w:p>
    <w:p w14:paraId="3860DC34" w14:textId="5B5AEA24" w:rsidR="00303499" w:rsidRDefault="00303499" w:rsidP="0038400C">
      <w:pPr>
        <w:pStyle w:val="Breakoutbox1body"/>
        <w:spacing w:after="200"/>
      </w:pPr>
      <w:r>
        <w:t>An example of current work being done to recognise teachers is the ‘Teaching Fellowship’ awarded by Commonwealth Bank in partnership with Schools Plus. It recognises 12 registered teachers or school leaders each year. Along with recognition and induction into the Teaching Fellows network, award recipients receive funding towards a strategic project for their school, professional development and a group study tour to a high-performing education system.</w:t>
      </w:r>
    </w:p>
    <w:p w14:paraId="76EC8E07" w14:textId="77777777" w:rsidR="00303499" w:rsidRPr="00C84860" w:rsidRDefault="00303499" w:rsidP="00A44017">
      <w:pPr>
        <w:pStyle w:val="Breakoutbox1body"/>
      </w:pPr>
      <w:r>
        <w:t xml:space="preserve">For more information, see </w:t>
      </w:r>
      <w:hyperlink r:id="rId28" w:anchor=":~:text=Twelve%20(12)%20registered%20teachers%20or,the%20'Pioneers%20in%20Philanthropy'." w:history="1">
        <w:r w:rsidRPr="002F5842">
          <w:rPr>
            <w:rStyle w:val="Hyperlink"/>
            <w:b/>
            <w:color w:val="000000" w:themeColor="text1"/>
          </w:rPr>
          <w:t>Commonwealth Bank Teaching Awards</w:t>
        </w:r>
      </w:hyperlink>
      <w:r w:rsidRPr="00A5276A">
        <w:rPr>
          <w:b/>
        </w:rPr>
        <w:t>.</w:t>
      </w:r>
    </w:p>
    <w:p w14:paraId="4AC40542" w14:textId="4A0D4AB5" w:rsidR="0095494D" w:rsidRPr="00C84860" w:rsidRDefault="008271D6" w:rsidP="00305686">
      <w:pPr>
        <w:spacing w:before="120"/>
      </w:pPr>
      <w:r>
        <w:t xml:space="preserve">In addition, </w:t>
      </w:r>
      <w:r w:rsidR="0095494D">
        <w:t>focus group</w:t>
      </w:r>
      <w:r w:rsidR="008D4E86">
        <w:t>s</w:t>
      </w:r>
      <w:r w:rsidR="0095494D">
        <w:t xml:space="preserve"> </w:t>
      </w:r>
      <w:r w:rsidR="008D4E86">
        <w:t>suggested</w:t>
      </w:r>
      <w:r w:rsidR="0095494D">
        <w:t xml:space="preserve"> that teachers, </w:t>
      </w:r>
      <w:r w:rsidR="00CB5DA8">
        <w:t>famil</w:t>
      </w:r>
      <w:r w:rsidR="00CB4A3B">
        <w:t>ies and</w:t>
      </w:r>
      <w:r w:rsidR="00CB5DA8">
        <w:t>/</w:t>
      </w:r>
      <w:r w:rsidR="00CB4A3B">
        <w:t xml:space="preserve">or </w:t>
      </w:r>
      <w:r w:rsidR="00CB5DA8">
        <w:t xml:space="preserve">carers </w:t>
      </w:r>
      <w:r w:rsidR="0095494D">
        <w:t xml:space="preserve">and peers </w:t>
      </w:r>
      <w:r w:rsidR="00472B4E">
        <w:t>may</w:t>
      </w:r>
      <w:r w:rsidR="0095494D">
        <w:t xml:space="preserve"> discourage school leavers from pursuing teaching in favour of </w:t>
      </w:r>
      <w:r w:rsidR="0006537D">
        <w:t xml:space="preserve">other </w:t>
      </w:r>
      <w:r w:rsidR="0095494D">
        <w:t xml:space="preserve">courses, and that school leavers, particularly those who have achieved high ATARs, report being told they can ‘do better than teaching’. </w:t>
      </w:r>
      <w:r w:rsidR="007733CC">
        <w:t xml:space="preserve">Surveys </w:t>
      </w:r>
      <w:r w:rsidR="0011437D">
        <w:t xml:space="preserve">have shown </w:t>
      </w:r>
      <w:r w:rsidR="006648F4">
        <w:t>that teachers rate their value</w:t>
      </w:r>
      <w:r w:rsidR="007733CC">
        <w:t xml:space="preserve"> </w:t>
      </w:r>
      <w:r w:rsidR="00383696">
        <w:t xml:space="preserve">lower than the general community </w:t>
      </w:r>
      <w:r w:rsidR="00AC4A64">
        <w:t>(</w:t>
      </w:r>
      <w:r w:rsidR="005C4E36">
        <w:t xml:space="preserve">Heffernan et al. </w:t>
      </w:r>
      <w:r w:rsidR="00AC4A64">
        <w:t xml:space="preserve">2019). </w:t>
      </w:r>
      <w:r w:rsidR="0095494D">
        <w:t>Similarly, the perceived</w:t>
      </w:r>
      <w:r w:rsidR="000C75B8">
        <w:t xml:space="preserve"> low pay and</w:t>
      </w:r>
      <w:r w:rsidR="0095494D">
        <w:t xml:space="preserve"> limitations for career progression, factor</w:t>
      </w:r>
      <w:r w:rsidR="00C15096">
        <w:t>s</w:t>
      </w:r>
      <w:r w:rsidR="0095494D">
        <w:t xml:space="preserve"> that </w:t>
      </w:r>
      <w:r w:rsidR="00C15096">
        <w:t>are also</w:t>
      </w:r>
      <w:r w:rsidR="0095494D">
        <w:t xml:space="preserve"> relevant for mid-career changers, </w:t>
      </w:r>
      <w:r w:rsidR="00A551F5">
        <w:t>are</w:t>
      </w:r>
      <w:r w:rsidR="0095494D">
        <w:t xml:space="preserve"> </w:t>
      </w:r>
      <w:r w:rsidR="00C3587D">
        <w:t>considered</w:t>
      </w:r>
      <w:r w:rsidR="0095494D">
        <w:t xml:space="preserve"> deterrent</w:t>
      </w:r>
      <w:r w:rsidR="00A551F5">
        <w:t>s</w:t>
      </w:r>
      <w:r w:rsidR="0095494D">
        <w:t xml:space="preserve"> for high-achieving school leavers (La Trobe University submission). </w:t>
      </w:r>
    </w:p>
    <w:p w14:paraId="685CFEF1" w14:textId="22FC8FA2" w:rsidR="005B4015" w:rsidRPr="00570948" w:rsidRDefault="00C63983" w:rsidP="00570948">
      <w:pPr>
        <w:pStyle w:val="Keypointshighlighted"/>
        <w:spacing w:after="0"/>
        <w:rPr>
          <w:sz w:val="20"/>
        </w:rPr>
      </w:pPr>
      <w:r w:rsidRPr="00570948">
        <w:rPr>
          <w:sz w:val="20"/>
        </w:rPr>
        <w:t>Y</w:t>
      </w:r>
      <w:r w:rsidR="005B4015" w:rsidRPr="00570948">
        <w:rPr>
          <w:sz w:val="20"/>
        </w:rPr>
        <w:t>oung high</w:t>
      </w:r>
      <w:r w:rsidR="006D5AFD" w:rsidRPr="00570948">
        <w:rPr>
          <w:sz w:val="20"/>
        </w:rPr>
        <w:t xml:space="preserve"> </w:t>
      </w:r>
      <w:r w:rsidR="005B4015" w:rsidRPr="00570948">
        <w:rPr>
          <w:sz w:val="20"/>
        </w:rPr>
        <w:t>achievers significantly underestimate starting salaries</w:t>
      </w:r>
      <w:r w:rsidR="00850D4D" w:rsidRPr="00570948">
        <w:rPr>
          <w:sz w:val="20"/>
        </w:rPr>
        <w:t xml:space="preserve"> for teachers</w:t>
      </w:r>
      <w:r w:rsidR="005B4015" w:rsidRPr="00570948">
        <w:rPr>
          <w:sz w:val="20"/>
        </w:rPr>
        <w:t>, with almost half of the respondents believing that a teachers’ starting salary was below $</w:t>
      </w:r>
      <w:r w:rsidR="00EA4FC9" w:rsidRPr="00570948">
        <w:rPr>
          <w:sz w:val="20"/>
        </w:rPr>
        <w:t>60</w:t>
      </w:r>
      <w:r w:rsidR="005B4015" w:rsidRPr="00570948">
        <w:rPr>
          <w:sz w:val="20"/>
        </w:rPr>
        <w:t>,000</w:t>
      </w:r>
      <w:r w:rsidR="002A110C" w:rsidRPr="00570948">
        <w:rPr>
          <w:sz w:val="20"/>
        </w:rPr>
        <w:t xml:space="preserve">, when average salaries </w:t>
      </w:r>
      <w:r w:rsidR="00B26039" w:rsidRPr="00570948">
        <w:rPr>
          <w:sz w:val="20"/>
        </w:rPr>
        <w:t xml:space="preserve">are in fact between $60,000 </w:t>
      </w:r>
      <w:r w:rsidR="00AE1AE0" w:rsidRPr="00570948">
        <w:rPr>
          <w:sz w:val="20"/>
        </w:rPr>
        <w:t>and</w:t>
      </w:r>
      <w:r w:rsidR="00B26039" w:rsidRPr="00570948">
        <w:rPr>
          <w:sz w:val="20"/>
        </w:rPr>
        <w:t xml:space="preserve"> $79,000</w:t>
      </w:r>
      <w:r w:rsidR="005B4015" w:rsidRPr="00570948">
        <w:rPr>
          <w:sz w:val="20"/>
        </w:rPr>
        <w:t xml:space="preserve">. </w:t>
      </w:r>
    </w:p>
    <w:p w14:paraId="5B25B6E1" w14:textId="50E5BF03" w:rsidR="00065CF3" w:rsidRDefault="00E32E32" w:rsidP="00065CF3">
      <w:pPr>
        <w:keepNext/>
        <w:spacing w:before="200"/>
        <w:rPr>
          <w:color w:val="auto"/>
          <w:sz w:val="18"/>
          <w:szCs w:val="18"/>
        </w:rPr>
      </w:pPr>
      <w:r w:rsidRPr="00E32E32">
        <w:rPr>
          <w:color w:val="auto"/>
          <w:sz w:val="18"/>
          <w:szCs w:val="18"/>
        </w:rPr>
        <w:lastRenderedPageBreak/>
        <w:t>Figure 5. Expected starting salary for young high</w:t>
      </w:r>
      <w:r w:rsidR="00482B82">
        <w:rPr>
          <w:color w:val="auto"/>
          <w:sz w:val="18"/>
          <w:szCs w:val="18"/>
        </w:rPr>
        <w:t xml:space="preserve"> </w:t>
      </w:r>
      <w:r w:rsidRPr="00E32E32">
        <w:rPr>
          <w:color w:val="auto"/>
          <w:sz w:val="18"/>
          <w:szCs w:val="18"/>
        </w:rPr>
        <w:t xml:space="preserve">achievers not pursuing initial teacher </w:t>
      </w:r>
    </w:p>
    <w:p w14:paraId="6570AE07" w14:textId="099A9524" w:rsidR="00BD6028" w:rsidRPr="00065CF3" w:rsidRDefault="00065CF3" w:rsidP="001A7441">
      <w:pPr>
        <w:keepNext/>
        <w:spacing w:before="200" w:after="0"/>
        <w:rPr>
          <w:color w:val="auto"/>
          <w:sz w:val="18"/>
          <w:szCs w:val="18"/>
        </w:rPr>
      </w:pPr>
      <w:r w:rsidRPr="00065CF3">
        <w:rPr>
          <w:noProof/>
          <w:color w:val="auto"/>
          <w:sz w:val="18"/>
          <w:szCs w:val="18"/>
        </w:rPr>
        <w:drawing>
          <wp:inline distT="0" distB="0" distL="0" distR="0" wp14:anchorId="27B369CF" wp14:editId="158F08EA">
            <wp:extent cx="5727700" cy="2842260"/>
            <wp:effectExtent l="0" t="0" r="6350" b="0"/>
            <wp:docPr id="8" name="Picture 8" descr="This column chart shows what young high-achiever respondents to the BETA survey believed was the average starting salary for teaching compared to their chosen career.&#10;&#10;Less than 40% of respondents selected the correct starting salary for teachers, which is between $60,000 and $79,0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column chart shows what young high-achiever respondents to the BETA survey believed was the average starting salary for teaching compared to their chosen career.&#10;&#10;Less than 40% of respondents selected the correct starting salary for teachers, which is between $60,000 and $79,000. &#10;"/>
                    <pic:cNvPicPr/>
                  </pic:nvPicPr>
                  <pic:blipFill rotWithShape="1">
                    <a:blip r:embed="rId29"/>
                    <a:srcRect b="4277"/>
                    <a:stretch/>
                  </pic:blipFill>
                  <pic:spPr bwMode="auto">
                    <a:xfrm>
                      <a:off x="0" y="0"/>
                      <a:ext cx="5727700" cy="2842260"/>
                    </a:xfrm>
                    <a:prstGeom prst="rect">
                      <a:avLst/>
                    </a:prstGeom>
                    <a:ln>
                      <a:noFill/>
                    </a:ln>
                    <a:extLst>
                      <a:ext uri="{53640926-AAD7-44D8-BBD7-CCE9431645EC}">
                        <a14:shadowObscured xmlns:a14="http://schemas.microsoft.com/office/drawing/2010/main"/>
                      </a:ext>
                    </a:extLst>
                  </pic:spPr>
                </pic:pic>
              </a:graphicData>
            </a:graphic>
          </wp:inline>
        </w:drawing>
      </w:r>
    </w:p>
    <w:p w14:paraId="015E507A" w14:textId="2B55AD62" w:rsidR="00E32E32" w:rsidRDefault="00E81B45" w:rsidP="00E32E32">
      <w:pPr>
        <w:spacing w:after="0"/>
        <w:rPr>
          <w:color w:val="auto"/>
          <w:sz w:val="16"/>
          <w:szCs w:val="16"/>
        </w:rPr>
      </w:pPr>
      <w:r w:rsidRPr="00E81B45">
        <w:rPr>
          <w:color w:val="auto"/>
          <w:sz w:val="16"/>
          <w:szCs w:val="16"/>
        </w:rPr>
        <w:t>Source: Behavioural Economics Team of the Australian Government (BETA) survey.</w:t>
      </w:r>
    </w:p>
    <w:p w14:paraId="10E9612C" w14:textId="77777777" w:rsidR="00065CF3" w:rsidRPr="00E81B45" w:rsidRDefault="00065CF3" w:rsidP="00E32E32">
      <w:pPr>
        <w:spacing w:after="0"/>
        <w:rPr>
          <w:color w:val="auto"/>
          <w:sz w:val="16"/>
          <w:szCs w:val="16"/>
        </w:rPr>
      </w:pPr>
    </w:p>
    <w:p w14:paraId="781F6B1C" w14:textId="5A4078D3" w:rsidR="005B4015" w:rsidRPr="00FA4EA9" w:rsidRDefault="005B4015" w:rsidP="00D45CF6">
      <w:pPr>
        <w:rPr>
          <w:highlight w:val="yellow"/>
        </w:rPr>
      </w:pPr>
      <w:r w:rsidRPr="00C84860">
        <w:t>Similarly, half of the young high</w:t>
      </w:r>
      <w:r w:rsidR="006D5AFD">
        <w:t xml:space="preserve"> </w:t>
      </w:r>
      <w:r w:rsidRPr="00C84860">
        <w:t xml:space="preserve">achievers </w:t>
      </w:r>
      <w:r w:rsidR="00A06DEA">
        <w:t xml:space="preserve">surveyed </w:t>
      </w:r>
      <w:r w:rsidR="00531230">
        <w:t>by BETA</w:t>
      </w:r>
      <w:r w:rsidR="00A06DEA">
        <w:t xml:space="preserve"> </w:t>
      </w:r>
      <w:r w:rsidRPr="00C84860">
        <w:t>underestimated the top teacher salary</w:t>
      </w:r>
      <w:r w:rsidR="00A36D3D">
        <w:t xml:space="preserve"> (Figure 5)</w:t>
      </w:r>
      <w:r w:rsidRPr="00C84860">
        <w:t xml:space="preserve">. </w:t>
      </w:r>
      <w:r w:rsidR="00184253">
        <w:t>However, even if young high</w:t>
      </w:r>
      <w:r w:rsidR="006D5AFD">
        <w:t xml:space="preserve"> </w:t>
      </w:r>
      <w:r w:rsidR="00184253">
        <w:t>achievers held accurate expectations of teacher’s top salary, 56</w:t>
      </w:r>
      <w:r w:rsidR="00364623">
        <w:t xml:space="preserve"> per cent</w:t>
      </w:r>
      <w:r w:rsidR="00184253">
        <w:t xml:space="preserve"> would still expect to earn more in their chosen career.</w:t>
      </w:r>
    </w:p>
    <w:p w14:paraId="7899D835" w14:textId="0D8D5F8D" w:rsidR="00F35E27" w:rsidRPr="00836910" w:rsidRDefault="008A084C" w:rsidP="004B5D3D">
      <w:pPr>
        <w:pStyle w:val="Heading7"/>
        <w:rPr>
          <w:rFonts w:cstheme="minorHAnsi"/>
          <w:color w:val="5B9BD5" w:themeColor="accent5"/>
        </w:rPr>
      </w:pPr>
      <w:r w:rsidRPr="00836910">
        <w:rPr>
          <w:rFonts w:cstheme="minorHAnsi"/>
        </w:rPr>
        <w:t>Workload, pay</w:t>
      </w:r>
      <w:r w:rsidR="00A671DA" w:rsidRPr="00836910">
        <w:rPr>
          <w:rFonts w:cstheme="minorHAnsi"/>
        </w:rPr>
        <w:t xml:space="preserve"> and career structure</w:t>
      </w:r>
    </w:p>
    <w:p w14:paraId="628D1592" w14:textId="6945AEA5" w:rsidR="00A720D1" w:rsidRPr="0038400C" w:rsidRDefault="000A7A55" w:rsidP="0038400C">
      <w:r>
        <w:t>P</w:t>
      </w:r>
      <w:r w:rsidR="002F4061" w:rsidRPr="00C84860">
        <w:t>erceptions of low salary and unfavourable working conditions constitute a barrier for school leavers, with 51</w:t>
      </w:r>
      <w:r w:rsidR="00F14E73">
        <w:t> </w:t>
      </w:r>
      <w:r w:rsidR="00806C84">
        <w:t>per cent</w:t>
      </w:r>
      <w:r w:rsidR="002F4061" w:rsidRPr="00C84860">
        <w:t xml:space="preserve"> of respondents </w:t>
      </w:r>
      <w:r w:rsidR="00187B20">
        <w:t>to the Q</w:t>
      </w:r>
      <w:r w:rsidR="00914A86">
        <w:t>ITE</w:t>
      </w:r>
      <w:r w:rsidR="00187B20">
        <w:t xml:space="preserve"> student survey</w:t>
      </w:r>
      <w:r w:rsidR="002F4061" w:rsidRPr="00C84860">
        <w:t xml:space="preserve"> identifying </w:t>
      </w:r>
      <w:r w:rsidR="00E01989">
        <w:t>perceptions</w:t>
      </w:r>
      <w:r w:rsidR="00E01989" w:rsidRPr="00C84860">
        <w:t xml:space="preserve"> </w:t>
      </w:r>
      <w:r w:rsidR="002F4061" w:rsidRPr="00C84860">
        <w:t>about low pay as among the most significant barriers to pursuing a teaching career.</w:t>
      </w:r>
    </w:p>
    <w:p w14:paraId="0CA15954" w14:textId="18D71EA0" w:rsidR="00C65C1E" w:rsidRDefault="008831F8" w:rsidP="0038400C">
      <w:pPr>
        <w:rPr>
          <w:rFonts w:cstheme="minorHAnsi"/>
        </w:rPr>
      </w:pPr>
      <w:r w:rsidRPr="00C84860">
        <w:rPr>
          <w:rFonts w:cstheme="minorHAnsi"/>
        </w:rPr>
        <w:t xml:space="preserve">Australia’s ITE graduates can expect to be amongst the highest paid </w:t>
      </w:r>
      <w:r w:rsidR="00C629B5">
        <w:rPr>
          <w:rFonts w:cstheme="minorHAnsi"/>
        </w:rPr>
        <w:t xml:space="preserve">ITE </w:t>
      </w:r>
      <w:r w:rsidRPr="00C84860">
        <w:rPr>
          <w:rFonts w:cstheme="minorHAnsi"/>
        </w:rPr>
        <w:t xml:space="preserve">graduates in the world, </w:t>
      </w:r>
      <w:r w:rsidR="005B19BD">
        <w:rPr>
          <w:rFonts w:cstheme="minorHAnsi"/>
        </w:rPr>
        <w:t xml:space="preserve">however, </w:t>
      </w:r>
      <w:r w:rsidR="00645F00">
        <w:rPr>
          <w:rFonts w:cstheme="minorHAnsi"/>
        </w:rPr>
        <w:t xml:space="preserve">concerns have been raised that </w:t>
      </w:r>
      <w:r w:rsidRPr="00C84860">
        <w:rPr>
          <w:rFonts w:cstheme="minorHAnsi"/>
        </w:rPr>
        <w:t xml:space="preserve">salaries for Australian teachers </w:t>
      </w:r>
      <w:r w:rsidR="00645F00">
        <w:rPr>
          <w:rFonts w:cstheme="minorHAnsi"/>
        </w:rPr>
        <w:t xml:space="preserve">are </w:t>
      </w:r>
      <w:r w:rsidR="0059345D">
        <w:rPr>
          <w:rFonts w:cstheme="minorHAnsi"/>
        </w:rPr>
        <w:t xml:space="preserve">too flat. Pay </w:t>
      </w:r>
      <w:r w:rsidR="00861133">
        <w:rPr>
          <w:rFonts w:cstheme="minorHAnsi"/>
        </w:rPr>
        <w:t>for teachers</w:t>
      </w:r>
      <w:r w:rsidR="0059345D">
        <w:rPr>
          <w:rFonts w:cstheme="minorHAnsi"/>
        </w:rPr>
        <w:t xml:space="preserve"> </w:t>
      </w:r>
      <w:r w:rsidRPr="00C84860">
        <w:rPr>
          <w:rFonts w:cstheme="minorHAnsi"/>
        </w:rPr>
        <w:t>tops out at around 10 years, which is below the OECD average</w:t>
      </w:r>
      <w:r w:rsidR="008C3A6E">
        <w:rPr>
          <w:rFonts w:cstheme="minorHAnsi"/>
        </w:rPr>
        <w:t xml:space="preserve"> (Goss and Sonnemann 2019</w:t>
      </w:r>
      <w:r w:rsidR="00705BF1">
        <w:rPr>
          <w:rFonts w:cstheme="minorHAnsi"/>
        </w:rPr>
        <w:t>a)</w:t>
      </w:r>
      <w:r w:rsidRPr="00C84860">
        <w:rPr>
          <w:rFonts w:cstheme="minorHAnsi"/>
        </w:rPr>
        <w:t xml:space="preserve">. </w:t>
      </w:r>
    </w:p>
    <w:p w14:paraId="46A5F9CD" w14:textId="3F7D9D59" w:rsidR="008831F8" w:rsidRPr="00C84860" w:rsidRDefault="008D3147" w:rsidP="0995B48D">
      <w:r>
        <w:t xml:space="preserve">For many </w:t>
      </w:r>
      <w:r w:rsidR="00D3745A">
        <w:t>h</w:t>
      </w:r>
      <w:r w:rsidR="008831F8">
        <w:t>igh</w:t>
      </w:r>
      <w:r w:rsidR="006D5AFD">
        <w:t xml:space="preserve"> </w:t>
      </w:r>
      <w:r w:rsidR="008831F8">
        <w:t>achievers</w:t>
      </w:r>
      <w:r w:rsidR="00D3745A">
        <w:t xml:space="preserve">, </w:t>
      </w:r>
      <w:r w:rsidR="008831F8">
        <w:t>their long</w:t>
      </w:r>
      <w:r w:rsidR="006D5AFD">
        <w:t>-</w:t>
      </w:r>
      <w:r w:rsidR="008831F8">
        <w:t xml:space="preserve">term earning potential would be greater in other professions. </w:t>
      </w:r>
      <w:r w:rsidR="00D3745A">
        <w:t>In addition,</w:t>
      </w:r>
      <w:r w:rsidDel="008831F8">
        <w:t xml:space="preserve"> </w:t>
      </w:r>
      <w:r w:rsidR="008831F8">
        <w:t>mid</w:t>
      </w:r>
      <w:r w:rsidR="00806C84">
        <w:t>-</w:t>
      </w:r>
      <w:r w:rsidR="008831F8">
        <w:t xml:space="preserve">career changers often bring with them an accumulation of professional knowledge and employability skills, </w:t>
      </w:r>
      <w:r w:rsidR="00096DF9">
        <w:t xml:space="preserve">which </w:t>
      </w:r>
      <w:r w:rsidR="004778ED">
        <w:t>are</w:t>
      </w:r>
      <w:r w:rsidR="00096DF9">
        <w:t xml:space="preserve"> not able to be recognised </w:t>
      </w:r>
      <w:r w:rsidR="411FF3CD">
        <w:t xml:space="preserve">easily </w:t>
      </w:r>
      <w:r w:rsidR="003B345C">
        <w:t>under current arrangements</w:t>
      </w:r>
      <w:r w:rsidR="008831F8">
        <w:t xml:space="preserve">. </w:t>
      </w:r>
      <w:r w:rsidR="00AF4C26">
        <w:t>Some s</w:t>
      </w:r>
      <w:r w:rsidR="00D02C49">
        <w:t xml:space="preserve">takeholders </w:t>
      </w:r>
      <w:r w:rsidR="00D711A1">
        <w:t>called for</w:t>
      </w:r>
      <w:r w:rsidR="008831F8">
        <w:t xml:space="preserve"> </w:t>
      </w:r>
      <w:r w:rsidR="00AD29E6">
        <w:t xml:space="preserve">more flexible </w:t>
      </w:r>
      <w:r w:rsidR="008831F8">
        <w:t xml:space="preserve">pay structures </w:t>
      </w:r>
      <w:r w:rsidR="003A7591">
        <w:t>commensurate with</w:t>
      </w:r>
      <w:r w:rsidR="008831F8">
        <w:t xml:space="preserve"> the </w:t>
      </w:r>
      <w:r w:rsidR="002672CB">
        <w:t>varied</w:t>
      </w:r>
      <w:r w:rsidR="008831F8">
        <w:t xml:space="preserve"> experience and expertise </w:t>
      </w:r>
      <w:r w:rsidR="00E808AC">
        <w:t>new</w:t>
      </w:r>
      <w:r w:rsidR="008831F8">
        <w:t xml:space="preserve"> teachers bring to their careers (A</w:t>
      </w:r>
      <w:r w:rsidR="00F04C4B">
        <w:t>ustralian Education Union</w:t>
      </w:r>
      <w:r w:rsidR="008831F8">
        <w:t xml:space="preserve"> submission)</w:t>
      </w:r>
      <w:r w:rsidR="00B77E8B">
        <w:t>.</w:t>
      </w:r>
    </w:p>
    <w:p w14:paraId="1C4775EF" w14:textId="0FBEB087" w:rsidR="00480F30" w:rsidRPr="0038400C" w:rsidRDefault="008831F8" w:rsidP="0038400C">
      <w:pPr>
        <w:rPr>
          <w:rFonts w:cstheme="minorHAnsi"/>
          <w:color w:val="auto"/>
        </w:rPr>
      </w:pPr>
      <w:r w:rsidRPr="00C84860">
        <w:rPr>
          <w:rFonts w:cstheme="minorHAnsi"/>
        </w:rPr>
        <w:t xml:space="preserve">Remuneration structure </w:t>
      </w:r>
      <w:r w:rsidR="006449DD">
        <w:rPr>
          <w:rFonts w:cstheme="minorHAnsi"/>
        </w:rPr>
        <w:t>was</w:t>
      </w:r>
      <w:r w:rsidRPr="00C84860">
        <w:rPr>
          <w:rFonts w:cstheme="minorHAnsi"/>
        </w:rPr>
        <w:t xml:space="preserve"> not the only </w:t>
      </w:r>
      <w:r w:rsidR="003B345C">
        <w:rPr>
          <w:rFonts w:cstheme="minorHAnsi"/>
        </w:rPr>
        <w:t>issue raised</w:t>
      </w:r>
      <w:r w:rsidR="003927E4" w:rsidRPr="00F34BE5">
        <w:rPr>
          <w:rFonts w:cstheme="minorHAnsi"/>
          <w:color w:val="auto"/>
        </w:rPr>
        <w:t xml:space="preserve"> </w:t>
      </w:r>
      <w:r w:rsidR="00E9077D" w:rsidRPr="00F34BE5">
        <w:rPr>
          <w:rFonts w:cstheme="minorHAnsi"/>
          <w:color w:val="auto"/>
        </w:rPr>
        <w:t>by stakeholders</w:t>
      </w:r>
      <w:r w:rsidRPr="00F34BE5">
        <w:rPr>
          <w:rFonts w:cstheme="minorHAnsi"/>
          <w:color w:val="auto"/>
        </w:rPr>
        <w:t xml:space="preserve">. </w:t>
      </w:r>
      <w:r w:rsidR="000A69A2" w:rsidRPr="002D71E5">
        <w:rPr>
          <w:rFonts w:cstheme="minorHAnsi"/>
          <w:color w:val="auto"/>
        </w:rPr>
        <w:t>Respondents to the QITE general survey</w:t>
      </w:r>
      <w:r>
        <w:rPr>
          <w:rFonts w:cstheme="minorHAnsi"/>
          <w:color w:val="auto"/>
        </w:rPr>
        <w:t xml:space="preserve"> </w:t>
      </w:r>
      <w:r w:rsidRPr="004B2497">
        <w:rPr>
          <w:rFonts w:cstheme="minorHAnsi"/>
          <w:color w:val="auto"/>
        </w:rPr>
        <w:t xml:space="preserve">identified </w:t>
      </w:r>
      <w:r w:rsidR="005F5B78" w:rsidRPr="004B2497">
        <w:rPr>
          <w:rFonts w:cstheme="minorHAnsi"/>
          <w:color w:val="auto"/>
        </w:rPr>
        <w:t>a perceived</w:t>
      </w:r>
      <w:r w:rsidRPr="004B2497">
        <w:rPr>
          <w:rFonts w:cstheme="minorHAnsi"/>
          <w:color w:val="auto"/>
        </w:rPr>
        <w:t xml:space="preserve"> lack of career </w:t>
      </w:r>
      <w:r w:rsidR="000A69A2" w:rsidRPr="004B2497">
        <w:rPr>
          <w:rFonts w:cstheme="minorHAnsi"/>
          <w:color w:val="auto"/>
        </w:rPr>
        <w:t>progression</w:t>
      </w:r>
      <w:r w:rsidR="00705397" w:rsidRPr="004B2497">
        <w:rPr>
          <w:rFonts w:cstheme="minorHAnsi"/>
          <w:color w:val="auto"/>
        </w:rPr>
        <w:t xml:space="preserve"> opportunities</w:t>
      </w:r>
      <w:r w:rsidR="000A69A2" w:rsidRPr="004B2497">
        <w:rPr>
          <w:rFonts w:cstheme="minorHAnsi"/>
          <w:color w:val="auto"/>
        </w:rPr>
        <w:t xml:space="preserve"> </w:t>
      </w:r>
      <w:r w:rsidRPr="002D71E5">
        <w:rPr>
          <w:rFonts w:cstheme="minorHAnsi"/>
          <w:color w:val="auto"/>
        </w:rPr>
        <w:t>as a key reason for not considering teaching.</w:t>
      </w:r>
      <w:r w:rsidR="00EE0279" w:rsidRPr="002D71E5">
        <w:rPr>
          <w:rFonts w:cstheme="minorHAnsi"/>
          <w:color w:val="auto"/>
        </w:rPr>
        <w:t xml:space="preserve"> </w:t>
      </w:r>
      <w:r w:rsidR="003B345C" w:rsidRPr="002D71E5">
        <w:rPr>
          <w:color w:val="auto"/>
        </w:rPr>
        <w:t>T</w:t>
      </w:r>
      <w:r w:rsidR="00E57107" w:rsidRPr="002D71E5">
        <w:rPr>
          <w:color w:val="auto"/>
        </w:rPr>
        <w:t xml:space="preserve">he QITE </w:t>
      </w:r>
      <w:r w:rsidR="00D21E28" w:rsidRPr="002D71E5">
        <w:rPr>
          <w:color w:val="auto"/>
        </w:rPr>
        <w:t>g</w:t>
      </w:r>
      <w:r w:rsidR="00B763E9" w:rsidRPr="002D71E5">
        <w:rPr>
          <w:color w:val="auto"/>
        </w:rPr>
        <w:t xml:space="preserve">eneral </w:t>
      </w:r>
      <w:r w:rsidR="00D21E28" w:rsidRPr="002D71E5">
        <w:rPr>
          <w:color w:val="auto"/>
        </w:rPr>
        <w:t>s</w:t>
      </w:r>
      <w:r w:rsidR="00B763E9" w:rsidRPr="002D71E5">
        <w:rPr>
          <w:color w:val="auto"/>
        </w:rPr>
        <w:t>urvey</w:t>
      </w:r>
      <w:r w:rsidR="000A69A2" w:rsidRPr="002D71E5">
        <w:rPr>
          <w:color w:val="auto"/>
        </w:rPr>
        <w:t xml:space="preserve"> also</w:t>
      </w:r>
      <w:r w:rsidR="00B763E9" w:rsidRPr="002D71E5">
        <w:rPr>
          <w:color w:val="auto"/>
        </w:rPr>
        <w:t xml:space="preserve"> </w:t>
      </w:r>
      <w:r w:rsidR="00D8375E" w:rsidRPr="002D71E5">
        <w:rPr>
          <w:color w:val="auto"/>
        </w:rPr>
        <w:t xml:space="preserve">found that </w:t>
      </w:r>
      <w:r w:rsidR="00EE0279" w:rsidRPr="002D71E5">
        <w:rPr>
          <w:color w:val="auto"/>
        </w:rPr>
        <w:t xml:space="preserve">better pay and career </w:t>
      </w:r>
      <w:r w:rsidR="0056105F" w:rsidRPr="002D71E5">
        <w:rPr>
          <w:color w:val="auto"/>
        </w:rPr>
        <w:t xml:space="preserve">progression </w:t>
      </w:r>
      <w:r w:rsidR="00EE0279" w:rsidRPr="002D71E5">
        <w:rPr>
          <w:color w:val="auto"/>
        </w:rPr>
        <w:t>opportunities were cited as an attractor</w:t>
      </w:r>
      <w:r w:rsidR="003B345C" w:rsidRPr="002D71E5">
        <w:rPr>
          <w:color w:val="auto"/>
        </w:rPr>
        <w:t xml:space="preserve"> by many (31 per cent)</w:t>
      </w:r>
      <w:r w:rsidR="00EE0279" w:rsidRPr="002D71E5">
        <w:rPr>
          <w:color w:val="auto"/>
        </w:rPr>
        <w:t>, particularly for mid-career professionals who may be passionate about a career change to teaching</w:t>
      </w:r>
      <w:r w:rsidR="00D11055" w:rsidRPr="002D71E5">
        <w:rPr>
          <w:color w:val="auto"/>
        </w:rPr>
        <w:t>.</w:t>
      </w:r>
    </w:p>
    <w:p w14:paraId="74044ABA" w14:textId="3B289BE8" w:rsidR="001C7A48" w:rsidRPr="00E477FD" w:rsidRDefault="00D72506" w:rsidP="00F706DE">
      <w:pPr>
        <w:rPr>
          <w:rFonts w:cstheme="minorHAnsi"/>
        </w:rPr>
      </w:pPr>
      <w:r>
        <w:rPr>
          <w:rFonts w:cstheme="minorHAnsi"/>
        </w:rPr>
        <w:t xml:space="preserve">These issues have been </w:t>
      </w:r>
      <w:r w:rsidR="00637C42">
        <w:rPr>
          <w:rFonts w:cstheme="minorHAnsi"/>
        </w:rPr>
        <w:t>r</w:t>
      </w:r>
      <w:r w:rsidR="0056796A">
        <w:rPr>
          <w:rFonts w:cstheme="minorHAnsi"/>
        </w:rPr>
        <w:t>aised previously by several studies</w:t>
      </w:r>
      <w:r w:rsidR="008831F8" w:rsidRPr="00884A74">
        <w:rPr>
          <w:rFonts w:cstheme="minorHAnsi"/>
        </w:rPr>
        <w:t>.</w:t>
      </w:r>
      <w:r w:rsidR="001B654E">
        <w:rPr>
          <w:rFonts w:cstheme="minorHAnsi"/>
        </w:rPr>
        <w:t xml:space="preserve"> </w:t>
      </w:r>
      <w:r w:rsidR="00ED20D7" w:rsidRPr="005324DA">
        <w:rPr>
          <w:rFonts w:cstheme="minorHAnsi"/>
        </w:rPr>
        <w:t xml:space="preserve">The Grattan Institute </w:t>
      </w:r>
      <w:r w:rsidR="00ED20D7" w:rsidRPr="00CA7115">
        <w:rPr>
          <w:rFonts w:cstheme="minorHAnsi"/>
        </w:rPr>
        <w:t>(</w:t>
      </w:r>
      <w:r w:rsidR="000071D7" w:rsidRPr="004B2497">
        <w:rPr>
          <w:rFonts w:cstheme="minorHAnsi"/>
        </w:rPr>
        <w:t>Goss</w:t>
      </w:r>
      <w:r w:rsidR="00CD220C" w:rsidRPr="004B2497">
        <w:rPr>
          <w:rFonts w:cstheme="minorHAnsi"/>
        </w:rPr>
        <w:t xml:space="preserve"> and Sonnemann 2019a</w:t>
      </w:r>
      <w:r w:rsidR="00ED20D7" w:rsidRPr="000225F3">
        <w:rPr>
          <w:rFonts w:cstheme="minorHAnsi"/>
        </w:rPr>
        <w:t>)</w:t>
      </w:r>
      <w:r w:rsidR="00ED20D7">
        <w:rPr>
          <w:rFonts w:cstheme="minorHAnsi"/>
        </w:rPr>
        <w:t xml:space="preserve"> </w:t>
      </w:r>
      <w:r w:rsidR="00CA2128">
        <w:rPr>
          <w:rFonts w:cstheme="minorHAnsi"/>
        </w:rPr>
        <w:t xml:space="preserve">suggests a workforce model </w:t>
      </w:r>
      <w:r w:rsidR="007F6675" w:rsidRPr="00767524">
        <w:rPr>
          <w:rFonts w:cstheme="minorHAnsi"/>
        </w:rPr>
        <w:t>as seen in high</w:t>
      </w:r>
      <w:r w:rsidR="001B654E">
        <w:rPr>
          <w:rFonts w:cstheme="minorHAnsi"/>
        </w:rPr>
        <w:t>-</w:t>
      </w:r>
      <w:r w:rsidR="007F6675" w:rsidRPr="00767524">
        <w:rPr>
          <w:rFonts w:cstheme="minorHAnsi"/>
        </w:rPr>
        <w:t>performing systems such as Shanghai and Singapore,</w:t>
      </w:r>
      <w:r w:rsidR="00CA2128" w:rsidRPr="00767524">
        <w:rPr>
          <w:rFonts w:cstheme="minorHAnsi"/>
        </w:rPr>
        <w:t xml:space="preserve"> </w:t>
      </w:r>
      <w:r w:rsidR="00C42E2A" w:rsidRPr="00767524">
        <w:rPr>
          <w:rFonts w:cstheme="minorHAnsi"/>
        </w:rPr>
        <w:t xml:space="preserve">which includes </w:t>
      </w:r>
      <w:r w:rsidR="00EC5198" w:rsidRPr="00884A74">
        <w:rPr>
          <w:rFonts w:cstheme="minorHAnsi"/>
          <w:i/>
          <w:iCs/>
        </w:rPr>
        <w:t>Instructional Specialist</w:t>
      </w:r>
      <w:r w:rsidR="00EC5198" w:rsidRPr="00767524">
        <w:rPr>
          <w:rFonts w:cstheme="minorHAnsi"/>
        </w:rPr>
        <w:t xml:space="preserve"> and </w:t>
      </w:r>
      <w:r w:rsidR="00EC5198" w:rsidRPr="00884A74">
        <w:rPr>
          <w:rFonts w:cstheme="minorHAnsi"/>
          <w:i/>
          <w:iCs/>
        </w:rPr>
        <w:t>Master Teacher</w:t>
      </w:r>
      <w:r w:rsidR="00EC5198" w:rsidRPr="00767524">
        <w:rPr>
          <w:rFonts w:cstheme="minorHAnsi"/>
        </w:rPr>
        <w:t xml:space="preserve"> </w:t>
      </w:r>
      <w:r w:rsidR="00BD2051" w:rsidRPr="003E2457">
        <w:rPr>
          <w:rFonts w:cstheme="minorHAnsi"/>
        </w:rPr>
        <w:t>roles</w:t>
      </w:r>
      <w:r w:rsidR="00502577" w:rsidRPr="003E2457">
        <w:rPr>
          <w:rFonts w:cstheme="minorHAnsi"/>
        </w:rPr>
        <w:t xml:space="preserve"> to set the direction for effective practice</w:t>
      </w:r>
      <w:r w:rsidR="003248BC" w:rsidRPr="003E2457">
        <w:rPr>
          <w:rFonts w:cstheme="minorHAnsi"/>
        </w:rPr>
        <w:t xml:space="preserve"> in schools.</w:t>
      </w:r>
      <w:r w:rsidR="003248BC">
        <w:rPr>
          <w:rFonts w:cstheme="minorHAnsi"/>
        </w:rPr>
        <w:t xml:space="preserve"> </w:t>
      </w:r>
    </w:p>
    <w:p w14:paraId="31844975" w14:textId="3FFFDEC2" w:rsidR="00313318" w:rsidRPr="00F706DE" w:rsidRDefault="00D26022" w:rsidP="002B4824">
      <w:pPr>
        <w:pStyle w:val="Keypointshighlighted"/>
        <w:spacing w:after="0"/>
        <w:rPr>
          <w:sz w:val="20"/>
        </w:rPr>
      </w:pPr>
      <w:r w:rsidRPr="00F706DE">
        <w:rPr>
          <w:sz w:val="20"/>
        </w:rPr>
        <w:t xml:space="preserve">Despite these </w:t>
      </w:r>
      <w:r w:rsidR="00C61307" w:rsidRPr="00F706DE">
        <w:rPr>
          <w:sz w:val="20"/>
        </w:rPr>
        <w:t>negative perceptions</w:t>
      </w:r>
      <w:r w:rsidRPr="00F706DE">
        <w:rPr>
          <w:sz w:val="20"/>
        </w:rPr>
        <w:t xml:space="preserve">, a survey </w:t>
      </w:r>
      <w:r w:rsidR="00372368" w:rsidRPr="00F706DE">
        <w:rPr>
          <w:sz w:val="20"/>
        </w:rPr>
        <w:t xml:space="preserve">undertaken </w:t>
      </w:r>
      <w:r w:rsidRPr="00F706DE">
        <w:rPr>
          <w:sz w:val="20"/>
        </w:rPr>
        <w:t xml:space="preserve">by BETA </w:t>
      </w:r>
      <w:r w:rsidR="00AE3AD5" w:rsidRPr="00F706DE">
        <w:rPr>
          <w:sz w:val="20"/>
        </w:rPr>
        <w:t xml:space="preserve">indicates </w:t>
      </w:r>
      <w:r w:rsidR="00DF7D72" w:rsidRPr="00F706DE">
        <w:rPr>
          <w:sz w:val="20"/>
        </w:rPr>
        <w:t xml:space="preserve">that under the right conditions, up to </w:t>
      </w:r>
      <w:r w:rsidR="55CFA2FB" w:rsidRPr="00F706DE">
        <w:rPr>
          <w:sz w:val="20"/>
        </w:rPr>
        <w:t>four</w:t>
      </w:r>
      <w:r w:rsidR="00DF7D72" w:rsidRPr="00F706DE">
        <w:rPr>
          <w:sz w:val="20"/>
        </w:rPr>
        <w:t xml:space="preserve"> in 10 mid-career </w:t>
      </w:r>
      <w:r w:rsidR="00A82C43" w:rsidRPr="00F706DE">
        <w:rPr>
          <w:sz w:val="20"/>
        </w:rPr>
        <w:t xml:space="preserve">professionals would consider a career change into teaching. </w:t>
      </w:r>
    </w:p>
    <w:p w14:paraId="198A1B23" w14:textId="77777777" w:rsidR="008831F8" w:rsidRDefault="008831F8" w:rsidP="00E63952">
      <w:pPr>
        <w:spacing w:after="0"/>
      </w:pPr>
    </w:p>
    <w:p w14:paraId="5BF3F605" w14:textId="21689232" w:rsidR="00E477FD" w:rsidRPr="00E477FD" w:rsidRDefault="00715C04" w:rsidP="006903DC">
      <w:pPr>
        <w:pStyle w:val="Heading7"/>
      </w:pPr>
      <w:r>
        <w:lastRenderedPageBreak/>
        <w:t xml:space="preserve">Additional considerations </w:t>
      </w:r>
    </w:p>
    <w:p w14:paraId="4DFFFBB5" w14:textId="2186DAB3" w:rsidR="00375862" w:rsidRDefault="00467A75" w:rsidP="0038400C">
      <w:pPr>
        <w:rPr>
          <w:rFonts w:eastAsia="Calibri"/>
        </w:rPr>
      </w:pPr>
      <w:r w:rsidRPr="5D701926">
        <w:rPr>
          <w:rFonts w:eastAsia="Calibri"/>
        </w:rPr>
        <w:t>Higher education providers</w:t>
      </w:r>
      <w:r w:rsidR="00F37995">
        <w:rPr>
          <w:rFonts w:eastAsia="Calibri"/>
        </w:rPr>
        <w:t xml:space="preserve"> and teacher employers</w:t>
      </w:r>
      <w:r w:rsidRPr="5D701926">
        <w:rPr>
          <w:rFonts w:eastAsia="Calibri"/>
        </w:rPr>
        <w:t xml:space="preserve"> also have a role in attracting high-quality candidates into ITE. This is discussed </w:t>
      </w:r>
      <w:r w:rsidR="0015032A" w:rsidRPr="5D701926">
        <w:rPr>
          <w:rFonts w:eastAsia="Calibri"/>
        </w:rPr>
        <w:t xml:space="preserve">in detail </w:t>
      </w:r>
      <w:r w:rsidRPr="5D701926">
        <w:rPr>
          <w:rFonts w:eastAsia="Calibri"/>
        </w:rPr>
        <w:t>in</w:t>
      </w:r>
      <w:r w:rsidR="00806EEC" w:rsidRPr="5D701926">
        <w:rPr>
          <w:rFonts w:eastAsia="Calibri"/>
        </w:rPr>
        <w:t xml:space="preserve"> Chapter </w:t>
      </w:r>
      <w:r w:rsidR="001301AC" w:rsidRPr="5D701926">
        <w:rPr>
          <w:rFonts w:eastAsia="Calibri"/>
        </w:rPr>
        <w:t>2</w:t>
      </w:r>
      <w:r w:rsidR="00806EEC" w:rsidRPr="5D701926">
        <w:rPr>
          <w:rFonts w:eastAsia="Calibri"/>
        </w:rPr>
        <w:t xml:space="preserve">. </w:t>
      </w:r>
    </w:p>
    <w:p w14:paraId="68938DC0" w14:textId="6ABE8C5B" w:rsidR="00375862" w:rsidRPr="00A41983" w:rsidRDefault="00375862" w:rsidP="0038400C">
      <w:pPr>
        <w:pStyle w:val="Heading6"/>
      </w:pPr>
      <w:r>
        <w:t xml:space="preserve">Attracting </w:t>
      </w:r>
      <w:r w:rsidR="00D171D7">
        <w:t>high</w:t>
      </w:r>
      <w:r w:rsidR="009E7663">
        <w:t>-</w:t>
      </w:r>
      <w:r w:rsidR="00D171D7">
        <w:t>quality candidates</w:t>
      </w:r>
    </w:p>
    <w:p w14:paraId="1017E0C8" w14:textId="4D80CC95" w:rsidR="007F7365" w:rsidRPr="0038400C" w:rsidRDefault="00910FF4" w:rsidP="0038400C">
      <w:r>
        <w:t>The BETA survey sought to understand the types of incentives that would be required to attract high-quality candidates into ITE</w:t>
      </w:r>
      <w:r w:rsidR="004E148B">
        <w:t xml:space="preserve">, </w:t>
      </w:r>
      <w:r w:rsidR="000832A0">
        <w:t xml:space="preserve">specifically school leavers and mid-career professionals. </w:t>
      </w:r>
      <w:r w:rsidR="00DF20AC">
        <w:t xml:space="preserve">These findings supported </w:t>
      </w:r>
      <w:r w:rsidR="007F7365">
        <w:t xml:space="preserve">the results from the QITE general and student surveys, in addition to stakeholder feedback on </w:t>
      </w:r>
      <w:r w:rsidR="0096663F">
        <w:t>the incentives that would attract</w:t>
      </w:r>
      <w:r w:rsidR="007F7365">
        <w:t xml:space="preserve"> high-quality candidates</w:t>
      </w:r>
      <w:r w:rsidR="0096663F">
        <w:t xml:space="preserve"> to teaching</w:t>
      </w:r>
      <w:r w:rsidR="007F7365">
        <w:t xml:space="preserve">. </w:t>
      </w:r>
    </w:p>
    <w:p w14:paraId="7159D311" w14:textId="77777777" w:rsidR="00DF2B7B" w:rsidRPr="00E477FD" w:rsidRDefault="00DF2B7B" w:rsidP="005A546B">
      <w:pPr>
        <w:keepNext/>
        <w:keepLines/>
        <w:spacing w:before="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color w:val="1F3864" w:themeColor="accent1" w:themeShade="80"/>
        </w:rPr>
        <w:t>School leavers</w:t>
      </w:r>
    </w:p>
    <w:p w14:paraId="5756722C" w14:textId="280C7C5D" w:rsidR="00D82B36" w:rsidRDefault="00DD6E53" w:rsidP="00E63952">
      <w:r>
        <w:t xml:space="preserve">BETA found that a $30,000 per annum scholarship was the most attractive study or work incentive for </w:t>
      </w:r>
      <w:r w:rsidR="00D82B36">
        <w:t>young high</w:t>
      </w:r>
      <w:r w:rsidR="001A522F">
        <w:t xml:space="preserve"> </w:t>
      </w:r>
      <w:r w:rsidR="00D82B36">
        <w:t>achievers</w:t>
      </w:r>
      <w:r w:rsidR="00A36D3D">
        <w:t xml:space="preserve"> (Figure 6)</w:t>
      </w:r>
      <w:r w:rsidR="009622A2">
        <w:t>.</w:t>
      </w:r>
      <w:r w:rsidR="006D3063">
        <w:t xml:space="preserve"> </w:t>
      </w:r>
      <w:r w:rsidR="00D82B36">
        <w:t xml:space="preserve">However, guaranteed employment in a nearby school was also identified as </w:t>
      </w:r>
      <w:r w:rsidR="00301D00">
        <w:t>a significant incentive to study teaching.</w:t>
      </w:r>
      <w:r w:rsidR="00D82B36">
        <w:t xml:space="preserve"> </w:t>
      </w:r>
    </w:p>
    <w:p w14:paraId="2E95775F" w14:textId="73DEB252" w:rsidR="00041B23" w:rsidRPr="00435C2E" w:rsidRDefault="002B4824" w:rsidP="002B4824">
      <w:pPr>
        <w:spacing w:after="0"/>
        <w:rPr>
          <w:sz w:val="18"/>
          <w:szCs w:val="18"/>
        </w:rPr>
      </w:pPr>
      <w:r w:rsidRPr="00204F3E">
        <w:rPr>
          <w:sz w:val="18"/>
          <w:szCs w:val="18"/>
        </w:rPr>
        <w:t>F</w:t>
      </w:r>
      <w:r w:rsidR="00E37662" w:rsidRPr="00204F3E">
        <w:rPr>
          <w:sz w:val="18"/>
          <w:szCs w:val="18"/>
        </w:rPr>
        <w:t>igur</w:t>
      </w:r>
      <w:r w:rsidR="00E37662" w:rsidRPr="00BB444E">
        <w:rPr>
          <w:sz w:val="18"/>
          <w:szCs w:val="18"/>
        </w:rPr>
        <w:t>e 6. Probability of choosing teaching (young high</w:t>
      </w:r>
      <w:r w:rsidR="00BB444E">
        <w:rPr>
          <w:sz w:val="18"/>
          <w:szCs w:val="18"/>
        </w:rPr>
        <w:t xml:space="preserve"> </w:t>
      </w:r>
      <w:r w:rsidR="00E37662" w:rsidRPr="00BB444E">
        <w:rPr>
          <w:sz w:val="18"/>
          <w:szCs w:val="18"/>
        </w:rPr>
        <w:t>achievers)</w:t>
      </w:r>
      <w:r w:rsidR="00065CF3" w:rsidRPr="00065CF3">
        <w:rPr>
          <w:noProof/>
        </w:rPr>
        <w:t xml:space="preserve"> </w:t>
      </w:r>
      <w:r w:rsidR="00065CF3" w:rsidRPr="00065CF3">
        <w:rPr>
          <w:noProof/>
          <w:sz w:val="18"/>
          <w:szCs w:val="18"/>
        </w:rPr>
        <w:drawing>
          <wp:inline distT="0" distB="0" distL="0" distR="0" wp14:anchorId="1767F9ED" wp14:editId="659EA777">
            <wp:extent cx="5727700" cy="5186680"/>
            <wp:effectExtent l="0" t="0" r="6350" b="0"/>
            <wp:docPr id="10" name="Picture 10" descr="This bar chart shows the probability of young-high achievers choosing teaching based on four categories of incentives: starting pay, top pay, study incentives and work incentives. &#10;&#10;The most attractive starting pay incentive was a starting salary of $90,000.&#10;&#10;The most attractive top pay incentive was $130,000.&#10;&#10;The most attractive study incentive was a $30,000 annual scholarship while studying.&#10;&#10;The most attractive work incentive was guaranteed employment in a nearby schoo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bar chart shows the probability of young-high achievers choosing teaching based on four categories of incentives: starting pay, top pay, study incentives and work incentives. &#10;&#10;The most attractive starting pay incentive was a starting salary of $90,000.&#10;&#10;The most attractive top pay incentive was $130,000.&#10;&#10;The most attractive study incentive was a $30,000 annual scholarship while studying.&#10;&#10;The most attractive work incentive was guaranteed employment in a nearby school.  &#10;"/>
                    <pic:cNvPicPr/>
                  </pic:nvPicPr>
                  <pic:blipFill>
                    <a:blip r:embed="rId30"/>
                    <a:stretch>
                      <a:fillRect/>
                    </a:stretch>
                  </pic:blipFill>
                  <pic:spPr>
                    <a:xfrm>
                      <a:off x="0" y="0"/>
                      <a:ext cx="5727700" cy="5186680"/>
                    </a:xfrm>
                    <a:prstGeom prst="rect">
                      <a:avLst/>
                    </a:prstGeom>
                  </pic:spPr>
                </pic:pic>
              </a:graphicData>
            </a:graphic>
          </wp:inline>
        </w:drawing>
      </w:r>
    </w:p>
    <w:p w14:paraId="1B0C91E6" w14:textId="4C45EE82" w:rsidR="005526DB" w:rsidRDefault="005526DB" w:rsidP="005526DB">
      <w:pPr>
        <w:spacing w:after="0"/>
        <w:rPr>
          <w:color w:val="auto"/>
          <w:sz w:val="16"/>
          <w:szCs w:val="16"/>
        </w:rPr>
      </w:pPr>
      <w:r w:rsidRPr="00E81B45">
        <w:rPr>
          <w:color w:val="auto"/>
          <w:sz w:val="16"/>
          <w:szCs w:val="16"/>
        </w:rPr>
        <w:t>Source: Behavioural Economics Team of the Australian Government (BETA) survey.</w:t>
      </w:r>
    </w:p>
    <w:p w14:paraId="31DBD5C8" w14:textId="77777777" w:rsidR="005526DB" w:rsidRPr="0038400C" w:rsidRDefault="005526DB" w:rsidP="005526DB">
      <w:pPr>
        <w:spacing w:after="0"/>
        <w:rPr>
          <w:color w:val="auto"/>
        </w:rPr>
      </w:pPr>
    </w:p>
    <w:p w14:paraId="53306CD9" w14:textId="77777777" w:rsidR="006D3063" w:rsidRPr="00E477FD" w:rsidRDefault="006D3063" w:rsidP="006D3063">
      <w:pPr>
        <w:keepNext/>
        <w:keepLines/>
        <w:spacing w:before="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color w:val="1F3864" w:themeColor="accent1" w:themeShade="80"/>
        </w:rPr>
        <w:lastRenderedPageBreak/>
        <w:t>Mid-career changers</w:t>
      </w:r>
    </w:p>
    <w:p w14:paraId="03CC9EA5" w14:textId="3C47A353" w:rsidR="006D3063" w:rsidRDefault="006D3063" w:rsidP="00CD1FEB">
      <w:pPr>
        <w:pStyle w:val="Quote"/>
        <w:framePr w:wrap="around"/>
      </w:pPr>
      <w:r w:rsidRPr="00CB1AFF">
        <w:rPr>
          <w:rStyle w:val="QuoteChar"/>
        </w:rPr>
        <w:t>‘Career-changers are likely to have a reduced salary when they enter the classroom, having moved from a</w:t>
      </w:r>
      <w:r w:rsidRPr="00FC6EBE">
        <w:t xml:space="preserve"> mid</w:t>
      </w:r>
      <w:r w:rsidR="00EF26D3">
        <w:noBreakHyphen/>
      </w:r>
      <w:r w:rsidRPr="00FC6EBE">
        <w:t>career salaried position to restart on entry-level wages</w:t>
      </w:r>
      <w:r>
        <w:t xml:space="preserve">.’ </w:t>
      </w:r>
    </w:p>
    <w:p w14:paraId="5BEEE34D" w14:textId="77777777" w:rsidR="006D3063" w:rsidRDefault="006D3063" w:rsidP="00CD1FEB">
      <w:pPr>
        <w:pStyle w:val="Quote"/>
        <w:framePr w:wrap="around"/>
      </w:pPr>
      <w:r>
        <w:t>(Teach For Australia submission)</w:t>
      </w:r>
    </w:p>
    <w:p w14:paraId="7692E61F" w14:textId="77777777" w:rsidR="006D3063" w:rsidRDefault="006D3063" w:rsidP="006E52B8">
      <w:pPr>
        <w:spacing w:after="0"/>
      </w:pPr>
    </w:p>
    <w:p w14:paraId="7C933BB4" w14:textId="1B29796D" w:rsidR="006D3063" w:rsidRPr="00E477FD" w:rsidRDefault="006D3063" w:rsidP="006D3063">
      <w:r w:rsidRPr="00E477FD">
        <w:t xml:space="preserve">Consultation confirmed that concerns around the length of the course and loss of income while studying were significant barriers for mid-career </w:t>
      </w:r>
      <w:r w:rsidR="00A565C7">
        <w:t>professionals</w:t>
      </w:r>
      <w:r>
        <w:t xml:space="preserve"> considering a career in teaching</w:t>
      </w:r>
      <w:r w:rsidRPr="00E477FD">
        <w:t>.</w:t>
      </w:r>
    </w:p>
    <w:p w14:paraId="37665FC1" w14:textId="54E49CB6" w:rsidR="006D3063" w:rsidRDefault="006D3063" w:rsidP="006D3063">
      <w:r>
        <w:t>Individual submissions also suggested that better recognition of professional experience and maturity could attract high-quality</w:t>
      </w:r>
      <w:r w:rsidR="00F05A7F">
        <w:t>,</w:t>
      </w:r>
      <w:r>
        <w:t xml:space="preserve"> mid-career </w:t>
      </w:r>
      <w:r w:rsidR="00567CAA">
        <w:t xml:space="preserve">professionals </w:t>
      </w:r>
      <w:r>
        <w:t xml:space="preserve">who are interested in becoming teachers, noting that following </w:t>
      </w:r>
      <w:r w:rsidR="00351C96">
        <w:t xml:space="preserve">the </w:t>
      </w:r>
      <w:r>
        <w:t xml:space="preserve">COVID-19 </w:t>
      </w:r>
      <w:r w:rsidR="00351C96">
        <w:t>pandemic</w:t>
      </w:r>
      <w:r>
        <w:t xml:space="preserve"> there is an opportunity to reframe how we value the teaching profession. </w:t>
      </w:r>
    </w:p>
    <w:p w14:paraId="6D743039" w14:textId="2A6B7D78" w:rsidR="006D3063" w:rsidRPr="00AD29E6" w:rsidRDefault="006D3063" w:rsidP="006D3063">
      <w:pPr>
        <w:pStyle w:val="CommentText"/>
        <w:spacing w:line="276" w:lineRule="auto"/>
      </w:pPr>
      <w:r>
        <w:t xml:space="preserve">The </w:t>
      </w:r>
      <w:r w:rsidRPr="00C84860">
        <w:t>BETA</w:t>
      </w:r>
      <w:r>
        <w:t xml:space="preserve"> survey</w:t>
      </w:r>
      <w:r w:rsidRPr="00C84860">
        <w:t xml:space="preserve"> found that </w:t>
      </w:r>
      <w:r w:rsidR="003223A2">
        <w:t xml:space="preserve">up to four in </w:t>
      </w:r>
      <w:r w:rsidR="00E47BD5">
        <w:t xml:space="preserve">10 </w:t>
      </w:r>
      <w:r w:rsidR="00115ACD">
        <w:t xml:space="preserve">mid-career professionals </w:t>
      </w:r>
      <w:r w:rsidR="001D35BE">
        <w:t>would consider a career in teaching</w:t>
      </w:r>
      <w:r w:rsidR="005C2246">
        <w:t>, which includes</w:t>
      </w:r>
      <w:r w:rsidR="00E2078E" w:rsidRPr="001A3D8B">
        <w:t xml:space="preserve"> </w:t>
      </w:r>
      <w:r w:rsidR="00E2078E">
        <w:t>one</w:t>
      </w:r>
      <w:r w:rsidR="00E2078E" w:rsidRPr="001A3D8B">
        <w:t xml:space="preserve"> in 10 planning a career change to be a teacher and </w:t>
      </w:r>
      <w:r w:rsidR="00E2078E">
        <w:t>three</w:t>
      </w:r>
      <w:r w:rsidR="00E2078E" w:rsidRPr="001A3D8B">
        <w:t xml:space="preserve"> in 10 open to the idea</w:t>
      </w:r>
      <w:r w:rsidR="00A475F6">
        <w:t>. Of</w:t>
      </w:r>
      <w:r w:rsidRPr="00C84860">
        <w:t xml:space="preserve"> those mid-career professionals who were open to </w:t>
      </w:r>
      <w:r w:rsidRPr="006A168C">
        <w:t>teaching,</w:t>
      </w:r>
      <w:r w:rsidRPr="00C84860">
        <w:t xml:space="preserve"> the majority </w:t>
      </w:r>
      <w:r w:rsidR="00535106">
        <w:t xml:space="preserve">were not aware of </w:t>
      </w:r>
      <w:r w:rsidR="003A7F8E">
        <w:t xml:space="preserve">the </w:t>
      </w:r>
      <w:r w:rsidR="00413970">
        <w:t>re</w:t>
      </w:r>
      <w:r w:rsidR="0099538E">
        <w:t xml:space="preserve">quirement to complete a </w:t>
      </w:r>
      <w:r w:rsidR="00F372C7">
        <w:t>two</w:t>
      </w:r>
      <w:r w:rsidR="0099538E">
        <w:t xml:space="preserve">-year Masters </w:t>
      </w:r>
      <w:r w:rsidR="008729C0">
        <w:t>degree</w:t>
      </w:r>
      <w:r w:rsidR="008807C0">
        <w:t xml:space="preserve">, underestimating the </w:t>
      </w:r>
      <w:r w:rsidR="00741E39">
        <w:t>length of study</w:t>
      </w:r>
      <w:r w:rsidR="001533EC">
        <w:t xml:space="preserve"> </w:t>
      </w:r>
      <w:r w:rsidR="00A33F62">
        <w:t>necessary</w:t>
      </w:r>
      <w:r w:rsidR="007619BF">
        <w:t xml:space="preserve"> (Figure 7)</w:t>
      </w:r>
      <w:r w:rsidRPr="00C84860">
        <w:t>.</w:t>
      </w:r>
    </w:p>
    <w:p w14:paraId="79565AF7" w14:textId="77777777" w:rsidR="005A0BF5" w:rsidRDefault="005A0BF5" w:rsidP="005A0BF5">
      <w:pPr>
        <w:spacing w:after="0"/>
        <w:rPr>
          <w:color w:val="auto"/>
          <w:sz w:val="16"/>
          <w:szCs w:val="16"/>
        </w:rPr>
      </w:pPr>
    </w:p>
    <w:p w14:paraId="6B851C8E" w14:textId="401E3338" w:rsidR="00223176" w:rsidRDefault="00C83211" w:rsidP="006E52B8">
      <w:pPr>
        <w:keepNext/>
        <w:spacing w:after="0"/>
        <w:rPr>
          <w:sz w:val="18"/>
          <w:szCs w:val="18"/>
        </w:rPr>
      </w:pPr>
      <w:r w:rsidRPr="002972CE">
        <w:rPr>
          <w:sz w:val="18"/>
          <w:szCs w:val="18"/>
        </w:rPr>
        <w:t>Figure 7. What qualifications do you need to work as a teacher?</w:t>
      </w:r>
      <w:r w:rsidR="00223176" w:rsidRPr="00223176">
        <w:rPr>
          <w:noProof/>
        </w:rPr>
        <w:t xml:space="preserve"> </w:t>
      </w:r>
      <w:r w:rsidR="00223176" w:rsidRPr="00223176">
        <w:rPr>
          <w:noProof/>
          <w:sz w:val="18"/>
          <w:szCs w:val="18"/>
        </w:rPr>
        <w:drawing>
          <wp:inline distT="0" distB="0" distL="0" distR="0" wp14:anchorId="26988201" wp14:editId="1A76AE71">
            <wp:extent cx="5727700" cy="2807335"/>
            <wp:effectExtent l="0" t="0" r="6350" b="0"/>
            <wp:docPr id="11" name="Picture 11" descr="This pie chart shows what qualification mid-career professionals anticipate they would need to register as a teacher.&#10;&#10;47% of respondents believed a 12-month graduate diploma would be required, 33% thought they would need a 2-year Masters, 15% thought they would need a 6-month graduate certificate and 5% expected no qualification would be requir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pie chart shows what qualification mid-career professionals anticipate they would need to register as a teacher.&#10;&#10;47% of respondents believed a 12-month graduate diploma would be required, 33% thought they would need a 2-year Masters, 15% thought they would need a 6-month graduate certificate and 5% expected no qualification would be required.   &#10;"/>
                    <pic:cNvPicPr/>
                  </pic:nvPicPr>
                  <pic:blipFill>
                    <a:blip r:embed="rId31"/>
                    <a:stretch>
                      <a:fillRect/>
                    </a:stretch>
                  </pic:blipFill>
                  <pic:spPr>
                    <a:xfrm>
                      <a:off x="0" y="0"/>
                      <a:ext cx="5727700" cy="2807335"/>
                    </a:xfrm>
                    <a:prstGeom prst="rect">
                      <a:avLst/>
                    </a:prstGeom>
                  </pic:spPr>
                </pic:pic>
              </a:graphicData>
            </a:graphic>
          </wp:inline>
        </w:drawing>
      </w:r>
    </w:p>
    <w:p w14:paraId="485C4F0E" w14:textId="56069E83" w:rsidR="00C83211" w:rsidRPr="002972CE" w:rsidRDefault="00C83211" w:rsidP="006E52B8">
      <w:pPr>
        <w:keepNext/>
        <w:spacing w:after="0"/>
        <w:rPr>
          <w:sz w:val="18"/>
          <w:szCs w:val="18"/>
        </w:rPr>
      </w:pPr>
    </w:p>
    <w:p w14:paraId="18519C43" w14:textId="77777777" w:rsidR="00C83211" w:rsidRDefault="00C83211" w:rsidP="00C83211">
      <w:pPr>
        <w:spacing w:after="0"/>
        <w:rPr>
          <w:color w:val="auto"/>
          <w:sz w:val="16"/>
          <w:szCs w:val="16"/>
        </w:rPr>
      </w:pPr>
      <w:r w:rsidRPr="00E81B45">
        <w:rPr>
          <w:color w:val="auto"/>
          <w:sz w:val="16"/>
          <w:szCs w:val="16"/>
        </w:rPr>
        <w:t>Source: Behavioural Economics Team of the Australian Government (BETA) survey.</w:t>
      </w:r>
    </w:p>
    <w:p w14:paraId="4BAF48FA" w14:textId="1A7E33E8" w:rsidR="006275AC" w:rsidRPr="000A4227" w:rsidRDefault="006275AC" w:rsidP="000F6820">
      <w:pPr>
        <w:spacing w:before="240"/>
      </w:pPr>
      <w:r>
        <w:t>BETA found that mid-career professionals value ongoing financial assistance, whether in the form of a scholarship or paid employment while studying, and guaranteed ongoing employment in a nearby school upon graduation. Notably, mid-career professionals valued financial incentives above a condensed one-year qualification, however, it should be recognised that these are not mutually exclusive and many mid-career professionals assumed that the requirement for teaching was already a one-year qualification</w:t>
      </w:r>
      <w:r w:rsidR="00A36D3D">
        <w:t xml:space="preserve"> (Figure 8)</w:t>
      </w:r>
      <w:r>
        <w:t xml:space="preserve">. </w:t>
      </w:r>
    </w:p>
    <w:p w14:paraId="055E019B" w14:textId="38E76F55" w:rsidR="00456754" w:rsidRPr="004C13FD" w:rsidRDefault="00310A04" w:rsidP="00310A04">
      <w:pPr>
        <w:keepNext/>
        <w:spacing w:after="0"/>
        <w:rPr>
          <w:sz w:val="18"/>
          <w:szCs w:val="18"/>
        </w:rPr>
      </w:pPr>
      <w:r w:rsidRPr="004C13FD">
        <w:rPr>
          <w:sz w:val="18"/>
          <w:szCs w:val="18"/>
        </w:rPr>
        <w:lastRenderedPageBreak/>
        <w:t xml:space="preserve">Figure 8. </w:t>
      </w:r>
      <w:r w:rsidR="00ED6470">
        <w:rPr>
          <w:sz w:val="18"/>
          <w:szCs w:val="18"/>
        </w:rPr>
        <w:t>Probability</w:t>
      </w:r>
      <w:r w:rsidRPr="004C13FD">
        <w:rPr>
          <w:sz w:val="18"/>
          <w:szCs w:val="18"/>
        </w:rPr>
        <w:t xml:space="preserve"> of choosing teaching (mid-career professionals)</w:t>
      </w:r>
      <w:r w:rsidR="00223176" w:rsidRPr="00223176">
        <w:rPr>
          <w:noProof/>
        </w:rPr>
        <w:t xml:space="preserve"> </w:t>
      </w:r>
      <w:r w:rsidR="00223176" w:rsidRPr="00223176">
        <w:rPr>
          <w:noProof/>
          <w:sz w:val="18"/>
          <w:szCs w:val="18"/>
        </w:rPr>
        <w:drawing>
          <wp:inline distT="0" distB="0" distL="0" distR="0" wp14:anchorId="67652BBE" wp14:editId="78F3B804">
            <wp:extent cx="5727700" cy="5389880"/>
            <wp:effectExtent l="0" t="0" r="6350" b="1270"/>
            <wp:docPr id="1" name="Picture 1" descr="This bar chart shows the additional probability of mid-career professionals choosing to study teaching based on four categories of incentives: starting pay, top pay, study incentives and work incentives. &#10;&#10;The most attractive starting pay incentive was a starting salary of $90,000.&#10;&#10;The most attractive top pay incentive was $13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bar chart shows the additional probability of mid-career professionals choosing to study teaching based on four categories of incentives: starting pay, top pay, study incentives and work incentives. &#10;&#10;The most attractive starting pay incentive was a starting salary of $90,000.&#10;&#10;The most attractive top pay incentive was $130,000.&#10;"/>
                    <pic:cNvPicPr/>
                  </pic:nvPicPr>
                  <pic:blipFill>
                    <a:blip r:embed="rId32"/>
                    <a:stretch>
                      <a:fillRect/>
                    </a:stretch>
                  </pic:blipFill>
                  <pic:spPr>
                    <a:xfrm>
                      <a:off x="0" y="0"/>
                      <a:ext cx="5727700" cy="5389880"/>
                    </a:xfrm>
                    <a:prstGeom prst="rect">
                      <a:avLst/>
                    </a:prstGeom>
                  </pic:spPr>
                </pic:pic>
              </a:graphicData>
            </a:graphic>
          </wp:inline>
        </w:drawing>
      </w:r>
    </w:p>
    <w:p w14:paraId="6F0DEA0D" w14:textId="03D8E053" w:rsidR="00310A04" w:rsidRDefault="00310A04" w:rsidP="00310A04">
      <w:pPr>
        <w:spacing w:after="0"/>
        <w:rPr>
          <w:color w:val="auto"/>
          <w:sz w:val="16"/>
          <w:szCs w:val="16"/>
        </w:rPr>
      </w:pPr>
      <w:r w:rsidRPr="00E81B45">
        <w:rPr>
          <w:color w:val="auto"/>
          <w:sz w:val="16"/>
          <w:szCs w:val="16"/>
        </w:rPr>
        <w:t>Source: Behavioural Economics Team of the Australian Government (BETA) survey.</w:t>
      </w:r>
    </w:p>
    <w:p w14:paraId="32227D56" w14:textId="77777777" w:rsidR="00310A04" w:rsidRDefault="00310A04" w:rsidP="00310A04">
      <w:pPr>
        <w:spacing w:after="0"/>
        <w:rPr>
          <w:color w:val="auto"/>
          <w:sz w:val="16"/>
          <w:szCs w:val="16"/>
        </w:rPr>
      </w:pPr>
    </w:p>
    <w:p w14:paraId="234E30CA" w14:textId="61355BE0" w:rsidR="00C847F9" w:rsidRPr="00812693" w:rsidRDefault="006D3063" w:rsidP="0038400C">
      <w:pPr>
        <w:spacing w:line="240" w:lineRule="auto"/>
        <w:rPr>
          <w:rFonts w:ascii="Calibri" w:eastAsia="Times New Roman" w:hAnsi="Calibri" w:cs="Calibri"/>
          <w:color w:val="auto"/>
          <w:lang w:eastAsia="en-AU"/>
        </w:rPr>
      </w:pPr>
      <w:r w:rsidRPr="003F04E8">
        <w:rPr>
          <w:rFonts w:ascii="Calibri" w:eastAsia="Times New Roman" w:hAnsi="Calibri" w:cs="Calibri"/>
          <w:color w:val="auto"/>
          <w:lang w:eastAsia="en-AU"/>
        </w:rPr>
        <w:t>Mid-career profession</w:t>
      </w:r>
      <w:r w:rsidR="0022090B">
        <w:rPr>
          <w:rFonts w:ascii="Calibri" w:eastAsia="Times New Roman" w:hAnsi="Calibri" w:cs="Calibri"/>
          <w:color w:val="auto"/>
          <w:lang w:eastAsia="en-AU"/>
        </w:rPr>
        <w:t>al</w:t>
      </w:r>
      <w:r w:rsidRPr="003F04E8">
        <w:rPr>
          <w:rFonts w:ascii="Calibri" w:eastAsia="Times New Roman" w:hAnsi="Calibri" w:cs="Calibri"/>
          <w:color w:val="auto"/>
          <w:lang w:eastAsia="en-AU"/>
        </w:rPr>
        <w:t xml:space="preserve">s with </w:t>
      </w:r>
      <w:r w:rsidR="00666C24">
        <w:rPr>
          <w:rFonts w:ascii="Calibri" w:eastAsia="Times New Roman" w:hAnsi="Calibri" w:cs="Calibri"/>
          <w:color w:val="auto"/>
          <w:lang w:eastAsia="en-AU"/>
        </w:rPr>
        <w:t>science, technology, eng</w:t>
      </w:r>
      <w:r w:rsidR="00D46E52">
        <w:rPr>
          <w:rFonts w:ascii="Calibri" w:eastAsia="Times New Roman" w:hAnsi="Calibri" w:cs="Calibri"/>
          <w:color w:val="auto"/>
          <w:lang w:eastAsia="en-AU"/>
        </w:rPr>
        <w:t>ineering and mathematics</w:t>
      </w:r>
      <w:r w:rsidRPr="003F04E8">
        <w:rPr>
          <w:rFonts w:ascii="Calibri" w:eastAsia="Times New Roman" w:hAnsi="Calibri" w:cs="Calibri"/>
          <w:color w:val="auto"/>
          <w:lang w:eastAsia="en-AU"/>
        </w:rPr>
        <w:t xml:space="preserve"> </w:t>
      </w:r>
      <w:r w:rsidR="00D46E52">
        <w:rPr>
          <w:rFonts w:ascii="Calibri" w:eastAsia="Times New Roman" w:hAnsi="Calibri" w:cs="Calibri"/>
          <w:color w:val="auto"/>
          <w:lang w:eastAsia="en-AU"/>
        </w:rPr>
        <w:t>(</w:t>
      </w:r>
      <w:r w:rsidRPr="003F04E8">
        <w:rPr>
          <w:rFonts w:ascii="Calibri" w:eastAsia="Times New Roman" w:hAnsi="Calibri" w:cs="Calibri"/>
          <w:color w:val="auto"/>
          <w:lang w:eastAsia="en-AU"/>
        </w:rPr>
        <w:t>STEM</w:t>
      </w:r>
      <w:r w:rsidR="00D46E52">
        <w:rPr>
          <w:rFonts w:ascii="Calibri" w:eastAsia="Times New Roman" w:hAnsi="Calibri" w:cs="Calibri"/>
          <w:color w:val="auto"/>
          <w:lang w:eastAsia="en-AU"/>
        </w:rPr>
        <w:t>)</w:t>
      </w:r>
      <w:r w:rsidRPr="003F04E8">
        <w:rPr>
          <w:rFonts w:ascii="Calibri" w:eastAsia="Times New Roman" w:hAnsi="Calibri" w:cs="Calibri"/>
          <w:color w:val="auto"/>
          <w:lang w:eastAsia="en-AU"/>
        </w:rPr>
        <w:t xml:space="preserve"> backgrounds, however, were found to be more </w:t>
      </w:r>
      <w:r w:rsidR="00700CD6">
        <w:rPr>
          <w:rFonts w:ascii="Calibri" w:eastAsia="Times New Roman" w:hAnsi="Calibri" w:cs="Calibri"/>
          <w:color w:val="auto"/>
          <w:lang w:eastAsia="en-AU"/>
        </w:rPr>
        <w:t>likely to be motivated</w:t>
      </w:r>
      <w:r w:rsidRPr="003F04E8">
        <w:rPr>
          <w:rFonts w:ascii="Calibri" w:eastAsia="Times New Roman" w:hAnsi="Calibri" w:cs="Calibri"/>
          <w:color w:val="auto"/>
          <w:lang w:eastAsia="en-AU"/>
        </w:rPr>
        <w:t xml:space="preserve"> by higher starting pay than their non-STEM counterparts. Paid work throughout study was also ranked as more likely to attract those with a STEM background, compared to non-STEM professionals</w:t>
      </w:r>
      <w:r w:rsidR="00A36D3D">
        <w:rPr>
          <w:rFonts w:ascii="Calibri" w:eastAsia="Times New Roman" w:hAnsi="Calibri" w:cs="Calibri"/>
          <w:color w:val="auto"/>
          <w:lang w:eastAsia="en-AU"/>
        </w:rPr>
        <w:t xml:space="preserve"> (Figure 9)</w:t>
      </w:r>
      <w:r w:rsidRPr="003F04E8">
        <w:rPr>
          <w:rFonts w:ascii="Calibri" w:eastAsia="Times New Roman" w:hAnsi="Calibri" w:cs="Calibri"/>
          <w:color w:val="auto"/>
          <w:lang w:eastAsia="en-AU"/>
        </w:rPr>
        <w:t>.</w:t>
      </w:r>
    </w:p>
    <w:p w14:paraId="0578B51B" w14:textId="77563E75" w:rsidR="006C20F8" w:rsidRPr="004C13FD" w:rsidRDefault="0097559D" w:rsidP="006C20F8">
      <w:pPr>
        <w:keepNext/>
        <w:spacing w:after="0"/>
        <w:rPr>
          <w:sz w:val="18"/>
          <w:szCs w:val="18"/>
        </w:rPr>
      </w:pPr>
      <w:r w:rsidRPr="004C13FD">
        <w:rPr>
          <w:sz w:val="18"/>
          <w:szCs w:val="18"/>
        </w:rPr>
        <w:lastRenderedPageBreak/>
        <w:t>Figure 9. Additional probability of choosing teaching STEM and Non-STEM (mid-career professionals)</w:t>
      </w:r>
      <w:r w:rsidR="00223176" w:rsidRPr="00223176">
        <w:rPr>
          <w:noProof/>
        </w:rPr>
        <w:t xml:space="preserve"> </w:t>
      </w:r>
      <w:r w:rsidR="00223176" w:rsidRPr="00223176">
        <w:rPr>
          <w:noProof/>
          <w:sz w:val="18"/>
          <w:szCs w:val="18"/>
        </w:rPr>
        <w:drawing>
          <wp:inline distT="0" distB="0" distL="0" distR="0" wp14:anchorId="6249D3FE" wp14:editId="1E2864B6">
            <wp:extent cx="5727700" cy="6036945"/>
            <wp:effectExtent l="0" t="0" r="6350" b="1905"/>
            <wp:docPr id="14" name="Picture 14" descr="Two bar charts side-by-side showing a comparison between the additional probability of choosing to study teaching of mid-career professionals with and without a STEM background. &#10;&#10;The first bar chart shows the study incentives and work incentives for mid-career professionals from a STEM background.&#10;&#10;The second bar chart shows the study incentives and work incentives for mid-career professionals from a non-STEM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bar charts side-by-side showing a comparison between the additional probability of choosing to study teaching of mid-career professionals with and without a STEM background. &#10;&#10;The first bar chart shows the study incentives and work incentives for mid-career professionals from a STEM background.&#10;&#10;The second bar chart shows the study incentives and work incentives for mid-career professionals from a non-STEM background.&#10;"/>
                    <pic:cNvPicPr/>
                  </pic:nvPicPr>
                  <pic:blipFill>
                    <a:blip r:embed="rId33"/>
                    <a:stretch>
                      <a:fillRect/>
                    </a:stretch>
                  </pic:blipFill>
                  <pic:spPr>
                    <a:xfrm>
                      <a:off x="0" y="0"/>
                      <a:ext cx="5727700" cy="6036945"/>
                    </a:xfrm>
                    <a:prstGeom prst="rect">
                      <a:avLst/>
                    </a:prstGeom>
                  </pic:spPr>
                </pic:pic>
              </a:graphicData>
            </a:graphic>
          </wp:inline>
        </w:drawing>
      </w:r>
    </w:p>
    <w:p w14:paraId="3B0B6379" w14:textId="3EF3FB30" w:rsidR="006C20F8" w:rsidRDefault="006C20F8" w:rsidP="006E52B8">
      <w:pPr>
        <w:rPr>
          <w:color w:val="auto"/>
          <w:sz w:val="16"/>
          <w:szCs w:val="16"/>
        </w:rPr>
      </w:pPr>
      <w:r w:rsidRPr="00E81B45">
        <w:rPr>
          <w:color w:val="auto"/>
          <w:sz w:val="16"/>
          <w:szCs w:val="16"/>
        </w:rPr>
        <w:t>Source: Behavioural Economics Team of the Australian Government (BETA) survey.</w:t>
      </w:r>
    </w:p>
    <w:p w14:paraId="62CE4C98" w14:textId="2EB0E373" w:rsidR="006D3063" w:rsidRDefault="006D3063" w:rsidP="006D3063">
      <w:r>
        <w:t xml:space="preserve">BETA also </w:t>
      </w:r>
      <w:r w:rsidR="00890B68">
        <w:t>found the relative attractiveness of incentives differed</w:t>
      </w:r>
      <w:r>
        <w:t xml:space="preserve"> between older and younger mid-career professionals. For example, younger mid-career professionals found rent/mortgage relief to be particularly attractive</w:t>
      </w:r>
      <w:r w:rsidR="00046F0C">
        <w:t xml:space="preserve">, </w:t>
      </w:r>
      <w:r>
        <w:t>while ongoing income throughout study was more appealing to older professionals.</w:t>
      </w:r>
    </w:p>
    <w:p w14:paraId="4A0B1677" w14:textId="590E76CF" w:rsidR="00314792" w:rsidRPr="00E477FD" w:rsidRDefault="00314792" w:rsidP="00314792">
      <w:pPr>
        <w:keepNext/>
        <w:keepLines/>
        <w:spacing w:before="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iCs/>
          <w:color w:val="1F3763" w:themeColor="accent1" w:themeShade="7F"/>
        </w:rPr>
        <w:t xml:space="preserve">Diverse </w:t>
      </w:r>
      <w:r w:rsidR="004910AA">
        <w:rPr>
          <w:rFonts w:asciiTheme="majorHAnsi" w:eastAsiaTheme="majorEastAsia" w:hAnsiTheme="majorHAnsi" w:cstheme="majorBidi"/>
          <w:i/>
          <w:iCs/>
          <w:color w:val="1F3763" w:themeColor="accent1" w:themeShade="7F"/>
        </w:rPr>
        <w:t>c</w:t>
      </w:r>
      <w:r w:rsidRPr="00E477FD">
        <w:rPr>
          <w:rFonts w:asciiTheme="majorHAnsi" w:eastAsiaTheme="majorEastAsia" w:hAnsiTheme="majorHAnsi" w:cstheme="majorBidi"/>
          <w:i/>
          <w:iCs/>
          <w:color w:val="1F3763" w:themeColor="accent1" w:themeShade="7F"/>
        </w:rPr>
        <w:t>ohorts</w:t>
      </w:r>
    </w:p>
    <w:p w14:paraId="2669C174" w14:textId="78D0973D" w:rsidR="00314792" w:rsidRDefault="00314792" w:rsidP="00CD1FEB">
      <w:pPr>
        <w:pStyle w:val="Quote"/>
        <w:framePr w:wrap="around"/>
      </w:pPr>
      <w:r>
        <w:t xml:space="preserve">‘…[T]he teaching workforce needs to be reflective of the school communities that it serves.’ </w:t>
      </w:r>
    </w:p>
    <w:p w14:paraId="422F3A09" w14:textId="77777777" w:rsidR="00314792" w:rsidRDefault="00314792" w:rsidP="00CD1FEB">
      <w:pPr>
        <w:pStyle w:val="Quote"/>
        <w:framePr w:wrap="around"/>
      </w:pPr>
      <w:r>
        <w:t>(Northern Territory Department of Education and Charles Darwin University submission)</w:t>
      </w:r>
    </w:p>
    <w:p w14:paraId="28D23C45" w14:textId="77777777" w:rsidR="00314792" w:rsidRDefault="00314792" w:rsidP="00CA7289">
      <w:pPr>
        <w:spacing w:after="0"/>
      </w:pPr>
    </w:p>
    <w:p w14:paraId="245EE41B" w14:textId="531270E4" w:rsidR="00314792" w:rsidRDefault="00314792" w:rsidP="0038400C">
      <w:r w:rsidRPr="00E477FD">
        <w:t xml:space="preserve">Stakeholders emphasised the importance of attracting diverse cohorts to the profession </w:t>
      </w:r>
      <w:r w:rsidR="00194409">
        <w:t xml:space="preserve">to </w:t>
      </w:r>
      <w:r w:rsidR="004D7EB2">
        <w:t xml:space="preserve">better </w:t>
      </w:r>
      <w:r w:rsidR="00194409">
        <w:t xml:space="preserve">reflect student populations </w:t>
      </w:r>
      <w:r w:rsidRPr="00E477FD">
        <w:t xml:space="preserve">and highlighted the need to make sure that ITE </w:t>
      </w:r>
      <w:r w:rsidR="009711EE">
        <w:t>is</w:t>
      </w:r>
      <w:r w:rsidRPr="00E477FD">
        <w:t xml:space="preserve"> accessible.</w:t>
      </w:r>
    </w:p>
    <w:p w14:paraId="6761ACC2" w14:textId="77777777" w:rsidR="00314792" w:rsidRDefault="00314792" w:rsidP="0038400C">
      <w:r w:rsidRPr="00E477FD">
        <w:t>Focus group</w:t>
      </w:r>
      <w:r>
        <w:t xml:space="preserve"> participants noted that the lack of existing diversity in the teaching workforce can be a deterrent for future diversity, as potential teachers from diverse backgrounds may not feel they will be welcomed and valued in the workplace. </w:t>
      </w:r>
    </w:p>
    <w:p w14:paraId="292D7D39" w14:textId="0B8E156F" w:rsidR="00314792" w:rsidRDefault="00314792" w:rsidP="0038400C">
      <w:r>
        <w:lastRenderedPageBreak/>
        <w:t xml:space="preserve">The focus groups also covered ways to attract </w:t>
      </w:r>
      <w:r w:rsidR="00E947D4">
        <w:t xml:space="preserve">a </w:t>
      </w:r>
      <w:r>
        <w:t>diverse range of people, with participants indicating that people</w:t>
      </w:r>
      <w:r w:rsidRPr="0995B48D">
        <w:rPr>
          <w:b/>
          <w:bCs/>
        </w:rPr>
        <w:t xml:space="preserve"> </w:t>
      </w:r>
      <w:r>
        <w:t>from diverse groups must be actively encouraged to become teachers from a young age. Some focus group</w:t>
      </w:r>
      <w:r w:rsidR="005F2F4A">
        <w:t xml:space="preserve"> participants suggested</w:t>
      </w:r>
      <w:r>
        <w:t xml:space="preserve"> pay increases for teachers from diverse backgrounds and non-financial supports such as local </w:t>
      </w:r>
      <w:r w:rsidR="007E5562">
        <w:t>culturally appropriate</w:t>
      </w:r>
      <w:r>
        <w:t xml:space="preserve"> mentoring.</w:t>
      </w:r>
    </w:p>
    <w:p w14:paraId="5129B904" w14:textId="6F928D99" w:rsidR="00314792" w:rsidRDefault="00314792" w:rsidP="0038400C">
      <w:r>
        <w:t>While these suggestions may go towards attracting more diverse cohorts, the barriers to ITE may be linked to the broader systemic hurdles to higher education, such as external barriers like travel time and cost (Gore et</w:t>
      </w:r>
      <w:r w:rsidR="001A7441">
        <w:t xml:space="preserve"> </w:t>
      </w:r>
      <w:r>
        <w:t xml:space="preserve">al. 2015), accessibility issues and cultural responsibilities (National Centre for Student Equity in Higher Education 2015). </w:t>
      </w:r>
    </w:p>
    <w:p w14:paraId="48ABA8F7" w14:textId="0581CAED" w:rsidR="00314792" w:rsidRDefault="00314792" w:rsidP="0038400C">
      <w:r>
        <w:t>For Aboriginal and Torres Strait Islander people</w:t>
      </w:r>
      <w:r w:rsidR="00F46AFB">
        <w:t>s</w:t>
      </w:r>
      <w:r>
        <w:t xml:space="preserve"> interested in becoming a teacher, for example, there are factors including cultural obligations to family, community and country that can conflict with </w:t>
      </w:r>
      <w:r w:rsidR="00BD3778">
        <w:t>study</w:t>
      </w:r>
      <w:r>
        <w:t xml:space="preserve"> or employment obligations</w:t>
      </w:r>
      <w:r w:rsidR="00F61D97">
        <w:t xml:space="preserve">, </w:t>
      </w:r>
      <w:r>
        <w:t>as well as limited options for local access to ITE courses (N</w:t>
      </w:r>
      <w:r w:rsidR="00EC03BB">
        <w:t xml:space="preserve">orthern </w:t>
      </w:r>
      <w:r>
        <w:t>T</w:t>
      </w:r>
      <w:r w:rsidR="00EC03BB">
        <w:t>erritory</w:t>
      </w:r>
      <w:r>
        <w:t xml:space="preserve"> Department of Education and Charles Darwin University submission).</w:t>
      </w:r>
    </w:p>
    <w:p w14:paraId="7C7DF5C0" w14:textId="77777777" w:rsidR="00314792" w:rsidRDefault="00314792" w:rsidP="0038400C">
      <w:r>
        <w:t>Curtin University notes that offering</w:t>
      </w:r>
      <w:r w:rsidRPr="00DA3353">
        <w:t xml:space="preserve"> blended modes of delivery </w:t>
      </w:r>
      <w:r>
        <w:t>such as</w:t>
      </w:r>
      <w:r w:rsidRPr="00DA3353">
        <w:t xml:space="preserve"> delivering some learning </w:t>
      </w:r>
      <w:r>
        <w:t>o</w:t>
      </w:r>
      <w:r w:rsidRPr="00DA3353">
        <w:t>n-</w:t>
      </w:r>
      <w:r>
        <w:t>c</w:t>
      </w:r>
      <w:r w:rsidRPr="00DA3353">
        <w:t xml:space="preserve">ountry recognises the significance of retaining connection to community. This can enable access for students who may be reluctant to enrol in </w:t>
      </w:r>
      <w:r>
        <w:t>an ITE course</w:t>
      </w:r>
      <w:r w:rsidRPr="00DA3353">
        <w:t xml:space="preserve"> because of the requirement to be off-country and away from home and family for prolonged periods (Curtin University submission). </w:t>
      </w:r>
    </w:p>
    <w:p w14:paraId="202E8F64" w14:textId="7D537FA9" w:rsidR="0094436F" w:rsidRDefault="00314792" w:rsidP="0038400C">
      <w:r>
        <w:t>The Batchelor Institute uses a Both-Ways Learning philosophy which recognises Aboriginal and Torres Strait Islander students’ knowledge, languages and culture, with new knowledge and learning aligning with individual and community responsibility and obligations (N</w:t>
      </w:r>
      <w:r w:rsidR="00976813">
        <w:t xml:space="preserve">orthern </w:t>
      </w:r>
      <w:r>
        <w:t>T</w:t>
      </w:r>
      <w:r w:rsidR="002D2242">
        <w:t>erritory</w:t>
      </w:r>
      <w:r>
        <w:t xml:space="preserve"> Department of Education and Charles Darwin University submission). </w:t>
      </w:r>
      <w:r w:rsidRPr="00DA3353">
        <w:t>Diverse models of ITE delivery</w:t>
      </w:r>
      <w:r>
        <w:t>, including for Aboriginal and Torres Strait Islander peoples</w:t>
      </w:r>
      <w:r w:rsidR="007B1A97">
        <w:t>,</w:t>
      </w:r>
      <w:r w:rsidRPr="00DA3353">
        <w:t xml:space="preserve"> </w:t>
      </w:r>
      <w:r>
        <w:t>are</w:t>
      </w:r>
      <w:r w:rsidRPr="00DA3353">
        <w:t xml:space="preserve"> explored further in Chapter 2.</w:t>
      </w:r>
      <w:r>
        <w:t xml:space="preserve"> A discussion of the work of Aboriginal and Torres Strait Islander paraprofessionals currently employed in schools is </w:t>
      </w:r>
      <w:r w:rsidR="008C44D8">
        <w:t xml:space="preserve">at </w:t>
      </w:r>
      <w:r>
        <w:t>Chapter 7.</w:t>
      </w:r>
    </w:p>
    <w:p w14:paraId="3481EF0A" w14:textId="08EFF78A" w:rsidR="00314792" w:rsidRPr="00005CED" w:rsidRDefault="00314792" w:rsidP="001D45D6">
      <w:pPr>
        <w:pStyle w:val="Heading7"/>
      </w:pPr>
      <w:r w:rsidRPr="00005CED">
        <w:t xml:space="preserve">Regional, </w:t>
      </w:r>
      <w:r w:rsidR="004910AA">
        <w:t>r</w:t>
      </w:r>
      <w:r w:rsidRPr="00005CED">
        <w:t xml:space="preserve">ural and </w:t>
      </w:r>
      <w:r w:rsidR="004910AA">
        <w:t>r</w:t>
      </w:r>
      <w:r w:rsidRPr="00005CED">
        <w:t>emote cohorts</w:t>
      </w:r>
    </w:p>
    <w:p w14:paraId="77BC32FD" w14:textId="1ADAA1FF" w:rsidR="00314792" w:rsidRDefault="00314792" w:rsidP="00314792">
      <w:r>
        <w:t xml:space="preserve">It is widely acknowledged that teacher shortages are more likely to be experienced </w:t>
      </w:r>
      <w:r w:rsidR="000C374D">
        <w:t>in</w:t>
      </w:r>
      <w:r>
        <w:t xml:space="preserve"> regional, rural and remote</w:t>
      </w:r>
      <w:r w:rsidRPr="00EA2883">
        <w:t xml:space="preserve"> </w:t>
      </w:r>
      <w:r>
        <w:t xml:space="preserve">locations, which places a significant demand on attracting high-quality candidates to these areas. </w:t>
      </w:r>
    </w:p>
    <w:p w14:paraId="09FD0462" w14:textId="1836A714" w:rsidR="00314792" w:rsidRDefault="00314792" w:rsidP="0038400C">
      <w:r>
        <w:t>Most states and territories already have in place</w:t>
      </w:r>
      <w:r w:rsidRPr="0084136F">
        <w:t xml:space="preserve"> a range of initiatives to attract teacher</w:t>
      </w:r>
      <w:r>
        <w:t xml:space="preserve">s to these locations. Many stakeholders agree, however, that more could be done to encourage </w:t>
      </w:r>
      <w:r w:rsidR="00216985">
        <w:t>ITE students</w:t>
      </w:r>
      <w:r>
        <w:t xml:space="preserve"> to consider teaching in regional, rural or remote locations, especially considering that ITE students from these locations tend to return to these areas on completion of their studies</w:t>
      </w:r>
      <w:r w:rsidR="008D483D">
        <w:t>.</w:t>
      </w:r>
    </w:p>
    <w:p w14:paraId="4A9DC971" w14:textId="2CF956D4" w:rsidR="00314792" w:rsidRDefault="00314792" w:rsidP="00314792">
      <w:r>
        <w:t xml:space="preserve">In order to attract more ITE students to these locations, stakeholders suggested co-funding </w:t>
      </w:r>
      <w:r w:rsidRPr="00BB7EF4">
        <w:t xml:space="preserve">regional universities to develop innovative </w:t>
      </w:r>
      <w:r w:rsidR="00A0695B">
        <w:t>undergraduate</w:t>
      </w:r>
      <w:r w:rsidRPr="00BB7EF4">
        <w:t>-level ITE programs for local students with existing community connections</w:t>
      </w:r>
      <w:r>
        <w:t xml:space="preserve"> (Victorian Department of Education and Training submission), improving access to</w:t>
      </w:r>
      <w:r w:rsidRPr="00A465E8">
        <w:t xml:space="preserve"> placements in regional, rural and remote </w:t>
      </w:r>
      <w:r>
        <w:t xml:space="preserve">areas and providing incentives such as scholarships </w:t>
      </w:r>
      <w:r w:rsidRPr="006D3B80">
        <w:t>to help students undertake placements in the regions</w:t>
      </w:r>
      <w:r>
        <w:t xml:space="preserve"> (Regional Universities Network submission). </w:t>
      </w:r>
    </w:p>
    <w:p w14:paraId="2245C37A" w14:textId="0755672A" w:rsidR="00314792" w:rsidRDefault="00314792" w:rsidP="00A44017">
      <w:pPr>
        <w:pStyle w:val="BreakoutBox1heading"/>
      </w:pPr>
      <w:r>
        <w:lastRenderedPageBreak/>
        <w:t xml:space="preserve">Attracting </w:t>
      </w:r>
      <w:r w:rsidR="00D716F2">
        <w:t>initial teacher education (ITE)</w:t>
      </w:r>
      <w:r>
        <w:t xml:space="preserve"> students to regional, rural and remote locations</w:t>
      </w:r>
    </w:p>
    <w:p w14:paraId="6968E779" w14:textId="4291DB99" w:rsidR="00314792" w:rsidRDefault="00314792" w:rsidP="0038400C">
      <w:pPr>
        <w:pStyle w:val="Breakoutbox1body"/>
        <w:spacing w:after="200"/>
      </w:pPr>
      <w:r>
        <w:t xml:space="preserve">The University of the Sunshine Coast (USC) has a strong focus on preparing </w:t>
      </w:r>
      <w:r w:rsidR="00AD4163">
        <w:t>ITE students</w:t>
      </w:r>
      <w:r>
        <w:t xml:space="preserve"> to teach in </w:t>
      </w:r>
      <w:r w:rsidR="003A257E">
        <w:t>regional</w:t>
      </w:r>
      <w:r>
        <w:t xml:space="preserve">, </w:t>
      </w:r>
      <w:r w:rsidR="003A257E">
        <w:t>rural</w:t>
      </w:r>
      <w:r>
        <w:t xml:space="preserve"> and remote locations and encourages placements in these locations.</w:t>
      </w:r>
      <w:r w:rsidR="00246817">
        <w:t xml:space="preserve"> </w:t>
      </w:r>
      <w:r>
        <w:t xml:space="preserve">The </w:t>
      </w:r>
      <w:r w:rsidRPr="003F42E3">
        <w:t xml:space="preserve">‘Coast to Country’ bus trip </w:t>
      </w:r>
      <w:r>
        <w:t xml:space="preserve">is a signature practice of USC and involves a group of </w:t>
      </w:r>
      <w:r w:rsidR="00767095">
        <w:t>ITE students</w:t>
      </w:r>
      <w:r>
        <w:t xml:space="preserve"> </w:t>
      </w:r>
      <w:r w:rsidRPr="003F42E3">
        <w:t>trave</w:t>
      </w:r>
      <w:r w:rsidR="00787311">
        <w:t>l</w:t>
      </w:r>
      <w:r w:rsidRPr="003F42E3">
        <w:t>l</w:t>
      </w:r>
      <w:r>
        <w:t>ing</w:t>
      </w:r>
      <w:r w:rsidRPr="003F42E3">
        <w:t xml:space="preserve"> together with USC staff on a scheduled route, visiting </w:t>
      </w:r>
      <w:r>
        <w:t>regional, rural and remote</w:t>
      </w:r>
      <w:r w:rsidRPr="003F42E3">
        <w:t xml:space="preserve"> schools, meeting school staff and being immersed </w:t>
      </w:r>
      <w:r w:rsidR="00917861">
        <w:t>in</w:t>
      </w:r>
      <w:r w:rsidR="00917861" w:rsidRPr="003F42E3">
        <w:t xml:space="preserve"> </w:t>
      </w:r>
      <w:r w:rsidRPr="003F42E3">
        <w:t xml:space="preserve">community events. </w:t>
      </w:r>
    </w:p>
    <w:p w14:paraId="78850A16" w14:textId="2BD49575" w:rsidR="00314792" w:rsidRDefault="00314792" w:rsidP="0038400C">
      <w:pPr>
        <w:pStyle w:val="Breakoutbox1body"/>
        <w:spacing w:after="200"/>
      </w:pPr>
      <w:r w:rsidRPr="00AB013F">
        <w:t xml:space="preserve">USC data indicates that 52.7 per cent of USC </w:t>
      </w:r>
      <w:r w:rsidR="00DE4DBC">
        <w:t>ITE students</w:t>
      </w:r>
      <w:r w:rsidRPr="00AB013F">
        <w:t xml:space="preserve"> with </w:t>
      </w:r>
      <w:r>
        <w:t>regional, rural and remote</w:t>
      </w:r>
      <w:r w:rsidRPr="00AB013F">
        <w:t xml:space="preserve"> exposure (through bursaries and/or </w:t>
      </w:r>
      <w:r>
        <w:t xml:space="preserve">the </w:t>
      </w:r>
      <w:r w:rsidRPr="00AB013F">
        <w:t xml:space="preserve">‘Coast to Country’ experience) were identified as teachers employed by Education Queensland. From those identified, 69.4 per cent of the bursary recipients were employed in teaching positions in </w:t>
      </w:r>
      <w:r>
        <w:t>regional, rural and remote</w:t>
      </w:r>
      <w:r w:rsidRPr="00AB013F">
        <w:t xml:space="preserve"> locations in Queensland immediately following graduation.</w:t>
      </w:r>
    </w:p>
    <w:p w14:paraId="22E0D4DF" w14:textId="77777777" w:rsidR="00314792" w:rsidRPr="009F651F" w:rsidRDefault="00314792" w:rsidP="0038400C">
      <w:pPr>
        <w:pStyle w:val="Breakoutbox1body"/>
        <w:spacing w:after="200"/>
      </w:pPr>
      <w:r>
        <w:t>(Universities Australia submission)</w:t>
      </w:r>
    </w:p>
    <w:p w14:paraId="78951AFC" w14:textId="772BFA6C" w:rsidR="00A27281" w:rsidRDefault="00860A04" w:rsidP="00371FD2">
      <w:pPr>
        <w:pStyle w:val="Heading7"/>
      </w:pPr>
      <w:r>
        <w:t>Career advice</w:t>
      </w:r>
    </w:p>
    <w:p w14:paraId="02AB675C" w14:textId="7462938B" w:rsidR="00975391" w:rsidRDefault="0022542E" w:rsidP="0069281A">
      <w:pPr>
        <w:ind w:left="42"/>
      </w:pPr>
      <w:r>
        <w:t xml:space="preserve">While raising the status of the profession, </w:t>
      </w:r>
      <w:r w:rsidR="00117F4E">
        <w:t xml:space="preserve">as </w:t>
      </w:r>
      <w:r>
        <w:t xml:space="preserve">discussed </w:t>
      </w:r>
      <w:r w:rsidR="00C722FD">
        <w:t>earlier</w:t>
      </w:r>
      <w:r>
        <w:t xml:space="preserve">, </w:t>
      </w:r>
      <w:r w:rsidR="00B445C3">
        <w:t xml:space="preserve">would contribute to changing perspectives on teaching, </w:t>
      </w:r>
      <w:r w:rsidR="00F73ACF">
        <w:t xml:space="preserve">higher </w:t>
      </w:r>
      <w:r w:rsidR="006E1109">
        <w:t>education providers</w:t>
      </w:r>
      <w:r w:rsidR="006B1B82">
        <w:t xml:space="preserve"> indicated that high-achieving </w:t>
      </w:r>
      <w:r w:rsidR="00F51699">
        <w:t>students should</w:t>
      </w:r>
      <w:r w:rsidR="000E4081">
        <w:t xml:space="preserve"> </w:t>
      </w:r>
      <w:r w:rsidR="00F51699">
        <w:t xml:space="preserve">be targeted </w:t>
      </w:r>
      <w:r w:rsidR="006E30A0">
        <w:t xml:space="preserve">as early as Year </w:t>
      </w:r>
      <w:r w:rsidR="00795113">
        <w:t>9</w:t>
      </w:r>
      <w:r w:rsidR="00EA66EC">
        <w:t xml:space="preserve"> </w:t>
      </w:r>
      <w:r w:rsidR="007B5D29">
        <w:t xml:space="preserve">to encourage </w:t>
      </w:r>
      <w:r w:rsidR="006F3157">
        <w:t>them to consider teaching as a profession</w:t>
      </w:r>
      <w:r w:rsidR="00E477FD" w:rsidRPr="00E477FD">
        <w:t>.</w:t>
      </w:r>
      <w:r w:rsidR="006F3157">
        <w:t xml:space="preserve"> </w:t>
      </w:r>
    </w:p>
    <w:p w14:paraId="340D5173" w14:textId="3D639599" w:rsidR="00975391" w:rsidRPr="00DC476E" w:rsidRDefault="00157FA1" w:rsidP="00E63952">
      <w:pPr>
        <w:ind w:left="42"/>
      </w:pPr>
      <w:r>
        <w:t>Research has show</w:t>
      </w:r>
      <w:r w:rsidR="008764E7">
        <w:t>n</w:t>
      </w:r>
      <w:r>
        <w:t xml:space="preserve"> that </w:t>
      </w:r>
      <w:r w:rsidR="006E0EC0">
        <w:t xml:space="preserve">developing a standardised model for the delivery of career advice is </w:t>
      </w:r>
      <w:r w:rsidR="007304FA">
        <w:t xml:space="preserve">unfeasible due to the </w:t>
      </w:r>
      <w:r w:rsidR="000932C4">
        <w:t>diversity of challenges faced by schools (Keele et al. 2020). Similarly</w:t>
      </w:r>
      <w:r w:rsidR="00551127">
        <w:t xml:space="preserve">, </w:t>
      </w:r>
      <w:r w:rsidR="005A1E16">
        <w:t>measuring the effectiveness of career development advice has proven difficult (</w:t>
      </w:r>
      <w:r w:rsidR="002155D5">
        <w:rPr>
          <w:rFonts w:cstheme="minorHAnsi"/>
          <w:color w:val="222222"/>
          <w:shd w:val="clear" w:color="auto" w:fill="FFFFFF"/>
        </w:rPr>
        <w:t>Parliament of Victoria:</w:t>
      </w:r>
      <w:r w:rsidR="002155D5" w:rsidRPr="00DB03A8">
        <w:t xml:space="preserve"> </w:t>
      </w:r>
      <w:r w:rsidR="002155D5">
        <w:t>The Economic, Education, Jobs and Skills Committee 2018</w:t>
      </w:r>
      <w:r w:rsidR="005A1E16">
        <w:t xml:space="preserve">). </w:t>
      </w:r>
      <w:r w:rsidR="008B0EBB">
        <w:t xml:space="preserve">Notwithstanding these challenges, it is possible to identify aspects of best practice </w:t>
      </w:r>
      <w:r w:rsidR="00EE396E">
        <w:t xml:space="preserve">that can be used </w:t>
      </w:r>
      <w:r w:rsidR="002F0A7A">
        <w:t>as a</w:t>
      </w:r>
      <w:r w:rsidR="008D7A20">
        <w:t xml:space="preserve"> basis for improvement</w:t>
      </w:r>
      <w:r w:rsidR="002F0A7A">
        <w:t xml:space="preserve"> in developing high-quality careers advice (Keele et al. 2020). </w:t>
      </w:r>
    </w:p>
    <w:p w14:paraId="5E67E1F9" w14:textId="39A9E622" w:rsidR="00401C5E" w:rsidRDefault="00401C5E" w:rsidP="00E63952">
      <w:r w:rsidRPr="00DC476E">
        <w:t xml:space="preserve">Most jurisdictions provide resources </w:t>
      </w:r>
      <w:r w:rsidR="002C11F6">
        <w:t xml:space="preserve">that are designed to </w:t>
      </w:r>
      <w:r w:rsidRPr="00DC476E">
        <w:t>help career advis</w:t>
      </w:r>
      <w:r w:rsidR="00314452">
        <w:t>e</w:t>
      </w:r>
      <w:r w:rsidRPr="00DC476E">
        <w:t>rs and schools</w:t>
      </w:r>
      <w:r w:rsidRPr="00DC476E" w:rsidDel="0064444F">
        <w:t xml:space="preserve"> </w:t>
      </w:r>
      <w:r w:rsidRPr="00DC476E">
        <w:t>support students</w:t>
      </w:r>
      <w:r w:rsidR="002C11F6">
        <w:t xml:space="preserve"> in their career decisions</w:t>
      </w:r>
      <w:r w:rsidRPr="00DC476E">
        <w:t xml:space="preserve">. In New South Wales, the Careers Advisers Association (CAA) </w:t>
      </w:r>
      <w:r w:rsidR="00225383" w:rsidRPr="00DC476E">
        <w:t xml:space="preserve">follows </w:t>
      </w:r>
      <w:r w:rsidRPr="00DC476E">
        <w:t>the Professional Standards for Australian Career Development Practitioners</w:t>
      </w:r>
      <w:r w:rsidR="00F75061">
        <w:t>.</w:t>
      </w:r>
      <w:r w:rsidRPr="00DC476E">
        <w:t xml:space="preserve"> </w:t>
      </w:r>
      <w:r w:rsidR="00225383" w:rsidRPr="00DC476E">
        <w:t xml:space="preserve">In addition, they recommend </w:t>
      </w:r>
      <w:r w:rsidR="00DF1E9A">
        <w:t>c</w:t>
      </w:r>
      <w:r w:rsidR="00225383" w:rsidRPr="00DC476E">
        <w:t xml:space="preserve">areer </w:t>
      </w:r>
      <w:r w:rsidR="00DF1E9A">
        <w:t>a</w:t>
      </w:r>
      <w:r w:rsidR="00225383" w:rsidRPr="00DC476E">
        <w:t>dvisers should have career development</w:t>
      </w:r>
      <w:r w:rsidR="000718E5">
        <w:t>-</w:t>
      </w:r>
      <w:r w:rsidR="00225383" w:rsidRPr="00DC476E">
        <w:t xml:space="preserve">specific tertiary qualifications to ensure quality advice is </w:t>
      </w:r>
      <w:r w:rsidR="00225383" w:rsidRPr="004C36AF">
        <w:t>provided (</w:t>
      </w:r>
      <w:r w:rsidR="00724BF4" w:rsidRPr="009E234E">
        <w:t>CAA</w:t>
      </w:r>
      <w:r w:rsidR="00F14E73">
        <w:t> </w:t>
      </w:r>
      <w:r w:rsidR="00724BF4" w:rsidRPr="009E234E">
        <w:t>2020</w:t>
      </w:r>
      <w:r w:rsidR="00225383" w:rsidRPr="004C36AF">
        <w:t>).</w:t>
      </w:r>
    </w:p>
    <w:p w14:paraId="71713A39" w14:textId="7A2AD7E5" w:rsidR="00AB6B87" w:rsidRDefault="00225383" w:rsidP="00E63952">
      <w:r>
        <w:t xml:space="preserve">In Queensland, the Department </w:t>
      </w:r>
      <w:r w:rsidR="004F0AFD">
        <w:t xml:space="preserve">of Education </w:t>
      </w:r>
      <w:r>
        <w:t xml:space="preserve">provides resources for </w:t>
      </w:r>
      <w:r w:rsidR="00E072BB">
        <w:t>c</w:t>
      </w:r>
      <w:r>
        <w:t xml:space="preserve">areer </w:t>
      </w:r>
      <w:r w:rsidR="00E072BB">
        <w:t>a</w:t>
      </w:r>
      <w:r>
        <w:t>dvisers and schools to help them support students who want to discover a career in teaching. Materials include video testimonials from students and teachers</w:t>
      </w:r>
      <w:r w:rsidR="000718E5">
        <w:t xml:space="preserve"> and</w:t>
      </w:r>
      <w:r>
        <w:t xml:space="preserve"> newsletters. Another</w:t>
      </w:r>
      <w:r w:rsidR="00274481">
        <w:t xml:space="preserve"> approach</w:t>
      </w:r>
      <w:r w:rsidR="00951F9A">
        <w:t xml:space="preserve"> </w:t>
      </w:r>
      <w:r>
        <w:t xml:space="preserve">supported by the Queensland </w:t>
      </w:r>
      <w:r w:rsidR="004F0AFD">
        <w:t>D</w:t>
      </w:r>
      <w:r>
        <w:t xml:space="preserve">epartment of Education </w:t>
      </w:r>
      <w:r w:rsidR="00951F9A">
        <w:t>to encou</w:t>
      </w:r>
      <w:r w:rsidR="002F1A88">
        <w:t>rag</w:t>
      </w:r>
      <w:r w:rsidR="001A108D">
        <w:t>e</w:t>
      </w:r>
      <w:r w:rsidR="002F1A88">
        <w:t xml:space="preserve"> school</w:t>
      </w:r>
      <w:r w:rsidR="00406C5D">
        <w:t xml:space="preserve"> </w:t>
      </w:r>
      <w:r w:rsidR="002F1A88">
        <w:t>leavers to</w:t>
      </w:r>
      <w:r w:rsidR="00BE3F36">
        <w:t xml:space="preserve"> consider teaching is </w:t>
      </w:r>
      <w:r>
        <w:t>the</w:t>
      </w:r>
      <w:r w:rsidR="00BE3F36">
        <w:t xml:space="preserve"> Future Teachers Program. </w:t>
      </w:r>
    </w:p>
    <w:p w14:paraId="1FD3A082" w14:textId="77777777" w:rsidR="00D82C6A" w:rsidRPr="00104DD4" w:rsidRDefault="00AB6B87" w:rsidP="00A44017">
      <w:pPr>
        <w:pStyle w:val="BreakoutBox1heading"/>
      </w:pPr>
      <w:r w:rsidRPr="00D9267A">
        <w:lastRenderedPageBreak/>
        <w:t>Q</w:t>
      </w:r>
      <w:r w:rsidRPr="00BA1FEA">
        <w:t>ueensland’s</w:t>
      </w:r>
      <w:r w:rsidR="00D82C6A" w:rsidRPr="00BA1FEA">
        <w:t xml:space="preserve"> headstart for high-achieving students </w:t>
      </w:r>
    </w:p>
    <w:p w14:paraId="14C16230" w14:textId="4D97A646" w:rsidR="00AB6B87" w:rsidRDefault="00AB6B87" w:rsidP="0038400C">
      <w:pPr>
        <w:pStyle w:val="Breakoutbox1body"/>
        <w:spacing w:after="200"/>
      </w:pPr>
      <w:r w:rsidRPr="00CB1AFF">
        <w:t xml:space="preserve">Queensland has a number of programs designed to attract and support high-achieving school students </w:t>
      </w:r>
      <w:r w:rsidR="00C475C8" w:rsidRPr="00CB1AFF">
        <w:t xml:space="preserve">in choosing </w:t>
      </w:r>
      <w:r w:rsidR="00E477FD" w:rsidRPr="00CB1AFF">
        <w:t>teaching.</w:t>
      </w:r>
    </w:p>
    <w:p w14:paraId="59E07F70" w14:textId="6E8C751F" w:rsidR="00AB6B87" w:rsidRPr="00046FEF" w:rsidRDefault="00AB6B87" w:rsidP="0038400C">
      <w:pPr>
        <w:pStyle w:val="Breakoutbox1body"/>
        <w:rPr>
          <w:u w:val="single"/>
        </w:rPr>
      </w:pPr>
      <w:r w:rsidRPr="00046FEF">
        <w:rPr>
          <w:u w:val="single"/>
        </w:rPr>
        <w:t xml:space="preserve">The Future Teachers Club </w:t>
      </w:r>
    </w:p>
    <w:p w14:paraId="1485C7C7" w14:textId="258574F5" w:rsidR="002D5056" w:rsidRDefault="00BF5848" w:rsidP="0038400C">
      <w:pPr>
        <w:pStyle w:val="Breakoutbox1body"/>
        <w:spacing w:after="200"/>
      </w:pPr>
      <w:r>
        <w:t xml:space="preserve">The Future Teachers Club is </w:t>
      </w:r>
      <w:r w:rsidRPr="00BF5848">
        <w:t xml:space="preserve">a suite of interrelated initiatives focused on promoting and fostering an interest in teaching as a career. </w:t>
      </w:r>
      <w:r w:rsidR="00AB6B87">
        <w:t xml:space="preserve">This initiative, which targeted students in grades seven to </w:t>
      </w:r>
      <w:r w:rsidR="00897F59">
        <w:t>10</w:t>
      </w:r>
      <w:r w:rsidR="00AB6B87">
        <w:t xml:space="preserve"> with an aim to transition them into the </w:t>
      </w:r>
      <w:hyperlink r:id="rId34" w:history="1">
        <w:r w:rsidR="00AB6B87" w:rsidRPr="00A444F3">
          <w:rPr>
            <w:b/>
          </w:rPr>
          <w:t>Future Teachers Program</w:t>
        </w:r>
      </w:hyperlink>
      <w:r w:rsidR="00AB6B87">
        <w:t xml:space="preserve"> for Year 11 and 12, took place in Queensland as part of the Future Teachers Project from 2019 to 2021</w:t>
      </w:r>
      <w:r w:rsidR="00E477FD" w:rsidRPr="00E477FD">
        <w:t>.</w:t>
      </w:r>
      <w:r w:rsidR="00AB6B87">
        <w:t xml:space="preserve"> </w:t>
      </w:r>
    </w:p>
    <w:p w14:paraId="6B4DD9D5" w14:textId="5D534AAB" w:rsidR="00AB6B87" w:rsidRPr="00046FEF" w:rsidRDefault="00AB6B87" w:rsidP="0038400C">
      <w:pPr>
        <w:pStyle w:val="Breakoutbox1body"/>
        <w:rPr>
          <w:u w:val="single"/>
        </w:rPr>
      </w:pPr>
      <w:r w:rsidRPr="00046FEF">
        <w:rPr>
          <w:u w:val="single"/>
        </w:rPr>
        <w:t xml:space="preserve">Extension </w:t>
      </w:r>
      <w:r w:rsidR="008103B6" w:rsidRPr="00046FEF">
        <w:rPr>
          <w:u w:val="single"/>
        </w:rPr>
        <w:t>p</w:t>
      </w:r>
      <w:r w:rsidRPr="00046FEF">
        <w:rPr>
          <w:u w:val="single"/>
        </w:rPr>
        <w:t>rograms</w:t>
      </w:r>
    </w:p>
    <w:p w14:paraId="24AAB798" w14:textId="77777777" w:rsidR="00D82C6A" w:rsidRPr="000C1205" w:rsidRDefault="006E1109" w:rsidP="0038400C">
      <w:pPr>
        <w:pStyle w:val="Breakoutbox1body"/>
      </w:pPr>
      <w:r>
        <w:t>Higher education providers</w:t>
      </w:r>
      <w:r w:rsidR="006F3C24" w:rsidRPr="000C1205">
        <w:t xml:space="preserve"> </w:t>
      </w:r>
      <w:r w:rsidR="00F608F9" w:rsidRPr="000C1205">
        <w:t xml:space="preserve">offer extension programs </w:t>
      </w:r>
      <w:r w:rsidR="009A0CA4" w:rsidRPr="000C1205">
        <w:t xml:space="preserve">for high-achieving </w:t>
      </w:r>
      <w:r w:rsidR="00AE7572" w:rsidRPr="000C1205">
        <w:t xml:space="preserve">Year 10, 11, and 12 students </w:t>
      </w:r>
      <w:r w:rsidR="00435CF4" w:rsidRPr="000C1205">
        <w:t xml:space="preserve">to study one university subject a semester while working towards their Queensland Certificate of Education. </w:t>
      </w:r>
      <w:r w:rsidR="00D82C6A" w:rsidRPr="000C1205">
        <w:t>Programs include:</w:t>
      </w:r>
    </w:p>
    <w:p w14:paraId="4451F565" w14:textId="77777777" w:rsidR="00D82C6A" w:rsidRPr="00E26023" w:rsidRDefault="00D82C6A" w:rsidP="00F66D2A">
      <w:pPr>
        <w:pStyle w:val="Breakoutbox1body"/>
        <w:numPr>
          <w:ilvl w:val="0"/>
          <w:numId w:val="39"/>
        </w:numPr>
      </w:pPr>
      <w:r w:rsidRPr="000C1205">
        <w:t xml:space="preserve">Central Queensland University’s </w:t>
      </w:r>
      <w:r w:rsidRPr="00E477FD">
        <w:rPr>
          <w:b/>
        </w:rPr>
        <w:t>Start Uni Now</w:t>
      </w:r>
    </w:p>
    <w:p w14:paraId="173FFFDB" w14:textId="77777777" w:rsidR="00D82C6A" w:rsidRPr="00E26023" w:rsidRDefault="00D82C6A" w:rsidP="00F66D2A">
      <w:pPr>
        <w:pStyle w:val="Breakoutbox1body"/>
        <w:numPr>
          <w:ilvl w:val="0"/>
          <w:numId w:val="39"/>
        </w:numPr>
      </w:pPr>
      <w:r w:rsidRPr="00CB1AFF">
        <w:t>Queensland University of Technology’s</w:t>
      </w:r>
      <w:r w:rsidRPr="00E26023">
        <w:t xml:space="preserve"> </w:t>
      </w:r>
      <w:r w:rsidRPr="00E477FD">
        <w:rPr>
          <w:b/>
        </w:rPr>
        <w:t>START</w:t>
      </w:r>
    </w:p>
    <w:p w14:paraId="0D473813" w14:textId="77777777" w:rsidR="00F4734A" w:rsidRDefault="00D82C6A" w:rsidP="00F66D2A">
      <w:pPr>
        <w:pStyle w:val="Breakoutbox1body"/>
        <w:numPr>
          <w:ilvl w:val="0"/>
          <w:numId w:val="39"/>
        </w:numPr>
      </w:pPr>
      <w:r w:rsidRPr="00CB1AFF">
        <w:t>Griffith University’s</w:t>
      </w:r>
      <w:r w:rsidRPr="00E26023">
        <w:t xml:space="preserve"> </w:t>
      </w:r>
      <w:r w:rsidRPr="00E477FD">
        <w:rPr>
          <w:b/>
        </w:rPr>
        <w:t>GUESTS</w:t>
      </w:r>
      <w:r w:rsidRPr="00E26023">
        <w:t xml:space="preserve"> program</w:t>
      </w:r>
    </w:p>
    <w:p w14:paraId="003ED745" w14:textId="77777777" w:rsidR="00D82C6A" w:rsidRPr="00E26023" w:rsidRDefault="00D82C6A" w:rsidP="00F66D2A">
      <w:pPr>
        <w:pStyle w:val="Breakoutbox1body"/>
        <w:numPr>
          <w:ilvl w:val="0"/>
          <w:numId w:val="39"/>
        </w:numPr>
      </w:pPr>
      <w:r w:rsidRPr="00CB1AFF">
        <w:t>Christian</w:t>
      </w:r>
      <w:r w:rsidRPr="00E26023">
        <w:t xml:space="preserve"> </w:t>
      </w:r>
      <w:r w:rsidRPr="00CB1AFF">
        <w:t>Heritage</w:t>
      </w:r>
      <w:r w:rsidRPr="00E26023">
        <w:t xml:space="preserve"> </w:t>
      </w:r>
      <w:r w:rsidRPr="00CB1AFF">
        <w:t>College’s</w:t>
      </w:r>
      <w:r w:rsidRPr="00E26023">
        <w:t xml:space="preserve"> </w:t>
      </w:r>
      <w:r w:rsidRPr="00E60ACA">
        <w:rPr>
          <w:b/>
        </w:rPr>
        <w:t>Lau</w:t>
      </w:r>
      <w:r w:rsidRPr="00E3782B">
        <w:rPr>
          <w:b/>
        </w:rPr>
        <w:t>nch Program</w:t>
      </w:r>
    </w:p>
    <w:p w14:paraId="3ABA401C" w14:textId="52A44C3A" w:rsidR="00557228" w:rsidRPr="00E477FD" w:rsidRDefault="00D82C6A" w:rsidP="00F66D2A">
      <w:pPr>
        <w:pStyle w:val="Breakoutbox1body"/>
        <w:numPr>
          <w:ilvl w:val="0"/>
          <w:numId w:val="39"/>
        </w:numPr>
      </w:pPr>
      <w:r w:rsidRPr="00CB1AFF">
        <w:t>University</w:t>
      </w:r>
      <w:r w:rsidRPr="000C1205">
        <w:t xml:space="preserve"> </w:t>
      </w:r>
      <w:r w:rsidRPr="00CB1AFF">
        <w:t>of</w:t>
      </w:r>
      <w:r w:rsidRPr="000C1205">
        <w:t xml:space="preserve"> </w:t>
      </w:r>
      <w:r w:rsidRPr="00CB1AFF">
        <w:t>Sunshine</w:t>
      </w:r>
      <w:r w:rsidRPr="000C1205">
        <w:t xml:space="preserve"> </w:t>
      </w:r>
      <w:r w:rsidRPr="00CB1AFF">
        <w:t>Coast</w:t>
      </w:r>
      <w:r w:rsidRPr="000C1205">
        <w:t xml:space="preserve"> </w:t>
      </w:r>
      <w:r w:rsidRPr="00CB1AFF">
        <w:t>and</w:t>
      </w:r>
      <w:r w:rsidRPr="000C1205">
        <w:t xml:space="preserve"> </w:t>
      </w:r>
      <w:r w:rsidRPr="00CB1AFF">
        <w:t>University</w:t>
      </w:r>
      <w:r w:rsidRPr="000C1205">
        <w:t xml:space="preserve"> </w:t>
      </w:r>
      <w:r w:rsidRPr="00CB1AFF">
        <w:t>of</w:t>
      </w:r>
      <w:r w:rsidRPr="000C1205">
        <w:t xml:space="preserve"> </w:t>
      </w:r>
      <w:r w:rsidRPr="00CB1AFF">
        <w:t>Southern</w:t>
      </w:r>
      <w:r w:rsidRPr="000C1205">
        <w:t xml:space="preserve"> </w:t>
      </w:r>
      <w:r w:rsidRPr="00CB1AFF">
        <w:t>Queensland’s</w:t>
      </w:r>
      <w:r w:rsidRPr="00E26023">
        <w:t xml:space="preserve"> </w:t>
      </w:r>
      <w:r w:rsidRPr="00CB1AFF">
        <w:t>respective</w:t>
      </w:r>
      <w:r w:rsidRPr="00E26023">
        <w:t xml:space="preserve"> </w:t>
      </w:r>
      <w:r w:rsidRPr="00E60ACA">
        <w:rPr>
          <w:b/>
        </w:rPr>
        <w:t>Hea</w:t>
      </w:r>
      <w:r w:rsidRPr="00E3782B">
        <w:rPr>
          <w:b/>
        </w:rPr>
        <w:t>dstart programs</w:t>
      </w:r>
      <w:r w:rsidR="002F5842">
        <w:t>.</w:t>
      </w:r>
      <w:r w:rsidR="005B458B" w:rsidRPr="00E477FD">
        <w:t xml:space="preserve"> </w:t>
      </w:r>
    </w:p>
    <w:bookmarkEnd w:id="26"/>
    <w:p w14:paraId="7C0FD9AC" w14:textId="77777777" w:rsidR="00F14936" w:rsidRPr="00E477FD" w:rsidRDefault="00F14936" w:rsidP="001A7441">
      <w:pPr>
        <w:spacing w:before="200"/>
        <w:ind w:left="1021" w:hanging="1021"/>
        <w:outlineLvl w:val="2"/>
        <w:rPr>
          <w:b/>
          <w:sz w:val="22"/>
          <w:szCs w:val="21"/>
        </w:rPr>
      </w:pPr>
      <w:r w:rsidRPr="00E477FD">
        <w:rPr>
          <w:b/>
          <w:sz w:val="22"/>
          <w:szCs w:val="21"/>
        </w:rPr>
        <w:t xml:space="preserve">Conclusions and Recommendations </w:t>
      </w:r>
    </w:p>
    <w:p w14:paraId="1D5F5B69" w14:textId="21DBBF1F" w:rsidR="00F954B0" w:rsidRPr="00E477FD" w:rsidRDefault="0089149F" w:rsidP="006903DC">
      <w:pPr>
        <w:pStyle w:val="Heading6"/>
        <w:rPr>
          <w:rFonts w:cstheme="minorHAnsi"/>
          <w:b w:val="0"/>
          <w:bCs/>
          <w:i/>
          <w:iCs/>
          <w:color w:val="1F3864" w:themeColor="accent1" w:themeShade="80"/>
        </w:rPr>
      </w:pPr>
      <w:r>
        <w:t>N</w:t>
      </w:r>
      <w:r w:rsidR="00F954B0" w:rsidRPr="00E477FD">
        <w:t>ational effort is needed to improve the status of the teaching profession</w:t>
      </w:r>
    </w:p>
    <w:p w14:paraId="6E4283A4" w14:textId="07A515D0" w:rsidR="00F954B0" w:rsidRDefault="001875FB" w:rsidP="0038400C">
      <w:pPr>
        <w:textAlignment w:val="baseline"/>
        <w:rPr>
          <w:rFonts w:cstheme="minorHAnsi"/>
        </w:rPr>
      </w:pPr>
      <w:r>
        <w:rPr>
          <w:rFonts w:cstheme="minorHAnsi"/>
        </w:rPr>
        <w:t>M</w:t>
      </w:r>
      <w:r w:rsidR="00F954B0" w:rsidRPr="00E477FD">
        <w:rPr>
          <w:rFonts w:cstheme="minorHAnsi"/>
        </w:rPr>
        <w:t>aking teaching a</w:t>
      </w:r>
      <w:r w:rsidR="00F954B0">
        <w:rPr>
          <w:rFonts w:cstheme="minorHAnsi"/>
        </w:rPr>
        <w:t xml:space="preserve"> more</w:t>
      </w:r>
      <w:r w:rsidR="00F954B0" w:rsidRPr="00E477FD">
        <w:rPr>
          <w:rFonts w:cstheme="minorHAnsi"/>
        </w:rPr>
        <w:t xml:space="preserve"> attractive </w:t>
      </w:r>
      <w:r w:rsidR="00F954B0">
        <w:rPr>
          <w:rFonts w:cstheme="minorHAnsi"/>
        </w:rPr>
        <w:t>career option for high</w:t>
      </w:r>
      <w:r w:rsidR="007634F9">
        <w:rPr>
          <w:rFonts w:cstheme="minorHAnsi"/>
        </w:rPr>
        <w:t>-</w:t>
      </w:r>
      <w:r w:rsidR="00F954B0">
        <w:rPr>
          <w:rFonts w:cstheme="minorHAnsi"/>
        </w:rPr>
        <w:t xml:space="preserve">achievers and </w:t>
      </w:r>
      <w:r w:rsidR="007438B0">
        <w:rPr>
          <w:rFonts w:cstheme="minorHAnsi"/>
        </w:rPr>
        <w:t>mid-</w:t>
      </w:r>
      <w:r w:rsidR="00F954B0">
        <w:rPr>
          <w:rFonts w:cstheme="minorHAnsi"/>
        </w:rPr>
        <w:t xml:space="preserve">career </w:t>
      </w:r>
      <w:r w:rsidR="007E0F41">
        <w:rPr>
          <w:rFonts w:cstheme="minorHAnsi"/>
        </w:rPr>
        <w:t>professionals</w:t>
      </w:r>
      <w:r w:rsidR="00F954B0">
        <w:rPr>
          <w:rFonts w:cstheme="minorHAnsi"/>
        </w:rPr>
        <w:t xml:space="preserve"> requires a concerted effort by all stakeholders. </w:t>
      </w:r>
    </w:p>
    <w:p w14:paraId="43826F3A" w14:textId="644F13E7" w:rsidR="00C54A54" w:rsidRPr="00E477FD" w:rsidRDefault="00C54A54" w:rsidP="0038400C">
      <w:pPr>
        <w:textAlignment w:val="baseline"/>
        <w:rPr>
          <w:rFonts w:eastAsia="Times New Roman"/>
          <w:color w:val="auto"/>
          <w:lang w:eastAsia="en-AU"/>
        </w:rPr>
      </w:pPr>
      <w:r w:rsidRPr="5D701926">
        <w:rPr>
          <w:rFonts w:eastAsia="Times New Roman"/>
          <w:color w:val="auto"/>
          <w:lang w:eastAsia="en-AU"/>
        </w:rPr>
        <w:t xml:space="preserve">Better recognition of teachers’ contributions </w:t>
      </w:r>
      <w:r w:rsidR="0011197E" w:rsidRPr="5D701926">
        <w:rPr>
          <w:rFonts w:eastAsia="Times New Roman"/>
          <w:color w:val="auto"/>
          <w:lang w:eastAsia="en-AU"/>
        </w:rPr>
        <w:t>is</w:t>
      </w:r>
      <w:r w:rsidRPr="5D701926">
        <w:rPr>
          <w:rFonts w:eastAsia="Times New Roman"/>
          <w:color w:val="auto"/>
          <w:lang w:eastAsia="en-AU"/>
        </w:rPr>
        <w:t xml:space="preserve"> needed, both within the profession and wider community. </w:t>
      </w:r>
      <w:r w:rsidR="009E241E">
        <w:rPr>
          <w:rFonts w:eastAsia="Times New Roman"/>
          <w:color w:val="auto"/>
          <w:lang w:eastAsia="en-AU"/>
        </w:rPr>
        <w:t>Awards in t</w:t>
      </w:r>
      <w:r w:rsidRPr="5D701926">
        <w:rPr>
          <w:rFonts w:eastAsia="Times New Roman"/>
          <w:color w:val="auto"/>
          <w:lang w:eastAsia="en-AU"/>
        </w:rPr>
        <w:t xml:space="preserve">he Order of Australia </w:t>
      </w:r>
      <w:r w:rsidR="00CB7E34" w:rsidDel="009E241E">
        <w:t>is</w:t>
      </w:r>
      <w:r w:rsidR="00CB7E34">
        <w:t xml:space="preserve"> the pre-eminent way Australians</w:t>
      </w:r>
      <w:r w:rsidR="00A30982">
        <w:t>’</w:t>
      </w:r>
      <w:r w:rsidR="00CB7E34" w:rsidDel="00A30982">
        <w:t xml:space="preserve"> </w:t>
      </w:r>
      <w:r w:rsidR="00CB7E34">
        <w:t xml:space="preserve">achievements </w:t>
      </w:r>
      <w:r w:rsidR="006A525F">
        <w:t>are celebrated</w:t>
      </w:r>
      <w:r w:rsidR="00CB7E34">
        <w:t xml:space="preserve">. </w:t>
      </w:r>
      <w:r w:rsidR="005F3F60">
        <w:t>T</w:t>
      </w:r>
      <w:r w:rsidR="00CB7E34">
        <w:t>he Australian honours system awards in the Order of Australia</w:t>
      </w:r>
      <w:r>
        <w:t xml:space="preserve"> </w:t>
      </w:r>
      <w:r w:rsidR="00CB7E34">
        <w:rPr>
          <w:rFonts w:eastAsia="Times New Roman"/>
          <w:color w:val="auto"/>
          <w:lang w:eastAsia="en-AU"/>
        </w:rPr>
        <w:t>recognise</w:t>
      </w:r>
      <w:r w:rsidR="00E83295" w:rsidRPr="00035869">
        <w:rPr>
          <w:rFonts w:cstheme="minorHAnsi"/>
          <w:color w:val="313131"/>
          <w:shd w:val="clear" w:color="auto" w:fill="FFFFFF"/>
        </w:rPr>
        <w:t xml:space="preserve"> Australians who have demonstrated outstanding service or exceptional achievement</w:t>
      </w:r>
      <w:r w:rsidRPr="5D701926">
        <w:rPr>
          <w:rFonts w:eastAsia="Times New Roman"/>
          <w:color w:val="auto"/>
          <w:lang w:eastAsia="en-AU"/>
        </w:rPr>
        <w:t xml:space="preserve">. Encouraging more teacher and school leader nominees </w:t>
      </w:r>
      <w:r w:rsidR="00E039A3" w:rsidRPr="5D701926">
        <w:rPr>
          <w:rFonts w:eastAsia="Times New Roman"/>
          <w:color w:val="auto"/>
          <w:lang w:eastAsia="en-AU"/>
        </w:rPr>
        <w:t xml:space="preserve">would be </w:t>
      </w:r>
      <w:r w:rsidRPr="5D701926">
        <w:rPr>
          <w:rFonts w:eastAsia="Times New Roman"/>
          <w:color w:val="auto"/>
          <w:lang w:eastAsia="en-AU"/>
        </w:rPr>
        <w:t>an important step towards greater public recognition at the national level that would contribute to raising the profession’s status in the community.</w:t>
      </w:r>
    </w:p>
    <w:p w14:paraId="5C69FB7A" w14:textId="5A9E9045" w:rsidR="00003473" w:rsidRDefault="00AF30E2" w:rsidP="0038400C">
      <w:pPr>
        <w:textAlignment w:val="baseline"/>
        <w:rPr>
          <w:rFonts w:eastAsiaTheme="majorEastAsia"/>
          <w:color w:val="auto"/>
          <w:lang w:val="en-GB" w:eastAsia="en-AU"/>
        </w:rPr>
      </w:pPr>
      <w:r>
        <w:rPr>
          <w:rFonts w:eastAsiaTheme="majorEastAsia"/>
          <w:color w:val="auto"/>
          <w:lang w:val="en-GB" w:eastAsia="en-AU"/>
        </w:rPr>
        <w:t>The appointment of a</w:t>
      </w:r>
      <w:r w:rsidR="00C54A54" w:rsidRPr="5D701926">
        <w:rPr>
          <w:rFonts w:eastAsiaTheme="majorEastAsia"/>
          <w:color w:val="auto"/>
          <w:lang w:val="en-GB" w:eastAsia="en-AU"/>
        </w:rPr>
        <w:t xml:space="preserve"> nationally recognised patron of education </w:t>
      </w:r>
      <w:r w:rsidR="00C54A54" w:rsidRPr="5D701926">
        <w:rPr>
          <w:rFonts w:eastAsiaTheme="majorEastAsia"/>
          <w:color w:val="auto"/>
          <w:shd w:val="clear" w:color="auto" w:fill="FFFFFF"/>
          <w:lang w:eastAsia="en-AU"/>
        </w:rPr>
        <w:t xml:space="preserve">to </w:t>
      </w:r>
      <w:r w:rsidR="00C54A54" w:rsidRPr="5D701926">
        <w:rPr>
          <w:rFonts w:eastAsia="Times New Roman"/>
          <w:color w:val="000000"/>
          <w:shd w:val="clear" w:color="auto" w:fill="FFFFFF"/>
          <w:lang w:eastAsia="en-AU"/>
        </w:rPr>
        <w:t>advocate for teachers and promote</w:t>
      </w:r>
      <w:r w:rsidR="00F361CC">
        <w:rPr>
          <w:rFonts w:eastAsia="Times New Roman"/>
          <w:color w:val="000000"/>
          <w:shd w:val="clear" w:color="auto" w:fill="FFFFFF"/>
          <w:lang w:eastAsia="en-AU"/>
        </w:rPr>
        <w:t xml:space="preserve"> </w:t>
      </w:r>
      <w:r w:rsidR="00C54A54" w:rsidRPr="5D701926">
        <w:rPr>
          <w:rFonts w:eastAsia="Times New Roman"/>
          <w:color w:val="000000"/>
          <w:shd w:val="clear" w:color="auto" w:fill="FFFFFF"/>
          <w:lang w:eastAsia="en-AU"/>
        </w:rPr>
        <w:t>the profession</w:t>
      </w:r>
      <w:r w:rsidR="00EF6C64" w:rsidRPr="5D701926">
        <w:rPr>
          <w:rFonts w:eastAsia="Times New Roman"/>
          <w:color w:val="000000"/>
          <w:shd w:val="clear" w:color="auto" w:fill="FFFFFF"/>
          <w:lang w:eastAsia="en-AU"/>
        </w:rPr>
        <w:t xml:space="preserve"> </w:t>
      </w:r>
      <w:r w:rsidR="00C54A54" w:rsidRPr="5D701926">
        <w:rPr>
          <w:rFonts w:eastAsiaTheme="majorEastAsia"/>
          <w:color w:val="000000"/>
          <w:shd w:val="clear" w:color="auto" w:fill="FFFFFF"/>
          <w:lang w:eastAsia="en-AU"/>
        </w:rPr>
        <w:t>would</w:t>
      </w:r>
      <w:r w:rsidR="00C54A54" w:rsidRPr="5D701926">
        <w:rPr>
          <w:rFonts w:eastAsia="Times New Roman"/>
          <w:color w:val="auto"/>
          <w:lang w:eastAsia="en-AU"/>
        </w:rPr>
        <w:t xml:space="preserve"> bring much needed positive attention to the profession, inspire pride within the teaching community and provide further opportunities to celebrate excellence in teaching.</w:t>
      </w:r>
      <w:r w:rsidR="0077406C">
        <w:rPr>
          <w:rFonts w:eastAsia="Times New Roman"/>
          <w:color w:val="auto"/>
          <w:lang w:eastAsia="en-AU"/>
        </w:rPr>
        <w:t xml:space="preserve"> </w:t>
      </w:r>
      <w:r w:rsidR="00312DB5">
        <w:rPr>
          <w:rFonts w:eastAsiaTheme="majorEastAsia"/>
          <w:color w:val="auto"/>
          <w:lang w:val="en-GB" w:eastAsia="en-AU"/>
        </w:rPr>
        <w:t>In addition, n</w:t>
      </w:r>
      <w:r w:rsidR="00003473" w:rsidRPr="5D701926">
        <w:rPr>
          <w:rFonts w:eastAsiaTheme="majorEastAsia"/>
          <w:color w:val="auto"/>
          <w:lang w:val="en-GB" w:eastAsia="en-AU"/>
        </w:rPr>
        <w:t>oting the success of ambassador initiatives such as the Schools Plus fellowships</w:t>
      </w:r>
      <w:r w:rsidR="00B02DE7">
        <w:rPr>
          <w:rFonts w:eastAsiaTheme="majorEastAsia"/>
          <w:color w:val="auto"/>
          <w:lang w:val="en-GB" w:eastAsia="en-AU"/>
        </w:rPr>
        <w:t xml:space="preserve"> and their ability to</w:t>
      </w:r>
      <w:r w:rsidR="009068C8">
        <w:rPr>
          <w:rFonts w:eastAsiaTheme="majorEastAsia"/>
          <w:color w:val="auto"/>
          <w:lang w:val="en-GB" w:eastAsia="en-AU"/>
        </w:rPr>
        <w:t xml:space="preserve"> promote </w:t>
      </w:r>
      <w:r w:rsidR="006B1E46">
        <w:rPr>
          <w:rFonts w:eastAsiaTheme="majorEastAsia"/>
          <w:color w:val="auto"/>
          <w:lang w:val="en-GB" w:eastAsia="en-AU"/>
        </w:rPr>
        <w:t>high</w:t>
      </w:r>
      <w:r w:rsidR="0038400C">
        <w:rPr>
          <w:rFonts w:eastAsiaTheme="majorEastAsia"/>
          <w:color w:val="auto"/>
          <w:lang w:val="en-GB" w:eastAsia="en-AU"/>
        </w:rPr>
        <w:noBreakHyphen/>
      </w:r>
      <w:r w:rsidR="006B1E46">
        <w:rPr>
          <w:rFonts w:eastAsiaTheme="majorEastAsia"/>
          <w:color w:val="auto"/>
          <w:lang w:val="en-GB" w:eastAsia="en-AU"/>
        </w:rPr>
        <w:t xml:space="preserve">achieving teachers, </w:t>
      </w:r>
      <w:r w:rsidR="009F5895">
        <w:rPr>
          <w:rFonts w:eastAsiaTheme="majorEastAsia"/>
          <w:color w:val="auto"/>
          <w:lang w:val="en-GB" w:eastAsia="en-AU"/>
        </w:rPr>
        <w:t xml:space="preserve">a national campaign to raise the status of the profession should feature </w:t>
      </w:r>
      <w:r w:rsidR="00DA76BA">
        <w:rPr>
          <w:rFonts w:eastAsiaTheme="majorEastAsia"/>
          <w:color w:val="auto"/>
          <w:lang w:val="en-GB" w:eastAsia="en-AU"/>
        </w:rPr>
        <w:t xml:space="preserve">teachers </w:t>
      </w:r>
      <w:r w:rsidR="00313342">
        <w:rPr>
          <w:rFonts w:eastAsiaTheme="majorEastAsia"/>
          <w:color w:val="auto"/>
          <w:lang w:val="en-GB" w:eastAsia="en-AU"/>
        </w:rPr>
        <w:t xml:space="preserve">who have </w:t>
      </w:r>
      <w:r w:rsidR="00994A0B">
        <w:rPr>
          <w:rFonts w:eastAsiaTheme="majorEastAsia"/>
          <w:color w:val="auto"/>
          <w:lang w:val="en-GB" w:eastAsia="en-AU"/>
        </w:rPr>
        <w:t xml:space="preserve">been </w:t>
      </w:r>
      <w:r w:rsidR="004C40EA">
        <w:rPr>
          <w:rFonts w:eastAsiaTheme="majorEastAsia"/>
          <w:color w:val="auto"/>
          <w:lang w:val="en-GB" w:eastAsia="en-AU"/>
        </w:rPr>
        <w:t xml:space="preserve">awarded </w:t>
      </w:r>
      <w:r w:rsidR="00E02EEB">
        <w:rPr>
          <w:rFonts w:eastAsiaTheme="majorEastAsia"/>
          <w:color w:val="auto"/>
          <w:lang w:val="en-GB" w:eastAsia="en-AU"/>
        </w:rPr>
        <w:t xml:space="preserve">a teaching fellowship. </w:t>
      </w:r>
      <w:r w:rsidR="00BA468D" w:rsidRPr="00FE09FB">
        <w:t>Highly Accomplished and Lead Teachers</w:t>
      </w:r>
      <w:r w:rsidR="00BA468D" w:rsidRPr="69E112F7">
        <w:rPr>
          <w:rFonts w:eastAsiaTheme="majorEastAsia"/>
          <w:color w:val="auto"/>
          <w:lang w:val="en-GB" w:eastAsia="en-AU"/>
        </w:rPr>
        <w:t xml:space="preserve"> </w:t>
      </w:r>
      <w:r w:rsidR="00BA468D">
        <w:rPr>
          <w:rFonts w:eastAsiaTheme="majorEastAsia"/>
          <w:color w:val="auto"/>
          <w:lang w:val="en-GB" w:eastAsia="en-AU"/>
        </w:rPr>
        <w:t>(</w:t>
      </w:r>
      <w:r w:rsidR="002218DC" w:rsidRPr="69E112F7">
        <w:rPr>
          <w:rFonts w:eastAsiaTheme="majorEastAsia"/>
          <w:color w:val="auto"/>
          <w:lang w:val="en-GB" w:eastAsia="en-AU"/>
        </w:rPr>
        <w:t>HALT</w:t>
      </w:r>
      <w:r w:rsidR="008434AB">
        <w:rPr>
          <w:rFonts w:eastAsiaTheme="majorEastAsia"/>
          <w:color w:val="auto"/>
          <w:lang w:val="en-GB" w:eastAsia="en-AU"/>
        </w:rPr>
        <w:t>s</w:t>
      </w:r>
      <w:r w:rsidR="00BA468D">
        <w:rPr>
          <w:rFonts w:eastAsiaTheme="majorEastAsia"/>
          <w:color w:val="auto"/>
          <w:lang w:val="en-GB" w:eastAsia="en-AU"/>
        </w:rPr>
        <w:t>)</w:t>
      </w:r>
      <w:r w:rsidR="002218DC" w:rsidRPr="69E112F7">
        <w:rPr>
          <w:rFonts w:eastAsiaTheme="majorEastAsia"/>
          <w:color w:val="auto"/>
          <w:lang w:val="en-GB" w:eastAsia="en-AU"/>
        </w:rPr>
        <w:t xml:space="preserve"> are also outstanding role models of teaching excellence.</w:t>
      </w:r>
    </w:p>
    <w:p w14:paraId="43EA039A" w14:textId="7546EE47" w:rsidR="00A07751" w:rsidRDefault="00E039A3" w:rsidP="0038400C">
      <w:pPr>
        <w:textAlignment w:val="baseline"/>
      </w:pPr>
      <w:r>
        <w:t xml:space="preserve">The surveys undertaken to support the </w:t>
      </w:r>
      <w:r w:rsidR="002513D9">
        <w:t>R</w:t>
      </w:r>
      <w:r>
        <w:t xml:space="preserve">eview indicate that </w:t>
      </w:r>
      <w:r w:rsidR="00B8525F">
        <w:t>workforce and pay structure</w:t>
      </w:r>
      <w:r w:rsidR="00CC63C2">
        <w:t xml:space="preserve">s </w:t>
      </w:r>
      <w:r w:rsidR="360D5B83">
        <w:t xml:space="preserve">affect </w:t>
      </w:r>
      <w:r>
        <w:t>the attractiveness of the profession</w:t>
      </w:r>
      <w:r w:rsidR="005517F0">
        <w:t xml:space="preserve"> and the decision of high performers to enter ITE</w:t>
      </w:r>
      <w:r>
        <w:t xml:space="preserve">. </w:t>
      </w:r>
      <w:r w:rsidR="00E77C3D">
        <w:t>Therefore,</w:t>
      </w:r>
      <w:r w:rsidR="00B8525F">
        <w:t xml:space="preserve"> jurisdictions </w:t>
      </w:r>
      <w:r w:rsidR="00A66618">
        <w:t xml:space="preserve">are urged to </w:t>
      </w:r>
      <w:r w:rsidR="009943CC">
        <w:t>consider</w:t>
      </w:r>
      <w:r w:rsidR="003940D6">
        <w:t xml:space="preserve"> the current </w:t>
      </w:r>
      <w:r w:rsidR="00C4119F">
        <w:t xml:space="preserve">career pathway for teachers and </w:t>
      </w:r>
      <w:r w:rsidR="001540CC">
        <w:t xml:space="preserve">the benefits </w:t>
      </w:r>
      <w:r w:rsidR="00A66357">
        <w:t xml:space="preserve">that might accrue from a structure that better </w:t>
      </w:r>
      <w:r w:rsidR="00E1773F">
        <w:t xml:space="preserve">allows </w:t>
      </w:r>
      <w:r w:rsidR="00A66357">
        <w:t xml:space="preserve">for </w:t>
      </w:r>
      <w:r w:rsidR="0043787A">
        <w:t xml:space="preserve">growth and </w:t>
      </w:r>
      <w:r w:rsidR="004A3910">
        <w:t>development</w:t>
      </w:r>
      <w:r w:rsidR="0043787A">
        <w:t xml:space="preserve"> within the </w:t>
      </w:r>
      <w:r w:rsidR="004A3910">
        <w:t>teaching</w:t>
      </w:r>
      <w:r w:rsidR="0043787A">
        <w:t xml:space="preserve"> profession. </w:t>
      </w:r>
      <w:r w:rsidR="00A4239F">
        <w:t>Relevant to this is the work of the Grattan Inst</w:t>
      </w:r>
      <w:r w:rsidR="00BD4AE5">
        <w:t xml:space="preserve">itute on </w:t>
      </w:r>
      <w:r w:rsidR="00CB120D">
        <w:t>establishing an expert teacher career path (Go</w:t>
      </w:r>
      <w:r w:rsidR="00F96C83">
        <w:t>ss and Sonneman</w:t>
      </w:r>
      <w:r w:rsidR="00580E74">
        <w:t>n</w:t>
      </w:r>
      <w:r w:rsidR="00F96C83">
        <w:t xml:space="preserve"> 2019</w:t>
      </w:r>
      <w:r w:rsidR="00C24D83">
        <w:t>a</w:t>
      </w:r>
      <w:r w:rsidR="00F96C83">
        <w:t>)</w:t>
      </w:r>
      <w:r w:rsidR="003600B4">
        <w:t xml:space="preserve">. </w:t>
      </w:r>
    </w:p>
    <w:p w14:paraId="3A6B52F4" w14:textId="614BDAA3" w:rsidR="00843206" w:rsidRDefault="00843206" w:rsidP="0038400C">
      <w:pPr>
        <w:textAlignment w:val="baseline"/>
      </w:pPr>
      <w:r w:rsidRPr="008E0CB8">
        <w:t xml:space="preserve">In addition, </w:t>
      </w:r>
      <w:r w:rsidR="0024125F" w:rsidRPr="008E0CB8">
        <w:t>respondents to the</w:t>
      </w:r>
      <w:r w:rsidRPr="008E0CB8">
        <w:t xml:space="preserve"> QITE general survey </w:t>
      </w:r>
      <w:r w:rsidR="0024125F" w:rsidRPr="008E0CB8">
        <w:t xml:space="preserve">indicated that the compliance requirements for teachers were ‘too much’ and that paperwork takes up a significant amount of time. This survey </w:t>
      </w:r>
      <w:r w:rsidRPr="008E0CB8">
        <w:t>found that 19 per</w:t>
      </w:r>
      <w:r w:rsidR="00AB4846">
        <w:t xml:space="preserve"> </w:t>
      </w:r>
      <w:r w:rsidRPr="008E0CB8">
        <w:t xml:space="preserve">cent of respondents </w:t>
      </w:r>
      <w:r w:rsidR="0024125F" w:rsidRPr="008E0CB8">
        <w:t>believe</w:t>
      </w:r>
      <w:r w:rsidRPr="008E0CB8">
        <w:t xml:space="preserve"> </w:t>
      </w:r>
      <w:r w:rsidR="0024125F" w:rsidRPr="008E0CB8">
        <w:t>that teaching could be made more appealing for school leavers by reducing the workload or administrative burden o</w:t>
      </w:r>
      <w:r w:rsidR="001E0273">
        <w:t>n</w:t>
      </w:r>
      <w:r w:rsidR="0024125F" w:rsidRPr="008E0CB8">
        <w:t xml:space="preserve"> teachers.</w:t>
      </w:r>
      <w:r w:rsidR="0024125F">
        <w:t xml:space="preserve"> </w:t>
      </w:r>
    </w:p>
    <w:p w14:paraId="7A6E3572" w14:textId="7E72B575" w:rsidR="00C06D50" w:rsidRDefault="00664BB7" w:rsidP="0038400C">
      <w:pPr>
        <w:textAlignment w:val="baseline"/>
      </w:pPr>
      <w:r>
        <w:lastRenderedPageBreak/>
        <w:t>Sup</w:t>
      </w:r>
      <w:r w:rsidR="003A7FA1">
        <w:t>porting these findings,</w:t>
      </w:r>
      <w:r w:rsidR="00FC54B2">
        <w:t xml:space="preserve"> several</w:t>
      </w:r>
      <w:r w:rsidR="00C06D50">
        <w:t xml:space="preserve"> </w:t>
      </w:r>
      <w:r w:rsidR="0061705A">
        <w:t xml:space="preserve">submissions </w:t>
      </w:r>
      <w:r w:rsidR="00CA5F07">
        <w:t xml:space="preserve">highlighted </w:t>
      </w:r>
      <w:r w:rsidR="00A034E5">
        <w:t xml:space="preserve">how perceptions about workload </w:t>
      </w:r>
      <w:r w:rsidR="007534F6">
        <w:t>in general</w:t>
      </w:r>
      <w:r w:rsidR="00A034E5">
        <w:t xml:space="preserve"> </w:t>
      </w:r>
      <w:r w:rsidR="00FC54B2">
        <w:t>can</w:t>
      </w:r>
      <w:r w:rsidR="003C1C51">
        <w:t xml:space="preserve"> </w:t>
      </w:r>
      <w:r w:rsidR="007534F6">
        <w:t>present as</w:t>
      </w:r>
      <w:r w:rsidR="00824DAD">
        <w:t xml:space="preserve"> a barrier for entry into ITE</w:t>
      </w:r>
      <w:r w:rsidR="001C108B">
        <w:t xml:space="preserve">, </w:t>
      </w:r>
      <w:r w:rsidR="003145D9">
        <w:t>specifically</w:t>
      </w:r>
      <w:r w:rsidR="001C108B">
        <w:t xml:space="preserve"> the</w:t>
      </w:r>
      <w:r w:rsidR="00456E31">
        <w:t xml:space="preserve"> profession’s reputation for</w:t>
      </w:r>
      <w:r w:rsidR="00353D15">
        <w:t xml:space="preserve"> </w:t>
      </w:r>
      <w:r w:rsidR="008A6223">
        <w:t xml:space="preserve">increasingly </w:t>
      </w:r>
      <w:r w:rsidR="002E41E0">
        <w:t>difficult</w:t>
      </w:r>
      <w:r w:rsidR="001C108B">
        <w:t>,</w:t>
      </w:r>
      <w:r w:rsidR="00BC04A8">
        <w:t xml:space="preserve"> </w:t>
      </w:r>
      <w:r w:rsidR="00DB2F23">
        <w:t>stressful and onerous working conditions (</w:t>
      </w:r>
      <w:r w:rsidR="001C108B">
        <w:t xml:space="preserve">University of Wollongong submission; </w:t>
      </w:r>
      <w:r w:rsidR="00DB2F23">
        <w:t xml:space="preserve">Australian </w:t>
      </w:r>
      <w:r w:rsidR="00DF0538">
        <w:t>Secondary Principals</w:t>
      </w:r>
      <w:r w:rsidR="009340B3">
        <w:t xml:space="preserve"> Association</w:t>
      </w:r>
      <w:r w:rsidR="00BB31FF">
        <w:t xml:space="preserve"> submission</w:t>
      </w:r>
      <w:r w:rsidR="009340B3">
        <w:t>)</w:t>
      </w:r>
      <w:r w:rsidR="001C108B">
        <w:t xml:space="preserve">. </w:t>
      </w:r>
    </w:p>
    <w:p w14:paraId="7CC8FB5E" w14:textId="77777777" w:rsidR="00631037" w:rsidRDefault="00E4047B" w:rsidP="0038400C">
      <w:pPr>
        <w:textAlignment w:val="baseline"/>
        <w:rPr>
          <w:lang w:val="en-GB"/>
        </w:rPr>
      </w:pPr>
      <w:r w:rsidRPr="5D701926">
        <w:rPr>
          <w:rFonts w:eastAsia="Times New Roman"/>
          <w:color w:val="auto"/>
          <w:lang w:eastAsia="en-AU"/>
        </w:rPr>
        <w:t>While</w:t>
      </w:r>
      <w:r w:rsidR="004C127D">
        <w:rPr>
          <w:rFonts w:eastAsia="Times New Roman"/>
          <w:color w:val="auto"/>
          <w:lang w:eastAsia="en-AU"/>
        </w:rPr>
        <w:t xml:space="preserve"> it is</w:t>
      </w:r>
      <w:r w:rsidRPr="5D701926">
        <w:rPr>
          <w:rFonts w:eastAsia="Times New Roman"/>
          <w:color w:val="auto"/>
          <w:lang w:eastAsia="en-AU"/>
        </w:rPr>
        <w:t xml:space="preserve"> important</w:t>
      </w:r>
      <w:r w:rsidR="008F152D" w:rsidRPr="5D701926">
        <w:rPr>
          <w:rFonts w:eastAsia="Times New Roman"/>
          <w:color w:val="auto"/>
          <w:lang w:eastAsia="en-AU"/>
        </w:rPr>
        <w:t xml:space="preserve"> to </w:t>
      </w:r>
      <w:r w:rsidRPr="5D701926">
        <w:rPr>
          <w:rFonts w:eastAsia="Times New Roman"/>
          <w:color w:val="auto"/>
          <w:lang w:eastAsia="en-AU"/>
        </w:rPr>
        <w:t>acknowledge the opportunities</w:t>
      </w:r>
      <w:r w:rsidR="00A855CB" w:rsidRPr="5D701926">
        <w:rPr>
          <w:rFonts w:eastAsia="Times New Roman"/>
          <w:color w:val="auto"/>
          <w:lang w:eastAsia="en-AU"/>
        </w:rPr>
        <w:t xml:space="preserve"> for improv</w:t>
      </w:r>
      <w:r w:rsidR="004C5D83" w:rsidRPr="5D701926">
        <w:rPr>
          <w:rFonts w:eastAsia="Times New Roman"/>
          <w:color w:val="auto"/>
          <w:lang w:eastAsia="en-AU"/>
        </w:rPr>
        <w:t>ement</w:t>
      </w:r>
      <w:r w:rsidR="008F152D" w:rsidRPr="5D701926">
        <w:rPr>
          <w:rFonts w:eastAsia="Times New Roman"/>
          <w:color w:val="auto"/>
          <w:lang w:eastAsia="en-AU"/>
        </w:rPr>
        <w:t xml:space="preserve">, </w:t>
      </w:r>
      <w:r w:rsidR="008F152D" w:rsidRPr="5D701926">
        <w:rPr>
          <w:lang w:val="en-GB"/>
        </w:rPr>
        <w:t xml:space="preserve">teaching </w:t>
      </w:r>
      <w:r w:rsidR="00D35566" w:rsidRPr="5D701926">
        <w:rPr>
          <w:lang w:val="en-GB"/>
        </w:rPr>
        <w:t xml:space="preserve">is </w:t>
      </w:r>
      <w:r w:rsidR="008F152D" w:rsidRPr="5D701926">
        <w:rPr>
          <w:lang w:val="en-GB"/>
        </w:rPr>
        <w:t xml:space="preserve">a </w:t>
      </w:r>
      <w:r w:rsidR="00964DE4" w:rsidRPr="5D701926">
        <w:rPr>
          <w:lang w:val="en-GB"/>
        </w:rPr>
        <w:t>valuable</w:t>
      </w:r>
      <w:r w:rsidR="008F152D" w:rsidRPr="5D701926">
        <w:rPr>
          <w:lang w:val="en-GB"/>
        </w:rPr>
        <w:t xml:space="preserve"> and rewarding profession </w:t>
      </w:r>
      <w:r w:rsidR="00D35566" w:rsidRPr="5D701926">
        <w:rPr>
          <w:lang w:val="en-GB"/>
        </w:rPr>
        <w:t xml:space="preserve">that is </w:t>
      </w:r>
      <w:r w:rsidR="008F152D" w:rsidRPr="5D701926">
        <w:rPr>
          <w:lang w:val="en-GB"/>
        </w:rPr>
        <w:t>well worth pursuing.</w:t>
      </w:r>
      <w:r w:rsidR="00E70D23">
        <w:rPr>
          <w:lang w:val="en-GB"/>
        </w:rPr>
        <w:t xml:space="preserve"> </w:t>
      </w:r>
      <w:r w:rsidR="00E70D23" w:rsidRPr="00E8632C">
        <w:rPr>
          <w:lang w:eastAsia="en-AU"/>
        </w:rPr>
        <w:t>Misconceptions about the profession and negative public rhetoric damage the reputation of the profession and</w:t>
      </w:r>
      <w:r w:rsidR="00E70D23" w:rsidRPr="5D701926">
        <w:rPr>
          <w:lang w:eastAsia="en-AU"/>
        </w:rPr>
        <w:t xml:space="preserve"> deter people from teaching. </w:t>
      </w:r>
      <w:r w:rsidR="00E70D23">
        <w:rPr>
          <w:lang w:eastAsia="en-AU"/>
        </w:rPr>
        <w:t>The Expert Panel</w:t>
      </w:r>
      <w:r w:rsidR="00E70D23" w:rsidRPr="5D701926">
        <w:rPr>
          <w:lang w:eastAsia="en-AU"/>
        </w:rPr>
        <w:t xml:space="preserve"> recommend</w:t>
      </w:r>
      <w:r w:rsidR="00E70D23">
        <w:rPr>
          <w:lang w:eastAsia="en-AU"/>
        </w:rPr>
        <w:t>s</w:t>
      </w:r>
      <w:r w:rsidR="00E70D23" w:rsidRPr="5D701926">
        <w:rPr>
          <w:lang w:eastAsia="en-AU"/>
        </w:rPr>
        <w:t xml:space="preserve"> a national campaign to correct misconceptions, counter the deficit focus on teachers and promote</w:t>
      </w:r>
      <w:r w:rsidR="00E70D23" w:rsidRPr="5D701926">
        <w:rPr>
          <w:lang w:val="en-GB"/>
        </w:rPr>
        <w:t xml:space="preserve"> better awareness of teaching as a complex, valued and rewarding career.</w:t>
      </w:r>
    </w:p>
    <w:p w14:paraId="1B9EC8B0" w14:textId="3BD00108" w:rsidR="00247ED8" w:rsidRDefault="00247ED8" w:rsidP="00F361CC">
      <w:pPr>
        <w:pStyle w:val="Breakoutbox2"/>
        <w:spacing w:after="0"/>
        <w:rPr>
          <w:b/>
        </w:rPr>
      </w:pPr>
      <w:r w:rsidRPr="005B504E">
        <w:rPr>
          <w:b/>
        </w:rPr>
        <w:t xml:space="preserve">Finding </w:t>
      </w:r>
      <w:r w:rsidR="00D36D5C">
        <w:rPr>
          <w:b/>
        </w:rPr>
        <w:t>1</w:t>
      </w:r>
    </w:p>
    <w:p w14:paraId="29B480BE" w14:textId="69FC4760" w:rsidR="00B13B3A" w:rsidRDefault="00B13B3A" w:rsidP="0038400C">
      <w:pPr>
        <w:pStyle w:val="Breakoutbox2"/>
        <w:rPr>
          <w:lang w:val="en-GB"/>
        </w:rPr>
      </w:pPr>
      <w:r w:rsidRPr="00A6567B">
        <w:rPr>
          <w:lang w:val="en-GB"/>
        </w:rPr>
        <w:t xml:space="preserve">As well as the opportunity to make a real difference in the lives of children and contribute to </w:t>
      </w:r>
      <w:r w:rsidR="00DB71A1">
        <w:rPr>
          <w:lang w:val="en-GB"/>
        </w:rPr>
        <w:t xml:space="preserve">the </w:t>
      </w:r>
      <w:r w:rsidRPr="00A6567B">
        <w:rPr>
          <w:lang w:val="en-GB"/>
        </w:rPr>
        <w:t>nation’s future, teaching is a secure career choice and starting salaries are among the best in the world.</w:t>
      </w:r>
      <w:r w:rsidR="000C01DC">
        <w:rPr>
          <w:lang w:val="en-GB"/>
        </w:rPr>
        <w:t xml:space="preserve"> </w:t>
      </w:r>
      <w:r w:rsidRPr="00A6567B">
        <w:rPr>
          <w:lang w:val="en-GB"/>
        </w:rPr>
        <w:t>More high</w:t>
      </w:r>
      <w:r>
        <w:rPr>
          <w:lang w:val="en-GB"/>
        </w:rPr>
        <w:noBreakHyphen/>
      </w:r>
      <w:r w:rsidRPr="00A6567B">
        <w:rPr>
          <w:lang w:val="en-GB"/>
        </w:rPr>
        <w:t>quality, diverse candidates would be open to teaching if these aspects were better acknowledged and promoted.</w:t>
      </w:r>
    </w:p>
    <w:p w14:paraId="40E38FA3" w14:textId="06EAE672" w:rsidR="00B34D76" w:rsidRPr="00FE09FB" w:rsidRDefault="00B34D76" w:rsidP="00B34D76">
      <w:pPr>
        <w:pStyle w:val="Recommendation2"/>
        <w:spacing w:after="0"/>
        <w:rPr>
          <w:b/>
          <w:sz w:val="20"/>
        </w:rPr>
      </w:pPr>
      <w:r w:rsidRPr="00FE09FB">
        <w:rPr>
          <w:b/>
          <w:sz w:val="20"/>
        </w:rPr>
        <w:t xml:space="preserve">Recommendation 1: Raise the status of teaching </w:t>
      </w:r>
    </w:p>
    <w:p w14:paraId="750A45D1" w14:textId="77777777" w:rsidR="00B34D76" w:rsidRPr="00FE09FB" w:rsidRDefault="00B34D76" w:rsidP="00B34D76">
      <w:pPr>
        <w:pStyle w:val="Recommendation2"/>
        <w:spacing w:after="0"/>
        <w:rPr>
          <w:sz w:val="20"/>
        </w:rPr>
      </w:pPr>
      <w:r w:rsidRPr="00FE09FB">
        <w:rPr>
          <w:sz w:val="20"/>
        </w:rPr>
        <w:t>Raise the status and value of the profession to inspire more people to become teachers. All jurisdictions, sectors and schools should work together to raise the status of the profession by:</w:t>
      </w:r>
    </w:p>
    <w:p w14:paraId="26254875" w14:textId="127002B8" w:rsidR="00B34D76" w:rsidRPr="00FE09FB" w:rsidRDefault="00B34D76" w:rsidP="004C13B1">
      <w:pPr>
        <w:pStyle w:val="Recommendation2"/>
        <w:numPr>
          <w:ilvl w:val="0"/>
          <w:numId w:val="49"/>
        </w:numPr>
        <w:spacing w:after="0"/>
        <w:rPr>
          <w:sz w:val="20"/>
        </w:rPr>
      </w:pPr>
      <w:r w:rsidRPr="00FE09FB">
        <w:rPr>
          <w:sz w:val="20"/>
        </w:rPr>
        <w:t>undertaking a national recruitment campaign which:</w:t>
      </w:r>
    </w:p>
    <w:p w14:paraId="7F5968C6" w14:textId="72C150B8" w:rsidR="00B34D76" w:rsidRPr="00FE09FB" w:rsidRDefault="00B34D76" w:rsidP="00F66D2A">
      <w:pPr>
        <w:pStyle w:val="Recommendation2"/>
        <w:numPr>
          <w:ilvl w:val="0"/>
          <w:numId w:val="37"/>
        </w:numPr>
        <w:spacing w:after="0"/>
        <w:rPr>
          <w:sz w:val="20"/>
        </w:rPr>
      </w:pPr>
      <w:r w:rsidRPr="00FE09FB">
        <w:rPr>
          <w:sz w:val="20"/>
        </w:rPr>
        <w:t>features high-achieving teachers, such as Highly Accomplished and Lead Teachers (HALT</w:t>
      </w:r>
      <w:r w:rsidR="00B26CC5">
        <w:rPr>
          <w:sz w:val="20"/>
        </w:rPr>
        <w:t>s</w:t>
      </w:r>
      <w:r w:rsidRPr="00FE09FB">
        <w:rPr>
          <w:sz w:val="20"/>
        </w:rPr>
        <w:t xml:space="preserve">) and the Schools Plus Fellows, to debunk myths and promote positive aspects of teaching </w:t>
      </w:r>
    </w:p>
    <w:p w14:paraId="24155D95" w14:textId="152AED86" w:rsidR="00B34D76" w:rsidRPr="00FE09FB" w:rsidRDefault="00B34D76" w:rsidP="00F66D2A">
      <w:pPr>
        <w:pStyle w:val="Recommendation2"/>
        <w:numPr>
          <w:ilvl w:val="0"/>
          <w:numId w:val="37"/>
        </w:numPr>
        <w:spacing w:after="0"/>
        <w:rPr>
          <w:sz w:val="20"/>
        </w:rPr>
      </w:pPr>
      <w:r w:rsidRPr="00FE09FB">
        <w:rPr>
          <w:sz w:val="20"/>
        </w:rPr>
        <w:t xml:space="preserve">targets specific cohorts such as Aboriginal and Torres Strait Islander peoples, </w:t>
      </w:r>
      <w:r w:rsidR="003A257E">
        <w:rPr>
          <w:sz w:val="20"/>
        </w:rPr>
        <w:t>regional</w:t>
      </w:r>
      <w:r w:rsidRPr="00FE09FB">
        <w:rPr>
          <w:sz w:val="20"/>
        </w:rPr>
        <w:t xml:space="preserve">, </w:t>
      </w:r>
      <w:r w:rsidR="003A257E">
        <w:rPr>
          <w:sz w:val="20"/>
        </w:rPr>
        <w:t>rural</w:t>
      </w:r>
      <w:r w:rsidRPr="00FE09FB">
        <w:rPr>
          <w:sz w:val="20"/>
        </w:rPr>
        <w:t xml:space="preserve"> and remote school leavers and other underrepresented groups to consider teaching.</w:t>
      </w:r>
    </w:p>
    <w:p w14:paraId="62B3D519" w14:textId="59D3519C" w:rsidR="00B34D76" w:rsidRPr="00FE09FB" w:rsidRDefault="00B34D76" w:rsidP="004C13B1">
      <w:pPr>
        <w:pStyle w:val="Recommendation2"/>
        <w:numPr>
          <w:ilvl w:val="0"/>
          <w:numId w:val="49"/>
        </w:numPr>
        <w:spacing w:after="0"/>
        <w:rPr>
          <w:sz w:val="20"/>
        </w:rPr>
      </w:pPr>
      <w:r w:rsidRPr="00FE09FB">
        <w:rPr>
          <w:sz w:val="20"/>
        </w:rPr>
        <w:t xml:space="preserve">encouraging the community to nominate teachers and school leaders for an award in the Order of Australia </w:t>
      </w:r>
    </w:p>
    <w:p w14:paraId="28031439" w14:textId="1AEEA471" w:rsidR="00B34D76" w:rsidRPr="00FE09FB" w:rsidRDefault="00B34D76" w:rsidP="004C13B1">
      <w:pPr>
        <w:pStyle w:val="Recommendation2"/>
        <w:numPr>
          <w:ilvl w:val="0"/>
          <w:numId w:val="49"/>
        </w:numPr>
        <w:rPr>
          <w:sz w:val="20"/>
        </w:rPr>
      </w:pPr>
      <w:r w:rsidRPr="00FE09FB">
        <w:rPr>
          <w:sz w:val="20"/>
        </w:rPr>
        <w:t xml:space="preserve">introducing a national patron of education and/or using, for example, HALTs and Schools Plus Fellows as ambassadors of Education. </w:t>
      </w:r>
    </w:p>
    <w:p w14:paraId="54D604FF" w14:textId="35C47270" w:rsidR="00150F2A" w:rsidRPr="005B504E" w:rsidRDefault="00150F2A" w:rsidP="00F361CC">
      <w:pPr>
        <w:pStyle w:val="Breakoutbox2"/>
        <w:spacing w:after="0"/>
        <w:rPr>
          <w:b/>
        </w:rPr>
      </w:pPr>
      <w:r w:rsidRPr="005B504E">
        <w:rPr>
          <w:b/>
        </w:rPr>
        <w:t xml:space="preserve">Finding </w:t>
      </w:r>
      <w:r w:rsidR="00D36D5C">
        <w:rPr>
          <w:b/>
        </w:rPr>
        <w:t>2</w:t>
      </w:r>
    </w:p>
    <w:p w14:paraId="60C45F7F" w14:textId="77777777" w:rsidR="00B13B3A" w:rsidRPr="00F325BC" w:rsidRDefault="00B13B3A" w:rsidP="00B13B3A">
      <w:pPr>
        <w:pStyle w:val="Breakoutbox2"/>
        <w:spacing w:after="0"/>
        <w:rPr>
          <w:rFonts w:eastAsia="Times New Roman"/>
        </w:rPr>
      </w:pPr>
      <w:r w:rsidRPr="00F325BC">
        <w:rPr>
          <w:rFonts w:eastAsia="Times New Roman"/>
        </w:rPr>
        <w:t xml:space="preserve">Employing jurisdictions, sectors, schools and unions should consider whether the existing career structure for teachers supports a modern high-performing workforce and what alternative options might exist to create new career pathways for teachers within the profession which harness their skills and expertise, without requiring them to leave the classroom. </w:t>
      </w:r>
    </w:p>
    <w:p w14:paraId="3A62F03B" w14:textId="10118794" w:rsidR="00DE0E94" w:rsidRDefault="00736A3C" w:rsidP="00F361CC">
      <w:pPr>
        <w:spacing w:before="240"/>
      </w:pPr>
      <w:r>
        <w:t>The research by BETA showed that carefully targeted incentives could significantly increase the number of high-calibre candidates entering teaching.</w:t>
      </w:r>
    </w:p>
    <w:p w14:paraId="0F64C81C" w14:textId="5895D6C9" w:rsidR="00B34D76" w:rsidRDefault="00B34D76" w:rsidP="00B34D76">
      <w:pPr>
        <w:pStyle w:val="Recommendation2"/>
        <w:spacing w:after="0"/>
        <w:rPr>
          <w:b/>
          <w:sz w:val="20"/>
        </w:rPr>
      </w:pPr>
      <w:r w:rsidRPr="00FE09FB">
        <w:rPr>
          <w:b/>
          <w:sz w:val="20"/>
        </w:rPr>
        <w:t>Recommendation 2: Attract high-quality candidates</w:t>
      </w:r>
    </w:p>
    <w:p w14:paraId="285D99F0" w14:textId="11A81929" w:rsidR="00B34D76" w:rsidRPr="00FE09FB" w:rsidRDefault="00B34D76" w:rsidP="00B34D76">
      <w:pPr>
        <w:pStyle w:val="Recommendation2"/>
        <w:spacing w:after="0"/>
        <w:rPr>
          <w:sz w:val="20"/>
        </w:rPr>
      </w:pPr>
      <w:r w:rsidRPr="00FE09FB">
        <w:rPr>
          <w:sz w:val="20"/>
        </w:rPr>
        <w:t xml:space="preserve">Attract high-quality, diverse candidates including school leavers and mid-career changers into initial teacher education including by providing evidence-based incentives. Specifically, incentives should target: </w:t>
      </w:r>
    </w:p>
    <w:p w14:paraId="29E755C5" w14:textId="77777777" w:rsidR="00B34D76" w:rsidRPr="00FE09FB" w:rsidRDefault="00B34D76" w:rsidP="00F66D2A">
      <w:pPr>
        <w:pStyle w:val="Recommendation2"/>
        <w:numPr>
          <w:ilvl w:val="0"/>
          <w:numId w:val="36"/>
        </w:numPr>
        <w:spacing w:after="0"/>
        <w:rPr>
          <w:sz w:val="20"/>
        </w:rPr>
      </w:pPr>
      <w:r w:rsidRPr="00FE09FB">
        <w:rPr>
          <w:sz w:val="20"/>
        </w:rPr>
        <w:t>high-performing high school students</w:t>
      </w:r>
    </w:p>
    <w:p w14:paraId="2AD22848" w14:textId="77777777" w:rsidR="00B34D76" w:rsidRPr="00FE09FB" w:rsidRDefault="00B34D76" w:rsidP="00F66D2A">
      <w:pPr>
        <w:pStyle w:val="Recommendation2"/>
        <w:numPr>
          <w:ilvl w:val="0"/>
          <w:numId w:val="36"/>
        </w:numPr>
        <w:spacing w:after="0"/>
        <w:rPr>
          <w:sz w:val="20"/>
        </w:rPr>
      </w:pPr>
      <w:r w:rsidRPr="00FE09FB">
        <w:rPr>
          <w:sz w:val="20"/>
        </w:rPr>
        <w:t>mid-career changers in relevant fields of demand</w:t>
      </w:r>
    </w:p>
    <w:p w14:paraId="5B601118" w14:textId="77777777" w:rsidR="00B34D76" w:rsidRPr="00FE09FB" w:rsidRDefault="00B34D76" w:rsidP="00F66D2A">
      <w:pPr>
        <w:pStyle w:val="Recommendation2"/>
        <w:numPr>
          <w:ilvl w:val="0"/>
          <w:numId w:val="36"/>
        </w:numPr>
        <w:spacing w:after="0"/>
        <w:rPr>
          <w:sz w:val="20"/>
        </w:rPr>
      </w:pPr>
      <w:r w:rsidRPr="00FE09FB">
        <w:rPr>
          <w:sz w:val="20"/>
        </w:rPr>
        <w:t xml:space="preserve">Aboriginal and Torres Strait Islander peoples </w:t>
      </w:r>
    </w:p>
    <w:p w14:paraId="0F7CB5BD" w14:textId="032EA895" w:rsidR="00B34D76" w:rsidRPr="00FE09FB" w:rsidRDefault="00B34D76" w:rsidP="00F66D2A">
      <w:pPr>
        <w:pStyle w:val="Recommendation2"/>
        <w:numPr>
          <w:ilvl w:val="0"/>
          <w:numId w:val="36"/>
        </w:numPr>
        <w:spacing w:after="0"/>
        <w:rPr>
          <w:sz w:val="20"/>
        </w:rPr>
      </w:pPr>
      <w:r w:rsidRPr="00FE09FB">
        <w:rPr>
          <w:sz w:val="20"/>
        </w:rPr>
        <w:t xml:space="preserve">school leavers and suitability qualified people in </w:t>
      </w:r>
      <w:r w:rsidR="003A257E">
        <w:rPr>
          <w:sz w:val="20"/>
        </w:rPr>
        <w:t>regional</w:t>
      </w:r>
      <w:r w:rsidRPr="00FE09FB">
        <w:rPr>
          <w:sz w:val="20"/>
        </w:rPr>
        <w:t xml:space="preserve">, </w:t>
      </w:r>
      <w:r w:rsidR="003A257E">
        <w:rPr>
          <w:sz w:val="20"/>
        </w:rPr>
        <w:t>rural</w:t>
      </w:r>
      <w:r w:rsidRPr="00FE09FB">
        <w:rPr>
          <w:sz w:val="20"/>
        </w:rPr>
        <w:t xml:space="preserve"> and remote areas</w:t>
      </w:r>
    </w:p>
    <w:p w14:paraId="3E54DC57" w14:textId="2DDEE041" w:rsidR="00B34D76" w:rsidRDefault="00B34D76" w:rsidP="00F66D2A">
      <w:pPr>
        <w:pStyle w:val="Recommendation2"/>
        <w:numPr>
          <w:ilvl w:val="0"/>
          <w:numId w:val="36"/>
        </w:numPr>
        <w:spacing w:after="0"/>
        <w:rPr>
          <w:sz w:val="20"/>
        </w:rPr>
      </w:pPr>
      <w:r w:rsidRPr="00FE09FB">
        <w:rPr>
          <w:sz w:val="20"/>
        </w:rPr>
        <w:t>Culturally and Linguistically Diverse people.</w:t>
      </w:r>
    </w:p>
    <w:p w14:paraId="5A4DDFD9" w14:textId="77777777" w:rsidR="005F07F3" w:rsidRPr="00FE09FB" w:rsidRDefault="005F07F3" w:rsidP="00E9704A">
      <w:pPr>
        <w:spacing w:after="0"/>
      </w:pPr>
    </w:p>
    <w:p w14:paraId="7AA2828E" w14:textId="77777777" w:rsidR="00F361CC" w:rsidRDefault="009154E9" w:rsidP="00F361CC">
      <w:pPr>
        <w:pStyle w:val="Recommendation2"/>
        <w:spacing w:after="0"/>
        <w:rPr>
          <w:b/>
          <w:bCs/>
          <w:sz w:val="20"/>
        </w:rPr>
      </w:pPr>
      <w:r w:rsidRPr="009154E9">
        <w:rPr>
          <w:b/>
          <w:bCs/>
          <w:sz w:val="20"/>
        </w:rPr>
        <w:t>Recommendation 3. Reduce teachers' workloads</w:t>
      </w:r>
    </w:p>
    <w:p w14:paraId="01D61D59" w14:textId="32D609AB" w:rsidR="009154E9" w:rsidRPr="00F361CC" w:rsidRDefault="00E13B86" w:rsidP="00F361CC">
      <w:pPr>
        <w:pStyle w:val="Recommendation2"/>
        <w:rPr>
          <w:b/>
          <w:bCs/>
          <w:sz w:val="20"/>
        </w:rPr>
      </w:pPr>
      <w:r w:rsidRPr="00672E15">
        <w:rPr>
          <w:sz w:val="20"/>
        </w:rPr>
        <w:t>Audit the red tape burden on classroom teachers and recommend ways to decrease this burden.</w:t>
      </w:r>
    </w:p>
    <w:p w14:paraId="6B1A9DFB" w14:textId="7F60FA64" w:rsidR="009A4458" w:rsidRDefault="00592B66" w:rsidP="006903DC">
      <w:r>
        <w:lastRenderedPageBreak/>
        <w:t xml:space="preserve">Attracting </w:t>
      </w:r>
      <w:r w:rsidR="00245212">
        <w:t>high-</w:t>
      </w:r>
      <w:r>
        <w:t xml:space="preserve">quality candidates </w:t>
      </w:r>
      <w:r w:rsidR="003874C2">
        <w:t xml:space="preserve">needs to start </w:t>
      </w:r>
      <w:r w:rsidR="00BC6191">
        <w:t xml:space="preserve">in the early high school years. </w:t>
      </w:r>
      <w:r w:rsidR="00890F48">
        <w:t xml:space="preserve">Students in the early high school years should have easy access to information about </w:t>
      </w:r>
      <w:r w:rsidR="004F76B9">
        <w:t>teaching careers</w:t>
      </w:r>
      <w:r w:rsidR="009A4458">
        <w:t xml:space="preserve">, the </w:t>
      </w:r>
      <w:r w:rsidR="00C038B7">
        <w:t xml:space="preserve">skills needed, the benefits and how to pursue this interest further. </w:t>
      </w:r>
    </w:p>
    <w:p w14:paraId="560046C6" w14:textId="77777777" w:rsidR="00563FD5" w:rsidRPr="00E13B86" w:rsidRDefault="00563FD5" w:rsidP="00F361CC">
      <w:pPr>
        <w:pStyle w:val="Recommendation2"/>
        <w:spacing w:after="0"/>
        <w:rPr>
          <w:b/>
          <w:bCs/>
          <w:sz w:val="20"/>
        </w:rPr>
      </w:pPr>
      <w:r w:rsidRPr="00E13B86">
        <w:rPr>
          <w:b/>
          <w:bCs/>
          <w:sz w:val="20"/>
        </w:rPr>
        <w:t>Recommendation 4: Improve career advice</w:t>
      </w:r>
    </w:p>
    <w:p w14:paraId="3260E8F2" w14:textId="1CB0DAEA" w:rsidR="00F319A8" w:rsidRPr="00E13B86" w:rsidRDefault="00E13B86" w:rsidP="00E13B86">
      <w:pPr>
        <w:pStyle w:val="Recommendation2"/>
        <w:rPr>
          <w:sz w:val="20"/>
        </w:rPr>
      </w:pPr>
      <w:r w:rsidRPr="00E13B86">
        <w:rPr>
          <w:sz w:val="20"/>
        </w:rPr>
        <w:t xml:space="preserve">Develop easy and reliable access to high-quality career advice that promotes the teaching profession. </w:t>
      </w:r>
    </w:p>
    <w:p w14:paraId="549CEBFC" w14:textId="77777777" w:rsidR="00F361CC" w:rsidRDefault="00F361CC" w:rsidP="00E63952">
      <w:pPr>
        <w:spacing w:after="0"/>
        <w:textAlignment w:val="baseline"/>
        <w:sectPr w:rsidR="00F361CC" w:rsidSect="003C6733">
          <w:pgSz w:w="11900" w:h="16840"/>
          <w:pgMar w:top="426" w:right="1440" w:bottom="284" w:left="1440" w:header="708" w:footer="708" w:gutter="0"/>
          <w:cols w:space="708"/>
          <w:docGrid w:linePitch="360"/>
        </w:sectPr>
      </w:pPr>
    </w:p>
    <w:p w14:paraId="34DA7F9B" w14:textId="77777777" w:rsidR="00572D58" w:rsidRDefault="00572D58">
      <w:pPr>
        <w:spacing w:after="0" w:line="240" w:lineRule="auto"/>
        <w:rPr>
          <w:bCs/>
          <w:color w:val="2F5496" w:themeColor="accent1" w:themeShade="BF"/>
          <w:sz w:val="24"/>
          <w:szCs w:val="24"/>
        </w:rPr>
      </w:pPr>
      <w:bookmarkStart w:id="28" w:name="_Toc86138404"/>
      <w:bookmarkStart w:id="29" w:name="_Toc86141308"/>
      <w:r>
        <w:rPr>
          <w:bCs/>
          <w:color w:val="2F5496" w:themeColor="accent1" w:themeShade="BF"/>
          <w:sz w:val="24"/>
          <w:szCs w:val="24"/>
        </w:rPr>
        <w:br w:type="page"/>
      </w:r>
    </w:p>
    <w:p w14:paraId="146A4542" w14:textId="17602F0F" w:rsidR="00462EA9" w:rsidRDefault="00462EA9" w:rsidP="00462EA9">
      <w:pPr>
        <w:outlineLvl w:val="1"/>
        <w:rPr>
          <w:bCs/>
          <w:color w:val="2F5496" w:themeColor="accent1" w:themeShade="BF"/>
          <w:sz w:val="24"/>
          <w:szCs w:val="24"/>
        </w:rPr>
      </w:pPr>
      <w:bookmarkStart w:id="30" w:name="_Toc91160199"/>
      <w:r w:rsidRPr="00E477FD">
        <w:rPr>
          <w:bCs/>
          <w:color w:val="2F5496" w:themeColor="accent1" w:themeShade="BF"/>
          <w:sz w:val="24"/>
          <w:szCs w:val="24"/>
        </w:rPr>
        <w:lastRenderedPageBreak/>
        <w:t>Chapter 2:</w:t>
      </w:r>
      <w:r>
        <w:rPr>
          <w:bCs/>
          <w:color w:val="2F5496" w:themeColor="accent1" w:themeShade="BF"/>
          <w:sz w:val="24"/>
          <w:szCs w:val="24"/>
        </w:rPr>
        <w:t xml:space="preserve"> Selection and </w:t>
      </w:r>
      <w:r w:rsidR="005D47D6">
        <w:rPr>
          <w:bCs/>
          <w:color w:val="2F5496" w:themeColor="accent1" w:themeShade="BF"/>
          <w:sz w:val="24"/>
          <w:szCs w:val="24"/>
        </w:rPr>
        <w:t>P</w:t>
      </w:r>
      <w:r>
        <w:rPr>
          <w:bCs/>
          <w:color w:val="2F5496" w:themeColor="accent1" w:themeShade="BF"/>
          <w:sz w:val="24"/>
          <w:szCs w:val="24"/>
        </w:rPr>
        <w:t xml:space="preserve">athways </w:t>
      </w:r>
      <w:r w:rsidR="005D47D6">
        <w:rPr>
          <w:bCs/>
          <w:color w:val="2F5496" w:themeColor="accent1" w:themeShade="BF"/>
          <w:sz w:val="24"/>
          <w:szCs w:val="24"/>
        </w:rPr>
        <w:t>t</w:t>
      </w:r>
      <w:r>
        <w:rPr>
          <w:bCs/>
          <w:color w:val="2F5496" w:themeColor="accent1" w:themeShade="BF"/>
          <w:sz w:val="24"/>
          <w:szCs w:val="24"/>
        </w:rPr>
        <w:t xml:space="preserve">hrough </w:t>
      </w:r>
      <w:bookmarkEnd w:id="28"/>
      <w:bookmarkEnd w:id="29"/>
      <w:r w:rsidR="005D47D6">
        <w:rPr>
          <w:bCs/>
          <w:color w:val="2F5496" w:themeColor="accent1" w:themeShade="BF"/>
          <w:sz w:val="24"/>
          <w:szCs w:val="24"/>
        </w:rPr>
        <w:t>I</w:t>
      </w:r>
      <w:r w:rsidR="00354541">
        <w:rPr>
          <w:bCs/>
          <w:color w:val="2F5496" w:themeColor="accent1" w:themeShade="BF"/>
          <w:sz w:val="24"/>
          <w:szCs w:val="24"/>
        </w:rPr>
        <w:t xml:space="preserve">nitial </w:t>
      </w:r>
      <w:r w:rsidR="005D47D6">
        <w:rPr>
          <w:bCs/>
          <w:color w:val="2F5496" w:themeColor="accent1" w:themeShade="BF"/>
          <w:sz w:val="24"/>
          <w:szCs w:val="24"/>
        </w:rPr>
        <w:t>T</w:t>
      </w:r>
      <w:r w:rsidR="00354541">
        <w:rPr>
          <w:bCs/>
          <w:color w:val="2F5496" w:themeColor="accent1" w:themeShade="BF"/>
          <w:sz w:val="24"/>
          <w:szCs w:val="24"/>
        </w:rPr>
        <w:t xml:space="preserve">eacher </w:t>
      </w:r>
      <w:r w:rsidR="005D47D6">
        <w:rPr>
          <w:bCs/>
          <w:color w:val="2F5496" w:themeColor="accent1" w:themeShade="BF"/>
          <w:sz w:val="24"/>
          <w:szCs w:val="24"/>
        </w:rPr>
        <w:t>E</w:t>
      </w:r>
      <w:r w:rsidR="00354541">
        <w:rPr>
          <w:bCs/>
          <w:color w:val="2F5496" w:themeColor="accent1" w:themeShade="BF"/>
          <w:sz w:val="24"/>
          <w:szCs w:val="24"/>
        </w:rPr>
        <w:t>ducation</w:t>
      </w:r>
      <w:bookmarkEnd w:id="30"/>
      <w:r w:rsidRPr="00E477FD">
        <w:rPr>
          <w:bCs/>
          <w:color w:val="2F5496" w:themeColor="accent1" w:themeShade="BF"/>
          <w:sz w:val="24"/>
          <w:szCs w:val="24"/>
        </w:rPr>
        <w:t xml:space="preserve"> </w:t>
      </w:r>
    </w:p>
    <w:p w14:paraId="3E2F8B37" w14:textId="43C43393" w:rsidR="00B849CC" w:rsidRDefault="00B849CC" w:rsidP="00B849CC">
      <w:pPr>
        <w:pStyle w:val="Keypoints"/>
      </w:pPr>
      <w:r w:rsidRPr="00577034">
        <w:t>Key points</w:t>
      </w:r>
    </w:p>
    <w:p w14:paraId="58FB5E46" w14:textId="41D8DD87" w:rsidR="0084463D" w:rsidRPr="00371FD2" w:rsidRDefault="00A175C1" w:rsidP="00F66D2A">
      <w:pPr>
        <w:pStyle w:val="Keypoints"/>
        <w:numPr>
          <w:ilvl w:val="0"/>
          <w:numId w:val="24"/>
        </w:numPr>
        <w:spacing w:before="240" w:after="0"/>
        <w:rPr>
          <w:b w:val="0"/>
        </w:rPr>
      </w:pPr>
      <w:r w:rsidRPr="00371FD2">
        <w:rPr>
          <w:b w:val="0"/>
        </w:rPr>
        <w:t xml:space="preserve">Selection </w:t>
      </w:r>
      <w:r w:rsidR="00660D10" w:rsidRPr="00371FD2">
        <w:rPr>
          <w:b w:val="0"/>
        </w:rPr>
        <w:t xml:space="preserve">processes </w:t>
      </w:r>
      <w:r w:rsidR="009F4613" w:rsidRPr="00371FD2">
        <w:rPr>
          <w:b w:val="0"/>
        </w:rPr>
        <w:t>are important for assessing student suitability; however, the setting of a minimum academic floor can disadvantage and exclude certain cohorts</w:t>
      </w:r>
      <w:r w:rsidR="00D336B5">
        <w:rPr>
          <w:b w:val="0"/>
          <w:bCs/>
          <w:noProof/>
        </w:rPr>
        <w:t>.</w:t>
      </w:r>
    </w:p>
    <w:p w14:paraId="019FD123" w14:textId="53623D5C" w:rsidR="009F4613" w:rsidRPr="00371FD2" w:rsidRDefault="00261514" w:rsidP="00F66D2A">
      <w:pPr>
        <w:pStyle w:val="Keypoints"/>
        <w:numPr>
          <w:ilvl w:val="0"/>
          <w:numId w:val="24"/>
        </w:numPr>
        <w:spacing w:before="240" w:after="0"/>
        <w:rPr>
          <w:b w:val="0"/>
        </w:rPr>
      </w:pPr>
      <w:r w:rsidRPr="00371FD2">
        <w:rPr>
          <w:b w:val="0"/>
        </w:rPr>
        <w:t>Selection processes need to recognise both academic achievement and non-academic characteristics</w:t>
      </w:r>
      <w:r w:rsidR="00D748A5">
        <w:rPr>
          <w:b w:val="0"/>
          <w:bCs/>
        </w:rPr>
        <w:t>,</w:t>
      </w:r>
      <w:r w:rsidRPr="00146B87">
        <w:rPr>
          <w:b w:val="0"/>
          <w:bCs/>
        </w:rPr>
        <w:t xml:space="preserve"> ensur</w:t>
      </w:r>
      <w:r w:rsidR="00D748A5">
        <w:rPr>
          <w:b w:val="0"/>
          <w:bCs/>
        </w:rPr>
        <w:t>ing</w:t>
      </w:r>
      <w:r w:rsidR="00CA25DD">
        <w:rPr>
          <w:b w:val="0"/>
          <w:bCs/>
        </w:rPr>
        <w:t xml:space="preserve"> </w:t>
      </w:r>
      <w:r w:rsidR="00302F98" w:rsidRPr="00371FD2">
        <w:rPr>
          <w:b w:val="0"/>
        </w:rPr>
        <w:t xml:space="preserve">candidates </w:t>
      </w:r>
      <w:r w:rsidR="00D748A5">
        <w:rPr>
          <w:b w:val="0"/>
          <w:bCs/>
        </w:rPr>
        <w:t>have</w:t>
      </w:r>
      <w:r w:rsidR="00302F98" w:rsidRPr="00371FD2">
        <w:rPr>
          <w:b w:val="0"/>
        </w:rPr>
        <w:t xml:space="preserve"> the </w:t>
      </w:r>
      <w:r w:rsidR="00C60FD7" w:rsidRPr="00371FD2">
        <w:rPr>
          <w:b w:val="0"/>
        </w:rPr>
        <w:t xml:space="preserve">right skills and aptitude to become </w:t>
      </w:r>
      <w:r w:rsidR="003029C2">
        <w:rPr>
          <w:b w:val="0"/>
        </w:rPr>
        <w:t>highly effective teachers</w:t>
      </w:r>
      <w:r w:rsidR="00C60FD7" w:rsidRPr="00371FD2">
        <w:rPr>
          <w:b w:val="0"/>
        </w:rPr>
        <w:t>.</w:t>
      </w:r>
    </w:p>
    <w:p w14:paraId="259423E2" w14:textId="78D9EAD2" w:rsidR="00C60FD7" w:rsidRPr="00371FD2" w:rsidRDefault="00C17A0A" w:rsidP="00F66D2A">
      <w:pPr>
        <w:pStyle w:val="Keypoints"/>
        <w:numPr>
          <w:ilvl w:val="0"/>
          <w:numId w:val="24"/>
        </w:numPr>
        <w:spacing w:before="240" w:after="0"/>
        <w:rPr>
          <w:b w:val="0"/>
        </w:rPr>
      </w:pPr>
      <w:r>
        <w:rPr>
          <w:b w:val="0"/>
          <w:bCs/>
        </w:rPr>
        <w:t xml:space="preserve">There is </w:t>
      </w:r>
      <w:r w:rsidR="003F6B58">
        <w:rPr>
          <w:b w:val="0"/>
          <w:bCs/>
        </w:rPr>
        <w:t>strong</w:t>
      </w:r>
      <w:r>
        <w:rPr>
          <w:b w:val="0"/>
          <w:bCs/>
        </w:rPr>
        <w:t xml:space="preserve"> support to </w:t>
      </w:r>
      <w:r w:rsidR="00CD15C6">
        <w:rPr>
          <w:b w:val="0"/>
          <w:bCs/>
        </w:rPr>
        <w:t>explore d</w:t>
      </w:r>
      <w:r w:rsidR="00D24AF8" w:rsidRPr="00371FD2">
        <w:rPr>
          <w:b w:val="0"/>
          <w:bCs/>
        </w:rPr>
        <w:t xml:space="preserve">ifferent </w:t>
      </w:r>
      <w:r w:rsidR="00D24AF8" w:rsidRPr="00371FD2">
        <w:rPr>
          <w:b w:val="0"/>
        </w:rPr>
        <w:t>pathways through</w:t>
      </w:r>
      <w:r w:rsidR="00AB12C6">
        <w:rPr>
          <w:b w:val="0"/>
        </w:rPr>
        <w:t xml:space="preserve"> </w:t>
      </w:r>
      <w:r w:rsidR="004C2BFC">
        <w:rPr>
          <w:b w:val="0"/>
        </w:rPr>
        <w:t>i</w:t>
      </w:r>
      <w:r w:rsidR="00AB12C6">
        <w:rPr>
          <w:b w:val="0"/>
        </w:rPr>
        <w:t>nitial teacher education</w:t>
      </w:r>
      <w:r w:rsidR="00D24AF8" w:rsidRPr="00371FD2">
        <w:rPr>
          <w:b w:val="0"/>
        </w:rPr>
        <w:t xml:space="preserve"> </w:t>
      </w:r>
      <w:r w:rsidR="00AB12C6">
        <w:rPr>
          <w:b w:val="0"/>
        </w:rPr>
        <w:t>(</w:t>
      </w:r>
      <w:r w:rsidR="00D24AF8" w:rsidRPr="00371FD2">
        <w:rPr>
          <w:b w:val="0"/>
        </w:rPr>
        <w:t>ITE</w:t>
      </w:r>
      <w:r w:rsidR="00AB12C6">
        <w:rPr>
          <w:b w:val="0"/>
        </w:rPr>
        <w:t>)</w:t>
      </w:r>
      <w:r w:rsidR="007B4224">
        <w:rPr>
          <w:b w:val="0"/>
          <w:bCs/>
        </w:rPr>
        <w:t xml:space="preserve">, </w:t>
      </w:r>
      <w:r w:rsidR="009C47C8">
        <w:rPr>
          <w:b w:val="0"/>
          <w:bCs/>
        </w:rPr>
        <w:t>so</w:t>
      </w:r>
      <w:r w:rsidR="007B4224">
        <w:rPr>
          <w:b w:val="0"/>
          <w:bCs/>
        </w:rPr>
        <w:t xml:space="preserve"> </w:t>
      </w:r>
      <w:r w:rsidR="00D24AF8" w:rsidRPr="00371FD2">
        <w:rPr>
          <w:b w:val="0"/>
        </w:rPr>
        <w:t>that candidates from different background</w:t>
      </w:r>
      <w:r w:rsidR="00811540" w:rsidRPr="00371FD2">
        <w:rPr>
          <w:b w:val="0"/>
        </w:rPr>
        <w:t>s</w:t>
      </w:r>
      <w:r w:rsidR="00D24AF8" w:rsidRPr="00371FD2">
        <w:rPr>
          <w:b w:val="0"/>
        </w:rPr>
        <w:t xml:space="preserve"> and at different stages in life are adequately supported in their</w:t>
      </w:r>
      <w:r w:rsidR="00635021" w:rsidRPr="00371FD2">
        <w:rPr>
          <w:b w:val="0"/>
        </w:rPr>
        <w:t xml:space="preserve"> study</w:t>
      </w:r>
      <w:r w:rsidR="0012408B" w:rsidRPr="00371FD2">
        <w:rPr>
          <w:b w:val="0"/>
        </w:rPr>
        <w:t>.</w:t>
      </w:r>
    </w:p>
    <w:p w14:paraId="2F861579" w14:textId="5B126B94" w:rsidR="00F14325" w:rsidRPr="000B4BAC" w:rsidRDefault="00412516" w:rsidP="00F66D2A">
      <w:pPr>
        <w:pStyle w:val="Keypoints"/>
        <w:numPr>
          <w:ilvl w:val="0"/>
          <w:numId w:val="24"/>
        </w:numPr>
        <w:spacing w:before="240" w:after="0"/>
        <w:rPr>
          <w:b w:val="0"/>
        </w:rPr>
      </w:pPr>
      <w:r>
        <w:rPr>
          <w:b w:val="0"/>
          <w:bCs/>
        </w:rPr>
        <w:t xml:space="preserve">Certain cohorts may perceive there are barriers </w:t>
      </w:r>
      <w:r w:rsidR="00464339">
        <w:rPr>
          <w:b w:val="0"/>
          <w:bCs/>
        </w:rPr>
        <w:t>affecting</w:t>
      </w:r>
      <w:r w:rsidR="00321E50">
        <w:rPr>
          <w:b w:val="0"/>
          <w:bCs/>
        </w:rPr>
        <w:t xml:space="preserve"> t</w:t>
      </w:r>
      <w:r w:rsidR="001D7F24">
        <w:rPr>
          <w:b w:val="0"/>
          <w:bCs/>
        </w:rPr>
        <w:t xml:space="preserve">heir </w:t>
      </w:r>
      <w:r w:rsidR="00464339">
        <w:rPr>
          <w:b w:val="0"/>
          <w:bCs/>
        </w:rPr>
        <w:t xml:space="preserve">decision to </w:t>
      </w:r>
      <w:r w:rsidR="001D7F24">
        <w:rPr>
          <w:b w:val="0"/>
          <w:bCs/>
        </w:rPr>
        <w:t>ent</w:t>
      </w:r>
      <w:r w:rsidR="00DC7382">
        <w:rPr>
          <w:b w:val="0"/>
          <w:bCs/>
        </w:rPr>
        <w:t>er</w:t>
      </w:r>
      <w:r w:rsidR="001D7F24">
        <w:rPr>
          <w:b w:val="0"/>
          <w:bCs/>
        </w:rPr>
        <w:t xml:space="preserve"> ITE</w:t>
      </w:r>
      <w:r w:rsidR="002732D1">
        <w:rPr>
          <w:b w:val="0"/>
          <w:bCs/>
        </w:rPr>
        <w:t>; however, a</w:t>
      </w:r>
      <w:r w:rsidR="002732D1" w:rsidRPr="002732D1">
        <w:rPr>
          <w:b w:val="0"/>
          <w:bCs/>
        </w:rPr>
        <w:t>ccelerated</w:t>
      </w:r>
      <w:r w:rsidR="00F14325" w:rsidRPr="00371FD2">
        <w:rPr>
          <w:b w:val="0"/>
        </w:rPr>
        <w:t xml:space="preserve"> or employment-based postgraduate pathways </w:t>
      </w:r>
      <w:r w:rsidR="00811540" w:rsidRPr="00371FD2">
        <w:rPr>
          <w:b w:val="0"/>
        </w:rPr>
        <w:t xml:space="preserve">can be </w:t>
      </w:r>
      <w:r w:rsidR="00672ACB">
        <w:rPr>
          <w:b w:val="0"/>
        </w:rPr>
        <w:t xml:space="preserve">an </w:t>
      </w:r>
      <w:r w:rsidR="00811540" w:rsidRPr="00371FD2">
        <w:rPr>
          <w:b w:val="0"/>
        </w:rPr>
        <w:t xml:space="preserve">effective </w:t>
      </w:r>
      <w:r w:rsidR="004A235D" w:rsidRPr="000B4BAC">
        <w:rPr>
          <w:b w:val="0"/>
        </w:rPr>
        <w:t xml:space="preserve">way of </w:t>
      </w:r>
      <w:r w:rsidR="00A51FBA" w:rsidRPr="000B4BAC">
        <w:rPr>
          <w:b w:val="0"/>
        </w:rPr>
        <w:t>address</w:t>
      </w:r>
      <w:r w:rsidR="00811540" w:rsidRPr="000B4BAC">
        <w:rPr>
          <w:b w:val="0"/>
        </w:rPr>
        <w:t>ing</w:t>
      </w:r>
      <w:r w:rsidR="00A51FBA" w:rsidRPr="000B4BAC">
        <w:rPr>
          <w:b w:val="0"/>
        </w:rPr>
        <w:t xml:space="preserve"> </w:t>
      </w:r>
      <w:r w:rsidR="00672ACB" w:rsidRPr="000B4BAC">
        <w:rPr>
          <w:b w:val="0"/>
        </w:rPr>
        <w:t>these</w:t>
      </w:r>
      <w:r w:rsidR="00584621" w:rsidRPr="000B4BAC">
        <w:rPr>
          <w:b w:val="0"/>
        </w:rPr>
        <w:t xml:space="preserve"> barriers</w:t>
      </w:r>
      <w:r w:rsidR="00672ACB" w:rsidRPr="000B4BAC">
        <w:rPr>
          <w:b w:val="0"/>
        </w:rPr>
        <w:t>, espe</w:t>
      </w:r>
      <w:r w:rsidR="00801368" w:rsidRPr="000B4BAC">
        <w:rPr>
          <w:b w:val="0"/>
        </w:rPr>
        <w:t>cially</w:t>
      </w:r>
      <w:r w:rsidR="00584621" w:rsidRPr="000B4BAC">
        <w:rPr>
          <w:b w:val="0"/>
        </w:rPr>
        <w:t xml:space="preserve"> f</w:t>
      </w:r>
      <w:r w:rsidR="00F27B46" w:rsidRPr="000B4BAC">
        <w:rPr>
          <w:b w:val="0"/>
        </w:rPr>
        <w:t>or m</w:t>
      </w:r>
      <w:r w:rsidR="00801368" w:rsidRPr="000B4BAC">
        <w:rPr>
          <w:b w:val="0"/>
        </w:rPr>
        <w:t xml:space="preserve">id-career changers. </w:t>
      </w:r>
    </w:p>
    <w:p w14:paraId="400B93F8" w14:textId="7FF21822" w:rsidR="00AD30BF" w:rsidRPr="000B4BAC" w:rsidRDefault="00AD30BF" w:rsidP="00F66D2A">
      <w:pPr>
        <w:pStyle w:val="Keypoints"/>
        <w:numPr>
          <w:ilvl w:val="0"/>
          <w:numId w:val="24"/>
        </w:numPr>
        <w:spacing w:before="240"/>
        <w:rPr>
          <w:b w:val="0"/>
        </w:rPr>
      </w:pPr>
      <w:r w:rsidRPr="57AC30C7">
        <w:rPr>
          <w:b w:val="0"/>
        </w:rPr>
        <w:t xml:space="preserve">In addition, teachers who have undertaken their </w:t>
      </w:r>
      <w:r w:rsidR="00D25139">
        <w:rPr>
          <w:b w:val="0"/>
        </w:rPr>
        <w:t>preparation</w:t>
      </w:r>
      <w:r w:rsidRPr="57AC30C7">
        <w:rPr>
          <w:b w:val="0"/>
        </w:rPr>
        <w:t xml:space="preserve"> under an employment-based model have been found to be highly sought after by systems and school leaders, suggesting this pathway offers an effective approach to learning how to be a teacher.</w:t>
      </w:r>
    </w:p>
    <w:p w14:paraId="4BEFB02B" w14:textId="77777777" w:rsidR="00462EA9" w:rsidRPr="00E477FD" w:rsidRDefault="00462EA9" w:rsidP="00462EA9">
      <w:pPr>
        <w:ind w:left="1021" w:hanging="1021"/>
        <w:outlineLvl w:val="2"/>
        <w:rPr>
          <w:b/>
          <w:sz w:val="22"/>
          <w:szCs w:val="21"/>
        </w:rPr>
      </w:pPr>
      <w:r w:rsidRPr="00E477FD">
        <w:rPr>
          <w:b/>
          <w:sz w:val="22"/>
          <w:szCs w:val="21"/>
        </w:rPr>
        <w:t>Current Context</w:t>
      </w:r>
    </w:p>
    <w:p w14:paraId="353E0EB1" w14:textId="217156E1" w:rsidR="00462EA9" w:rsidRPr="00E477FD" w:rsidRDefault="00462EA9" w:rsidP="00462EA9">
      <w:r w:rsidRPr="00E477FD">
        <w:t xml:space="preserve">The </w:t>
      </w:r>
      <w:r w:rsidR="00F47720">
        <w:t>Teacher Education Ministerial Advisory Group (</w:t>
      </w:r>
      <w:r w:rsidRPr="00E477FD">
        <w:t>TEMAG</w:t>
      </w:r>
      <w:r w:rsidR="00F47720">
        <w:t>)</w:t>
      </w:r>
      <w:r w:rsidRPr="00E477FD">
        <w:t xml:space="preserve"> </w:t>
      </w:r>
      <w:r w:rsidR="008964C7">
        <w:t>R</w:t>
      </w:r>
      <w:r w:rsidRPr="00E477FD">
        <w:t xml:space="preserve">eview recommended that higher education providers select the best candidates into teaching using sophisticated approaches that ensure </w:t>
      </w:r>
      <w:r w:rsidR="00D22B48">
        <w:t>initial teacher education (</w:t>
      </w:r>
      <w:r w:rsidRPr="00E477FD">
        <w:t>ITE</w:t>
      </w:r>
      <w:r w:rsidR="00D22B48">
        <w:t>)</w:t>
      </w:r>
      <w:r w:rsidRPr="00E477FD">
        <w:t xml:space="preserve"> students possess the required academic skills and personal characteristics to become a successful teacher.</w:t>
      </w:r>
    </w:p>
    <w:p w14:paraId="28C66AC1" w14:textId="501C9CC1" w:rsidR="00462EA9" w:rsidRDefault="00462EA9" w:rsidP="00462EA9">
      <w:r w:rsidRPr="00930ABE">
        <w:t xml:space="preserve">The </w:t>
      </w:r>
      <w:r w:rsidR="00524B18" w:rsidRPr="002F1F31">
        <w:rPr>
          <w:i/>
        </w:rPr>
        <w:t>Accreditation of Initial Teacher Education Programs in Australia: Standards and Procedures</w:t>
      </w:r>
      <w:r w:rsidR="00524B18" w:rsidRPr="002F1F31">
        <w:t xml:space="preserve"> (Accreditation Standards)</w:t>
      </w:r>
      <w:r w:rsidRPr="00930ABE">
        <w:t xml:space="preserve"> require higher education providers to apply selection criteria for all entrants into ITE, assessing both academic skills and non-academic characteristics to determine suitability for entry. Higher education providers have the flexibility to determine how they assess prospective students.</w:t>
      </w:r>
    </w:p>
    <w:p w14:paraId="5EFA2868" w14:textId="0694BD13" w:rsidR="00462EA9" w:rsidRPr="00E477FD" w:rsidRDefault="00462EA9" w:rsidP="00462EA9">
      <w:r w:rsidRPr="00930ABE">
        <w:t>Higher education providers have introduced a range of measures to assess non-academic skills. The most common of these are a personal statement to assess motivations for becoming a teacher and the CASPer Test online screening tool. Other measures include pre-admission interviews, questionnaires or the Teacher Capability Assessment Tool (TCAT) develop</w:t>
      </w:r>
      <w:r w:rsidR="00864BED">
        <w:t>ed</w:t>
      </w:r>
      <w:r w:rsidRPr="00930ABE">
        <w:t xml:space="preserve"> by the University of Melbourne.</w:t>
      </w:r>
    </w:p>
    <w:p w14:paraId="3DED03C2" w14:textId="14671B87" w:rsidR="00462EA9" w:rsidRPr="00930ABE" w:rsidRDefault="00462EA9" w:rsidP="00462EA9">
      <w:r>
        <w:t xml:space="preserve">Some jurisdictions have introduced specific academic entry requirements. </w:t>
      </w:r>
      <w:bookmarkStart w:id="31" w:name="_Hlk85116661"/>
      <w:r>
        <w:t>In Queensland, applicants must achieve a grade of C or higher in a Queensland Curriculum and Assessment Authority General Subject in certain categories, including English, Maths and Science.</w:t>
      </w:r>
      <w:bookmarkEnd w:id="31"/>
      <w:r>
        <w:t xml:space="preserve"> Applicants other than school leavers must demonstrate an ‘acceptable alternative’. New South Wales requires a minimum standard of three Band </w:t>
      </w:r>
      <w:r w:rsidR="0080451E">
        <w:t>5</w:t>
      </w:r>
      <w:r>
        <w:t xml:space="preserve"> HSC results, including one in English, or an approved comparable measure. Victoria has a minimum ATAR of 70 or equivalent for entry into ITE.</w:t>
      </w:r>
    </w:p>
    <w:p w14:paraId="48B60B7C" w14:textId="6CE3CF7B" w:rsidR="00462EA9" w:rsidRDefault="00462EA9" w:rsidP="00462EA9">
      <w:r>
        <w:t>Under the Accreditation Standards (Program Standard 4) undergraduate ITE programs are required to be at least four</w:t>
      </w:r>
      <w:r w:rsidR="00DA5D29">
        <w:t xml:space="preserve"> </w:t>
      </w:r>
      <w:r>
        <w:t xml:space="preserve">years in duration (full-time equivalent). For those with a completed three-year undergraduate degree providing the required discipline knowledge, a two-year postgraduate program must be completed. </w:t>
      </w:r>
      <w:r w:rsidRPr="00E477FD">
        <w:lastRenderedPageBreak/>
        <w:t xml:space="preserve">Higher </w:t>
      </w:r>
      <w:r>
        <w:t xml:space="preserve">education providers have the flexibility to offer </w:t>
      </w:r>
      <w:r w:rsidR="00A340C0">
        <w:t xml:space="preserve">equivalent </w:t>
      </w:r>
      <w:r>
        <w:t xml:space="preserve">programs over a shorter time frame and/or with a greater emphasis on in-school experience. </w:t>
      </w:r>
    </w:p>
    <w:p w14:paraId="0AE35E01" w14:textId="71F66363" w:rsidR="00462EA9" w:rsidRDefault="00462EA9" w:rsidP="00462EA9">
      <w:r>
        <w:t xml:space="preserve">In addition, the </w:t>
      </w:r>
      <w:r w:rsidR="008D622E">
        <w:t>Australian Government</w:t>
      </w:r>
      <w:r w:rsidDel="008D622E">
        <w:t xml:space="preserve"> </w:t>
      </w:r>
      <w:r>
        <w:t xml:space="preserve">has supported employment-based pathways for ITE for more than a decade, initially through the Teach For Australia </w:t>
      </w:r>
      <w:r w:rsidR="008D622E">
        <w:t>(TFA)</w:t>
      </w:r>
      <w:r>
        <w:t xml:space="preserve"> program, followed by the High Achieving Teachers </w:t>
      </w:r>
      <w:r w:rsidR="008D622E">
        <w:t xml:space="preserve">(HAT) </w:t>
      </w:r>
      <w:r>
        <w:t xml:space="preserve">program, which currently provides funding to Teach For Australia and La Trobe University’s Nexus program. </w:t>
      </w:r>
      <w:r w:rsidRPr="002F0473">
        <w:t>The</w:t>
      </w:r>
      <w:r>
        <w:t>se</w:t>
      </w:r>
      <w:r w:rsidRPr="002F0473">
        <w:t xml:space="preserve"> employment-based pathways combine completion of a Masters program with paid employment in schools.</w:t>
      </w:r>
    </w:p>
    <w:p w14:paraId="355E4E0C" w14:textId="141EB50E" w:rsidR="00462EA9" w:rsidRPr="00E477FD" w:rsidRDefault="00462EA9" w:rsidP="009104E5">
      <w:pPr>
        <w:rPr>
          <w:rFonts w:eastAsia="Times New Roman" w:cstheme="minorHAnsi"/>
        </w:rPr>
      </w:pPr>
      <w:r>
        <w:t xml:space="preserve">A number of jurisdictions are also developing and implementing similar employment-based pathways to meet areas of need, including New South Wales, Victoria, Western Australia, Queensland and Tasmania. Many higher education providers offer accelerated programs which allow </w:t>
      </w:r>
      <w:r w:rsidR="00332A1B">
        <w:t>ITE students</w:t>
      </w:r>
      <w:r>
        <w:t xml:space="preserve"> to complete the two</w:t>
      </w:r>
      <w:r w:rsidR="00166140">
        <w:noBreakHyphen/>
      </w:r>
      <w:r>
        <w:t>year postgraduate program in a shorter period, for example 15 or 18 months.</w:t>
      </w:r>
    </w:p>
    <w:p w14:paraId="7DE4FFCB" w14:textId="77777777" w:rsidR="00462EA9" w:rsidRPr="00E477FD" w:rsidRDefault="00462EA9" w:rsidP="00462EA9">
      <w:pPr>
        <w:ind w:left="1021" w:hanging="1021"/>
        <w:outlineLvl w:val="2"/>
        <w:rPr>
          <w:b/>
          <w:sz w:val="22"/>
          <w:szCs w:val="21"/>
        </w:rPr>
      </w:pPr>
      <w:r w:rsidRPr="00E477FD">
        <w:rPr>
          <w:b/>
          <w:sz w:val="22"/>
          <w:szCs w:val="21"/>
        </w:rPr>
        <w:t>Key Consultation Themes and Analysis</w:t>
      </w:r>
    </w:p>
    <w:p w14:paraId="5535FBFE" w14:textId="1B510F34" w:rsidR="00462EA9" w:rsidRPr="00D67B51" w:rsidRDefault="00462EA9" w:rsidP="00371FD2">
      <w:pPr>
        <w:pStyle w:val="Heading6"/>
      </w:pPr>
      <w:r w:rsidRPr="006B34E8">
        <w:t>Selecting high</w:t>
      </w:r>
      <w:r w:rsidR="0093030F">
        <w:noBreakHyphen/>
      </w:r>
      <w:r w:rsidRPr="006B34E8">
        <w:t>quality candidates</w:t>
      </w:r>
    </w:p>
    <w:p w14:paraId="131112D2" w14:textId="5189E3D0" w:rsidR="00462EA9" w:rsidRDefault="00462EA9" w:rsidP="00CD1FEB">
      <w:pPr>
        <w:pStyle w:val="Quote"/>
        <w:framePr w:wrap="around"/>
      </w:pPr>
      <w:r>
        <w:t>‘[T]here are high costs of someone entering higher education as an ITE student if a teacher qualification is ill</w:t>
      </w:r>
      <w:r w:rsidR="001B742C">
        <w:noBreakHyphen/>
      </w:r>
      <w:r>
        <w:t xml:space="preserve">suited to them.’ </w:t>
      </w:r>
    </w:p>
    <w:p w14:paraId="110BCA13" w14:textId="77777777" w:rsidR="00462EA9" w:rsidRDefault="00462EA9" w:rsidP="00CD1FEB">
      <w:pPr>
        <w:pStyle w:val="Quote"/>
        <w:framePr w:wrap="around"/>
      </w:pPr>
      <w:r>
        <w:t>(Productivity Commission submission)</w:t>
      </w:r>
    </w:p>
    <w:p w14:paraId="0C53EED5" w14:textId="497ACE54" w:rsidR="00462EA9" w:rsidRDefault="00462EA9" w:rsidP="0038400C">
      <w:pPr>
        <w:spacing w:before="200"/>
      </w:pPr>
      <w:r w:rsidRPr="00E477FD">
        <w:t xml:space="preserve">As well as attracting people to teaching, it is important to have strong selection requirements to ensure those interested in entering the profession are likely to succeed. </w:t>
      </w:r>
      <w:r>
        <w:t>Entry standards and selection measures are a key component of determining suitability to teach.</w:t>
      </w:r>
    </w:p>
    <w:p w14:paraId="0AFE1023" w14:textId="77777777" w:rsidR="00462EA9" w:rsidRPr="00E477FD" w:rsidRDefault="00462EA9" w:rsidP="00462EA9">
      <w:pPr>
        <w:keepNext/>
        <w:keepLines/>
        <w:spacing w:before="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color w:val="1F3864" w:themeColor="accent1" w:themeShade="80"/>
        </w:rPr>
        <w:t>Academic achievement</w:t>
      </w:r>
    </w:p>
    <w:p w14:paraId="4FBDCF61" w14:textId="318C944F" w:rsidR="00462EA9" w:rsidRDefault="00462EA9" w:rsidP="00462EA9">
      <w:r w:rsidRPr="5D701926">
        <w:rPr>
          <w:noProof/>
        </w:rPr>
        <w:t>There was some support</w:t>
      </w:r>
      <w:r w:rsidR="002029B3">
        <w:rPr>
          <w:noProof/>
        </w:rPr>
        <w:t xml:space="preserve"> among stakeholders</w:t>
      </w:r>
      <w:r w:rsidRPr="5D701926">
        <w:rPr>
          <w:noProof/>
        </w:rPr>
        <w:t xml:space="preserve"> for adopting minimum entry requirements to recruit the top 30</w:t>
      </w:r>
      <w:r w:rsidR="00F14E73">
        <w:rPr>
          <w:noProof/>
        </w:rPr>
        <w:t> </w:t>
      </w:r>
      <w:r w:rsidRPr="5D701926">
        <w:rPr>
          <w:noProof/>
        </w:rPr>
        <w:t xml:space="preserve">per cent of students into teaching, with equivalent measures for those entering ITE from pathways other than completing Year 12 (Australian Education Union submission). Stakeholders noted that there is a perception that low ATAR entry requirements equals low quality candidates </w:t>
      </w:r>
      <w:r>
        <w:t>(</w:t>
      </w:r>
      <w:r w:rsidRPr="5D701926">
        <w:rPr>
          <w:noProof/>
        </w:rPr>
        <w:t>Catholic Education Diocese of Parramatta submission).</w:t>
      </w:r>
    </w:p>
    <w:p w14:paraId="3FC98CB6" w14:textId="39011BB5" w:rsidR="00462EA9" w:rsidRDefault="00462EA9" w:rsidP="00462EA9">
      <w:pPr>
        <w:rPr>
          <w:noProof/>
        </w:rPr>
      </w:pPr>
      <w:r>
        <w:rPr>
          <w:noProof/>
        </w:rPr>
        <w:t xml:space="preserve">Many stakeholders, however, cautioned against setting a minimum academic floor in an attempt to raise standards. </w:t>
      </w:r>
      <w:r w:rsidRPr="00E477FD">
        <w:t>There</w:t>
      </w:r>
      <w:r>
        <w:t xml:space="preserve"> were concerns</w:t>
      </w:r>
      <w:r>
        <w:rPr>
          <w:noProof/>
        </w:rPr>
        <w:t xml:space="preserve"> that setting a minimum ATAR, for example, disadvantages certain cohorts, including students from regional areas, lower socio-economic status areas, and Aboriginal and Torres Strait Islander </w:t>
      </w:r>
      <w:r w:rsidR="00E30484">
        <w:rPr>
          <w:noProof/>
        </w:rPr>
        <w:t>peoples</w:t>
      </w:r>
      <w:r>
        <w:rPr>
          <w:noProof/>
        </w:rPr>
        <w:t xml:space="preserve">. It is also important to acknowledge the relatively small proportion of students who enter ITE on the basis of an ATAR. The majority of ITE students </w:t>
      </w:r>
      <w:r w:rsidR="004043C7">
        <w:rPr>
          <w:noProof/>
        </w:rPr>
        <w:t>at</w:t>
      </w:r>
      <w:r>
        <w:rPr>
          <w:noProof/>
        </w:rPr>
        <w:t xml:space="preserve"> regional higher education providers, for example, do not enter ITE on the basis of an ATAR and many are mature age (Regional Universities Network submission).</w:t>
      </w:r>
    </w:p>
    <w:p w14:paraId="3227FF1B" w14:textId="77777777" w:rsidR="00462EA9" w:rsidRPr="00E477FD" w:rsidRDefault="00462EA9" w:rsidP="00462EA9">
      <w:pPr>
        <w:keepNext/>
        <w:keepLines/>
        <w:spacing w:before="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color w:val="1F3864" w:themeColor="accent1" w:themeShade="80"/>
        </w:rPr>
        <w:t>Non-academic characteristics</w:t>
      </w:r>
    </w:p>
    <w:p w14:paraId="4372723F" w14:textId="77D9548D" w:rsidR="00462EA9" w:rsidRDefault="00462EA9" w:rsidP="00462EA9">
      <w:pPr>
        <w:rPr>
          <w:noProof/>
        </w:rPr>
      </w:pPr>
      <w:r>
        <w:t xml:space="preserve">Many stakeholders agree that consideration of the interpersonal qualities needed by teachers is an important element of selection into ITE programs and that using a range of academic and non-academic measures is a robust way to measure potential </w:t>
      </w:r>
      <w:r w:rsidRPr="002563C0">
        <w:t xml:space="preserve">success. </w:t>
      </w:r>
      <w:r w:rsidRPr="002563C0">
        <w:rPr>
          <w:noProof/>
        </w:rPr>
        <w:t xml:space="preserve">In consultations conducted with current teachers and those interested in a career in teaching, participants discussed the importance of </w:t>
      </w:r>
      <w:r w:rsidR="005027B3">
        <w:rPr>
          <w:noProof/>
        </w:rPr>
        <w:t>e</w:t>
      </w:r>
      <w:r w:rsidR="001C75B7">
        <w:rPr>
          <w:noProof/>
        </w:rPr>
        <w:t>nsuring</w:t>
      </w:r>
      <w:r w:rsidRPr="002563C0">
        <w:rPr>
          <w:noProof/>
        </w:rPr>
        <w:t xml:space="preserve"> there are strategies to assess non-academic skills, and to understand how a candidate would respond in different situations</w:t>
      </w:r>
      <w:r w:rsidR="00295216">
        <w:rPr>
          <w:noProof/>
        </w:rPr>
        <w:t>,</w:t>
      </w:r>
      <w:r w:rsidRPr="002563C0">
        <w:rPr>
          <w:noProof/>
        </w:rPr>
        <w:t xml:space="preserve"> and to students from different backgrounds and circumstances.</w:t>
      </w:r>
      <w:r>
        <w:t xml:space="preserve"> </w:t>
      </w:r>
    </w:p>
    <w:p w14:paraId="1895A0A6" w14:textId="77777777" w:rsidR="00462EA9" w:rsidRDefault="00462EA9" w:rsidP="00462EA9">
      <w:r>
        <w:t>Other stakeholders have expressed a range of concerns over the requirement to assess non-academic characteristics. The Victorian Council of Deans of Education note that the lack of consistency in non-academic assessments across jurisdictions and higher education providers is a deterrent for potential students.</w:t>
      </w:r>
    </w:p>
    <w:p w14:paraId="3F40B7E7" w14:textId="77777777" w:rsidR="00462EA9" w:rsidRDefault="00462EA9" w:rsidP="00462EA9">
      <w:r>
        <w:lastRenderedPageBreak/>
        <w:t xml:space="preserve">Some stakeholders consider there is potential in using approaches similar to other professions such as medicine to assess academic and non-academic attributes (Victorian Council of Deans of Education submission). </w:t>
      </w:r>
    </w:p>
    <w:p w14:paraId="30DBEA37" w14:textId="77777777" w:rsidR="00462EA9" w:rsidRPr="00E477FD" w:rsidRDefault="00462EA9" w:rsidP="00462EA9">
      <w:pPr>
        <w:keepNext/>
        <w:keepLines/>
        <w:spacing w:before="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color w:val="1F3864" w:themeColor="accent1" w:themeShade="80"/>
        </w:rPr>
        <w:t>Impact on teacher supply and diversity</w:t>
      </w:r>
    </w:p>
    <w:p w14:paraId="7FB51CE3" w14:textId="27535EC9" w:rsidR="00462EA9" w:rsidRDefault="00462EA9" w:rsidP="00462EA9">
      <w:r w:rsidRPr="00E477FD">
        <w:t xml:space="preserve">A number of </w:t>
      </w:r>
      <w:r>
        <w:t>stakeholders are concerned about the potential impact of changes to selection criteria on ITE student diversity and teacher supply</w:t>
      </w:r>
      <w:r w:rsidRPr="00E477FD">
        <w:t xml:space="preserve"> (Deakin University submission; Monash University</w:t>
      </w:r>
      <w:r w:rsidR="00C13298">
        <w:t xml:space="preserve"> submission</w:t>
      </w:r>
      <w:r>
        <w:t xml:space="preserve">; </w:t>
      </w:r>
      <w:r>
        <w:rPr>
          <w:noProof/>
        </w:rPr>
        <w:t>Queensland University of Technology submission</w:t>
      </w:r>
      <w:r>
        <w:t>) and whether Aboriginal and Torres Strait Islander peoples have input into how the requirements have been developed and are assessed (New South Wales Aboriginal Education Consultative Group</w:t>
      </w:r>
      <w:r w:rsidR="00C13298">
        <w:t xml:space="preserve"> submission</w:t>
      </w:r>
      <w:r>
        <w:t xml:space="preserve">). Others believe that assessing personal characteristics on entry cannot determine suitability to teaching as well as a year of study with professional experience (University of Canberra submission; Macquarie School of Education submission). There is </w:t>
      </w:r>
      <w:r w:rsidR="00635813">
        <w:t>a</w:t>
      </w:r>
      <w:r>
        <w:t xml:space="preserve"> concern that relying on entry assessments will result in some potentially good teachers being excluded from ITE courses (University of Canberra submission). </w:t>
      </w:r>
    </w:p>
    <w:p w14:paraId="622239A8" w14:textId="77777777" w:rsidR="00462EA9" w:rsidRPr="00E477FD" w:rsidRDefault="00462EA9" w:rsidP="00462EA9">
      <w:pPr>
        <w:keepNext/>
        <w:keepLines/>
        <w:spacing w:before="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color w:val="1F3864" w:themeColor="accent1" w:themeShade="80"/>
        </w:rPr>
        <w:t>Effect of non-academic selection</w:t>
      </w:r>
    </w:p>
    <w:p w14:paraId="47990834" w14:textId="446801C9" w:rsidR="005E78AB" w:rsidRDefault="00462EA9" w:rsidP="00462EA9">
      <w:r>
        <w:t xml:space="preserve">Some stakeholders consider that the introduction of non-academic entry requirements has not made any difference with regards to </w:t>
      </w:r>
      <w:r w:rsidR="00A1068A">
        <w:t>ITE student</w:t>
      </w:r>
      <w:r>
        <w:t xml:space="preserve"> progress, completion or retention of students (Macquarie School of Education submission; Flinders University submission). It is also acknowledged that there is a lack of evidence on the impact of the requirements. A number of higher education providers note that the reliability and validity of non-academic entry tools are yet to be tested and it is too soon to assess the impact of these requirements.</w:t>
      </w:r>
      <w:r w:rsidR="00C75009">
        <w:t xml:space="preserve"> </w:t>
      </w:r>
    </w:p>
    <w:p w14:paraId="0841244C" w14:textId="2EBE7414" w:rsidR="001355A3" w:rsidRDefault="0092295F" w:rsidP="00462EA9">
      <w:r>
        <w:t>The Uni</w:t>
      </w:r>
      <w:r w:rsidR="003204F0">
        <w:t>versity</w:t>
      </w:r>
      <w:r w:rsidR="00AE3A64">
        <w:t xml:space="preserve"> of Melbourne</w:t>
      </w:r>
      <w:r w:rsidR="002F66A8">
        <w:t xml:space="preserve"> </w:t>
      </w:r>
      <w:r w:rsidR="005E78AB">
        <w:t>Graduate School of Education</w:t>
      </w:r>
      <w:r w:rsidR="001355A3">
        <w:t xml:space="preserve"> (MGSE)</w:t>
      </w:r>
      <w:r w:rsidR="005E78AB">
        <w:t>, however, has developed an evidence</w:t>
      </w:r>
      <w:r w:rsidR="00EE23D8">
        <w:noBreakHyphen/>
      </w:r>
      <w:r w:rsidR="005E78AB">
        <w:t xml:space="preserve">based approach to the selection and development of </w:t>
      </w:r>
      <w:r w:rsidR="00332A1B">
        <w:t>ITE students</w:t>
      </w:r>
      <w:r w:rsidR="005E78AB">
        <w:t xml:space="preserve">. </w:t>
      </w:r>
      <w:r w:rsidR="00F050EF">
        <w:t xml:space="preserve">The </w:t>
      </w:r>
      <w:r w:rsidR="00BC0C75">
        <w:t>TCA</w:t>
      </w:r>
      <w:r w:rsidR="00572D58">
        <w:t>T</w:t>
      </w:r>
      <w:r w:rsidR="00220C17">
        <w:t xml:space="preserve"> embeds assessments focusing on a range of </w:t>
      </w:r>
      <w:r w:rsidR="00391A9B">
        <w:t>factors including motivations for teaching, cognitive reasoning skills and non-cognitive domains.</w:t>
      </w:r>
      <w:r w:rsidR="00FC75D0">
        <w:t xml:space="preserve"> TCAT also </w:t>
      </w:r>
      <w:r w:rsidR="003402F6">
        <w:t>explores</w:t>
      </w:r>
      <w:r w:rsidR="002E5989">
        <w:t xml:space="preserve"> </w:t>
      </w:r>
      <w:r w:rsidR="00EA76E6">
        <w:t>the reasons why people apply to enter different ITE programs</w:t>
      </w:r>
      <w:r w:rsidR="001B1AF6">
        <w:t xml:space="preserve">, </w:t>
      </w:r>
      <w:r w:rsidR="00515BFD">
        <w:t xml:space="preserve">applicant’s </w:t>
      </w:r>
      <w:r w:rsidR="00515BFD" w:rsidRPr="00515BFD">
        <w:t>reflections on teaching</w:t>
      </w:r>
      <w:r w:rsidR="003C0C46">
        <w:t xml:space="preserve">, </w:t>
      </w:r>
      <w:r w:rsidR="00062AC0">
        <w:t xml:space="preserve">as well as </w:t>
      </w:r>
      <w:r w:rsidR="00AE4114">
        <w:t xml:space="preserve">psychosocial characteristics such as cultural competency and resilience of the candidates. </w:t>
      </w:r>
    </w:p>
    <w:p w14:paraId="65061113" w14:textId="78309B17" w:rsidR="00C235E4" w:rsidRDefault="003E1236" w:rsidP="00462EA9">
      <w:r>
        <w:t xml:space="preserve">The </w:t>
      </w:r>
      <w:r w:rsidR="001355A3">
        <w:t>MGSE</w:t>
      </w:r>
      <w:r>
        <w:t xml:space="preserve"> reports that TCAT results have demonstrated </w:t>
      </w:r>
      <w:r w:rsidR="000B728E">
        <w:t>that d</w:t>
      </w:r>
      <w:r w:rsidR="007C208A">
        <w:t>ispositional measures combined with a grade point average score is a powerful predictor of success in an ITE program</w:t>
      </w:r>
      <w:r w:rsidR="00D37A4D">
        <w:t xml:space="preserve"> (</w:t>
      </w:r>
      <w:r w:rsidR="00052F9B">
        <w:t>University of Melbourne Graduate School of Education submission)</w:t>
      </w:r>
      <w:r w:rsidR="007C208A">
        <w:t xml:space="preserve">. </w:t>
      </w:r>
    </w:p>
    <w:p w14:paraId="783484E2" w14:textId="269A7CC1" w:rsidR="00462EA9" w:rsidRDefault="000E1CCD" w:rsidP="00462EA9">
      <w:r w:rsidRPr="1A902464">
        <w:t xml:space="preserve">The MGSE instrument TCAT is the most evidence-based </w:t>
      </w:r>
      <w:r w:rsidR="00C45EE8" w:rsidRPr="00014F25">
        <w:t>selection</w:t>
      </w:r>
      <w:r w:rsidR="00C45EE8">
        <w:t xml:space="preserve"> </w:t>
      </w:r>
      <w:r w:rsidRPr="1A902464">
        <w:t xml:space="preserve">instrument presented to this Review. The </w:t>
      </w:r>
      <w:r w:rsidR="00E13CF1">
        <w:t>Expert P</w:t>
      </w:r>
      <w:r w:rsidRPr="1A902464">
        <w:t xml:space="preserve">anel suggests that </w:t>
      </w:r>
      <w:r w:rsidR="00E5592F">
        <w:t>higher education</w:t>
      </w:r>
      <w:r w:rsidRPr="1A902464">
        <w:t xml:space="preserve"> providers consider using this tool.</w:t>
      </w:r>
    </w:p>
    <w:p w14:paraId="11DAC92A" w14:textId="77777777" w:rsidR="00462EA9" w:rsidRPr="00E477FD" w:rsidRDefault="00462EA9" w:rsidP="00462EA9">
      <w:pPr>
        <w:keepNext/>
        <w:keepLines/>
        <w:spacing w:before="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color w:val="1F3864" w:themeColor="accent1" w:themeShade="80"/>
        </w:rPr>
        <w:t>Subject eligibility</w:t>
      </w:r>
    </w:p>
    <w:p w14:paraId="11641BDD" w14:textId="4C9F9116" w:rsidR="00462EA9" w:rsidRDefault="00462EA9" w:rsidP="0038400C">
      <w:pPr>
        <w:textAlignment w:val="baseline"/>
      </w:pPr>
      <w:r>
        <w:t xml:space="preserve">A further area of consideration is subject eligibility requirements </w:t>
      </w:r>
      <w:r w:rsidR="00D02B69">
        <w:t xml:space="preserve">which </w:t>
      </w:r>
      <w:r>
        <w:t>can restrict many from entering ITE programs. T</w:t>
      </w:r>
      <w:r w:rsidR="001A7441">
        <w:t>FA</w:t>
      </w:r>
      <w:r>
        <w:t xml:space="preserve"> points to a key restriction in the Australian Qualifications Framework (AQF) which requires applicants who completed their undergraduate degree over 10 years ago to show the continued relevancy and experience in their learning area (Teach For Australia submission). T</w:t>
      </w:r>
      <w:r w:rsidR="001A7441">
        <w:t>FA</w:t>
      </w:r>
      <w:r>
        <w:t xml:space="preserve"> ha</w:t>
      </w:r>
      <w:r w:rsidR="002B26C7">
        <w:t>s</w:t>
      </w:r>
      <w:r>
        <w:t xml:space="preserve"> found that candidates with undergraduate degrees in media, architecture, the clinical sciences (such as nursing) and even engineers who have studied applied mathematics have difficulty </w:t>
      </w:r>
      <w:r w:rsidR="00A350AC">
        <w:t xml:space="preserve">meeting </w:t>
      </w:r>
      <w:r>
        <w:t xml:space="preserve">eligibility </w:t>
      </w:r>
      <w:r w:rsidR="00A350AC">
        <w:t>requirements</w:t>
      </w:r>
      <w:r>
        <w:t>.</w:t>
      </w:r>
    </w:p>
    <w:p w14:paraId="7DF27846" w14:textId="45B446F3" w:rsidR="00462EA9" w:rsidRPr="00E477FD" w:rsidRDefault="00462EA9" w:rsidP="00462EA9">
      <w:pPr>
        <w:keepNext/>
        <w:keepLines/>
        <w:spacing w:before="40" w:after="0"/>
        <w:ind w:left="1247" w:hanging="1247"/>
        <w:outlineLvl w:val="5"/>
        <w:rPr>
          <w:rFonts w:ascii="Calibri" w:eastAsiaTheme="majorEastAsia" w:hAnsi="Calibri" w:cstheme="majorBidi"/>
          <w:b/>
          <w:u w:val="single"/>
        </w:rPr>
      </w:pPr>
      <w:r w:rsidRPr="00E477FD">
        <w:rPr>
          <w:rFonts w:ascii="Calibri" w:eastAsiaTheme="majorEastAsia" w:hAnsi="Calibri" w:cstheme="majorBidi"/>
          <w:b/>
          <w:u w:val="single"/>
        </w:rPr>
        <w:t xml:space="preserve">Diversifying pathways into </w:t>
      </w:r>
      <w:r w:rsidR="000752E1">
        <w:rPr>
          <w:rFonts w:ascii="Calibri" w:eastAsiaTheme="majorEastAsia" w:hAnsi="Calibri" w:cstheme="majorBidi"/>
          <w:b/>
          <w:u w:val="single"/>
        </w:rPr>
        <w:t>initial teacher education</w:t>
      </w:r>
    </w:p>
    <w:p w14:paraId="093DC06E" w14:textId="77777777" w:rsidR="00D800CA" w:rsidRDefault="00462EA9" w:rsidP="00462EA9">
      <w:r w:rsidRPr="00E477FD">
        <w:t xml:space="preserve">There </w:t>
      </w:r>
      <w:r w:rsidR="003A2CFB">
        <w:t>is</w:t>
      </w:r>
      <w:r w:rsidRPr="00E477FD">
        <w:t xml:space="preserve"> almost unanimous support from stakeholders for providing more pathways into ITE as a way of attracting high</w:t>
      </w:r>
      <w:r>
        <w:t>-</w:t>
      </w:r>
      <w:r w:rsidRPr="00E477FD">
        <w:t xml:space="preserve">quality candidates to the profession. There </w:t>
      </w:r>
      <w:r w:rsidR="003A2CFB">
        <w:t>are differing</w:t>
      </w:r>
      <w:r w:rsidRPr="00E477FD">
        <w:t xml:space="preserve"> views, however, as to what kind of pathways should be offered. </w:t>
      </w:r>
    </w:p>
    <w:p w14:paraId="120335EE" w14:textId="61803246" w:rsidR="00EA33E9" w:rsidRDefault="00462EA9" w:rsidP="00462EA9">
      <w:r w:rsidRPr="00E477FD">
        <w:lastRenderedPageBreak/>
        <w:t>Higher education providers and employers highlighted current innovative approaches to the delivery of ITE programs, including offering accelerated pathways or employment-based programs. Employment-based or internship models are a popular approach to address the perceived barriers for entry into ITE for cohorts such as mid-career changers.</w:t>
      </w:r>
      <w:r w:rsidR="00D800CA">
        <w:t xml:space="preserve"> </w:t>
      </w:r>
      <w:r w:rsidR="00EA33E9">
        <w:t xml:space="preserve">Additionally, </w:t>
      </w:r>
      <w:r w:rsidR="00CB35A6">
        <w:t xml:space="preserve">some stakeholders </w:t>
      </w:r>
      <w:r w:rsidR="0024347C">
        <w:t>indicated the</w:t>
      </w:r>
      <w:r w:rsidR="00CB35A6">
        <w:t xml:space="preserve"> </w:t>
      </w:r>
      <w:r w:rsidR="00F42511">
        <w:t>potential for alternative pathway programs</w:t>
      </w:r>
      <w:r w:rsidR="003C6EF7">
        <w:t xml:space="preserve"> or accelerated c</w:t>
      </w:r>
      <w:r w:rsidR="00EC1CC7">
        <w:t>ourses</w:t>
      </w:r>
      <w:r w:rsidR="00F42511">
        <w:t xml:space="preserve"> </w:t>
      </w:r>
      <w:r w:rsidR="004C27F9">
        <w:t>to</w:t>
      </w:r>
      <w:r w:rsidR="00F42511">
        <w:t xml:space="preserve"> </w:t>
      </w:r>
      <w:r w:rsidR="00B65198">
        <w:t>assist in addressing</w:t>
      </w:r>
      <w:r w:rsidR="00F42511">
        <w:t xml:space="preserve"> low </w:t>
      </w:r>
      <w:r w:rsidR="00504367">
        <w:t xml:space="preserve">ITE </w:t>
      </w:r>
      <w:r w:rsidR="00F42511">
        <w:t xml:space="preserve">completion rates </w:t>
      </w:r>
      <w:r w:rsidR="00653AB7">
        <w:t>(Monash University submission</w:t>
      </w:r>
      <w:r w:rsidR="006F24A2">
        <w:t>; Queensland College of Teachers submission</w:t>
      </w:r>
      <w:r w:rsidR="00653AB7">
        <w:t>)</w:t>
      </w:r>
      <w:r w:rsidR="00B03776">
        <w:t>.</w:t>
      </w:r>
      <w:r w:rsidR="00504367">
        <w:t xml:space="preserve"> </w:t>
      </w:r>
    </w:p>
    <w:p w14:paraId="5C4AE426" w14:textId="02CE35F7" w:rsidR="00462EA9" w:rsidRPr="00E477FD" w:rsidRDefault="00462EA9" w:rsidP="00462EA9">
      <w:pPr>
        <w:keepNext/>
        <w:keepLines/>
        <w:spacing w:before="40" w:after="0"/>
        <w:outlineLvl w:val="6"/>
        <w:rPr>
          <w:rFonts w:asciiTheme="majorHAnsi" w:eastAsiaTheme="majorEastAsia" w:hAnsiTheme="majorHAnsi" w:cstheme="majorBidi"/>
          <w:i/>
          <w:iCs/>
          <w:color w:val="1F3763" w:themeColor="accent1" w:themeShade="7F"/>
        </w:rPr>
      </w:pPr>
      <w:r w:rsidRPr="00E477FD">
        <w:rPr>
          <w:rFonts w:asciiTheme="majorHAnsi" w:eastAsiaTheme="majorEastAsia" w:hAnsiTheme="majorHAnsi" w:cstheme="majorBidi"/>
          <w:i/>
          <w:iCs/>
          <w:color w:val="1F3763" w:themeColor="accent1" w:themeShade="7F"/>
        </w:rPr>
        <w:t xml:space="preserve">Postgraduate </w:t>
      </w:r>
      <w:r w:rsidR="000752E1">
        <w:rPr>
          <w:rFonts w:asciiTheme="majorHAnsi" w:eastAsiaTheme="majorEastAsia" w:hAnsiTheme="majorHAnsi" w:cstheme="majorBidi"/>
          <w:i/>
          <w:iCs/>
          <w:color w:val="1F3763" w:themeColor="accent1" w:themeShade="7F"/>
        </w:rPr>
        <w:t>initial teacher education</w:t>
      </w:r>
      <w:r w:rsidRPr="00E477FD">
        <w:rPr>
          <w:rFonts w:asciiTheme="majorHAnsi" w:eastAsiaTheme="majorEastAsia" w:hAnsiTheme="majorHAnsi" w:cstheme="majorBidi"/>
          <w:i/>
          <w:iCs/>
          <w:color w:val="1F3763" w:themeColor="accent1" w:themeShade="7F"/>
        </w:rPr>
        <w:t xml:space="preserve"> programs</w:t>
      </w:r>
    </w:p>
    <w:p w14:paraId="401F61AB" w14:textId="24F59A26" w:rsidR="00462EA9" w:rsidRDefault="00462EA9" w:rsidP="00462EA9">
      <w:r>
        <w:t>Stakeholder opinion is divided, however</w:t>
      </w:r>
      <w:r w:rsidR="008C3E0C">
        <w:t>,</w:t>
      </w:r>
      <w:r>
        <w:t xml:space="preserve"> on whether the requirements for postgraduate programs should be changed. </w:t>
      </w:r>
    </w:p>
    <w:p w14:paraId="0EF2AB20" w14:textId="089B948E" w:rsidR="00462EA9" w:rsidRDefault="00462EA9" w:rsidP="00462EA9">
      <w:r>
        <w:t xml:space="preserve">The time taken to complete a postgraduate ITE program, and the loss of income while studying (particularly due to professional experience requirements) are considered significant barriers in attracting mid-career professionals. </w:t>
      </w:r>
    </w:p>
    <w:p w14:paraId="06C72B4C" w14:textId="141BCFCA" w:rsidR="005322E3" w:rsidRDefault="005322E3" w:rsidP="0038400C">
      <w:r>
        <w:t>The BETA survey showed that f</w:t>
      </w:r>
      <w:r w:rsidRPr="002C7132">
        <w:t>or those mid-career professionals who were open to teaching, the vast majority underestimated the length of study required to become a teacher. Even among those who are planning to become teachers, only 28</w:t>
      </w:r>
      <w:r w:rsidR="007C6F5E">
        <w:t xml:space="preserve"> per cent</w:t>
      </w:r>
      <w:r w:rsidRPr="002C7132">
        <w:t xml:space="preserve"> </w:t>
      </w:r>
      <w:r w:rsidR="006207FE">
        <w:t xml:space="preserve">knew </w:t>
      </w:r>
      <w:r w:rsidRPr="002C7132">
        <w:t xml:space="preserve">that they would need to complete a </w:t>
      </w:r>
      <w:r w:rsidR="00EF691B">
        <w:t>two</w:t>
      </w:r>
      <w:r w:rsidRPr="002C7132">
        <w:t>-year Masters.</w:t>
      </w:r>
    </w:p>
    <w:p w14:paraId="0E9BA17A" w14:textId="023B9E6A" w:rsidR="00462EA9" w:rsidRPr="00E477FD" w:rsidRDefault="00462EA9" w:rsidP="0038400C">
      <w:r w:rsidRPr="00E477FD">
        <w:t xml:space="preserve">Some stakeholders recommend reconsidering the </w:t>
      </w:r>
      <w:r w:rsidR="00543BA0">
        <w:t>duration of study</w:t>
      </w:r>
      <w:r w:rsidR="00543BA0" w:rsidRPr="00E477FD">
        <w:t xml:space="preserve"> </w:t>
      </w:r>
      <w:r w:rsidRPr="00E477FD">
        <w:t xml:space="preserve">required and returning to a one-year format to fast-track new teachers into classrooms. The phasing out of the one-year Diploma of Education is </w:t>
      </w:r>
      <w:r>
        <w:t>reported</w:t>
      </w:r>
      <w:r w:rsidRPr="00E477FD">
        <w:t xml:space="preserve"> </w:t>
      </w:r>
      <w:r w:rsidR="00281714">
        <w:t xml:space="preserve">by these stakeholders </w:t>
      </w:r>
      <w:r w:rsidRPr="00E477FD">
        <w:t>to have had a negative impact on postgraduate ITE enrolments.</w:t>
      </w:r>
    </w:p>
    <w:p w14:paraId="038E774D" w14:textId="5674BEFA" w:rsidR="00462EA9" w:rsidRPr="00E477FD" w:rsidRDefault="00462EA9" w:rsidP="0038400C">
      <w:r>
        <w:t>Further, some stakeholders argued that mid-career professionals with a relevant undergraduate degree and professional experience would be able to gain the necessary skills and experience from a one-year qualification to make them successful secondary school teachers. Other s</w:t>
      </w:r>
      <w:r w:rsidRPr="00E477FD">
        <w:t xml:space="preserve">takeholders in favour of retaining the two-year </w:t>
      </w:r>
      <w:r w:rsidR="007C6F5E">
        <w:t>M</w:t>
      </w:r>
      <w:r w:rsidRPr="00E477FD">
        <w:t>aster</w:t>
      </w:r>
      <w:r>
        <w:t>s</w:t>
      </w:r>
      <w:r w:rsidRPr="00E477FD">
        <w:t xml:space="preserve"> requirement indicated that single year programs are too short to provide the required level of pedagogical, disciplinary and content knowledge, especially for those studying primary education. Masters level degrees are considered academically and professionally proportionate with the complexity and status of the teaching profession (University of Southern Cross submission; Australian Education Union submission; University of Wollongong submission). In addition, some higher education providers highlighted that </w:t>
      </w:r>
      <w:r w:rsidR="007C6F5E">
        <w:t>M</w:t>
      </w:r>
      <w:r w:rsidRPr="00E477FD">
        <w:t xml:space="preserve">asters degrees include valuable research components, as required within the </w:t>
      </w:r>
      <w:r w:rsidR="0000035E">
        <w:t>AQF</w:t>
      </w:r>
      <w:r w:rsidRPr="00E477FD">
        <w:t>.</w:t>
      </w:r>
    </w:p>
    <w:p w14:paraId="07A25FBD" w14:textId="376962D9" w:rsidR="00462EA9" w:rsidRDefault="00462EA9" w:rsidP="0038400C">
      <w:r>
        <w:t xml:space="preserve">A number of higher education providers note that the impact of the two-year </w:t>
      </w:r>
      <w:r w:rsidR="00016EBB">
        <w:t xml:space="preserve">Masters </w:t>
      </w:r>
      <w:r>
        <w:t>requirement on enrolments has been negligible and that most higher education providers have introduced alternative or accelerated pathways designed to allow faster completion (Macquarie School of Education submission; Southern Cross University submission; GO8 submission; University of Canberra submission). Most higher education providers offer accelerated pathways to completing a Master of Teaching, which in some instances allows students to complete the course within 13 months</w:t>
      </w:r>
      <w:r w:rsidR="00207312">
        <w:t xml:space="preserve"> (Table 2)</w:t>
      </w:r>
      <w:r>
        <w:t xml:space="preserve">. </w:t>
      </w:r>
    </w:p>
    <w:p w14:paraId="7B3F913A" w14:textId="541CCB34" w:rsidR="00462EA9" w:rsidRPr="0071594B" w:rsidRDefault="00462EA9" w:rsidP="00754314">
      <w:pPr>
        <w:keepNext/>
        <w:spacing w:after="0"/>
        <w:rPr>
          <w:color w:val="auto"/>
          <w:sz w:val="18"/>
          <w:szCs w:val="18"/>
        </w:rPr>
      </w:pPr>
      <w:r w:rsidRPr="00371FD2">
        <w:rPr>
          <w:color w:val="auto"/>
          <w:sz w:val="18"/>
          <w:szCs w:val="18"/>
        </w:rPr>
        <w:lastRenderedPageBreak/>
        <w:t>Table</w:t>
      </w:r>
      <w:r w:rsidRPr="0071594B">
        <w:rPr>
          <w:color w:val="auto"/>
          <w:sz w:val="18"/>
          <w:szCs w:val="18"/>
        </w:rPr>
        <w:t xml:space="preserve"> </w:t>
      </w:r>
      <w:r w:rsidRPr="00371FD2">
        <w:rPr>
          <w:color w:val="auto"/>
          <w:sz w:val="18"/>
          <w:szCs w:val="18"/>
        </w:rPr>
        <w:fldChar w:fldCharType="begin"/>
      </w:r>
      <w:r w:rsidRPr="0071594B">
        <w:rPr>
          <w:color w:val="auto"/>
          <w:sz w:val="18"/>
          <w:szCs w:val="18"/>
        </w:rPr>
        <w:instrText xml:space="preserve"> SEQ Table \* ARABIC </w:instrText>
      </w:r>
      <w:r w:rsidRPr="00371FD2">
        <w:rPr>
          <w:color w:val="auto"/>
          <w:sz w:val="18"/>
          <w:szCs w:val="18"/>
        </w:rPr>
        <w:fldChar w:fldCharType="separate"/>
      </w:r>
      <w:r w:rsidR="00B454C1">
        <w:rPr>
          <w:noProof/>
          <w:color w:val="auto"/>
          <w:sz w:val="18"/>
          <w:szCs w:val="18"/>
        </w:rPr>
        <w:t>2</w:t>
      </w:r>
      <w:r w:rsidRPr="00371FD2">
        <w:rPr>
          <w:color w:val="auto"/>
          <w:sz w:val="18"/>
          <w:szCs w:val="18"/>
        </w:rPr>
        <w:fldChar w:fldCharType="end"/>
      </w:r>
      <w:r w:rsidR="00493066">
        <w:rPr>
          <w:color w:val="auto"/>
          <w:sz w:val="18"/>
          <w:szCs w:val="18"/>
        </w:rPr>
        <w:t>.</w:t>
      </w:r>
      <w:r w:rsidRPr="00371FD2">
        <w:rPr>
          <w:color w:val="auto"/>
          <w:sz w:val="18"/>
          <w:szCs w:val="18"/>
        </w:rPr>
        <w:t xml:space="preserve"> Example</w:t>
      </w:r>
      <w:r w:rsidR="00493066">
        <w:rPr>
          <w:color w:val="auto"/>
          <w:sz w:val="18"/>
          <w:szCs w:val="18"/>
        </w:rPr>
        <w:t>s</w:t>
      </w:r>
      <w:r w:rsidRPr="00371FD2">
        <w:rPr>
          <w:color w:val="auto"/>
          <w:sz w:val="18"/>
          <w:szCs w:val="18"/>
        </w:rPr>
        <w:t xml:space="preserve"> of Accelerated programs</w:t>
      </w:r>
    </w:p>
    <w:tbl>
      <w:tblPr>
        <w:tblStyle w:val="TableGrid"/>
        <w:tblW w:w="0" w:type="auto"/>
        <w:tblLook w:val="04A0" w:firstRow="1" w:lastRow="0" w:firstColumn="1" w:lastColumn="0" w:noHBand="0" w:noVBand="1"/>
      </w:tblPr>
      <w:tblGrid>
        <w:gridCol w:w="2127"/>
        <w:gridCol w:w="6883"/>
      </w:tblGrid>
      <w:tr w:rsidR="00462EA9" w14:paraId="719ED6EC" w14:textId="77777777" w:rsidTr="00435C2E">
        <w:tc>
          <w:tcPr>
            <w:tcW w:w="2127" w:type="dxa"/>
            <w:shd w:val="clear" w:color="auto" w:fill="B4C6E7" w:themeFill="accent1" w:themeFillTint="66"/>
          </w:tcPr>
          <w:p w14:paraId="50B3476B" w14:textId="77777777" w:rsidR="00462EA9" w:rsidRPr="00435C2E" w:rsidRDefault="00462EA9" w:rsidP="0038400C">
            <w:pPr>
              <w:keepNext/>
              <w:keepLines/>
              <w:spacing w:after="0"/>
              <w:jc w:val="center"/>
              <w:rPr>
                <w:b/>
                <w:bCs/>
                <w:color w:val="auto"/>
              </w:rPr>
            </w:pPr>
            <w:r w:rsidRPr="00435C2E">
              <w:rPr>
                <w:b/>
                <w:bCs/>
                <w:color w:val="auto"/>
              </w:rPr>
              <w:t>Jurisdiction</w:t>
            </w:r>
          </w:p>
        </w:tc>
        <w:tc>
          <w:tcPr>
            <w:tcW w:w="6883" w:type="dxa"/>
            <w:shd w:val="clear" w:color="auto" w:fill="B4C6E7" w:themeFill="accent1" w:themeFillTint="66"/>
          </w:tcPr>
          <w:p w14:paraId="08C7BCB3" w14:textId="281644C6" w:rsidR="00462EA9" w:rsidRPr="00435C2E" w:rsidRDefault="00462EA9" w:rsidP="0038400C">
            <w:pPr>
              <w:keepNext/>
              <w:keepLines/>
              <w:spacing w:after="0"/>
              <w:jc w:val="center"/>
              <w:rPr>
                <w:b/>
                <w:bCs/>
                <w:color w:val="auto"/>
              </w:rPr>
            </w:pPr>
            <w:r w:rsidRPr="00435C2E">
              <w:rPr>
                <w:b/>
                <w:bCs/>
                <w:color w:val="auto"/>
              </w:rPr>
              <w:t>Examples</w:t>
            </w:r>
          </w:p>
        </w:tc>
      </w:tr>
      <w:tr w:rsidR="00462EA9" w14:paraId="71A87C07" w14:textId="77777777" w:rsidTr="00435C2E">
        <w:tc>
          <w:tcPr>
            <w:tcW w:w="2127" w:type="dxa"/>
          </w:tcPr>
          <w:p w14:paraId="75A808E7" w14:textId="77777777" w:rsidR="00462EA9" w:rsidRDefault="00462EA9" w:rsidP="0038400C">
            <w:pPr>
              <w:keepNext/>
              <w:keepLines/>
              <w:spacing w:after="0"/>
              <w:rPr>
                <w:highlight w:val="yellow"/>
              </w:rPr>
            </w:pPr>
            <w:r>
              <w:t xml:space="preserve">Queensland </w:t>
            </w:r>
          </w:p>
        </w:tc>
        <w:tc>
          <w:tcPr>
            <w:tcW w:w="6883" w:type="dxa"/>
          </w:tcPr>
          <w:p w14:paraId="4A6A78C8" w14:textId="1DC70231" w:rsidR="00462EA9" w:rsidRPr="00E477FD" w:rsidRDefault="00462EA9" w:rsidP="00F66D2A">
            <w:pPr>
              <w:keepNext/>
              <w:keepLines/>
              <w:numPr>
                <w:ilvl w:val="0"/>
                <w:numId w:val="11"/>
              </w:numPr>
              <w:spacing w:after="0"/>
              <w:contextualSpacing/>
            </w:pPr>
            <w:r>
              <w:t xml:space="preserve">Seven out of the </w:t>
            </w:r>
            <w:r w:rsidR="00D21AFA">
              <w:t xml:space="preserve">19 </w:t>
            </w:r>
            <w:r>
              <w:t>Master of Teaching programs on offer in the state can now be completed in 18 months while containing the equivalent of a two</w:t>
            </w:r>
            <w:r w:rsidR="003415EC">
              <w:noBreakHyphen/>
            </w:r>
            <w:r>
              <w:t xml:space="preserve">year student load. </w:t>
            </w:r>
          </w:p>
        </w:tc>
      </w:tr>
      <w:tr w:rsidR="00462EA9" w14:paraId="341135BA" w14:textId="77777777" w:rsidTr="00435C2E">
        <w:tc>
          <w:tcPr>
            <w:tcW w:w="2127" w:type="dxa"/>
          </w:tcPr>
          <w:p w14:paraId="67AAFD8B" w14:textId="77777777" w:rsidR="00462EA9" w:rsidRDefault="00462EA9" w:rsidP="0038400C">
            <w:pPr>
              <w:keepNext/>
              <w:keepLines/>
              <w:spacing w:after="0"/>
              <w:rPr>
                <w:highlight w:val="yellow"/>
              </w:rPr>
            </w:pPr>
            <w:r>
              <w:rPr>
                <w:rFonts w:ascii="Calibri" w:eastAsia="Calibri" w:hAnsi="Calibri"/>
                <w:lang w:val="en-US"/>
              </w:rPr>
              <w:t>New South Wales</w:t>
            </w:r>
          </w:p>
        </w:tc>
        <w:tc>
          <w:tcPr>
            <w:tcW w:w="6883" w:type="dxa"/>
          </w:tcPr>
          <w:p w14:paraId="25CDB801" w14:textId="77777777" w:rsidR="00462EA9" w:rsidRPr="00E477FD" w:rsidRDefault="00462EA9" w:rsidP="00F66D2A">
            <w:pPr>
              <w:keepNext/>
              <w:keepLines/>
              <w:numPr>
                <w:ilvl w:val="0"/>
                <w:numId w:val="10"/>
              </w:numPr>
              <w:spacing w:after="0"/>
              <w:contextualSpacing/>
            </w:pPr>
            <w:r>
              <w:t>The University of New South Wales</w:t>
            </w:r>
            <w:r w:rsidDel="003E00CC">
              <w:t xml:space="preserve"> </w:t>
            </w:r>
            <w:r w:rsidRPr="00E477FD">
              <w:rPr>
                <w:rFonts w:ascii="Calibri" w:eastAsia="Calibri" w:hAnsi="Calibri"/>
                <w:lang w:val="en-US"/>
              </w:rPr>
              <w:t>offers compressed postgraduate ITE models, including the Master of Teaching (Secondary), where two years of traditional semester-format study is compressed into 1.3 years of study.</w:t>
            </w:r>
          </w:p>
          <w:p w14:paraId="6018D787" w14:textId="3EA00D25" w:rsidR="00462EA9" w:rsidRPr="00E477FD" w:rsidRDefault="00462EA9" w:rsidP="00F66D2A">
            <w:pPr>
              <w:keepNext/>
              <w:keepLines/>
              <w:numPr>
                <w:ilvl w:val="0"/>
                <w:numId w:val="10"/>
              </w:numPr>
              <w:spacing w:after="0"/>
              <w:contextualSpacing/>
            </w:pPr>
            <w:r>
              <w:rPr>
                <w:rFonts w:ascii="Calibri" w:eastAsia="Calibri" w:hAnsi="Calibri"/>
                <w:lang w:val="en-US"/>
              </w:rPr>
              <w:t>The</w:t>
            </w:r>
            <w:r w:rsidRPr="00DD37D8">
              <w:rPr>
                <w:rFonts w:ascii="Calibri" w:eastAsia="Calibri" w:hAnsi="Calibri"/>
                <w:lang w:val="en-US"/>
              </w:rPr>
              <w:t xml:space="preserve"> University of Sydney</w:t>
            </w:r>
            <w:r>
              <w:rPr>
                <w:rFonts w:ascii="Calibri" w:eastAsia="Calibri" w:hAnsi="Calibri"/>
                <w:lang w:val="en-US"/>
              </w:rPr>
              <w:t xml:space="preserve"> offers the</w:t>
            </w:r>
            <w:r w:rsidRPr="00DD37D8">
              <w:rPr>
                <w:rFonts w:ascii="Calibri" w:eastAsia="Calibri" w:hAnsi="Calibri"/>
                <w:lang w:val="en-US"/>
              </w:rPr>
              <w:t xml:space="preserve"> Master of Teaching, which is compressed into 1.67 years (20 months) of study</w:t>
            </w:r>
            <w:r w:rsidR="00C12C76">
              <w:rPr>
                <w:rFonts w:ascii="Calibri" w:eastAsia="Calibri" w:hAnsi="Calibri"/>
                <w:lang w:val="en-US"/>
              </w:rPr>
              <w:t>.</w:t>
            </w:r>
          </w:p>
        </w:tc>
      </w:tr>
      <w:tr w:rsidR="00462EA9" w14:paraId="2D33A3EF" w14:textId="77777777" w:rsidTr="00435C2E">
        <w:tc>
          <w:tcPr>
            <w:tcW w:w="2127" w:type="dxa"/>
          </w:tcPr>
          <w:p w14:paraId="1346F8B0" w14:textId="77777777" w:rsidR="00462EA9" w:rsidRPr="00E477FD" w:rsidRDefault="00462EA9" w:rsidP="0038400C">
            <w:pPr>
              <w:keepNext/>
              <w:keepLines/>
              <w:spacing w:after="0"/>
            </w:pPr>
            <w:r w:rsidRPr="00E477FD">
              <w:t>Victoria</w:t>
            </w:r>
          </w:p>
        </w:tc>
        <w:tc>
          <w:tcPr>
            <w:tcW w:w="6883" w:type="dxa"/>
          </w:tcPr>
          <w:p w14:paraId="24BF42CB" w14:textId="18628BBE" w:rsidR="00462EA9" w:rsidRDefault="00462EA9" w:rsidP="00F66D2A">
            <w:pPr>
              <w:keepNext/>
              <w:keepLines/>
              <w:numPr>
                <w:ilvl w:val="0"/>
                <w:numId w:val="12"/>
              </w:numPr>
              <w:spacing w:after="0"/>
              <w:contextualSpacing/>
            </w:pPr>
            <w:r>
              <w:t xml:space="preserve">Federation University and </w:t>
            </w:r>
            <w:r w:rsidR="00246EED">
              <w:t>t</w:t>
            </w:r>
            <w:r>
              <w:t xml:space="preserve">he Australian Catholic University offer </w:t>
            </w:r>
            <w:r w:rsidR="008C3E0C">
              <w:t>h</w:t>
            </w:r>
            <w:r>
              <w:t xml:space="preserve">ybrid </w:t>
            </w:r>
            <w:r w:rsidR="00A90814">
              <w:t>a</w:t>
            </w:r>
            <w:r>
              <w:t>ccelerated programs that include 12 months of intensive study plus six to 12</w:t>
            </w:r>
            <w:r w:rsidR="00F14E73">
              <w:t> </w:t>
            </w:r>
            <w:r>
              <w:t>months of working as a paraprofessional in a school as they complete their Master of Teaching.</w:t>
            </w:r>
          </w:p>
          <w:p w14:paraId="58722AD4" w14:textId="77777777" w:rsidR="00462EA9" w:rsidRDefault="00462EA9" w:rsidP="00F66D2A">
            <w:pPr>
              <w:keepNext/>
              <w:keepLines/>
              <w:numPr>
                <w:ilvl w:val="0"/>
                <w:numId w:val="12"/>
              </w:numPr>
              <w:spacing w:after="0"/>
              <w:contextualSpacing/>
            </w:pPr>
            <w:r>
              <w:t xml:space="preserve">Deakin University offers an Accelerated ITE employment-based program that can be completed in </w:t>
            </w:r>
            <w:r w:rsidRPr="00C079BC">
              <w:t>in 1.5 calendar years</w:t>
            </w:r>
            <w:r>
              <w:t>.</w:t>
            </w:r>
          </w:p>
          <w:p w14:paraId="2EE1F2FD" w14:textId="13930CBE" w:rsidR="00462EA9" w:rsidRPr="00E477FD" w:rsidRDefault="00462EA9" w:rsidP="00F66D2A">
            <w:pPr>
              <w:keepNext/>
              <w:keepLines/>
              <w:numPr>
                <w:ilvl w:val="0"/>
                <w:numId w:val="12"/>
              </w:numPr>
              <w:spacing w:after="0"/>
              <w:contextualSpacing/>
            </w:pPr>
            <w:r>
              <w:t>La Trobe’s Master of Teaching can be completed in 1.5 years.</w:t>
            </w:r>
            <w:r w:rsidR="00610E2C">
              <w:t xml:space="preserve"> This </w:t>
            </w:r>
            <w:r w:rsidR="00863B5E">
              <w:t xml:space="preserve">accelerated </w:t>
            </w:r>
            <w:r w:rsidR="00BE715F">
              <w:t xml:space="preserve">option is also available to </w:t>
            </w:r>
            <w:r w:rsidR="00F31499">
              <w:t>participants in the Nexus employment</w:t>
            </w:r>
            <w:r w:rsidR="002C23EA">
              <w:noBreakHyphen/>
            </w:r>
            <w:r w:rsidR="00F31499">
              <w:t>based pathway</w:t>
            </w:r>
            <w:r w:rsidR="006B4E29">
              <w:t>.</w:t>
            </w:r>
          </w:p>
        </w:tc>
      </w:tr>
      <w:tr w:rsidR="00462EA9" w14:paraId="1D2095CA" w14:textId="77777777" w:rsidTr="00435C2E">
        <w:tc>
          <w:tcPr>
            <w:tcW w:w="2127" w:type="dxa"/>
          </w:tcPr>
          <w:p w14:paraId="3124E15D" w14:textId="77777777" w:rsidR="00462EA9" w:rsidRPr="00E477FD" w:rsidRDefault="00462EA9" w:rsidP="0038400C">
            <w:pPr>
              <w:keepNext/>
              <w:keepLines/>
              <w:spacing w:after="0"/>
            </w:pPr>
            <w:r w:rsidRPr="00E477FD">
              <w:t xml:space="preserve">Tasmania </w:t>
            </w:r>
          </w:p>
        </w:tc>
        <w:tc>
          <w:tcPr>
            <w:tcW w:w="6883" w:type="dxa"/>
          </w:tcPr>
          <w:p w14:paraId="6EE688F2" w14:textId="1184C3F2" w:rsidR="00462EA9" w:rsidRPr="00E477FD" w:rsidRDefault="00462EA9" w:rsidP="00F66D2A">
            <w:pPr>
              <w:keepNext/>
              <w:keepLines/>
              <w:numPr>
                <w:ilvl w:val="0"/>
                <w:numId w:val="13"/>
              </w:numPr>
              <w:spacing w:after="0"/>
              <w:contextualSpacing/>
            </w:pPr>
            <w:r>
              <w:t xml:space="preserve">From 2022, the University of Tasmania will offer two fast tracked ITE degrees: the MTeach degree, which can be completed in 1.5 years, or the Vertical Double Undergraduate/Master of Teaching where students are able to complete their degree in a reduced four year period. </w:t>
            </w:r>
          </w:p>
        </w:tc>
      </w:tr>
      <w:tr w:rsidR="00462EA9" w14:paraId="4A7315A7" w14:textId="77777777" w:rsidTr="00435C2E">
        <w:tc>
          <w:tcPr>
            <w:tcW w:w="2127" w:type="dxa"/>
          </w:tcPr>
          <w:p w14:paraId="061F3330" w14:textId="77777777" w:rsidR="00462EA9" w:rsidRPr="00E477FD" w:rsidRDefault="00462EA9" w:rsidP="0038400C">
            <w:pPr>
              <w:keepNext/>
              <w:keepLines/>
              <w:spacing w:after="0"/>
            </w:pPr>
            <w:r>
              <w:t>South Australia</w:t>
            </w:r>
          </w:p>
        </w:tc>
        <w:tc>
          <w:tcPr>
            <w:tcW w:w="6883" w:type="dxa"/>
          </w:tcPr>
          <w:p w14:paraId="75FB72E1" w14:textId="05DA11F9" w:rsidR="00462EA9" w:rsidRPr="00E477FD" w:rsidRDefault="00462EA9" w:rsidP="00F66D2A">
            <w:pPr>
              <w:keepNext/>
              <w:keepLines/>
              <w:numPr>
                <w:ilvl w:val="0"/>
                <w:numId w:val="13"/>
              </w:numPr>
              <w:spacing w:after="0"/>
              <w:contextualSpacing/>
            </w:pPr>
            <w:r>
              <w:t>The Master of Teaching on offer at the University of Adelaide can be completed in 1.5 years</w:t>
            </w:r>
            <w:r w:rsidR="002466B7">
              <w:t>.</w:t>
            </w:r>
          </w:p>
        </w:tc>
      </w:tr>
    </w:tbl>
    <w:p w14:paraId="67E7B32B" w14:textId="11D15067" w:rsidR="0086033E" w:rsidRPr="00E477FD" w:rsidRDefault="0005369E" w:rsidP="0038400C">
      <w:pPr>
        <w:spacing w:before="200"/>
      </w:pPr>
      <w:r w:rsidRPr="009F208C">
        <w:t xml:space="preserve">Stakeholder consultation indicates that the two-year </w:t>
      </w:r>
      <w:r w:rsidR="00B32C1E">
        <w:t>M</w:t>
      </w:r>
      <w:r w:rsidRPr="009F208C">
        <w:t>asters requirement is a dis</w:t>
      </w:r>
      <w:r w:rsidR="00B32C1E">
        <w:t>i</w:t>
      </w:r>
      <w:r w:rsidRPr="009F208C">
        <w:t xml:space="preserve">ncentive to enter ITE for mid-career changers. BETA found that a condensed </w:t>
      </w:r>
      <w:r w:rsidR="00B32C1E">
        <w:t>one</w:t>
      </w:r>
      <w:r w:rsidRPr="009F208C">
        <w:t>-year ITE course was as attractive as a $20,000 increase in top pay, suggesting there is s</w:t>
      </w:r>
      <w:r w:rsidRPr="007C72AD">
        <w:t xml:space="preserve">ignificant value attached to shortening </w:t>
      </w:r>
      <w:r w:rsidR="00A73A93" w:rsidRPr="007C72AD">
        <w:t>the</w:t>
      </w:r>
      <w:r w:rsidR="00A73A93" w:rsidRPr="00340129">
        <w:t xml:space="preserve"> </w:t>
      </w:r>
      <w:r w:rsidRPr="00D77C65">
        <w:t>time</w:t>
      </w:r>
      <w:r w:rsidRPr="002E1D8A" w:rsidDel="00A73A93">
        <w:t xml:space="preserve"> </w:t>
      </w:r>
      <w:r w:rsidR="00A73A93" w:rsidRPr="00A00D0F">
        <w:t>spent out</w:t>
      </w:r>
      <w:r w:rsidR="00A73A93" w:rsidRPr="00DF385E">
        <w:t xml:space="preserve"> </w:t>
      </w:r>
      <w:r w:rsidRPr="00DF385E">
        <w:t>of the workforce</w:t>
      </w:r>
      <w:r w:rsidR="00A73A93" w:rsidRPr="004347C6">
        <w:t xml:space="preserve"> for mid-career changers</w:t>
      </w:r>
      <w:r w:rsidRPr="004347C6">
        <w:t>.</w:t>
      </w:r>
    </w:p>
    <w:p w14:paraId="53F735F1" w14:textId="77777777" w:rsidR="00462EA9" w:rsidRPr="00E477FD" w:rsidRDefault="00462EA9" w:rsidP="0077358F">
      <w:pPr>
        <w:keepNext/>
        <w:keepLines/>
        <w:spacing w:before="40" w:after="0"/>
        <w:ind w:left="1247" w:hanging="1247"/>
        <w:outlineLvl w:val="5"/>
        <w:rPr>
          <w:rFonts w:ascii="Calibri" w:eastAsiaTheme="majorEastAsia" w:hAnsi="Calibri" w:cstheme="majorBidi"/>
          <w:b/>
          <w:u w:val="single"/>
        </w:rPr>
      </w:pPr>
      <w:r w:rsidRPr="00E477FD">
        <w:rPr>
          <w:rFonts w:ascii="Calibri" w:eastAsiaTheme="majorEastAsia" w:hAnsi="Calibri" w:cstheme="majorBidi"/>
          <w:b/>
          <w:u w:val="single"/>
        </w:rPr>
        <w:t>Alternative Pathways</w:t>
      </w:r>
    </w:p>
    <w:p w14:paraId="4DDD5324" w14:textId="77777777" w:rsidR="00462EA9" w:rsidRDefault="00462EA9" w:rsidP="00CD1FEB">
      <w:pPr>
        <w:pStyle w:val="Quote"/>
        <w:framePr w:wrap="around"/>
      </w:pPr>
      <w:r>
        <w:t>‘</w:t>
      </w:r>
      <w:r w:rsidRPr="00CA2DE4">
        <w:t>Diverse entry pathways can contribute to attracting more diverse student cohorts which are more reflective of the population including diversity factors as: linguistic and cultural background, socio-economic status, being first in family to attend university, and geographical location</w:t>
      </w:r>
      <w:r>
        <w:t>.’</w:t>
      </w:r>
    </w:p>
    <w:p w14:paraId="3ECB57D5" w14:textId="77777777" w:rsidR="00462EA9" w:rsidRPr="00F17D93" w:rsidRDefault="00462EA9" w:rsidP="00CD1FEB">
      <w:pPr>
        <w:pStyle w:val="Quote"/>
        <w:framePr w:wrap="around"/>
      </w:pPr>
      <w:r>
        <w:t xml:space="preserve"> (Curtin University submission)</w:t>
      </w:r>
    </w:p>
    <w:p w14:paraId="73654DF0" w14:textId="7E2AD47A" w:rsidR="00462EA9" w:rsidRDefault="00462EA9" w:rsidP="0038400C">
      <w:pPr>
        <w:spacing w:before="200"/>
      </w:pPr>
      <w:r w:rsidRPr="00E477FD">
        <w:t>Most stakeholders are broadly supportive of alternative ITE pathways within the existing requirements. Such programs can attract professionals and minimise disruption to their personal lives and capacity to earn while studying. They can also ensure an effective alignment between theory and practice while providing the required pedagogical, discipline and content knowledge (</w:t>
      </w:r>
      <w:r>
        <w:t xml:space="preserve">New South Wales </w:t>
      </w:r>
      <w:r w:rsidRPr="00E477FD">
        <w:t>Council of Deans of Education submission; University of Canberra submission; Macquarie School of Education submission; La</w:t>
      </w:r>
      <w:r w:rsidR="00486B47">
        <w:t> </w:t>
      </w:r>
      <w:r w:rsidRPr="00E477FD">
        <w:t>Trobe</w:t>
      </w:r>
      <w:r w:rsidR="00486B47">
        <w:t> </w:t>
      </w:r>
      <w:r w:rsidRPr="00E477FD">
        <w:t>University</w:t>
      </w:r>
      <w:r w:rsidR="00C25A1D">
        <w:t xml:space="preserve"> submission</w:t>
      </w:r>
      <w:r w:rsidRPr="00E477FD">
        <w:t xml:space="preserve">). </w:t>
      </w:r>
    </w:p>
    <w:p w14:paraId="106BEB13" w14:textId="3990326F" w:rsidR="00462EA9" w:rsidRPr="00E477FD" w:rsidRDefault="00462EA9" w:rsidP="00462EA9">
      <w:pPr>
        <w:keepNext/>
        <w:keepLines/>
        <w:spacing w:before="40" w:after="0"/>
        <w:outlineLvl w:val="6"/>
        <w:rPr>
          <w:rFonts w:asciiTheme="majorHAnsi" w:eastAsiaTheme="majorEastAsia" w:hAnsiTheme="majorHAnsi" w:cstheme="majorBidi"/>
          <w:i/>
          <w:iCs/>
          <w:color w:val="1F3763" w:themeColor="accent1" w:themeShade="7F"/>
        </w:rPr>
      </w:pPr>
      <w:r w:rsidRPr="00E477FD">
        <w:rPr>
          <w:rFonts w:asciiTheme="majorHAnsi" w:eastAsiaTheme="majorEastAsia" w:hAnsiTheme="majorHAnsi" w:cstheme="majorBidi"/>
          <w:i/>
          <w:iCs/>
          <w:color w:val="1F3763" w:themeColor="accent1" w:themeShade="7F"/>
        </w:rPr>
        <w:t>Employment</w:t>
      </w:r>
      <w:r w:rsidR="00260A82">
        <w:rPr>
          <w:rFonts w:asciiTheme="majorHAnsi" w:eastAsiaTheme="majorEastAsia" w:hAnsiTheme="majorHAnsi" w:cstheme="majorBidi"/>
          <w:i/>
          <w:iCs/>
          <w:color w:val="1F3763" w:themeColor="accent1" w:themeShade="7F"/>
        </w:rPr>
        <w:t>-b</w:t>
      </w:r>
      <w:r w:rsidRPr="00E477FD">
        <w:rPr>
          <w:rFonts w:asciiTheme="majorHAnsi" w:eastAsiaTheme="majorEastAsia" w:hAnsiTheme="majorHAnsi" w:cstheme="majorBidi"/>
          <w:i/>
          <w:iCs/>
          <w:color w:val="1F3763" w:themeColor="accent1" w:themeShade="7F"/>
        </w:rPr>
        <w:t xml:space="preserve">ased </w:t>
      </w:r>
      <w:r w:rsidR="00260A82">
        <w:rPr>
          <w:rFonts w:asciiTheme="majorHAnsi" w:eastAsiaTheme="majorEastAsia" w:hAnsiTheme="majorHAnsi" w:cstheme="majorBidi"/>
          <w:i/>
          <w:iCs/>
          <w:color w:val="1F3763" w:themeColor="accent1" w:themeShade="7F"/>
        </w:rPr>
        <w:t>p</w:t>
      </w:r>
      <w:r w:rsidRPr="00E477FD">
        <w:rPr>
          <w:rFonts w:asciiTheme="majorHAnsi" w:eastAsiaTheme="majorEastAsia" w:hAnsiTheme="majorHAnsi" w:cstheme="majorBidi"/>
          <w:i/>
          <w:iCs/>
          <w:color w:val="1F3763" w:themeColor="accent1" w:themeShade="7F"/>
        </w:rPr>
        <w:t>athways</w:t>
      </w:r>
    </w:p>
    <w:p w14:paraId="1725E72F" w14:textId="77777777" w:rsidR="00462EA9" w:rsidRDefault="00462EA9" w:rsidP="00CD1FEB">
      <w:pPr>
        <w:pStyle w:val="Quote"/>
        <w:framePr w:wrap="around"/>
      </w:pPr>
      <w:r>
        <w:t>‘</w:t>
      </w:r>
      <w:r w:rsidRPr="00065670">
        <w:t xml:space="preserve">It is </w:t>
      </w:r>
      <w:r>
        <w:t>…</w:t>
      </w:r>
      <w:r w:rsidRPr="00065670">
        <w:t xml:space="preserve"> to be celebrated that there are multiple pathways to complete a teacher preparation program responding to the diverse needs of both potential graduates and the future needs of the workforce. It also invites different providers to specialise in offering programs where their expertise is found</w:t>
      </w:r>
      <w:r>
        <w:t>.’</w:t>
      </w:r>
    </w:p>
    <w:p w14:paraId="2422C128" w14:textId="77777777" w:rsidR="00462EA9" w:rsidRDefault="00462EA9" w:rsidP="00CD1FEB">
      <w:pPr>
        <w:pStyle w:val="Quote"/>
        <w:framePr w:wrap="around"/>
      </w:pPr>
      <w:r>
        <w:t>(Australian Teacher Education Association submission)</w:t>
      </w:r>
    </w:p>
    <w:p w14:paraId="6458CF28" w14:textId="73715719" w:rsidR="00462EA9" w:rsidRPr="00E477FD" w:rsidRDefault="00462EA9" w:rsidP="00462EA9">
      <w:pPr>
        <w:spacing w:before="240"/>
      </w:pPr>
      <w:r w:rsidRPr="00E477FD">
        <w:lastRenderedPageBreak/>
        <w:t>There is clear support for employment-based pathways as an alternative to the traditional postgraduate pathway. Many jurisdictions and higher education providers are already developing or offering employment</w:t>
      </w:r>
      <w:r w:rsidR="002C23EA">
        <w:noBreakHyphen/>
      </w:r>
      <w:r w:rsidRPr="00E477FD">
        <w:t xml:space="preserve">based pathways into teaching and have indicated that they are interested in expanding these offerings further. </w:t>
      </w:r>
    </w:p>
    <w:p w14:paraId="3E101124" w14:textId="77777777" w:rsidR="00462EA9" w:rsidRPr="00E477FD" w:rsidRDefault="00462EA9" w:rsidP="00462EA9">
      <w:r w:rsidRPr="00E477FD">
        <w:t>A key recommendation from the</w:t>
      </w:r>
      <w:r w:rsidRPr="00E477FD">
        <w:rPr>
          <w:i/>
          <w:iCs/>
        </w:rPr>
        <w:t xml:space="preserve"> 2021 </w:t>
      </w:r>
      <w:r w:rsidRPr="00E63952">
        <w:rPr>
          <w:i/>
        </w:rPr>
        <w:t>New South Wales</w:t>
      </w:r>
      <w:r>
        <w:t xml:space="preserve"> </w:t>
      </w:r>
      <w:r w:rsidRPr="00E477FD">
        <w:rPr>
          <w:i/>
          <w:iCs/>
        </w:rPr>
        <w:t>Productivity Commission White Paper</w:t>
      </w:r>
      <w:r w:rsidRPr="00E477FD">
        <w:t xml:space="preserve"> was the need for systematic implementation of employment-based pathways as an effective means of lowering the barriers to high-quality candidates entering teaching (</w:t>
      </w:r>
      <w:r>
        <w:t xml:space="preserve">New South Wales </w:t>
      </w:r>
      <w:r w:rsidRPr="003B7987">
        <w:t>Productivity Commission</w:t>
      </w:r>
      <w:r>
        <w:t xml:space="preserve"> submission</w:t>
      </w:r>
      <w:r w:rsidRPr="00E477FD">
        <w:t xml:space="preserve">). </w:t>
      </w:r>
    </w:p>
    <w:p w14:paraId="096E633B" w14:textId="77777777" w:rsidR="00462EA9" w:rsidRPr="00E477FD" w:rsidRDefault="00462EA9" w:rsidP="00462EA9">
      <w:r w:rsidRPr="00E477FD">
        <w:t>Employment-based pathways offer career focused courses which include a combination of coursework and paid practical experience. While these pathways are traditionally offered at a postgraduate level, some higher education providers, such as the University of Tasmania, are exploring ways to introduce employment pathways at an undergraduate level with their Vertical Double Undergraduate/Master of Teaching (to be introduced in 2022)</w:t>
      </w:r>
      <w:r>
        <w:t xml:space="preserve">, </w:t>
      </w:r>
      <w:r w:rsidRPr="00E477FD">
        <w:t xml:space="preserve">which sees students able to accelerate their completion of a combined degree in a reduced </w:t>
      </w:r>
      <w:r>
        <w:t>four</w:t>
      </w:r>
      <w:r w:rsidRPr="00E477FD">
        <w:t xml:space="preserve">-year period. </w:t>
      </w:r>
    </w:p>
    <w:p w14:paraId="6AE1770B" w14:textId="5868FDF6" w:rsidR="00462EA9" w:rsidRPr="00E477FD" w:rsidRDefault="00462EA9" w:rsidP="00A44017">
      <w:pPr>
        <w:pStyle w:val="BreakoutBox1heading"/>
      </w:pPr>
      <w:r w:rsidRPr="0002030C">
        <w:t>Employm</w:t>
      </w:r>
      <w:r w:rsidRPr="00E477FD">
        <w:t>ent</w:t>
      </w:r>
      <w:r w:rsidR="00092CD2">
        <w:t>-</w:t>
      </w:r>
      <w:r w:rsidRPr="00E477FD">
        <w:t xml:space="preserve">based pathways: Immersive MTeach </w:t>
      </w:r>
      <w:r w:rsidR="00FC2BC6">
        <w:t>p</w:t>
      </w:r>
      <w:r w:rsidRPr="00E477FD">
        <w:t xml:space="preserve">ilot </w:t>
      </w:r>
    </w:p>
    <w:p w14:paraId="66A0CC11" w14:textId="0470D33C" w:rsidR="00462EA9" w:rsidRDefault="00462EA9" w:rsidP="0038400C">
      <w:pPr>
        <w:pStyle w:val="Breakoutbox1body"/>
        <w:spacing w:after="200"/>
      </w:pPr>
      <w:r w:rsidRPr="006675BF">
        <w:t xml:space="preserve">The University of Tasmania is proposing a new model for their existing </w:t>
      </w:r>
      <w:r w:rsidR="007067A6">
        <w:t xml:space="preserve">Master of Teaching </w:t>
      </w:r>
      <w:r w:rsidR="009704D4">
        <w:t xml:space="preserve">– the </w:t>
      </w:r>
      <w:r w:rsidRPr="006675BF">
        <w:t xml:space="preserve">MTeach, </w:t>
      </w:r>
      <w:r w:rsidR="00A86FE4">
        <w:t>wh</w:t>
      </w:r>
      <w:r w:rsidRPr="006675BF">
        <w:t>i</w:t>
      </w:r>
      <w:r w:rsidR="00A86FE4">
        <w:t xml:space="preserve">ch </w:t>
      </w:r>
      <w:r w:rsidRPr="006675BF">
        <w:t>is designed to attract mid and late career professionals</w:t>
      </w:r>
      <w:r>
        <w:t>.</w:t>
      </w:r>
    </w:p>
    <w:p w14:paraId="41C197BF" w14:textId="4D98DC5C" w:rsidR="00462EA9" w:rsidRDefault="00462EA9" w:rsidP="0038400C">
      <w:pPr>
        <w:pStyle w:val="Breakoutbox1body"/>
        <w:spacing w:after="200"/>
      </w:pPr>
      <w:r>
        <w:t>Under this proposal, the</w:t>
      </w:r>
      <w:r>
        <w:rPr>
          <w:b/>
        </w:rPr>
        <w:t xml:space="preserve"> </w:t>
      </w:r>
      <w:r w:rsidRPr="0054044E">
        <w:t>MTeach</w:t>
      </w:r>
      <w:r w:rsidRPr="003E2391">
        <w:t xml:space="preserve"> </w:t>
      </w:r>
      <w:r w:rsidRPr="001F55A7">
        <w:t>would be reimagined and redesigned</w:t>
      </w:r>
      <w:r>
        <w:t>.</w:t>
      </w:r>
      <w:r w:rsidRPr="001F55A7">
        <w:t xml:space="preserve"> Existing coursework, placement mentoring, assessment, and the requirements of the </w:t>
      </w:r>
      <w:r w:rsidR="00C46D14">
        <w:t xml:space="preserve">Graduate Teacher Peformance Assessment </w:t>
      </w:r>
      <w:r w:rsidRPr="001F55A7">
        <w:t xml:space="preserve">would be leveraged to support the development </w:t>
      </w:r>
      <w:r>
        <w:t xml:space="preserve">of </w:t>
      </w:r>
      <w:r w:rsidRPr="001F55A7">
        <w:t>an offering that brings an integrated approach to academic learning, practical application, and formal assessment</w:t>
      </w:r>
      <w:r>
        <w:t>.</w:t>
      </w:r>
    </w:p>
    <w:p w14:paraId="3AE73F9F" w14:textId="47083E1C" w:rsidR="00462EA9" w:rsidRDefault="00462EA9" w:rsidP="0038400C">
      <w:pPr>
        <w:pStyle w:val="Breakoutbox1body"/>
        <w:spacing w:after="200"/>
      </w:pPr>
      <w:r w:rsidRPr="00B81903">
        <w:t>Participating students would receive a part-time salary for the duration of their study, two years of experience in a school environment with dedicated mentoring support, additional professional learning, and successful completion would result in permanent employment.</w:t>
      </w:r>
    </w:p>
    <w:p w14:paraId="6FD0A969" w14:textId="6B5C14A3" w:rsidR="0054163E" w:rsidRDefault="0054163E" w:rsidP="00A44017">
      <w:pPr>
        <w:pStyle w:val="Breakoutbox1body"/>
      </w:pPr>
      <w:r>
        <w:t>(</w:t>
      </w:r>
      <w:r w:rsidR="0045636D">
        <w:t xml:space="preserve">University of Tasmania and </w:t>
      </w:r>
      <w:r w:rsidR="00295D58">
        <w:t xml:space="preserve">Department of </w:t>
      </w:r>
      <w:r w:rsidR="00B1177F">
        <w:t xml:space="preserve">Education </w:t>
      </w:r>
      <w:r w:rsidR="00295D58">
        <w:t xml:space="preserve">Tasmania submission) </w:t>
      </w:r>
    </w:p>
    <w:p w14:paraId="54808A4E" w14:textId="77777777" w:rsidR="00462EA9" w:rsidRPr="0039417D" w:rsidRDefault="00462EA9" w:rsidP="00462EA9">
      <w:pPr>
        <w:spacing w:after="0"/>
      </w:pPr>
    </w:p>
    <w:p w14:paraId="6246C07B" w14:textId="2F7B66F0" w:rsidR="00462EA9" w:rsidRPr="00E477FD" w:rsidRDefault="00462EA9" w:rsidP="00A44017">
      <w:pPr>
        <w:pStyle w:val="BreakoutBox1heading"/>
      </w:pPr>
      <w:r w:rsidRPr="0002030C">
        <w:t>Victoria</w:t>
      </w:r>
      <w:r w:rsidRPr="00E477FD">
        <w:t xml:space="preserve">n </w:t>
      </w:r>
      <w:r w:rsidR="00092CD2">
        <w:t>h</w:t>
      </w:r>
      <w:r w:rsidRPr="00E477FD">
        <w:t xml:space="preserve">ybrid </w:t>
      </w:r>
      <w:r w:rsidR="00FE0A9E">
        <w:t>a</w:t>
      </w:r>
      <w:r w:rsidRPr="00E477FD">
        <w:t xml:space="preserve">ccelerated </w:t>
      </w:r>
      <w:r w:rsidR="00FE0A9E">
        <w:t>p</w:t>
      </w:r>
      <w:r w:rsidRPr="00E477FD">
        <w:t>rograms</w:t>
      </w:r>
    </w:p>
    <w:p w14:paraId="4F5308F9" w14:textId="4F63D5C6" w:rsidR="00462EA9" w:rsidRDefault="00462EA9" w:rsidP="0038400C">
      <w:pPr>
        <w:pStyle w:val="Breakoutbox1body"/>
        <w:spacing w:after="200"/>
      </w:pPr>
      <w:r w:rsidRPr="00C20687">
        <w:t>The Australian Catholic University (ACU) and Federation University</w:t>
      </w:r>
      <w:r>
        <w:t xml:space="preserve"> </w:t>
      </w:r>
      <w:r w:rsidRPr="00C20687">
        <w:t xml:space="preserve">offer hybrid accelerated innovative </w:t>
      </w:r>
      <w:r w:rsidR="00ED7DE3">
        <w:t>initial teacher educat</w:t>
      </w:r>
      <w:r w:rsidR="00472C4D">
        <w:t xml:space="preserve">ion </w:t>
      </w:r>
      <w:r w:rsidRPr="00C20687">
        <w:t>programs</w:t>
      </w:r>
      <w:r>
        <w:t xml:space="preserve">. </w:t>
      </w:r>
    </w:p>
    <w:p w14:paraId="3F8C0D93" w14:textId="3F905322" w:rsidR="00462EA9" w:rsidRDefault="00462EA9" w:rsidP="0038400C">
      <w:pPr>
        <w:pStyle w:val="Breakoutbox1body"/>
        <w:spacing w:after="200"/>
      </w:pPr>
      <w:r>
        <w:t>P</w:t>
      </w:r>
      <w:r w:rsidRPr="00C20687">
        <w:t xml:space="preserve">articipants receive a scholarship of $15,000 for the first 12 months of intensive study (including placements at their host school). </w:t>
      </w:r>
    </w:p>
    <w:p w14:paraId="7AF1A76D" w14:textId="7CD281D5" w:rsidR="00462EA9" w:rsidRDefault="00462EA9" w:rsidP="0038400C">
      <w:pPr>
        <w:pStyle w:val="Breakoutbox1body"/>
        <w:spacing w:after="200"/>
      </w:pPr>
      <w:r w:rsidRPr="00C20687">
        <w:t xml:space="preserve">They then work as paraprofessionals in classrooms for six to 12 months, while completing the final units of a Master of Teaching. </w:t>
      </w:r>
    </w:p>
    <w:p w14:paraId="23B0F770" w14:textId="24AC7FF2" w:rsidR="00462EA9" w:rsidRDefault="00462EA9" w:rsidP="0038400C">
      <w:pPr>
        <w:pStyle w:val="Breakoutbox1body"/>
        <w:spacing w:after="200"/>
      </w:pPr>
      <w:r>
        <w:t>One participant said that they were</w:t>
      </w:r>
      <w:r w:rsidRPr="007865C4">
        <w:t xml:space="preserve"> </w:t>
      </w:r>
      <w:r>
        <w:t>‘</w:t>
      </w:r>
      <w:r w:rsidRPr="007865C4">
        <w:t>attracted to the structure of the hybrid accelerated model</w:t>
      </w:r>
      <w:r>
        <w:t xml:space="preserve"> [and the]</w:t>
      </w:r>
      <w:r w:rsidRPr="007865C4">
        <w:t xml:space="preserve"> opportunity for consistent experience in classrooms during the program’s second year was reassuring, given teaching would be completely new to </w:t>
      </w:r>
      <w:r>
        <w:t>[them]’</w:t>
      </w:r>
      <w:r w:rsidRPr="007865C4">
        <w:t>.</w:t>
      </w:r>
    </w:p>
    <w:p w14:paraId="2178D899" w14:textId="0BE40E60" w:rsidR="00576AAB" w:rsidRDefault="00576AAB" w:rsidP="00A44017">
      <w:pPr>
        <w:pStyle w:val="Breakoutbox1body"/>
      </w:pPr>
      <w:r>
        <w:t>(</w:t>
      </w:r>
      <w:r w:rsidR="0054163E">
        <w:t>Victorian Department of Education submission)</w:t>
      </w:r>
    </w:p>
    <w:p w14:paraId="57113A76" w14:textId="58017FF5" w:rsidR="00462EA9" w:rsidRPr="00E477FD" w:rsidRDefault="00462EA9" w:rsidP="0038400C">
      <w:pPr>
        <w:spacing w:before="200"/>
        <w:rPr>
          <w:noProof/>
        </w:rPr>
      </w:pPr>
      <w:r w:rsidRPr="00E477FD">
        <w:t xml:space="preserve">Other benefits of the employment-based model include </w:t>
      </w:r>
      <w:r w:rsidR="00A40181">
        <w:t>removing</w:t>
      </w:r>
      <w:r w:rsidR="00A40181" w:rsidRPr="00E477FD">
        <w:t xml:space="preserve"> </w:t>
      </w:r>
      <w:r w:rsidRPr="00E477FD">
        <w:t xml:space="preserve">the boundaries between ITE and induction – by allowing ITE programs to be incorporated into the workplace, </w:t>
      </w:r>
      <w:r w:rsidR="00467A1C">
        <w:t>ITE students</w:t>
      </w:r>
      <w:r w:rsidRPr="00E477FD">
        <w:t xml:space="preserve"> are able to gain experience working in schools earlier (AITSL</w:t>
      </w:r>
      <w:r w:rsidR="00D26803">
        <w:t xml:space="preserve"> submission</w:t>
      </w:r>
      <w:r w:rsidRPr="00E477FD">
        <w:t xml:space="preserve">). </w:t>
      </w:r>
    </w:p>
    <w:p w14:paraId="4AFC923D" w14:textId="1A9BB208" w:rsidR="00462EA9" w:rsidRPr="00E477FD" w:rsidRDefault="00462EA9" w:rsidP="00371FD2">
      <w:pPr>
        <w:pStyle w:val="Heading8"/>
        <w:rPr>
          <w:color w:val="262626" w:themeColor="text1" w:themeTint="D9"/>
        </w:rPr>
      </w:pPr>
      <w:r w:rsidRPr="00E477FD">
        <w:lastRenderedPageBreak/>
        <w:t>Teach For Australia</w:t>
      </w:r>
      <w:r w:rsidRPr="00E477FD">
        <w:rPr>
          <w:color w:val="262626" w:themeColor="text1" w:themeTint="D9"/>
        </w:rPr>
        <w:t xml:space="preserve"> </w:t>
      </w:r>
    </w:p>
    <w:p w14:paraId="7D57E857" w14:textId="28C610EA" w:rsidR="00462EA9" w:rsidRPr="00E477FD" w:rsidRDefault="00462EA9" w:rsidP="00462EA9">
      <w:r>
        <w:t>TFA’s Leadership Development Program (LDP) is Australia’s longest-running</w:t>
      </w:r>
      <w:r w:rsidR="00DC417D">
        <w:t>,</w:t>
      </w:r>
      <w:r w:rsidRPr="743EF061">
        <w:rPr>
          <w:i/>
          <w:iCs/>
        </w:rPr>
        <w:t xml:space="preserve"> </w:t>
      </w:r>
      <w:r>
        <w:t>employment-based pathway into teaching</w:t>
      </w:r>
      <w:r w:rsidRPr="743EF061">
        <w:rPr>
          <w:i/>
          <w:iCs/>
        </w:rPr>
        <w:t>.</w:t>
      </w:r>
      <w:r w:rsidR="00B94314">
        <w:rPr>
          <w:i/>
          <w:iCs/>
        </w:rPr>
        <w:t xml:space="preserve"> </w:t>
      </w:r>
      <w:r w:rsidR="00D75E59">
        <w:t>TFA</w:t>
      </w:r>
      <w:r w:rsidR="00B94314">
        <w:t xml:space="preserve"> selects high-calibre candidate</w:t>
      </w:r>
      <w:r w:rsidR="000000CA">
        <w:t>s</w:t>
      </w:r>
      <w:r w:rsidR="00560D83">
        <w:t xml:space="preserve"> to teach in </w:t>
      </w:r>
      <w:r w:rsidR="00861078">
        <w:t>schools</w:t>
      </w:r>
      <w:r w:rsidR="00B04C95">
        <w:t xml:space="preserve"> in </w:t>
      </w:r>
      <w:r w:rsidR="00B04C95" w:rsidRPr="00412AE4">
        <w:t>low socio</w:t>
      </w:r>
      <w:r w:rsidR="001557D4">
        <w:t>-</w:t>
      </w:r>
      <w:r w:rsidR="00B04C95" w:rsidRPr="00412AE4">
        <w:t>economic communities</w:t>
      </w:r>
      <w:r w:rsidR="00861078">
        <w:t xml:space="preserve">. </w:t>
      </w:r>
      <w:r w:rsidR="00BA0596">
        <w:t xml:space="preserve">TFA Associates </w:t>
      </w:r>
      <w:r w:rsidR="00D02447">
        <w:t xml:space="preserve">begin teaching following </w:t>
      </w:r>
      <w:r w:rsidR="00BA0596">
        <w:t>an initial six-week</w:t>
      </w:r>
      <w:r w:rsidR="00B94314">
        <w:rPr>
          <w:i/>
          <w:iCs/>
        </w:rPr>
        <w:t xml:space="preserve"> </w:t>
      </w:r>
      <w:r w:rsidR="00B94314" w:rsidRPr="00412AE4">
        <w:t>residential program</w:t>
      </w:r>
      <w:r w:rsidR="00650A69">
        <w:t xml:space="preserve"> </w:t>
      </w:r>
      <w:r w:rsidR="000A4364">
        <w:t>and</w:t>
      </w:r>
      <w:r w:rsidR="00254DBF">
        <w:t xml:space="preserve"> complete</w:t>
      </w:r>
      <w:r w:rsidR="009A05FA">
        <w:t xml:space="preserve"> their Master</w:t>
      </w:r>
      <w:r w:rsidR="007A06AB">
        <w:t xml:space="preserve"> of Teaching </w:t>
      </w:r>
      <w:r w:rsidR="009A05FA">
        <w:t xml:space="preserve">qualification </w:t>
      </w:r>
      <w:r w:rsidR="00CC2109">
        <w:t>over the two years of the program</w:t>
      </w:r>
      <w:r w:rsidR="009A05FA">
        <w:t>.</w:t>
      </w:r>
      <w:r w:rsidR="000A4364" w:rsidRPr="743EF061" w:rsidDel="009A05FA">
        <w:rPr>
          <w:i/>
        </w:rPr>
        <w:t xml:space="preserve"> </w:t>
      </w:r>
      <w:r>
        <w:t xml:space="preserve">In 2017, the Australian Government commissioned an independent evaluation of TFA. It found that 89 per cent of school principals </w:t>
      </w:r>
      <w:r w:rsidR="005D05DA">
        <w:t xml:space="preserve">who have had TFA </w:t>
      </w:r>
      <w:r w:rsidR="00D800CA">
        <w:t>A</w:t>
      </w:r>
      <w:r w:rsidR="005D05DA">
        <w:t xml:space="preserve">ssociates in their schools </w:t>
      </w:r>
      <w:r>
        <w:t>believe TFA teachers have a greater impact on student achievement than other teachers. Almost half of all TFA teachers are specialists in STEM subjects (</w:t>
      </w:r>
      <w:r w:rsidR="00494B4B" w:rsidRPr="002972CE">
        <w:t>dandolopartners 2017</w:t>
      </w:r>
      <w:r>
        <w:t xml:space="preserve">). TFA </w:t>
      </w:r>
      <w:r w:rsidR="008E4515">
        <w:t>survey data shows the program</w:t>
      </w:r>
      <w:r>
        <w:t xml:space="preserve"> has high retention rates, with 88 per cent of teachers remaining in the classroom for more than two years, and </w:t>
      </w:r>
      <w:r w:rsidR="008E4515">
        <w:t xml:space="preserve">72 </w:t>
      </w:r>
      <w:r>
        <w:t>per cent of all TFA alumni still teaching in schools</w:t>
      </w:r>
      <w:r w:rsidR="00ED58E7">
        <w:t xml:space="preserve"> (T</w:t>
      </w:r>
      <w:r w:rsidR="00D800CA">
        <w:t xml:space="preserve">each </w:t>
      </w:r>
      <w:r w:rsidR="00ED58E7">
        <w:t>F</w:t>
      </w:r>
      <w:r w:rsidR="00D800CA">
        <w:t xml:space="preserve">or </w:t>
      </w:r>
      <w:r w:rsidR="00ED58E7">
        <w:t>A</w:t>
      </w:r>
      <w:r w:rsidR="00D800CA">
        <w:t>ustralia</w:t>
      </w:r>
      <w:r w:rsidR="00ED58E7">
        <w:t xml:space="preserve"> </w:t>
      </w:r>
      <w:r w:rsidR="00B47A96">
        <w:t>submission)</w:t>
      </w:r>
      <w:r>
        <w:t xml:space="preserve">. </w:t>
      </w:r>
    </w:p>
    <w:p w14:paraId="71B97203" w14:textId="3059A605" w:rsidR="00462EA9" w:rsidRDefault="00462EA9" w:rsidP="00881E3C">
      <w:pPr>
        <w:pStyle w:val="Heading7"/>
      </w:pPr>
      <w:r w:rsidRPr="00E477FD">
        <w:t xml:space="preserve">Support </w:t>
      </w:r>
      <w:r w:rsidRPr="001524CD">
        <w:t>f</w:t>
      </w:r>
      <w:r w:rsidRPr="00B01D95">
        <w:t xml:space="preserve">or diverse cohorts </w:t>
      </w:r>
    </w:p>
    <w:p w14:paraId="7257CC5B" w14:textId="11517BFD" w:rsidR="00462EA9" w:rsidRDefault="00462EA9" w:rsidP="00462EA9">
      <w:pPr>
        <w:framePr w:wrap="around" w:vAnchor="text" w:hAnchor="text" w:y="1"/>
        <w:pBdr>
          <w:right w:val="single" w:sz="24" w:space="4" w:color="8EAADB" w:themeColor="accent1" w:themeTint="99"/>
        </w:pBdr>
        <w:shd w:val="clear" w:color="auto" w:fill="D9E2F3" w:themeFill="accent1" w:themeFillTint="33"/>
        <w:spacing w:after="0"/>
        <w:jc w:val="center"/>
      </w:pPr>
      <w:r>
        <w:t>‘</w:t>
      </w:r>
      <w:r w:rsidRPr="007A56FC">
        <w:t>Alternative pathways to support ITE students from a range of diverse cohort, including cultural and socio</w:t>
      </w:r>
      <w:r w:rsidR="000301B6">
        <w:noBreakHyphen/>
      </w:r>
      <w:r w:rsidRPr="007A56FC">
        <w:t>economic backgrounds, knowledge, and experiences is important to enable the teacher workforce to reflect this diversity</w:t>
      </w:r>
      <w:r>
        <w:t xml:space="preserve">.’ </w:t>
      </w:r>
    </w:p>
    <w:p w14:paraId="2D47B539" w14:textId="77777777" w:rsidR="00462EA9" w:rsidRDefault="00462EA9" w:rsidP="00462EA9">
      <w:pPr>
        <w:framePr w:wrap="around" w:vAnchor="text" w:hAnchor="text" w:y="1"/>
        <w:pBdr>
          <w:right w:val="single" w:sz="24" w:space="4" w:color="8EAADB" w:themeColor="accent1" w:themeTint="99"/>
        </w:pBdr>
        <w:shd w:val="clear" w:color="auto" w:fill="D9E2F3" w:themeFill="accent1" w:themeFillTint="33"/>
        <w:spacing w:after="0"/>
        <w:jc w:val="center"/>
      </w:pPr>
      <w:r>
        <w:t xml:space="preserve">(National Catholic Education Commission submission) </w:t>
      </w:r>
    </w:p>
    <w:p w14:paraId="18D18F9B" w14:textId="42E09D63" w:rsidR="00385A14" w:rsidRDefault="00385A14" w:rsidP="0038400C">
      <w:pPr>
        <w:spacing w:before="200"/>
      </w:pPr>
      <w:r>
        <w:rPr>
          <w:bCs/>
        </w:rPr>
        <w:t>Recent research has highlighted the importance of a</w:t>
      </w:r>
      <w:r w:rsidRPr="008C5EAD">
        <w:rPr>
          <w:bCs/>
        </w:rPr>
        <w:t xml:space="preserve">lternative entry pathways </w:t>
      </w:r>
      <w:r>
        <w:rPr>
          <w:bCs/>
        </w:rPr>
        <w:t>as a way to</w:t>
      </w:r>
      <w:r w:rsidRPr="008C5EAD">
        <w:rPr>
          <w:bCs/>
        </w:rPr>
        <w:t xml:space="preserve"> increase access</w:t>
      </w:r>
      <w:r>
        <w:rPr>
          <w:bCs/>
        </w:rPr>
        <w:t xml:space="preserve"> for Aboriginal and Torres Strait Islander</w:t>
      </w:r>
      <w:r w:rsidR="00696C0C">
        <w:rPr>
          <w:bCs/>
        </w:rPr>
        <w:t xml:space="preserve"> peoples</w:t>
      </w:r>
      <w:r w:rsidR="008C3E0C">
        <w:rPr>
          <w:bCs/>
        </w:rPr>
        <w:t xml:space="preserve"> </w:t>
      </w:r>
      <w:r>
        <w:rPr>
          <w:bCs/>
        </w:rPr>
        <w:t xml:space="preserve">and other </w:t>
      </w:r>
      <w:r w:rsidR="009A7277">
        <w:rPr>
          <w:bCs/>
        </w:rPr>
        <w:t>people from diverse backgrounds</w:t>
      </w:r>
      <w:r>
        <w:rPr>
          <w:bCs/>
        </w:rPr>
        <w:t>, especially</w:t>
      </w:r>
      <w:r w:rsidRPr="00B370ED">
        <w:rPr>
          <w:bCs/>
        </w:rPr>
        <w:t xml:space="preserve"> for students who </w:t>
      </w:r>
      <w:r>
        <w:rPr>
          <w:bCs/>
        </w:rPr>
        <w:t>are</w:t>
      </w:r>
      <w:r w:rsidRPr="00B370ED">
        <w:rPr>
          <w:bCs/>
        </w:rPr>
        <w:t xml:space="preserve"> unable to enter </w:t>
      </w:r>
      <w:r>
        <w:rPr>
          <w:bCs/>
        </w:rPr>
        <w:t>via</w:t>
      </w:r>
      <w:r w:rsidRPr="00B370ED">
        <w:rPr>
          <w:bCs/>
        </w:rPr>
        <w:t xml:space="preserve"> traditional pathways</w:t>
      </w:r>
      <w:r>
        <w:rPr>
          <w:bCs/>
        </w:rPr>
        <w:t xml:space="preserve"> (Hearn and Funnell 2020). Many higher education providers in Australia offer foundation courses or programs that are specifically targeted to assist diverse cohorts gain access to university</w:t>
      </w:r>
      <w:r w:rsidR="00881E3C">
        <w:rPr>
          <w:bCs/>
        </w:rPr>
        <w:t xml:space="preserve"> (Table 3)</w:t>
      </w:r>
      <w:r>
        <w:rPr>
          <w:bCs/>
        </w:rPr>
        <w:t xml:space="preserve">. </w:t>
      </w:r>
    </w:p>
    <w:p w14:paraId="428DBEA1" w14:textId="530DF36D" w:rsidR="00462EA9" w:rsidRPr="00E477FD" w:rsidRDefault="00EB26FF" w:rsidP="00462EA9">
      <w:r>
        <w:t xml:space="preserve">Overall, diversity </w:t>
      </w:r>
      <w:r w:rsidR="00462EA9">
        <w:t xml:space="preserve">in ITE programs could be improved if prospective candidates were </w:t>
      </w:r>
      <w:r w:rsidR="00D87ED6">
        <w:t>offered</w:t>
      </w:r>
      <w:r w:rsidR="00EB071D">
        <w:t xml:space="preserve"> </w:t>
      </w:r>
      <w:r w:rsidR="00462EA9">
        <w:t>more flexible pathways into ITE. Stakeholders acknowledged that alternative pathways are integral to ensuring high-quality candidates from diverse backgrounds are supported to enrol in an ITE course (Monash University submission; Curtin University submission).</w:t>
      </w:r>
    </w:p>
    <w:p w14:paraId="52D6FE27" w14:textId="593F0FB3" w:rsidR="00462EA9" w:rsidRPr="00E477FD" w:rsidRDefault="00462EA9" w:rsidP="00462EA9">
      <w:r w:rsidRPr="00E477FD">
        <w:t>The New South Wales Council of Deans of Education suggests employing a similar approach to the United Kingdom’s ‘Discover Teaching’</w:t>
      </w:r>
      <w:r w:rsidRPr="00E477FD">
        <w:rPr>
          <w:i/>
          <w:iCs/>
        </w:rPr>
        <w:t xml:space="preserve"> </w:t>
      </w:r>
      <w:r w:rsidRPr="00E477FD">
        <w:t xml:space="preserve">initiative, which allows those considering teaching the opportunity to experience the work prior to applying. </w:t>
      </w:r>
    </w:p>
    <w:p w14:paraId="1CE10BF1" w14:textId="27FF651D" w:rsidR="00462EA9" w:rsidRPr="00D4094A" w:rsidRDefault="00462EA9" w:rsidP="00754314">
      <w:pPr>
        <w:keepNext/>
        <w:spacing w:after="0"/>
        <w:rPr>
          <w:i/>
          <w:color w:val="auto"/>
          <w:sz w:val="18"/>
          <w:szCs w:val="18"/>
        </w:rPr>
      </w:pPr>
      <w:r w:rsidRPr="00D4094A">
        <w:rPr>
          <w:color w:val="auto"/>
          <w:sz w:val="18"/>
          <w:szCs w:val="18"/>
        </w:rPr>
        <w:lastRenderedPageBreak/>
        <w:t xml:space="preserve">Table </w:t>
      </w:r>
      <w:r w:rsidRPr="00BC63C9">
        <w:rPr>
          <w:color w:val="auto"/>
          <w:sz w:val="18"/>
          <w:szCs w:val="18"/>
        </w:rPr>
        <w:fldChar w:fldCharType="begin"/>
      </w:r>
      <w:r w:rsidRPr="00BC63C9">
        <w:rPr>
          <w:color w:val="auto"/>
          <w:sz w:val="18"/>
          <w:szCs w:val="18"/>
        </w:rPr>
        <w:instrText xml:space="preserve"> SEQ Table \* ARABIC </w:instrText>
      </w:r>
      <w:r w:rsidRPr="00BC63C9">
        <w:rPr>
          <w:color w:val="auto"/>
          <w:sz w:val="18"/>
          <w:szCs w:val="18"/>
        </w:rPr>
        <w:fldChar w:fldCharType="separate"/>
      </w:r>
      <w:r w:rsidR="00B454C1">
        <w:rPr>
          <w:noProof/>
          <w:color w:val="auto"/>
          <w:sz w:val="18"/>
          <w:szCs w:val="18"/>
        </w:rPr>
        <w:t>3</w:t>
      </w:r>
      <w:r w:rsidRPr="00BC63C9">
        <w:rPr>
          <w:color w:val="auto"/>
          <w:sz w:val="18"/>
          <w:szCs w:val="18"/>
        </w:rPr>
        <w:fldChar w:fldCharType="end"/>
      </w:r>
      <w:r w:rsidR="00493066">
        <w:rPr>
          <w:color w:val="auto"/>
          <w:sz w:val="18"/>
          <w:szCs w:val="18"/>
        </w:rPr>
        <w:t>.</w:t>
      </w:r>
      <w:r w:rsidRPr="00D4094A">
        <w:rPr>
          <w:color w:val="auto"/>
          <w:sz w:val="18"/>
          <w:szCs w:val="18"/>
        </w:rPr>
        <w:t xml:space="preserve"> Example</w:t>
      </w:r>
      <w:r w:rsidRPr="00D4094A">
        <w:rPr>
          <w:i/>
          <w:color w:val="auto"/>
          <w:sz w:val="18"/>
          <w:szCs w:val="18"/>
        </w:rPr>
        <w:t>s</w:t>
      </w:r>
      <w:r w:rsidRPr="00D4094A">
        <w:rPr>
          <w:color w:val="auto"/>
          <w:sz w:val="18"/>
          <w:szCs w:val="18"/>
        </w:rPr>
        <w:t xml:space="preserve"> of </w:t>
      </w:r>
      <w:r w:rsidR="00FE0E8A">
        <w:rPr>
          <w:color w:val="auto"/>
          <w:sz w:val="18"/>
          <w:szCs w:val="18"/>
        </w:rPr>
        <w:t>p</w:t>
      </w:r>
      <w:r w:rsidR="00FE0E8A" w:rsidRPr="00D4094A">
        <w:rPr>
          <w:color w:val="auto"/>
          <w:sz w:val="18"/>
          <w:szCs w:val="18"/>
        </w:rPr>
        <w:t>rograms</w:t>
      </w:r>
      <w:r w:rsidR="00FE0E8A" w:rsidRPr="00D4094A">
        <w:rPr>
          <w:i/>
          <w:color w:val="auto"/>
          <w:sz w:val="18"/>
          <w:szCs w:val="18"/>
        </w:rPr>
        <w:t xml:space="preserve"> </w:t>
      </w:r>
      <w:r w:rsidRPr="00D4094A">
        <w:rPr>
          <w:color w:val="auto"/>
          <w:sz w:val="18"/>
          <w:szCs w:val="18"/>
        </w:rPr>
        <w:t>or initiatives targeting diversity</w:t>
      </w:r>
    </w:p>
    <w:tbl>
      <w:tblPr>
        <w:tblStyle w:val="TableGrid"/>
        <w:tblW w:w="0" w:type="auto"/>
        <w:tblLook w:val="04A0" w:firstRow="1" w:lastRow="0" w:firstColumn="1" w:lastColumn="0" w:noHBand="0" w:noVBand="1"/>
      </w:tblPr>
      <w:tblGrid>
        <w:gridCol w:w="2127"/>
        <w:gridCol w:w="6883"/>
      </w:tblGrid>
      <w:tr w:rsidR="00462EA9" w:rsidRPr="00E477FD" w14:paraId="1744F994" w14:textId="77777777" w:rsidTr="00493066">
        <w:tc>
          <w:tcPr>
            <w:tcW w:w="2127" w:type="dxa"/>
            <w:shd w:val="clear" w:color="auto" w:fill="B4C6E7" w:themeFill="accent1" w:themeFillTint="66"/>
          </w:tcPr>
          <w:p w14:paraId="0093D400" w14:textId="77777777" w:rsidR="00462EA9" w:rsidRPr="00493066" w:rsidRDefault="00462EA9" w:rsidP="0038400C">
            <w:pPr>
              <w:keepNext/>
              <w:keepLines/>
              <w:spacing w:after="0"/>
              <w:jc w:val="center"/>
              <w:rPr>
                <w:b/>
                <w:bCs/>
                <w:color w:val="auto"/>
              </w:rPr>
            </w:pPr>
            <w:r w:rsidRPr="00493066">
              <w:rPr>
                <w:b/>
                <w:bCs/>
                <w:color w:val="auto"/>
              </w:rPr>
              <w:t>Jurisdiction</w:t>
            </w:r>
          </w:p>
        </w:tc>
        <w:tc>
          <w:tcPr>
            <w:tcW w:w="6883" w:type="dxa"/>
            <w:shd w:val="clear" w:color="auto" w:fill="B4C6E7" w:themeFill="accent1" w:themeFillTint="66"/>
          </w:tcPr>
          <w:p w14:paraId="4238C75C" w14:textId="77777777" w:rsidR="00462EA9" w:rsidRPr="00493066" w:rsidRDefault="00462EA9" w:rsidP="0038400C">
            <w:pPr>
              <w:keepNext/>
              <w:keepLines/>
              <w:spacing w:after="0"/>
              <w:jc w:val="center"/>
              <w:rPr>
                <w:b/>
                <w:bCs/>
                <w:color w:val="auto"/>
              </w:rPr>
            </w:pPr>
            <w:r w:rsidRPr="00493066">
              <w:rPr>
                <w:b/>
                <w:bCs/>
                <w:color w:val="auto"/>
              </w:rPr>
              <w:t>Description</w:t>
            </w:r>
          </w:p>
        </w:tc>
      </w:tr>
      <w:tr w:rsidR="00462EA9" w:rsidRPr="00E477FD" w14:paraId="03FBD2CD" w14:textId="77777777" w:rsidTr="00493066">
        <w:tc>
          <w:tcPr>
            <w:tcW w:w="2127" w:type="dxa"/>
          </w:tcPr>
          <w:p w14:paraId="4C2769F2" w14:textId="77777777" w:rsidR="00462EA9" w:rsidRPr="00BE21F7" w:rsidRDefault="00462EA9" w:rsidP="0038400C">
            <w:pPr>
              <w:keepNext/>
              <w:keepLines/>
              <w:spacing w:after="0"/>
              <w:rPr>
                <w:b/>
                <w:color w:val="auto"/>
              </w:rPr>
            </w:pPr>
            <w:r w:rsidRPr="00E477FD">
              <w:rPr>
                <w:color w:val="auto"/>
              </w:rPr>
              <w:t>Northern Territory</w:t>
            </w:r>
          </w:p>
        </w:tc>
        <w:tc>
          <w:tcPr>
            <w:tcW w:w="6883" w:type="dxa"/>
          </w:tcPr>
          <w:p w14:paraId="1F18582F" w14:textId="24B93FB6" w:rsidR="00462EA9" w:rsidRPr="00493066" w:rsidRDefault="00462EA9" w:rsidP="00F66D2A">
            <w:pPr>
              <w:keepNext/>
              <w:keepLines/>
              <w:numPr>
                <w:ilvl w:val="0"/>
                <w:numId w:val="13"/>
              </w:numPr>
              <w:spacing w:after="0"/>
              <w:contextualSpacing/>
              <w:rPr>
                <w:color w:val="auto"/>
              </w:rPr>
            </w:pPr>
            <w:r w:rsidRPr="00BE21F7">
              <w:rPr>
                <w:color w:val="auto"/>
              </w:rPr>
              <w:t xml:space="preserve">The </w:t>
            </w:r>
            <w:hyperlink r:id="rId35" w:history="1">
              <w:r w:rsidRPr="004E2D75">
                <w:rPr>
                  <w:rStyle w:val="Hyperlink"/>
                  <w:color w:val="4472C4" w:themeColor="accent1"/>
                </w:rPr>
                <w:t>Remote Aboriginal Teacher Education (RATE)</w:t>
              </w:r>
            </w:hyperlink>
            <w:r w:rsidRPr="00C47B92">
              <w:rPr>
                <w:color w:val="auto"/>
              </w:rPr>
              <w:t xml:space="preserve"> </w:t>
            </w:r>
            <w:r w:rsidRPr="00493066">
              <w:rPr>
                <w:color w:val="auto"/>
              </w:rPr>
              <w:t>program supports aspiring teachers in Northern Territory communities to study teaching while living and working on Country.</w:t>
            </w:r>
          </w:p>
        </w:tc>
      </w:tr>
      <w:tr w:rsidR="00462EA9" w:rsidRPr="00E477FD" w14:paraId="7E4F10F2" w14:textId="77777777" w:rsidTr="00493066">
        <w:tc>
          <w:tcPr>
            <w:tcW w:w="2127" w:type="dxa"/>
          </w:tcPr>
          <w:p w14:paraId="6ED2C023" w14:textId="77777777" w:rsidR="00462EA9" w:rsidRPr="00E477FD" w:rsidRDefault="00462EA9" w:rsidP="0038400C">
            <w:pPr>
              <w:keepNext/>
              <w:keepLines/>
              <w:spacing w:after="0"/>
              <w:rPr>
                <w:b/>
                <w:bCs/>
              </w:rPr>
            </w:pPr>
            <w:r w:rsidRPr="00E477FD">
              <w:t xml:space="preserve">Western Australia </w:t>
            </w:r>
          </w:p>
        </w:tc>
        <w:tc>
          <w:tcPr>
            <w:tcW w:w="6883" w:type="dxa"/>
          </w:tcPr>
          <w:p w14:paraId="2621EB5D" w14:textId="54FB68E0" w:rsidR="00462EA9" w:rsidRPr="00E477FD" w:rsidRDefault="00462EA9" w:rsidP="00F66D2A">
            <w:pPr>
              <w:pStyle w:val="ListParagraph"/>
              <w:keepNext/>
              <w:keepLines/>
              <w:numPr>
                <w:ilvl w:val="0"/>
                <w:numId w:val="13"/>
              </w:numPr>
              <w:spacing w:after="0"/>
              <w:ind w:left="357" w:hanging="357"/>
            </w:pPr>
            <w:r w:rsidRPr="00E477FD">
              <w:t>The West</w:t>
            </w:r>
            <w:r>
              <w:t>ern</w:t>
            </w:r>
            <w:r w:rsidRPr="00E477FD">
              <w:t xml:space="preserve"> Australian Department of Education partnered with Curtin University to pilot </w:t>
            </w:r>
            <w:r>
              <w:t xml:space="preserve">the </w:t>
            </w:r>
            <w:hyperlink r:id="rId36" w:history="1">
              <w:r w:rsidRPr="004E2D75">
                <w:rPr>
                  <w:color w:val="4472C4" w:themeColor="accent1"/>
                  <w:u w:val="single"/>
                </w:rPr>
                <w:t>On Country Education Teacher Initiative</w:t>
              </w:r>
            </w:hyperlink>
            <w:r w:rsidRPr="00A3302E">
              <w:rPr>
                <w:u w:val="single"/>
              </w:rPr>
              <w:t xml:space="preserve"> </w:t>
            </w:r>
            <w:r w:rsidRPr="00D4094A">
              <w:t>program</w:t>
            </w:r>
            <w:r>
              <w:t xml:space="preserve"> </w:t>
            </w:r>
            <w:r w:rsidRPr="00E477FD">
              <w:t xml:space="preserve">to support current Aboriginal </w:t>
            </w:r>
            <w:r w:rsidR="00230546">
              <w:t>and Torres Strait Islander</w:t>
            </w:r>
            <w:r w:rsidRPr="00E477FD">
              <w:t xml:space="preserve"> employees to become Primary school teachers through completion of a Bachelor of Education (Primary Education)</w:t>
            </w:r>
            <w:r>
              <w:t>.</w:t>
            </w:r>
            <w:r w:rsidRPr="00E477FD">
              <w:t xml:space="preserve"> </w:t>
            </w:r>
          </w:p>
        </w:tc>
      </w:tr>
      <w:tr w:rsidR="00462EA9" w:rsidRPr="00E477FD" w14:paraId="0F28C665" w14:textId="77777777" w:rsidTr="00493066">
        <w:tc>
          <w:tcPr>
            <w:tcW w:w="2127" w:type="dxa"/>
          </w:tcPr>
          <w:p w14:paraId="3A49FCAA" w14:textId="77777777" w:rsidR="00462EA9" w:rsidRPr="00E477FD" w:rsidRDefault="00462EA9" w:rsidP="0038400C">
            <w:pPr>
              <w:keepNext/>
              <w:keepLines/>
              <w:spacing w:after="0"/>
            </w:pPr>
            <w:r w:rsidRPr="00E477FD">
              <w:t>Victoria</w:t>
            </w:r>
          </w:p>
        </w:tc>
        <w:tc>
          <w:tcPr>
            <w:tcW w:w="6883" w:type="dxa"/>
          </w:tcPr>
          <w:p w14:paraId="436EDD33" w14:textId="58F8D6F5" w:rsidR="00462EA9" w:rsidRPr="00E477FD" w:rsidRDefault="00FB3AB8" w:rsidP="00F66D2A">
            <w:pPr>
              <w:keepNext/>
              <w:keepLines/>
              <w:numPr>
                <w:ilvl w:val="0"/>
                <w:numId w:val="13"/>
              </w:numPr>
              <w:spacing w:after="0"/>
              <w:contextualSpacing/>
            </w:pPr>
            <w:hyperlink r:id="rId37" w:history="1">
              <w:r w:rsidR="00462EA9" w:rsidRPr="004E2D75">
                <w:rPr>
                  <w:color w:val="4472C4" w:themeColor="accent1"/>
                  <w:u w:val="single"/>
                </w:rPr>
                <w:t>The William Cooper Institute</w:t>
              </w:r>
            </w:hyperlink>
            <w:r w:rsidR="00462EA9" w:rsidRPr="00E477FD">
              <w:t xml:space="preserve"> at Monash University is a hub for Aboriginal and Torres Strait Islander research, learning and engagement and the development of targeted strategies to increase participation of </w:t>
            </w:r>
            <w:r w:rsidR="00B66A3F">
              <w:t>Aboriginal and Torres Strait Islander</w:t>
            </w:r>
            <w:r w:rsidR="00462EA9" w:rsidRPr="00E477FD">
              <w:t xml:space="preserve"> students across the country implementing comprehensive engagement programs with secondary schools and </w:t>
            </w:r>
            <w:r w:rsidR="00B66A3F">
              <w:t>Aboriginal and Torres Strait Islander</w:t>
            </w:r>
            <w:r w:rsidR="00462EA9" w:rsidRPr="00E477FD">
              <w:t xml:space="preserve"> led community organisations to build greater awareness of university offerings, pathways, scholarships and support systems. Scholarships, fee support and clear and ongoing support both within the university and the profession more broadly are important.</w:t>
            </w:r>
          </w:p>
        </w:tc>
      </w:tr>
      <w:tr w:rsidR="00462EA9" w:rsidRPr="00E477FD" w14:paraId="0D547DCE" w14:textId="77777777" w:rsidTr="00493066">
        <w:tc>
          <w:tcPr>
            <w:tcW w:w="2127" w:type="dxa"/>
          </w:tcPr>
          <w:p w14:paraId="2A4FD481" w14:textId="77777777" w:rsidR="00462EA9" w:rsidRPr="00E477FD" w:rsidRDefault="00462EA9" w:rsidP="0038400C">
            <w:pPr>
              <w:keepNext/>
              <w:keepLines/>
              <w:spacing w:after="0"/>
              <w:rPr>
                <w:highlight w:val="yellow"/>
              </w:rPr>
            </w:pPr>
            <w:r w:rsidRPr="00142581">
              <w:t>Queensland</w:t>
            </w:r>
          </w:p>
        </w:tc>
        <w:tc>
          <w:tcPr>
            <w:tcW w:w="6883" w:type="dxa"/>
          </w:tcPr>
          <w:p w14:paraId="53981B19" w14:textId="06319578" w:rsidR="00462EA9" w:rsidRPr="00142581" w:rsidRDefault="00462EA9" w:rsidP="00F66D2A">
            <w:pPr>
              <w:pStyle w:val="ListParagraph"/>
              <w:keepNext/>
              <w:keepLines/>
              <w:numPr>
                <w:ilvl w:val="0"/>
                <w:numId w:val="13"/>
              </w:numPr>
              <w:spacing w:after="0"/>
              <w:ind w:left="357" w:hanging="357"/>
            </w:pPr>
            <w:r>
              <w:t>The Queensland Government has implemented additional pathways for Aboriginal and Torres Strait Islander peoples who aspire to become teachers through the</w:t>
            </w:r>
            <w:r w:rsidRPr="5D701926">
              <w:rPr>
                <w:sz w:val="22"/>
                <w:szCs w:val="22"/>
              </w:rPr>
              <w:t xml:space="preserve"> </w:t>
            </w:r>
            <w:hyperlink r:id="rId38">
              <w:r w:rsidRPr="004E2D75">
                <w:rPr>
                  <w:rStyle w:val="Hyperlink"/>
                  <w:bCs/>
                  <w:color w:val="4472C4" w:themeColor="accent1"/>
                </w:rPr>
                <w:t>Remote Area Teacher Education Program</w:t>
              </w:r>
              <w:r w:rsidRPr="004E2D75">
                <w:rPr>
                  <w:rStyle w:val="Hyperlink"/>
                  <w:bCs/>
                  <w:i/>
                  <w:color w:val="4472C4" w:themeColor="accent1"/>
                </w:rPr>
                <w:t xml:space="preserve"> </w:t>
              </w:r>
              <w:r w:rsidRPr="004E2D75">
                <w:rPr>
                  <w:rStyle w:val="Hyperlink"/>
                  <w:bCs/>
                  <w:color w:val="4472C4" w:themeColor="accent1"/>
                </w:rPr>
                <w:t>(RATEP)</w:t>
              </w:r>
              <w:r w:rsidRPr="004E2D75">
                <w:rPr>
                  <w:rStyle w:val="Hyperlink"/>
                  <w:bCs/>
                  <w:color w:val="000000" w:themeColor="text1"/>
                  <w:u w:val="none"/>
                </w:rPr>
                <w:t>.</w:t>
              </w:r>
            </w:hyperlink>
            <w:r>
              <w:t xml:space="preserve"> This is a community-based Aboriginal and Torres Strait Islander teacher education pathway enabling Aboriginal and Torres Strait Islander students to complete </w:t>
            </w:r>
            <w:r w:rsidR="00DD1E80">
              <w:t>ITE</w:t>
            </w:r>
            <w:r>
              <w:t xml:space="preserve"> through external study. The Queensland Government has implemented additional pathways for Aboriginal and Torres Strait Islander peoples who aspire to become teachers through the </w:t>
            </w:r>
            <w:r w:rsidRPr="00261F31">
              <w:t>Remote Area Teacher Education Program</w:t>
            </w:r>
            <w:r>
              <w:t>.</w:t>
            </w:r>
          </w:p>
        </w:tc>
      </w:tr>
      <w:tr w:rsidR="00EB26FF" w:rsidRPr="00E477FD" w14:paraId="5D97C12B" w14:textId="77777777" w:rsidTr="00493066">
        <w:tc>
          <w:tcPr>
            <w:tcW w:w="2127" w:type="dxa"/>
          </w:tcPr>
          <w:p w14:paraId="06412408" w14:textId="0BAA1E16" w:rsidR="00EB26FF" w:rsidRPr="00142581" w:rsidRDefault="00EB26FF" w:rsidP="0038400C">
            <w:pPr>
              <w:keepNext/>
              <w:keepLines/>
              <w:spacing w:after="0"/>
            </w:pPr>
            <w:r>
              <w:t>Australian Capital Territory</w:t>
            </w:r>
          </w:p>
        </w:tc>
        <w:tc>
          <w:tcPr>
            <w:tcW w:w="6883" w:type="dxa"/>
          </w:tcPr>
          <w:p w14:paraId="0C1004E0" w14:textId="22F5E4FA" w:rsidR="00EB26FF" w:rsidRPr="002E1073" w:rsidRDefault="00EB26FF" w:rsidP="0038400C">
            <w:pPr>
              <w:pStyle w:val="ListParagraph"/>
              <w:keepNext/>
              <w:keepLines/>
              <w:spacing w:after="0"/>
              <w:ind w:left="357"/>
            </w:pPr>
            <w:r>
              <w:t xml:space="preserve">The University of Canberra’s </w:t>
            </w:r>
            <w:hyperlink r:id="rId39" w:history="1">
              <w:r w:rsidRPr="004E2D75">
                <w:rPr>
                  <w:rStyle w:val="Hyperlink"/>
                  <w:color w:val="4472C4" w:themeColor="accent1"/>
                </w:rPr>
                <w:t>Aboriginal and Torres Strait Islander Foundation Program</w:t>
              </w:r>
            </w:hyperlink>
            <w:r>
              <w:t xml:space="preserve"> is designed for Aboriginal and Torres Strait Islander students who do not meet university admission requirements but have a reasonable chance of success in higher education</w:t>
            </w:r>
            <w:r w:rsidR="001D679D">
              <w:t xml:space="preserve">. </w:t>
            </w:r>
            <w:r>
              <w:t>The program includes two foundation units and one or two units from a student’s nominated degree.</w:t>
            </w:r>
          </w:p>
        </w:tc>
      </w:tr>
    </w:tbl>
    <w:p w14:paraId="0B38293F" w14:textId="7A9BA0AF" w:rsidR="00462EA9" w:rsidRPr="00E477FD" w:rsidRDefault="00462EA9" w:rsidP="0038400C">
      <w:pPr>
        <w:spacing w:before="200"/>
      </w:pPr>
      <w:r w:rsidRPr="00E477FD">
        <w:t>Providing support to students entering through such pathways should be a key consideration to give them the best chance of success. Programs that are designed to recognise the barriers and pathways for attracting and supporting diverse cohorts will assist in ensuring the that these pathways are fit for purpose (Curtin University</w:t>
      </w:r>
      <w:r>
        <w:t xml:space="preserve"> submission</w:t>
      </w:r>
      <w:r w:rsidRPr="00E477FD">
        <w:t xml:space="preserve">). </w:t>
      </w:r>
    </w:p>
    <w:p w14:paraId="04931E7F" w14:textId="2815C937" w:rsidR="00462EA9" w:rsidRPr="00E477FD" w:rsidRDefault="00462EA9" w:rsidP="00462EA9">
      <w:r w:rsidRPr="00E477FD">
        <w:t>Providers should be encouraged to continue to support diverse pathways into teaching, such as enabling programs, degree combinations, work-integrated learning and recognition of prior learning (University of Wollongong</w:t>
      </w:r>
      <w:r>
        <w:t xml:space="preserve"> submission</w:t>
      </w:r>
      <w:r w:rsidRPr="00E477FD">
        <w:t xml:space="preserve">). </w:t>
      </w:r>
    </w:p>
    <w:p w14:paraId="1B05A1FD" w14:textId="77777777" w:rsidR="00462EA9" w:rsidRPr="00B07318" w:rsidRDefault="00462EA9" w:rsidP="00462EA9">
      <w:pPr>
        <w:ind w:left="1021" w:hanging="1021"/>
        <w:outlineLvl w:val="2"/>
        <w:rPr>
          <w:b/>
          <w:sz w:val="22"/>
          <w:szCs w:val="21"/>
        </w:rPr>
      </w:pPr>
      <w:r w:rsidRPr="00E477FD">
        <w:rPr>
          <w:b/>
          <w:sz w:val="22"/>
          <w:szCs w:val="21"/>
        </w:rPr>
        <w:t xml:space="preserve">Conclusions and Recommendations </w:t>
      </w:r>
    </w:p>
    <w:p w14:paraId="02146B9A" w14:textId="38B9352D" w:rsidR="00462EA9" w:rsidRPr="00E477FD" w:rsidRDefault="00022833" w:rsidP="00462EA9">
      <w:r>
        <w:t>The Expert Panel has</w:t>
      </w:r>
      <w:r w:rsidR="00462EA9" w:rsidRPr="00E477FD">
        <w:t xml:space="preserve"> carefully considered the views of </w:t>
      </w:r>
      <w:r w:rsidR="00462EA9">
        <w:t>all</w:t>
      </w:r>
      <w:r w:rsidR="00462EA9" w:rsidRPr="00E477FD">
        <w:t xml:space="preserve"> stakeholders on the requirement to undertake a two-year postgraduate program. There is no consensus </w:t>
      </w:r>
      <w:r w:rsidR="00462EA9">
        <w:t>among stakeholders</w:t>
      </w:r>
      <w:r w:rsidR="00462EA9" w:rsidRPr="00E477FD">
        <w:t xml:space="preserve"> on whether the two-year requirement should remain or be reduced to a one-year </w:t>
      </w:r>
      <w:r w:rsidR="00D800CA">
        <w:t>G</w:t>
      </w:r>
      <w:r w:rsidR="00462EA9" w:rsidRPr="00E477FD">
        <w:t xml:space="preserve">raduate </w:t>
      </w:r>
      <w:r w:rsidR="00D800CA">
        <w:t>D</w:t>
      </w:r>
      <w:r w:rsidR="00462EA9" w:rsidRPr="00E477FD">
        <w:t xml:space="preserve">iploma. </w:t>
      </w:r>
    </w:p>
    <w:p w14:paraId="64709CAE" w14:textId="13CC4CE0" w:rsidR="00462EA9" w:rsidRPr="00E477FD" w:rsidRDefault="009A6D26" w:rsidP="00462EA9">
      <w:r>
        <w:lastRenderedPageBreak/>
        <w:t>The Expert Panel</w:t>
      </w:r>
      <w:r w:rsidR="00462EA9" w:rsidRPr="00E477FD">
        <w:t xml:space="preserve"> acknowledge</w:t>
      </w:r>
      <w:r>
        <w:t>s</w:t>
      </w:r>
      <w:r w:rsidR="00462EA9" w:rsidRPr="00E477FD">
        <w:t xml:space="preserve"> that the status of teaching </w:t>
      </w:r>
      <w:r w:rsidR="006E4AEB">
        <w:t xml:space="preserve">as a profession </w:t>
      </w:r>
      <w:r w:rsidR="00462EA9" w:rsidRPr="00E477FD">
        <w:t>is enhanced by new teachers graduating with a higher-level qualification</w:t>
      </w:r>
      <w:r w:rsidR="00462EA9">
        <w:t xml:space="preserve"> and </w:t>
      </w:r>
      <w:r w:rsidR="00462EA9" w:rsidRPr="00E477FD">
        <w:t>agree</w:t>
      </w:r>
      <w:r w:rsidR="00605F0D">
        <w:t>s</w:t>
      </w:r>
      <w:r w:rsidR="00462EA9" w:rsidRPr="00E477FD">
        <w:t xml:space="preserve"> a one-year qualification for primary and early childhood programs is not </w:t>
      </w:r>
      <w:r w:rsidR="00462EA9">
        <w:t>appropriate</w:t>
      </w:r>
      <w:r w:rsidR="00462EA9" w:rsidRPr="00E477FD">
        <w:t>. One year is not enough to provide the pedagogical, disciplinary and content knowledge required to develop a strong foundation as a primary teacher.</w:t>
      </w:r>
    </w:p>
    <w:p w14:paraId="4F379FB8" w14:textId="52D37A05" w:rsidR="00462EA9" w:rsidRPr="00E477FD" w:rsidRDefault="00462EA9" w:rsidP="00462EA9">
      <w:r w:rsidRPr="00E477FD">
        <w:t>The requirement of the two-year Masters qualification has the biggest impact on mid-career professionals who show interest in becoming a teacher. Time out of the workforce, and the associated lack of income, is the most significant barrier to entry for this cohort. To attract more mid-career professionals to secondary teaching, particularly in specialisations that are experiencing shortages</w:t>
      </w:r>
      <w:r w:rsidR="000D6A4D">
        <w:t xml:space="preserve"> </w:t>
      </w:r>
      <w:r w:rsidRPr="00E477FD">
        <w:t xml:space="preserve">such as maths and science, </w:t>
      </w:r>
      <w:r w:rsidR="006A3FA4">
        <w:t>the Expert Panel</w:t>
      </w:r>
      <w:r w:rsidRPr="00E477FD">
        <w:t xml:space="preserve"> recommend</w:t>
      </w:r>
      <w:r w:rsidR="006A3FA4">
        <w:t>s</w:t>
      </w:r>
      <w:r w:rsidRPr="00E477FD">
        <w:t xml:space="preserve"> that a one-year </w:t>
      </w:r>
      <w:r>
        <w:t>qualification</w:t>
      </w:r>
      <w:r w:rsidRPr="00E477FD">
        <w:t xml:space="preserve"> be offered </w:t>
      </w:r>
      <w:r>
        <w:t>subject to</w:t>
      </w:r>
      <w:r w:rsidRPr="00E477FD">
        <w:t xml:space="preserve"> specific criteria.</w:t>
      </w:r>
    </w:p>
    <w:p w14:paraId="23F744E4" w14:textId="13755CC9" w:rsidR="00462EA9" w:rsidRPr="00E477FD" w:rsidRDefault="00462EA9" w:rsidP="00462EA9">
      <w:r w:rsidRPr="00E477FD">
        <w:t xml:space="preserve">There should be flexibility in how this model is offered. It could, for example, be incorporated into the existing two-year program, but with prior experience and subject content knowledge recognised so that fewer units need to be completed. </w:t>
      </w:r>
      <w:r>
        <w:t>Alternatively, it could be the reintroduction of a one</w:t>
      </w:r>
      <w:r w:rsidR="00B71887">
        <w:t>-</w:t>
      </w:r>
      <w:r>
        <w:t>year Graduate Diploma of Education. This one</w:t>
      </w:r>
      <w:r w:rsidR="00B71887">
        <w:t>-</w:t>
      </w:r>
      <w:r>
        <w:t>year qualification should only be available to well</w:t>
      </w:r>
      <w:r w:rsidR="005E4313">
        <w:t>-</w:t>
      </w:r>
      <w:r>
        <w:t xml:space="preserve">qualified individuals, who </w:t>
      </w:r>
      <w:r w:rsidR="005E4313">
        <w:t xml:space="preserve">have </w:t>
      </w:r>
      <w:r>
        <w:t xml:space="preserve">demonstrated suitability for teaching, in areas of high workforce demand. </w:t>
      </w:r>
    </w:p>
    <w:p w14:paraId="63C1DC07" w14:textId="48E95A6D" w:rsidR="0060188F" w:rsidRPr="005D266D" w:rsidRDefault="0060188F" w:rsidP="00881E3C">
      <w:pPr>
        <w:pStyle w:val="Recommendation2"/>
        <w:spacing w:after="0"/>
        <w:rPr>
          <w:b/>
          <w:bCs/>
          <w:sz w:val="20"/>
        </w:rPr>
      </w:pPr>
      <w:r w:rsidRPr="005D266D">
        <w:rPr>
          <w:b/>
          <w:bCs/>
          <w:sz w:val="20"/>
        </w:rPr>
        <w:t>Recommendation 5: Better recognise prior learning of high-quality</w:t>
      </w:r>
      <w:r w:rsidR="00DC417D">
        <w:rPr>
          <w:b/>
          <w:bCs/>
          <w:sz w:val="20"/>
        </w:rPr>
        <w:t>,</w:t>
      </w:r>
      <w:r w:rsidRPr="005D266D">
        <w:rPr>
          <w:b/>
          <w:bCs/>
          <w:sz w:val="20"/>
        </w:rPr>
        <w:t xml:space="preserve"> mid-career changers </w:t>
      </w:r>
    </w:p>
    <w:p w14:paraId="4FAE9CFF" w14:textId="4CB1BFF4" w:rsidR="00E13B86" w:rsidRPr="00E13B86" w:rsidRDefault="00E13B86" w:rsidP="0038400C">
      <w:pPr>
        <w:pStyle w:val="Recommendation2"/>
        <w:rPr>
          <w:sz w:val="20"/>
        </w:rPr>
      </w:pPr>
      <w:r w:rsidRPr="00E13B86">
        <w:rPr>
          <w:sz w:val="20"/>
        </w:rPr>
        <w:t>The prior learning of well-qualified</w:t>
      </w:r>
      <w:r w:rsidR="0094601C">
        <w:rPr>
          <w:sz w:val="20"/>
        </w:rPr>
        <w:t>,</w:t>
      </w:r>
      <w:r w:rsidRPr="00E13B86">
        <w:rPr>
          <w:sz w:val="20"/>
        </w:rPr>
        <w:t xml:space="preserve"> suitable</w:t>
      </w:r>
      <w:r w:rsidR="0094601C">
        <w:rPr>
          <w:sz w:val="20"/>
        </w:rPr>
        <w:t>,</w:t>
      </w:r>
      <w:r w:rsidRPr="00E13B86">
        <w:rPr>
          <w:sz w:val="20"/>
        </w:rPr>
        <w:t xml:space="preserve"> mid-career changers with skills in areas of high demand should be better recognised, with the goal of reducing to one year the time taken to complete a secondary teaching qualification.</w:t>
      </w:r>
    </w:p>
    <w:p w14:paraId="78C9B2F5" w14:textId="1F7EEEFA" w:rsidR="00E13B86" w:rsidRPr="00E13B86" w:rsidRDefault="00E13B86" w:rsidP="00E13B86">
      <w:pPr>
        <w:pStyle w:val="Recommendation2"/>
        <w:spacing w:after="0"/>
        <w:rPr>
          <w:sz w:val="20"/>
        </w:rPr>
      </w:pPr>
      <w:r w:rsidRPr="00E13B86">
        <w:rPr>
          <w:sz w:val="20"/>
        </w:rPr>
        <w:t xml:space="preserve">Consider amending the </w:t>
      </w:r>
      <w:r w:rsidRPr="00E13B86">
        <w:rPr>
          <w:i/>
          <w:sz w:val="20"/>
        </w:rPr>
        <w:t>Accreditation of Initial Teacher Education Programs in Australia: Standards and Procedures</w:t>
      </w:r>
      <w:r w:rsidRPr="00E13B86">
        <w:rPr>
          <w:sz w:val="20"/>
        </w:rPr>
        <w:t xml:space="preserve"> to reinstate the </w:t>
      </w:r>
      <w:r w:rsidR="00D800CA">
        <w:rPr>
          <w:sz w:val="20"/>
        </w:rPr>
        <w:t>G</w:t>
      </w:r>
      <w:r w:rsidRPr="00E13B86">
        <w:rPr>
          <w:sz w:val="20"/>
        </w:rPr>
        <w:t xml:space="preserve">raduate </w:t>
      </w:r>
      <w:r w:rsidR="00D800CA">
        <w:rPr>
          <w:sz w:val="20"/>
        </w:rPr>
        <w:t>D</w:t>
      </w:r>
      <w:r w:rsidRPr="00E13B86">
        <w:rPr>
          <w:sz w:val="20"/>
        </w:rPr>
        <w:t xml:space="preserve">iploma for highly qualified candidates. </w:t>
      </w:r>
    </w:p>
    <w:p w14:paraId="77853F55" w14:textId="77777777" w:rsidR="00462EA9" w:rsidRPr="00E477FD" w:rsidRDefault="00462EA9" w:rsidP="0038400C">
      <w:pPr>
        <w:keepNext/>
        <w:keepLines/>
        <w:spacing w:before="240" w:after="0"/>
        <w:outlineLvl w:val="6"/>
        <w:rPr>
          <w:rFonts w:asciiTheme="majorHAnsi" w:eastAsiaTheme="majorEastAsia" w:hAnsiTheme="majorHAnsi" w:cstheme="majorBidi"/>
          <w:i/>
          <w:color w:val="1F3864" w:themeColor="accent1" w:themeShade="80"/>
        </w:rPr>
      </w:pPr>
      <w:r w:rsidRPr="00E477FD">
        <w:rPr>
          <w:rFonts w:asciiTheme="majorHAnsi" w:eastAsiaTheme="majorEastAsia" w:hAnsiTheme="majorHAnsi" w:cstheme="majorBidi"/>
          <w:i/>
          <w:color w:val="1F3864" w:themeColor="accent1" w:themeShade="80"/>
        </w:rPr>
        <w:t>Alternative pathways</w:t>
      </w:r>
    </w:p>
    <w:p w14:paraId="1645E54D" w14:textId="6D580433" w:rsidR="00556654" w:rsidRDefault="00462EA9" w:rsidP="00462EA9">
      <w:r>
        <w:t xml:space="preserve">Employment-based pathways, particularly TFA, have a proven record of attracting, selecting and supporting the </w:t>
      </w:r>
      <w:r w:rsidR="00005CE2">
        <w:t>preparation</w:t>
      </w:r>
      <w:r>
        <w:t xml:space="preserve"> of high-quality teachers. As highlighted above, an independent evaluation of TFA found that TFA Associates have a greater impact on student achievement than other teachers, and that the program has high retention rates and experiences strong demand.</w:t>
      </w:r>
      <w:r w:rsidR="00F41393">
        <w:t xml:space="preserve"> Consideration could be given </w:t>
      </w:r>
      <w:r w:rsidR="0020427F">
        <w:t xml:space="preserve">to providing funding certainty for TFA </w:t>
      </w:r>
      <w:r w:rsidR="00556654">
        <w:t xml:space="preserve">by supporting them to become an accredited higher education provider, enabling access to </w:t>
      </w:r>
      <w:r w:rsidR="00BE1015">
        <w:t>Commonwealth supported places</w:t>
      </w:r>
      <w:r w:rsidR="00556654">
        <w:t>. Other organisations developing innovative ways to diver</w:t>
      </w:r>
      <w:r w:rsidR="00C2455F">
        <w:t>s</w:t>
      </w:r>
      <w:r w:rsidR="00086AE9">
        <w:t>if</w:t>
      </w:r>
      <w:r w:rsidR="00C2455F">
        <w:t>y</w:t>
      </w:r>
      <w:r w:rsidR="00556654">
        <w:t xml:space="preserve"> pathways into teaching could also be supported</w:t>
      </w:r>
      <w:r w:rsidR="00FA2DBF">
        <w:t xml:space="preserve"> in this way</w:t>
      </w:r>
      <w:r w:rsidR="00556654">
        <w:t>.</w:t>
      </w:r>
    </w:p>
    <w:p w14:paraId="7A7FBB11" w14:textId="48EB1842" w:rsidR="00462EA9" w:rsidRPr="00E477FD" w:rsidRDefault="00462EA9" w:rsidP="00462EA9">
      <w:r w:rsidRPr="00E477FD">
        <w:t xml:space="preserve">The HAT program, which currently funds </w:t>
      </w:r>
      <w:r w:rsidR="00E267EC">
        <w:t>TFA</w:t>
      </w:r>
      <w:r w:rsidRPr="00E477FD">
        <w:t xml:space="preserve"> and La Trobe University’s Nexus program, should be expanded to ensure more high</w:t>
      </w:r>
      <w:r>
        <w:t>-</w:t>
      </w:r>
      <w:r w:rsidRPr="00E477FD">
        <w:t>quality teachers are able to be placed in schools in areas of need. Demand for these programs is exceeding supply and there is clear scope for increasing the number of places offered.</w:t>
      </w:r>
    </w:p>
    <w:p w14:paraId="1138746A" w14:textId="77777777" w:rsidR="00462EA9" w:rsidRPr="00E477FD" w:rsidRDefault="00462EA9" w:rsidP="00462EA9">
      <w:r w:rsidRPr="00E477FD">
        <w:t xml:space="preserve">The employment-based programs being implemented by states and territories are welcome additions to the employment-based pathways already offered and should be carefully evaluated and measured to determine whether they are successfully attracting and retaining teachers to areas of need. </w:t>
      </w:r>
    </w:p>
    <w:p w14:paraId="711450F1" w14:textId="5A1DD38C" w:rsidR="00462EA9" w:rsidRDefault="00462EA9" w:rsidP="0038400C">
      <w:r w:rsidRPr="00E477FD">
        <w:t xml:space="preserve">Supporting higher education providers to extend alternative postgraduate ITE models, such as those discussed above, or offer alternative models that allow students to complete their courses in shorter periods of time would ensure that ITE remains a realistic option for all potential candidates. </w:t>
      </w:r>
    </w:p>
    <w:p w14:paraId="7CDEFD23" w14:textId="6858185D" w:rsidR="00BE1142" w:rsidRPr="00E477FD" w:rsidRDefault="00462EA9" w:rsidP="00BE1142">
      <w:r>
        <w:t xml:space="preserve">There is further scope to develop and expand innovative pathways into teaching. As highlighted by </w:t>
      </w:r>
      <w:r w:rsidR="00235111">
        <w:t>the</w:t>
      </w:r>
      <w:r>
        <w:t xml:space="preserve"> TEMAG</w:t>
      </w:r>
      <w:r w:rsidR="00235111">
        <w:t xml:space="preserve"> Review</w:t>
      </w:r>
      <w:r w:rsidR="00017690">
        <w:t>,</w:t>
      </w:r>
      <w:r>
        <w:t xml:space="preserve"> the </w:t>
      </w:r>
      <w:r w:rsidR="00235111">
        <w:t>Australian Government</w:t>
      </w:r>
      <w:r>
        <w:t xml:space="preserve">, as the primary funder of ITE, can provide a national perspective to facilitate innovation. </w:t>
      </w:r>
      <w:r w:rsidR="00BE1142">
        <w:t>The Expert Panel recognises that trial and implementation of innovative approaches can be resource intensive. An innovation fund should be established to enable ideas to be tested in a well-defined space of a limited duration.</w:t>
      </w:r>
    </w:p>
    <w:p w14:paraId="33721D6B" w14:textId="11A22D3D" w:rsidR="00462EA9" w:rsidRDefault="00462EA9" w:rsidP="00462EA9">
      <w:r>
        <w:lastRenderedPageBreak/>
        <w:t xml:space="preserve">Developing an ITE innovation fund, with an emphasis on addressing priority needs, will encourage more higher education providers to introduce or extend alternative pathways and consider alternative delivery models of ITE. </w:t>
      </w:r>
    </w:p>
    <w:p w14:paraId="064DAA1E" w14:textId="36393FD0" w:rsidR="00462EA9" w:rsidRDefault="00462EA9" w:rsidP="00462EA9">
      <w:pPr>
        <w:spacing w:after="0"/>
        <w:textAlignment w:val="baseline"/>
      </w:pPr>
      <w:r>
        <w:t>To improve the diversity of the workforce t</w:t>
      </w:r>
      <w:r w:rsidRPr="00E477FD">
        <w:t>here should be explicit provision in the</w:t>
      </w:r>
      <w:r w:rsidR="00BA5C21">
        <w:t xml:space="preserve"> proposed</w:t>
      </w:r>
      <w:r w:rsidRPr="00E477FD">
        <w:t xml:space="preserve"> </w:t>
      </w:r>
      <w:r>
        <w:t xml:space="preserve">innovation </w:t>
      </w:r>
      <w:r w:rsidRPr="00E477FD">
        <w:t xml:space="preserve">fund for programs directed at supporting access and success </w:t>
      </w:r>
      <w:r>
        <w:t>in ITE</w:t>
      </w:r>
      <w:r w:rsidRPr="00E477FD">
        <w:t xml:space="preserve"> for </w:t>
      </w:r>
      <w:r>
        <w:t>diverse cohorts including:</w:t>
      </w:r>
    </w:p>
    <w:p w14:paraId="6C84060E" w14:textId="77777777" w:rsidR="00462EA9" w:rsidRDefault="00462EA9" w:rsidP="00F66D2A">
      <w:pPr>
        <w:pStyle w:val="ListParagraph"/>
        <w:numPr>
          <w:ilvl w:val="0"/>
          <w:numId w:val="19"/>
        </w:numPr>
        <w:spacing w:after="0"/>
        <w:textAlignment w:val="baseline"/>
      </w:pPr>
      <w:r w:rsidRPr="00E477FD">
        <w:t>Aboriginal and Torres Strait Islander peoples</w:t>
      </w:r>
    </w:p>
    <w:p w14:paraId="1FE93A07" w14:textId="782F8CF2" w:rsidR="00462EA9" w:rsidRDefault="00E612BD" w:rsidP="00F66D2A">
      <w:pPr>
        <w:pStyle w:val="ListParagraph"/>
        <w:numPr>
          <w:ilvl w:val="0"/>
          <w:numId w:val="19"/>
        </w:numPr>
        <w:spacing w:after="0"/>
        <w:textAlignment w:val="baseline"/>
      </w:pPr>
      <w:r>
        <w:t xml:space="preserve">people </w:t>
      </w:r>
      <w:r w:rsidR="00462EA9">
        <w:t>from culturally</w:t>
      </w:r>
      <w:r w:rsidR="00462EA9" w:rsidRPr="00E477FD">
        <w:t xml:space="preserve"> and </w:t>
      </w:r>
      <w:r w:rsidR="00462EA9">
        <w:t>linguistically diverse backgrounds</w:t>
      </w:r>
    </w:p>
    <w:p w14:paraId="5163EA98" w14:textId="533F097D" w:rsidR="00462EA9" w:rsidRDefault="00E612BD" w:rsidP="00F66D2A">
      <w:pPr>
        <w:pStyle w:val="ListParagraph"/>
        <w:numPr>
          <w:ilvl w:val="0"/>
          <w:numId w:val="19"/>
        </w:numPr>
        <w:spacing w:after="0"/>
        <w:textAlignment w:val="baseline"/>
      </w:pPr>
      <w:r>
        <w:t xml:space="preserve">people </w:t>
      </w:r>
      <w:r w:rsidR="00462EA9">
        <w:t>with disability</w:t>
      </w:r>
    </w:p>
    <w:p w14:paraId="012BB113" w14:textId="656DC1D9" w:rsidR="00462EA9" w:rsidRPr="00E477FD" w:rsidRDefault="00E612BD" w:rsidP="00F66D2A">
      <w:pPr>
        <w:pStyle w:val="ListParagraph"/>
        <w:numPr>
          <w:ilvl w:val="0"/>
          <w:numId w:val="19"/>
        </w:numPr>
        <w:spacing w:after="0"/>
        <w:textAlignment w:val="baseline"/>
      </w:pPr>
      <w:r>
        <w:t xml:space="preserve">people </w:t>
      </w:r>
      <w:r w:rsidR="00462EA9">
        <w:t xml:space="preserve">from </w:t>
      </w:r>
      <w:r w:rsidR="00486506">
        <w:t>r</w:t>
      </w:r>
      <w:r w:rsidR="00462EA9">
        <w:t xml:space="preserve">egional, </w:t>
      </w:r>
      <w:r w:rsidR="00486506">
        <w:t>r</w:t>
      </w:r>
      <w:r w:rsidR="00462EA9">
        <w:t xml:space="preserve">ural and </w:t>
      </w:r>
      <w:r w:rsidR="00486506">
        <w:t>r</w:t>
      </w:r>
      <w:r w:rsidR="00462EA9">
        <w:t>emote locations</w:t>
      </w:r>
    </w:p>
    <w:p w14:paraId="0434CFF1" w14:textId="45498EE1" w:rsidR="00462EA9" w:rsidRDefault="00BE28DC" w:rsidP="00F66D2A">
      <w:pPr>
        <w:pStyle w:val="ListParagraph"/>
        <w:numPr>
          <w:ilvl w:val="0"/>
          <w:numId w:val="19"/>
        </w:numPr>
        <w:spacing w:after="0"/>
        <w:textAlignment w:val="baseline"/>
      </w:pPr>
      <w:r>
        <w:t xml:space="preserve">people from </w:t>
      </w:r>
      <w:r w:rsidR="00E612BD">
        <w:t xml:space="preserve">low </w:t>
      </w:r>
      <w:r w:rsidR="00462EA9">
        <w:t>SES</w:t>
      </w:r>
      <w:r>
        <w:t xml:space="preserve"> backgrounds</w:t>
      </w:r>
      <w:r w:rsidR="00E612BD">
        <w:t>.</w:t>
      </w:r>
    </w:p>
    <w:p w14:paraId="791A0034" w14:textId="32F26553" w:rsidR="00462EA9" w:rsidRDefault="00462EA9" w:rsidP="00E267EC">
      <w:pPr>
        <w:spacing w:after="0"/>
        <w:rPr>
          <w:lang w:val="en-GB"/>
        </w:rPr>
      </w:pPr>
    </w:p>
    <w:p w14:paraId="668346B0" w14:textId="46B2A447" w:rsidR="003D338F" w:rsidRDefault="003D338F" w:rsidP="003D338F">
      <w:pPr>
        <w:pStyle w:val="Recommendation2"/>
        <w:spacing w:after="0"/>
        <w:rPr>
          <w:b/>
          <w:sz w:val="20"/>
        </w:rPr>
      </w:pPr>
      <w:r w:rsidRPr="00FE09FB">
        <w:rPr>
          <w:b/>
          <w:sz w:val="20"/>
        </w:rPr>
        <w:t>Recommendation 6: Accelerate high</w:t>
      </w:r>
      <w:r w:rsidRPr="00FE09FB">
        <w:rPr>
          <w:b/>
          <w:sz w:val="20"/>
        </w:rPr>
        <w:noBreakHyphen/>
        <w:t>quality candidates into teaching</w:t>
      </w:r>
    </w:p>
    <w:p w14:paraId="553BC4D9" w14:textId="77777777" w:rsidR="003D338F" w:rsidRPr="00FE09FB" w:rsidRDefault="003D338F" w:rsidP="003D338F">
      <w:pPr>
        <w:pStyle w:val="Recommendation2"/>
        <w:spacing w:after="0"/>
        <w:rPr>
          <w:sz w:val="20"/>
        </w:rPr>
      </w:pPr>
      <w:r w:rsidRPr="00FE09FB">
        <w:rPr>
          <w:sz w:val="20"/>
        </w:rPr>
        <w:t xml:space="preserve">Accelerate entry of high-quality candidates into teaching by: </w:t>
      </w:r>
    </w:p>
    <w:p w14:paraId="70FB9CC9" w14:textId="1464CF8A" w:rsidR="003D338F" w:rsidRPr="00FE09FB" w:rsidRDefault="003D338F" w:rsidP="00F66D2A">
      <w:pPr>
        <w:pStyle w:val="Recommendation2"/>
        <w:numPr>
          <w:ilvl w:val="0"/>
          <w:numId w:val="35"/>
        </w:numPr>
        <w:spacing w:after="0"/>
        <w:rPr>
          <w:sz w:val="20"/>
        </w:rPr>
      </w:pPr>
      <w:r w:rsidRPr="00FE09FB">
        <w:rPr>
          <w:sz w:val="20"/>
        </w:rPr>
        <w:t xml:space="preserve">establishing an innovation in </w:t>
      </w:r>
      <w:r>
        <w:rPr>
          <w:sz w:val="20"/>
        </w:rPr>
        <w:t>initial teacher education</w:t>
      </w:r>
      <w:r w:rsidRPr="00FE09FB">
        <w:rPr>
          <w:sz w:val="20"/>
        </w:rPr>
        <w:t xml:space="preserve"> fund that supports innovative employment-based pathways </w:t>
      </w:r>
    </w:p>
    <w:p w14:paraId="7FBAB0B2" w14:textId="427D624B" w:rsidR="003D338F" w:rsidRPr="00D97054" w:rsidRDefault="003D338F" w:rsidP="00F66D2A">
      <w:pPr>
        <w:pStyle w:val="Recommendation2"/>
        <w:numPr>
          <w:ilvl w:val="0"/>
          <w:numId w:val="35"/>
        </w:numPr>
        <w:spacing w:after="0"/>
        <w:rPr>
          <w:sz w:val="20"/>
        </w:rPr>
      </w:pPr>
      <w:r w:rsidRPr="00D97054">
        <w:rPr>
          <w:sz w:val="20"/>
        </w:rPr>
        <w:t xml:space="preserve">expanding existing Australian Government alternative pathways and securing long-term funding for </w:t>
      </w:r>
      <w:r w:rsidR="00D97054">
        <w:rPr>
          <w:sz w:val="20"/>
        </w:rPr>
        <w:t>Teach For Australia</w:t>
      </w:r>
    </w:p>
    <w:p w14:paraId="3819893C" w14:textId="77777777" w:rsidR="003D338F" w:rsidRPr="00FE09FB" w:rsidRDefault="003D338F" w:rsidP="00F66D2A">
      <w:pPr>
        <w:pStyle w:val="Recommendation2"/>
        <w:numPr>
          <w:ilvl w:val="0"/>
          <w:numId w:val="35"/>
        </w:numPr>
        <w:spacing w:after="0"/>
        <w:rPr>
          <w:sz w:val="20"/>
        </w:rPr>
      </w:pPr>
      <w:r w:rsidRPr="00FE09FB">
        <w:rPr>
          <w:sz w:val="20"/>
        </w:rPr>
        <w:t xml:space="preserve">expanding state and territory alternative pathway programs. </w:t>
      </w:r>
    </w:p>
    <w:p w14:paraId="389F6F34" w14:textId="77777777" w:rsidR="002E3E4C" w:rsidRDefault="002E3E4C" w:rsidP="00E267EC">
      <w:pPr>
        <w:spacing w:after="0"/>
      </w:pPr>
    </w:p>
    <w:p w14:paraId="7EE6E0DF" w14:textId="60732B57" w:rsidR="00462EA9" w:rsidRPr="002E3E4C" w:rsidRDefault="00462EA9" w:rsidP="00E267EC">
      <w:pPr>
        <w:pStyle w:val="Breakoutbox2"/>
        <w:spacing w:after="0"/>
        <w:rPr>
          <w:b/>
          <w:bCs/>
        </w:rPr>
      </w:pPr>
      <w:r w:rsidRPr="002E3E4C">
        <w:rPr>
          <w:b/>
          <w:bCs/>
        </w:rPr>
        <w:t xml:space="preserve">Finding </w:t>
      </w:r>
      <w:r w:rsidR="00DC3EE0">
        <w:rPr>
          <w:b/>
          <w:bCs/>
        </w:rPr>
        <w:t>3</w:t>
      </w:r>
    </w:p>
    <w:p w14:paraId="1948B87C" w14:textId="2260A455" w:rsidR="007C72AD" w:rsidRDefault="00B13B3A" w:rsidP="00C73014">
      <w:pPr>
        <w:pStyle w:val="Breakoutbox2"/>
      </w:pPr>
      <w:r w:rsidRPr="00F325BC">
        <w:t>The use of non-academic characteristic criteria was introduced following the T</w:t>
      </w:r>
      <w:r>
        <w:t xml:space="preserve">eacher </w:t>
      </w:r>
      <w:r w:rsidRPr="00F325BC">
        <w:t>E</w:t>
      </w:r>
      <w:r>
        <w:t xml:space="preserve">ducation </w:t>
      </w:r>
      <w:r w:rsidRPr="00F325BC">
        <w:t>M</w:t>
      </w:r>
      <w:r>
        <w:t xml:space="preserve">inisterial </w:t>
      </w:r>
      <w:r w:rsidRPr="00F325BC">
        <w:t>A</w:t>
      </w:r>
      <w:r>
        <w:t xml:space="preserve">dvisory </w:t>
      </w:r>
      <w:r w:rsidRPr="00F325BC">
        <w:t>G</w:t>
      </w:r>
      <w:r>
        <w:t>roup</w:t>
      </w:r>
      <w:r w:rsidRPr="00F325BC">
        <w:t xml:space="preserve"> Review. Research into how it is being applied across providers, its impact on different cohorts, and the characteristics that are most likely to indicate suitability for teaching should be undertaken to gain an understanding of its effect on </w:t>
      </w:r>
      <w:r>
        <w:t>initial teacher education</w:t>
      </w:r>
      <w:r w:rsidRPr="00F325BC">
        <w:t>. The outcomes of this research could then be used to test and make decisions on the most effective instruments for assessing non-academic characteristics predicting quality teaching.</w:t>
      </w:r>
      <w:bookmarkStart w:id="32" w:name="_Hlk80697876"/>
    </w:p>
    <w:p w14:paraId="659EDF97" w14:textId="77777777" w:rsidR="00A720D1" w:rsidRDefault="00A720D1">
      <w:pPr>
        <w:spacing w:after="0" w:line="240" w:lineRule="auto"/>
        <w:rPr>
          <w:b/>
          <w:bCs/>
          <w:color w:val="4472C4" w:themeColor="accent1"/>
          <w:sz w:val="28"/>
          <w:szCs w:val="32"/>
          <w14:textFill>
            <w14:solidFill>
              <w14:schemeClr w14:val="accent1">
                <w14:lumMod w14:val="75000"/>
                <w14:lumMod w14:val="50000"/>
                <w14:lumMod w14:val="75000"/>
                <w14:lumOff w14:val="25000"/>
              </w14:schemeClr>
            </w14:solidFill>
          </w14:textFill>
        </w:rPr>
      </w:pPr>
      <w:r>
        <w:br w:type="page"/>
      </w:r>
    </w:p>
    <w:p w14:paraId="485A72A0" w14:textId="4A5ACE1F" w:rsidR="00FE51C0" w:rsidRPr="00FE51C0" w:rsidRDefault="00D12409" w:rsidP="00B237DB">
      <w:pPr>
        <w:pStyle w:val="Heading1"/>
      </w:pPr>
      <w:bookmarkStart w:id="33" w:name="_Toc86138405"/>
      <w:bookmarkStart w:id="34" w:name="_Toc86141309"/>
      <w:bookmarkStart w:id="35" w:name="_Toc91160200"/>
      <w:r w:rsidRPr="0065777E">
        <w:lastRenderedPageBreak/>
        <w:t>Part B</w:t>
      </w:r>
      <w:r w:rsidR="00973E35">
        <w:t>:</w:t>
      </w:r>
      <w:r w:rsidRPr="0065777E">
        <w:t xml:space="preserve"> I</w:t>
      </w:r>
      <w:r w:rsidR="00354541">
        <w:t xml:space="preserve">nitial </w:t>
      </w:r>
      <w:r w:rsidR="00FC4BDB">
        <w:t>T</w:t>
      </w:r>
      <w:r w:rsidR="00354541">
        <w:t xml:space="preserve">eacher </w:t>
      </w:r>
      <w:r w:rsidR="00FC4BDB">
        <w:t>E</w:t>
      </w:r>
      <w:r w:rsidR="00354541">
        <w:t>ducation</w:t>
      </w:r>
      <w:r w:rsidRPr="0065777E">
        <w:t xml:space="preserve"> Program Quality</w:t>
      </w:r>
      <w:bookmarkEnd w:id="33"/>
      <w:bookmarkEnd w:id="34"/>
      <w:bookmarkEnd w:id="35"/>
      <w:r w:rsidRPr="0065777E">
        <w:t xml:space="preserve"> </w:t>
      </w:r>
    </w:p>
    <w:p w14:paraId="6FBEBB69" w14:textId="2BF5558E" w:rsidR="00D12409" w:rsidRPr="00653AEA" w:rsidRDefault="00D12409" w:rsidP="00CD1FEB">
      <w:pPr>
        <w:pStyle w:val="Quote"/>
        <w:framePr w:wrap="around"/>
      </w:pPr>
      <w:r>
        <w:t>‘ITE programs that enable candidates to understand: the real context of teaching, their influence and impact, the right use of evidence, and the impact of excellent teaching, stand a better chance of engaging and retain</w:t>
      </w:r>
      <w:r w:rsidR="11BDC654">
        <w:t>ing</w:t>
      </w:r>
      <w:r>
        <w:t xml:space="preserve"> high-quality candidates.’</w:t>
      </w:r>
    </w:p>
    <w:p w14:paraId="03289F23" w14:textId="77777777" w:rsidR="00D12409" w:rsidRPr="00653AEA" w:rsidRDefault="00D12409" w:rsidP="00CD1FEB">
      <w:pPr>
        <w:pStyle w:val="Quote"/>
        <w:framePr w:wrap="around"/>
      </w:pPr>
      <w:r w:rsidRPr="00653AEA">
        <w:t>(Independent Schools Queensland submission)</w:t>
      </w:r>
    </w:p>
    <w:p w14:paraId="2A9481DE" w14:textId="77777777" w:rsidR="00C73014" w:rsidRDefault="00C73014" w:rsidP="00C73014">
      <w:pPr>
        <w:spacing w:before="200" w:after="0"/>
      </w:pPr>
    </w:p>
    <w:p w14:paraId="34D55E94" w14:textId="432CD92E" w:rsidR="00D12409" w:rsidRDefault="00D12409" w:rsidP="00C73014">
      <w:r w:rsidRPr="00563CEA">
        <w:t xml:space="preserve">The quality of </w:t>
      </w:r>
      <w:r>
        <w:t>initial teacher education (</w:t>
      </w:r>
      <w:r w:rsidRPr="00563CEA">
        <w:t>ITE</w:t>
      </w:r>
      <w:r>
        <w:t>)</w:t>
      </w:r>
      <w:r w:rsidRPr="00563CEA">
        <w:t xml:space="preserve"> programs matters. </w:t>
      </w:r>
      <w:r w:rsidR="00C75212">
        <w:t xml:space="preserve">Quality teaching is of national importance </w:t>
      </w:r>
      <w:r w:rsidR="005B7D14">
        <w:t xml:space="preserve">in </w:t>
      </w:r>
      <w:r w:rsidR="004172A5">
        <w:t xml:space="preserve">Australia’s </w:t>
      </w:r>
      <w:r w:rsidR="005B7D14">
        <w:t>efforts to achieve equity</w:t>
      </w:r>
      <w:r w:rsidR="00A572E0">
        <w:t xml:space="preserve"> in education and lift</w:t>
      </w:r>
      <w:r w:rsidR="005B7D14">
        <w:t xml:space="preserve"> student achievement. </w:t>
      </w:r>
      <w:r w:rsidR="001D7F6E">
        <w:t>Maintaining a focus on</w:t>
      </w:r>
      <w:r w:rsidR="002C1A77">
        <w:t xml:space="preserve"> </w:t>
      </w:r>
      <w:r w:rsidR="008D2253">
        <w:t>the q</w:t>
      </w:r>
      <w:r w:rsidR="005B7D14">
        <w:t>uality</w:t>
      </w:r>
      <w:r w:rsidR="008D2253">
        <w:t xml:space="preserve"> of</w:t>
      </w:r>
      <w:r w:rsidR="005B7D14">
        <w:t xml:space="preserve"> ITE is </w:t>
      </w:r>
      <w:r w:rsidR="00407D42">
        <w:t xml:space="preserve">therefore </w:t>
      </w:r>
      <w:r w:rsidR="005B7D14">
        <w:t xml:space="preserve">a national imperative to ensure a sustainable pipeline of quality entrants to the profession. </w:t>
      </w:r>
    </w:p>
    <w:p w14:paraId="789A224A" w14:textId="3E340FEF" w:rsidR="00D12409" w:rsidRDefault="00D12409" w:rsidP="006510DF">
      <w:pPr>
        <w:pStyle w:val="CommentText"/>
        <w:spacing w:line="276" w:lineRule="auto"/>
      </w:pPr>
      <w:r>
        <w:t xml:space="preserve">To produce graduates that meet the </w:t>
      </w:r>
      <w:r w:rsidRPr="009002DA">
        <w:t xml:space="preserve">Graduate </w:t>
      </w:r>
      <w:r w:rsidR="00354541">
        <w:t>level</w:t>
      </w:r>
      <w:r w:rsidR="00335AAF" w:rsidRPr="009002DA">
        <w:t xml:space="preserve"> of the</w:t>
      </w:r>
      <w:r w:rsidR="00335AAF" w:rsidRPr="00335AAF">
        <w:rPr>
          <w:i/>
          <w:iCs/>
        </w:rPr>
        <w:t xml:space="preserve"> Australian Professional Standards for Teachers</w:t>
      </w:r>
      <w:r w:rsidR="00335AAF">
        <w:t xml:space="preserve"> (Teacher Standards)</w:t>
      </w:r>
      <w:r>
        <w:t xml:space="preserve">, programs must be evidenced-based, link theory and practice, and provide students with authentic and varied practical experience in classrooms. </w:t>
      </w:r>
    </w:p>
    <w:p w14:paraId="4C225882" w14:textId="6F767F0D" w:rsidR="00D12409" w:rsidRDefault="00D12409" w:rsidP="00D12409">
      <w:r>
        <w:t xml:space="preserve">Teacher preparation in high-performing school systems is grounded in academic content, pedagogical knowledge and professional standards, as well as research and clinical experience (Darling-Hammond 2017). The </w:t>
      </w:r>
      <w:r w:rsidR="004765A8">
        <w:t>Organisation for Economic Co-operation and Development (</w:t>
      </w:r>
      <w:r>
        <w:t>OECD</w:t>
      </w:r>
      <w:r w:rsidR="004765A8">
        <w:t>)</w:t>
      </w:r>
      <w:r>
        <w:t xml:space="preserve"> notes there is evidence that some features of teacher preparation systems, such as duration, certification, or content, do make a difference in teaching quality and student learning (T</w:t>
      </w:r>
      <w:r w:rsidR="00EA5C51">
        <w:t xml:space="preserve">eaching and Learning International Survey (TALIS) </w:t>
      </w:r>
      <w:r>
        <w:t>Volume 1 2018).</w:t>
      </w:r>
    </w:p>
    <w:p w14:paraId="5CAA5528" w14:textId="788F0FB4" w:rsidR="00D12409" w:rsidRDefault="00D12409" w:rsidP="00D12409">
      <w:r>
        <w:t xml:space="preserve">A decade of national frameworks has led to improvements in quality. Along with the introduction of the Teacher Standards in 2011, the implementation of the </w:t>
      </w:r>
      <w:r w:rsidR="003B7563">
        <w:t>Teacher Education Ministerial Advisory Group (</w:t>
      </w:r>
      <w:r>
        <w:t>TEMAG</w:t>
      </w:r>
      <w:r w:rsidR="003B7563">
        <w:t>)</w:t>
      </w:r>
      <w:r>
        <w:t xml:space="preserve"> Review </w:t>
      </w:r>
      <w:r w:rsidR="006B27F1">
        <w:t>recommendations</w:t>
      </w:r>
      <w:r>
        <w:t xml:space="preserve"> have introduced a number of significant reforms.</w:t>
      </w:r>
    </w:p>
    <w:p w14:paraId="5FE610D8" w14:textId="6D375580" w:rsidR="006A0E85" w:rsidRDefault="00D12409" w:rsidP="00C73014">
      <w:pPr>
        <w:rPr>
          <w:rFonts w:eastAsia="Times New Roman"/>
        </w:rPr>
      </w:pPr>
      <w:r>
        <w:rPr>
          <w:rFonts w:eastAsia="Times New Roman"/>
        </w:rPr>
        <w:t xml:space="preserve">The </w:t>
      </w:r>
      <w:r w:rsidRPr="00DC3FA3">
        <w:rPr>
          <w:rFonts w:eastAsia="Times New Roman"/>
          <w:i/>
          <w:iCs/>
        </w:rPr>
        <w:t>Accreditation of Initial Teacher Education Programs in Australia: Standards and Procedures</w:t>
      </w:r>
      <w:r>
        <w:rPr>
          <w:rFonts w:eastAsia="Times New Roman"/>
        </w:rPr>
        <w:t xml:space="preserve"> (Accreditation Standards) is the national framework for accreditation of ITE programs, endorsed by all Australian education ministers. The</w:t>
      </w:r>
      <w:r w:rsidR="005F7409">
        <w:rPr>
          <w:rFonts w:eastAsia="Times New Roman"/>
        </w:rPr>
        <w:t xml:space="preserve"> Australian Government</w:t>
      </w:r>
      <w:r>
        <w:rPr>
          <w:rFonts w:eastAsia="Times New Roman"/>
        </w:rPr>
        <w:t xml:space="preserve"> is the primary funder of ITE. State and territory </w:t>
      </w:r>
      <w:r w:rsidR="00F53CBA">
        <w:rPr>
          <w:rFonts w:eastAsia="Times New Roman"/>
        </w:rPr>
        <w:t xml:space="preserve">Teacher Regulatory Authorities </w:t>
      </w:r>
      <w:r>
        <w:rPr>
          <w:rFonts w:eastAsia="Times New Roman"/>
        </w:rPr>
        <w:t xml:space="preserve">(TRAs), however, retain the legislative authority for accreditation of programs. </w:t>
      </w:r>
      <w:r w:rsidR="008F602C">
        <w:rPr>
          <w:rFonts w:eastAsia="Times New Roman"/>
        </w:rPr>
        <w:t>S</w:t>
      </w:r>
      <w:r>
        <w:rPr>
          <w:rFonts w:eastAsia="Times New Roman"/>
        </w:rPr>
        <w:t>tates and territories use the Accreditation Standards to make accreditation decisions.</w:t>
      </w:r>
      <w:bookmarkStart w:id="36" w:name="_Toc86138406"/>
      <w:bookmarkStart w:id="37" w:name="_Toc86141310"/>
    </w:p>
    <w:p w14:paraId="4641CAA3" w14:textId="77777777" w:rsidR="00C73014" w:rsidRDefault="00C73014">
      <w:pPr>
        <w:spacing w:after="0" w:line="240" w:lineRule="auto"/>
        <w:rPr>
          <w:color w:val="2F5496" w:themeColor="accent1" w:themeShade="BF"/>
          <w:sz w:val="24"/>
          <w:szCs w:val="24"/>
        </w:rPr>
      </w:pPr>
      <w:r>
        <w:rPr>
          <w:color w:val="2F5496" w:themeColor="accent1" w:themeShade="BF"/>
          <w:sz w:val="24"/>
          <w:szCs w:val="24"/>
        </w:rPr>
        <w:br w:type="page"/>
      </w:r>
    </w:p>
    <w:p w14:paraId="2CD4486A" w14:textId="5D5DACAA" w:rsidR="00D12409" w:rsidRDefault="00D12409" w:rsidP="00D12409">
      <w:pPr>
        <w:ind w:left="794" w:hanging="794"/>
        <w:outlineLvl w:val="1"/>
        <w:rPr>
          <w:bCs/>
          <w:color w:val="2F5496" w:themeColor="accent1" w:themeShade="BF"/>
          <w:sz w:val="24"/>
          <w:szCs w:val="24"/>
        </w:rPr>
      </w:pPr>
      <w:bookmarkStart w:id="38" w:name="_Toc91160201"/>
      <w:r w:rsidRPr="006F0C8C">
        <w:rPr>
          <w:color w:val="2F5496" w:themeColor="accent1" w:themeShade="BF"/>
          <w:sz w:val="24"/>
          <w:szCs w:val="24"/>
        </w:rPr>
        <w:lastRenderedPageBreak/>
        <w:t xml:space="preserve">Chapter </w:t>
      </w:r>
      <w:r>
        <w:rPr>
          <w:color w:val="2F5496" w:themeColor="accent1" w:themeShade="BF"/>
          <w:sz w:val="24"/>
          <w:szCs w:val="24"/>
        </w:rPr>
        <w:t>3</w:t>
      </w:r>
      <w:r w:rsidRPr="006F0C8C">
        <w:rPr>
          <w:color w:val="2F5496" w:themeColor="accent1" w:themeShade="BF"/>
          <w:sz w:val="24"/>
          <w:szCs w:val="24"/>
        </w:rPr>
        <w:t xml:space="preserve">: </w:t>
      </w:r>
      <w:r w:rsidRPr="006F0C8C">
        <w:rPr>
          <w:bCs/>
          <w:color w:val="2F5496" w:themeColor="accent1" w:themeShade="BF"/>
          <w:sz w:val="24"/>
          <w:szCs w:val="24"/>
        </w:rPr>
        <w:t>I</w:t>
      </w:r>
      <w:r w:rsidR="00D800CA">
        <w:rPr>
          <w:bCs/>
          <w:color w:val="2F5496" w:themeColor="accent1" w:themeShade="BF"/>
          <w:sz w:val="24"/>
          <w:szCs w:val="24"/>
        </w:rPr>
        <w:t xml:space="preserve">nitial </w:t>
      </w:r>
      <w:r w:rsidRPr="006F0C8C">
        <w:rPr>
          <w:bCs/>
          <w:color w:val="2F5496" w:themeColor="accent1" w:themeShade="BF"/>
          <w:sz w:val="24"/>
          <w:szCs w:val="24"/>
        </w:rPr>
        <w:t>T</w:t>
      </w:r>
      <w:r w:rsidR="00D800CA">
        <w:rPr>
          <w:bCs/>
          <w:color w:val="2F5496" w:themeColor="accent1" w:themeShade="BF"/>
          <w:sz w:val="24"/>
          <w:szCs w:val="24"/>
        </w:rPr>
        <w:t xml:space="preserve">eacher </w:t>
      </w:r>
      <w:r w:rsidRPr="006F0C8C">
        <w:rPr>
          <w:bCs/>
          <w:color w:val="2F5496" w:themeColor="accent1" w:themeShade="BF"/>
          <w:sz w:val="24"/>
          <w:szCs w:val="24"/>
        </w:rPr>
        <w:t>E</w:t>
      </w:r>
      <w:r w:rsidR="00D800CA">
        <w:rPr>
          <w:bCs/>
          <w:color w:val="2F5496" w:themeColor="accent1" w:themeShade="BF"/>
          <w:sz w:val="24"/>
          <w:szCs w:val="24"/>
        </w:rPr>
        <w:t>ducation</w:t>
      </w:r>
      <w:r w:rsidRPr="006F0C8C">
        <w:rPr>
          <w:bCs/>
          <w:color w:val="2F5496" w:themeColor="accent1" w:themeShade="BF"/>
          <w:sz w:val="24"/>
          <w:szCs w:val="24"/>
        </w:rPr>
        <w:t xml:space="preserve"> Program Content</w:t>
      </w:r>
      <w:bookmarkEnd w:id="36"/>
      <w:bookmarkEnd w:id="37"/>
      <w:bookmarkEnd w:id="38"/>
    </w:p>
    <w:p w14:paraId="2E8709A1" w14:textId="1850C4F3" w:rsidR="00B849CC" w:rsidRDefault="00B849CC" w:rsidP="00B849CC">
      <w:pPr>
        <w:pStyle w:val="Keypoints"/>
      </w:pPr>
      <w:r>
        <w:t>Key points</w:t>
      </w:r>
    </w:p>
    <w:p w14:paraId="0F29792D" w14:textId="1C235458" w:rsidR="00BB5206" w:rsidRPr="00BB5206" w:rsidRDefault="00BB5206" w:rsidP="00F66D2A">
      <w:pPr>
        <w:pStyle w:val="Keypoints"/>
        <w:numPr>
          <w:ilvl w:val="0"/>
          <w:numId w:val="13"/>
        </w:numPr>
        <w:spacing w:before="240" w:after="0"/>
        <w:ind w:left="357" w:hanging="357"/>
        <w:rPr>
          <w:b w:val="0"/>
        </w:rPr>
      </w:pPr>
      <w:r w:rsidRPr="005C2FB8">
        <w:rPr>
          <w:b w:val="0"/>
        </w:rPr>
        <w:t>Quality teaching is of national importance</w:t>
      </w:r>
      <w:r w:rsidR="00EA1568" w:rsidRPr="005C2FB8">
        <w:rPr>
          <w:b w:val="0"/>
        </w:rPr>
        <w:t xml:space="preserve"> and it is critical that </w:t>
      </w:r>
      <w:r w:rsidR="002E1F10">
        <w:rPr>
          <w:b w:val="0"/>
        </w:rPr>
        <w:t>initial teacher education (</w:t>
      </w:r>
      <w:r w:rsidR="00EA1568" w:rsidRPr="005C2FB8">
        <w:rPr>
          <w:b w:val="0"/>
        </w:rPr>
        <w:t>ITE</w:t>
      </w:r>
      <w:r w:rsidR="002E1F10">
        <w:rPr>
          <w:b w:val="0"/>
        </w:rPr>
        <w:t>)</w:t>
      </w:r>
      <w:r w:rsidR="00EA1568" w:rsidRPr="005C2FB8">
        <w:rPr>
          <w:b w:val="0"/>
        </w:rPr>
        <w:t xml:space="preserve"> programs prepare </w:t>
      </w:r>
      <w:r w:rsidR="0034693F" w:rsidRPr="005C2FB8">
        <w:rPr>
          <w:b w:val="0"/>
        </w:rPr>
        <w:t>graduates with the skills and knowledge they need to become effective teachers.</w:t>
      </w:r>
    </w:p>
    <w:p w14:paraId="6A30B26E" w14:textId="224E5FA2" w:rsidR="007A5DDA" w:rsidRPr="00D4094A" w:rsidRDefault="007A5DDA" w:rsidP="00F66D2A">
      <w:pPr>
        <w:pStyle w:val="Keypoints"/>
        <w:numPr>
          <w:ilvl w:val="0"/>
          <w:numId w:val="13"/>
        </w:numPr>
        <w:spacing w:before="240" w:after="0"/>
        <w:ind w:left="357" w:hanging="357"/>
        <w:rPr>
          <w:b w:val="0"/>
        </w:rPr>
      </w:pPr>
      <w:r>
        <w:rPr>
          <w:b w:val="0"/>
          <w:bCs/>
        </w:rPr>
        <w:t xml:space="preserve">Many </w:t>
      </w:r>
      <w:r w:rsidR="004848F9">
        <w:rPr>
          <w:b w:val="0"/>
          <w:bCs/>
        </w:rPr>
        <w:t>ITE</w:t>
      </w:r>
      <w:r>
        <w:rPr>
          <w:b w:val="0"/>
          <w:bCs/>
        </w:rPr>
        <w:t xml:space="preserve"> graduates are </w:t>
      </w:r>
      <w:r w:rsidRPr="00772CD6">
        <w:rPr>
          <w:b w:val="0"/>
          <w:bCs/>
        </w:rPr>
        <w:t>under</w:t>
      </w:r>
      <w:r w:rsidR="00680114">
        <w:rPr>
          <w:b w:val="0"/>
          <w:bCs/>
        </w:rPr>
        <w:t xml:space="preserve"> </w:t>
      </w:r>
      <w:r w:rsidRPr="00772CD6">
        <w:rPr>
          <w:b w:val="0"/>
          <w:bCs/>
        </w:rPr>
        <w:t>prepared in a number of key areas</w:t>
      </w:r>
      <w:r>
        <w:rPr>
          <w:b w:val="0"/>
          <w:bCs/>
        </w:rPr>
        <w:t xml:space="preserve">, including the teaching of </w:t>
      </w:r>
      <w:r w:rsidRPr="00C37A3A">
        <w:rPr>
          <w:b w:val="0"/>
          <w:bCs/>
        </w:rPr>
        <w:t>reading</w:t>
      </w:r>
      <w:r>
        <w:rPr>
          <w:b w:val="0"/>
          <w:bCs/>
        </w:rPr>
        <w:t xml:space="preserve">, cultural responsiveness, supporting diverse learners, classroom management, </w:t>
      </w:r>
      <w:r w:rsidR="005E51F2">
        <w:rPr>
          <w:b w:val="0"/>
          <w:bCs/>
        </w:rPr>
        <w:t xml:space="preserve">family/carer </w:t>
      </w:r>
      <w:r>
        <w:rPr>
          <w:b w:val="0"/>
          <w:bCs/>
        </w:rPr>
        <w:t xml:space="preserve">engagement, and </w:t>
      </w:r>
      <w:r w:rsidR="00337046">
        <w:rPr>
          <w:b w:val="0"/>
          <w:bCs/>
        </w:rPr>
        <w:t xml:space="preserve">teaching in </w:t>
      </w:r>
      <w:r>
        <w:rPr>
          <w:b w:val="0"/>
          <w:bCs/>
        </w:rPr>
        <w:t xml:space="preserve">regional, rural and remote locations. </w:t>
      </w:r>
    </w:p>
    <w:p w14:paraId="26FEE386" w14:textId="614D890E" w:rsidR="00D14E68" w:rsidRPr="00D4094A" w:rsidRDefault="00987806" w:rsidP="00F66D2A">
      <w:pPr>
        <w:pStyle w:val="Keypoints"/>
        <w:numPr>
          <w:ilvl w:val="0"/>
          <w:numId w:val="13"/>
        </w:numPr>
        <w:spacing w:before="240" w:after="0"/>
        <w:ind w:left="357" w:hanging="357"/>
        <w:rPr>
          <w:b w:val="0"/>
        </w:rPr>
      </w:pPr>
      <w:r>
        <w:rPr>
          <w:b w:val="0"/>
          <w:bCs/>
        </w:rPr>
        <w:t xml:space="preserve">The </w:t>
      </w:r>
      <w:r w:rsidR="00130F42" w:rsidRPr="001F6029">
        <w:rPr>
          <w:rFonts w:eastAsia="Times New Roman"/>
          <w:b w:val="0"/>
          <w:bCs/>
          <w:i/>
          <w:iCs/>
        </w:rPr>
        <w:t>Accreditation of Initial Teacher Education Programs in Australia: Standards and Procedures</w:t>
      </w:r>
      <w:r>
        <w:rPr>
          <w:rFonts w:eastAsia="Times New Roman"/>
        </w:rPr>
        <w:t xml:space="preserve"> </w:t>
      </w:r>
      <w:r w:rsidR="00E7301C">
        <w:rPr>
          <w:b w:val="0"/>
          <w:bCs/>
        </w:rPr>
        <w:t xml:space="preserve">do not </w:t>
      </w:r>
      <w:r w:rsidR="00E7301C" w:rsidRPr="00E7301C">
        <w:rPr>
          <w:b w:val="0"/>
          <w:bCs/>
        </w:rPr>
        <w:t>provide specific detail about the kind of content that should be included in ITE programs</w:t>
      </w:r>
      <w:r w:rsidR="007541C0">
        <w:rPr>
          <w:b w:val="0"/>
          <w:bCs/>
        </w:rPr>
        <w:t xml:space="preserve"> and the skills graduates should leave with</w:t>
      </w:r>
      <w:r w:rsidR="00E7301C">
        <w:rPr>
          <w:b w:val="0"/>
          <w:bCs/>
        </w:rPr>
        <w:t xml:space="preserve">, which </w:t>
      </w:r>
      <w:r w:rsidR="00220195">
        <w:rPr>
          <w:b w:val="0"/>
          <w:bCs/>
        </w:rPr>
        <w:t xml:space="preserve">enables </w:t>
      </w:r>
      <w:r w:rsidR="009D024A">
        <w:rPr>
          <w:b w:val="0"/>
          <w:bCs/>
        </w:rPr>
        <w:t xml:space="preserve">variability in ITE content across higher education providers. </w:t>
      </w:r>
    </w:p>
    <w:p w14:paraId="0BBB8C08" w14:textId="49517550" w:rsidR="0007454F" w:rsidRPr="00D4094A" w:rsidRDefault="00640AD0" w:rsidP="00F66D2A">
      <w:pPr>
        <w:pStyle w:val="Keypoints"/>
        <w:numPr>
          <w:ilvl w:val="0"/>
          <w:numId w:val="13"/>
        </w:numPr>
        <w:spacing w:before="240" w:after="0"/>
        <w:rPr>
          <w:b w:val="0"/>
        </w:rPr>
      </w:pPr>
      <w:r>
        <w:rPr>
          <w:b w:val="0"/>
          <w:bCs/>
        </w:rPr>
        <w:t>Stakeholders have raised concerns</w:t>
      </w:r>
      <w:r w:rsidR="00D62A01" w:rsidRPr="00D62A01">
        <w:rPr>
          <w:b w:val="0"/>
          <w:bCs/>
        </w:rPr>
        <w:t xml:space="preserve"> that </w:t>
      </w:r>
      <w:r w:rsidR="00D62A01" w:rsidRPr="003C2237">
        <w:rPr>
          <w:b w:val="0"/>
          <w:bCs/>
        </w:rPr>
        <w:t xml:space="preserve">some ITE content is not evidence-based and that </w:t>
      </w:r>
      <w:r w:rsidR="00220195">
        <w:rPr>
          <w:b w:val="0"/>
          <w:bCs/>
        </w:rPr>
        <w:t xml:space="preserve">some </w:t>
      </w:r>
      <w:r w:rsidR="00D62A01" w:rsidRPr="003C2237">
        <w:rPr>
          <w:b w:val="0"/>
          <w:bCs/>
        </w:rPr>
        <w:t xml:space="preserve">practice in ITE appears to lag behind </w:t>
      </w:r>
      <w:r w:rsidR="00902662">
        <w:rPr>
          <w:b w:val="0"/>
          <w:bCs/>
        </w:rPr>
        <w:t>recent</w:t>
      </w:r>
      <w:r w:rsidR="00902662" w:rsidRPr="003C2237">
        <w:rPr>
          <w:b w:val="0"/>
          <w:bCs/>
        </w:rPr>
        <w:t xml:space="preserve"> </w:t>
      </w:r>
      <w:r w:rsidR="00D62A01" w:rsidRPr="003C2237">
        <w:rPr>
          <w:b w:val="0"/>
          <w:bCs/>
        </w:rPr>
        <w:t>evidence</w:t>
      </w:r>
      <w:r w:rsidR="00D62A01">
        <w:rPr>
          <w:b w:val="0"/>
          <w:bCs/>
        </w:rPr>
        <w:t>.</w:t>
      </w:r>
    </w:p>
    <w:p w14:paraId="74A57A21" w14:textId="41E14972" w:rsidR="00392AE5" w:rsidRPr="00F04EEC" w:rsidRDefault="00BB70CE" w:rsidP="00F66D2A">
      <w:pPr>
        <w:pStyle w:val="Keypoints"/>
        <w:numPr>
          <w:ilvl w:val="0"/>
          <w:numId w:val="13"/>
        </w:numPr>
        <w:spacing w:before="240"/>
        <w:rPr>
          <w:b w:val="0"/>
        </w:rPr>
      </w:pPr>
      <w:r>
        <w:rPr>
          <w:b w:val="0"/>
        </w:rPr>
        <w:t>Changes are needed</w:t>
      </w:r>
      <w:r w:rsidR="00392AE5">
        <w:rPr>
          <w:b w:val="0"/>
        </w:rPr>
        <w:t xml:space="preserve"> to ensure that ITE students and teachers are equipped with the best knowledge in order to support early readers with evidence-based reading methods.</w:t>
      </w:r>
    </w:p>
    <w:p w14:paraId="66EADAD4" w14:textId="44428A3B" w:rsidR="00D12409" w:rsidRPr="006F0C8C" w:rsidRDefault="00D12409" w:rsidP="00D12409">
      <w:pPr>
        <w:ind w:left="1021" w:hanging="1021"/>
        <w:outlineLvl w:val="2"/>
      </w:pPr>
      <w:r w:rsidRPr="006F0C8C">
        <w:rPr>
          <w:b/>
          <w:bCs/>
          <w:sz w:val="22"/>
          <w:szCs w:val="21"/>
        </w:rPr>
        <w:t>Current Context</w:t>
      </w:r>
    </w:p>
    <w:p w14:paraId="5AD9EC6D" w14:textId="34F374C8" w:rsidR="00D12409" w:rsidRPr="006F0C8C" w:rsidRDefault="00D12409" w:rsidP="00D12409">
      <w:r>
        <w:t>The aim of accredited ITE programs is to produce teachers who meet the Graduate</w:t>
      </w:r>
      <w:r w:rsidR="00D800CA">
        <w:t xml:space="preserve"> </w:t>
      </w:r>
      <w:r w:rsidR="00354541">
        <w:t>level</w:t>
      </w:r>
      <w:r w:rsidR="00D800CA">
        <w:t xml:space="preserve"> of the</w:t>
      </w:r>
      <w:r>
        <w:t xml:space="preserve"> Teacher Standards and </w:t>
      </w:r>
      <w:r w:rsidR="00081E4B">
        <w:t xml:space="preserve">have the </w:t>
      </w:r>
      <w:r w:rsidR="001B07D5">
        <w:t xml:space="preserve">tools and knowledge to </w:t>
      </w:r>
      <w:r w:rsidR="00FE71BF">
        <w:t>support students in achieving</w:t>
      </w:r>
      <w:r w:rsidR="001B07D5">
        <w:t xml:space="preserve"> a year’s worth of </w:t>
      </w:r>
      <w:r w:rsidR="00FE71BF">
        <w:t>academic</w:t>
      </w:r>
      <w:r w:rsidR="001B07D5">
        <w:t xml:space="preserve"> </w:t>
      </w:r>
      <w:r w:rsidR="00231453">
        <w:t>growth in any given year</w:t>
      </w:r>
      <w:r w:rsidDel="007A2DDE">
        <w:t>.</w:t>
      </w:r>
      <w:r>
        <w:t xml:space="preserve"> The Accreditation Standards require higher education providers to take account of contemporary and emerging developments in education, as well as curriculum requirements, community expectations and employer needs. </w:t>
      </w:r>
    </w:p>
    <w:p w14:paraId="755003A3" w14:textId="1744043F" w:rsidR="00D12409" w:rsidRPr="006F0C8C" w:rsidRDefault="00D12409" w:rsidP="00D12409">
      <w:pPr>
        <w:rPr>
          <w:rFonts w:eastAsia="Times New Roman"/>
        </w:rPr>
      </w:pPr>
      <w:r w:rsidRPr="006F0C8C">
        <w:rPr>
          <w:rFonts w:eastAsia="Times New Roman"/>
        </w:rPr>
        <w:t xml:space="preserve">It is critical to ensure </w:t>
      </w:r>
      <w:r w:rsidR="005C4763">
        <w:rPr>
          <w:rFonts w:eastAsia="Times New Roman"/>
        </w:rPr>
        <w:t>the</w:t>
      </w:r>
      <w:r w:rsidR="005C4763" w:rsidRPr="006F0C8C">
        <w:rPr>
          <w:rFonts w:eastAsia="Times New Roman"/>
        </w:rPr>
        <w:t xml:space="preserve"> </w:t>
      </w:r>
      <w:r w:rsidRPr="006F0C8C">
        <w:rPr>
          <w:rFonts w:eastAsia="Times New Roman"/>
        </w:rPr>
        <w:t>next generation of teachers are being taught methods of teaching that are supported by evidence, with a focus on ensuring they have the practical skills necessary to enter the classroom.</w:t>
      </w:r>
    </w:p>
    <w:p w14:paraId="19A86F97" w14:textId="6CA816D7" w:rsidR="00D12409" w:rsidRPr="006F0C8C" w:rsidRDefault="00BD0A8E" w:rsidP="00D12409">
      <w:pPr>
        <w:rPr>
          <w:rFonts w:eastAsia="Times New Roman"/>
        </w:rPr>
      </w:pPr>
      <w:r>
        <w:t xml:space="preserve">The </w:t>
      </w:r>
      <w:r w:rsidRPr="00E477FD">
        <w:t xml:space="preserve">TEMAG </w:t>
      </w:r>
      <w:r w:rsidR="008964C7">
        <w:t>R</w:t>
      </w:r>
      <w:r w:rsidRPr="00E477FD">
        <w:t>eview</w:t>
      </w:r>
      <w:r w:rsidR="00D12409" w:rsidRPr="00E477FD">
        <w:t xml:space="preserve"> </w:t>
      </w:r>
      <w:r w:rsidR="00D12409" w:rsidRPr="006F0C8C">
        <w:rPr>
          <w:rFonts w:eastAsia="Times New Roman"/>
        </w:rPr>
        <w:t>highlighted concerns that some content in ITE programs was not informed by evidence (TEMAG 2014). A number of previous reviews and inquiries also raised this issue.</w:t>
      </w:r>
    </w:p>
    <w:p w14:paraId="7D7C7E6C" w14:textId="45B5BF32" w:rsidR="001027F5" w:rsidRDefault="001027F5" w:rsidP="00D12409">
      <w:r>
        <w:t>Despite recent changes to ITE regulation, concerns remain that ITE students may not be well</w:t>
      </w:r>
      <w:r w:rsidR="0061283E">
        <w:t xml:space="preserve"> </w:t>
      </w:r>
      <w:r>
        <w:t xml:space="preserve">prepared to enter the classroom in a number of key areas including the teaching of reading, cultural competency, supporting diverse learners and students with disability, classroom management and </w:t>
      </w:r>
      <w:r w:rsidR="005E51F2">
        <w:t xml:space="preserve">family/carer </w:t>
      </w:r>
      <w:r>
        <w:t xml:space="preserve">engagement. These key areas are consistent with those identified in the </w:t>
      </w:r>
      <w:r>
        <w:rPr>
          <w:i/>
          <w:iCs/>
        </w:rPr>
        <w:t>Studying the effectiveness of teacher education</w:t>
      </w:r>
      <w:r>
        <w:t xml:space="preserve"> </w:t>
      </w:r>
      <w:r w:rsidR="006D7096">
        <w:t xml:space="preserve">report </w:t>
      </w:r>
      <w:r>
        <w:t>(Mayer</w:t>
      </w:r>
      <w:r w:rsidR="00486B47">
        <w:t> </w:t>
      </w:r>
      <w:r>
        <w:t>et al</w:t>
      </w:r>
      <w:r w:rsidR="00B164B6">
        <w:t>.</w:t>
      </w:r>
      <w:r>
        <w:t xml:space="preserve"> 2015). Consultation also found that ITE students felt their preparedness to teach would be bolstered by a focus on evidence-based strategies and practice over theory in their degrees.</w:t>
      </w:r>
    </w:p>
    <w:p w14:paraId="07486628" w14:textId="77777777" w:rsidR="00D12409" w:rsidRPr="00F65EEF" w:rsidRDefault="00D12409" w:rsidP="00D12409">
      <w:pPr>
        <w:ind w:left="1021" w:hanging="1021"/>
        <w:outlineLvl w:val="2"/>
        <w:rPr>
          <w:b/>
          <w:bCs/>
          <w:sz w:val="22"/>
          <w:szCs w:val="21"/>
        </w:rPr>
      </w:pPr>
      <w:r w:rsidRPr="006F0C8C">
        <w:rPr>
          <w:b/>
          <w:bCs/>
          <w:sz w:val="22"/>
          <w:szCs w:val="21"/>
        </w:rPr>
        <w:t>Key Consultation Themes and Analysis</w:t>
      </w:r>
    </w:p>
    <w:p w14:paraId="7F83BB35" w14:textId="240CC9AE" w:rsidR="00D12409" w:rsidRPr="006F0C8C" w:rsidRDefault="00D12409" w:rsidP="00D12409">
      <w:pPr>
        <w:keepNext/>
        <w:keepLines/>
        <w:spacing w:before="40" w:after="0"/>
        <w:ind w:left="1247" w:hanging="1247"/>
        <w:outlineLvl w:val="5"/>
      </w:pPr>
      <w:r w:rsidRPr="006F0C8C">
        <w:rPr>
          <w:rFonts w:ascii="Calibri" w:eastAsiaTheme="majorEastAsia" w:hAnsi="Calibri" w:cstheme="majorBidi"/>
          <w:b/>
          <w:u w:val="single"/>
        </w:rPr>
        <w:t xml:space="preserve">Accreditation Standards </w:t>
      </w:r>
      <w:r w:rsidR="00E51B16">
        <w:rPr>
          <w:rFonts w:ascii="Calibri" w:eastAsiaTheme="majorEastAsia" w:hAnsi="Calibri" w:cstheme="majorBidi"/>
          <w:b/>
          <w:u w:val="single"/>
        </w:rPr>
        <w:t>–</w:t>
      </w:r>
      <w:r w:rsidRPr="006F0C8C">
        <w:rPr>
          <w:rFonts w:ascii="Calibri" w:eastAsiaTheme="majorEastAsia" w:hAnsi="Calibri" w:cstheme="majorBidi"/>
          <w:b/>
          <w:u w:val="single"/>
        </w:rPr>
        <w:t xml:space="preserve"> program content</w:t>
      </w:r>
    </w:p>
    <w:p w14:paraId="7BB1E6AC" w14:textId="21D69DF2" w:rsidR="00D12409" w:rsidRPr="006F0C8C" w:rsidRDefault="00D12409" w:rsidP="00D12409">
      <w:pPr>
        <w:rPr>
          <w:color w:val="000000"/>
        </w:rPr>
      </w:pPr>
      <w:r w:rsidRPr="006F0C8C">
        <w:rPr>
          <w:color w:val="000000"/>
        </w:rPr>
        <w:t xml:space="preserve">ITE program content </w:t>
      </w:r>
      <w:r w:rsidR="00A31DA6">
        <w:rPr>
          <w:color w:val="000000"/>
        </w:rPr>
        <w:t xml:space="preserve">should be </w:t>
      </w:r>
      <w:r w:rsidR="003534EE">
        <w:rPr>
          <w:color w:val="000000"/>
        </w:rPr>
        <w:t>evidence based</w:t>
      </w:r>
      <w:r w:rsidR="008D7E88">
        <w:rPr>
          <w:color w:val="000000"/>
        </w:rPr>
        <w:t xml:space="preserve"> and set</w:t>
      </w:r>
      <w:r w:rsidR="00E32307">
        <w:rPr>
          <w:color w:val="000000"/>
        </w:rPr>
        <w:t xml:space="preserve"> graduate teachers up well to </w:t>
      </w:r>
      <w:r w:rsidR="005504A8">
        <w:rPr>
          <w:color w:val="000000"/>
        </w:rPr>
        <w:t xml:space="preserve">handle the </w:t>
      </w:r>
      <w:r w:rsidR="0028570C">
        <w:rPr>
          <w:color w:val="000000"/>
        </w:rPr>
        <w:t>classroom environment</w:t>
      </w:r>
      <w:r w:rsidR="00A31DA6">
        <w:rPr>
          <w:color w:val="000000"/>
        </w:rPr>
        <w:t>.</w:t>
      </w:r>
      <w:r w:rsidRPr="006F0C8C">
        <w:rPr>
          <w:color w:val="000000"/>
        </w:rPr>
        <w:t xml:space="preserve"> </w:t>
      </w:r>
      <w:r w:rsidRPr="006F0C8C">
        <w:t xml:space="preserve">Stakeholders highlighted that the Accreditation Standards do not </w:t>
      </w:r>
      <w:r w:rsidRPr="006F0C8C">
        <w:rPr>
          <w:rFonts w:eastAsia="Times New Roman"/>
        </w:rPr>
        <w:t xml:space="preserve">provide specific detail about the kind of content that should be included in ITE programs. </w:t>
      </w:r>
      <w:r w:rsidRPr="006F0C8C">
        <w:rPr>
          <w:color w:val="000000"/>
        </w:rPr>
        <w:t xml:space="preserve">Nor do they reference long-standing </w:t>
      </w:r>
      <w:r w:rsidR="00E52730">
        <w:rPr>
          <w:color w:val="000000"/>
        </w:rPr>
        <w:t xml:space="preserve">empirical </w:t>
      </w:r>
      <w:r w:rsidRPr="006F0C8C">
        <w:rPr>
          <w:color w:val="000000"/>
        </w:rPr>
        <w:t xml:space="preserve">evidence about learning from cognitive science and elsewhere. </w:t>
      </w:r>
    </w:p>
    <w:p w14:paraId="72EB4F97" w14:textId="77777777" w:rsidR="00D12409" w:rsidRPr="006F0C8C" w:rsidRDefault="00D12409" w:rsidP="00D12409">
      <w:pPr>
        <w:rPr>
          <w:color w:val="000000"/>
        </w:rPr>
      </w:pPr>
      <w:r w:rsidRPr="006F0C8C">
        <w:rPr>
          <w:color w:val="000000"/>
        </w:rPr>
        <w:lastRenderedPageBreak/>
        <w:t>This is in contrast to other systems such as the United Kingdom’s</w:t>
      </w:r>
      <w:r w:rsidRPr="006F0C8C">
        <w:rPr>
          <w:i/>
          <w:color w:val="000000"/>
        </w:rPr>
        <w:t xml:space="preserve"> </w:t>
      </w:r>
      <w:hyperlink r:id="rId40" w:history="1">
        <w:r w:rsidRPr="006F0C8C">
          <w:rPr>
            <w:i/>
            <w:color w:val="0563C1" w:themeColor="hyperlink"/>
            <w:u w:val="single"/>
          </w:rPr>
          <w:t>Initial Teacher Training (ITT): Core Content Framework</w:t>
        </w:r>
      </w:hyperlink>
      <w:r w:rsidRPr="006F0C8C">
        <w:rPr>
          <w:color w:val="000000"/>
        </w:rPr>
        <w:t xml:space="preserve"> (the Framework) which draws on the best available evidence to prescribe the critical content that providers of initial teacher training must draw on when designing and delivering programs. </w:t>
      </w:r>
    </w:p>
    <w:p w14:paraId="48593E7A" w14:textId="77777777" w:rsidR="00D12409" w:rsidRPr="006F0C8C" w:rsidRDefault="00D12409" w:rsidP="006510DF">
      <w:pPr>
        <w:spacing w:after="0"/>
      </w:pPr>
      <w:r w:rsidRPr="006F0C8C">
        <w:t xml:space="preserve">The Framework does not set out the full curriculum for trainee teachers. It acknowledges the </w:t>
      </w:r>
      <w:r w:rsidRPr="006F0C8C">
        <w:rPr>
          <w:color w:val="000000"/>
        </w:rPr>
        <w:t xml:space="preserve">complexity of becoming a teacher and requires individual providers to design curricula appropriate for the subject, phase and age range that trainees will be teaching. </w:t>
      </w:r>
      <w:r w:rsidRPr="006F0C8C">
        <w:t>The Framework has been designed to support development in five core areas:</w:t>
      </w:r>
    </w:p>
    <w:p w14:paraId="22BEBA72" w14:textId="482AC803" w:rsidR="00D12409" w:rsidRPr="006F0C8C" w:rsidRDefault="00B35461" w:rsidP="00F66D2A">
      <w:pPr>
        <w:numPr>
          <w:ilvl w:val="0"/>
          <w:numId w:val="8"/>
        </w:numPr>
        <w:contextualSpacing/>
      </w:pPr>
      <w:r>
        <w:t>b</w:t>
      </w:r>
      <w:r w:rsidR="00D12409" w:rsidRPr="006F0C8C">
        <w:t>ehaviour management</w:t>
      </w:r>
    </w:p>
    <w:p w14:paraId="0A035F04" w14:textId="2C480411" w:rsidR="00D12409" w:rsidRPr="006F0C8C" w:rsidRDefault="00B35461" w:rsidP="00F66D2A">
      <w:pPr>
        <w:numPr>
          <w:ilvl w:val="0"/>
          <w:numId w:val="8"/>
        </w:numPr>
        <w:contextualSpacing/>
      </w:pPr>
      <w:r>
        <w:t>p</w:t>
      </w:r>
      <w:r w:rsidR="00D12409" w:rsidRPr="006F0C8C">
        <w:t>edagogy</w:t>
      </w:r>
    </w:p>
    <w:p w14:paraId="3E60C763" w14:textId="61D0C602" w:rsidR="00D12409" w:rsidRPr="006F0C8C" w:rsidRDefault="00C80790" w:rsidP="00F66D2A">
      <w:pPr>
        <w:numPr>
          <w:ilvl w:val="0"/>
          <w:numId w:val="8"/>
        </w:numPr>
        <w:contextualSpacing/>
      </w:pPr>
      <w:r>
        <w:t>c</w:t>
      </w:r>
      <w:r w:rsidR="00D12409" w:rsidRPr="006F0C8C">
        <w:t>urriculum</w:t>
      </w:r>
    </w:p>
    <w:p w14:paraId="21CDFDE1" w14:textId="21491FA8" w:rsidR="00D12409" w:rsidRPr="006F0C8C" w:rsidRDefault="00C80790" w:rsidP="00F66D2A">
      <w:pPr>
        <w:numPr>
          <w:ilvl w:val="0"/>
          <w:numId w:val="8"/>
        </w:numPr>
        <w:contextualSpacing/>
      </w:pPr>
      <w:r>
        <w:t>a</w:t>
      </w:r>
      <w:r w:rsidR="00D12409" w:rsidRPr="006F0C8C">
        <w:t>ssessment</w:t>
      </w:r>
    </w:p>
    <w:p w14:paraId="41B18422" w14:textId="6928C032" w:rsidR="00D12409" w:rsidRPr="006F0C8C" w:rsidRDefault="00C80790" w:rsidP="00F66D2A">
      <w:pPr>
        <w:numPr>
          <w:ilvl w:val="0"/>
          <w:numId w:val="8"/>
        </w:numPr>
        <w:ind w:left="397" w:hanging="357"/>
      </w:pPr>
      <w:r>
        <w:t>p</w:t>
      </w:r>
      <w:r w:rsidR="00D12409" w:rsidRPr="006F0C8C">
        <w:t>rofessional behaviours.</w:t>
      </w:r>
    </w:p>
    <w:p w14:paraId="5226EA16" w14:textId="77777777" w:rsidR="00D12409" w:rsidRPr="006F0C8C" w:rsidRDefault="00D12409" w:rsidP="006510DF">
      <w:pPr>
        <w:spacing w:before="120"/>
      </w:pPr>
      <w:r w:rsidRPr="006F0C8C">
        <w:t>The Framework defines in detail the ‘minimum entitlement’ for all trainee teachers. Providers must ensure their curricula includes the full entitlement described in the Framework.</w:t>
      </w:r>
    </w:p>
    <w:p w14:paraId="39EF30C0" w14:textId="7A42E45B" w:rsidR="00D12409" w:rsidRPr="006F0C8C" w:rsidRDefault="00D12409" w:rsidP="00D12409">
      <w:pPr>
        <w:rPr>
          <w:color w:val="000000"/>
        </w:rPr>
      </w:pPr>
      <w:r w:rsidRPr="006F0C8C">
        <w:t xml:space="preserve">Importantly, </w:t>
      </w:r>
      <w:r w:rsidRPr="006F0C8C">
        <w:rPr>
          <w:color w:val="000000"/>
        </w:rPr>
        <w:t>the Framework goes beyond articulating the standards that must be met by trainee teachers. In addition to key evidence statements (‘Learn that…’), drawn from current high-quality evidence, the Framework also includes practice statements (‘Learn how to…’). These provide trainees with the entitlement to practice key skills as well as an opportunity to work with and learn from expert colleagues as they apply their knowledge and understanding of the evidence in the classroom.</w:t>
      </w:r>
    </w:p>
    <w:p w14:paraId="282DF8AA" w14:textId="35953009" w:rsidR="00D12409" w:rsidRPr="006510DF" w:rsidRDefault="00D12409" w:rsidP="006A0E85">
      <w:pPr>
        <w:pStyle w:val="Breakoutbox1body"/>
        <w:keepNext w:val="0"/>
        <w:rPr>
          <w:b/>
          <w:bCs w:val="0"/>
        </w:rPr>
      </w:pPr>
      <w:r w:rsidRPr="006510DF">
        <w:rPr>
          <w:b/>
          <w:bCs w:val="0"/>
        </w:rPr>
        <w:t xml:space="preserve">United Kingdom </w:t>
      </w:r>
      <w:r w:rsidR="00E51B16" w:rsidRPr="006510DF">
        <w:rPr>
          <w:b/>
          <w:bCs w:val="0"/>
        </w:rPr>
        <w:t>–</w:t>
      </w:r>
      <w:r w:rsidRPr="006510DF">
        <w:rPr>
          <w:b/>
          <w:bCs w:val="0"/>
        </w:rPr>
        <w:t xml:space="preserve"> Initial Teacher Training (ITT): Core Content Framework</w:t>
      </w:r>
    </w:p>
    <w:p w14:paraId="06A94D1B" w14:textId="77777777" w:rsidR="00D12409" w:rsidRPr="006A0E85" w:rsidRDefault="00D12409" w:rsidP="006510DF">
      <w:pPr>
        <w:pStyle w:val="Breakoutbox1body"/>
        <w:keepNext w:val="0"/>
        <w:rPr>
          <w:u w:val="single"/>
        </w:rPr>
      </w:pPr>
      <w:r w:rsidRPr="006A0E85">
        <w:rPr>
          <w:u w:val="single"/>
        </w:rPr>
        <w:t>Learn that…</w:t>
      </w:r>
    </w:p>
    <w:p w14:paraId="27FFB2E4" w14:textId="3E4E90AA" w:rsidR="00D12409" w:rsidRDefault="00D12409" w:rsidP="00C73014">
      <w:pPr>
        <w:pStyle w:val="Breakoutbox1body"/>
        <w:keepNext w:val="0"/>
        <w:spacing w:after="200"/>
      </w:pPr>
      <w:r w:rsidRPr="00BA1FEA">
        <w:t>To access the curri</w:t>
      </w:r>
      <w:r w:rsidRPr="00B155E1">
        <w:t>culum,</w:t>
      </w:r>
      <w:r w:rsidRPr="008F120C">
        <w:t xml:space="preserve"> early literacy provides fundamental knowledge; reading comprises two elements: word reading and language comprehension; systematic synthetic phonics is the most effective approach for teaching pupils to decode.</w:t>
      </w:r>
    </w:p>
    <w:p w14:paraId="177EA381" w14:textId="7592FECF" w:rsidR="00D12409" w:rsidRDefault="00D12409" w:rsidP="00C73014">
      <w:pPr>
        <w:pStyle w:val="Breakoutbox1body"/>
        <w:keepNext w:val="0"/>
        <w:spacing w:after="200"/>
      </w:pPr>
      <w:r w:rsidRPr="00BA1FEA">
        <w:t>Ever</w:t>
      </w:r>
      <w:r w:rsidRPr="00B155E1">
        <w:t>y teacher can improve pupils’ lite</w:t>
      </w:r>
      <w:r w:rsidRPr="008F120C">
        <w:t>racy, including by explicitly teaching reading, writing and oral language skills specific to individual disciplines.</w:t>
      </w:r>
    </w:p>
    <w:p w14:paraId="70535B0F" w14:textId="77777777" w:rsidR="00D12409" w:rsidRPr="006A0E85" w:rsidRDefault="00D12409" w:rsidP="00C73014">
      <w:pPr>
        <w:pStyle w:val="Breakoutbox1body"/>
        <w:keepNext w:val="0"/>
        <w:rPr>
          <w:u w:val="single"/>
        </w:rPr>
      </w:pPr>
      <w:r w:rsidRPr="006A0E85">
        <w:rPr>
          <w:u w:val="single"/>
        </w:rPr>
        <w:t>Learn how to…</w:t>
      </w:r>
    </w:p>
    <w:p w14:paraId="48D94E6D" w14:textId="77777777" w:rsidR="00D12409" w:rsidRPr="008F120C" w:rsidRDefault="00D12409" w:rsidP="00C73014">
      <w:pPr>
        <w:pStyle w:val="Breakoutbox1body"/>
        <w:keepNext w:val="0"/>
        <w:spacing w:after="200"/>
      </w:pPr>
      <w:r w:rsidRPr="00BA1FEA">
        <w:t>Devel</w:t>
      </w:r>
      <w:r w:rsidRPr="00B155E1">
        <w:t xml:space="preserve">op </w:t>
      </w:r>
      <w:r w:rsidRPr="008F120C">
        <w:t>pupils’ literacy, by:</w:t>
      </w:r>
    </w:p>
    <w:p w14:paraId="53A28EBA" w14:textId="2787AB8E" w:rsidR="00D12409" w:rsidRDefault="00D12409" w:rsidP="00C73014">
      <w:pPr>
        <w:pStyle w:val="Breakoutbox1body"/>
        <w:keepNext w:val="0"/>
        <w:spacing w:after="200"/>
      </w:pPr>
      <w:r w:rsidRPr="00BA1FEA">
        <w:t>Observin</w:t>
      </w:r>
      <w:r w:rsidRPr="00B155E1">
        <w:t>g how exp</w:t>
      </w:r>
      <w:r w:rsidRPr="008F120C">
        <w:t>ert colleagues demonstrate a clear understanding of systematic synthetic phonics, particularly if teaching early reading and spelling, and deconstructing this approach.</w:t>
      </w:r>
    </w:p>
    <w:p w14:paraId="1E4A5B53" w14:textId="5A2C4726" w:rsidR="00D12409" w:rsidRDefault="00D12409" w:rsidP="00C73014">
      <w:pPr>
        <w:pStyle w:val="Breakoutbox1body"/>
        <w:keepNext w:val="0"/>
        <w:spacing w:after="200"/>
      </w:pPr>
      <w:r w:rsidRPr="00BA1FEA">
        <w:t xml:space="preserve">Discussing </w:t>
      </w:r>
      <w:r w:rsidRPr="00B155E1">
        <w:t>and analysing with expert colleagu</w:t>
      </w:r>
      <w:r w:rsidRPr="008F120C">
        <w:t>es how to support younger pupils to become fluent readers and to write fluently and legibly.Receiving clear, consistent and effective mentoring in how to model reading comprehension by asking questions, making predictions, and summarising when reading.</w:t>
      </w:r>
    </w:p>
    <w:p w14:paraId="259E4C41" w14:textId="22D806A0" w:rsidR="00D12409" w:rsidRDefault="00D12409" w:rsidP="00C73014">
      <w:pPr>
        <w:pStyle w:val="Breakoutbox1body"/>
        <w:keepNext w:val="0"/>
        <w:spacing w:after="200"/>
      </w:pPr>
      <w:r w:rsidRPr="00BA1FEA">
        <w:t>Rec</w:t>
      </w:r>
      <w:r w:rsidRPr="00B155E1">
        <w:t>eiv</w:t>
      </w:r>
      <w:r w:rsidRPr="008F120C">
        <w:t>ing clear, consistent and effective mentoring in how to promote reading for pleasure (e.g by using a range of whole class reading approaches and regularly reading high-quality texts to children).</w:t>
      </w:r>
      <w:r w:rsidR="006E503C">
        <w:rPr>
          <w:b/>
        </w:rPr>
        <w:t xml:space="preserve"> </w:t>
      </w:r>
      <w:r w:rsidRPr="00B155E1">
        <w:t>Disc</w:t>
      </w:r>
      <w:r w:rsidRPr="008F120C">
        <w:t xml:space="preserve">ussing and analysing with expert colleagues how to teach different forms of writing by modelling planning, drafting and editing. </w:t>
      </w:r>
    </w:p>
    <w:p w14:paraId="44E02FEE" w14:textId="538480CC" w:rsidR="00D12409" w:rsidRPr="00E63952" w:rsidRDefault="00D12409" w:rsidP="00C73014">
      <w:pPr>
        <w:pStyle w:val="Breakoutbox1body"/>
        <w:keepNext w:val="0"/>
        <w:spacing w:after="200"/>
      </w:pPr>
      <w:r w:rsidRPr="00BA1FEA">
        <w:t>For more i</w:t>
      </w:r>
      <w:r w:rsidRPr="00B155E1">
        <w:t>nformation see</w:t>
      </w:r>
      <w:hyperlink r:id="rId41" w:history="1">
        <w:r w:rsidRPr="008F120C">
          <w:t xml:space="preserve"> </w:t>
        </w:r>
        <w:r w:rsidRPr="00E63952">
          <w:rPr>
            <w:rStyle w:val="Hyperlink"/>
            <w:b/>
            <w:color w:val="000000" w:themeColor="text1"/>
          </w:rPr>
          <w:t>ITT core content framework</w:t>
        </w:r>
        <w:r w:rsidRPr="00005EB8">
          <w:rPr>
            <w:rStyle w:val="Hyperlink"/>
            <w:color w:val="000000" w:themeColor="text1"/>
            <w:u w:val="none"/>
          </w:rPr>
          <w:t>.</w:t>
        </w:r>
      </w:hyperlink>
      <w:r w:rsidRPr="00E63952">
        <w:t xml:space="preserve"> </w:t>
      </w:r>
    </w:p>
    <w:p w14:paraId="679BA0E4" w14:textId="24767FAA" w:rsidR="00D12409" w:rsidRPr="006F0C8C" w:rsidRDefault="00D12409" w:rsidP="00D12409">
      <w:pPr>
        <w:keepNext/>
        <w:keepLines/>
        <w:spacing w:before="40" w:after="0"/>
        <w:ind w:left="1247" w:hanging="1247"/>
        <w:outlineLvl w:val="5"/>
      </w:pPr>
      <w:r w:rsidRPr="006F0C8C">
        <w:rPr>
          <w:rFonts w:ascii="Calibri" w:eastAsiaTheme="majorEastAsia" w:hAnsi="Calibri" w:cstheme="majorBidi"/>
          <w:b/>
          <w:u w:val="single"/>
        </w:rPr>
        <w:lastRenderedPageBreak/>
        <w:t>Evidence-based practice</w:t>
      </w:r>
    </w:p>
    <w:p w14:paraId="58782617" w14:textId="71FE5FC3" w:rsidR="00D12409" w:rsidRPr="006F0C8C" w:rsidRDefault="00D12409" w:rsidP="00D12409">
      <w:pPr>
        <w:rPr>
          <w:rFonts w:eastAsia="Times New Roman"/>
        </w:rPr>
      </w:pPr>
      <w:r w:rsidRPr="006F0C8C">
        <w:rPr>
          <w:rFonts w:eastAsia="Times New Roman"/>
        </w:rPr>
        <w:t xml:space="preserve">In consultation for </w:t>
      </w:r>
      <w:r w:rsidR="002448C8">
        <w:rPr>
          <w:rFonts w:eastAsia="Times New Roman"/>
        </w:rPr>
        <w:t>the</w:t>
      </w:r>
      <w:r w:rsidRPr="006F0C8C">
        <w:rPr>
          <w:rFonts w:eastAsia="Times New Roman"/>
        </w:rPr>
        <w:t xml:space="preserve"> Review</w:t>
      </w:r>
      <w:r w:rsidR="002448C8">
        <w:rPr>
          <w:rFonts w:eastAsia="Times New Roman"/>
        </w:rPr>
        <w:t>,</w:t>
      </w:r>
      <w:r w:rsidRPr="006F0C8C">
        <w:rPr>
          <w:rFonts w:eastAsia="Times New Roman"/>
        </w:rPr>
        <w:t xml:space="preserve"> stakeholders highlighted the need to ensure ITE programs focus on evidence</w:t>
      </w:r>
      <w:r w:rsidR="006E19C0">
        <w:rPr>
          <w:rFonts w:eastAsia="Times New Roman"/>
        </w:rPr>
        <w:noBreakHyphen/>
      </w:r>
      <w:r w:rsidRPr="006F0C8C">
        <w:rPr>
          <w:rFonts w:eastAsia="Times New Roman"/>
        </w:rPr>
        <w:t xml:space="preserve">based practice, targeting the needs of </w:t>
      </w:r>
      <w:r w:rsidR="00D920B6">
        <w:rPr>
          <w:rFonts w:eastAsia="Times New Roman"/>
        </w:rPr>
        <w:t>ITE students</w:t>
      </w:r>
      <w:r w:rsidRPr="006F0C8C">
        <w:rPr>
          <w:rFonts w:eastAsia="Times New Roman"/>
        </w:rPr>
        <w:t xml:space="preserve"> on entering the classroom.</w:t>
      </w:r>
      <w:r>
        <w:rPr>
          <w:rFonts w:eastAsia="Times New Roman"/>
        </w:rPr>
        <w:t xml:space="preserve"> In consultations with current and recently graduated ITE students, an emphasis on practical classroom skills over theory was considered necessary to ensure effective preparation for the classroom.</w:t>
      </w:r>
    </w:p>
    <w:p w14:paraId="145A2357" w14:textId="77777777" w:rsidR="00D12409" w:rsidRPr="006F0C8C" w:rsidRDefault="00D12409" w:rsidP="00D12409">
      <w:pPr>
        <w:rPr>
          <w:rFonts w:eastAsia="Times New Roman"/>
        </w:rPr>
      </w:pPr>
      <w:r w:rsidRPr="006F0C8C">
        <w:rPr>
          <w:rFonts w:eastAsia="Times New Roman"/>
        </w:rPr>
        <w:t>Concerns were raised that the content of some ITE programs is not based on the latest research and evidence shown to have the greatest impact on school student outcomes. These concerns are longstanding and have been raised in previous reviews.</w:t>
      </w:r>
    </w:p>
    <w:p w14:paraId="610A720E" w14:textId="77777777" w:rsidR="00D12409" w:rsidRPr="006F0C8C" w:rsidDel="0097085A" w:rsidRDefault="00D12409" w:rsidP="00CD1FEB">
      <w:pPr>
        <w:pStyle w:val="Quote"/>
        <w:framePr w:wrap="around"/>
      </w:pPr>
      <w:r w:rsidRPr="006F0C8C" w:rsidDel="0097085A">
        <w:t>‘ITE providers must be required to more consistently and comprehensively ensure ITE curriculums embed evidence-based pedagogy and teaching practices that have the most impact on student outcomes.’</w:t>
      </w:r>
    </w:p>
    <w:p w14:paraId="68C67ECA" w14:textId="77777777" w:rsidR="00D12409" w:rsidRPr="006F0C8C" w:rsidDel="0097085A" w:rsidRDefault="00D12409" w:rsidP="00CD1FEB">
      <w:pPr>
        <w:pStyle w:val="Quote"/>
        <w:framePr w:wrap="around"/>
        <w:rPr>
          <w:rFonts w:eastAsia="Times New Roman"/>
        </w:rPr>
      </w:pPr>
      <w:r w:rsidRPr="006F0C8C" w:rsidDel="0097085A">
        <w:t xml:space="preserve"> (</w:t>
      </w:r>
      <w:r>
        <w:t xml:space="preserve">New South Wales </w:t>
      </w:r>
      <w:r w:rsidRPr="006F0C8C" w:rsidDel="0097085A">
        <w:t>Department of Education submission)</w:t>
      </w:r>
    </w:p>
    <w:p w14:paraId="21FB0751" w14:textId="77777777" w:rsidR="00D12409" w:rsidRPr="006F0C8C" w:rsidRDefault="00D12409" w:rsidP="00D12409">
      <w:pPr>
        <w:spacing w:after="0"/>
        <w:rPr>
          <w:rFonts w:eastAsia="Times New Roman"/>
        </w:rPr>
      </w:pPr>
    </w:p>
    <w:p w14:paraId="36547289" w14:textId="24B6DB0A" w:rsidR="00D12409" w:rsidRPr="006F0C8C" w:rsidRDefault="00D12409" w:rsidP="00D12409">
      <w:pPr>
        <w:rPr>
          <w:rFonts w:eastAsia="Times New Roman"/>
        </w:rPr>
      </w:pPr>
      <w:r w:rsidRPr="006F0C8C">
        <w:rPr>
          <w:rFonts w:eastAsia="Times New Roman"/>
        </w:rPr>
        <w:t>It has been noted that teaching has been slower to produce scientific evidence and incorporate it into teaching practice when compared with other professions such as medicine and engineering (</w:t>
      </w:r>
      <w:r w:rsidR="0009488B">
        <w:rPr>
          <w:rFonts w:eastAsia="Times New Roman"/>
        </w:rPr>
        <w:t>Goss</w:t>
      </w:r>
      <w:r w:rsidR="00486B47">
        <w:rPr>
          <w:rFonts w:eastAsia="Times New Roman"/>
        </w:rPr>
        <w:t xml:space="preserve"> </w:t>
      </w:r>
      <w:r w:rsidR="0009488B">
        <w:rPr>
          <w:rFonts w:eastAsia="Times New Roman"/>
        </w:rPr>
        <w:t>and</w:t>
      </w:r>
      <w:r w:rsidR="00486B47">
        <w:rPr>
          <w:rFonts w:eastAsia="Times New Roman"/>
        </w:rPr>
        <w:t xml:space="preserve"> </w:t>
      </w:r>
      <w:r w:rsidR="0009488B">
        <w:rPr>
          <w:rFonts w:eastAsia="Times New Roman"/>
        </w:rPr>
        <w:t>Sonnemann</w:t>
      </w:r>
      <w:r w:rsidR="00486B47">
        <w:rPr>
          <w:rFonts w:eastAsia="Times New Roman"/>
        </w:rPr>
        <w:t xml:space="preserve"> </w:t>
      </w:r>
      <w:r w:rsidRPr="006F0C8C">
        <w:rPr>
          <w:rFonts w:eastAsia="Times New Roman"/>
        </w:rPr>
        <w:t xml:space="preserve">2020). La Trobe University notes that practice in ITE appears to </w:t>
      </w:r>
      <w:r w:rsidR="003A2BAA">
        <w:rPr>
          <w:rFonts w:eastAsia="Times New Roman"/>
        </w:rPr>
        <w:t>‘</w:t>
      </w:r>
      <w:r w:rsidRPr="006F0C8C">
        <w:rPr>
          <w:rFonts w:eastAsia="Times New Roman"/>
        </w:rPr>
        <w:t>lag behind scientific evidence – a global trend rather than a specifically Australian trait</w:t>
      </w:r>
      <w:r w:rsidR="003A2BAA">
        <w:rPr>
          <w:rFonts w:eastAsia="Times New Roman"/>
        </w:rPr>
        <w:t>’</w:t>
      </w:r>
      <w:r w:rsidRPr="006F0C8C">
        <w:rPr>
          <w:rFonts w:eastAsia="Times New Roman"/>
        </w:rPr>
        <w:t>, but nonetheless one that requires action (La Trobe University submission).</w:t>
      </w:r>
    </w:p>
    <w:p w14:paraId="60BACFE1" w14:textId="710C5C12" w:rsidR="00D12409" w:rsidRPr="007E3691" w:rsidRDefault="00D12409" w:rsidP="00A44017">
      <w:pPr>
        <w:pStyle w:val="Breakoutbox1body"/>
        <w:rPr>
          <w:b/>
          <w:bCs w:val="0"/>
        </w:rPr>
      </w:pPr>
      <w:r w:rsidRPr="007E3691">
        <w:rPr>
          <w:b/>
          <w:bCs w:val="0"/>
        </w:rPr>
        <w:t>La Trobe University – increasing the emphasis on evidence-based practice</w:t>
      </w:r>
    </w:p>
    <w:p w14:paraId="79C5C9F8" w14:textId="47F532B5" w:rsidR="00D12409" w:rsidRDefault="00D12409" w:rsidP="00C73014">
      <w:pPr>
        <w:pStyle w:val="Breakoutbox1body"/>
        <w:spacing w:after="200"/>
      </w:pPr>
      <w:r w:rsidRPr="006F0C8C">
        <w:t xml:space="preserve">La Trobe has prioritised increasing the emphasis on evidence-based practice in its </w:t>
      </w:r>
      <w:r w:rsidR="00104DD4">
        <w:t>initial teacher education</w:t>
      </w:r>
      <w:r w:rsidRPr="006F0C8C">
        <w:t xml:space="preserve"> courses.</w:t>
      </w:r>
    </w:p>
    <w:p w14:paraId="33E22A21" w14:textId="5EC7AC4B" w:rsidR="00D12409" w:rsidRPr="006F0C8C" w:rsidRDefault="00D12409" w:rsidP="00A44017">
      <w:pPr>
        <w:pStyle w:val="Breakoutbox1body"/>
      </w:pPr>
      <w:r w:rsidRPr="006F0C8C">
        <w:t>La Trobe uses the term ‘</w:t>
      </w:r>
      <w:r w:rsidR="005C2AC3">
        <w:t>i</w:t>
      </w:r>
      <w:r w:rsidRPr="006F0C8C">
        <w:t>mpactful pedagogies’ to include:</w:t>
      </w:r>
    </w:p>
    <w:p w14:paraId="0676F15C" w14:textId="77777777" w:rsidR="00D12409" w:rsidRPr="006F0C8C" w:rsidRDefault="00D12409" w:rsidP="00F66D2A">
      <w:pPr>
        <w:pStyle w:val="Breakoutbox1body"/>
        <w:numPr>
          <w:ilvl w:val="0"/>
          <w:numId w:val="41"/>
        </w:numPr>
      </w:pPr>
      <w:r w:rsidRPr="006F0C8C">
        <w:t>knowledge and skills for setting learning goals and structuring lessons</w:t>
      </w:r>
    </w:p>
    <w:p w14:paraId="1C1600D5" w14:textId="3EE57E10" w:rsidR="00D12409" w:rsidRPr="006F0C8C" w:rsidRDefault="00D12409" w:rsidP="00F66D2A">
      <w:pPr>
        <w:pStyle w:val="Breakoutbox1body"/>
        <w:numPr>
          <w:ilvl w:val="0"/>
          <w:numId w:val="41"/>
        </w:numPr>
      </w:pPr>
      <w:r w:rsidRPr="006F0C8C">
        <w:t>linking research to practice through high</w:t>
      </w:r>
      <w:r w:rsidR="00D058E0">
        <w:noBreakHyphen/>
      </w:r>
      <w:r w:rsidRPr="006F0C8C">
        <w:t>impact teaching strategies</w:t>
      </w:r>
    </w:p>
    <w:p w14:paraId="132ABDE1" w14:textId="258B4063" w:rsidR="00D12409" w:rsidRPr="006F0C8C" w:rsidRDefault="00D12409" w:rsidP="00F66D2A">
      <w:pPr>
        <w:pStyle w:val="Breakoutbox1body"/>
        <w:numPr>
          <w:ilvl w:val="0"/>
          <w:numId w:val="41"/>
        </w:numPr>
      </w:pPr>
      <w:r w:rsidRPr="743EF061">
        <w:t>differentiating teaching</w:t>
      </w:r>
      <w:r w:rsidR="00262382">
        <w:t xml:space="preserve"> (the ability to tailor learning </w:t>
      </w:r>
      <w:r w:rsidR="00F34F8E">
        <w:t>to meet the individual needs of all students</w:t>
      </w:r>
      <w:r w:rsidR="00F512A6">
        <w:t>)</w:t>
      </w:r>
    </w:p>
    <w:p w14:paraId="69C313B0" w14:textId="77777777" w:rsidR="00D12409" w:rsidRPr="006F0C8C" w:rsidRDefault="00D12409" w:rsidP="00F66D2A">
      <w:pPr>
        <w:pStyle w:val="Breakoutbox1body"/>
        <w:numPr>
          <w:ilvl w:val="0"/>
          <w:numId w:val="41"/>
        </w:numPr>
      </w:pPr>
      <w:r w:rsidRPr="006F0C8C">
        <w:t>using assessment data as a basis for analysing learning and inform teaching practice</w:t>
      </w:r>
    </w:p>
    <w:p w14:paraId="7BD7348E" w14:textId="77777777" w:rsidR="00D12409" w:rsidRPr="006F0C8C" w:rsidRDefault="00D12409" w:rsidP="00F66D2A">
      <w:pPr>
        <w:pStyle w:val="Breakoutbox1body"/>
        <w:numPr>
          <w:ilvl w:val="0"/>
          <w:numId w:val="41"/>
        </w:numPr>
      </w:pPr>
      <w:r w:rsidRPr="006F0C8C">
        <w:t>awareness of how to work effectively in different social, cultural, virtual, outdoor, school and classroom learning contexts.</w:t>
      </w:r>
    </w:p>
    <w:p w14:paraId="0A0821D4" w14:textId="389B4C52" w:rsidR="00D12409" w:rsidRPr="006F0C8C" w:rsidRDefault="00D12409" w:rsidP="007E3691">
      <w:pPr>
        <w:spacing w:before="240"/>
        <w:rPr>
          <w:rFonts w:eastAsia="Times New Roman"/>
        </w:rPr>
      </w:pPr>
      <w:r w:rsidRPr="006F0C8C">
        <w:rPr>
          <w:rFonts w:eastAsia="Times New Roman"/>
        </w:rPr>
        <w:t>The Productivity Commission has previously found that developing the national evidence base (including through commissioning high</w:t>
      </w:r>
      <w:r>
        <w:rPr>
          <w:rFonts w:eastAsia="Times New Roman"/>
        </w:rPr>
        <w:t>-</w:t>
      </w:r>
      <w:r w:rsidRPr="006F0C8C">
        <w:rPr>
          <w:rFonts w:eastAsia="Times New Roman"/>
        </w:rPr>
        <w:t xml:space="preserve">quality education research) could improve the preparation of teachers </w:t>
      </w:r>
      <w:r w:rsidR="003E1E77">
        <w:rPr>
          <w:rFonts w:eastAsia="Times New Roman"/>
        </w:rPr>
        <w:t>by</w:t>
      </w:r>
      <w:r w:rsidR="003E1E77" w:rsidRPr="006F0C8C">
        <w:rPr>
          <w:rFonts w:eastAsia="Times New Roman"/>
        </w:rPr>
        <w:t xml:space="preserve"> </w:t>
      </w:r>
      <w:r w:rsidRPr="006F0C8C">
        <w:rPr>
          <w:rFonts w:eastAsia="Times New Roman"/>
        </w:rPr>
        <w:t>‘establishing the teaching practices that work best for different cohorts of students and educating ITE students on how to apply them’ (</w:t>
      </w:r>
      <w:r w:rsidRPr="00C84860">
        <w:rPr>
          <w:rFonts w:eastAsia="Times New Roman"/>
        </w:rPr>
        <w:t xml:space="preserve">Productivity Commission submission; </w:t>
      </w:r>
      <w:r w:rsidRPr="00B53682">
        <w:rPr>
          <w:rFonts w:eastAsia="Times New Roman"/>
        </w:rPr>
        <w:t>Productivity Commission 2017).</w:t>
      </w:r>
      <w:r w:rsidRPr="006F0C8C">
        <w:rPr>
          <w:rFonts w:eastAsia="Times New Roman"/>
        </w:rPr>
        <w:t xml:space="preserve"> </w:t>
      </w:r>
    </w:p>
    <w:p w14:paraId="75066767" w14:textId="77777777" w:rsidR="00D12409" w:rsidRPr="006F0C8C" w:rsidRDefault="00D12409" w:rsidP="00D12409">
      <w:pPr>
        <w:rPr>
          <w:rFonts w:eastAsia="Times New Roman"/>
        </w:rPr>
      </w:pPr>
      <w:r w:rsidRPr="006F0C8C">
        <w:rPr>
          <w:rFonts w:eastAsia="Times New Roman"/>
        </w:rPr>
        <w:t>The Australian Education Research Organisation’s (AERO) role is to achieve excellence and equity in educational outcomes through the effective use of evidence. Presenting high</w:t>
      </w:r>
      <w:r>
        <w:rPr>
          <w:rFonts w:eastAsia="Times New Roman"/>
        </w:rPr>
        <w:t>-</w:t>
      </w:r>
      <w:r w:rsidRPr="006F0C8C">
        <w:rPr>
          <w:rFonts w:eastAsia="Times New Roman"/>
        </w:rPr>
        <w:t>quality evidence that is relevant and accessible is a key focus of AERO and has the potential to have a significant impact on the preparation of teachers.</w:t>
      </w:r>
    </w:p>
    <w:p w14:paraId="1FF10F83" w14:textId="77777777" w:rsidR="00D12409" w:rsidRPr="006F0C8C" w:rsidRDefault="00D12409" w:rsidP="00D12409">
      <w:r w:rsidRPr="006F0C8C">
        <w:t>One model of evidence-based practice seeing promising results is the Quality Teaching Model, developed at the Priority Research Centre for Teachers and Teaching at the University of Newcastle.</w:t>
      </w:r>
    </w:p>
    <w:p w14:paraId="7DECD0AE" w14:textId="6BA332F1" w:rsidR="00D12409" w:rsidRDefault="00D12409" w:rsidP="00A44017">
      <w:pPr>
        <w:pStyle w:val="Breakoutbox1body"/>
        <w:rPr>
          <w:b/>
          <w:bCs w:val="0"/>
        </w:rPr>
      </w:pPr>
      <w:r w:rsidRPr="007E3691">
        <w:rPr>
          <w:b/>
          <w:bCs w:val="0"/>
        </w:rPr>
        <w:lastRenderedPageBreak/>
        <w:t>Quality Teaching Model and Quality Teaching Rounds</w:t>
      </w:r>
    </w:p>
    <w:p w14:paraId="010E96FB" w14:textId="6704C7EC" w:rsidR="00D12409" w:rsidRPr="006F0C8C" w:rsidRDefault="00D12409" w:rsidP="00C73014">
      <w:pPr>
        <w:pStyle w:val="Breakoutbox1body"/>
        <w:spacing w:after="200"/>
      </w:pPr>
      <w:r w:rsidRPr="006F0C8C">
        <w:t xml:space="preserve">The Quality Teaching Model </w:t>
      </w:r>
      <w:r w:rsidR="00257086">
        <w:t xml:space="preserve">(the Model) </w:t>
      </w:r>
      <w:r w:rsidRPr="006F0C8C">
        <w:t xml:space="preserve">was developed by </w:t>
      </w:r>
      <w:r w:rsidR="00D40358">
        <w:t xml:space="preserve">Laureate Professor Jenny Gore and </w:t>
      </w:r>
      <w:r w:rsidRPr="006F0C8C">
        <w:t>Associate</w:t>
      </w:r>
      <w:r w:rsidR="00D800CA">
        <w:t> </w:t>
      </w:r>
      <w:r w:rsidRPr="006F0C8C">
        <w:t xml:space="preserve">Professor James Ladwig and commissioned by the </w:t>
      </w:r>
      <w:r>
        <w:t xml:space="preserve">New South Wales </w:t>
      </w:r>
      <w:r w:rsidRPr="006F0C8C">
        <w:t>Department of Education.</w:t>
      </w:r>
    </w:p>
    <w:p w14:paraId="27C2C0B9" w14:textId="0F8FF493" w:rsidR="00D12409" w:rsidRDefault="00D12409" w:rsidP="00C73014">
      <w:pPr>
        <w:pStyle w:val="Breakoutbox1body"/>
        <w:spacing w:after="200"/>
      </w:pPr>
      <w:r w:rsidRPr="006F0C8C">
        <w:t xml:space="preserve">The Model is comprised of elements of practice for which there is </w:t>
      </w:r>
      <w:r w:rsidR="00D140AA">
        <w:t xml:space="preserve">rigorous </w:t>
      </w:r>
      <w:r w:rsidRPr="006F0C8C">
        <w:t>evidence of impact on student outcomes.</w:t>
      </w:r>
    </w:p>
    <w:p w14:paraId="7568531F" w14:textId="2C55CF99" w:rsidR="00D12409" w:rsidRDefault="00D12409" w:rsidP="00C73014">
      <w:pPr>
        <w:pStyle w:val="Breakoutbox1body"/>
        <w:spacing w:after="200"/>
      </w:pPr>
      <w:r w:rsidRPr="006F0C8C">
        <w:t>The Model focuses on what teachers do in the classroom rather than who they are, that is, it examines the quality of teaching, not teachers.</w:t>
      </w:r>
    </w:p>
    <w:p w14:paraId="3E49B067" w14:textId="49451BAC" w:rsidR="00D12409" w:rsidRPr="006F0C8C" w:rsidRDefault="00D12409" w:rsidP="00C73014">
      <w:pPr>
        <w:pStyle w:val="Breakoutbox1body"/>
      </w:pPr>
      <w:r w:rsidRPr="006F0C8C">
        <w:t>The Model focuses on three key concepts:</w:t>
      </w:r>
    </w:p>
    <w:p w14:paraId="2C014373" w14:textId="6A31E8FC" w:rsidR="00D12409" w:rsidRPr="006F0C8C" w:rsidRDefault="00D12409" w:rsidP="00C73014">
      <w:pPr>
        <w:pStyle w:val="Breakoutbox1body"/>
      </w:pPr>
      <w:r w:rsidRPr="006F0C8C">
        <w:t xml:space="preserve">1. Intellectual Quality </w:t>
      </w:r>
      <w:r>
        <w:t>–</w:t>
      </w:r>
      <w:r w:rsidRPr="006F0C8C">
        <w:t xml:space="preserve"> pedagogy focused on deep understanding of important ideas</w:t>
      </w:r>
    </w:p>
    <w:p w14:paraId="4785590F" w14:textId="17C3EF47" w:rsidR="00D12409" w:rsidRPr="006F0C8C" w:rsidRDefault="00D12409" w:rsidP="00C73014">
      <w:pPr>
        <w:pStyle w:val="Breakoutbox1body"/>
      </w:pPr>
      <w:r w:rsidRPr="006F0C8C">
        <w:t>2. Quality Learning Environment – pedagogy that creates productive classrooms focused on learning</w:t>
      </w:r>
    </w:p>
    <w:p w14:paraId="61B67CD3" w14:textId="77777777" w:rsidR="00D12409" w:rsidRPr="006F0C8C" w:rsidRDefault="00D12409" w:rsidP="00C73014">
      <w:pPr>
        <w:pStyle w:val="Breakoutbox1body"/>
        <w:spacing w:after="200"/>
      </w:pPr>
      <w:r w:rsidRPr="006F0C8C">
        <w:t>3. Significance – pedagogy that helps students see value in what they are learning.</w:t>
      </w:r>
    </w:p>
    <w:p w14:paraId="30DF8577" w14:textId="5E54EFE0" w:rsidR="00D12409" w:rsidRDefault="00D12409" w:rsidP="00C73014">
      <w:pPr>
        <w:pStyle w:val="Breakoutbox1body"/>
        <w:spacing w:after="200"/>
      </w:pPr>
      <w:r w:rsidRPr="006F0C8C">
        <w:t xml:space="preserve">The researchers have found that, on its own, the Model is insufficient for achieving widespread change. A powerful process is required to support teachers to use the Model for the collaborative improvement of their teaching practice. </w:t>
      </w:r>
    </w:p>
    <w:p w14:paraId="0A1005C5" w14:textId="75471207" w:rsidR="00D12409" w:rsidRDefault="00D12409" w:rsidP="00C73014">
      <w:pPr>
        <w:pStyle w:val="Breakoutbox1body"/>
        <w:spacing w:after="200"/>
      </w:pPr>
      <w:r w:rsidRPr="006F0C8C">
        <w:t>To accompany the Model, Quality Teaching Rounds was developed. Collaborating in professional learning communities of (typically) four participants, teachers conduct a set of Rounds where they observe and analyse each other’s teaching using the Model to provide a common language. The process is repeated until all members of the professional learning community have hosted a lesson observed by their peers.</w:t>
      </w:r>
    </w:p>
    <w:p w14:paraId="23B9FA62" w14:textId="77777777" w:rsidR="00D12409" w:rsidRPr="006F0C8C" w:rsidRDefault="00D12409" w:rsidP="00C73014">
      <w:pPr>
        <w:pStyle w:val="Breakoutbox1body"/>
        <w:spacing w:after="200"/>
      </w:pPr>
      <w:r w:rsidRPr="006F0C8C">
        <w:t>The most recent randomised controlled trial found that student achievement growth in mathematics was two months greater in the eight-month study period when teachers participated in Quality Teaching Rounds compared to the control group. This result solidifies earlier research that shows Quality Teaching Rounds improves the quality of teaching, teacher morale and school culture.</w:t>
      </w:r>
    </w:p>
    <w:p w14:paraId="30C754B3" w14:textId="38CBB849" w:rsidR="00D12409" w:rsidRPr="006F0C8C" w:rsidRDefault="00D12409" w:rsidP="00FC0B96">
      <w:pPr>
        <w:spacing w:before="240"/>
      </w:pPr>
      <w:r>
        <w:t xml:space="preserve">Quality Teaching Rounds is considered applicable for teachers of every grade, subject and career stage, including </w:t>
      </w:r>
      <w:r w:rsidR="00A26ADE">
        <w:t>ITE students</w:t>
      </w:r>
      <w:r>
        <w:t>, due to its focus on pedagogy. The researchers consider that incorporating the Quality Teaching Model and Quality Teaching Rounds into ITE has strong potential to ensure students are equipped to implement evidence-based teaching practices when they enter the profession (Laureate Professor Jenny Gore submission).</w:t>
      </w:r>
    </w:p>
    <w:p w14:paraId="5440D9BF" w14:textId="77777777" w:rsidR="00FC0B96" w:rsidRDefault="00E907AE" w:rsidP="00FC0B96">
      <w:pPr>
        <w:pStyle w:val="Breakoutbox2"/>
        <w:spacing w:after="0"/>
        <w:rPr>
          <w:b/>
          <w:bCs/>
        </w:rPr>
      </w:pPr>
      <w:r w:rsidRPr="00FC0B96">
        <w:rPr>
          <w:b/>
          <w:bCs/>
        </w:rPr>
        <w:t xml:space="preserve">Finding </w:t>
      </w:r>
      <w:r w:rsidR="00B81551" w:rsidRPr="00FC0B96">
        <w:rPr>
          <w:b/>
          <w:bCs/>
        </w:rPr>
        <w:t>4</w:t>
      </w:r>
    </w:p>
    <w:p w14:paraId="72EDCFC3" w14:textId="70FA7AAB" w:rsidR="00B13B3A" w:rsidRPr="00FC0B96" w:rsidRDefault="00B13B3A" w:rsidP="00FC0B96">
      <w:pPr>
        <w:pStyle w:val="Breakoutbox2"/>
        <w:spacing w:after="0"/>
        <w:rPr>
          <w:b/>
          <w:bCs/>
        </w:rPr>
      </w:pPr>
      <w:r w:rsidRPr="00A236CB">
        <w:t>Randomised Controlled Trials</w:t>
      </w:r>
      <w:r>
        <w:rPr>
          <w:bCs/>
        </w:rPr>
        <w:t xml:space="preserve"> (RCTs), the gold standard in empirical research, are rarely used in evaluating the impact of initial teacher education (ITE) programs. Higher education providers are encouraged to conduct RCTs to inform evidence-based teaching practice. The Expert Panel also encourages higher education providers and employers to consider adopting the Quality Teaching Rounds approach to teacher development </w:t>
      </w:r>
      <w:r>
        <w:t>to ensure ITE students are equipped to implement</w:t>
      </w:r>
      <w:r>
        <w:rPr>
          <w:bCs/>
        </w:rPr>
        <w:t xml:space="preserve"> </w:t>
      </w:r>
      <w:r>
        <w:rPr>
          <w:bCs/>
          <w:noProof/>
        </w:rPr>
        <w:t>evidence-based teaching practices</w:t>
      </w:r>
      <w:r>
        <w:t xml:space="preserve"> when they enter the profession</w:t>
      </w:r>
      <w:r>
        <w:rPr>
          <w:bCs/>
          <w:noProof/>
        </w:rPr>
        <w:t>.</w:t>
      </w:r>
    </w:p>
    <w:p w14:paraId="2AC8D6F0" w14:textId="7A21914D" w:rsidR="00C94A41" w:rsidRDefault="00C94A41">
      <w:pPr>
        <w:spacing w:after="0" w:line="240" w:lineRule="auto"/>
      </w:pPr>
      <w:r>
        <w:br w:type="page"/>
      </w:r>
    </w:p>
    <w:p w14:paraId="51462D68" w14:textId="3242088B" w:rsidR="000D4C7C" w:rsidRPr="00C94A41" w:rsidRDefault="00D12409" w:rsidP="00C94A41">
      <w:pPr>
        <w:keepNext/>
        <w:keepLines/>
        <w:spacing w:before="40" w:after="0"/>
        <w:outlineLvl w:val="5"/>
        <w:rPr>
          <w:rFonts w:ascii="Calibri" w:eastAsiaTheme="majorEastAsia" w:hAnsi="Calibri" w:cstheme="majorBidi"/>
          <w:b/>
          <w:u w:val="single"/>
        </w:rPr>
      </w:pPr>
      <w:r w:rsidRPr="006F0C8C">
        <w:rPr>
          <w:rFonts w:ascii="Calibri" w:eastAsiaTheme="majorEastAsia" w:hAnsi="Calibri" w:cstheme="majorBidi"/>
          <w:b/>
          <w:u w:val="single"/>
        </w:rPr>
        <w:lastRenderedPageBreak/>
        <w:t xml:space="preserve">Classroom readiness </w:t>
      </w:r>
      <w:r w:rsidR="00BE20D7">
        <w:rPr>
          <w:rFonts w:ascii="Calibri" w:eastAsiaTheme="majorEastAsia" w:hAnsi="Calibri" w:cstheme="majorBidi"/>
          <w:b/>
          <w:u w:val="single"/>
        </w:rPr>
        <w:t>–</w:t>
      </w:r>
      <w:r w:rsidRPr="006F0C8C">
        <w:rPr>
          <w:rFonts w:ascii="Calibri" w:eastAsiaTheme="majorEastAsia" w:hAnsi="Calibri" w:cstheme="majorBidi"/>
          <w:b/>
          <w:u w:val="single"/>
        </w:rPr>
        <w:t xml:space="preserve"> areas of concern</w:t>
      </w:r>
    </w:p>
    <w:p w14:paraId="1EC4CF43" w14:textId="0CF9F1A9" w:rsidR="002703CA" w:rsidRDefault="000D4C7C" w:rsidP="00CD1FEB">
      <w:pPr>
        <w:pStyle w:val="Quote"/>
        <w:framePr w:wrap="around"/>
      </w:pPr>
      <w:r>
        <w:t>‘</w:t>
      </w:r>
      <w:r w:rsidRPr="00F10788">
        <w:t>While pre-service teachers are graduating with the majority of the skills they need to implement quality teaching practice, there are some gaps and inconsistencies in knowledge. A focus on teaching practices that have the most impact on student learning ou</w:t>
      </w:r>
      <w:r w:rsidRPr="00310EA1">
        <w:t>tcomes will contribute to a quality workforce. NSW</w:t>
      </w:r>
    </w:p>
    <w:p w14:paraId="28F249C7" w14:textId="0BB57059" w:rsidR="000D4C7C" w:rsidRDefault="000D4C7C" w:rsidP="00CD1FEB">
      <w:pPr>
        <w:pStyle w:val="Quote"/>
        <w:framePr w:wrap="around"/>
      </w:pPr>
      <w:r w:rsidRPr="00310EA1">
        <w:t>encourages the review to focus on ensuring IT</w:t>
      </w:r>
      <w:r w:rsidRPr="0028295B">
        <w:t>E curriculums embed evidence-based pedagogy and teaching practices. These practices include the evidence-based approaches to phonics in literacy, current knowle</w:t>
      </w:r>
      <w:r w:rsidRPr="000D4C7C">
        <w:t>dge about inclusive education and an additional focus on behaviour management.</w:t>
      </w:r>
      <w:r>
        <w:t>’</w:t>
      </w:r>
    </w:p>
    <w:p w14:paraId="4089CD55" w14:textId="4AA3AF51" w:rsidR="000D4C7C" w:rsidRDefault="000D4C7C" w:rsidP="00CD1FEB">
      <w:pPr>
        <w:pStyle w:val="Quote"/>
        <w:framePr w:wrap="around"/>
      </w:pPr>
      <w:r>
        <w:t>(NSW Department of Education submission)</w:t>
      </w:r>
    </w:p>
    <w:p w14:paraId="171E6E90" w14:textId="720510C3" w:rsidR="000D4C7C" w:rsidRDefault="000D4C7C" w:rsidP="00C94A41">
      <w:pPr>
        <w:spacing w:after="0"/>
      </w:pPr>
    </w:p>
    <w:p w14:paraId="1C917244" w14:textId="40B0E097" w:rsidR="000D4C7C" w:rsidRDefault="000D4C7C" w:rsidP="00CD1FEB">
      <w:pPr>
        <w:pStyle w:val="Quote"/>
        <w:framePr w:wrap="around"/>
      </w:pPr>
      <w:r>
        <w:t>‘</w:t>
      </w:r>
      <w:r w:rsidR="000679D1">
        <w:t>…</w:t>
      </w:r>
      <w:r w:rsidRPr="000D4C7C">
        <w:t xml:space="preserve"> 30% new educators (those with three or less years’ experience) have told the AEU that they do not believe their ITE sufficiently prepared them for the complex realities of the classroom. Among those </w:t>
      </w:r>
      <w:r w:rsidR="00C87E64">
        <w:t>[who]</w:t>
      </w:r>
      <w:r w:rsidRPr="000D4C7C">
        <w:t xml:space="preserve"> felt underprepared the main areas lacking were teaching students whose first language is not English (62%), dealing with difficult behaviour (55%), teaching students with disability (47%) and teaching Aboriginal and Torres Strait Islander students (43%, 48% in remote schools and 46% in very remote schools). 26% of new educators said that their ITE was not helpful in preparing them to deliver strategies for teaching numeracy, rising to 39% among new secondary teachers and 35% of new educators said that their ITE was not helpful in preparing them to manage classroom activities, in under resourced schools this increased to 41%. 39% also said that ITE did not prepare for collaborative working with peers.</w:t>
      </w:r>
      <w:r>
        <w:t xml:space="preserve">’ </w:t>
      </w:r>
    </w:p>
    <w:p w14:paraId="4760EEE4" w14:textId="2F70FC72" w:rsidR="000D4C7C" w:rsidRPr="00F10788" w:rsidRDefault="000D4C7C" w:rsidP="00CD1FEB">
      <w:pPr>
        <w:pStyle w:val="Quote"/>
        <w:framePr w:wrap="around"/>
      </w:pPr>
      <w:r>
        <w:t>(Australian Education Union submission)</w:t>
      </w:r>
    </w:p>
    <w:p w14:paraId="274E390E" w14:textId="77777777" w:rsidR="000D4C7C" w:rsidRDefault="000D4C7C" w:rsidP="00C94A41">
      <w:pPr>
        <w:spacing w:after="0"/>
        <w:rPr>
          <w:rFonts w:eastAsia="Times New Roman"/>
        </w:rPr>
      </w:pPr>
    </w:p>
    <w:p w14:paraId="7A6B8B6F" w14:textId="4B61E26C" w:rsidR="00D12409" w:rsidRPr="006F0C8C" w:rsidRDefault="00D12409" w:rsidP="00D12409">
      <w:pPr>
        <w:rPr>
          <w:rFonts w:eastAsia="Times New Roman"/>
        </w:rPr>
      </w:pPr>
      <w:r w:rsidRPr="0995B48D">
        <w:rPr>
          <w:rFonts w:eastAsia="Times New Roman"/>
        </w:rPr>
        <w:t>Many stakeholders, including employers, higher education providers</w:t>
      </w:r>
      <w:r w:rsidR="008019F7">
        <w:rPr>
          <w:rFonts w:eastAsia="Times New Roman"/>
        </w:rPr>
        <w:t xml:space="preserve">, </w:t>
      </w:r>
      <w:r w:rsidRPr="0995B48D">
        <w:rPr>
          <w:rFonts w:eastAsia="Times New Roman"/>
        </w:rPr>
        <w:t xml:space="preserve">professional associations </w:t>
      </w:r>
      <w:r w:rsidR="008019F7">
        <w:rPr>
          <w:rFonts w:eastAsia="Times New Roman"/>
        </w:rPr>
        <w:t xml:space="preserve">and ITE graduates themselves </w:t>
      </w:r>
      <w:r w:rsidRPr="0995B48D">
        <w:rPr>
          <w:rFonts w:eastAsia="Times New Roman"/>
        </w:rPr>
        <w:t>have reported that graduate teachers are considered under</w:t>
      </w:r>
      <w:r w:rsidR="00725175">
        <w:rPr>
          <w:rFonts w:eastAsia="Times New Roman"/>
        </w:rPr>
        <w:t xml:space="preserve"> </w:t>
      </w:r>
      <w:r w:rsidRPr="0995B48D">
        <w:rPr>
          <w:rFonts w:eastAsia="Times New Roman"/>
        </w:rPr>
        <w:t xml:space="preserve">prepared in a number of key areas. </w:t>
      </w:r>
      <w:r w:rsidR="0008712F">
        <w:rPr>
          <w:rFonts w:eastAsia="Times New Roman"/>
        </w:rPr>
        <w:t xml:space="preserve">Responses received during </w:t>
      </w:r>
      <w:r w:rsidR="00801CF5">
        <w:rPr>
          <w:rFonts w:eastAsia="Times New Roman"/>
        </w:rPr>
        <w:t>a</w:t>
      </w:r>
      <w:r w:rsidR="00A40D1D">
        <w:rPr>
          <w:rFonts w:eastAsia="Times New Roman"/>
        </w:rPr>
        <w:t xml:space="preserve"> workshop</w:t>
      </w:r>
      <w:r w:rsidR="006843E2">
        <w:rPr>
          <w:rFonts w:eastAsia="Times New Roman"/>
        </w:rPr>
        <w:t xml:space="preserve"> undertaken </w:t>
      </w:r>
      <w:r w:rsidR="004935B8">
        <w:rPr>
          <w:rFonts w:eastAsia="Times New Roman"/>
        </w:rPr>
        <w:t>as part of the Review</w:t>
      </w:r>
      <w:r w:rsidR="00AC1475">
        <w:rPr>
          <w:rFonts w:eastAsia="Times New Roman"/>
        </w:rPr>
        <w:t xml:space="preserve"> consultation</w:t>
      </w:r>
      <w:r w:rsidR="006801AC">
        <w:rPr>
          <w:rFonts w:eastAsia="Times New Roman"/>
        </w:rPr>
        <w:t xml:space="preserve"> </w:t>
      </w:r>
      <w:r w:rsidR="00C649C5">
        <w:rPr>
          <w:rFonts w:eastAsia="Times New Roman"/>
        </w:rPr>
        <w:t>process</w:t>
      </w:r>
      <w:r w:rsidR="006801AC">
        <w:rPr>
          <w:rFonts w:eastAsia="Times New Roman"/>
        </w:rPr>
        <w:t xml:space="preserve"> </w:t>
      </w:r>
      <w:r w:rsidR="0008712F">
        <w:rPr>
          <w:rFonts w:eastAsia="Times New Roman"/>
        </w:rPr>
        <w:t>highlight some of th</w:t>
      </w:r>
      <w:r w:rsidR="0050274B">
        <w:rPr>
          <w:rFonts w:eastAsia="Times New Roman"/>
        </w:rPr>
        <w:t xml:space="preserve">e </w:t>
      </w:r>
      <w:r w:rsidR="00F83A0B">
        <w:rPr>
          <w:rFonts w:eastAsia="Times New Roman"/>
        </w:rPr>
        <w:t>views of stakeholders</w:t>
      </w:r>
      <w:r w:rsidR="0008712F">
        <w:rPr>
          <w:rFonts w:eastAsia="Times New Roman"/>
        </w:rPr>
        <w:t xml:space="preserve"> </w:t>
      </w:r>
      <w:r w:rsidR="008E49AA">
        <w:rPr>
          <w:rFonts w:eastAsia="Times New Roman"/>
        </w:rPr>
        <w:t xml:space="preserve">on classroom readiness </w:t>
      </w:r>
      <w:r w:rsidR="0008712F">
        <w:rPr>
          <w:rFonts w:eastAsia="Times New Roman"/>
        </w:rPr>
        <w:t>(</w:t>
      </w:r>
      <w:r w:rsidR="0008712F" w:rsidRPr="00F748EA">
        <w:rPr>
          <w:rFonts w:eastAsia="Times New Roman"/>
        </w:rPr>
        <w:t xml:space="preserve">see Figure </w:t>
      </w:r>
      <w:r w:rsidR="00F748EA" w:rsidRPr="00F748EA">
        <w:rPr>
          <w:rFonts w:eastAsia="Times New Roman"/>
        </w:rPr>
        <w:t>10</w:t>
      </w:r>
      <w:r w:rsidR="0008712F">
        <w:rPr>
          <w:rFonts w:eastAsia="Times New Roman"/>
        </w:rPr>
        <w:t>).</w:t>
      </w:r>
      <w:r w:rsidR="008C5B07">
        <w:rPr>
          <w:rFonts w:eastAsia="Times New Roman"/>
        </w:rPr>
        <w:t xml:space="preserve"> </w:t>
      </w:r>
      <w:r w:rsidRPr="0995B48D">
        <w:rPr>
          <w:rFonts w:eastAsia="Times New Roman"/>
        </w:rPr>
        <w:t xml:space="preserve">Stakeholders have indicated that the Accreditation Standards would benefit from the inclusion of specific units, including the teaching of reading, cultural competency, supporting diverse learners and students with disability, classroom management, </w:t>
      </w:r>
      <w:r w:rsidR="005E51F2">
        <w:rPr>
          <w:rFonts w:eastAsia="Times New Roman"/>
        </w:rPr>
        <w:t>family/carer</w:t>
      </w:r>
      <w:r w:rsidR="005E51F2" w:rsidRPr="0995B48D">
        <w:rPr>
          <w:rFonts w:eastAsia="Times New Roman"/>
        </w:rPr>
        <w:t xml:space="preserve"> </w:t>
      </w:r>
      <w:r w:rsidRPr="0995B48D">
        <w:rPr>
          <w:rFonts w:eastAsia="Times New Roman"/>
        </w:rPr>
        <w:t>engagement and rural and remote educational contexts. Other concerns raised by stakeholders included teaching gifted students and trauma-informed learning.</w:t>
      </w:r>
    </w:p>
    <w:p w14:paraId="6F97346D" w14:textId="73DF8333" w:rsidR="00280972" w:rsidRPr="002C16A3" w:rsidRDefault="00280972" w:rsidP="00976DDE">
      <w:pPr>
        <w:pStyle w:val="Caption"/>
        <w:keepNext/>
        <w:spacing w:after="0"/>
        <w:rPr>
          <w:i w:val="0"/>
          <w:color w:val="000000" w:themeColor="text1"/>
        </w:rPr>
      </w:pPr>
      <w:r w:rsidRPr="00966E5A">
        <w:rPr>
          <w:i w:val="0"/>
          <w:color w:val="000000" w:themeColor="text1"/>
        </w:rPr>
        <w:t xml:space="preserve">Figure </w:t>
      </w:r>
      <w:r w:rsidR="00966E5A" w:rsidRPr="00966E5A">
        <w:rPr>
          <w:i w:val="0"/>
          <w:color w:val="000000" w:themeColor="text1"/>
        </w:rPr>
        <w:t>10</w:t>
      </w:r>
      <w:r w:rsidR="00656E28">
        <w:rPr>
          <w:i w:val="0"/>
          <w:color w:val="000000" w:themeColor="text1"/>
        </w:rPr>
        <w:t>.</w:t>
      </w:r>
      <w:r w:rsidR="00C020F1" w:rsidRPr="00966E5A">
        <w:rPr>
          <w:i w:val="0"/>
          <w:color w:val="000000" w:themeColor="text1"/>
        </w:rPr>
        <w:t xml:space="preserve"> </w:t>
      </w:r>
      <w:r w:rsidRPr="00966E5A">
        <w:rPr>
          <w:i w:val="0"/>
          <w:color w:val="000000" w:themeColor="text1"/>
        </w:rPr>
        <w:t>Stakeholder views</w:t>
      </w:r>
    </w:p>
    <w:p w14:paraId="6F64C4B2" w14:textId="32481B80" w:rsidR="002C16A3" w:rsidRDefault="54981D42" w:rsidP="00976DDE">
      <w:pPr>
        <w:keepNext/>
        <w:spacing w:after="0"/>
      </w:pPr>
      <w:r>
        <w:rPr>
          <w:noProof/>
        </w:rPr>
        <w:drawing>
          <wp:inline distT="0" distB="0" distL="0" distR="0" wp14:anchorId="2F902765" wp14:editId="683C52B8">
            <wp:extent cx="4900474" cy="3434434"/>
            <wp:effectExtent l="0" t="0" r="0" b="0"/>
            <wp:docPr id="66" name="Picture 66" descr="Diagram showing 6 boxes with quotes from different stakeholders.&#10;&#10;Box 1: More practical experience. Get Graduate teachers into the workforce quicker. Learning is done by doing not listening to a lecturer.&#10;&#10;Box 2:  Graduate teachers need to be given specific classroom management strategies, not just theories.&#10;&#10;Box 3: Suitability early on - e.g. do they have the necessary skills/ personality to be able to cope with the need to be a flexible, a team-player, life-longer learner, professional? &#10;&#10;Box 4: The final portfolio/ interview the students submit is excellent and needs to be valued. Perhaps giving greater time for this as this aligns well with achieving Proficiency when they enter the profession.&#10;&#10;Box 5: Mandated team teaching that progresses into independent teaching. Longer Clinical Placement so that Graduate teachers are aware of how schools run. Specific literacy classes for classroom management!!&#10;&#10;Box 6: Differently timed placements to see behaviour at the beginning/ end of the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2" cstate="print">
                      <a:extLst>
                        <a:ext uri="{28A0092B-C50C-407E-A947-70E740481C1C}">
                          <a14:useLocalDpi xmlns:a14="http://schemas.microsoft.com/office/drawing/2010/main" val="0"/>
                        </a:ext>
                      </a:extLst>
                    </a:blip>
                    <a:srcRect t="8034" b="17036"/>
                    <a:stretch>
                      <a:fillRect/>
                    </a:stretch>
                  </pic:blipFill>
                  <pic:spPr>
                    <a:xfrm>
                      <a:off x="0" y="0"/>
                      <a:ext cx="4921893" cy="3449446"/>
                    </a:xfrm>
                    <a:prstGeom prst="rect">
                      <a:avLst/>
                    </a:prstGeom>
                  </pic:spPr>
                </pic:pic>
              </a:graphicData>
            </a:graphic>
          </wp:inline>
        </w:drawing>
      </w:r>
    </w:p>
    <w:p w14:paraId="7636D294" w14:textId="6D3E57A6" w:rsidR="00A8774B" w:rsidRPr="00C94A41" w:rsidRDefault="002C16A3" w:rsidP="00C94A41">
      <w:pPr>
        <w:pStyle w:val="Caption"/>
        <w:rPr>
          <w:i w:val="0"/>
          <w:iCs w:val="0"/>
          <w:color w:val="000000" w:themeColor="text1"/>
          <w:sz w:val="16"/>
          <w:szCs w:val="16"/>
        </w:rPr>
      </w:pPr>
      <w:r w:rsidRPr="002C16A3">
        <w:rPr>
          <w:i w:val="0"/>
          <w:iCs w:val="0"/>
          <w:color w:val="000000" w:themeColor="text1"/>
          <w:sz w:val="16"/>
          <w:szCs w:val="16"/>
        </w:rPr>
        <w:t>Source: Diagram developed by the Quality Initial Teacher Education Review</w:t>
      </w:r>
    </w:p>
    <w:p w14:paraId="0AD11A90" w14:textId="2F7596B0" w:rsidR="00D12409" w:rsidRPr="006F0C8C" w:rsidRDefault="00D12409" w:rsidP="00D12409">
      <w:pPr>
        <w:keepNext/>
        <w:keepLines/>
        <w:spacing w:before="40" w:after="0"/>
        <w:outlineLvl w:val="6"/>
        <w:rPr>
          <w:rFonts w:asciiTheme="majorHAnsi" w:eastAsiaTheme="majorEastAsia" w:hAnsiTheme="majorHAnsi" w:cstheme="majorBidi"/>
          <w:i/>
          <w:iCs/>
          <w:color w:val="1F3763" w:themeColor="accent1" w:themeShade="7F"/>
        </w:rPr>
      </w:pPr>
      <w:r w:rsidRPr="006F0C8C">
        <w:rPr>
          <w:rFonts w:asciiTheme="majorHAnsi" w:eastAsiaTheme="majorEastAsia" w:hAnsiTheme="majorHAnsi" w:cstheme="majorBidi"/>
          <w:i/>
          <w:iCs/>
          <w:color w:val="1F3763" w:themeColor="accent1" w:themeShade="7F"/>
        </w:rPr>
        <w:lastRenderedPageBreak/>
        <w:t xml:space="preserve">Teaching of </w:t>
      </w:r>
      <w:r w:rsidR="00466BCD">
        <w:rPr>
          <w:rFonts w:asciiTheme="majorHAnsi" w:eastAsiaTheme="majorEastAsia" w:hAnsiTheme="majorHAnsi" w:cstheme="majorBidi"/>
          <w:i/>
          <w:iCs/>
          <w:color w:val="1F3763" w:themeColor="accent1" w:themeShade="7F"/>
        </w:rPr>
        <w:t>r</w:t>
      </w:r>
      <w:r w:rsidRPr="006F0C8C">
        <w:rPr>
          <w:rFonts w:asciiTheme="majorHAnsi" w:eastAsiaTheme="majorEastAsia" w:hAnsiTheme="majorHAnsi" w:cstheme="majorBidi"/>
          <w:i/>
          <w:iCs/>
          <w:color w:val="1F3763" w:themeColor="accent1" w:themeShade="7F"/>
        </w:rPr>
        <w:t>eading</w:t>
      </w:r>
    </w:p>
    <w:p w14:paraId="12F4B5E5" w14:textId="117F3659" w:rsidR="00D12409" w:rsidRPr="006F0C8C" w:rsidRDefault="00D12409" w:rsidP="00D12409">
      <w:pPr>
        <w:rPr>
          <w:rFonts w:eastAsiaTheme="minorEastAsia"/>
        </w:rPr>
      </w:pPr>
      <w:r w:rsidRPr="006F0C8C">
        <w:t xml:space="preserve">Reading is a complex cognitive skill that is foundational to the acquisition of other knowledge. </w:t>
      </w:r>
      <w:r w:rsidR="0008454E">
        <w:t>R</w:t>
      </w:r>
      <w:r w:rsidRPr="006F0C8C">
        <w:t xml:space="preserve">eading and writing require the development of decoding skills to master the linkages between written and spoken language (graphemes and phonemes). Thus, teaching children how to read is a complex and highly skilled professional activity (Rowe 2005). Once </w:t>
      </w:r>
      <w:r>
        <w:t>p</w:t>
      </w:r>
      <w:r w:rsidRPr="006F0C8C">
        <w:t xml:space="preserve">rimary ITE graduates enter the classroom, they will spend </w:t>
      </w:r>
      <w:r>
        <w:t xml:space="preserve">significantly </w:t>
      </w:r>
      <w:r w:rsidRPr="000A4A7F">
        <w:t>m</w:t>
      </w:r>
      <w:r w:rsidRPr="00A3491C">
        <w:t>o</w:t>
      </w:r>
      <w:r w:rsidRPr="00BB1600">
        <w:t>re</w:t>
      </w:r>
      <w:r>
        <w:t xml:space="preserve"> time in a</w:t>
      </w:r>
      <w:r w:rsidRPr="006F0C8C">
        <w:t xml:space="preserve"> typical school </w:t>
      </w:r>
      <w:r>
        <w:t>week</w:t>
      </w:r>
      <w:r w:rsidRPr="006F0C8C">
        <w:t xml:space="preserve"> teaching literacy </w:t>
      </w:r>
      <w:r>
        <w:t>than other subject areas</w:t>
      </w:r>
      <w:r w:rsidRPr="006F0C8C">
        <w:t>. Since 2005, multiple inquiries, studies,</w:t>
      </w:r>
      <w:r w:rsidRPr="006F0C8C" w:rsidDel="00F874FF">
        <w:t xml:space="preserve"> </w:t>
      </w:r>
      <w:r w:rsidR="00F874FF">
        <w:t>and</w:t>
      </w:r>
      <w:r w:rsidR="00F874FF" w:rsidRPr="006F0C8C">
        <w:t xml:space="preserve"> </w:t>
      </w:r>
      <w:r w:rsidRPr="006F0C8C">
        <w:t>reviews have found that ITE courses in Australia do not adequately prepare graduates in the teaching of reading.</w:t>
      </w:r>
    </w:p>
    <w:p w14:paraId="62851AB5" w14:textId="752866BD" w:rsidR="000054CF" w:rsidRPr="006A592A" w:rsidRDefault="00D12409" w:rsidP="006A592A">
      <w:pPr>
        <w:rPr>
          <w:i/>
        </w:rPr>
      </w:pPr>
      <w:r w:rsidRPr="006F0C8C">
        <w:t xml:space="preserve">In 2005, the Committee appointed to conduct the National Inquiry into the Teaching of Literacy (NITL) released its report, </w:t>
      </w:r>
      <w:r w:rsidRPr="006F0C8C">
        <w:rPr>
          <w:i/>
        </w:rPr>
        <w:t>Teaching Reading</w:t>
      </w:r>
      <w:r w:rsidRPr="006F0C8C">
        <w:t>, outlining the rigorous evidence behind reading acquisition:</w:t>
      </w:r>
    </w:p>
    <w:p w14:paraId="0E8D0C2A" w14:textId="77777777" w:rsidR="00D12409" w:rsidRPr="006F0C8C" w:rsidRDefault="00D12409" w:rsidP="00CD1FEB">
      <w:pPr>
        <w:pStyle w:val="Quote"/>
        <w:framePr w:wrap="around"/>
      </w:pPr>
      <w:r w:rsidRPr="006F0C8C">
        <w:t>‘The evidence is clear, whether from research, good practice observed in schools, advice from submissions to the Inquiry, consultations, or from Committee members’ own individual experiences, that direct systematic instruction in phonics during the early years of schooling is an essential foundation for teaching children to read. Findings from the research evidence indicate that all students learn best when teachers adopt an integrated approach to reading that explicitly teaches phonemic awareness, phonics, fluency, vocabulary knowledge and comprehension.’</w:t>
      </w:r>
    </w:p>
    <w:p w14:paraId="54186200" w14:textId="77777777" w:rsidR="00D12409" w:rsidRPr="006F0C8C" w:rsidRDefault="00D12409" w:rsidP="00CD1FEB">
      <w:pPr>
        <w:pStyle w:val="Quote"/>
        <w:framePr w:wrap="around"/>
      </w:pPr>
      <w:r w:rsidRPr="006F0C8C">
        <w:t>(Rowe 2005)</w:t>
      </w:r>
    </w:p>
    <w:p w14:paraId="4674836D" w14:textId="77777777" w:rsidR="00D12409" w:rsidRPr="006F0C8C" w:rsidRDefault="00D12409" w:rsidP="006A592A">
      <w:pPr>
        <w:spacing w:after="0"/>
      </w:pPr>
    </w:p>
    <w:p w14:paraId="7EE2B5E0" w14:textId="799D71D1" w:rsidR="00D12409" w:rsidRPr="006F0C8C" w:rsidRDefault="00D12409" w:rsidP="00D12409">
      <w:r w:rsidRPr="006F0C8C">
        <w:t>There is strong alignment across key international government reviews into the teaching of reading: the U</w:t>
      </w:r>
      <w:r w:rsidR="007636F8">
        <w:t xml:space="preserve">nited </w:t>
      </w:r>
      <w:r w:rsidRPr="006F0C8C">
        <w:t>S</w:t>
      </w:r>
      <w:r w:rsidR="007636F8">
        <w:t>tates</w:t>
      </w:r>
      <w:r w:rsidRPr="006F0C8C">
        <w:t xml:space="preserve"> </w:t>
      </w:r>
      <w:r w:rsidR="007636F8">
        <w:t>r</w:t>
      </w:r>
      <w:r w:rsidRPr="006F0C8C">
        <w:t xml:space="preserve">eport of the National Reading Panel, </w:t>
      </w:r>
      <w:r w:rsidRPr="006F0C8C">
        <w:rPr>
          <w:i/>
        </w:rPr>
        <w:t>Teaching Children to Read</w:t>
      </w:r>
      <w:r w:rsidRPr="006F0C8C">
        <w:t xml:space="preserve"> (National Reading Panel 2000) and the U</w:t>
      </w:r>
      <w:r w:rsidR="000E673F">
        <w:t xml:space="preserve">nited </w:t>
      </w:r>
      <w:r w:rsidRPr="006F0C8C">
        <w:t>K</w:t>
      </w:r>
      <w:r w:rsidR="000E673F">
        <w:t>ingdom</w:t>
      </w:r>
      <w:r w:rsidRPr="006F0C8C">
        <w:t xml:space="preserve"> report </w:t>
      </w:r>
      <w:r w:rsidRPr="006F0C8C">
        <w:rPr>
          <w:i/>
        </w:rPr>
        <w:t>Independent review of the teaching of early reading</w:t>
      </w:r>
      <w:r w:rsidRPr="006F0C8C">
        <w:t xml:space="preserve"> (Rose 2006) both recommended the need for explicit, systematic phonics. Research conducted by Dr Jennifer Buckingham and Professor Linda Meeks (2019) found that despite the findings and recommendations of multiple reviews and inquiries (including NITL and </w:t>
      </w:r>
      <w:r w:rsidR="00012847">
        <w:t xml:space="preserve">the </w:t>
      </w:r>
      <w:r w:rsidRPr="006F0C8C">
        <w:t>TEMAG</w:t>
      </w:r>
      <w:r w:rsidR="00012847">
        <w:t xml:space="preserve"> Review</w:t>
      </w:r>
      <w:r w:rsidRPr="006F0C8C">
        <w:t>), there has been a lack of progress by higher education providers in adequately reforming and improving preparation to teach reading in ITE programs.</w:t>
      </w:r>
    </w:p>
    <w:p w14:paraId="5A6844F0" w14:textId="0FFB0D8A" w:rsidR="00D12409" w:rsidRPr="006F0C8C" w:rsidRDefault="00D12409" w:rsidP="00D12409">
      <w:r w:rsidRPr="007D090C">
        <w:t>Studies repeatedly indicate that phonics should be taught explicitly and systematically as a foundational skill, however many prima</w:t>
      </w:r>
      <w:r w:rsidRPr="00EE12D8">
        <w:t xml:space="preserve">ry teachers lack the specialised knowledge required to teach systematic phonics </w:t>
      </w:r>
      <w:r w:rsidRPr="007D090C">
        <w:t>(Moats</w:t>
      </w:r>
      <w:r w:rsidR="00486B47">
        <w:t> </w:t>
      </w:r>
      <w:r w:rsidR="00CE15A3">
        <w:t xml:space="preserve">and Foorman </w:t>
      </w:r>
      <w:r w:rsidRPr="007D090C">
        <w:t>2003) and ITE students lack adequate awareness of the significance of phonics (Meeks</w:t>
      </w:r>
      <w:r w:rsidR="00486B47">
        <w:t> </w:t>
      </w:r>
      <w:r w:rsidR="00A946B3">
        <w:t>et</w:t>
      </w:r>
      <w:r w:rsidR="00486B47">
        <w:t> </w:t>
      </w:r>
      <w:r w:rsidR="00A946B3">
        <w:t>al.</w:t>
      </w:r>
      <w:r w:rsidRPr="007D090C">
        <w:t xml:space="preserve"> 2020). As such, phonics instruction is an often-neglected element in the teaching of reading despite the teach</w:t>
      </w:r>
      <w:r w:rsidRPr="00EE12D8">
        <w:t>ing of phonic knowledge being a requirement in the Australian Curriculum: English.</w:t>
      </w:r>
      <w:r w:rsidRPr="006F0C8C">
        <w:t xml:space="preserve"> </w:t>
      </w:r>
    </w:p>
    <w:p w14:paraId="6D29A10C" w14:textId="77777777" w:rsidR="00D12409" w:rsidRPr="006F0C8C" w:rsidRDefault="00D12409" w:rsidP="00CD1FEB">
      <w:pPr>
        <w:pStyle w:val="Quote"/>
        <w:framePr w:wrap="around"/>
      </w:pPr>
      <w:r w:rsidRPr="006F0C8C">
        <w:t xml:space="preserve">‘It is clear that the fundamental insight that graphemes represent phonemes in alphabetic writing systems does not typically come naturally to children. It is something that most children must be taught explicitly, and doing so is important for making further progress in reading.’ </w:t>
      </w:r>
    </w:p>
    <w:p w14:paraId="71143ED8" w14:textId="77245715" w:rsidR="00D12409" w:rsidRPr="006F0C8C" w:rsidRDefault="00D12409" w:rsidP="00CD1FEB">
      <w:pPr>
        <w:pStyle w:val="Quote"/>
        <w:framePr w:wrap="around"/>
      </w:pPr>
      <w:r w:rsidRPr="007D090C">
        <w:t xml:space="preserve">(Castles </w:t>
      </w:r>
      <w:r w:rsidR="00A14A62">
        <w:t>et al.</w:t>
      </w:r>
      <w:r w:rsidRPr="007D090C">
        <w:t xml:space="preserve"> 2018)</w:t>
      </w:r>
    </w:p>
    <w:p w14:paraId="30BBDD7B" w14:textId="77777777" w:rsidR="00D12409" w:rsidRPr="006F0C8C" w:rsidRDefault="00D12409" w:rsidP="006A592A">
      <w:pPr>
        <w:spacing w:after="0"/>
      </w:pPr>
    </w:p>
    <w:p w14:paraId="322C78A6" w14:textId="77777777" w:rsidR="00D12409" w:rsidRPr="006F0C8C" w:rsidRDefault="00D12409" w:rsidP="00CD1FEB">
      <w:pPr>
        <w:pStyle w:val="Quote"/>
        <w:framePr w:wrap="around"/>
      </w:pPr>
      <w:r w:rsidRPr="00D95196">
        <w:rPr>
          <w:rStyle w:val="QuoteChar"/>
        </w:rPr>
        <w:t>‘We suggest that the safest way to ensure that all learners acquire knowledge of important underlying regularities within the writing system is to offer explicit instruction of how the visual symbols of writing relate to the sounds and meanings of spoken</w:t>
      </w:r>
      <w:r w:rsidRPr="006F0C8C">
        <w:t xml:space="preserve"> language.’</w:t>
      </w:r>
    </w:p>
    <w:p w14:paraId="6F1D3E49" w14:textId="1E45BD63" w:rsidR="00D12409" w:rsidRPr="006F0C8C" w:rsidRDefault="00D12409" w:rsidP="00CD1FEB">
      <w:pPr>
        <w:pStyle w:val="Quote"/>
        <w:framePr w:wrap="around"/>
        <w:rPr>
          <w:rFonts w:eastAsiaTheme="minorEastAsia"/>
        </w:rPr>
      </w:pPr>
      <w:r w:rsidRPr="00500CA7">
        <w:t>(Rastle</w:t>
      </w:r>
      <w:r w:rsidR="00C6534B">
        <w:t xml:space="preserve"> et al.</w:t>
      </w:r>
      <w:r w:rsidRPr="00500CA7">
        <w:t xml:space="preserve"> 2021)</w:t>
      </w:r>
    </w:p>
    <w:p w14:paraId="4FEB6962" w14:textId="77777777" w:rsidR="00D12409" w:rsidRPr="006F0C8C" w:rsidRDefault="00D12409" w:rsidP="006A592A">
      <w:pPr>
        <w:spacing w:after="0"/>
        <w:rPr>
          <w:rFonts w:eastAsiaTheme="minorEastAsia"/>
        </w:rPr>
      </w:pPr>
    </w:p>
    <w:p w14:paraId="1536BFFA" w14:textId="3C3452D4" w:rsidR="00D12409" w:rsidRPr="006F0C8C" w:rsidRDefault="00D12409" w:rsidP="00D12409">
      <w:r w:rsidRPr="006F0C8C">
        <w:t xml:space="preserve">Consultation with ITE graduates and employers of teachers nationwide revealed a consistent, shared concern: far too many graduates are leaving university underprepared to teach children how to read. </w:t>
      </w:r>
      <w:r w:rsidR="00601B18">
        <w:t>The Expert Panel has</w:t>
      </w:r>
      <w:r w:rsidRPr="006F0C8C">
        <w:t xml:space="preserve"> heard that variance in approaches across ITE courses, along with underexposure to rigorous research is producing cohorts of graduates who are not equipped to teach this fundamental skill. </w:t>
      </w:r>
      <w:r w:rsidR="00611DE6">
        <w:t>S</w:t>
      </w:r>
      <w:r w:rsidRPr="006F0C8C">
        <w:t>takeholders</w:t>
      </w:r>
      <w:r w:rsidR="006C29ED">
        <w:t xml:space="preserve"> raised concerns</w:t>
      </w:r>
      <w:r w:rsidR="008E47B8">
        <w:t xml:space="preserve"> including</w:t>
      </w:r>
      <w:r w:rsidRPr="006F0C8C">
        <w:t>:</w:t>
      </w:r>
    </w:p>
    <w:p w14:paraId="706F9875" w14:textId="3BF0C1F2" w:rsidR="00D12409" w:rsidRPr="006F0C8C" w:rsidRDefault="00A03916" w:rsidP="00F66D2A">
      <w:pPr>
        <w:numPr>
          <w:ilvl w:val="0"/>
          <w:numId w:val="9"/>
        </w:numPr>
        <w:contextualSpacing/>
        <w:rPr>
          <w:rFonts w:eastAsiaTheme="minorEastAsia"/>
        </w:rPr>
      </w:pPr>
      <w:r>
        <w:lastRenderedPageBreak/>
        <w:t>m</w:t>
      </w:r>
      <w:r w:rsidRPr="006F0C8C">
        <w:t>any</w:t>
      </w:r>
      <w:r w:rsidR="00D12409" w:rsidRPr="006F0C8C">
        <w:t xml:space="preserve"> ITE graduates feel confused about how to approach reading instruction and are unaware of the reason they should use particular strategies over others</w:t>
      </w:r>
    </w:p>
    <w:p w14:paraId="0438BB04" w14:textId="1E4D3762" w:rsidR="00D12409" w:rsidRPr="006F0C8C" w:rsidRDefault="00A03916" w:rsidP="00F66D2A">
      <w:pPr>
        <w:numPr>
          <w:ilvl w:val="0"/>
          <w:numId w:val="9"/>
        </w:numPr>
        <w:contextualSpacing/>
        <w:rPr>
          <w:rFonts w:eastAsiaTheme="minorEastAsia"/>
        </w:rPr>
      </w:pPr>
      <w:r>
        <w:t>p</w:t>
      </w:r>
      <w:r w:rsidRPr="006F0C8C">
        <w:t>ractice</w:t>
      </w:r>
      <w:r w:rsidR="00D12409" w:rsidRPr="006F0C8C">
        <w:t xml:space="preserve"> informed by the belief that children primarily acquire reading skills through immersion and exposure to print, disadvantages many students (particularly those with reading difficulties) and contributes to widening achievement gaps</w:t>
      </w:r>
    </w:p>
    <w:p w14:paraId="0F6B3B55" w14:textId="1352759C" w:rsidR="00D12409" w:rsidRPr="006F0C8C" w:rsidRDefault="00A03916" w:rsidP="00F66D2A">
      <w:pPr>
        <w:numPr>
          <w:ilvl w:val="0"/>
          <w:numId w:val="9"/>
        </w:numPr>
        <w:contextualSpacing/>
        <w:rPr>
          <w:rFonts w:eastAsiaTheme="minorEastAsia"/>
        </w:rPr>
      </w:pPr>
      <w:r>
        <w:t>e</w:t>
      </w:r>
      <w:r w:rsidRPr="006F0C8C">
        <w:t xml:space="preserve">xperienced </w:t>
      </w:r>
      <w:r w:rsidR="00D12409" w:rsidRPr="006F0C8C">
        <w:t xml:space="preserve">teachers are spending time </w:t>
      </w:r>
      <w:r w:rsidR="00BE5588">
        <w:t>developing</w:t>
      </w:r>
      <w:r w:rsidR="00D12409" w:rsidRPr="006F0C8C">
        <w:t xml:space="preserve"> underprepared early career teachers in evidence</w:t>
      </w:r>
      <w:r w:rsidR="00725175">
        <w:noBreakHyphen/>
      </w:r>
      <w:r w:rsidR="00D12409" w:rsidRPr="006F0C8C">
        <w:t>based reading instruction</w:t>
      </w:r>
    </w:p>
    <w:p w14:paraId="1FCFEC2B" w14:textId="5D768E54" w:rsidR="00D12409" w:rsidRPr="006F0C8C" w:rsidRDefault="00D12409" w:rsidP="00F66D2A">
      <w:pPr>
        <w:numPr>
          <w:ilvl w:val="0"/>
          <w:numId w:val="9"/>
        </w:numPr>
        <w:contextualSpacing/>
        <w:rPr>
          <w:rFonts w:eastAsiaTheme="minorEastAsia"/>
        </w:rPr>
      </w:pPr>
      <w:r w:rsidRPr="006F0C8C">
        <w:t>ITE graduates are more likely to reproduce practices they have been exposed to during their courses and while on practicum placements, than look to bodies of research to inform their practice</w:t>
      </w:r>
    </w:p>
    <w:p w14:paraId="06A4019F" w14:textId="31AEC20E" w:rsidR="00D12409" w:rsidRPr="001C16F0" w:rsidRDefault="00A03916" w:rsidP="00F66D2A">
      <w:pPr>
        <w:numPr>
          <w:ilvl w:val="0"/>
          <w:numId w:val="9"/>
        </w:numPr>
        <w:contextualSpacing/>
        <w:rPr>
          <w:rFonts w:ascii="Calibri" w:eastAsia="Calibri" w:hAnsi="Calibri" w:cs="Calibri"/>
        </w:rPr>
      </w:pPr>
      <w:r>
        <w:t>the</w:t>
      </w:r>
      <w:r w:rsidR="00D12409">
        <w:t xml:space="preserve"> quality of </w:t>
      </w:r>
      <w:r w:rsidR="00C3417D">
        <w:t>preparation</w:t>
      </w:r>
      <w:r w:rsidR="00D12409">
        <w:t xml:space="preserve"> ITE graduates receive in the teaching of reading affects their employability. </w:t>
      </w:r>
    </w:p>
    <w:p w14:paraId="5CDED5A0" w14:textId="77777777" w:rsidR="00D12409" w:rsidRDefault="00D12409" w:rsidP="00B144B3">
      <w:pPr>
        <w:spacing w:after="0"/>
        <w:ind w:left="402"/>
        <w:contextualSpacing/>
        <w:rPr>
          <w:rFonts w:ascii="Calibri" w:eastAsia="Calibri" w:hAnsi="Calibri" w:cs="Calibri"/>
        </w:rPr>
      </w:pPr>
    </w:p>
    <w:p w14:paraId="3E4ED817" w14:textId="54EB1236" w:rsidR="00AE2975" w:rsidRPr="00B144B3" w:rsidRDefault="00EF7FF2" w:rsidP="006A0E85">
      <w:pPr>
        <w:pStyle w:val="Breakoutbox1body"/>
        <w:rPr>
          <w:b/>
          <w:bCs w:val="0"/>
        </w:rPr>
      </w:pPr>
      <w:r w:rsidRPr="00B144B3">
        <w:rPr>
          <w:b/>
          <w:bCs w:val="0"/>
        </w:rPr>
        <w:t xml:space="preserve">Advancing </w:t>
      </w:r>
      <w:r w:rsidR="00CF0A40" w:rsidRPr="00B144B3">
        <w:rPr>
          <w:b/>
          <w:bCs w:val="0"/>
        </w:rPr>
        <w:t xml:space="preserve">educational outcomes </w:t>
      </w:r>
    </w:p>
    <w:p w14:paraId="0B86959B" w14:textId="3B072BF9" w:rsidR="003748C1" w:rsidRDefault="00802F30" w:rsidP="00C73014">
      <w:pPr>
        <w:pStyle w:val="Breakoutbox1body"/>
        <w:spacing w:after="200"/>
      </w:pPr>
      <w:r>
        <w:t>The</w:t>
      </w:r>
      <w:r w:rsidR="00CF0A40">
        <w:t xml:space="preserve"> EDvance </w:t>
      </w:r>
      <w:r w:rsidR="00AB7CB6">
        <w:t xml:space="preserve">school improvement </w:t>
      </w:r>
      <w:r w:rsidR="006E75D0">
        <w:t>program</w:t>
      </w:r>
      <w:r w:rsidR="006A4140">
        <w:t xml:space="preserve"> </w:t>
      </w:r>
      <w:r w:rsidR="0010319F">
        <w:t>in West</w:t>
      </w:r>
      <w:r w:rsidR="001F2687">
        <w:t>ern</w:t>
      </w:r>
      <w:r w:rsidR="0010319F">
        <w:t xml:space="preserve"> Australia</w:t>
      </w:r>
      <w:r w:rsidR="006A4140">
        <w:t xml:space="preserve"> builds</w:t>
      </w:r>
      <w:r>
        <w:t xml:space="preserve"> on</w:t>
      </w:r>
      <w:r w:rsidR="00F1376E">
        <w:t xml:space="preserve"> the capacity of school leadership teams to make informed evidence-based decisions</w:t>
      </w:r>
      <w:r w:rsidR="00C336FC">
        <w:t xml:space="preserve"> and improve student outcomes. </w:t>
      </w:r>
    </w:p>
    <w:p w14:paraId="0C0BE0C2" w14:textId="25242ED9" w:rsidR="00A34DE0" w:rsidRDefault="007E1525" w:rsidP="00C73014">
      <w:pPr>
        <w:pStyle w:val="Breakoutbox1body"/>
        <w:spacing w:after="200"/>
      </w:pPr>
      <w:r>
        <w:t xml:space="preserve">Schools involved in the program have seen significant improvements in the academic outcomes of their students, including in reading. </w:t>
      </w:r>
    </w:p>
    <w:p w14:paraId="13703028" w14:textId="6298B9D8" w:rsidR="009E655D" w:rsidRDefault="007E1525" w:rsidP="00C73014">
      <w:pPr>
        <w:pStyle w:val="Breakoutbox1body"/>
        <w:spacing w:after="200"/>
      </w:pPr>
      <w:r>
        <w:t xml:space="preserve">Prior to their involvement in the program, </w:t>
      </w:r>
      <w:r w:rsidR="00576194">
        <w:t>Chidlow Primary School</w:t>
      </w:r>
      <w:r>
        <w:t>’s</w:t>
      </w:r>
      <w:r w:rsidR="00576194">
        <w:t xml:space="preserve"> </w:t>
      </w:r>
      <w:r w:rsidR="00493A34" w:rsidRPr="00493A34">
        <w:t>National Assessment Program Literacy and Numeracy</w:t>
      </w:r>
      <w:r w:rsidR="00493A34">
        <w:t xml:space="preserve"> (</w:t>
      </w:r>
      <w:r w:rsidR="003748C1">
        <w:t>NAPLAN</w:t>
      </w:r>
      <w:r w:rsidR="00493A34">
        <w:t>)</w:t>
      </w:r>
      <w:r w:rsidR="003748C1">
        <w:t xml:space="preserve"> results from 2014</w:t>
      </w:r>
      <w:r w:rsidR="00725175">
        <w:t>–</w:t>
      </w:r>
      <w:r w:rsidR="003748C1">
        <w:t>2016 indicated a downward trend in most areas</w:t>
      </w:r>
      <w:r w:rsidR="00420200">
        <w:t>.</w:t>
      </w:r>
    </w:p>
    <w:p w14:paraId="5F0DD147" w14:textId="63A7721C" w:rsidR="005A1A15" w:rsidRDefault="00420200" w:rsidP="00C73014">
      <w:pPr>
        <w:pStyle w:val="Breakoutbox1body"/>
        <w:spacing w:after="200"/>
      </w:pPr>
      <w:r>
        <w:t>Their</w:t>
      </w:r>
      <w:r w:rsidR="005A1A15">
        <w:t xml:space="preserve"> leadership team recognised that </w:t>
      </w:r>
      <w:r>
        <w:t>there was an inconsistent approach to</w:t>
      </w:r>
      <w:r w:rsidR="005A1A15">
        <w:t xml:space="preserve"> teaching phonics </w:t>
      </w:r>
      <w:r>
        <w:t xml:space="preserve">across the school and </w:t>
      </w:r>
      <w:r w:rsidR="0069508D">
        <w:t>identified the benefits of focusing on a school-wide approach to Reading.</w:t>
      </w:r>
    </w:p>
    <w:p w14:paraId="2C4FD314" w14:textId="65750E11" w:rsidR="0069508D" w:rsidRDefault="00B05BEF" w:rsidP="00C73014">
      <w:pPr>
        <w:pStyle w:val="Breakoutbox1body"/>
        <w:spacing w:after="200"/>
      </w:pPr>
      <w:r>
        <w:t>Over the last three years, Chidlow Primary School’s NAPLAN results have trended to above 'like schools' in all areas, with particularly impressive results in Reading.</w:t>
      </w:r>
    </w:p>
    <w:p w14:paraId="2F8B7ED7" w14:textId="6C3AA317" w:rsidR="00413CE9" w:rsidRPr="00CD2A40" w:rsidRDefault="00276FB8" w:rsidP="00C73014">
      <w:pPr>
        <w:pStyle w:val="Breakoutbox1body"/>
        <w:spacing w:after="200"/>
      </w:pPr>
      <w:r>
        <w:t>For more information about the EDvance school improvement program</w:t>
      </w:r>
      <w:r w:rsidR="00F35AF9">
        <w:t>, see the Fogarty Institu</w:t>
      </w:r>
      <w:r w:rsidR="00F67A01">
        <w:t>t</w:t>
      </w:r>
      <w:r w:rsidR="00F35AF9">
        <w:t xml:space="preserve">e’s </w:t>
      </w:r>
      <w:hyperlink r:id="rId43" w:history="1">
        <w:r w:rsidR="00AA309E" w:rsidRPr="00F90BD2">
          <w:rPr>
            <w:rStyle w:val="Hyperlink"/>
            <w:b/>
            <w:color w:val="000000" w:themeColor="text1"/>
          </w:rPr>
          <w:t>Report Card</w:t>
        </w:r>
      </w:hyperlink>
      <w:r w:rsidR="00A35579" w:rsidRPr="00CD2A40">
        <w:t>.</w:t>
      </w:r>
    </w:p>
    <w:p w14:paraId="09452AE0" w14:textId="2A723152" w:rsidR="00B34E13" w:rsidRDefault="00D12409" w:rsidP="00B144B3">
      <w:pPr>
        <w:spacing w:before="240"/>
        <w:rPr>
          <w:rFonts w:ascii="Calibri" w:eastAsia="Calibri" w:hAnsi="Calibri" w:cs="Calibri"/>
        </w:rPr>
      </w:pPr>
      <w:r w:rsidRPr="006F0C8C">
        <w:t xml:space="preserve">Stakeholder concerns are affirmed by the trends observed in Australian </w:t>
      </w:r>
      <w:r w:rsidR="009D19F4">
        <w:t>Programme for International Student Assessment</w:t>
      </w:r>
      <w:r w:rsidRPr="006F0C8C">
        <w:t xml:space="preserve"> results, with student performance in reading continuing to decline in both absolute terms and relative to other countries. Given the critical role of literacy in children’s ongoing development, all ITE graduates </w:t>
      </w:r>
      <w:r w:rsidR="00F20EB6">
        <w:t xml:space="preserve">and </w:t>
      </w:r>
      <w:r w:rsidR="001D4B8C">
        <w:t xml:space="preserve">currently practising </w:t>
      </w:r>
      <w:r w:rsidR="00F20EB6">
        <w:t>teachers</w:t>
      </w:r>
      <w:r w:rsidRPr="006F0C8C">
        <w:t xml:space="preserve"> need to be empowered with research</w:t>
      </w:r>
      <w:r w:rsidR="00CB5992">
        <w:t>-</w:t>
      </w:r>
      <w:r w:rsidRPr="006F0C8C">
        <w:t>driven</w:t>
      </w:r>
      <w:r w:rsidR="00BE20D7">
        <w:t>,</w:t>
      </w:r>
      <w:r w:rsidRPr="006F0C8C">
        <w:t xml:space="preserve"> </w:t>
      </w:r>
      <w:r w:rsidR="00673B7C" w:rsidRPr="00765C6F">
        <w:t>gold</w:t>
      </w:r>
      <w:r w:rsidR="00646C22">
        <w:t>-</w:t>
      </w:r>
      <w:r w:rsidR="00673B7C" w:rsidRPr="00765C6F">
        <w:t>standard</w:t>
      </w:r>
      <w:r w:rsidRPr="006F0C8C">
        <w:t xml:space="preserve"> teaching strategies that are shown to be effective in raising reading levels.</w:t>
      </w:r>
      <w:r w:rsidR="000236C7">
        <w:rPr>
          <w:rFonts w:ascii="Calibri" w:eastAsia="Calibri" w:hAnsi="Calibri" w:cs="Calibri"/>
        </w:rPr>
        <w:t xml:space="preserve"> </w:t>
      </w:r>
      <w:r w:rsidR="00B34E13">
        <w:rPr>
          <w:rFonts w:ascii="Calibri" w:eastAsia="Calibri" w:hAnsi="Calibri" w:cs="Calibri"/>
        </w:rPr>
        <w:t xml:space="preserve">All stakeholders responsible for ITE program content and school-based teaching methods have a role to play in </w:t>
      </w:r>
      <w:r w:rsidR="000D58F9">
        <w:rPr>
          <w:rFonts w:ascii="Calibri" w:eastAsia="Calibri" w:hAnsi="Calibri" w:cs="Calibri"/>
        </w:rPr>
        <w:t>achieving this.</w:t>
      </w:r>
      <w:r w:rsidR="00EE582A">
        <w:rPr>
          <w:rFonts w:ascii="Calibri" w:eastAsia="Calibri" w:hAnsi="Calibri" w:cs="Calibri"/>
        </w:rPr>
        <w:t xml:space="preserve"> To drive </w:t>
      </w:r>
      <w:r w:rsidR="00EF4FB4">
        <w:rPr>
          <w:rFonts w:ascii="Calibri" w:eastAsia="Calibri" w:hAnsi="Calibri" w:cs="Calibri"/>
        </w:rPr>
        <w:t xml:space="preserve">stronger performance </w:t>
      </w:r>
      <w:r w:rsidR="00B857CA">
        <w:rPr>
          <w:rFonts w:ascii="Calibri" w:eastAsia="Calibri" w:hAnsi="Calibri" w:cs="Calibri"/>
        </w:rPr>
        <w:t xml:space="preserve">in this area, </w:t>
      </w:r>
      <w:r w:rsidR="00A73990">
        <w:rPr>
          <w:rFonts w:ascii="Calibri" w:eastAsia="Calibri" w:hAnsi="Calibri" w:cs="Calibri"/>
        </w:rPr>
        <w:t>more</w:t>
      </w:r>
      <w:r w:rsidR="00B944ED">
        <w:rPr>
          <w:rFonts w:ascii="Calibri" w:eastAsia="Calibri" w:hAnsi="Calibri" w:cs="Calibri"/>
        </w:rPr>
        <w:t xml:space="preserve"> support and encouragement should be </w:t>
      </w:r>
      <w:r w:rsidR="007E2128">
        <w:rPr>
          <w:rFonts w:ascii="Calibri" w:eastAsia="Calibri" w:hAnsi="Calibri" w:cs="Calibri"/>
        </w:rPr>
        <w:t xml:space="preserve">provided to </w:t>
      </w:r>
      <w:r w:rsidR="00A747E3">
        <w:rPr>
          <w:rFonts w:ascii="Calibri" w:eastAsia="Calibri" w:hAnsi="Calibri" w:cs="Calibri"/>
        </w:rPr>
        <w:t xml:space="preserve">stakeholders </w:t>
      </w:r>
      <w:r w:rsidR="00F45AE8">
        <w:rPr>
          <w:rFonts w:ascii="Calibri" w:eastAsia="Calibri" w:hAnsi="Calibri" w:cs="Calibri"/>
        </w:rPr>
        <w:t xml:space="preserve">developing and implementing </w:t>
      </w:r>
      <w:r w:rsidR="0061547F">
        <w:rPr>
          <w:rFonts w:ascii="Calibri" w:eastAsia="Calibri" w:hAnsi="Calibri" w:cs="Calibri"/>
        </w:rPr>
        <w:t xml:space="preserve">evidence-based </w:t>
      </w:r>
      <w:r w:rsidR="00992476">
        <w:rPr>
          <w:rFonts w:ascii="Calibri" w:eastAsia="Calibri" w:hAnsi="Calibri" w:cs="Calibri"/>
        </w:rPr>
        <w:t>practices.</w:t>
      </w:r>
    </w:p>
    <w:p w14:paraId="373C479B" w14:textId="77777777" w:rsidR="00370D71" w:rsidRDefault="00D12409" w:rsidP="00370D71">
      <w:pPr>
        <w:rPr>
          <w:rFonts w:eastAsiaTheme="minorEastAsia"/>
        </w:rPr>
      </w:pPr>
      <w:r w:rsidRPr="006F0C8C" w:rsidDel="000E226A">
        <w:rPr>
          <w:rFonts w:ascii="Calibri" w:eastAsia="Calibri" w:hAnsi="Calibri" w:cs="Calibri"/>
        </w:rPr>
        <w:t xml:space="preserve">To support ITE graduates in effectively teaching the next generations of readers, the Accreditation Standards should be amended to be more </w:t>
      </w:r>
      <w:r w:rsidR="00E84576">
        <w:rPr>
          <w:rFonts w:ascii="Calibri" w:eastAsia="Calibri" w:hAnsi="Calibri" w:cs="Calibri"/>
        </w:rPr>
        <w:t>specific</w:t>
      </w:r>
      <w:r w:rsidRPr="006F0C8C" w:rsidDel="000E226A">
        <w:rPr>
          <w:rFonts w:ascii="Calibri" w:eastAsia="Calibri" w:hAnsi="Calibri" w:cs="Calibri"/>
        </w:rPr>
        <w:t xml:space="preserve"> </w:t>
      </w:r>
      <w:r w:rsidR="00B96CD6">
        <w:rPr>
          <w:rFonts w:ascii="Calibri" w:eastAsia="Calibri" w:hAnsi="Calibri" w:cs="Calibri"/>
        </w:rPr>
        <w:t>about</w:t>
      </w:r>
      <w:r w:rsidRPr="006F0C8C" w:rsidDel="000E226A">
        <w:rPr>
          <w:rFonts w:ascii="Calibri" w:eastAsia="Calibri" w:hAnsi="Calibri" w:cs="Calibri"/>
        </w:rPr>
        <w:t xml:space="preserve"> the teaching of reading, including greater focus on phonics and phonemic awareness. </w:t>
      </w:r>
      <w:r w:rsidR="003940E4">
        <w:rPr>
          <w:rFonts w:ascii="Calibri" w:eastAsia="Calibri" w:hAnsi="Calibri" w:cs="Calibri"/>
        </w:rPr>
        <w:t>Preparation</w:t>
      </w:r>
      <w:r w:rsidRPr="006F0C8C" w:rsidDel="000E226A">
        <w:rPr>
          <w:rFonts w:ascii="Calibri" w:eastAsia="Calibri" w:hAnsi="Calibri" w:cs="Calibri"/>
        </w:rPr>
        <w:t xml:space="preserve"> in the teaching of explicit, systematic phonics should be a requirement in ITE courses as a central technical element of early reading.</w:t>
      </w:r>
    </w:p>
    <w:p w14:paraId="3E07C147" w14:textId="77777777" w:rsidR="00F22222" w:rsidRDefault="00F22222">
      <w:pPr>
        <w:spacing w:after="0" w:line="240" w:lineRule="auto"/>
        <w:rPr>
          <w:rFonts w:ascii="Calibri" w:eastAsia="Calibri" w:hAnsi="Calibri" w:cs="Calibri"/>
        </w:rPr>
      </w:pPr>
      <w:r>
        <w:rPr>
          <w:rFonts w:ascii="Calibri" w:eastAsia="Calibri" w:hAnsi="Calibri" w:cs="Calibri"/>
        </w:rPr>
        <w:br w:type="page"/>
      </w:r>
    </w:p>
    <w:p w14:paraId="3F9F86F4" w14:textId="33F44BAB" w:rsidR="003E6620" w:rsidRPr="00370D71" w:rsidDel="000E226A" w:rsidRDefault="00D12409" w:rsidP="00370D71">
      <w:pPr>
        <w:rPr>
          <w:rFonts w:eastAsiaTheme="minorEastAsia"/>
        </w:rPr>
      </w:pPr>
      <w:r w:rsidRPr="743EF061">
        <w:rPr>
          <w:rFonts w:ascii="Calibri" w:eastAsia="Calibri" w:hAnsi="Calibri" w:cs="Calibri"/>
        </w:rPr>
        <w:lastRenderedPageBreak/>
        <w:t xml:space="preserve">Further, </w:t>
      </w:r>
      <w:r w:rsidR="005D3096">
        <w:rPr>
          <w:rFonts w:ascii="Calibri" w:eastAsia="Calibri" w:hAnsi="Calibri" w:cs="Calibri"/>
        </w:rPr>
        <w:t>higher education providers</w:t>
      </w:r>
      <w:r w:rsidRPr="743EF061">
        <w:rPr>
          <w:rFonts w:ascii="Calibri" w:eastAsia="Calibri" w:hAnsi="Calibri" w:cs="Calibri"/>
        </w:rPr>
        <w:t xml:space="preserve"> should only train ITE students in practices that are rigorous and grounded in evidence and should remove any approaches not shown to be highly effective in the teaching of reading, including whole language methods. ITE students should also be taught to look to research findings to inform their practice as an ongoing professional skill, sustaining them as effective practitioners throughout their teaching careers. </w:t>
      </w:r>
    </w:p>
    <w:p w14:paraId="71C2E248" w14:textId="3F99E9BB" w:rsidR="00D12409" w:rsidRPr="006F0C8C" w:rsidRDefault="00D12409" w:rsidP="00370D71">
      <w:pPr>
        <w:keepNext/>
        <w:keepLines/>
        <w:spacing w:before="40" w:after="0"/>
        <w:outlineLvl w:val="6"/>
      </w:pPr>
      <w:r w:rsidRPr="006F0C8C">
        <w:rPr>
          <w:rFonts w:asciiTheme="majorHAnsi" w:eastAsiaTheme="majorEastAsia" w:hAnsiTheme="majorHAnsi" w:cstheme="majorBidi"/>
          <w:i/>
          <w:iCs/>
          <w:color w:val="1F3763" w:themeColor="accent1" w:themeShade="7F"/>
        </w:rPr>
        <w:t xml:space="preserve">Cultural </w:t>
      </w:r>
      <w:r w:rsidR="00466BCD">
        <w:rPr>
          <w:rFonts w:asciiTheme="majorHAnsi" w:eastAsiaTheme="majorEastAsia" w:hAnsiTheme="majorHAnsi" w:cstheme="majorBidi"/>
          <w:i/>
          <w:iCs/>
          <w:color w:val="1F3763" w:themeColor="accent1" w:themeShade="7F"/>
        </w:rPr>
        <w:t>r</w:t>
      </w:r>
      <w:r w:rsidRPr="006F0C8C">
        <w:rPr>
          <w:rFonts w:asciiTheme="majorHAnsi" w:eastAsiaTheme="majorEastAsia" w:hAnsiTheme="majorHAnsi" w:cstheme="majorBidi"/>
          <w:i/>
          <w:iCs/>
          <w:color w:val="1F3763" w:themeColor="accent1" w:themeShade="7F"/>
        </w:rPr>
        <w:t xml:space="preserve">esponsiveness </w:t>
      </w:r>
    </w:p>
    <w:p w14:paraId="5C6FEA80" w14:textId="77777777" w:rsidR="00D12409" w:rsidRPr="006F0C8C" w:rsidRDefault="00D12409" w:rsidP="00CD1FEB">
      <w:pPr>
        <w:pStyle w:val="Quote"/>
        <w:framePr w:wrap="around"/>
      </w:pPr>
      <w:r w:rsidRPr="006F0C8C">
        <w:t xml:space="preserve">‘A more meaningful engagement with First Nations knowledge is essential for all higher education providers, teacher educators and pre-service teaching students, which should include content around Aboriginal and Torres Strait Islander philosophies, cultures, technologies and practices; as well as perspectives from the depths of First Nations embodied experiences of colonialism, segregation and assimilation, racism, privilege and disadvantage and trauma.’ </w:t>
      </w:r>
    </w:p>
    <w:p w14:paraId="4C842490" w14:textId="77777777" w:rsidR="00D12409" w:rsidRPr="006F0C8C" w:rsidRDefault="00D12409" w:rsidP="00CD1FEB">
      <w:pPr>
        <w:pStyle w:val="Quote"/>
        <w:framePr w:wrap="around"/>
      </w:pPr>
      <w:r w:rsidRPr="006F0C8C">
        <w:t>(Australians Together submission)</w:t>
      </w:r>
    </w:p>
    <w:p w14:paraId="1350ABEB" w14:textId="0EA889CC" w:rsidR="00D12409" w:rsidRPr="006F0C8C" w:rsidRDefault="00D12409" w:rsidP="00C73014">
      <w:pPr>
        <w:spacing w:before="200"/>
      </w:pPr>
      <w:r w:rsidRPr="006F0C8C">
        <w:t xml:space="preserve">Cultural competency and responsiveness </w:t>
      </w:r>
      <w:r w:rsidR="000D6A4D">
        <w:t>are</w:t>
      </w:r>
      <w:r w:rsidR="000D6A4D" w:rsidRPr="006F0C8C">
        <w:t xml:space="preserve"> </w:t>
      </w:r>
      <w:r w:rsidRPr="006F0C8C">
        <w:t xml:space="preserve">a priority for all teachers, not just for those who work with Aboriginal and Torres Strait Islander students or </w:t>
      </w:r>
      <w:r w:rsidR="001216C7">
        <w:t xml:space="preserve">students from </w:t>
      </w:r>
      <w:r w:rsidR="00405B6D">
        <w:t>culturally and linguistically diverse (</w:t>
      </w:r>
      <w:r w:rsidR="001216C7">
        <w:t>CALD</w:t>
      </w:r>
      <w:r w:rsidR="00405B6D">
        <w:t>)</w:t>
      </w:r>
      <w:r w:rsidR="001216C7">
        <w:t xml:space="preserve"> backgrounds</w:t>
      </w:r>
      <w:r w:rsidRPr="006F0C8C">
        <w:t xml:space="preserve">. </w:t>
      </w:r>
    </w:p>
    <w:p w14:paraId="18E00E45" w14:textId="1108E97D" w:rsidR="00D12409" w:rsidRPr="006F0C8C" w:rsidRDefault="00D12409" w:rsidP="00C73014">
      <w:r w:rsidRPr="006F0C8C">
        <w:t xml:space="preserve">Teachers must be able to respectfully embed </w:t>
      </w:r>
      <w:r w:rsidR="0017516B">
        <w:t>Aboriginal and Torres Strait Islander</w:t>
      </w:r>
      <w:r w:rsidR="0017516B" w:rsidRPr="006F0C8C">
        <w:t xml:space="preserve"> </w:t>
      </w:r>
      <w:r w:rsidRPr="006F0C8C">
        <w:t>perspectives in the curriculum and have the skills, capabilities and knowledge to effectively support Aboriginal and Torres Strait Islander students to succeed in education (National Indigenous Australians Agency submission).</w:t>
      </w:r>
    </w:p>
    <w:p w14:paraId="669033DF" w14:textId="5D5B525D" w:rsidR="00D12409" w:rsidRPr="006F0C8C" w:rsidRDefault="00D12409" w:rsidP="00D12409">
      <w:r w:rsidRPr="00E63952">
        <w:t>The Australian Institute for Teaching and School Leadership (</w:t>
      </w:r>
      <w:r w:rsidRPr="00A3491C">
        <w:t>AITSL</w:t>
      </w:r>
      <w:r>
        <w:t>)</w:t>
      </w:r>
      <w:r w:rsidRPr="006F0C8C">
        <w:t xml:space="preserve"> is undertaking a four-year project to enhance the cultural competency of the teaching workforce. In consultations for this project, stakeholders have agreed that ITE plays a critical role in building a culturally competent workforce (AITSL submission). Cultural competency therefore should be a priority for ITE programs. </w:t>
      </w:r>
      <w:r w:rsidR="00A03916">
        <w:t>The Expert Panel has</w:t>
      </w:r>
      <w:r w:rsidRPr="006F0C8C">
        <w:t xml:space="preserve"> heard, however, that not all higher education providers include Aboriginal and Torres Strait Islander studies as a mandatory area of study in ITE programs (AITSL submission; Queensland Government submission). </w:t>
      </w:r>
    </w:p>
    <w:p w14:paraId="4522E4CD" w14:textId="77777777" w:rsidR="00D12409" w:rsidRPr="006F0C8C" w:rsidRDefault="00D12409" w:rsidP="00D12409">
      <w:r w:rsidRPr="006F0C8C">
        <w:t xml:space="preserve">Even in programs that do offer Aboriginal and Torres Strait Islander studies, the feedback AITSL received suggests that these programs rarely meet students’ needs and are not enough to prepare teachers to teach to and about Aboriginal and Torres Strait Islander peoples. </w:t>
      </w:r>
    </w:p>
    <w:p w14:paraId="66B070CD" w14:textId="6E80E8F3" w:rsidR="00D12409" w:rsidRPr="006F0C8C" w:rsidRDefault="00D12409" w:rsidP="00D12409">
      <w:r w:rsidRPr="006F0C8C">
        <w:t xml:space="preserve">AITSL reported that </w:t>
      </w:r>
      <w:r w:rsidR="00734F73" w:rsidRPr="006F0C8C">
        <w:t xml:space="preserve">stakeholders </w:t>
      </w:r>
      <w:r w:rsidRPr="006F0C8C">
        <w:t xml:space="preserve">expressed a strong view that mandating Aboriginal and Torres Strait Islander content was essential to ensure all </w:t>
      </w:r>
      <w:r w:rsidR="00E76B79">
        <w:t>ITE students</w:t>
      </w:r>
      <w:r w:rsidRPr="006F0C8C">
        <w:t xml:space="preserve"> develop an appropriate level of cultural competency to start their career and to provide them with the skills and knowledge to foster their ongoing growth (AITSL</w:t>
      </w:r>
      <w:r w:rsidR="00486B47">
        <w:t> </w:t>
      </w:r>
      <w:r w:rsidRPr="006F0C8C">
        <w:t xml:space="preserve">submission). This is consistent with the views of stakeholders in this Review, who indicated that any ITE units on </w:t>
      </w:r>
      <w:r w:rsidR="00B66A3F">
        <w:t>Aboriginal and Torres Strait Islander</w:t>
      </w:r>
      <w:r w:rsidRPr="006F0C8C">
        <w:t xml:space="preserve"> education must balance awareness of culture with the correct pedagogic tools for delivering this kind of information (National Indigenous Australians Agency submission). </w:t>
      </w:r>
    </w:p>
    <w:p w14:paraId="19E44AA2" w14:textId="77777777" w:rsidR="00D12409" w:rsidRPr="006F0C8C" w:rsidRDefault="00D12409" w:rsidP="00CD1FEB">
      <w:pPr>
        <w:pStyle w:val="Quote"/>
        <w:framePr w:wrap="around"/>
      </w:pPr>
      <w:r w:rsidRPr="006F0C8C">
        <w:t xml:space="preserve">‘ITE units on Indigenous education must balance increasing teacher students’ awareness of Aboriginal and Torres Strait Islander peoples and cultures, with tools for delivering this learning. This includes pedagogic tools, how to build a culturally safe learning environment and being aware of students’ backgrounds and how it may affect Aboriginal and Torres Strait Islander students.’ </w:t>
      </w:r>
    </w:p>
    <w:p w14:paraId="660FDA61" w14:textId="77777777" w:rsidR="00D12409" w:rsidRPr="006F0C8C" w:rsidRDefault="00D12409" w:rsidP="00CD1FEB">
      <w:pPr>
        <w:pStyle w:val="Quote"/>
        <w:framePr w:wrap="around"/>
      </w:pPr>
      <w:r w:rsidRPr="006F0C8C">
        <w:t>(National Indigenous Australians Agency submission)</w:t>
      </w:r>
    </w:p>
    <w:p w14:paraId="0939978E" w14:textId="77777777" w:rsidR="00D12409" w:rsidRPr="006F0C8C" w:rsidRDefault="00D12409" w:rsidP="00D12409">
      <w:pPr>
        <w:spacing w:after="0"/>
      </w:pPr>
    </w:p>
    <w:p w14:paraId="0177CDAD" w14:textId="1F4192F6" w:rsidR="00D12409" w:rsidRPr="006F0C8C" w:rsidRDefault="00D12409" w:rsidP="00D12409">
      <w:pPr>
        <w:rPr>
          <w:rFonts w:eastAsia="Times New Roman"/>
        </w:rPr>
      </w:pPr>
      <w:r w:rsidRPr="006F0C8C">
        <w:t xml:space="preserve">Stakeholders also stressed the need for higher education providers to engage with Aboriginal and Torres Strait Islander communities and ensure they have trained staff able to deliver the </w:t>
      </w:r>
      <w:r w:rsidR="00A83511">
        <w:t>preparation</w:t>
      </w:r>
      <w:r w:rsidRPr="006F0C8C">
        <w:t xml:space="preserve"> that Aboriginal and Torres Strait Islander communities need (</w:t>
      </w:r>
      <w:r>
        <w:t xml:space="preserve">New South Wales </w:t>
      </w:r>
      <w:r w:rsidRPr="006F0C8C">
        <w:rPr>
          <w:rFonts w:eastAsia="Times New Roman"/>
        </w:rPr>
        <w:t xml:space="preserve">Aboriginal Educational Consultative Group submission). </w:t>
      </w:r>
    </w:p>
    <w:p w14:paraId="6C1A03F7" w14:textId="77777777" w:rsidR="00D12409" w:rsidRPr="006F0C8C" w:rsidRDefault="00D12409" w:rsidP="00D12409">
      <w:r w:rsidRPr="006F0C8C">
        <w:rPr>
          <w:rFonts w:eastAsia="Times New Roman"/>
        </w:rPr>
        <w:lastRenderedPageBreak/>
        <w:t xml:space="preserve">Without this focus, there is a risk that teachers are not prepared to meet the curriculum and professional requirements expected once they enter classrooms and school communities (Reconciliation Australia submission). </w:t>
      </w:r>
    </w:p>
    <w:p w14:paraId="3D171BAF" w14:textId="5FC4FD89" w:rsidR="00D12409" w:rsidRPr="006F0C8C" w:rsidRDefault="00D12409" w:rsidP="00D12409">
      <w:r w:rsidRPr="006F0C8C">
        <w:t xml:space="preserve">Some higher education provider submissions also indicated that ITE graduates felt underprepared for the overall cultural diversity they would face in the classroom. One anonymous ITE student submission indicated that their ITE program would have benefited from the inclusion of a unit on learning about students from diverse backgrounds in their first semester of the degree. </w:t>
      </w:r>
    </w:p>
    <w:p w14:paraId="6FA9D462" w14:textId="69218F6D" w:rsidR="00D12409" w:rsidRPr="00C73014" w:rsidRDefault="00D12409" w:rsidP="00C73014">
      <w:pPr>
        <w:rPr>
          <w:rFonts w:cs="Minion Pro"/>
          <w:color w:val="000000"/>
        </w:rPr>
      </w:pPr>
      <w:r w:rsidRPr="743EF061">
        <w:rPr>
          <w:rFonts w:cs="Minion Pro"/>
        </w:rPr>
        <w:t>The Australian Council of TESOL Associations (ACTA) highlighted that</w:t>
      </w:r>
      <w:r w:rsidRPr="743EF061">
        <w:rPr>
          <w:rFonts w:cs="Minion Pro"/>
          <w:i/>
          <w:iCs/>
        </w:rPr>
        <w:t xml:space="preserve"> </w:t>
      </w:r>
      <w:r w:rsidRPr="743EF061">
        <w:rPr>
          <w:rFonts w:cs="Minion Pro"/>
        </w:rPr>
        <w:t xml:space="preserve">the </w:t>
      </w:r>
      <w:r w:rsidR="0081178D">
        <w:rPr>
          <w:rFonts w:cs="Minion Pro"/>
        </w:rPr>
        <w:t xml:space="preserve">Teacher Standards </w:t>
      </w:r>
      <w:r w:rsidRPr="743EF061">
        <w:rPr>
          <w:rFonts w:cs="Minion Pro"/>
        </w:rPr>
        <w:t xml:space="preserve">do not identify the specific knowledge and skills required for specialist English as an additional language or dialect (EAL/D) teaching. To ensure that teachers are appropriately equipped to support the teaching and development of EAL/D students, ACTA developed the </w:t>
      </w:r>
      <w:r w:rsidRPr="743EF061">
        <w:rPr>
          <w:rFonts w:cs="Minion Pro"/>
          <w:i/>
          <w:iCs/>
        </w:rPr>
        <w:t>EAL/D Standards Elaborations</w:t>
      </w:r>
      <w:r w:rsidRPr="743EF061">
        <w:rPr>
          <w:rFonts w:cs="Minion Pro"/>
        </w:rPr>
        <w:t xml:space="preserve"> to ‘unpack’ the Teacher Standards in relation to EAL/D. The Elaborations were developed in consultation with AITSL and were promoted on the AITSL website in 2015–16 when they were first launched.</w:t>
      </w:r>
    </w:p>
    <w:p w14:paraId="6145B959" w14:textId="77777777" w:rsidR="00D12409" w:rsidRPr="006F0C8C" w:rsidRDefault="00D12409" w:rsidP="00370D71">
      <w:pPr>
        <w:keepNext/>
        <w:keepLines/>
        <w:spacing w:after="0"/>
        <w:outlineLvl w:val="6"/>
      </w:pPr>
      <w:r w:rsidRPr="006F0C8C">
        <w:rPr>
          <w:rFonts w:asciiTheme="majorHAnsi" w:eastAsiaTheme="majorEastAsia" w:hAnsiTheme="majorHAnsi" w:cstheme="majorBidi"/>
          <w:i/>
          <w:iCs/>
          <w:color w:val="1F3763" w:themeColor="accent1" w:themeShade="7F"/>
        </w:rPr>
        <w:t xml:space="preserve">Supporting diverse learners and students with disability </w:t>
      </w:r>
    </w:p>
    <w:p w14:paraId="4AE46E03" w14:textId="77777777" w:rsidR="00D12409" w:rsidRPr="006F0C8C" w:rsidRDefault="00D12409" w:rsidP="00CD1FEB">
      <w:pPr>
        <w:pStyle w:val="Quote"/>
        <w:framePr w:wrap="around"/>
      </w:pPr>
      <w:r w:rsidRPr="006F0C8C">
        <w:t>‘When I graduated, my first teaching placement was in an early childhood unit delivering remedial reading programs for year one students. My training had not prepared me for this task. It had not covered any theory or practice on the how to address the need of students experiencing difficulties while learning to read.’ (Individual submission)</w:t>
      </w:r>
    </w:p>
    <w:p w14:paraId="6E224784" w14:textId="3E46E529" w:rsidR="00D12409" w:rsidRPr="006F0C8C" w:rsidRDefault="00D12409" w:rsidP="00D12409">
      <w:pPr>
        <w:spacing w:before="240"/>
      </w:pPr>
      <w:r w:rsidRPr="006F0C8C">
        <w:t>The need for inclusive education is made explicit within the Graduate</w:t>
      </w:r>
      <w:r w:rsidR="007636F8">
        <w:t xml:space="preserve"> level of the</w:t>
      </w:r>
      <w:r w:rsidRPr="006F0C8C">
        <w:t xml:space="preserve"> Teacher Standards (in particular 1.5 and 1.6), however some stakeholders indicated concern that ITE programs need to provide more </w:t>
      </w:r>
      <w:r w:rsidR="00974599">
        <w:t>preparation</w:t>
      </w:r>
      <w:r w:rsidRPr="006F0C8C">
        <w:t xml:space="preserve"> in the skills, knowledge and resources required to teach diverse student cohorts (</w:t>
      </w:r>
      <w:r>
        <w:t>New</w:t>
      </w:r>
      <w:r w:rsidR="007636F8">
        <w:t> </w:t>
      </w:r>
      <w:r>
        <w:t>South</w:t>
      </w:r>
      <w:r w:rsidR="007636F8">
        <w:t> </w:t>
      </w:r>
      <w:r>
        <w:t xml:space="preserve">Wales </w:t>
      </w:r>
      <w:r w:rsidRPr="006F0C8C">
        <w:t>Department of Education submission; Family Advocacy submission).</w:t>
      </w:r>
    </w:p>
    <w:p w14:paraId="341E8D63" w14:textId="18CB2F61" w:rsidR="00D12409" w:rsidRPr="006F0C8C" w:rsidRDefault="007A41F5" w:rsidP="00D12409">
      <w:r>
        <w:t>R</w:t>
      </w:r>
      <w:r w:rsidR="00D12409" w:rsidRPr="006F0C8C">
        <w:t xml:space="preserve">esponses from </w:t>
      </w:r>
      <w:r w:rsidR="00F41E03">
        <w:t xml:space="preserve">some </w:t>
      </w:r>
      <w:r w:rsidR="00D12409" w:rsidRPr="006F0C8C">
        <w:t>current and prospective teachers</w:t>
      </w:r>
      <w:r>
        <w:t xml:space="preserve"> </w:t>
      </w:r>
      <w:r w:rsidR="00F41E03">
        <w:t>also</w:t>
      </w:r>
      <w:r w:rsidR="00D12409" w:rsidRPr="006F0C8C">
        <w:t xml:space="preserve"> indicated that their </w:t>
      </w:r>
      <w:r w:rsidR="00D92A33">
        <w:t>ITE program</w:t>
      </w:r>
      <w:r w:rsidR="00D12409" w:rsidRPr="006F0C8C">
        <w:t xml:space="preserve"> was inadequate in preparing them to teach students with special learning requirements, including subjects such as remedial reading. </w:t>
      </w:r>
      <w:r w:rsidR="00FB7E4E">
        <w:t>ITE students</w:t>
      </w:r>
      <w:r w:rsidR="00D12409" w:rsidRPr="006F0C8C">
        <w:t xml:space="preserve"> need to have an improved understanding of dyslexia and its impact on students, for example, to be able to provide differentiated support to students (Code Read submission).</w:t>
      </w:r>
    </w:p>
    <w:p w14:paraId="4B33F62C" w14:textId="77777777" w:rsidR="00C73014" w:rsidRDefault="00D12409" w:rsidP="00C73014">
      <w:r>
        <w:t>Effective teachers</w:t>
      </w:r>
      <w:r w:rsidR="4E8C4012">
        <w:t xml:space="preserve"> </w:t>
      </w:r>
      <w:r w:rsidR="27FC4E69">
        <w:t xml:space="preserve">help </w:t>
      </w:r>
      <w:r>
        <w:t xml:space="preserve">students with disability to participate in education on the same basis as students without disability (Children and Young People with Disability Australia submission). </w:t>
      </w:r>
    </w:p>
    <w:p w14:paraId="3C2A8571" w14:textId="03BED668" w:rsidR="00D12409" w:rsidRPr="006F0C8C" w:rsidRDefault="00D12409" w:rsidP="00C73014">
      <w:r w:rsidRPr="006F0C8C">
        <w:t xml:space="preserve">The Victorian Council of Social Service recommend that at a minimum, all ITE graduates should have a comprehensive understanding of the </w:t>
      </w:r>
      <w:r w:rsidRPr="006F0C8C">
        <w:rPr>
          <w:i/>
        </w:rPr>
        <w:t>Disability Standards for Education 2005</w:t>
      </w:r>
      <w:r w:rsidRPr="006F0C8C">
        <w:t>. They also recommend ITE programs should include foundational skills to provide ITE students with a practical framework to support a broad range of students with disability.</w:t>
      </w:r>
    </w:p>
    <w:p w14:paraId="3BB76359" w14:textId="0F64AF20" w:rsidR="00D12409" w:rsidRPr="00370D71" w:rsidRDefault="00D12409" w:rsidP="00370D71">
      <w:pPr>
        <w:keepNext/>
        <w:keepLines/>
        <w:spacing w:before="40" w:after="0"/>
        <w:outlineLvl w:val="6"/>
        <w:rPr>
          <w:rFonts w:asciiTheme="majorHAnsi" w:eastAsiaTheme="majorEastAsia" w:hAnsiTheme="majorHAnsi" w:cstheme="majorBidi"/>
          <w:i/>
          <w:iCs/>
          <w:color w:val="1F3763" w:themeColor="accent1" w:themeShade="7F"/>
        </w:rPr>
      </w:pPr>
      <w:r w:rsidRPr="006F0C8C">
        <w:rPr>
          <w:rFonts w:asciiTheme="majorHAnsi" w:eastAsiaTheme="majorEastAsia" w:hAnsiTheme="majorHAnsi" w:cstheme="majorBidi"/>
          <w:i/>
          <w:iCs/>
          <w:color w:val="1F3763" w:themeColor="accent1" w:themeShade="7F"/>
        </w:rPr>
        <w:t>Classroom management</w:t>
      </w:r>
    </w:p>
    <w:p w14:paraId="056B1FFB" w14:textId="2B08349E" w:rsidR="00D12409" w:rsidRPr="006F0C8C" w:rsidRDefault="00D12409" w:rsidP="00CD1FEB">
      <w:pPr>
        <w:pStyle w:val="Quote"/>
        <w:framePr w:wrap="around"/>
        <w:rPr>
          <w:lang w:eastAsia="en-GB"/>
        </w:rPr>
      </w:pPr>
      <w:r w:rsidRPr="006F0C8C">
        <w:rPr>
          <w:lang w:eastAsia="en-GB"/>
        </w:rPr>
        <w:t>‘We also had no real idea of behaviour management strategies that actually work before being thrown into graduate roles requiring the management of increasingly complex student behaviours and parent/carer demands. Put simply, ITE did not adequately prepare us for teaching</w:t>
      </w:r>
      <w:r>
        <w:rPr>
          <w:lang w:eastAsia="en-GB"/>
        </w:rPr>
        <w:t>.’</w:t>
      </w:r>
      <w:r w:rsidRPr="006F0C8C">
        <w:rPr>
          <w:lang w:eastAsia="en-GB"/>
        </w:rPr>
        <w:t xml:space="preserve"> </w:t>
      </w:r>
    </w:p>
    <w:p w14:paraId="79B6A111" w14:textId="77777777" w:rsidR="00D12409" w:rsidRPr="006F0C8C" w:rsidRDefault="00D12409" w:rsidP="00CD1FEB">
      <w:pPr>
        <w:pStyle w:val="Quote"/>
        <w:framePr w:wrap="around"/>
        <w:rPr>
          <w:rFonts w:eastAsia="Times New Roman"/>
        </w:rPr>
      </w:pPr>
      <w:r w:rsidRPr="006F0C8C">
        <w:rPr>
          <w:lang w:eastAsia="en-GB"/>
        </w:rPr>
        <w:t>(Individual submission)</w:t>
      </w:r>
    </w:p>
    <w:p w14:paraId="6E4E14EA" w14:textId="4ED9BC6C" w:rsidR="00D12409" w:rsidRPr="006F0C8C" w:rsidRDefault="00D12409" w:rsidP="00D12409">
      <w:pPr>
        <w:spacing w:before="240"/>
        <w:rPr>
          <w:rFonts w:eastAsia="Times New Roman"/>
        </w:rPr>
      </w:pPr>
      <w:r w:rsidRPr="006F0C8C">
        <w:rPr>
          <w:rFonts w:eastAsia="Times New Roman"/>
        </w:rPr>
        <w:t>Classroom management is a core component of teaching</w:t>
      </w:r>
      <w:r w:rsidR="00CA1CED">
        <w:rPr>
          <w:rFonts w:eastAsia="Times New Roman"/>
        </w:rPr>
        <w:t>. I</w:t>
      </w:r>
      <w:r w:rsidRPr="006F0C8C">
        <w:rPr>
          <w:rFonts w:eastAsia="Times New Roman"/>
        </w:rPr>
        <w:t>ndividual submissions by teachers</w:t>
      </w:r>
      <w:r w:rsidR="00A81570">
        <w:rPr>
          <w:rFonts w:eastAsia="Times New Roman"/>
        </w:rPr>
        <w:t>, however,</w:t>
      </w:r>
      <w:r w:rsidRPr="006F0C8C">
        <w:rPr>
          <w:rFonts w:eastAsia="Times New Roman"/>
        </w:rPr>
        <w:t xml:space="preserve"> indicate that many early career</w:t>
      </w:r>
      <w:r w:rsidR="0092615B">
        <w:rPr>
          <w:rFonts w:eastAsia="Times New Roman"/>
        </w:rPr>
        <w:t xml:space="preserve"> </w:t>
      </w:r>
      <w:r w:rsidRPr="006F0C8C">
        <w:rPr>
          <w:rFonts w:eastAsia="Times New Roman"/>
        </w:rPr>
        <w:t xml:space="preserve">teachers </w:t>
      </w:r>
      <w:r w:rsidR="00F23F81">
        <w:rPr>
          <w:rFonts w:eastAsia="Times New Roman"/>
        </w:rPr>
        <w:t>believe</w:t>
      </w:r>
      <w:r w:rsidR="00F23F81" w:rsidRPr="006F0C8C">
        <w:rPr>
          <w:rFonts w:eastAsia="Times New Roman"/>
        </w:rPr>
        <w:t xml:space="preserve"> </w:t>
      </w:r>
      <w:r w:rsidRPr="006F0C8C">
        <w:rPr>
          <w:rFonts w:eastAsia="Times New Roman"/>
        </w:rPr>
        <w:t>that their ITE program did not adequately prepare them for this aspect of teaching</w:t>
      </w:r>
      <w:r w:rsidR="00E57232">
        <w:rPr>
          <w:rFonts w:eastAsia="Times New Roman"/>
        </w:rPr>
        <w:t>, citing a</w:t>
      </w:r>
      <w:r w:rsidR="00941AD5">
        <w:rPr>
          <w:rFonts w:eastAsia="Times New Roman"/>
        </w:rPr>
        <w:t>n absence of detailed instruction</w:t>
      </w:r>
      <w:r w:rsidR="00C15E64">
        <w:rPr>
          <w:rFonts w:eastAsia="Times New Roman"/>
        </w:rPr>
        <w:t xml:space="preserve">. </w:t>
      </w:r>
      <w:r w:rsidR="00941AD5">
        <w:rPr>
          <w:rFonts w:eastAsia="Times New Roman"/>
        </w:rPr>
        <w:t>Submissions also</w:t>
      </w:r>
      <w:r w:rsidR="00006861">
        <w:rPr>
          <w:rFonts w:eastAsia="Times New Roman"/>
        </w:rPr>
        <w:t xml:space="preserve"> highlighted </w:t>
      </w:r>
      <w:r w:rsidR="009811BE">
        <w:rPr>
          <w:rFonts w:eastAsia="Times New Roman"/>
        </w:rPr>
        <w:t>th</w:t>
      </w:r>
      <w:r w:rsidR="00E57232">
        <w:rPr>
          <w:rFonts w:eastAsia="Times New Roman"/>
        </w:rPr>
        <w:t xml:space="preserve">at </w:t>
      </w:r>
      <w:r w:rsidR="00467A1C">
        <w:rPr>
          <w:rFonts w:eastAsia="Times New Roman"/>
        </w:rPr>
        <w:t>ITE students</w:t>
      </w:r>
      <w:r w:rsidR="004E499A">
        <w:rPr>
          <w:rFonts w:eastAsia="Times New Roman"/>
        </w:rPr>
        <w:t xml:space="preserve"> </w:t>
      </w:r>
      <w:r w:rsidRPr="006F0C8C">
        <w:rPr>
          <w:rFonts w:eastAsia="Times New Roman"/>
        </w:rPr>
        <w:t xml:space="preserve">were not provided enough opportunities to practise </w:t>
      </w:r>
      <w:r w:rsidR="00E57232">
        <w:rPr>
          <w:rFonts w:eastAsia="Times New Roman"/>
        </w:rPr>
        <w:t xml:space="preserve">classroom management </w:t>
      </w:r>
      <w:r w:rsidRPr="006F0C8C">
        <w:rPr>
          <w:rFonts w:eastAsia="Times New Roman"/>
        </w:rPr>
        <w:t xml:space="preserve">before taking a role in a school. </w:t>
      </w:r>
    </w:p>
    <w:p w14:paraId="44854C12" w14:textId="4D876DB4" w:rsidR="00D12409" w:rsidRPr="006F0C8C" w:rsidRDefault="00D12409" w:rsidP="00D12409">
      <w:pPr>
        <w:rPr>
          <w:rFonts w:eastAsia="Times New Roman"/>
        </w:rPr>
      </w:pPr>
      <w:r w:rsidRPr="006F0C8C">
        <w:rPr>
          <w:rFonts w:eastAsia="Times New Roman"/>
        </w:rPr>
        <w:lastRenderedPageBreak/>
        <w:t xml:space="preserve">Some stakeholders consider that </w:t>
      </w:r>
      <w:r w:rsidR="007C3185">
        <w:rPr>
          <w:rFonts w:eastAsia="Times New Roman"/>
        </w:rPr>
        <w:t xml:space="preserve">ITE students </w:t>
      </w:r>
      <w:r w:rsidRPr="006F0C8C">
        <w:rPr>
          <w:rFonts w:eastAsia="Times New Roman"/>
        </w:rPr>
        <w:t>need to be taught classroom management skills and be given the opportunity to practi</w:t>
      </w:r>
      <w:r>
        <w:rPr>
          <w:rFonts w:eastAsia="Times New Roman"/>
        </w:rPr>
        <w:t>s</w:t>
      </w:r>
      <w:r w:rsidRPr="006F0C8C">
        <w:rPr>
          <w:rFonts w:eastAsia="Times New Roman"/>
        </w:rPr>
        <w:t>e in the classroom earlier in their ITE program (</w:t>
      </w:r>
      <w:r w:rsidRPr="003829AB">
        <w:rPr>
          <w:rFonts w:eastAsia="Times New Roman"/>
        </w:rPr>
        <w:t xml:space="preserve">New South Wales </w:t>
      </w:r>
      <w:r w:rsidRPr="006F0C8C">
        <w:rPr>
          <w:rFonts w:eastAsia="Times New Roman"/>
        </w:rPr>
        <w:t xml:space="preserve">Aboriginal Educational Consultative Group submission). The need to provide classroom management techniques to prepare teachers to effectively teach students with behaviours of concern and mental health concerns was also highlighted </w:t>
      </w:r>
      <w:r w:rsidR="0027132C">
        <w:rPr>
          <w:rFonts w:eastAsia="Times New Roman"/>
        </w:rPr>
        <w:t>(I</w:t>
      </w:r>
      <w:r w:rsidRPr="006F0C8C">
        <w:rPr>
          <w:rFonts w:eastAsia="Times New Roman"/>
        </w:rPr>
        <w:t xml:space="preserve">ndividual submission). </w:t>
      </w:r>
    </w:p>
    <w:p w14:paraId="48C41A24" w14:textId="344D75A1" w:rsidR="00D12409" w:rsidRPr="006F0C8C" w:rsidRDefault="00D12409" w:rsidP="00D12409">
      <w:pPr>
        <w:rPr>
          <w:rFonts w:eastAsia="Times New Roman"/>
        </w:rPr>
      </w:pPr>
      <w:r w:rsidRPr="006F0C8C">
        <w:rPr>
          <w:rFonts w:eastAsia="Times New Roman"/>
        </w:rPr>
        <w:t xml:space="preserve">One suggestion was that the Accreditation Standards could include evidence-based practice in classroom behaviour management, including focusing on teaching expectations, instructive feedback, and providing opportunities to respond to supervision (The Australian Association for Special </w:t>
      </w:r>
      <w:r w:rsidR="00203C69" w:rsidRPr="006F0C8C">
        <w:rPr>
          <w:rFonts w:eastAsia="Times New Roman"/>
        </w:rPr>
        <w:t>Education</w:t>
      </w:r>
      <w:r w:rsidR="005E738D">
        <w:rPr>
          <w:rFonts w:eastAsia="Times New Roman"/>
        </w:rPr>
        <w:t xml:space="preserve"> submission</w:t>
      </w:r>
      <w:r w:rsidR="00203C69" w:rsidRPr="006F0C8C">
        <w:rPr>
          <w:rFonts w:eastAsia="Times New Roman"/>
        </w:rPr>
        <w:t>;</w:t>
      </w:r>
      <w:r>
        <w:t xml:space="preserve"> </w:t>
      </w:r>
      <w:r w:rsidRPr="00AA66E0">
        <w:rPr>
          <w:rFonts w:eastAsia="Times New Roman"/>
        </w:rPr>
        <w:t>New South Wales</w:t>
      </w:r>
      <w:r w:rsidRPr="006F0C8C">
        <w:rPr>
          <w:rFonts w:eastAsia="Times New Roman"/>
        </w:rPr>
        <w:t xml:space="preserve"> submission). </w:t>
      </w:r>
    </w:p>
    <w:p w14:paraId="76C446CE" w14:textId="249F1314" w:rsidR="00D12409" w:rsidRPr="00370D71" w:rsidRDefault="0064110B" w:rsidP="00370D71">
      <w:pPr>
        <w:keepNext/>
        <w:keepLines/>
        <w:spacing w:before="40" w:after="0"/>
        <w:outlineLvl w:val="6"/>
        <w:rPr>
          <w:rFonts w:asciiTheme="majorHAnsi" w:eastAsiaTheme="majorEastAsia" w:hAnsiTheme="majorHAnsi" w:cstheme="majorBidi"/>
          <w:i/>
          <w:iCs/>
          <w:color w:val="1F3763" w:themeColor="accent1" w:themeShade="7F"/>
        </w:rPr>
      </w:pPr>
      <w:r>
        <w:rPr>
          <w:rFonts w:asciiTheme="majorHAnsi" w:eastAsiaTheme="majorEastAsia" w:hAnsiTheme="majorHAnsi" w:cstheme="majorBidi"/>
          <w:i/>
          <w:iCs/>
          <w:color w:val="1F3763" w:themeColor="accent1" w:themeShade="7F"/>
        </w:rPr>
        <w:t>Family/carer</w:t>
      </w:r>
      <w:r w:rsidRPr="006F0C8C">
        <w:rPr>
          <w:rFonts w:asciiTheme="majorHAnsi" w:eastAsiaTheme="majorEastAsia" w:hAnsiTheme="majorHAnsi" w:cstheme="majorBidi"/>
          <w:i/>
          <w:iCs/>
          <w:color w:val="1F3763" w:themeColor="accent1" w:themeShade="7F"/>
        </w:rPr>
        <w:t xml:space="preserve"> </w:t>
      </w:r>
      <w:r w:rsidR="00D12409" w:rsidRPr="006F0C8C">
        <w:rPr>
          <w:rFonts w:asciiTheme="majorHAnsi" w:eastAsiaTheme="majorEastAsia" w:hAnsiTheme="majorHAnsi" w:cstheme="majorBidi"/>
          <w:i/>
          <w:iCs/>
          <w:color w:val="1F3763" w:themeColor="accent1" w:themeShade="7F"/>
        </w:rPr>
        <w:t>engagement</w:t>
      </w:r>
    </w:p>
    <w:p w14:paraId="62DD46F8" w14:textId="77777777" w:rsidR="00D12409" w:rsidRPr="006F0C8C" w:rsidRDefault="00D12409" w:rsidP="00CD1FEB">
      <w:pPr>
        <w:pStyle w:val="Quote"/>
        <w:framePr w:wrap="around"/>
      </w:pPr>
      <w:r w:rsidRPr="006F0C8C">
        <w:t>‘Family engagement must be integrated within the pre‐service training. Universities must develop in their students the purpose and value of sharing the funds of knowledge possessed by all parties to inform their practice and to cater for the individual needs of their students. A core unit within Initial teacher education must be that of a family engagement strategy which must include the skills to develop effective relationships.’</w:t>
      </w:r>
      <w:r w:rsidRPr="006F0C8C">
        <w:rPr>
          <w:rFonts w:eastAsia="Times New Roman"/>
        </w:rPr>
        <w:t xml:space="preserve"> (Australian Council of State School Organisations submission</w:t>
      </w:r>
      <w:r w:rsidRPr="006F0C8C">
        <w:t>)</w:t>
      </w:r>
    </w:p>
    <w:p w14:paraId="5DF874EE" w14:textId="2ED27096" w:rsidR="00D12409" w:rsidRPr="006F0C8C" w:rsidRDefault="00D12409" w:rsidP="00C73014">
      <w:pPr>
        <w:spacing w:before="200"/>
        <w:rPr>
          <w:rFonts w:eastAsia="Times New Roman"/>
        </w:rPr>
      </w:pPr>
      <w:r w:rsidRPr="006F0C8C">
        <w:rPr>
          <w:rFonts w:eastAsia="Times New Roman"/>
        </w:rPr>
        <w:t xml:space="preserve">The Teacher Standards requires teachers at the Graduate level to understand strategies for working effectively, sensitively and confidentially with </w:t>
      </w:r>
      <w:r w:rsidR="001B7D4A">
        <w:rPr>
          <w:rFonts w:eastAsia="Times New Roman"/>
        </w:rPr>
        <w:t xml:space="preserve">families </w:t>
      </w:r>
      <w:r>
        <w:rPr>
          <w:rFonts w:eastAsia="Times New Roman"/>
        </w:rPr>
        <w:t xml:space="preserve">and </w:t>
      </w:r>
      <w:r w:rsidRPr="006F0C8C">
        <w:rPr>
          <w:rFonts w:eastAsia="Times New Roman"/>
        </w:rPr>
        <w:t>carers (AITSL</w:t>
      </w:r>
      <w:r w:rsidR="00B110F4">
        <w:rPr>
          <w:rFonts w:eastAsia="Times New Roman"/>
        </w:rPr>
        <w:t xml:space="preserve"> 201</w:t>
      </w:r>
      <w:r w:rsidR="009A2D3C">
        <w:rPr>
          <w:rFonts w:eastAsia="Times New Roman"/>
        </w:rPr>
        <w:t>8</w:t>
      </w:r>
      <w:r w:rsidRPr="006F0C8C">
        <w:rPr>
          <w:rFonts w:eastAsia="Times New Roman"/>
        </w:rPr>
        <w:t xml:space="preserve">). However, many stakeholders agreed that one of the biggest fears faced by </w:t>
      </w:r>
      <w:r w:rsidR="00BF14DE">
        <w:rPr>
          <w:rFonts w:eastAsia="Times New Roman"/>
        </w:rPr>
        <w:t>ITE students</w:t>
      </w:r>
      <w:r w:rsidRPr="006F0C8C">
        <w:rPr>
          <w:rFonts w:eastAsia="Times New Roman"/>
        </w:rPr>
        <w:t xml:space="preserve"> was meeting with </w:t>
      </w:r>
      <w:r w:rsidR="001B7D4A">
        <w:rPr>
          <w:rFonts w:eastAsia="Times New Roman"/>
        </w:rPr>
        <w:t>famil</w:t>
      </w:r>
      <w:r w:rsidR="002A68C7">
        <w:rPr>
          <w:rFonts w:eastAsia="Times New Roman"/>
        </w:rPr>
        <w:t>ie</w:t>
      </w:r>
      <w:r w:rsidR="001B7D4A">
        <w:rPr>
          <w:rFonts w:eastAsia="Times New Roman"/>
        </w:rPr>
        <w:t>s</w:t>
      </w:r>
      <w:r w:rsidR="002A68C7">
        <w:rPr>
          <w:rFonts w:eastAsia="Times New Roman"/>
        </w:rPr>
        <w:t xml:space="preserve"> and carer</w:t>
      </w:r>
      <w:r w:rsidR="00CA7C45">
        <w:rPr>
          <w:rFonts w:eastAsia="Times New Roman"/>
        </w:rPr>
        <w:t>s</w:t>
      </w:r>
      <w:r w:rsidR="001B7D4A" w:rsidRPr="006F0C8C">
        <w:rPr>
          <w:rFonts w:eastAsia="Times New Roman"/>
        </w:rPr>
        <w:t xml:space="preserve"> </w:t>
      </w:r>
      <w:r w:rsidRPr="006F0C8C">
        <w:rPr>
          <w:rFonts w:eastAsia="Times New Roman"/>
        </w:rPr>
        <w:t>(Australian Council of State School Organisation submission; Catholic School Parents Australia submission).</w:t>
      </w:r>
    </w:p>
    <w:p w14:paraId="1FAAAA53" w14:textId="5EBFC4BB" w:rsidR="00D12409" w:rsidRPr="006F0C8C" w:rsidRDefault="00D12409" w:rsidP="00D12409">
      <w:pPr>
        <w:rPr>
          <w:rFonts w:eastAsia="Times New Roman"/>
        </w:rPr>
      </w:pPr>
      <w:r w:rsidRPr="006F0C8C">
        <w:rPr>
          <w:rFonts w:eastAsia="Times New Roman"/>
        </w:rPr>
        <w:t xml:space="preserve">Providing ITE students the opportunity to develop the skills required to make effective relationships with </w:t>
      </w:r>
      <w:r w:rsidR="002A68C7">
        <w:rPr>
          <w:rFonts w:eastAsia="Times New Roman"/>
        </w:rPr>
        <w:t>families and carers</w:t>
      </w:r>
      <w:r w:rsidR="002A68C7" w:rsidRPr="006F0C8C">
        <w:rPr>
          <w:rFonts w:eastAsia="Times New Roman"/>
        </w:rPr>
        <w:t xml:space="preserve"> </w:t>
      </w:r>
      <w:r w:rsidRPr="006F0C8C">
        <w:rPr>
          <w:rFonts w:eastAsia="Times New Roman"/>
        </w:rPr>
        <w:t xml:space="preserve">could assist in removing some of the anxiety. Some stakeholders suggested introducing a formal requirement for ITE students to undertake a unit of study on </w:t>
      </w:r>
      <w:r w:rsidR="00B22E82">
        <w:rPr>
          <w:rFonts w:eastAsia="Times New Roman"/>
        </w:rPr>
        <w:t>family/carer</w:t>
      </w:r>
      <w:r w:rsidR="00B22E82" w:rsidRPr="006F0C8C">
        <w:rPr>
          <w:rFonts w:eastAsia="Times New Roman"/>
        </w:rPr>
        <w:t xml:space="preserve"> </w:t>
      </w:r>
      <w:r w:rsidRPr="006F0C8C">
        <w:rPr>
          <w:rFonts w:eastAsia="Times New Roman"/>
        </w:rPr>
        <w:t xml:space="preserve">engagement. </w:t>
      </w:r>
    </w:p>
    <w:p w14:paraId="71550026" w14:textId="23C4DFA1" w:rsidR="00D12409" w:rsidRDefault="00D12409" w:rsidP="00D12409">
      <w:r w:rsidRPr="006F0C8C">
        <w:t>Other suggestions included strengthening school-university partnerships (</w:t>
      </w:r>
      <w:r w:rsidRPr="003829AB">
        <w:t xml:space="preserve">New South Wales </w:t>
      </w:r>
      <w:r w:rsidRPr="006F0C8C">
        <w:t>Council of Deans of Education</w:t>
      </w:r>
      <w:r>
        <w:t xml:space="preserve"> submission</w:t>
      </w:r>
      <w:r w:rsidRPr="006F0C8C">
        <w:t xml:space="preserve">) and making sure professional experience placements provide ITE students the opportunity to experience other school activities, such as </w:t>
      </w:r>
      <w:r w:rsidR="00B22E82">
        <w:t>family/carer</w:t>
      </w:r>
      <w:r w:rsidRPr="006F0C8C">
        <w:t xml:space="preserve">-teacher interviews, noting that the more </w:t>
      </w:r>
      <w:r w:rsidR="00992B62">
        <w:t>ITE students</w:t>
      </w:r>
      <w:r w:rsidRPr="006F0C8C">
        <w:t xml:space="preserve"> learn about non-teaching requirements the better prepared they would be for their future careers (Australian Secondary Principals Association</w:t>
      </w:r>
      <w:r w:rsidR="00700A25">
        <w:t xml:space="preserve"> submission</w:t>
      </w:r>
      <w:r w:rsidRPr="006F0C8C">
        <w:t xml:space="preserve">). </w:t>
      </w:r>
    </w:p>
    <w:p w14:paraId="64F3B560" w14:textId="32E7573E" w:rsidR="00D12409" w:rsidRPr="006F0C8C" w:rsidRDefault="00D12409" w:rsidP="00D12409">
      <w:pPr>
        <w:keepNext/>
        <w:keepLines/>
        <w:spacing w:before="40" w:after="0"/>
        <w:outlineLvl w:val="6"/>
      </w:pPr>
      <w:r w:rsidRPr="006F0C8C">
        <w:rPr>
          <w:rFonts w:asciiTheme="majorHAnsi" w:eastAsiaTheme="majorEastAsia" w:hAnsiTheme="majorHAnsi" w:cstheme="majorBidi"/>
          <w:i/>
          <w:iCs/>
          <w:color w:val="1F3763" w:themeColor="accent1" w:themeShade="7F"/>
        </w:rPr>
        <w:t xml:space="preserve">Regional, </w:t>
      </w:r>
      <w:r w:rsidR="00992B62">
        <w:rPr>
          <w:rFonts w:asciiTheme="majorHAnsi" w:eastAsiaTheme="majorEastAsia" w:hAnsiTheme="majorHAnsi" w:cstheme="majorBidi"/>
          <w:i/>
          <w:iCs/>
          <w:color w:val="1F3763" w:themeColor="accent1" w:themeShade="7F"/>
        </w:rPr>
        <w:t>r</w:t>
      </w:r>
      <w:r w:rsidRPr="006F0C8C">
        <w:rPr>
          <w:rFonts w:asciiTheme="majorHAnsi" w:eastAsiaTheme="majorEastAsia" w:hAnsiTheme="majorHAnsi" w:cstheme="majorBidi"/>
          <w:i/>
          <w:iCs/>
          <w:color w:val="1F3763" w:themeColor="accent1" w:themeShade="7F"/>
        </w:rPr>
        <w:t xml:space="preserve">ural and </w:t>
      </w:r>
      <w:r w:rsidR="00992B62">
        <w:rPr>
          <w:rFonts w:asciiTheme="majorHAnsi" w:eastAsiaTheme="majorEastAsia" w:hAnsiTheme="majorHAnsi" w:cstheme="majorBidi"/>
          <w:i/>
          <w:iCs/>
          <w:color w:val="1F3763" w:themeColor="accent1" w:themeShade="7F"/>
        </w:rPr>
        <w:t>r</w:t>
      </w:r>
      <w:r w:rsidRPr="006F0C8C">
        <w:rPr>
          <w:rFonts w:asciiTheme="majorHAnsi" w:eastAsiaTheme="majorEastAsia" w:hAnsiTheme="majorHAnsi" w:cstheme="majorBidi"/>
          <w:i/>
          <w:iCs/>
          <w:color w:val="1F3763" w:themeColor="accent1" w:themeShade="7F"/>
        </w:rPr>
        <w:t>emote locations</w:t>
      </w:r>
    </w:p>
    <w:p w14:paraId="74822293" w14:textId="2E8156D1" w:rsidR="00D12409" w:rsidRPr="006F0C8C" w:rsidRDefault="00D12409" w:rsidP="00D12409">
      <w:r w:rsidRPr="006F0C8C">
        <w:t>The Isolated Children’s Parents</w:t>
      </w:r>
      <w:r w:rsidR="00770026">
        <w:t>’</w:t>
      </w:r>
      <w:r w:rsidRPr="006F0C8C">
        <w:t xml:space="preserve"> Association of Australia (</w:t>
      </w:r>
      <w:r w:rsidR="00364F4D">
        <w:t>ICPAA</w:t>
      </w:r>
      <w:r w:rsidRPr="006F0C8C">
        <w:t xml:space="preserve">) considers </w:t>
      </w:r>
      <w:r w:rsidR="00F44D2C">
        <w:t>ITE students</w:t>
      </w:r>
      <w:r w:rsidRPr="006F0C8C">
        <w:t xml:space="preserve"> should be prepared for the unique circumstances of school students in regional, rural and remote locations. Teaching in these locations can mean living remotely, engaging in the community, and experiencing isolation from family, friends and colleagues</w:t>
      </w:r>
      <w:r>
        <w:t>. P</w:t>
      </w:r>
      <w:r w:rsidRPr="006F0C8C">
        <w:t>reparation for these complexities is essential (Isolated Children’s Parents</w:t>
      </w:r>
      <w:r w:rsidR="00071393">
        <w:t>’</w:t>
      </w:r>
      <w:r w:rsidRPr="006F0C8C">
        <w:t xml:space="preserve"> Association of Australia submission).</w:t>
      </w:r>
    </w:p>
    <w:p w14:paraId="3F756786" w14:textId="77777777" w:rsidR="00D12409" w:rsidRPr="006F0C8C" w:rsidRDefault="00D12409" w:rsidP="00D12409">
      <w:r w:rsidRPr="006F0C8C">
        <w:t xml:space="preserve">Other stakeholders also addressed the unique circumstances associated with working in regional, rural and remote locations, proposing that more could be done to attract ITE students from these locations as they would have a stronger understanding of the requirements. </w:t>
      </w:r>
    </w:p>
    <w:p w14:paraId="16115EEB" w14:textId="639EA954" w:rsidR="00D12409" w:rsidRDefault="00D12409" w:rsidP="00D12409">
      <w:r w:rsidRPr="006F0C8C">
        <w:t>Some suggestions included co-funding regional universities to develop innovative ITE programs for local students (Victorian Department of Education</w:t>
      </w:r>
      <w:r>
        <w:t xml:space="preserve"> submission</w:t>
      </w:r>
      <w:r w:rsidRPr="006F0C8C">
        <w:t>) and supporting programs in rural</w:t>
      </w:r>
      <w:r w:rsidR="00425442">
        <w:t xml:space="preserve"> and </w:t>
      </w:r>
      <w:r w:rsidRPr="006F0C8C">
        <w:t>remote contexts that enable teacher education candidates from these areas to work in a school as a paraprofessional as they study (</w:t>
      </w:r>
      <w:r w:rsidRPr="003829AB">
        <w:t xml:space="preserve">New South Wales </w:t>
      </w:r>
      <w:r w:rsidRPr="006F0C8C">
        <w:t>Council of Deans of Education</w:t>
      </w:r>
      <w:r>
        <w:t xml:space="preserve"> submission</w:t>
      </w:r>
      <w:r w:rsidRPr="006F0C8C">
        <w:t xml:space="preserve">). </w:t>
      </w:r>
    </w:p>
    <w:p w14:paraId="7EAF0927" w14:textId="77777777" w:rsidR="00AB6989" w:rsidRDefault="00AB6989">
      <w:pPr>
        <w:spacing w:after="0" w:line="240" w:lineRule="auto"/>
      </w:pPr>
      <w:r>
        <w:br w:type="page"/>
      </w:r>
    </w:p>
    <w:p w14:paraId="256D54FF" w14:textId="07E1DB84" w:rsidR="00B921B3" w:rsidRPr="00F35FE3" w:rsidRDefault="00B921B3" w:rsidP="00C73014">
      <w:pPr>
        <w:rPr>
          <w:rFonts w:cstheme="minorHAnsi"/>
        </w:rPr>
      </w:pPr>
      <w:r>
        <w:lastRenderedPageBreak/>
        <w:t>ICPAA</w:t>
      </w:r>
      <w:r w:rsidRPr="00B921B3">
        <w:rPr>
          <w:rFonts w:cstheme="minorHAnsi"/>
        </w:rPr>
        <w:t xml:space="preserve"> believes ITE p</w:t>
      </w:r>
      <w:r w:rsidRPr="002E40C7">
        <w:rPr>
          <w:rFonts w:cstheme="minorHAnsi"/>
        </w:rPr>
        <w:t xml:space="preserve">rograms should offer a major in rural and remote education, with modules on teaching students with specific learning needs. </w:t>
      </w:r>
      <w:r w:rsidR="00AB65A9">
        <w:rPr>
          <w:rFonts w:cstheme="minorHAnsi"/>
        </w:rPr>
        <w:t>They indicate that su</w:t>
      </w:r>
      <w:r w:rsidRPr="002E40C7">
        <w:rPr>
          <w:rFonts w:cstheme="minorHAnsi"/>
        </w:rPr>
        <w:t xml:space="preserve">ch a course would need to include areas such as multi-age classrooms and curriculum </w:t>
      </w:r>
      <w:r w:rsidRPr="00F35FE3">
        <w:rPr>
          <w:rFonts w:cstheme="minorHAnsi"/>
        </w:rPr>
        <w:t xml:space="preserve">tools, the distance education environment and specific communication tools. </w:t>
      </w:r>
    </w:p>
    <w:p w14:paraId="67090B57" w14:textId="05AB9F71" w:rsidR="00B921B3" w:rsidRDefault="001D0077" w:rsidP="00C73014">
      <w:r>
        <w:t xml:space="preserve">In addition, </w:t>
      </w:r>
      <w:r w:rsidR="00AB65A9">
        <w:t xml:space="preserve">ICPAA </w:t>
      </w:r>
      <w:r>
        <w:t>suggests that a</w:t>
      </w:r>
      <w:r w:rsidR="00B921B3" w:rsidRPr="48143506">
        <w:t>n understanding of the nature of geographically isolated students’ school environments and strategies for coping with the unique dynamics of small rural and remote communities and schools is also vital</w:t>
      </w:r>
      <w:r>
        <w:t xml:space="preserve">. </w:t>
      </w:r>
    </w:p>
    <w:p w14:paraId="33730BAE" w14:textId="0F7A019C" w:rsidR="00D12409" w:rsidRPr="006F0C8C" w:rsidRDefault="00D12409" w:rsidP="00C73014">
      <w:pPr>
        <w:spacing w:before="200"/>
        <w:ind w:left="1021" w:hanging="1021"/>
        <w:outlineLvl w:val="2"/>
      </w:pPr>
      <w:r w:rsidRPr="006F0C8C">
        <w:rPr>
          <w:b/>
          <w:bCs/>
          <w:sz w:val="22"/>
          <w:szCs w:val="21"/>
        </w:rPr>
        <w:t>Conclusions and Recommendations</w:t>
      </w:r>
    </w:p>
    <w:p w14:paraId="5F93CF6D" w14:textId="656D5B9D" w:rsidR="00D12409" w:rsidRPr="006F0C8C" w:rsidRDefault="004F7C8E" w:rsidP="00D12409">
      <w:pPr>
        <w:rPr>
          <w:rFonts w:eastAsia="Times New Roman"/>
        </w:rPr>
      </w:pPr>
      <w:r w:rsidRPr="71DD5FA0">
        <w:rPr>
          <w:rFonts w:eastAsia="Times New Roman"/>
        </w:rPr>
        <w:t xml:space="preserve">Stakeholder consultations and submissions through this Review have reiterated long-term concerns about teacher preparation. </w:t>
      </w:r>
      <w:r w:rsidR="00D12409" w:rsidRPr="743EF061">
        <w:rPr>
          <w:rFonts w:eastAsia="Times New Roman"/>
        </w:rPr>
        <w:t xml:space="preserve">Given these concerns were raised by </w:t>
      </w:r>
      <w:r w:rsidR="00755AFB">
        <w:rPr>
          <w:rFonts w:eastAsia="Times New Roman"/>
        </w:rPr>
        <w:t xml:space="preserve">the </w:t>
      </w:r>
      <w:r w:rsidR="00D12409" w:rsidRPr="743EF061">
        <w:rPr>
          <w:rFonts w:eastAsia="Times New Roman"/>
        </w:rPr>
        <w:t>TEMAG</w:t>
      </w:r>
      <w:r w:rsidR="00755AFB">
        <w:rPr>
          <w:rFonts w:eastAsia="Times New Roman"/>
        </w:rPr>
        <w:t xml:space="preserve"> Review</w:t>
      </w:r>
      <w:r w:rsidR="00D12409" w:rsidRPr="743EF061">
        <w:rPr>
          <w:rFonts w:eastAsia="Times New Roman"/>
        </w:rPr>
        <w:t xml:space="preserve"> (and other previous reviews), it is clear that the implementation of recent reforms has not been</w:t>
      </w:r>
      <w:r w:rsidR="45C31591" w:rsidRPr="743EF061">
        <w:rPr>
          <w:rFonts w:eastAsia="Times New Roman"/>
        </w:rPr>
        <w:t xml:space="preserve"> entirely</w:t>
      </w:r>
      <w:r w:rsidR="00D12409" w:rsidRPr="743EF061">
        <w:rPr>
          <w:rFonts w:eastAsia="Times New Roman"/>
        </w:rPr>
        <w:t xml:space="preserve"> successful in changing practice at the level of individual higher education providers. Further, the fact that these issues continue to be raised suggests that the Accreditation Standards need to be more </w:t>
      </w:r>
      <w:r w:rsidR="00A062C3" w:rsidRPr="743EF061">
        <w:rPr>
          <w:rFonts w:eastAsia="Times New Roman"/>
        </w:rPr>
        <w:t xml:space="preserve">specific </w:t>
      </w:r>
      <w:r w:rsidR="00D12409" w:rsidRPr="743EF061">
        <w:rPr>
          <w:rFonts w:eastAsia="Times New Roman"/>
        </w:rPr>
        <w:t>to ensure providers consider the latest evidence in designing and delivering ITE programs.</w:t>
      </w:r>
    </w:p>
    <w:p w14:paraId="4EFAFA31" w14:textId="7EADB98C" w:rsidR="00AE7E7E" w:rsidRDefault="006F4E1A" w:rsidP="00D12409">
      <w:pPr>
        <w:rPr>
          <w:rFonts w:ascii="Calibri" w:eastAsia="Calibri" w:hAnsi="Calibri" w:cs="Calibri"/>
        </w:rPr>
      </w:pPr>
      <w:r>
        <w:rPr>
          <w:rFonts w:ascii="Calibri" w:eastAsia="Calibri" w:hAnsi="Calibri" w:cs="Calibri"/>
        </w:rPr>
        <w:t>The Expert Panel</w:t>
      </w:r>
      <w:r w:rsidR="00DB3408">
        <w:rPr>
          <w:rFonts w:ascii="Calibri" w:eastAsia="Calibri" w:hAnsi="Calibri" w:cs="Calibri"/>
        </w:rPr>
        <w:t xml:space="preserve"> believe</w:t>
      </w:r>
      <w:r w:rsidR="00045E7D">
        <w:rPr>
          <w:rFonts w:ascii="Calibri" w:eastAsia="Calibri" w:hAnsi="Calibri" w:cs="Calibri"/>
        </w:rPr>
        <w:t>s</w:t>
      </w:r>
      <w:r w:rsidR="00DB3408">
        <w:rPr>
          <w:rFonts w:ascii="Calibri" w:eastAsia="Calibri" w:hAnsi="Calibri" w:cs="Calibri"/>
        </w:rPr>
        <w:t xml:space="preserve"> better support </w:t>
      </w:r>
      <w:r w:rsidR="00717F1E">
        <w:rPr>
          <w:rFonts w:ascii="Calibri" w:eastAsia="Calibri" w:hAnsi="Calibri" w:cs="Calibri"/>
        </w:rPr>
        <w:t>for</w:t>
      </w:r>
      <w:r w:rsidR="00503AF7">
        <w:rPr>
          <w:rFonts w:ascii="Calibri" w:eastAsia="Calibri" w:hAnsi="Calibri" w:cs="Calibri"/>
        </w:rPr>
        <w:t xml:space="preserve"> best practice</w:t>
      </w:r>
      <w:r w:rsidR="00DB3408">
        <w:rPr>
          <w:rFonts w:ascii="Calibri" w:eastAsia="Calibri" w:hAnsi="Calibri" w:cs="Calibri"/>
        </w:rPr>
        <w:t xml:space="preserve"> would go </w:t>
      </w:r>
      <w:r w:rsidR="0072771A">
        <w:rPr>
          <w:rFonts w:ascii="Calibri" w:eastAsia="Calibri" w:hAnsi="Calibri" w:cs="Calibri"/>
        </w:rPr>
        <w:t xml:space="preserve">a long way in achieving the improvements required </w:t>
      </w:r>
      <w:r w:rsidR="00150A04">
        <w:rPr>
          <w:rFonts w:ascii="Calibri" w:eastAsia="Calibri" w:hAnsi="Calibri" w:cs="Calibri"/>
        </w:rPr>
        <w:t>to</w:t>
      </w:r>
      <w:r w:rsidR="00E50C1F">
        <w:rPr>
          <w:rFonts w:ascii="Calibri" w:eastAsia="Calibri" w:hAnsi="Calibri" w:cs="Calibri"/>
        </w:rPr>
        <w:t xml:space="preserve"> address </w:t>
      </w:r>
      <w:r w:rsidR="00403525">
        <w:rPr>
          <w:rFonts w:ascii="Calibri" w:eastAsia="Calibri" w:hAnsi="Calibri" w:cs="Calibri"/>
        </w:rPr>
        <w:t xml:space="preserve">areas of </w:t>
      </w:r>
      <w:r w:rsidR="00E50C1F">
        <w:rPr>
          <w:rFonts w:ascii="Calibri" w:eastAsia="Calibri" w:hAnsi="Calibri" w:cs="Calibri"/>
        </w:rPr>
        <w:t xml:space="preserve">classroom readiness. </w:t>
      </w:r>
      <w:r w:rsidR="00A64746">
        <w:rPr>
          <w:rFonts w:ascii="Calibri" w:eastAsia="Calibri" w:hAnsi="Calibri" w:cs="Calibri"/>
        </w:rPr>
        <w:t xml:space="preserve">Stakeholders </w:t>
      </w:r>
      <w:r w:rsidR="0077088F">
        <w:rPr>
          <w:rFonts w:ascii="Calibri" w:eastAsia="Calibri" w:hAnsi="Calibri" w:cs="Calibri"/>
        </w:rPr>
        <w:t>responsible</w:t>
      </w:r>
      <w:r w:rsidR="00A64746">
        <w:rPr>
          <w:rFonts w:ascii="Calibri" w:eastAsia="Calibri" w:hAnsi="Calibri" w:cs="Calibri"/>
        </w:rPr>
        <w:t xml:space="preserve"> </w:t>
      </w:r>
      <w:r w:rsidR="00954687">
        <w:rPr>
          <w:rFonts w:ascii="Calibri" w:eastAsia="Calibri" w:hAnsi="Calibri" w:cs="Calibri"/>
        </w:rPr>
        <w:t xml:space="preserve">for </w:t>
      </w:r>
      <w:r w:rsidR="008C35EE">
        <w:rPr>
          <w:rFonts w:ascii="Calibri" w:eastAsia="Calibri" w:hAnsi="Calibri" w:cs="Calibri"/>
        </w:rPr>
        <w:t>ITE</w:t>
      </w:r>
      <w:r w:rsidR="004629C6">
        <w:rPr>
          <w:rFonts w:ascii="Calibri" w:eastAsia="Calibri" w:hAnsi="Calibri" w:cs="Calibri"/>
        </w:rPr>
        <w:t xml:space="preserve"> </w:t>
      </w:r>
      <w:r w:rsidR="001262C3">
        <w:rPr>
          <w:rFonts w:ascii="Calibri" w:eastAsia="Calibri" w:hAnsi="Calibri" w:cs="Calibri"/>
        </w:rPr>
        <w:t xml:space="preserve">program content and </w:t>
      </w:r>
      <w:r w:rsidR="007A50D0">
        <w:rPr>
          <w:rFonts w:ascii="Calibri" w:eastAsia="Calibri" w:hAnsi="Calibri" w:cs="Calibri"/>
        </w:rPr>
        <w:t>school</w:t>
      </w:r>
      <w:r w:rsidR="00420781">
        <w:rPr>
          <w:rFonts w:ascii="Calibri" w:eastAsia="Calibri" w:hAnsi="Calibri" w:cs="Calibri"/>
        </w:rPr>
        <w:t>-based teaching practices</w:t>
      </w:r>
      <w:r w:rsidR="00DB3408">
        <w:rPr>
          <w:rFonts w:ascii="Calibri" w:eastAsia="Calibri" w:hAnsi="Calibri" w:cs="Calibri"/>
        </w:rPr>
        <w:t xml:space="preserve"> should be supported with funding to explore innovative ways to deliver </w:t>
      </w:r>
      <w:r w:rsidR="00D63321">
        <w:rPr>
          <w:rFonts w:ascii="Calibri" w:eastAsia="Calibri" w:hAnsi="Calibri" w:cs="Calibri"/>
        </w:rPr>
        <w:t>evidence-based</w:t>
      </w:r>
      <w:r w:rsidR="00DB3408">
        <w:rPr>
          <w:rFonts w:ascii="Calibri" w:eastAsia="Calibri" w:hAnsi="Calibri" w:cs="Calibri"/>
        </w:rPr>
        <w:t xml:space="preserve"> practice</w:t>
      </w:r>
      <w:r w:rsidR="00D3539A">
        <w:rPr>
          <w:rFonts w:ascii="Calibri" w:eastAsia="Calibri" w:hAnsi="Calibri" w:cs="Calibri"/>
        </w:rPr>
        <w:t>, both</w:t>
      </w:r>
      <w:r w:rsidR="003769A8">
        <w:rPr>
          <w:rFonts w:ascii="Calibri" w:eastAsia="Calibri" w:hAnsi="Calibri" w:cs="Calibri"/>
        </w:rPr>
        <w:t xml:space="preserve"> in ITE courses and schools</w:t>
      </w:r>
      <w:r w:rsidR="00DB3408">
        <w:rPr>
          <w:rFonts w:ascii="Calibri" w:eastAsia="Calibri" w:hAnsi="Calibri" w:cs="Calibri"/>
        </w:rPr>
        <w:t>.</w:t>
      </w:r>
      <w:r w:rsidR="003778B0">
        <w:rPr>
          <w:rFonts w:ascii="Calibri" w:eastAsia="Calibri" w:hAnsi="Calibri" w:cs="Calibri"/>
        </w:rPr>
        <w:t xml:space="preserve"> </w:t>
      </w:r>
    </w:p>
    <w:p w14:paraId="448971CC" w14:textId="63EF5D8B" w:rsidR="00D12409" w:rsidRPr="006F0C8C" w:rsidRDefault="00D12409" w:rsidP="00D12409">
      <w:r w:rsidRPr="0995B48D">
        <w:rPr>
          <w:rFonts w:eastAsia="Times New Roman"/>
        </w:rPr>
        <w:t>Improvements need to be made to the content of ITE programs to better support graduate teachers to be classroom</w:t>
      </w:r>
      <w:r w:rsidR="006105FC">
        <w:rPr>
          <w:rFonts w:eastAsia="Times New Roman"/>
        </w:rPr>
        <w:t xml:space="preserve"> </w:t>
      </w:r>
      <w:r w:rsidRPr="0995B48D">
        <w:rPr>
          <w:rFonts w:eastAsia="Times New Roman"/>
        </w:rPr>
        <w:t>ready. Amend</w:t>
      </w:r>
      <w:r w:rsidR="67CBC8AE" w:rsidRPr="0995B48D">
        <w:rPr>
          <w:rFonts w:eastAsia="Times New Roman"/>
        </w:rPr>
        <w:t>ments</w:t>
      </w:r>
      <w:r w:rsidRPr="0995B48D">
        <w:rPr>
          <w:rFonts w:eastAsia="Times New Roman"/>
        </w:rPr>
        <w:t xml:space="preserve"> </w:t>
      </w:r>
      <w:r w:rsidR="00AD7B9A">
        <w:rPr>
          <w:rFonts w:eastAsia="Times New Roman"/>
        </w:rPr>
        <w:t>to</w:t>
      </w:r>
      <w:r w:rsidRPr="0995B48D">
        <w:rPr>
          <w:rFonts w:eastAsia="Times New Roman"/>
        </w:rPr>
        <w:t xml:space="preserve"> the</w:t>
      </w:r>
      <w:r>
        <w:t xml:space="preserve"> Accreditation Standards </w:t>
      </w:r>
      <w:r w:rsidR="6E325F12">
        <w:t xml:space="preserve">should </w:t>
      </w:r>
      <w:r>
        <w:t xml:space="preserve">ensure ITE graduates are taught sufficient evidence-based practices to meet the Graduate </w:t>
      </w:r>
      <w:r w:rsidR="007636F8">
        <w:t xml:space="preserve">level of the </w:t>
      </w:r>
      <w:r>
        <w:t>Teacher Standards and empower them with the tools to lead a classroom. A similar approach to the U</w:t>
      </w:r>
      <w:r w:rsidR="000E673F">
        <w:t xml:space="preserve">nited </w:t>
      </w:r>
      <w:r>
        <w:t>K</w:t>
      </w:r>
      <w:r w:rsidR="000E673F">
        <w:t>ingdom</w:t>
      </w:r>
      <w:r>
        <w:t xml:space="preserve"> model outlined above, which emphasises what trainee teachers need to ‘learn how to…’ do would better ensure that the needs of graduate teachers are being met in critical areas of teaching practice.</w:t>
      </w:r>
    </w:p>
    <w:p w14:paraId="4B6F87CC" w14:textId="58D0C0DA" w:rsidR="000D44B9" w:rsidRDefault="00D12409">
      <w:pPr>
        <w:divId w:val="598568238"/>
        <w:rPr>
          <w:rFonts w:ascii="Calibri" w:eastAsia="Calibri" w:hAnsi="Calibri" w:cs="Calibri"/>
        </w:rPr>
      </w:pPr>
      <w:r w:rsidRPr="0995B48D">
        <w:rPr>
          <w:rFonts w:ascii="Calibri" w:eastAsia="Calibri" w:hAnsi="Calibri" w:cs="Calibri"/>
        </w:rPr>
        <w:t xml:space="preserve">In particular, </w:t>
      </w:r>
      <w:r w:rsidR="00CF0B66">
        <w:rPr>
          <w:rFonts w:ascii="Calibri" w:eastAsia="Calibri" w:hAnsi="Calibri" w:cs="Calibri"/>
        </w:rPr>
        <w:t>it is</w:t>
      </w:r>
      <w:r w:rsidR="00CF0B66" w:rsidRPr="0995B48D">
        <w:rPr>
          <w:rFonts w:ascii="Calibri" w:eastAsia="Calibri" w:hAnsi="Calibri" w:cs="Calibri"/>
        </w:rPr>
        <w:t xml:space="preserve"> </w:t>
      </w:r>
      <w:r w:rsidRPr="0995B48D">
        <w:rPr>
          <w:rFonts w:ascii="Calibri" w:eastAsia="Calibri" w:hAnsi="Calibri" w:cs="Calibri"/>
        </w:rPr>
        <w:t>recommend</w:t>
      </w:r>
      <w:r w:rsidR="00CF0B66">
        <w:rPr>
          <w:rFonts w:ascii="Calibri" w:eastAsia="Calibri" w:hAnsi="Calibri" w:cs="Calibri"/>
        </w:rPr>
        <w:t>ed</w:t>
      </w:r>
      <w:r w:rsidRPr="0995B48D">
        <w:rPr>
          <w:rFonts w:ascii="Calibri" w:eastAsia="Calibri" w:hAnsi="Calibri" w:cs="Calibri"/>
        </w:rPr>
        <w:t xml:space="preserve"> that ITE program content on the teaching of reading should include greater focus on phonics and phonemic awareness. </w:t>
      </w:r>
      <w:r w:rsidR="004E6703">
        <w:rPr>
          <w:rFonts w:ascii="Calibri" w:eastAsia="Calibri" w:hAnsi="Calibri" w:cs="Calibri"/>
        </w:rPr>
        <w:t>Preparation</w:t>
      </w:r>
      <w:r w:rsidRPr="0995B48D">
        <w:rPr>
          <w:rFonts w:ascii="Calibri" w:eastAsia="Calibri" w:hAnsi="Calibri" w:cs="Calibri"/>
        </w:rPr>
        <w:t xml:space="preserve"> in the teaching of systematic </w:t>
      </w:r>
      <w:r w:rsidR="6B833231" w:rsidRPr="0995B48D">
        <w:rPr>
          <w:rFonts w:ascii="Calibri" w:eastAsia="Calibri" w:hAnsi="Calibri" w:cs="Calibri"/>
        </w:rPr>
        <w:t xml:space="preserve">synthetic </w:t>
      </w:r>
      <w:r w:rsidRPr="0995B48D">
        <w:rPr>
          <w:rFonts w:ascii="Calibri" w:eastAsia="Calibri" w:hAnsi="Calibri" w:cs="Calibri"/>
        </w:rPr>
        <w:t xml:space="preserve">phonics should be a requirement in ITE courses as an essential element of early reading. </w:t>
      </w:r>
    </w:p>
    <w:p w14:paraId="297C3A2E" w14:textId="54406135" w:rsidR="0028295B" w:rsidRDefault="00CF0B66" w:rsidP="00C73014">
      <w:pPr>
        <w:spacing w:after="0"/>
        <w:divId w:val="598568238"/>
        <w:rPr>
          <w:color w:val="auto"/>
        </w:rPr>
      </w:pPr>
      <w:r>
        <w:t xml:space="preserve">The Expert Panel </w:t>
      </w:r>
      <w:r w:rsidR="000D44B9">
        <w:t>acknowledge</w:t>
      </w:r>
      <w:r>
        <w:t>s</w:t>
      </w:r>
      <w:r w:rsidR="0028295B">
        <w:t xml:space="preserve"> that amending the Accreditation Standards will be an intensive exercise and require</w:t>
      </w:r>
      <w:r w:rsidR="000D44B9">
        <w:t>s</w:t>
      </w:r>
      <w:r w:rsidR="0028295B">
        <w:t xml:space="preserve"> the agreement of all jurisdictions</w:t>
      </w:r>
      <w:r w:rsidR="00D04CEC">
        <w:t>.</w:t>
      </w:r>
      <w:r w:rsidR="0028295B">
        <w:t xml:space="preserve"> </w:t>
      </w:r>
      <w:r w:rsidR="00883116">
        <w:t xml:space="preserve">The process </w:t>
      </w:r>
      <w:r w:rsidR="00EA19C9">
        <w:t>could</w:t>
      </w:r>
      <w:r w:rsidR="00883116">
        <w:t xml:space="preserve"> include some </w:t>
      </w:r>
      <w:r w:rsidR="00EA19C9">
        <w:t>i</w:t>
      </w:r>
      <w:r w:rsidR="0028295B">
        <w:t xml:space="preserve">nitial steps to undertake a ‘health check’ of the national accreditation system including: </w:t>
      </w:r>
    </w:p>
    <w:p w14:paraId="1DD0B7C0" w14:textId="31FF59EF" w:rsidR="0028295B" w:rsidRPr="002A6CE7" w:rsidRDefault="0028295B" w:rsidP="00F66D2A">
      <w:pPr>
        <w:numPr>
          <w:ilvl w:val="0"/>
          <w:numId w:val="9"/>
        </w:numPr>
        <w:contextualSpacing/>
        <w:divId w:val="598568238"/>
      </w:pPr>
      <w:r w:rsidRPr="002A6CE7">
        <w:t>a comprehensive ‘progress check’ on the implementation of the inclusion of systematic, explicit phonics in ITE curricul</w:t>
      </w:r>
      <w:r w:rsidR="002472DD">
        <w:t>a</w:t>
      </w:r>
    </w:p>
    <w:p w14:paraId="6B260DB3" w14:textId="455359FC" w:rsidR="0028295B" w:rsidRPr="002A6CE7" w:rsidRDefault="0028295B" w:rsidP="00F66D2A">
      <w:pPr>
        <w:numPr>
          <w:ilvl w:val="0"/>
          <w:numId w:val="9"/>
        </w:numPr>
        <w:contextualSpacing/>
        <w:divId w:val="598568238"/>
      </w:pPr>
      <w:r w:rsidRPr="002A6CE7">
        <w:t xml:space="preserve">an examination </w:t>
      </w:r>
      <w:r w:rsidR="00F065A6">
        <w:t>of</w:t>
      </w:r>
      <w:r w:rsidRPr="002A6CE7">
        <w:t xml:space="preserve"> the differing roles of TRAs and the impact on nationally consistent ITE accreditation</w:t>
      </w:r>
    </w:p>
    <w:p w14:paraId="235BEB2D" w14:textId="089C3A7A" w:rsidR="00AB6989" w:rsidRPr="00370D71" w:rsidRDefault="0028295B" w:rsidP="00F66D2A">
      <w:pPr>
        <w:numPr>
          <w:ilvl w:val="0"/>
          <w:numId w:val="9"/>
        </w:numPr>
        <w:contextualSpacing/>
        <w:divId w:val="598568238"/>
      </w:pPr>
      <w:r>
        <w:t>establishing an ITE Accreditation Governance Board, with states and territories, to undertake enquiries and publicly report on ITE courses in Australia</w:t>
      </w:r>
      <w:r w:rsidR="00DD0287">
        <w:t>.</w:t>
      </w:r>
      <w:r w:rsidR="006217DB">
        <w:t xml:space="preserve"> </w:t>
      </w:r>
      <w:r w:rsidR="007B16EB">
        <w:t>Alternatively</w:t>
      </w:r>
      <w:r w:rsidR="00AD3569">
        <w:t xml:space="preserve">, consideration could be given </w:t>
      </w:r>
      <w:r w:rsidR="004F0B4F">
        <w:t xml:space="preserve">to </w:t>
      </w:r>
      <w:r w:rsidR="000B2905">
        <w:t xml:space="preserve">tasking an existing body such as the </w:t>
      </w:r>
      <w:r w:rsidR="002C6A42" w:rsidRPr="002C6A42">
        <w:t>Tertiary Education Quality and Standards Agency</w:t>
      </w:r>
      <w:r w:rsidR="00045F2F">
        <w:t xml:space="preserve"> to undertake a quality assurance assessment process</w:t>
      </w:r>
      <w:r w:rsidR="002C6A42">
        <w:t>.</w:t>
      </w:r>
    </w:p>
    <w:p w14:paraId="4CC6311F" w14:textId="77777777" w:rsidR="00AB6989" w:rsidRDefault="00AB6989">
      <w:pPr>
        <w:spacing w:after="0" w:line="240" w:lineRule="auto"/>
        <w:rPr>
          <w:b/>
        </w:rPr>
      </w:pPr>
      <w:r>
        <w:rPr>
          <w:b/>
        </w:rPr>
        <w:br w:type="page"/>
      </w:r>
    </w:p>
    <w:p w14:paraId="64531938" w14:textId="1859EC2D" w:rsidR="00175448" w:rsidRDefault="00175448" w:rsidP="00175448">
      <w:pPr>
        <w:pStyle w:val="Recommendation4"/>
        <w:keepNext/>
        <w:spacing w:after="0"/>
        <w:rPr>
          <w:b/>
          <w:sz w:val="20"/>
        </w:rPr>
      </w:pPr>
      <w:r w:rsidRPr="00FE09FB">
        <w:rPr>
          <w:b/>
          <w:sz w:val="20"/>
        </w:rPr>
        <w:lastRenderedPageBreak/>
        <w:t xml:space="preserve">Recommendation 7: Strengthen </w:t>
      </w:r>
      <w:r>
        <w:rPr>
          <w:b/>
          <w:sz w:val="20"/>
        </w:rPr>
        <w:t>initial teacher education (</w:t>
      </w:r>
      <w:r w:rsidRPr="00FE09FB">
        <w:rPr>
          <w:b/>
          <w:sz w:val="20"/>
        </w:rPr>
        <w:t>ITE</w:t>
      </w:r>
      <w:r>
        <w:rPr>
          <w:b/>
          <w:sz w:val="20"/>
        </w:rPr>
        <w:t>)</w:t>
      </w:r>
      <w:r w:rsidRPr="00FE09FB">
        <w:rPr>
          <w:b/>
          <w:sz w:val="20"/>
        </w:rPr>
        <w:t xml:space="preserve"> programs to deliver confident, effective, classroom-ready graduates</w:t>
      </w:r>
    </w:p>
    <w:p w14:paraId="62FB5C52" w14:textId="4FAD4537" w:rsidR="00175448" w:rsidRPr="00FE09FB" w:rsidRDefault="00175448" w:rsidP="00175448">
      <w:pPr>
        <w:pStyle w:val="Recommendation4"/>
        <w:spacing w:after="0"/>
        <w:rPr>
          <w:sz w:val="20"/>
        </w:rPr>
      </w:pPr>
      <w:r w:rsidRPr="00FE09FB">
        <w:rPr>
          <w:sz w:val="20"/>
        </w:rPr>
        <w:t xml:space="preserve">Amend </w:t>
      </w:r>
      <w:r>
        <w:rPr>
          <w:sz w:val="20"/>
        </w:rPr>
        <w:t xml:space="preserve">the </w:t>
      </w:r>
      <w:r w:rsidRPr="00A41A19">
        <w:rPr>
          <w:i/>
          <w:iCs/>
          <w:sz w:val="20"/>
        </w:rPr>
        <w:t>Accreditation of Initial Teacher Education Programs in Australia: Standards and Procedures</w:t>
      </w:r>
      <w:r w:rsidRPr="00FE09FB">
        <w:rPr>
          <w:sz w:val="20"/>
        </w:rPr>
        <w:t>, in a manner similar to the U</w:t>
      </w:r>
      <w:r w:rsidR="000E673F">
        <w:rPr>
          <w:sz w:val="20"/>
        </w:rPr>
        <w:t>nited Kingdom</w:t>
      </w:r>
      <w:r w:rsidRPr="00FE09FB">
        <w:rPr>
          <w:sz w:val="20"/>
        </w:rPr>
        <w:t xml:space="preserve"> standards, to ensure ITE graduates are taught sufficient evidence-based practices to meet the </w:t>
      </w:r>
      <w:r w:rsidRPr="00FE09FB">
        <w:rPr>
          <w:i/>
          <w:iCs/>
          <w:sz w:val="20"/>
        </w:rPr>
        <w:t>Australian Professional Standards for Teachers</w:t>
      </w:r>
      <w:r w:rsidRPr="00FE09FB">
        <w:rPr>
          <w:sz w:val="20"/>
        </w:rPr>
        <w:t xml:space="preserve"> and empower them with the tools to lead a classroom, with particular attention to: </w:t>
      </w:r>
    </w:p>
    <w:p w14:paraId="6011B3F7" w14:textId="77777777" w:rsidR="00175448" w:rsidRPr="00FE09FB" w:rsidRDefault="00175448" w:rsidP="00F66D2A">
      <w:pPr>
        <w:pStyle w:val="Recommendation4"/>
        <w:numPr>
          <w:ilvl w:val="0"/>
          <w:numId w:val="34"/>
        </w:numPr>
        <w:spacing w:after="0"/>
        <w:rPr>
          <w:sz w:val="20"/>
        </w:rPr>
      </w:pPr>
      <w:r w:rsidRPr="00FE09FB">
        <w:rPr>
          <w:sz w:val="20"/>
        </w:rPr>
        <w:t>teaching reading, including phonemic awareness and phonics as an essential element of the teaching of reading in the early years</w:t>
      </w:r>
    </w:p>
    <w:p w14:paraId="22320670" w14:textId="77777777" w:rsidR="00175448" w:rsidRPr="00FE09FB" w:rsidRDefault="00175448" w:rsidP="00F66D2A">
      <w:pPr>
        <w:pStyle w:val="Recommendation4"/>
        <w:numPr>
          <w:ilvl w:val="0"/>
          <w:numId w:val="34"/>
        </w:numPr>
        <w:spacing w:after="0"/>
        <w:rPr>
          <w:sz w:val="20"/>
        </w:rPr>
      </w:pPr>
      <w:r w:rsidRPr="00FE09FB">
        <w:rPr>
          <w:sz w:val="20"/>
        </w:rPr>
        <w:t>classroom management</w:t>
      </w:r>
    </w:p>
    <w:p w14:paraId="742DCC41" w14:textId="77777777" w:rsidR="00175448" w:rsidRPr="00FE09FB" w:rsidRDefault="00175448" w:rsidP="00F66D2A">
      <w:pPr>
        <w:pStyle w:val="Recommendation4"/>
        <w:numPr>
          <w:ilvl w:val="0"/>
          <w:numId w:val="34"/>
        </w:numPr>
        <w:spacing w:after="0"/>
        <w:rPr>
          <w:sz w:val="20"/>
        </w:rPr>
      </w:pPr>
      <w:r w:rsidRPr="00FE09FB">
        <w:rPr>
          <w:sz w:val="20"/>
        </w:rPr>
        <w:t>cultural responsiveness</w:t>
      </w:r>
    </w:p>
    <w:p w14:paraId="1C01C417" w14:textId="77777777" w:rsidR="00175448" w:rsidRPr="00FE09FB" w:rsidRDefault="00175448" w:rsidP="00F66D2A">
      <w:pPr>
        <w:pStyle w:val="Recommendation4"/>
        <w:numPr>
          <w:ilvl w:val="0"/>
          <w:numId w:val="34"/>
        </w:numPr>
        <w:spacing w:after="0"/>
        <w:rPr>
          <w:sz w:val="20"/>
        </w:rPr>
      </w:pPr>
      <w:r w:rsidRPr="00FE09FB">
        <w:rPr>
          <w:sz w:val="20"/>
        </w:rPr>
        <w:t xml:space="preserve">supporting diverse learners and students with disability </w:t>
      </w:r>
    </w:p>
    <w:p w14:paraId="0ACC5E2E" w14:textId="77777777" w:rsidR="00175448" w:rsidRDefault="00175448" w:rsidP="00F66D2A">
      <w:pPr>
        <w:pStyle w:val="Recommendation4"/>
        <w:numPr>
          <w:ilvl w:val="0"/>
          <w:numId w:val="34"/>
        </w:numPr>
        <w:spacing w:after="0"/>
        <w:rPr>
          <w:sz w:val="20"/>
        </w:rPr>
      </w:pPr>
      <w:r w:rsidRPr="00FE09FB">
        <w:rPr>
          <w:sz w:val="20"/>
        </w:rPr>
        <w:t>working with families/carers.</w:t>
      </w:r>
    </w:p>
    <w:p w14:paraId="77DE6EB3" w14:textId="77777777" w:rsidR="00D12409" w:rsidRPr="006F0C8C" w:rsidRDefault="00D12409" w:rsidP="00AB6989">
      <w:pPr>
        <w:pStyle w:val="ListParagraph"/>
        <w:spacing w:after="0"/>
        <w:ind w:left="360"/>
      </w:pPr>
    </w:p>
    <w:p w14:paraId="7529A0B7" w14:textId="1D12B113" w:rsidR="007954AA" w:rsidRPr="00865A4E" w:rsidRDefault="007954AA" w:rsidP="00370D71">
      <w:pPr>
        <w:pStyle w:val="Recommendation4"/>
        <w:keepNext/>
        <w:spacing w:after="0"/>
        <w:rPr>
          <w:b/>
          <w:sz w:val="20"/>
        </w:rPr>
      </w:pPr>
      <w:r w:rsidRPr="002906FB">
        <w:rPr>
          <w:b/>
          <w:sz w:val="20"/>
        </w:rPr>
        <w:t xml:space="preserve">Recommendation </w:t>
      </w:r>
      <w:r w:rsidR="005A7803" w:rsidRPr="00AC1CE1">
        <w:rPr>
          <w:b/>
          <w:sz w:val="20"/>
        </w:rPr>
        <w:t>8</w:t>
      </w:r>
      <w:r w:rsidR="003C24F8" w:rsidRPr="00E31471">
        <w:rPr>
          <w:b/>
          <w:sz w:val="20"/>
        </w:rPr>
        <w:t>.</w:t>
      </w:r>
      <w:r w:rsidRPr="00DE343C">
        <w:rPr>
          <w:b/>
          <w:sz w:val="20"/>
        </w:rPr>
        <w:t xml:space="preserve"> Reward good per</w:t>
      </w:r>
      <w:r w:rsidRPr="009827B6">
        <w:rPr>
          <w:b/>
          <w:sz w:val="20"/>
        </w:rPr>
        <w:t xml:space="preserve">formance </w:t>
      </w:r>
    </w:p>
    <w:p w14:paraId="59078903" w14:textId="77777777" w:rsidR="007954AA" w:rsidRPr="00865A4E" w:rsidRDefault="007954AA" w:rsidP="00370D71">
      <w:pPr>
        <w:pStyle w:val="Recommendation4"/>
        <w:keepNext/>
        <w:spacing w:after="0"/>
        <w:rPr>
          <w:sz w:val="20"/>
        </w:rPr>
      </w:pPr>
      <w:r w:rsidRPr="00865A4E">
        <w:rPr>
          <w:sz w:val="20"/>
        </w:rPr>
        <w:t>Establish a fund to:</w:t>
      </w:r>
    </w:p>
    <w:p w14:paraId="11200DBC" w14:textId="2414E4C1" w:rsidR="007954AA" w:rsidRPr="00865A4E" w:rsidRDefault="007954AA" w:rsidP="00430815">
      <w:pPr>
        <w:pStyle w:val="Recommendation4"/>
        <w:numPr>
          <w:ilvl w:val="0"/>
          <w:numId w:val="50"/>
        </w:numPr>
        <w:spacing w:after="0"/>
        <w:rPr>
          <w:sz w:val="20"/>
        </w:rPr>
      </w:pPr>
      <w:r w:rsidRPr="00865A4E">
        <w:rPr>
          <w:sz w:val="20"/>
        </w:rPr>
        <w:t>reward good performance of schools, groups of schools, systems, employers and higher education providers, with a focus on rewarding those that use evidence-based approaches to the teaching of reading</w:t>
      </w:r>
    </w:p>
    <w:p w14:paraId="15BBB061" w14:textId="29267B4C" w:rsidR="007954AA" w:rsidRPr="00865A4E" w:rsidRDefault="007954AA" w:rsidP="00430815">
      <w:pPr>
        <w:pStyle w:val="Recommendation4"/>
        <w:numPr>
          <w:ilvl w:val="0"/>
          <w:numId w:val="50"/>
        </w:numPr>
        <w:spacing w:after="0"/>
        <w:rPr>
          <w:sz w:val="20"/>
        </w:rPr>
      </w:pPr>
      <w:r w:rsidRPr="00865A4E">
        <w:rPr>
          <w:sz w:val="20"/>
        </w:rPr>
        <w:t>support innovation in the delivery of evidence-based approaches.</w:t>
      </w:r>
    </w:p>
    <w:p w14:paraId="5B87EBF1" w14:textId="77777777" w:rsidR="006F7222" w:rsidRPr="006F0C8C" w:rsidRDefault="006F7222" w:rsidP="00D12409">
      <w:pPr>
        <w:spacing w:after="0"/>
        <w:rPr>
          <w:rFonts w:eastAsiaTheme="minorEastAsia"/>
        </w:rPr>
      </w:pPr>
    </w:p>
    <w:p w14:paraId="3E57773B" w14:textId="14E71895" w:rsidR="00D12409" w:rsidRPr="00E63952" w:rsidRDefault="00D12409" w:rsidP="00D12409">
      <w:r w:rsidRPr="00E63952">
        <w:t>Supporting</w:t>
      </w:r>
      <w:r w:rsidRPr="00E63952" w:rsidDel="004B4A15">
        <w:t xml:space="preserve"> </w:t>
      </w:r>
      <w:r w:rsidR="004B4A15">
        <w:t>families</w:t>
      </w:r>
      <w:r w:rsidRPr="00E63952">
        <w:t xml:space="preserve"> and carers to be engaged in their child’s learning could assist graduate teachers to develop their skills in engaging with </w:t>
      </w:r>
      <w:r w:rsidR="003A7CA4">
        <w:t>families and carers</w:t>
      </w:r>
      <w:r w:rsidRPr="00E63952">
        <w:t xml:space="preserve">. Ensuring ITE students are properly equipped to teach reading, for example, could be accompanied by support for </w:t>
      </w:r>
      <w:r w:rsidR="003A7CA4">
        <w:t>families</w:t>
      </w:r>
      <w:r w:rsidR="003A7CA4" w:rsidRPr="00E63952">
        <w:t xml:space="preserve"> </w:t>
      </w:r>
      <w:r w:rsidRPr="00E63952">
        <w:t xml:space="preserve">and carers so that they better understand the process of teaching reading and can ask the right questions to support their children. Reinvigorating the </w:t>
      </w:r>
      <w:r w:rsidR="00E848CA">
        <w:t xml:space="preserve">Australian Government’s </w:t>
      </w:r>
      <w:r w:rsidRPr="00E63952">
        <w:t xml:space="preserve">Learning Potential resources </w:t>
      </w:r>
      <w:r w:rsidR="00F62CA7">
        <w:t xml:space="preserve">for families and </w:t>
      </w:r>
      <w:r w:rsidR="00CD55EC">
        <w:t>carers</w:t>
      </w:r>
      <w:r w:rsidRPr="00E63952">
        <w:t xml:space="preserve"> would be an effective way to provide this support. </w:t>
      </w:r>
    </w:p>
    <w:p w14:paraId="3F7CA189" w14:textId="35385F38" w:rsidR="003A095E" w:rsidRPr="00865A4E" w:rsidRDefault="003A095E" w:rsidP="00370D71">
      <w:pPr>
        <w:pStyle w:val="Recommendation4"/>
        <w:spacing w:after="0"/>
        <w:rPr>
          <w:b/>
          <w:sz w:val="20"/>
        </w:rPr>
      </w:pPr>
      <w:r w:rsidRPr="002906FB">
        <w:rPr>
          <w:b/>
          <w:sz w:val="20"/>
        </w:rPr>
        <w:t xml:space="preserve">Recommendation </w:t>
      </w:r>
      <w:r w:rsidR="005C439B" w:rsidRPr="00AC1CE1">
        <w:rPr>
          <w:b/>
          <w:sz w:val="20"/>
        </w:rPr>
        <w:t>9</w:t>
      </w:r>
      <w:r w:rsidR="005A7803" w:rsidRPr="00E31471">
        <w:rPr>
          <w:b/>
          <w:sz w:val="20"/>
        </w:rPr>
        <w:t>.</w:t>
      </w:r>
      <w:r w:rsidRPr="00DE343C">
        <w:rPr>
          <w:b/>
          <w:sz w:val="20"/>
        </w:rPr>
        <w:t xml:space="preserve"> Support </w:t>
      </w:r>
      <w:r w:rsidR="003A7CA4" w:rsidRPr="009827B6">
        <w:rPr>
          <w:b/>
          <w:sz w:val="20"/>
        </w:rPr>
        <w:t>families and car</w:t>
      </w:r>
      <w:r w:rsidR="003A7CA4" w:rsidRPr="00865A4E">
        <w:rPr>
          <w:b/>
          <w:sz w:val="20"/>
        </w:rPr>
        <w:t xml:space="preserve">ers </w:t>
      </w:r>
      <w:r w:rsidRPr="00865A4E">
        <w:rPr>
          <w:b/>
          <w:sz w:val="20"/>
        </w:rPr>
        <w:t>to engage with teachers</w:t>
      </w:r>
    </w:p>
    <w:p w14:paraId="71B14BB6" w14:textId="70CF47A5" w:rsidR="001377D8" w:rsidRPr="00865A4E" w:rsidRDefault="00EC30D1" w:rsidP="004C13B1">
      <w:pPr>
        <w:pStyle w:val="Recommendation4"/>
        <w:spacing w:after="0"/>
        <w:rPr>
          <w:sz w:val="20"/>
        </w:rPr>
      </w:pPr>
      <w:r w:rsidRPr="00865A4E">
        <w:rPr>
          <w:sz w:val="20"/>
        </w:rPr>
        <w:t>Assist</w:t>
      </w:r>
      <w:r w:rsidRPr="00865A4E" w:rsidDel="003A7CA4">
        <w:rPr>
          <w:sz w:val="20"/>
        </w:rPr>
        <w:t xml:space="preserve"> </w:t>
      </w:r>
      <w:r w:rsidR="003A7CA4" w:rsidRPr="00865A4E">
        <w:rPr>
          <w:sz w:val="20"/>
        </w:rPr>
        <w:t>families and carers</w:t>
      </w:r>
      <w:r w:rsidRPr="00865A4E">
        <w:rPr>
          <w:sz w:val="20"/>
        </w:rPr>
        <w:t xml:space="preserve"> to engage with teachers about their child’s learning, particularly in relation to reading, through reinvigorating the existing Learning Potential platform and ensuring it is accessible for all </w:t>
      </w:r>
      <w:r w:rsidR="003A7CA4" w:rsidRPr="00865A4E">
        <w:rPr>
          <w:sz w:val="20"/>
        </w:rPr>
        <w:t>families and carers</w:t>
      </w:r>
      <w:r w:rsidR="00D12409" w:rsidRPr="00865A4E">
        <w:rPr>
          <w:sz w:val="20"/>
        </w:rPr>
        <w:t>.</w:t>
      </w:r>
    </w:p>
    <w:p w14:paraId="0E2F0B90" w14:textId="140454F5" w:rsidR="00EC30D1" w:rsidRDefault="000D4C7C">
      <w:pPr>
        <w:spacing w:after="0" w:line="240" w:lineRule="auto"/>
      </w:pPr>
      <w:r>
        <w:br w:type="page"/>
      </w:r>
    </w:p>
    <w:p w14:paraId="5AF011A4" w14:textId="22CC2EE0" w:rsidR="00D12409" w:rsidRDefault="00D12409" w:rsidP="00D12409">
      <w:pPr>
        <w:pStyle w:val="Heading2"/>
        <w:ind w:left="794" w:hanging="794"/>
      </w:pPr>
      <w:bookmarkStart w:id="39" w:name="_Toc86138407"/>
      <w:bookmarkStart w:id="40" w:name="_Toc86141311"/>
      <w:bookmarkStart w:id="41" w:name="_Toc91160202"/>
      <w:r>
        <w:lastRenderedPageBreak/>
        <w:t>Chapter 4: Assessing Classroom Readiness</w:t>
      </w:r>
      <w:bookmarkEnd w:id="39"/>
      <w:bookmarkEnd w:id="40"/>
      <w:bookmarkEnd w:id="41"/>
    </w:p>
    <w:p w14:paraId="0C0905DE" w14:textId="7471F25C" w:rsidR="00082C82" w:rsidRDefault="00082C82" w:rsidP="00082C82">
      <w:pPr>
        <w:pStyle w:val="Keypoints"/>
      </w:pPr>
      <w:r>
        <w:t>Key points</w:t>
      </w:r>
    </w:p>
    <w:p w14:paraId="66D8ED5C" w14:textId="148330CD" w:rsidR="0005496E" w:rsidRPr="00975C33" w:rsidRDefault="00F01FD0" w:rsidP="00F66D2A">
      <w:pPr>
        <w:pStyle w:val="Keypoints"/>
        <w:numPr>
          <w:ilvl w:val="0"/>
          <w:numId w:val="20"/>
        </w:numPr>
        <w:spacing w:before="240" w:after="0"/>
        <w:rPr>
          <w:b w:val="0"/>
        </w:rPr>
      </w:pPr>
      <w:r>
        <w:rPr>
          <w:b w:val="0"/>
          <w:bCs/>
        </w:rPr>
        <w:t xml:space="preserve">The introduction of </w:t>
      </w:r>
      <w:r w:rsidR="00C8344B">
        <w:rPr>
          <w:b w:val="0"/>
          <w:bCs/>
        </w:rPr>
        <w:t>Teaching</w:t>
      </w:r>
      <w:r w:rsidR="00964EB5">
        <w:rPr>
          <w:b w:val="0"/>
          <w:bCs/>
        </w:rPr>
        <w:t xml:space="preserve"> Performance Assessments</w:t>
      </w:r>
      <w:r w:rsidR="00C8344B">
        <w:rPr>
          <w:b w:val="0"/>
          <w:bCs/>
        </w:rPr>
        <w:t xml:space="preserve"> (TPAs)</w:t>
      </w:r>
      <w:r w:rsidR="00964EB5">
        <w:rPr>
          <w:b w:val="0"/>
          <w:bCs/>
        </w:rPr>
        <w:t xml:space="preserve"> </w:t>
      </w:r>
      <w:r>
        <w:rPr>
          <w:b w:val="0"/>
          <w:bCs/>
        </w:rPr>
        <w:t xml:space="preserve">is one of the most significant outcomes of </w:t>
      </w:r>
      <w:r w:rsidR="00F47D8D">
        <w:rPr>
          <w:b w:val="0"/>
          <w:bCs/>
        </w:rPr>
        <w:t>the Teacher</w:t>
      </w:r>
      <w:r w:rsidR="00AF0A6C">
        <w:rPr>
          <w:b w:val="0"/>
          <w:bCs/>
        </w:rPr>
        <w:t xml:space="preserve"> Education Ministerial Advisory Group</w:t>
      </w:r>
      <w:r w:rsidR="006D2160">
        <w:rPr>
          <w:b w:val="0"/>
          <w:bCs/>
        </w:rPr>
        <w:t xml:space="preserve"> </w:t>
      </w:r>
      <w:r w:rsidR="00C7782D">
        <w:rPr>
          <w:b w:val="0"/>
          <w:bCs/>
        </w:rPr>
        <w:t>Review</w:t>
      </w:r>
      <w:r w:rsidR="006D2160">
        <w:rPr>
          <w:b w:val="0"/>
          <w:bCs/>
        </w:rPr>
        <w:t xml:space="preserve"> and is an important way to assess whether </w:t>
      </w:r>
      <w:r w:rsidR="00DB3449">
        <w:rPr>
          <w:b w:val="0"/>
          <w:bCs/>
        </w:rPr>
        <w:t>initial teacher education</w:t>
      </w:r>
      <w:r w:rsidR="006D2160">
        <w:rPr>
          <w:b w:val="0"/>
          <w:bCs/>
        </w:rPr>
        <w:t xml:space="preserve"> </w:t>
      </w:r>
      <w:r w:rsidR="00DB3449">
        <w:rPr>
          <w:b w:val="0"/>
          <w:bCs/>
        </w:rPr>
        <w:t>(</w:t>
      </w:r>
      <w:r w:rsidR="006D2160">
        <w:rPr>
          <w:b w:val="0"/>
          <w:bCs/>
        </w:rPr>
        <w:t>ITE</w:t>
      </w:r>
      <w:r w:rsidR="00DB3449">
        <w:rPr>
          <w:b w:val="0"/>
          <w:bCs/>
        </w:rPr>
        <w:t>)</w:t>
      </w:r>
      <w:r w:rsidR="006D2160">
        <w:rPr>
          <w:b w:val="0"/>
          <w:bCs/>
        </w:rPr>
        <w:t xml:space="preserve"> graduates are classroom</w:t>
      </w:r>
      <w:r w:rsidR="00BE20D7">
        <w:rPr>
          <w:b w:val="0"/>
          <w:bCs/>
        </w:rPr>
        <w:t xml:space="preserve"> </w:t>
      </w:r>
      <w:r w:rsidR="006D2160">
        <w:rPr>
          <w:b w:val="0"/>
          <w:bCs/>
        </w:rPr>
        <w:t>ready</w:t>
      </w:r>
      <w:r w:rsidR="00D43686">
        <w:rPr>
          <w:b w:val="0"/>
          <w:bCs/>
        </w:rPr>
        <w:t>.</w:t>
      </w:r>
    </w:p>
    <w:p w14:paraId="093B867C" w14:textId="13CF39D2" w:rsidR="00E56DA0" w:rsidRDefault="00020763" w:rsidP="00F66D2A">
      <w:pPr>
        <w:pStyle w:val="Keypoints"/>
        <w:numPr>
          <w:ilvl w:val="0"/>
          <w:numId w:val="20"/>
        </w:numPr>
        <w:spacing w:before="240" w:after="0"/>
        <w:rPr>
          <w:b w:val="0"/>
          <w:bCs/>
        </w:rPr>
      </w:pPr>
      <w:r>
        <w:rPr>
          <w:b w:val="0"/>
          <w:bCs/>
        </w:rPr>
        <w:t xml:space="preserve">As the </w:t>
      </w:r>
      <w:r w:rsidRPr="00A37130">
        <w:rPr>
          <w:rFonts w:eastAsia="Times New Roman"/>
          <w:b w:val="0"/>
          <w:i/>
        </w:rPr>
        <w:t xml:space="preserve">Accreditation </w:t>
      </w:r>
      <w:r w:rsidR="00C078FE" w:rsidRPr="00A37130">
        <w:rPr>
          <w:rFonts w:eastAsia="Times New Roman"/>
          <w:b w:val="0"/>
          <w:bCs/>
          <w:i/>
          <w:iCs/>
        </w:rPr>
        <w:t>of Initial Teacher Education Programs in Australia: Standards and Procedures</w:t>
      </w:r>
      <w:r w:rsidR="00C078FE">
        <w:rPr>
          <w:rFonts w:eastAsia="Times New Roman"/>
        </w:rPr>
        <w:t xml:space="preserve"> </w:t>
      </w:r>
      <w:r w:rsidRPr="00020763">
        <w:rPr>
          <w:b w:val="0"/>
          <w:bCs/>
        </w:rPr>
        <w:t xml:space="preserve">do not explicitly require cross-institutional moderation </w:t>
      </w:r>
      <w:r w:rsidR="00CF029C">
        <w:rPr>
          <w:b w:val="0"/>
          <w:bCs/>
        </w:rPr>
        <w:t xml:space="preserve">of TPAs, </w:t>
      </w:r>
      <w:r w:rsidR="00507909">
        <w:rPr>
          <w:b w:val="0"/>
          <w:bCs/>
        </w:rPr>
        <w:t xml:space="preserve">the </w:t>
      </w:r>
      <w:r w:rsidR="0051502D" w:rsidRPr="0051502D">
        <w:rPr>
          <w:b w:val="0"/>
          <w:bCs/>
        </w:rPr>
        <w:t xml:space="preserve">standards are </w:t>
      </w:r>
      <w:r w:rsidR="00507909">
        <w:rPr>
          <w:b w:val="0"/>
          <w:bCs/>
        </w:rPr>
        <w:t>likely to vary</w:t>
      </w:r>
      <w:r w:rsidR="0051502D" w:rsidRPr="0051502D">
        <w:rPr>
          <w:b w:val="0"/>
          <w:bCs/>
        </w:rPr>
        <w:t xml:space="preserve"> across programs and higher education providers</w:t>
      </w:r>
      <w:r w:rsidR="00507909">
        <w:rPr>
          <w:b w:val="0"/>
          <w:bCs/>
        </w:rPr>
        <w:t>.</w:t>
      </w:r>
    </w:p>
    <w:p w14:paraId="365898F7" w14:textId="7415D3C2" w:rsidR="005C3ABB" w:rsidRDefault="00A90E0C" w:rsidP="00F66D2A">
      <w:pPr>
        <w:pStyle w:val="Keypoints"/>
        <w:numPr>
          <w:ilvl w:val="0"/>
          <w:numId w:val="20"/>
        </w:numPr>
        <w:spacing w:before="240" w:after="0"/>
        <w:rPr>
          <w:b w:val="0"/>
          <w:bCs/>
        </w:rPr>
      </w:pPr>
      <w:r>
        <w:rPr>
          <w:b w:val="0"/>
          <w:bCs/>
        </w:rPr>
        <w:t xml:space="preserve">In addition </w:t>
      </w:r>
      <w:r w:rsidR="0042329F">
        <w:rPr>
          <w:b w:val="0"/>
          <w:bCs/>
        </w:rPr>
        <w:t xml:space="preserve">to </w:t>
      </w:r>
      <w:r w:rsidR="009703BB">
        <w:rPr>
          <w:b w:val="0"/>
          <w:bCs/>
        </w:rPr>
        <w:t>TPAs,</w:t>
      </w:r>
      <w:r w:rsidR="00EE60F6">
        <w:rPr>
          <w:b w:val="0"/>
          <w:bCs/>
        </w:rPr>
        <w:t xml:space="preserve"> successful completion of</w:t>
      </w:r>
      <w:r w:rsidR="009703BB">
        <w:rPr>
          <w:b w:val="0"/>
          <w:bCs/>
        </w:rPr>
        <w:t xml:space="preserve"> professional experience and </w:t>
      </w:r>
      <w:r w:rsidR="005146F6">
        <w:rPr>
          <w:b w:val="0"/>
          <w:bCs/>
        </w:rPr>
        <w:t xml:space="preserve">the Literacy and Numeracy </w:t>
      </w:r>
      <w:r w:rsidR="00463A05">
        <w:rPr>
          <w:b w:val="0"/>
          <w:bCs/>
        </w:rPr>
        <w:t>Test for Initial Teacher Education (</w:t>
      </w:r>
      <w:r w:rsidR="009703BB">
        <w:rPr>
          <w:b w:val="0"/>
          <w:bCs/>
        </w:rPr>
        <w:t>LANTITE</w:t>
      </w:r>
      <w:r w:rsidR="00463A05">
        <w:rPr>
          <w:b w:val="0"/>
          <w:bCs/>
        </w:rPr>
        <w:t>)</w:t>
      </w:r>
      <w:r w:rsidR="009703BB">
        <w:rPr>
          <w:b w:val="0"/>
          <w:bCs/>
        </w:rPr>
        <w:t xml:space="preserve"> are significant </w:t>
      </w:r>
      <w:r w:rsidR="005C2D9E">
        <w:rPr>
          <w:b w:val="0"/>
          <w:bCs/>
        </w:rPr>
        <w:t xml:space="preserve">milestones </w:t>
      </w:r>
      <w:r w:rsidR="00EE60F6">
        <w:rPr>
          <w:b w:val="0"/>
          <w:bCs/>
        </w:rPr>
        <w:t>for ensuring</w:t>
      </w:r>
      <w:r w:rsidR="009E79E0">
        <w:rPr>
          <w:b w:val="0"/>
          <w:bCs/>
        </w:rPr>
        <w:t xml:space="preserve"> </w:t>
      </w:r>
      <w:r w:rsidR="00EE60F6">
        <w:rPr>
          <w:b w:val="0"/>
          <w:bCs/>
        </w:rPr>
        <w:t>ITE graduates are classroom</w:t>
      </w:r>
      <w:r w:rsidR="00B8152C">
        <w:rPr>
          <w:b w:val="0"/>
          <w:bCs/>
        </w:rPr>
        <w:t xml:space="preserve"> </w:t>
      </w:r>
      <w:r w:rsidR="00EE60F6">
        <w:rPr>
          <w:b w:val="0"/>
          <w:bCs/>
        </w:rPr>
        <w:t>ready.</w:t>
      </w:r>
    </w:p>
    <w:p w14:paraId="1D060436" w14:textId="546B6E12" w:rsidR="00B65E5B" w:rsidRDefault="002D5DF4" w:rsidP="00F66D2A">
      <w:pPr>
        <w:pStyle w:val="Keypoints"/>
        <w:numPr>
          <w:ilvl w:val="0"/>
          <w:numId w:val="20"/>
        </w:numPr>
        <w:spacing w:before="240" w:after="0"/>
        <w:rPr>
          <w:b w:val="0"/>
          <w:bCs/>
        </w:rPr>
      </w:pPr>
      <w:r>
        <w:rPr>
          <w:b w:val="0"/>
          <w:bCs/>
        </w:rPr>
        <w:t>T</w:t>
      </w:r>
      <w:r w:rsidR="00EE60F6">
        <w:rPr>
          <w:b w:val="0"/>
          <w:bCs/>
        </w:rPr>
        <w:t>he length and timing of professional experiences days var</w:t>
      </w:r>
      <w:r w:rsidR="00E87D03">
        <w:rPr>
          <w:b w:val="0"/>
          <w:bCs/>
        </w:rPr>
        <w:t>ies</w:t>
      </w:r>
      <w:r w:rsidR="00EE60F6">
        <w:rPr>
          <w:b w:val="0"/>
          <w:bCs/>
        </w:rPr>
        <w:t xml:space="preserve"> between higher education providers, </w:t>
      </w:r>
      <w:r w:rsidR="00853DCD">
        <w:rPr>
          <w:b w:val="0"/>
          <w:bCs/>
        </w:rPr>
        <w:t>and</w:t>
      </w:r>
      <w:r w:rsidR="00EE6CFC">
        <w:rPr>
          <w:b w:val="0"/>
          <w:bCs/>
        </w:rPr>
        <w:t xml:space="preserve"> there is support for earlier and longer placements. </w:t>
      </w:r>
    </w:p>
    <w:p w14:paraId="04ED0537" w14:textId="3E0B5B14" w:rsidR="00EE6CFC" w:rsidRDefault="002F4767" w:rsidP="00F66D2A">
      <w:pPr>
        <w:pStyle w:val="Keypoints"/>
        <w:numPr>
          <w:ilvl w:val="0"/>
          <w:numId w:val="20"/>
        </w:numPr>
        <w:spacing w:before="240" w:after="0"/>
        <w:rPr>
          <w:b w:val="0"/>
          <w:bCs/>
        </w:rPr>
      </w:pPr>
      <w:r>
        <w:rPr>
          <w:b w:val="0"/>
          <w:bCs/>
        </w:rPr>
        <w:t>While stakeholders</w:t>
      </w:r>
      <w:r w:rsidR="00CC502D" w:rsidRPr="00CC502D">
        <w:rPr>
          <w:b w:val="0"/>
          <w:bCs/>
        </w:rPr>
        <w:t xml:space="preserve"> support mandating LANTITE as a pre-requisite for entry into ITE</w:t>
      </w:r>
      <w:r w:rsidR="00CC502D">
        <w:rPr>
          <w:b w:val="0"/>
          <w:bCs/>
        </w:rPr>
        <w:t xml:space="preserve">, there are </w:t>
      </w:r>
      <w:r w:rsidR="00C23BFE">
        <w:rPr>
          <w:b w:val="0"/>
          <w:bCs/>
        </w:rPr>
        <w:t xml:space="preserve">also </w:t>
      </w:r>
      <w:r w:rsidR="00CC502D">
        <w:rPr>
          <w:b w:val="0"/>
          <w:bCs/>
        </w:rPr>
        <w:t xml:space="preserve">concerns that </w:t>
      </w:r>
      <w:r w:rsidR="00B14AEA">
        <w:rPr>
          <w:b w:val="0"/>
          <w:bCs/>
        </w:rPr>
        <w:t>some cohorts</w:t>
      </w:r>
      <w:r w:rsidR="0024137A">
        <w:rPr>
          <w:b w:val="0"/>
          <w:bCs/>
        </w:rPr>
        <w:t xml:space="preserve"> </w:t>
      </w:r>
      <w:r w:rsidR="00B74271">
        <w:rPr>
          <w:b w:val="0"/>
          <w:bCs/>
        </w:rPr>
        <w:t>would be</w:t>
      </w:r>
      <w:r w:rsidR="0024137A">
        <w:rPr>
          <w:b w:val="0"/>
          <w:bCs/>
        </w:rPr>
        <w:t xml:space="preserve"> disadvantaged</w:t>
      </w:r>
      <w:r w:rsidR="00B14AEA">
        <w:rPr>
          <w:b w:val="0"/>
          <w:bCs/>
        </w:rPr>
        <w:t xml:space="preserve">. </w:t>
      </w:r>
    </w:p>
    <w:p w14:paraId="6547D139" w14:textId="604AD4BD" w:rsidR="00FE1A85" w:rsidRDefault="00FE1A85" w:rsidP="00370D71">
      <w:pPr>
        <w:spacing w:after="0"/>
      </w:pPr>
    </w:p>
    <w:p w14:paraId="46E1B325" w14:textId="71BE27BE" w:rsidR="00D12409" w:rsidRDefault="00D12409" w:rsidP="00D12409">
      <w:pPr>
        <w:pStyle w:val="Heading3"/>
        <w:ind w:left="1021" w:hanging="1021"/>
      </w:pPr>
      <w:r>
        <w:t>Current Context</w:t>
      </w:r>
    </w:p>
    <w:p w14:paraId="5BA261DD" w14:textId="41952288" w:rsidR="00D12409" w:rsidRDefault="00D12409" w:rsidP="00D12409">
      <w:pPr>
        <w:rPr>
          <w:rFonts w:eastAsia="Times New Roman"/>
        </w:rPr>
      </w:pPr>
      <w:r>
        <w:rPr>
          <w:rFonts w:eastAsia="Times New Roman"/>
        </w:rPr>
        <w:t>The need to ensure ITE graduates are classroom</w:t>
      </w:r>
      <w:r w:rsidR="00B8152C">
        <w:rPr>
          <w:rFonts w:eastAsia="Times New Roman"/>
        </w:rPr>
        <w:t xml:space="preserve"> </w:t>
      </w:r>
      <w:r>
        <w:rPr>
          <w:rFonts w:eastAsia="Times New Roman"/>
        </w:rPr>
        <w:t xml:space="preserve">ready was a key focus of the reforms. </w:t>
      </w:r>
      <w:r w:rsidR="00966680">
        <w:rPr>
          <w:rFonts w:eastAsia="Times New Roman"/>
        </w:rPr>
        <w:t xml:space="preserve">The </w:t>
      </w:r>
      <w:r>
        <w:rPr>
          <w:rFonts w:eastAsia="Times New Roman"/>
        </w:rPr>
        <w:t xml:space="preserve">TEMAG </w:t>
      </w:r>
      <w:r w:rsidR="00851263">
        <w:rPr>
          <w:rFonts w:eastAsia="Times New Roman"/>
        </w:rPr>
        <w:t>Review</w:t>
      </w:r>
      <w:r>
        <w:rPr>
          <w:rFonts w:eastAsia="Times New Roman"/>
        </w:rPr>
        <w:t xml:space="preserve"> found that ‘consistent and transparent graduate assessment against an agreed benchmark is a key feature of profession entry requirements both internationally and in comparable professions in </w:t>
      </w:r>
      <w:r w:rsidRPr="00EE12D8">
        <w:rPr>
          <w:rFonts w:eastAsia="Times New Roman"/>
        </w:rPr>
        <w:t>Australia’ (TEMAG 2014).</w:t>
      </w:r>
      <w:r>
        <w:rPr>
          <w:rFonts w:eastAsia="Times New Roman"/>
        </w:rPr>
        <w:t xml:space="preserve"> </w:t>
      </w:r>
    </w:p>
    <w:p w14:paraId="7F9149CD" w14:textId="0ED3AB60" w:rsidR="00D12409" w:rsidRDefault="00851263" w:rsidP="00D12409">
      <w:pPr>
        <w:rPr>
          <w:rFonts w:eastAsia="Times New Roman"/>
        </w:rPr>
      </w:pPr>
      <w:r>
        <w:rPr>
          <w:rFonts w:eastAsia="Times New Roman"/>
        </w:rPr>
        <w:t xml:space="preserve">The </w:t>
      </w:r>
      <w:r w:rsidR="00D12409">
        <w:rPr>
          <w:rFonts w:eastAsia="Times New Roman"/>
        </w:rPr>
        <w:t xml:space="preserve">TEMAG </w:t>
      </w:r>
      <w:r>
        <w:rPr>
          <w:rFonts w:eastAsia="Times New Roman"/>
        </w:rPr>
        <w:t>Review</w:t>
      </w:r>
      <w:r w:rsidR="00D12409">
        <w:rPr>
          <w:rFonts w:eastAsia="Times New Roman"/>
        </w:rPr>
        <w:t xml:space="preserve"> recommended that higher education providers assess all </w:t>
      </w:r>
      <w:r w:rsidR="00466A90">
        <w:rPr>
          <w:rFonts w:eastAsia="Times New Roman"/>
        </w:rPr>
        <w:t>ITE students</w:t>
      </w:r>
      <w:r w:rsidR="00D12409">
        <w:rPr>
          <w:rFonts w:eastAsia="Times New Roman"/>
        </w:rPr>
        <w:t xml:space="preserve"> against the Graduate</w:t>
      </w:r>
      <w:r w:rsidR="0033330A">
        <w:rPr>
          <w:rFonts w:eastAsia="Times New Roman"/>
        </w:rPr>
        <w:t xml:space="preserve"> level of the</w:t>
      </w:r>
      <w:r w:rsidR="00D12409">
        <w:rPr>
          <w:rFonts w:eastAsia="Times New Roman"/>
        </w:rPr>
        <w:t xml:space="preserve"> Teacher Standards through the development of a national assessment framework to support providers and schools to consistently assess the classroom readiness of </w:t>
      </w:r>
      <w:r w:rsidR="005E2192">
        <w:rPr>
          <w:rFonts w:eastAsia="Times New Roman"/>
        </w:rPr>
        <w:t>ITE students</w:t>
      </w:r>
      <w:r w:rsidR="00D12409">
        <w:rPr>
          <w:rFonts w:eastAsia="Times New Roman"/>
        </w:rPr>
        <w:t xml:space="preserve"> (TEMAG 2014).</w:t>
      </w:r>
    </w:p>
    <w:p w14:paraId="03C93A9B" w14:textId="28A8D7E3" w:rsidR="00D12409" w:rsidRDefault="00D12409" w:rsidP="00D12409">
      <w:pPr>
        <w:rPr>
          <w:rFonts w:eastAsia="Times New Roman"/>
        </w:rPr>
      </w:pPr>
      <w:r>
        <w:rPr>
          <w:rFonts w:eastAsia="Times New Roman"/>
        </w:rPr>
        <w:t>In response, the Accreditation Standards were changed to include specific requirements for the assessment of graduate teachers against the Graduate</w:t>
      </w:r>
      <w:r w:rsidR="0033330A">
        <w:rPr>
          <w:rFonts w:eastAsia="Times New Roman"/>
        </w:rPr>
        <w:t xml:space="preserve"> level of the</w:t>
      </w:r>
      <w:r>
        <w:rPr>
          <w:rFonts w:eastAsia="Times New Roman"/>
        </w:rPr>
        <w:t xml:space="preserve"> Teacher Standards. All ITE programs must have a capstone assessment, or</w:t>
      </w:r>
      <w:r w:rsidR="0033330A">
        <w:rPr>
          <w:rFonts w:eastAsia="Times New Roman"/>
        </w:rPr>
        <w:t xml:space="preserve"> </w:t>
      </w:r>
      <w:r>
        <w:rPr>
          <w:rFonts w:eastAsia="Times New Roman"/>
        </w:rPr>
        <w:t xml:space="preserve">TPA in place to assess the practical skills and knowledge of </w:t>
      </w:r>
      <w:r w:rsidR="005E2192">
        <w:rPr>
          <w:rFonts w:eastAsia="Times New Roman"/>
        </w:rPr>
        <w:t>ITE students</w:t>
      </w:r>
      <w:r>
        <w:rPr>
          <w:rFonts w:eastAsia="Times New Roman"/>
        </w:rPr>
        <w:t xml:space="preserve"> against the Graduate </w:t>
      </w:r>
      <w:r w:rsidR="0033330A">
        <w:rPr>
          <w:rFonts w:eastAsia="Times New Roman"/>
        </w:rPr>
        <w:t xml:space="preserve">level of the </w:t>
      </w:r>
      <w:r>
        <w:rPr>
          <w:rFonts w:eastAsia="Times New Roman"/>
        </w:rPr>
        <w:t>Teacher Standards in the final year of their program.</w:t>
      </w:r>
    </w:p>
    <w:p w14:paraId="59DA0CF8" w14:textId="1721898A" w:rsidR="00D12409" w:rsidRPr="00FF681D" w:rsidRDefault="00D12409" w:rsidP="00D12409">
      <w:pPr>
        <w:rPr>
          <w:rFonts w:eastAsia="Times New Roman"/>
        </w:rPr>
      </w:pPr>
      <w:r>
        <w:rPr>
          <w:rFonts w:eastAsia="Times New Roman"/>
        </w:rPr>
        <w:t>State and territory TRAs have now approved a total of 12</w:t>
      </w:r>
      <w:r w:rsidDel="004F6DA0">
        <w:rPr>
          <w:rFonts w:eastAsia="Times New Roman"/>
        </w:rPr>
        <w:t xml:space="preserve"> </w:t>
      </w:r>
      <w:r>
        <w:rPr>
          <w:rFonts w:eastAsia="Times New Roman"/>
        </w:rPr>
        <w:t xml:space="preserve">TPAs covering final year students from all </w:t>
      </w:r>
      <w:r w:rsidRPr="31B8DC71">
        <w:rPr>
          <w:rFonts w:eastAsia="Times New Roman"/>
        </w:rPr>
        <w:t>47</w:t>
      </w:r>
      <w:r>
        <w:rPr>
          <w:rFonts w:eastAsia="Times New Roman"/>
        </w:rPr>
        <w:t xml:space="preserve"> higher education providers</w:t>
      </w:r>
      <w:r w:rsidR="00305D61">
        <w:rPr>
          <w:rFonts w:eastAsia="Times New Roman"/>
        </w:rPr>
        <w:t xml:space="preserve"> of ITE</w:t>
      </w:r>
      <w:r>
        <w:rPr>
          <w:rFonts w:eastAsia="Times New Roman"/>
        </w:rPr>
        <w:t xml:space="preserve">. The development and implementation of TPAs has, however, been uneven. There have been significant delays in the approval of TPAs for some institutions, with </w:t>
      </w:r>
      <w:r w:rsidRPr="00BE1455">
        <w:rPr>
          <w:rFonts w:eastAsia="Times New Roman"/>
        </w:rPr>
        <w:t>some providers need</w:t>
      </w:r>
      <w:r w:rsidR="00894163">
        <w:rPr>
          <w:rFonts w:eastAsia="Times New Roman"/>
        </w:rPr>
        <w:t>ing</w:t>
      </w:r>
      <w:r w:rsidRPr="00BE1455">
        <w:rPr>
          <w:rFonts w:eastAsia="Times New Roman"/>
        </w:rPr>
        <w:t xml:space="preserve"> multiple attempts to have their TPA endorsed. There is also considerable variability in the approaches taken, ranging from large consortia with more than a dozen member institutions to TPAs developed within</w:t>
      </w:r>
      <w:r w:rsidRPr="00710A30">
        <w:rPr>
          <w:rFonts w:eastAsia="Times New Roman"/>
        </w:rPr>
        <w:t xml:space="preserve"> single higher education providers.</w:t>
      </w:r>
    </w:p>
    <w:p w14:paraId="193D0141" w14:textId="304A1AFE" w:rsidR="00BE1455" w:rsidRPr="00C73014" w:rsidRDefault="00D12409" w:rsidP="00B72EC2">
      <w:pPr>
        <w:pStyle w:val="paragraph"/>
        <w:spacing w:before="0" w:beforeAutospacing="0" w:after="0" w:afterAutospacing="0" w:line="276" w:lineRule="auto"/>
        <w:textAlignment w:val="baseline"/>
        <w:rPr>
          <w:rFonts w:asciiTheme="minorHAnsi" w:hAnsiTheme="minorHAnsi" w:cstheme="minorHAnsi"/>
          <w:color w:val="000000" w:themeColor="text1"/>
          <w:sz w:val="20"/>
          <w:szCs w:val="20"/>
        </w:rPr>
      </w:pPr>
      <w:r w:rsidRPr="0036605D">
        <w:rPr>
          <w:rStyle w:val="normaltextrun"/>
          <w:rFonts w:asciiTheme="minorHAnsi" w:hAnsiTheme="minorHAnsi" w:cstheme="minorHAnsi"/>
          <w:color w:val="000000" w:themeColor="text1"/>
          <w:sz w:val="20"/>
          <w:szCs w:val="20"/>
        </w:rPr>
        <w:t xml:space="preserve">In addition to requiring </w:t>
      </w:r>
      <w:r w:rsidR="001823AB">
        <w:rPr>
          <w:rStyle w:val="normaltextrun"/>
          <w:rFonts w:asciiTheme="minorHAnsi" w:hAnsiTheme="minorHAnsi" w:cstheme="minorHAnsi"/>
          <w:color w:val="000000" w:themeColor="text1"/>
          <w:sz w:val="20"/>
          <w:szCs w:val="20"/>
        </w:rPr>
        <w:t>higher education providers</w:t>
      </w:r>
      <w:r w:rsidRPr="0036605D">
        <w:rPr>
          <w:rStyle w:val="normaltextrun"/>
          <w:rFonts w:asciiTheme="minorHAnsi" w:hAnsiTheme="minorHAnsi" w:cstheme="minorHAnsi"/>
          <w:color w:val="000000" w:themeColor="text1"/>
          <w:sz w:val="20"/>
          <w:szCs w:val="20"/>
        </w:rPr>
        <w:t xml:space="preserve"> to have an endorsed TPA, the Accreditation Standards require formal partnerships, agreed in writing, for every professional experience school or site (Program Standard 5.1). </w:t>
      </w:r>
      <w:r w:rsidR="00725494" w:rsidRPr="0036605D">
        <w:rPr>
          <w:rFonts w:asciiTheme="minorHAnsi" w:hAnsiTheme="minorHAnsi" w:cstheme="minorHAnsi"/>
          <w:color w:val="000000" w:themeColor="text1"/>
          <w:sz w:val="20"/>
          <w:szCs w:val="20"/>
        </w:rPr>
        <w:t>For undergraduate programs, the minimum number of days for primary and secondary education is 80 days, while for early childhood it is 95</w:t>
      </w:r>
      <w:r w:rsidR="00482647">
        <w:rPr>
          <w:rFonts w:asciiTheme="minorHAnsi" w:hAnsiTheme="minorHAnsi" w:cstheme="minorHAnsi"/>
          <w:color w:val="000000" w:themeColor="text1"/>
          <w:sz w:val="20"/>
          <w:szCs w:val="20"/>
        </w:rPr>
        <w:t xml:space="preserve"> days</w:t>
      </w:r>
      <w:r w:rsidR="00725494" w:rsidRPr="0036605D">
        <w:rPr>
          <w:rFonts w:asciiTheme="minorHAnsi" w:hAnsiTheme="minorHAnsi" w:cstheme="minorHAnsi"/>
          <w:color w:val="000000" w:themeColor="text1"/>
          <w:sz w:val="20"/>
          <w:szCs w:val="20"/>
        </w:rPr>
        <w:t xml:space="preserve">. </w:t>
      </w:r>
      <w:r w:rsidR="00BE1455" w:rsidRPr="0036605D">
        <w:rPr>
          <w:rFonts w:asciiTheme="minorHAnsi" w:hAnsiTheme="minorHAnsi" w:cstheme="minorHAnsi"/>
          <w:color w:val="000000" w:themeColor="text1"/>
          <w:sz w:val="20"/>
          <w:szCs w:val="20"/>
        </w:rPr>
        <w:t>For postgraduate programs, the</w:t>
      </w:r>
      <w:r w:rsidR="00725494" w:rsidRPr="0036605D">
        <w:rPr>
          <w:rFonts w:asciiTheme="minorHAnsi" w:hAnsiTheme="minorHAnsi" w:cstheme="minorHAnsi"/>
          <w:color w:val="000000" w:themeColor="text1"/>
          <w:sz w:val="20"/>
          <w:szCs w:val="20"/>
        </w:rPr>
        <w:t xml:space="preserve"> minimum requirement </w:t>
      </w:r>
      <w:r w:rsidR="00BE1455" w:rsidRPr="0036605D">
        <w:rPr>
          <w:rFonts w:asciiTheme="minorHAnsi" w:hAnsiTheme="minorHAnsi" w:cstheme="minorHAnsi"/>
          <w:color w:val="000000" w:themeColor="text1"/>
          <w:sz w:val="20"/>
          <w:szCs w:val="20"/>
        </w:rPr>
        <w:t xml:space="preserve">is </w:t>
      </w:r>
      <w:r w:rsidR="00725494" w:rsidRPr="0036605D">
        <w:rPr>
          <w:rFonts w:asciiTheme="minorHAnsi" w:hAnsiTheme="minorHAnsi" w:cstheme="minorHAnsi"/>
          <w:color w:val="000000" w:themeColor="text1"/>
          <w:sz w:val="20"/>
          <w:szCs w:val="20"/>
        </w:rPr>
        <w:t>60 days with some programs offering up to 80 days of professional experience.</w:t>
      </w:r>
    </w:p>
    <w:p w14:paraId="6A666636" w14:textId="277834A5" w:rsidR="00D12409" w:rsidRDefault="00D12409" w:rsidP="00D12409">
      <w:pPr>
        <w:rPr>
          <w:rFonts w:eastAsia="Times New Roman"/>
        </w:rPr>
      </w:pPr>
      <w:r w:rsidRPr="743EF061">
        <w:rPr>
          <w:rStyle w:val="normaltextrun"/>
          <w:rFonts w:ascii="Calibri" w:hAnsi="Calibri" w:cs="Calibri"/>
        </w:rPr>
        <w:lastRenderedPageBreak/>
        <w:t xml:space="preserve">Other key requirements include ensuring that placements are as diverse as possible and providing opportunities for </w:t>
      </w:r>
      <w:r w:rsidR="00CC7B6C">
        <w:rPr>
          <w:rStyle w:val="normaltextrun"/>
          <w:rFonts w:ascii="Calibri" w:hAnsi="Calibri" w:cs="Calibri"/>
        </w:rPr>
        <w:t>ITE students</w:t>
      </w:r>
      <w:r w:rsidRPr="743EF061">
        <w:rPr>
          <w:rStyle w:val="normaltextrun"/>
          <w:rFonts w:ascii="Calibri" w:hAnsi="Calibri" w:cs="Calibri"/>
        </w:rPr>
        <w:t xml:space="preserve"> to observe and participate purposefully in a school or site as early as practicable in the program. As with other key areas of ITE programs, there is limited evidence on how these elements work in practice.</w:t>
      </w:r>
      <w:r w:rsidRPr="743EF061">
        <w:rPr>
          <w:rStyle w:val="normaltextrun"/>
        </w:rPr>
        <w:t> </w:t>
      </w:r>
    </w:p>
    <w:p w14:paraId="756C11BC" w14:textId="5BD9FB3E" w:rsidR="00D12409" w:rsidRDefault="00D12409" w:rsidP="00D12409">
      <w:pPr>
        <w:rPr>
          <w:rFonts w:eastAsia="Times New Roman"/>
        </w:rPr>
      </w:pPr>
      <w:r>
        <w:t xml:space="preserve">The Accreditation Standards also require students to have passed the </w:t>
      </w:r>
      <w:r w:rsidRPr="00457DA1">
        <w:t xml:space="preserve">Literacy and Numeracy Test for Initial Teacher Education </w:t>
      </w:r>
      <w:r>
        <w:t xml:space="preserve">(LANTITE) before graduating from an ITE program. </w:t>
      </w:r>
      <w:r w:rsidR="001A6A8C" w:rsidRPr="001A6A8C">
        <w:t xml:space="preserve">The </w:t>
      </w:r>
      <w:r w:rsidR="00E943CF">
        <w:t>LANTITE</w:t>
      </w:r>
      <w:r w:rsidR="001A6A8C" w:rsidRPr="001A6A8C">
        <w:t xml:space="preserve"> standard </w:t>
      </w:r>
      <w:r w:rsidR="00E848CA">
        <w:t>requires ITE students to demonstrate</w:t>
      </w:r>
      <w:r w:rsidR="001A6A8C" w:rsidRPr="001A6A8C">
        <w:t xml:space="preserve"> literacy and numeracy achievement equivalent to the top 30 per cent of the Australian adult population.</w:t>
      </w:r>
      <w:r w:rsidR="001A6A8C">
        <w:t xml:space="preserve"> </w:t>
      </w:r>
      <w:r>
        <w:t>The Accreditation Standards do not currently specify when in the program the LANTITE</w:t>
      </w:r>
      <w:r w:rsidDel="00723B0A">
        <w:t xml:space="preserve"> </w:t>
      </w:r>
      <w:r>
        <w:t>should be attempted.</w:t>
      </w:r>
    </w:p>
    <w:p w14:paraId="4DF15D9F" w14:textId="77777777" w:rsidR="00D12409" w:rsidRDefault="00D12409" w:rsidP="00D12409">
      <w:pPr>
        <w:pStyle w:val="Heading3"/>
        <w:ind w:left="1021" w:hanging="1021"/>
      </w:pPr>
      <w:r>
        <w:t>Key Consultation Themes and Analysis</w:t>
      </w:r>
    </w:p>
    <w:p w14:paraId="3FA16E36" w14:textId="3D0BB4D7" w:rsidR="00D12409" w:rsidRDefault="00D12409" w:rsidP="00370D71">
      <w:pPr>
        <w:pStyle w:val="Heading6"/>
        <w:spacing w:before="0"/>
        <w:ind w:left="1247" w:hanging="1247"/>
      </w:pPr>
      <w:r>
        <w:t>Teaching Performance Assessments</w:t>
      </w:r>
    </w:p>
    <w:p w14:paraId="2F0DD21A" w14:textId="77777777" w:rsidR="00D12409" w:rsidRPr="00975C33" w:rsidRDefault="00D12409" w:rsidP="00CD1FEB">
      <w:pPr>
        <w:pStyle w:val="Quote"/>
        <w:framePr w:wrap="around"/>
      </w:pPr>
      <w:r w:rsidRPr="00975C33">
        <w:t>‘The implementation of a rigorous TPA has become one of the hallmarks of quality for the teaching profession.’</w:t>
      </w:r>
    </w:p>
    <w:p w14:paraId="40420A09" w14:textId="75B6C29B" w:rsidR="00D12409" w:rsidRPr="00975C33" w:rsidRDefault="00D12409" w:rsidP="00CD1FEB">
      <w:pPr>
        <w:pStyle w:val="Quote"/>
        <w:framePr w:wrap="around"/>
        <w:rPr>
          <w:rFonts w:eastAsia="Times New Roman"/>
        </w:rPr>
      </w:pPr>
      <w:r w:rsidRPr="00975C33">
        <w:t>(AITSL submission)</w:t>
      </w:r>
    </w:p>
    <w:p w14:paraId="4087C5E6" w14:textId="71185B06" w:rsidR="00D12409" w:rsidRDefault="00D12409" w:rsidP="00C73014">
      <w:pPr>
        <w:spacing w:before="200"/>
        <w:rPr>
          <w:rFonts w:eastAsia="Times New Roman"/>
        </w:rPr>
      </w:pPr>
      <w:r>
        <w:rPr>
          <w:rFonts w:eastAsia="Times New Roman"/>
        </w:rPr>
        <w:t xml:space="preserve">The introduction of TPAs is generally regarded as the most significant outcome of the TEMAG </w:t>
      </w:r>
      <w:r w:rsidR="00587BC1">
        <w:rPr>
          <w:rFonts w:eastAsia="Times New Roman"/>
        </w:rPr>
        <w:t xml:space="preserve">Review </w:t>
      </w:r>
      <w:r>
        <w:rPr>
          <w:rFonts w:eastAsia="Times New Roman"/>
        </w:rPr>
        <w:t xml:space="preserve">reforms, with the most potential to improve the quality of ITE programs and produce graduate teachers with the skills, knowledge and practices to be successful when they enter the classroom. </w:t>
      </w:r>
    </w:p>
    <w:p w14:paraId="33BFDF19" w14:textId="77777777" w:rsidR="00D12409" w:rsidRDefault="00D12409" w:rsidP="00D12409">
      <w:pPr>
        <w:rPr>
          <w:rFonts w:eastAsia="Times New Roman"/>
        </w:rPr>
      </w:pPr>
      <w:r>
        <w:rPr>
          <w:rFonts w:eastAsia="Times New Roman"/>
        </w:rPr>
        <w:t>Stakeholders have acknowledged, however, that implementation of this key reform has not been consistent across all higher education providers and that the quality of endorsed TPAs varies significantly. This situation is limiting the potential impact of TPAs.</w:t>
      </w:r>
    </w:p>
    <w:p w14:paraId="62DE940D" w14:textId="32C2B331" w:rsidR="00D12409" w:rsidRPr="001F193E" w:rsidRDefault="00D12409" w:rsidP="00D12409">
      <w:pPr>
        <w:pStyle w:val="Heading7"/>
      </w:pPr>
      <w:r w:rsidRPr="001F193E">
        <w:t>Impact of T</w:t>
      </w:r>
      <w:r w:rsidR="0033330A">
        <w:t xml:space="preserve">eaching </w:t>
      </w:r>
      <w:r w:rsidRPr="001F193E">
        <w:t>P</w:t>
      </w:r>
      <w:r w:rsidR="0033330A">
        <w:t xml:space="preserve">erformance </w:t>
      </w:r>
      <w:r w:rsidRPr="001F193E">
        <w:t>A</w:t>
      </w:r>
      <w:r w:rsidR="0033330A">
        <w:t>ssessment</w:t>
      </w:r>
      <w:r w:rsidRPr="001F193E">
        <w:t>s</w:t>
      </w:r>
    </w:p>
    <w:p w14:paraId="0FE2ABFD" w14:textId="1B819561" w:rsidR="00D12409" w:rsidRDefault="00D12409" w:rsidP="00D12409">
      <w:pPr>
        <w:rPr>
          <w:rFonts w:eastAsia="Times New Roman"/>
        </w:rPr>
      </w:pPr>
      <w:r w:rsidRPr="0995B48D">
        <w:rPr>
          <w:rFonts w:eastAsia="Times New Roman"/>
        </w:rPr>
        <w:t xml:space="preserve">Evidence on the impact of TPAs is limited given its recent introduction, but early research is demonstrating the power of TPAs to transform how </w:t>
      </w:r>
      <w:r w:rsidR="008A4762">
        <w:rPr>
          <w:rFonts w:eastAsia="Times New Roman"/>
        </w:rPr>
        <w:t>ITE students</w:t>
      </w:r>
      <w:r w:rsidRPr="0995B48D">
        <w:rPr>
          <w:rFonts w:eastAsia="Times New Roman"/>
        </w:rPr>
        <w:t xml:space="preserve"> are </w:t>
      </w:r>
      <w:r w:rsidR="59CDCC51" w:rsidRPr="0995B48D">
        <w:rPr>
          <w:rFonts w:eastAsia="Times New Roman"/>
        </w:rPr>
        <w:t xml:space="preserve">taught and </w:t>
      </w:r>
      <w:r w:rsidRPr="0995B48D">
        <w:rPr>
          <w:rFonts w:eastAsia="Times New Roman"/>
        </w:rPr>
        <w:t>assessed. Teacher educators in the Graduate Teach</w:t>
      </w:r>
      <w:r w:rsidR="0033330A">
        <w:rPr>
          <w:rFonts w:eastAsia="Times New Roman"/>
        </w:rPr>
        <w:t>er</w:t>
      </w:r>
      <w:r w:rsidRPr="0995B48D">
        <w:rPr>
          <w:rFonts w:eastAsia="Times New Roman"/>
        </w:rPr>
        <w:t xml:space="preserve"> Performance</w:t>
      </w:r>
      <w:r w:rsidR="0033330A">
        <w:rPr>
          <w:rFonts w:eastAsia="Times New Roman"/>
        </w:rPr>
        <w:t xml:space="preserve"> Assessment</w:t>
      </w:r>
      <w:r w:rsidRPr="0995B48D">
        <w:rPr>
          <w:rFonts w:eastAsia="Times New Roman"/>
        </w:rPr>
        <w:t xml:space="preserve"> (GTPA) consortium have confirmed that the TPA has directly improved support for </w:t>
      </w:r>
      <w:r w:rsidR="008A4762">
        <w:rPr>
          <w:rFonts w:eastAsia="Times New Roman"/>
        </w:rPr>
        <w:t>ITE students</w:t>
      </w:r>
      <w:r w:rsidRPr="0995B48D">
        <w:rPr>
          <w:rFonts w:eastAsia="Times New Roman"/>
        </w:rPr>
        <w:t xml:space="preserve"> to become ‘profession ready’ (ACU 2021</w:t>
      </w:r>
      <w:r w:rsidR="003D132A">
        <w:rPr>
          <w:rFonts w:eastAsia="Times New Roman"/>
        </w:rPr>
        <w:t>a</w:t>
      </w:r>
      <w:r w:rsidRPr="0995B48D">
        <w:rPr>
          <w:rFonts w:eastAsia="Times New Roman"/>
        </w:rPr>
        <w:t>). Deakin University agrees that TPAs have improved the ‘quality, consistency, and comparability of final assessments’ in ITE (Deakin University submission).</w:t>
      </w:r>
    </w:p>
    <w:p w14:paraId="05ECC6A8" w14:textId="7751ED7E" w:rsidR="00D12409" w:rsidRDefault="00D12409" w:rsidP="00D12409">
      <w:pPr>
        <w:rPr>
          <w:rFonts w:eastAsia="Times New Roman"/>
        </w:rPr>
      </w:pPr>
      <w:r>
        <w:rPr>
          <w:rFonts w:eastAsia="Times New Roman"/>
        </w:rPr>
        <w:t xml:space="preserve">The </w:t>
      </w:r>
      <w:r w:rsidR="002405AB">
        <w:rPr>
          <w:rFonts w:eastAsia="Times New Roman"/>
        </w:rPr>
        <w:t>Australian Catholic University’s</w:t>
      </w:r>
      <w:r w:rsidR="00930390">
        <w:rPr>
          <w:rFonts w:eastAsia="Times New Roman"/>
        </w:rPr>
        <w:t xml:space="preserve"> (</w:t>
      </w:r>
      <w:r>
        <w:rPr>
          <w:rFonts w:eastAsia="Times New Roman"/>
        </w:rPr>
        <w:t>ACU</w:t>
      </w:r>
      <w:r w:rsidR="00930390">
        <w:rPr>
          <w:rFonts w:eastAsia="Times New Roman"/>
        </w:rPr>
        <w:t>)</w:t>
      </w:r>
      <w:r>
        <w:rPr>
          <w:rFonts w:eastAsia="Times New Roman"/>
        </w:rPr>
        <w:t xml:space="preserve"> </w:t>
      </w:r>
      <w:r w:rsidRPr="00A37130">
        <w:rPr>
          <w:rFonts w:eastAsia="Times New Roman"/>
          <w:i/>
        </w:rPr>
        <w:t>Quality of Initial Teacher Education through Longitudinal Analysis of Linked Datasets</w:t>
      </w:r>
      <w:r>
        <w:rPr>
          <w:rFonts w:eastAsia="Times New Roman"/>
        </w:rPr>
        <w:t xml:space="preserve">, Workforce Studies Series is much-needed research to expand the evidence base on </w:t>
      </w:r>
      <w:r w:rsidR="00DD1E80">
        <w:rPr>
          <w:rFonts w:eastAsia="Times New Roman"/>
        </w:rPr>
        <w:t xml:space="preserve">initial </w:t>
      </w:r>
      <w:r>
        <w:rPr>
          <w:rFonts w:eastAsia="Times New Roman"/>
        </w:rPr>
        <w:t xml:space="preserve">teacher education in Australia. The first research released in this series – </w:t>
      </w:r>
      <w:r w:rsidRPr="00A37130">
        <w:rPr>
          <w:rFonts w:eastAsia="Times New Roman"/>
          <w:i/>
        </w:rPr>
        <w:t>Examining performance trajectories from admission to graduation</w:t>
      </w:r>
      <w:r>
        <w:rPr>
          <w:rFonts w:eastAsia="Times New Roman"/>
        </w:rPr>
        <w:t xml:space="preserve"> – has confirmed the impact of high-quality TPAs, specifically regarding how they support </w:t>
      </w:r>
      <w:r w:rsidR="008A4762">
        <w:rPr>
          <w:rFonts w:eastAsia="Times New Roman"/>
        </w:rPr>
        <w:t>ITE students</w:t>
      </w:r>
      <w:r>
        <w:rPr>
          <w:rFonts w:eastAsia="Times New Roman"/>
        </w:rPr>
        <w:t xml:space="preserve"> to become ‘profession ready’. The GTPA is reported to be an opportunity for </w:t>
      </w:r>
      <w:r w:rsidR="00D923D9">
        <w:rPr>
          <w:rFonts w:eastAsia="Times New Roman"/>
        </w:rPr>
        <w:t>ITE students</w:t>
      </w:r>
      <w:r>
        <w:rPr>
          <w:rFonts w:eastAsia="Times New Roman"/>
        </w:rPr>
        <w:t xml:space="preserve"> to ‘bring together’ their learning and demonstrate their capability (</w:t>
      </w:r>
      <w:r w:rsidRPr="00401047">
        <w:rPr>
          <w:rFonts w:eastAsia="Times New Roman"/>
        </w:rPr>
        <w:t>ACU 2021</w:t>
      </w:r>
      <w:r w:rsidR="003D132A">
        <w:rPr>
          <w:rFonts w:eastAsia="Times New Roman"/>
        </w:rPr>
        <w:t>a</w:t>
      </w:r>
      <w:r w:rsidRPr="00401047">
        <w:rPr>
          <w:rFonts w:eastAsia="Times New Roman"/>
        </w:rPr>
        <w:t>).</w:t>
      </w:r>
    </w:p>
    <w:p w14:paraId="678DC1EB" w14:textId="07D8CDFF" w:rsidR="00D12409" w:rsidRDefault="00260136" w:rsidP="00D12409">
      <w:pPr>
        <w:rPr>
          <w:rFonts w:eastAsia="Times New Roman"/>
        </w:rPr>
      </w:pPr>
      <w:r>
        <w:rPr>
          <w:rFonts w:eastAsia="Times New Roman"/>
        </w:rPr>
        <w:t>Also</w:t>
      </w:r>
      <w:r w:rsidR="00D12409">
        <w:rPr>
          <w:rFonts w:eastAsia="Times New Roman"/>
        </w:rPr>
        <w:t xml:space="preserve"> promising is the prospect that TPAs will continue to benefit newly graduated teachers as they commence their careers in the classroom. The University of Canberra, a member of the Assessment for Graduate Teaching </w:t>
      </w:r>
      <w:r w:rsidR="00E06660">
        <w:rPr>
          <w:rFonts w:eastAsia="Times New Roman"/>
        </w:rPr>
        <w:t>(AfG</w:t>
      </w:r>
      <w:r w:rsidR="00454EA5">
        <w:rPr>
          <w:rFonts w:eastAsia="Times New Roman"/>
        </w:rPr>
        <w:t>T)</w:t>
      </w:r>
      <w:r w:rsidR="00D12409">
        <w:rPr>
          <w:rFonts w:eastAsia="Times New Roman"/>
        </w:rPr>
        <w:t xml:space="preserve"> consortium, has found that the process of completing a TPA supports </w:t>
      </w:r>
      <w:r w:rsidR="004E1927">
        <w:rPr>
          <w:rFonts w:eastAsia="Times New Roman"/>
        </w:rPr>
        <w:t>ITE students</w:t>
      </w:r>
      <w:r w:rsidR="00D12409">
        <w:rPr>
          <w:rFonts w:eastAsia="Times New Roman"/>
        </w:rPr>
        <w:t xml:space="preserve"> in developing important capabilities that will prepare them for demonstrating </w:t>
      </w:r>
      <w:r w:rsidR="00D12409" w:rsidRPr="0033330A">
        <w:rPr>
          <w:rFonts w:eastAsia="Times New Roman"/>
        </w:rPr>
        <w:t>Proficient</w:t>
      </w:r>
      <w:r w:rsidR="0033330A" w:rsidRPr="0033330A">
        <w:rPr>
          <w:rFonts w:eastAsia="Times New Roman"/>
        </w:rPr>
        <w:t xml:space="preserve">, </w:t>
      </w:r>
      <w:r w:rsidR="00D12409" w:rsidRPr="0033330A">
        <w:rPr>
          <w:rFonts w:eastAsia="Times New Roman"/>
        </w:rPr>
        <w:t>Highly Accomplished</w:t>
      </w:r>
      <w:r w:rsidR="0033330A" w:rsidRPr="0033330A">
        <w:rPr>
          <w:rFonts w:eastAsia="Times New Roman"/>
        </w:rPr>
        <w:t xml:space="preserve"> and Lead</w:t>
      </w:r>
      <w:r w:rsidR="00D12409" w:rsidRPr="0033330A">
        <w:rPr>
          <w:rFonts w:eastAsia="Times New Roman"/>
        </w:rPr>
        <w:t xml:space="preserve"> levels </w:t>
      </w:r>
      <w:r w:rsidR="00586A6E" w:rsidRPr="0033330A">
        <w:rPr>
          <w:rFonts w:eastAsia="Times New Roman"/>
        </w:rPr>
        <w:t>of the Teacher Standards</w:t>
      </w:r>
      <w:r w:rsidR="00D12409" w:rsidRPr="0033330A">
        <w:rPr>
          <w:rFonts w:eastAsia="Times New Roman"/>
        </w:rPr>
        <w:t xml:space="preserve"> later in their career (University of</w:t>
      </w:r>
      <w:r w:rsidR="00D12409">
        <w:rPr>
          <w:rFonts w:eastAsia="Times New Roman"/>
        </w:rPr>
        <w:t xml:space="preserve"> Canberra submission). This highlights the importance of viewing TPAs as an integral part of an ITE program. A quality TPA is not a stand-alone assessment task but is embedded within programs (AfGT </w:t>
      </w:r>
      <w:r w:rsidR="0033330A">
        <w:rPr>
          <w:rFonts w:eastAsia="Times New Roman"/>
        </w:rPr>
        <w:t>c</w:t>
      </w:r>
      <w:r w:rsidR="00D12409">
        <w:rPr>
          <w:rFonts w:eastAsia="Times New Roman"/>
        </w:rPr>
        <w:t>onsortium submission).</w:t>
      </w:r>
    </w:p>
    <w:p w14:paraId="445538A0" w14:textId="4B6D899D" w:rsidR="00D12409" w:rsidRDefault="00D12409" w:rsidP="00370D71">
      <w:pPr>
        <w:keepNext/>
        <w:keepLines/>
        <w:rPr>
          <w:rFonts w:eastAsia="Times New Roman"/>
        </w:rPr>
      </w:pPr>
      <w:r>
        <w:rPr>
          <w:rFonts w:eastAsia="Times New Roman"/>
        </w:rPr>
        <w:lastRenderedPageBreak/>
        <w:t>In the United States, research into the Educative Teacher Performance Assessment (edTPA) demonstrated the variability in how it was perceived by institutions and stakeholders, noting that it was seen as either a framework for inquiry</w:t>
      </w:r>
      <w:r w:rsidR="00C122B6">
        <w:rPr>
          <w:rFonts w:eastAsia="Times New Roman"/>
        </w:rPr>
        <w:t>;</w:t>
      </w:r>
      <w:r>
        <w:rPr>
          <w:rFonts w:eastAsia="Times New Roman"/>
        </w:rPr>
        <w:t xml:space="preserve"> or a compliance device (</w:t>
      </w:r>
      <w:r w:rsidRPr="00EE12D8">
        <w:rPr>
          <w:rFonts w:eastAsia="Times New Roman"/>
        </w:rPr>
        <w:t>De Voto et al. 2021).</w:t>
      </w:r>
      <w:r>
        <w:rPr>
          <w:rFonts w:eastAsia="Times New Roman"/>
        </w:rPr>
        <w:t xml:space="preserve"> Higher education providers in the GTPA consortium have indicated that where </w:t>
      </w:r>
      <w:r w:rsidR="008A4762">
        <w:rPr>
          <w:rFonts w:eastAsia="Times New Roman"/>
        </w:rPr>
        <w:t>ITE students</w:t>
      </w:r>
      <w:r>
        <w:rPr>
          <w:rFonts w:eastAsia="Times New Roman"/>
        </w:rPr>
        <w:t xml:space="preserve"> viewed the TPA as ‘just another assessment’ they were reported to have a higher probability of failing. These </w:t>
      </w:r>
      <w:r w:rsidR="00E7166E">
        <w:rPr>
          <w:rFonts w:eastAsia="Times New Roman"/>
        </w:rPr>
        <w:t>ITE students</w:t>
      </w:r>
      <w:r>
        <w:rPr>
          <w:rFonts w:eastAsia="Times New Roman"/>
        </w:rPr>
        <w:t xml:space="preserve"> were struggling to demonstrate the ‘mindset of the teacher’ (ACU 2021</w:t>
      </w:r>
      <w:r w:rsidR="003D132A">
        <w:rPr>
          <w:rFonts w:eastAsia="Times New Roman"/>
        </w:rPr>
        <w:t>a</w:t>
      </w:r>
      <w:r>
        <w:rPr>
          <w:rFonts w:eastAsia="Times New Roman"/>
        </w:rPr>
        <w:t>).</w:t>
      </w:r>
    </w:p>
    <w:p w14:paraId="146A2D51" w14:textId="6A6F91F0" w:rsidR="00D12409" w:rsidRPr="001F193E" w:rsidRDefault="00D12409" w:rsidP="00D12409">
      <w:pPr>
        <w:pStyle w:val="Heading7"/>
      </w:pPr>
      <w:r>
        <w:t>Views on the number of T</w:t>
      </w:r>
      <w:r w:rsidR="0033330A">
        <w:t xml:space="preserve">eaching </w:t>
      </w:r>
      <w:r>
        <w:t>P</w:t>
      </w:r>
      <w:r w:rsidR="0033330A">
        <w:t xml:space="preserve">erformance </w:t>
      </w:r>
      <w:r>
        <w:t>A</w:t>
      </w:r>
      <w:r w:rsidR="0033330A">
        <w:t>ssessment</w:t>
      </w:r>
      <w:r>
        <w:t xml:space="preserve">s </w:t>
      </w:r>
    </w:p>
    <w:p w14:paraId="48593213" w14:textId="77777777" w:rsidR="00D12409" w:rsidRDefault="00D12409" w:rsidP="00D12409">
      <w:pPr>
        <w:jc w:val="both"/>
        <w:rPr>
          <w:rFonts w:eastAsia="Times New Roman"/>
        </w:rPr>
      </w:pPr>
      <w:r>
        <w:rPr>
          <w:rFonts w:eastAsia="Times New Roman"/>
        </w:rPr>
        <w:t>Stakeholder views vary on whether the number and variety of TPAs currently endorsed is of concern. Some consider there is value in maintaining the variety of TPAs currently endorsed and that this is no challenge to the validity or reliability of the TPA assessment (</w:t>
      </w:r>
      <w:r w:rsidRPr="003829AB">
        <w:rPr>
          <w:rFonts w:eastAsia="Times New Roman"/>
        </w:rPr>
        <w:t xml:space="preserve">New South Wales </w:t>
      </w:r>
      <w:r>
        <w:rPr>
          <w:rFonts w:eastAsia="Times New Roman"/>
        </w:rPr>
        <w:t xml:space="preserve">Council of Deans of Education submission; Deakin University submission; Regional Universities Network submission). </w:t>
      </w:r>
    </w:p>
    <w:p w14:paraId="20E2DED7" w14:textId="65FD7325" w:rsidR="00D12409" w:rsidRDefault="00D12409" w:rsidP="00D12409">
      <w:pPr>
        <w:rPr>
          <w:rFonts w:eastAsia="Times New Roman"/>
        </w:rPr>
      </w:pPr>
      <w:r>
        <w:rPr>
          <w:rFonts w:eastAsia="Times New Roman"/>
        </w:rPr>
        <w:t xml:space="preserve">Others indicate that there are benefits to having fewer TPAs in place (Queensland College of Teachers submission; University of Canberra submission). One reason for this is that the </w:t>
      </w:r>
      <w:r w:rsidR="00153427">
        <w:rPr>
          <w:rFonts w:eastAsia="Times New Roman"/>
        </w:rPr>
        <w:t>workload for</w:t>
      </w:r>
      <w:r>
        <w:rPr>
          <w:rFonts w:eastAsia="Times New Roman"/>
        </w:rPr>
        <w:t xml:space="preserve"> schools can be higher if individual schools are required to be involved in more than one TPA. Several stakeholders support greater consistency and the value of fewer TPAs to ease the burden on schools (Independent Schools Queensland submission; Queensland College of Teachers submission) and help to build the capacity of mentor teachers to support </w:t>
      </w:r>
      <w:r w:rsidR="00702450">
        <w:rPr>
          <w:rFonts w:eastAsia="Times New Roman"/>
        </w:rPr>
        <w:t>ITE students</w:t>
      </w:r>
      <w:r>
        <w:rPr>
          <w:rFonts w:eastAsia="Times New Roman"/>
        </w:rPr>
        <w:t xml:space="preserve"> (AfGT </w:t>
      </w:r>
      <w:r w:rsidR="0033330A">
        <w:rPr>
          <w:rFonts w:eastAsia="Times New Roman"/>
        </w:rPr>
        <w:t>c</w:t>
      </w:r>
      <w:r>
        <w:rPr>
          <w:rFonts w:eastAsia="Times New Roman"/>
        </w:rPr>
        <w:t>onsortium submission). Other stakeholders caution against policy action to reduce the number of TPAs until rigorous evidence of reliability and validity has been collected to inform which TPAs meet the required quality standards (Laureate Professor Jenny Gore submission).</w:t>
      </w:r>
    </w:p>
    <w:p w14:paraId="3A8BB313" w14:textId="6B0617CA" w:rsidR="00D12409" w:rsidRDefault="001C4137" w:rsidP="00D12409">
      <w:pPr>
        <w:rPr>
          <w:rFonts w:eastAsia="Times New Roman"/>
        </w:rPr>
      </w:pPr>
      <w:r>
        <w:rPr>
          <w:rFonts w:eastAsia="Times New Roman"/>
        </w:rPr>
        <w:t xml:space="preserve">The Expert Panel </w:t>
      </w:r>
      <w:r w:rsidR="00D12409">
        <w:rPr>
          <w:rFonts w:eastAsia="Times New Roman"/>
        </w:rPr>
        <w:t>acknowledge</w:t>
      </w:r>
      <w:r>
        <w:rPr>
          <w:rFonts w:eastAsia="Times New Roman"/>
        </w:rPr>
        <w:t>s</w:t>
      </w:r>
      <w:r w:rsidR="00D12409">
        <w:rPr>
          <w:rFonts w:eastAsia="Times New Roman"/>
        </w:rPr>
        <w:t xml:space="preserve"> that TPAs also have ongoing costs for providers. This can include annual costs of membership (for consortia) as well as costs relating to internal and cross-consortium moderation, briefing of students and preparation of mentors in schools (Victorian Council of Deans of Education submission; Faculty of Creative Industries, Education and Social Justice, Queensland University of Technology submission). Some higher education providers consider this to be a significant financial burden (Regional Universities Network submission). </w:t>
      </w:r>
    </w:p>
    <w:p w14:paraId="1C61B8FF" w14:textId="66AB8FE2" w:rsidR="00D12409" w:rsidRPr="002011EA" w:rsidRDefault="00D12409" w:rsidP="00D12409">
      <w:pPr>
        <w:pStyle w:val="Heading7"/>
      </w:pPr>
      <w:r>
        <w:t xml:space="preserve">Cross-institutional moderation of </w:t>
      </w:r>
      <w:r w:rsidR="0033330A">
        <w:t xml:space="preserve">Teaching Performance Assessments </w:t>
      </w:r>
    </w:p>
    <w:p w14:paraId="6C02C0FC" w14:textId="78872B17" w:rsidR="00D12409" w:rsidRDefault="00D12409" w:rsidP="00D12409">
      <w:pPr>
        <w:rPr>
          <w:rFonts w:eastAsia="Times New Roman"/>
        </w:rPr>
      </w:pPr>
      <w:r>
        <w:rPr>
          <w:rFonts w:eastAsia="Times New Roman"/>
        </w:rPr>
        <w:t>Although a critical part of a high-quality TPA, the Accreditation Standards do not explicitly require cross</w:t>
      </w:r>
      <w:r w:rsidR="000936FF">
        <w:rPr>
          <w:rFonts w:eastAsia="Times New Roman"/>
        </w:rPr>
        <w:noBreakHyphen/>
      </w:r>
      <w:r>
        <w:rPr>
          <w:rFonts w:eastAsia="Times New Roman"/>
        </w:rPr>
        <w:t>institutional moderation (AITSL submission). Cross-institutional moderation is an inbuilt feature of the GTPA and AfGT. Members consider this a key strength of involvement in these consortia.</w:t>
      </w:r>
    </w:p>
    <w:p w14:paraId="08CDBC5F" w14:textId="05A15A3C" w:rsidR="009C5D7B" w:rsidDel="00E73ED9" w:rsidRDefault="00EB27FF" w:rsidP="009C5D7B">
      <w:pPr>
        <w:rPr>
          <w:rFonts w:eastAsia="Times New Roman"/>
        </w:rPr>
      </w:pPr>
      <w:r w:rsidRPr="002C2F2A">
        <w:t xml:space="preserve">Research conducted by the ACU on the GTPA has found that </w:t>
      </w:r>
      <w:r w:rsidR="004911D1">
        <w:t xml:space="preserve">the </w:t>
      </w:r>
      <w:r w:rsidRPr="002C2F2A">
        <w:t xml:space="preserve">application of the GTPA standard was initially variable across higher education providers. The variation was considerably smaller in 2020 than in 2019, which points to </w:t>
      </w:r>
      <w:r w:rsidR="00BE5442">
        <w:t>higher education providers</w:t>
      </w:r>
      <w:r w:rsidRPr="002C2F2A">
        <w:t xml:space="preserve"> reaching closer alignment when there is a sustained focus on building reliability and the application of an established standard through cross</w:t>
      </w:r>
      <w:r w:rsidR="000936FF">
        <w:noBreakHyphen/>
      </w:r>
      <w:r w:rsidRPr="002C2F2A">
        <w:t>institutional moderation</w:t>
      </w:r>
      <w:r w:rsidR="00135D3E">
        <w:t xml:space="preserve"> </w:t>
      </w:r>
      <w:r w:rsidR="00E40E61">
        <w:rPr>
          <w:rFonts w:eastAsia="Times New Roman"/>
        </w:rPr>
        <w:t>(ACU 2021b).</w:t>
      </w:r>
      <w:r w:rsidR="008F218B">
        <w:rPr>
          <w:rFonts w:eastAsia="Times New Roman"/>
        </w:rPr>
        <w:t xml:space="preserve"> </w:t>
      </w:r>
      <w:r w:rsidR="00E73ED9" w:rsidRPr="006B5879">
        <w:t xml:space="preserve">Figure </w:t>
      </w:r>
      <w:r w:rsidR="000C6EC3">
        <w:t>11</w:t>
      </w:r>
      <w:r w:rsidR="00F65AA0">
        <w:t>(a)(b)</w:t>
      </w:r>
      <w:r w:rsidR="000C6EC3" w:rsidRPr="006B5879">
        <w:t xml:space="preserve"> </w:t>
      </w:r>
      <w:r w:rsidR="00E73ED9" w:rsidRPr="006B5879">
        <w:t xml:space="preserve">below shows the extent of variation in endorsement within programs and across higher education providers for representative 2019 performance </w:t>
      </w:r>
      <w:r w:rsidR="009C5D7B" w:rsidRPr="006B5879" w:rsidDel="00E73ED9">
        <w:t>samples</w:t>
      </w:r>
      <w:r w:rsidR="009C5D7B" w:rsidDel="00E73ED9">
        <w:rPr>
          <w:rFonts w:eastAsia="Times New Roman"/>
        </w:rPr>
        <w:t>.</w:t>
      </w:r>
    </w:p>
    <w:p w14:paraId="734262A3" w14:textId="60B94099" w:rsidR="00814A25" w:rsidRPr="00F04246" w:rsidRDefault="00814A25" w:rsidP="003412EA">
      <w:pPr>
        <w:pStyle w:val="Caption"/>
        <w:keepNext/>
        <w:rPr>
          <w:i w:val="0"/>
          <w:iCs w:val="0"/>
          <w:color w:val="000000" w:themeColor="text1"/>
        </w:rPr>
      </w:pPr>
      <w:r w:rsidRPr="00F04246">
        <w:rPr>
          <w:i w:val="0"/>
          <w:iCs w:val="0"/>
          <w:color w:val="000000" w:themeColor="text1"/>
        </w:rPr>
        <w:lastRenderedPageBreak/>
        <w:t>Figure 11</w:t>
      </w:r>
      <w:r w:rsidR="00656E28">
        <w:rPr>
          <w:i w:val="0"/>
          <w:iCs w:val="0"/>
          <w:color w:val="000000" w:themeColor="text1"/>
        </w:rPr>
        <w:t>.</w:t>
      </w:r>
      <w:r w:rsidRPr="00F04246">
        <w:rPr>
          <w:i w:val="0"/>
          <w:iCs w:val="0"/>
          <w:color w:val="000000" w:themeColor="text1"/>
        </w:rPr>
        <w:t xml:space="preserve"> Percentages of endorsed samples (2019 Graduate Teacher Performance Assessment) within </w:t>
      </w:r>
      <w:r w:rsidR="006B3D95">
        <w:rPr>
          <w:i w:val="0"/>
          <w:iCs w:val="0"/>
          <w:color w:val="000000" w:themeColor="text1"/>
        </w:rPr>
        <w:t xml:space="preserve">(a) </w:t>
      </w:r>
      <w:r w:rsidRPr="00F04246">
        <w:rPr>
          <w:i w:val="0"/>
          <w:iCs w:val="0"/>
          <w:color w:val="000000" w:themeColor="text1"/>
        </w:rPr>
        <w:t xml:space="preserve">undergraduate programs </w:t>
      </w:r>
      <w:r w:rsidR="006B3D95">
        <w:rPr>
          <w:i w:val="0"/>
          <w:iCs w:val="0"/>
          <w:color w:val="000000" w:themeColor="text1"/>
        </w:rPr>
        <w:t xml:space="preserve">and (b) postgraduate programs </w:t>
      </w:r>
      <w:r w:rsidRPr="00F04246">
        <w:rPr>
          <w:i w:val="0"/>
          <w:iCs w:val="0"/>
          <w:color w:val="000000" w:themeColor="text1"/>
        </w:rPr>
        <w:t xml:space="preserve">across higher education </w:t>
      </w:r>
      <w:r w:rsidR="003412EA" w:rsidRPr="00F04246">
        <w:rPr>
          <w:i w:val="0"/>
          <w:iCs w:val="0"/>
          <w:color w:val="000000" w:themeColor="text1"/>
        </w:rPr>
        <w:t>providers.</w:t>
      </w:r>
    </w:p>
    <w:p w14:paraId="1D7A7D20" w14:textId="772FC6CC" w:rsidR="00790BD7" w:rsidRPr="00790BD7" w:rsidRDefault="00790BD7" w:rsidP="00790BD7">
      <w:pPr>
        <w:pStyle w:val="Caption"/>
        <w:keepNext/>
        <w:spacing w:after="0"/>
        <w:rPr>
          <w:i w:val="0"/>
          <w:iCs w:val="0"/>
        </w:rPr>
      </w:pPr>
      <w:r>
        <w:rPr>
          <w:i w:val="0"/>
          <w:iCs w:val="0"/>
        </w:rPr>
        <w:t>(a)</w:t>
      </w:r>
    </w:p>
    <w:p w14:paraId="4D9E3F57" w14:textId="0AC5A84C" w:rsidR="00BF699F" w:rsidRPr="00BF699F" w:rsidRDefault="00BF699F" w:rsidP="00790BD7">
      <w:pPr>
        <w:spacing w:after="0"/>
      </w:pPr>
      <w:r>
        <w:rPr>
          <w:noProof/>
        </w:rPr>
        <w:drawing>
          <wp:inline distT="0" distB="0" distL="0" distR="0" wp14:anchorId="67DC3E2D" wp14:editId="72BA9BD3">
            <wp:extent cx="5675080" cy="3073508"/>
            <wp:effectExtent l="0" t="0" r="1905" b="0"/>
            <wp:docPr id="3" name="Picture 3" descr="This split-level bar chart shows the variation in endorsement within programs and across de-identified higher education providers.&#10;&#10;The top bar chart shows variation between higher education institutions (HEI) within a Bachelor of Education (Primary) program.&#10;&#10;The bottom bar charts shows variation between higher education institutions HEIs within a Bachelor of Education (Secondary)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split-level bar chart shows the variation in endorsement within programs and across de-identified higher education providers.&#10;&#10;The top bar chart shows variation between higher education institutions (HEI) within a Bachelor of Education (Primary) program.&#10;&#10;The bottom bar charts shows variation between higher education institutions HEIs within a Bachelor of Education (Secondary) program.&#10;"/>
                    <pic:cNvPicPr>
                      <a:picLocks noChangeAspect="1" noChangeArrowheads="1"/>
                    </pic:cNvPicPr>
                  </pic:nvPicPr>
                  <pic:blipFill rotWithShape="1">
                    <a:blip r:embed="rId44">
                      <a:extLst>
                        <a:ext uri="{28A0092B-C50C-407E-A947-70E740481C1C}">
                          <a14:useLocalDpi xmlns:a14="http://schemas.microsoft.com/office/drawing/2010/main" val="0"/>
                        </a:ext>
                      </a:extLst>
                    </a:blip>
                    <a:srcRect t="3558" b="2754"/>
                    <a:stretch/>
                  </pic:blipFill>
                  <pic:spPr bwMode="auto">
                    <a:xfrm>
                      <a:off x="0" y="0"/>
                      <a:ext cx="5694918" cy="3084252"/>
                    </a:xfrm>
                    <a:prstGeom prst="rect">
                      <a:avLst/>
                    </a:prstGeom>
                    <a:noFill/>
                    <a:ln>
                      <a:noFill/>
                    </a:ln>
                    <a:extLst>
                      <a:ext uri="{53640926-AAD7-44D8-BBD7-CCE9431645EC}">
                        <a14:shadowObscured xmlns:a14="http://schemas.microsoft.com/office/drawing/2010/main"/>
                      </a:ext>
                    </a:extLst>
                  </pic:spPr>
                </pic:pic>
              </a:graphicData>
            </a:graphic>
          </wp:inline>
        </w:drawing>
      </w:r>
    </w:p>
    <w:p w14:paraId="59DDB858" w14:textId="6A17B402" w:rsidR="00790BD7" w:rsidRPr="00790BD7" w:rsidRDefault="00790BD7" w:rsidP="00790BD7">
      <w:pPr>
        <w:pStyle w:val="Caption"/>
        <w:keepNext/>
        <w:spacing w:after="0"/>
        <w:rPr>
          <w:i w:val="0"/>
          <w:iCs w:val="0"/>
        </w:rPr>
      </w:pPr>
      <w:r>
        <w:rPr>
          <w:i w:val="0"/>
          <w:iCs w:val="0"/>
        </w:rPr>
        <w:t>(b)</w:t>
      </w:r>
    </w:p>
    <w:p w14:paraId="60AFCC67" w14:textId="77777777" w:rsidR="009B37DB" w:rsidRDefault="00616A77" w:rsidP="00E20722">
      <w:pPr>
        <w:keepNext/>
        <w:spacing w:after="0"/>
      </w:pPr>
      <w:r>
        <w:rPr>
          <w:rFonts w:eastAsia="Times New Roman"/>
          <w:noProof/>
        </w:rPr>
        <w:drawing>
          <wp:inline distT="0" distB="0" distL="0" distR="0" wp14:anchorId="6547A057" wp14:editId="7FB61DE2">
            <wp:extent cx="5680474" cy="2846962"/>
            <wp:effectExtent l="0" t="0" r="0" b="0"/>
            <wp:docPr id="6" name="Picture 6" descr="This split-level bar chart includes the percentages of endorsed samples within a Master of Teaching Teach (Primary) and a  Master of TeachingTeach (Secondary) by de-identified higher education provider.&#10;The top chart refers to Master of Teaching Teach (Primary) with the top higher education provider at 100% and the bottom at 50%.&#10;&#10;The bottom chart refers to Master of Teaching Teach (Secondary) with the top higher education provider at 100% and the bottom at 4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split-level bar chart includes the percentages of endorsed samples within a Master of Teaching Teach (Primary) and a  Master of TeachingTeach (Secondary) by de-identified higher education provider.&#10;The top chart refers to Master of Teaching Teach (Primary) with the top higher education provider at 100% and the bottom at 50%.&#10;&#10;The bottom chart refers to Master of Teaching Teach (Secondary) with the top higher education provider at 100% and the bottom at 40%. &#10;"/>
                    <pic:cNvPicPr>
                      <a:picLocks noChangeAspect="1" noChangeArrowheads="1"/>
                    </pic:cNvPicPr>
                  </pic:nvPicPr>
                  <pic:blipFill rotWithShape="1">
                    <a:blip r:embed="rId45">
                      <a:extLst>
                        <a:ext uri="{28A0092B-C50C-407E-A947-70E740481C1C}">
                          <a14:useLocalDpi xmlns:a14="http://schemas.microsoft.com/office/drawing/2010/main" val="0"/>
                        </a:ext>
                      </a:extLst>
                    </a:blip>
                    <a:srcRect t="8883" b="3786"/>
                    <a:stretch/>
                  </pic:blipFill>
                  <pic:spPr bwMode="auto">
                    <a:xfrm>
                      <a:off x="0" y="0"/>
                      <a:ext cx="5700131" cy="2856814"/>
                    </a:xfrm>
                    <a:prstGeom prst="rect">
                      <a:avLst/>
                    </a:prstGeom>
                    <a:noFill/>
                    <a:ln>
                      <a:noFill/>
                    </a:ln>
                    <a:extLst>
                      <a:ext uri="{53640926-AAD7-44D8-BBD7-CCE9431645EC}">
                        <a14:shadowObscured xmlns:a14="http://schemas.microsoft.com/office/drawing/2010/main"/>
                      </a:ext>
                    </a:extLst>
                  </pic:spPr>
                </pic:pic>
              </a:graphicData>
            </a:graphic>
          </wp:inline>
        </w:drawing>
      </w:r>
    </w:p>
    <w:p w14:paraId="57C03192" w14:textId="18F43B17" w:rsidR="009C5D7B" w:rsidRPr="007F0BDC" w:rsidRDefault="009B37DB" w:rsidP="00D47B42">
      <w:pPr>
        <w:pStyle w:val="Caption"/>
        <w:rPr>
          <w:rFonts w:eastAsia="Times New Roman"/>
          <w:i w:val="0"/>
          <w:iCs w:val="0"/>
          <w:color w:val="000000" w:themeColor="text1"/>
          <w:sz w:val="16"/>
          <w:szCs w:val="16"/>
        </w:rPr>
      </w:pPr>
      <w:r w:rsidRPr="007F0BDC">
        <w:rPr>
          <w:i w:val="0"/>
          <w:iCs w:val="0"/>
          <w:color w:val="000000" w:themeColor="text1"/>
          <w:sz w:val="16"/>
          <w:szCs w:val="16"/>
        </w:rPr>
        <w:t>Source</w:t>
      </w:r>
      <w:r w:rsidR="00BD3593" w:rsidRPr="007F0BDC">
        <w:rPr>
          <w:i w:val="0"/>
          <w:iCs w:val="0"/>
          <w:color w:val="000000" w:themeColor="text1"/>
          <w:sz w:val="16"/>
          <w:szCs w:val="16"/>
        </w:rPr>
        <w:t xml:space="preserve">: ACU Institute for Learning and Sciences and Teacher Education, </w:t>
      </w:r>
      <w:r w:rsidR="00BD3593" w:rsidRPr="007F0BDC">
        <w:rPr>
          <w:color w:val="000000" w:themeColor="text1"/>
          <w:sz w:val="16"/>
          <w:szCs w:val="16"/>
        </w:rPr>
        <w:t>Profiling Progress in the Graduate Teacher Performance Assessment Collective: Implementing an Established Standard</w:t>
      </w:r>
      <w:r w:rsidR="00BD3593" w:rsidRPr="007F0BDC">
        <w:rPr>
          <w:i w:val="0"/>
          <w:iCs w:val="0"/>
          <w:color w:val="000000" w:themeColor="text1"/>
          <w:sz w:val="16"/>
          <w:szCs w:val="16"/>
        </w:rPr>
        <w:t xml:space="preserve"> report.</w:t>
      </w:r>
    </w:p>
    <w:p w14:paraId="033A9C90" w14:textId="33C5F0D5" w:rsidR="009C5D7B" w:rsidRDefault="009C5D7B" w:rsidP="009C5D7B">
      <w:pPr>
        <w:rPr>
          <w:rFonts w:eastAsia="Times New Roman"/>
        </w:rPr>
      </w:pPr>
      <w:r>
        <w:rPr>
          <w:rFonts w:eastAsia="Times New Roman"/>
        </w:rPr>
        <w:t xml:space="preserve">Figure </w:t>
      </w:r>
      <w:r w:rsidR="00F04246">
        <w:rPr>
          <w:rFonts w:eastAsia="Times New Roman"/>
        </w:rPr>
        <w:t xml:space="preserve">12 </w:t>
      </w:r>
      <w:r>
        <w:rPr>
          <w:rFonts w:eastAsia="Times New Roman"/>
        </w:rPr>
        <w:t>shows the predicted probabilities of endorsed samples for each higher education provider across 2019 and 2020. Each line represents the change in endorsement over the period 2019 to 2020 for a particular higher education provider. The dashed line represents the change in endorsement over time across all higher education providers.</w:t>
      </w:r>
    </w:p>
    <w:p w14:paraId="0D2814F0" w14:textId="247D8B0E" w:rsidR="009B37DB" w:rsidRPr="009B37DB" w:rsidRDefault="009B37DB" w:rsidP="009B37DB">
      <w:pPr>
        <w:pStyle w:val="Caption"/>
        <w:keepNext/>
        <w:rPr>
          <w:i w:val="0"/>
          <w:iCs w:val="0"/>
          <w:color w:val="000000" w:themeColor="text1"/>
        </w:rPr>
      </w:pPr>
      <w:r w:rsidRPr="009B37DB">
        <w:rPr>
          <w:i w:val="0"/>
          <w:iCs w:val="0"/>
          <w:color w:val="000000" w:themeColor="text1"/>
        </w:rPr>
        <w:lastRenderedPageBreak/>
        <w:t>Figure 12. Predicted probabilities for endorsement by higher education providers over time (2019, 2020)</w:t>
      </w:r>
    </w:p>
    <w:p w14:paraId="55D85468" w14:textId="77777777" w:rsidR="00D47B42" w:rsidRDefault="004A6766" w:rsidP="005707F9">
      <w:pPr>
        <w:keepNext/>
      </w:pPr>
      <w:r>
        <w:rPr>
          <w:rFonts w:eastAsia="Times New Roman"/>
          <w:noProof/>
        </w:rPr>
        <w:drawing>
          <wp:inline distT="0" distB="0" distL="0" distR="0" wp14:anchorId="06AD60E7" wp14:editId="3E3D0BBE">
            <wp:extent cx="5474970" cy="6638925"/>
            <wp:effectExtent l="0" t="0" r="0" b="9525"/>
            <wp:docPr id="20" name="Picture 20" descr="This split-level line chart shows the predicted probabilities with higher education providers represented by different coloured and patterned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split-level line chart shows the predicted probabilities with higher education providers represented by different coloured and patterned lin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4970" cy="6638925"/>
                    </a:xfrm>
                    <a:prstGeom prst="rect">
                      <a:avLst/>
                    </a:prstGeom>
                    <a:noFill/>
                  </pic:spPr>
                </pic:pic>
              </a:graphicData>
            </a:graphic>
          </wp:inline>
        </w:drawing>
      </w:r>
    </w:p>
    <w:p w14:paraId="3EE3835C" w14:textId="305CCF75" w:rsidR="009C5D7B" w:rsidRPr="00210F10" w:rsidRDefault="00D47B42" w:rsidP="00D47B42">
      <w:pPr>
        <w:pStyle w:val="Caption"/>
        <w:rPr>
          <w:rFonts w:eastAsia="Times New Roman"/>
          <w:i w:val="0"/>
          <w:sz w:val="16"/>
          <w:szCs w:val="16"/>
        </w:rPr>
      </w:pPr>
      <w:r w:rsidRPr="00210F10">
        <w:rPr>
          <w:i w:val="0"/>
          <w:sz w:val="16"/>
          <w:szCs w:val="16"/>
        </w:rPr>
        <w:t xml:space="preserve">Source: ACU Institute for Learning and Sciences and Teacher Education, </w:t>
      </w:r>
      <w:r w:rsidRPr="00210F10">
        <w:rPr>
          <w:sz w:val="16"/>
          <w:szCs w:val="16"/>
        </w:rPr>
        <w:t>Profiling Progress in the Graduate Teacher Performance Assessment Collective: Implementing an Established Standard</w:t>
      </w:r>
      <w:r w:rsidRPr="00210F10">
        <w:rPr>
          <w:i w:val="0"/>
          <w:sz w:val="16"/>
          <w:szCs w:val="16"/>
        </w:rPr>
        <w:t xml:space="preserve"> report.</w:t>
      </w:r>
    </w:p>
    <w:p w14:paraId="66BDF67F" w14:textId="77777777" w:rsidR="00370D71" w:rsidRDefault="00370D71">
      <w:pPr>
        <w:spacing w:after="0" w:line="240" w:lineRule="auto"/>
        <w:rPr>
          <w:rFonts w:eastAsia="Times New Roman"/>
        </w:rPr>
      </w:pPr>
      <w:r>
        <w:rPr>
          <w:rFonts w:eastAsia="Times New Roman"/>
        </w:rPr>
        <w:br w:type="page"/>
      </w:r>
    </w:p>
    <w:p w14:paraId="1BD12A5C" w14:textId="6D78D1A0" w:rsidR="00D12409" w:rsidRDefault="00D12409" w:rsidP="00C73014">
      <w:pPr>
        <w:rPr>
          <w:rFonts w:eastAsia="Times New Roman"/>
        </w:rPr>
      </w:pPr>
      <w:r>
        <w:rPr>
          <w:rFonts w:eastAsia="Times New Roman"/>
        </w:rPr>
        <w:lastRenderedPageBreak/>
        <w:t xml:space="preserve">This does not mean that a TPA developed by an individual </w:t>
      </w:r>
      <w:r w:rsidR="00C535E5">
        <w:rPr>
          <w:rFonts w:eastAsia="Times New Roman"/>
        </w:rPr>
        <w:t xml:space="preserve">higher education </w:t>
      </w:r>
      <w:r>
        <w:rPr>
          <w:rFonts w:eastAsia="Times New Roman"/>
        </w:rPr>
        <w:t xml:space="preserve">provider is necessarily of lower quality. It does, however, mean that it may be more difficult to ensure that its graduates are achieving a consistent standard compared with graduates from other </w:t>
      </w:r>
      <w:r w:rsidR="00370D71">
        <w:rPr>
          <w:rFonts w:eastAsia="Times New Roman"/>
        </w:rPr>
        <w:t xml:space="preserve">higher education </w:t>
      </w:r>
      <w:r>
        <w:rPr>
          <w:rFonts w:eastAsia="Times New Roman"/>
        </w:rPr>
        <w:t>providers.</w:t>
      </w:r>
      <w:r w:rsidR="00370D71">
        <w:rPr>
          <w:rFonts w:eastAsia="Times New Roman"/>
        </w:rPr>
        <w:t xml:space="preserve"> </w:t>
      </w:r>
      <w:r>
        <w:t>The University of Newcastle, for example, reports the results of the Newcastle TPA in these terms.</w:t>
      </w:r>
    </w:p>
    <w:p w14:paraId="4252DAFF" w14:textId="52EC64D5" w:rsidR="00D12409" w:rsidRDefault="00D12409" w:rsidP="00A44017">
      <w:pPr>
        <w:pStyle w:val="Breakoutbox1body"/>
        <w:rPr>
          <w:b/>
          <w:bCs w:val="0"/>
        </w:rPr>
      </w:pPr>
      <w:r w:rsidRPr="00370D71">
        <w:rPr>
          <w:b/>
          <w:bCs w:val="0"/>
        </w:rPr>
        <w:t xml:space="preserve">University of Newcastle </w:t>
      </w:r>
      <w:r w:rsidR="009A4F9D" w:rsidRPr="00370D71">
        <w:rPr>
          <w:b/>
          <w:bCs w:val="0"/>
        </w:rPr>
        <w:t>teaching performance assessment</w:t>
      </w:r>
    </w:p>
    <w:p w14:paraId="7FA83EBA" w14:textId="4F0ED844" w:rsidR="00D12409" w:rsidRDefault="00D12409" w:rsidP="00C73014">
      <w:pPr>
        <w:pStyle w:val="Breakoutbox1body"/>
        <w:spacing w:after="200"/>
      </w:pPr>
      <w:r w:rsidRPr="00485606">
        <w:t>Implemented from 2</w:t>
      </w:r>
      <w:r w:rsidRPr="00FD0D25">
        <w:t>018, the University of Newcastle TPA (NTPA) forms the critical capsto</w:t>
      </w:r>
      <w:r w:rsidRPr="00B1660A">
        <w:t xml:space="preserve">ne portfolio-based assessment of performance as a teacher during internship. </w:t>
      </w:r>
    </w:p>
    <w:p w14:paraId="747B5A75" w14:textId="0FB9CD8C" w:rsidR="00D12409" w:rsidRDefault="00D12409" w:rsidP="00C73014">
      <w:pPr>
        <w:pStyle w:val="Breakoutbox1body"/>
        <w:spacing w:after="200"/>
      </w:pPr>
      <w:r w:rsidRPr="00DD1D26">
        <w:t>To evaluate the classroom readiness component, the NTPA includes a lesson observation coded by a trained tert</w:t>
      </w:r>
      <w:r w:rsidRPr="00F14770">
        <w:t>iary supervisor using the 1-to-5 coding system for the 18 elements of</w:t>
      </w:r>
      <w:r w:rsidRPr="00290EBB">
        <w:t xml:space="preserve"> the Quality Teaching Model. </w:t>
      </w:r>
    </w:p>
    <w:p w14:paraId="3B4A2221" w14:textId="71617D83" w:rsidR="00D12409" w:rsidRDefault="00D12409" w:rsidP="00C73014">
      <w:pPr>
        <w:pStyle w:val="Breakoutbox1body"/>
        <w:spacing w:after="200"/>
      </w:pPr>
      <w:r w:rsidRPr="00CF17D7">
        <w:t>Students’ lessons are benchmarked against the average ‘Q</w:t>
      </w:r>
      <w:r w:rsidR="00CD60F5">
        <w:t xml:space="preserve">uality </w:t>
      </w:r>
      <w:r w:rsidRPr="00CF17D7">
        <w:t>T</w:t>
      </w:r>
      <w:r w:rsidR="00CD60F5">
        <w:t>eaching (</w:t>
      </w:r>
      <w:r w:rsidRPr="00CF17D7">
        <w:t>QT</w:t>
      </w:r>
      <w:r w:rsidR="00CD60F5">
        <w:t>)</w:t>
      </w:r>
      <w:r w:rsidRPr="00CF17D7">
        <w:t xml:space="preserve"> score’ of 2.7 for practising teachers found in the University’s research studies. Achievement of 2.7 or higher (averaged across the 18 elements) is taken as one indication of classroom readiness.</w:t>
      </w:r>
    </w:p>
    <w:p w14:paraId="51CDB8EE" w14:textId="77777777" w:rsidR="00370D71" w:rsidRDefault="00D12409" w:rsidP="00C73014">
      <w:pPr>
        <w:pStyle w:val="Breakoutbox1body"/>
        <w:spacing w:after="200"/>
      </w:pPr>
      <w:r w:rsidRPr="00CF17D7">
        <w:t xml:space="preserve">Preliminary analysis shows a correlation between students’ QT score during internship and their GPA, and between their QT score and overall performance on the NTPA (which has several other components). These data provide early signs of the validity of the QT score as a measure of </w:t>
      </w:r>
      <w:r w:rsidR="00E84A2E">
        <w:t>initial teacher education</w:t>
      </w:r>
      <w:r w:rsidR="00E84A2E" w:rsidRPr="00CF17D7">
        <w:t xml:space="preserve"> </w:t>
      </w:r>
      <w:r w:rsidRPr="00CF17D7">
        <w:t>quality.</w:t>
      </w:r>
    </w:p>
    <w:p w14:paraId="260C2DEC" w14:textId="0C61864B" w:rsidR="00D12409" w:rsidRPr="00CF17D7" w:rsidRDefault="00D12409" w:rsidP="00C73014">
      <w:pPr>
        <w:pStyle w:val="Breakoutbox1body"/>
        <w:spacing w:after="200"/>
      </w:pPr>
      <w:r w:rsidRPr="00CF17D7">
        <w:rPr>
          <w:rFonts w:ascii="Calibri" w:hAnsi="Calibri" w:cs="Calibri"/>
          <w:sz w:val="22"/>
          <w:szCs w:val="22"/>
        </w:rPr>
        <w:t>I</w:t>
      </w:r>
      <w:r w:rsidRPr="00CF17D7">
        <w:t>nternal consistency for the total NTPA score (using Cronbach’s alpha estimates</w:t>
      </w:r>
      <w:r w:rsidRPr="00CF17D7">
        <w:rPr>
          <w:sz w:val="13"/>
          <w:szCs w:val="13"/>
        </w:rPr>
        <w:t>35</w:t>
      </w:r>
      <w:r w:rsidRPr="00CF17D7">
        <w:t>) was very high at .90, while the planning (.79), teaching (.81), and assessing (.72) domains obtained alpha measures conventionally seen as ‘acceptable’ to ‘good/excellent’.</w:t>
      </w:r>
    </w:p>
    <w:p w14:paraId="3C4A79B9" w14:textId="5A785C24" w:rsidR="00D12409" w:rsidRPr="00641703" w:rsidRDefault="00D12409" w:rsidP="00C73014">
      <w:pPr>
        <w:spacing w:before="200"/>
        <w:rPr>
          <w:rFonts w:eastAsia="Times New Roman"/>
        </w:rPr>
      </w:pPr>
      <w:r>
        <w:rPr>
          <w:rFonts w:eastAsia="Times New Roman"/>
        </w:rPr>
        <w:t>There is general support among higher education providers for requiring cross-institutional moderation of TPAs. The ACU research indicates that higher education providers working together to demonstrate consistency in scoring is a ‘necessary precondition for moving to a more ambitious enterprise of benchmarking teacher education nationally</w:t>
      </w:r>
      <w:r w:rsidR="00764D8D">
        <w:rPr>
          <w:rFonts w:eastAsia="Times New Roman"/>
        </w:rPr>
        <w:t>’</w:t>
      </w:r>
      <w:r>
        <w:rPr>
          <w:rFonts w:eastAsia="Times New Roman"/>
        </w:rPr>
        <w:t xml:space="preserve"> (ACU 2021</w:t>
      </w:r>
      <w:r w:rsidR="00341AF2">
        <w:rPr>
          <w:rFonts w:eastAsia="Times New Roman"/>
        </w:rPr>
        <w:t>a</w:t>
      </w:r>
      <w:r>
        <w:rPr>
          <w:rFonts w:eastAsia="Times New Roman"/>
        </w:rPr>
        <w:t>).</w:t>
      </w:r>
    </w:p>
    <w:p w14:paraId="102C7086" w14:textId="77777777" w:rsidR="00D12409" w:rsidRDefault="00D12409" w:rsidP="00D12409">
      <w:pPr>
        <w:pStyle w:val="Heading6"/>
        <w:ind w:left="1247" w:hanging="1247"/>
      </w:pPr>
      <w:r>
        <w:t>Professional Experience</w:t>
      </w:r>
    </w:p>
    <w:p w14:paraId="13E56EA4" w14:textId="495EE7CE" w:rsidR="00D12409" w:rsidRDefault="00D12409" w:rsidP="00D12409">
      <w:pPr>
        <w:rPr>
          <w:rFonts w:eastAsia="Times New Roman"/>
        </w:rPr>
      </w:pPr>
      <w:r>
        <w:rPr>
          <w:rFonts w:eastAsia="Times New Roman"/>
        </w:rPr>
        <w:t>The importance of professional experience as a critical component of ITE programs is agreed by all stakeholders. High-performing education systems prioritise experience in classroom settings</w:t>
      </w:r>
      <w:r w:rsidR="00370D71">
        <w:rPr>
          <w:rFonts w:eastAsia="Times New Roman"/>
        </w:rPr>
        <w:t>.</w:t>
      </w:r>
    </w:p>
    <w:p w14:paraId="63D258A0" w14:textId="77777777" w:rsidR="00D12409" w:rsidRPr="00634AAF" w:rsidRDefault="00D12409" w:rsidP="00CD1FEB">
      <w:pPr>
        <w:pStyle w:val="Quote"/>
        <w:framePr w:wrap="around"/>
      </w:pPr>
      <w:r w:rsidRPr="00634AAF">
        <w:t>‘Top-performing education systems also work to move their initial teacher education programmes towards a model based less on preparing academics and more on preparing professionals in classroom settings, in which teachers get into schools earlier, spend more time there, and get more and better support in the process.’</w:t>
      </w:r>
    </w:p>
    <w:p w14:paraId="179EE42B" w14:textId="659310D4" w:rsidR="00D12409" w:rsidRPr="00634AAF" w:rsidRDefault="00D12409" w:rsidP="00CD1FEB">
      <w:pPr>
        <w:pStyle w:val="Quote"/>
        <w:framePr w:wrap="around"/>
      </w:pPr>
      <w:r w:rsidRPr="00634AAF">
        <w:t>(Schleicher 2018).</w:t>
      </w:r>
    </w:p>
    <w:p w14:paraId="45A40AA1" w14:textId="77777777" w:rsidR="00D12409" w:rsidRDefault="00D12409" w:rsidP="00D12409">
      <w:pPr>
        <w:spacing w:after="0"/>
        <w:rPr>
          <w:rFonts w:eastAsia="Times New Roman"/>
        </w:rPr>
      </w:pPr>
    </w:p>
    <w:p w14:paraId="4138A77E" w14:textId="4D462B4F" w:rsidR="00D12409" w:rsidRDefault="00D12409" w:rsidP="00D12409">
      <w:pPr>
        <w:rPr>
          <w:rFonts w:eastAsia="Times New Roman"/>
        </w:rPr>
      </w:pPr>
      <w:r w:rsidRPr="0995B48D">
        <w:rPr>
          <w:rFonts w:eastAsia="Times New Roman"/>
        </w:rPr>
        <w:t>Research conducted by ACU has found that professional experience is integral to progression through ITE. Failing the professional experience component is the main assessment barrier to completion of a program</w:t>
      </w:r>
      <w:r w:rsidR="08D7AC52" w:rsidRPr="0995B48D">
        <w:rPr>
          <w:rFonts w:eastAsia="Times New Roman"/>
        </w:rPr>
        <w:t xml:space="preserve"> and</w:t>
      </w:r>
      <w:r w:rsidRPr="0995B48D">
        <w:rPr>
          <w:rFonts w:eastAsia="Times New Roman"/>
        </w:rPr>
        <w:t xml:space="preserve"> often leads to separation from the program (ACU 2021</w:t>
      </w:r>
      <w:r w:rsidR="00341AF2">
        <w:rPr>
          <w:rFonts w:eastAsia="Times New Roman"/>
        </w:rPr>
        <w:t>a</w:t>
      </w:r>
      <w:r w:rsidRPr="0995B48D">
        <w:rPr>
          <w:rFonts w:eastAsia="Times New Roman"/>
        </w:rPr>
        <w:t>).</w:t>
      </w:r>
    </w:p>
    <w:p w14:paraId="1D195C0C" w14:textId="77777777" w:rsidR="003A29DE" w:rsidRDefault="003A29DE">
      <w:pPr>
        <w:spacing w:after="0" w:line="240" w:lineRule="auto"/>
        <w:rPr>
          <w:rFonts w:eastAsia="Times New Roman"/>
        </w:rPr>
      </w:pPr>
      <w:r>
        <w:rPr>
          <w:rFonts w:eastAsia="Times New Roman"/>
        </w:rPr>
        <w:br w:type="page"/>
      </w:r>
    </w:p>
    <w:p w14:paraId="357E60EB" w14:textId="67ED7E76" w:rsidR="00D12409" w:rsidRDefault="00D12409" w:rsidP="00D12409">
      <w:pPr>
        <w:rPr>
          <w:rFonts w:eastAsia="Times New Roman"/>
        </w:rPr>
      </w:pPr>
      <w:r>
        <w:rPr>
          <w:rFonts w:eastAsia="Times New Roman"/>
        </w:rPr>
        <w:lastRenderedPageBreak/>
        <w:t xml:space="preserve">Respondents to the QITE general survey </w:t>
      </w:r>
      <w:r w:rsidR="000D61CB">
        <w:rPr>
          <w:rFonts w:eastAsia="Times New Roman"/>
        </w:rPr>
        <w:t>were asked to select how practical experience placements could be improved in school</w:t>
      </w:r>
      <w:r w:rsidR="005077CE">
        <w:rPr>
          <w:rFonts w:eastAsia="Times New Roman"/>
        </w:rPr>
        <w:t>s, demonstrating</w:t>
      </w:r>
      <w:r w:rsidR="000D61CB">
        <w:rPr>
          <w:rFonts w:eastAsia="Times New Roman"/>
        </w:rPr>
        <w:t xml:space="preserve"> </w:t>
      </w:r>
      <w:r>
        <w:rPr>
          <w:rFonts w:eastAsia="Times New Roman"/>
        </w:rPr>
        <w:t>the importance of professional experience to stakeholders</w:t>
      </w:r>
      <w:r w:rsidR="009D59EC">
        <w:rPr>
          <w:rFonts w:eastAsia="Times New Roman"/>
        </w:rPr>
        <w:t xml:space="preserve"> (Figure 13).</w:t>
      </w:r>
    </w:p>
    <w:p w14:paraId="6A80DEB0" w14:textId="79838AF4" w:rsidR="00812739" w:rsidRDefault="00276944" w:rsidP="0039728E">
      <w:pPr>
        <w:keepNext/>
        <w:spacing w:after="0"/>
      </w:pPr>
      <w:r w:rsidRPr="00D81478">
        <w:rPr>
          <w:sz w:val="18"/>
          <w:szCs w:val="18"/>
        </w:rPr>
        <w:t>Figure 13. Improving practical experience placements (survey responses)</w:t>
      </w:r>
      <w:r w:rsidRPr="005E72B2">
        <w:t xml:space="preserve"> </w:t>
      </w:r>
      <w:r w:rsidR="001148F2">
        <w:rPr>
          <w:noProof/>
        </w:rPr>
        <w:drawing>
          <wp:inline distT="0" distB="0" distL="0" distR="0" wp14:anchorId="27F6D224" wp14:editId="137D9E64">
            <wp:extent cx="5727700" cy="3440854"/>
            <wp:effectExtent l="0" t="0" r="0" b="0"/>
            <wp:docPr id="27" name="Picture 27" descr="This bar chart represents the responses to the survey question about improvements to practical experience in schools. The percentage represents the number of respondents who felt practical experience would be improved by making the suggested change.&#10;&#10;•Ensure teachers have enough capacity (e.g. time release) 85%&#10;•Ensure students access practical experience placements early in their degrees 84%&#10;•Ensure placements are long enough 80%&#10;•Ensure students complete placements at different schools 80%&#10;•Support students financially to undertake placements 78%&#10;•More training for supervising teachers 72%&#10;•Increase the minimum number of days to be spent on placements 49%&#10;•Other 24%&#10;•Uns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bar chart represents the responses to the survey question about improvements to practical experience in schools. The percentage represents the number of respondents who felt practical experience would be improved by making the suggested change.&#10;&#10;•Ensure teachers have enough capacity (e.g. time release) 85%&#10;•Ensure students access practical experience placements early in their degrees 84%&#10;•Ensure placements are long enough 80%&#10;•Ensure students complete placements at different schools 80%&#10;•Support students financially to undertake placements 78%&#10;•More training for supervising teachers 72%&#10;•Increase the minimum number of days to be spent on placements 49%&#10;•Other 24%&#10;•Unsure 0%&#10;"/>
                    <pic:cNvPicPr/>
                  </pic:nvPicPr>
                  <pic:blipFill rotWithShape="1">
                    <a:blip r:embed="rId47">
                      <a:extLst>
                        <a:ext uri="{28A0092B-C50C-407E-A947-70E740481C1C}">
                          <a14:useLocalDpi xmlns:a14="http://schemas.microsoft.com/office/drawing/2010/main" val="0"/>
                        </a:ext>
                      </a:extLst>
                    </a:blip>
                    <a:srcRect t="12498" b="13679"/>
                    <a:stretch/>
                  </pic:blipFill>
                  <pic:spPr bwMode="auto">
                    <a:xfrm>
                      <a:off x="0" y="0"/>
                      <a:ext cx="5727700" cy="3440854"/>
                    </a:xfrm>
                    <a:prstGeom prst="rect">
                      <a:avLst/>
                    </a:prstGeom>
                    <a:ln>
                      <a:noFill/>
                    </a:ln>
                    <a:extLst>
                      <a:ext uri="{53640926-AAD7-44D8-BBD7-CCE9431645EC}">
                        <a14:shadowObscured xmlns:a14="http://schemas.microsoft.com/office/drawing/2010/main"/>
                      </a:ext>
                    </a:extLst>
                  </pic:spPr>
                </pic:pic>
              </a:graphicData>
            </a:graphic>
          </wp:inline>
        </w:drawing>
      </w:r>
    </w:p>
    <w:p w14:paraId="464FFA09" w14:textId="77777777" w:rsidR="0039728E" w:rsidRPr="0039728E" w:rsidRDefault="0039728E" w:rsidP="00D12409">
      <w:pPr>
        <w:rPr>
          <w:rFonts w:eastAsia="Times New Roman"/>
          <w:sz w:val="16"/>
          <w:szCs w:val="16"/>
        </w:rPr>
      </w:pPr>
      <w:r w:rsidRPr="0039728E">
        <w:rPr>
          <w:sz w:val="16"/>
          <w:szCs w:val="16"/>
        </w:rPr>
        <w:t>Source: QITE general survey</w:t>
      </w:r>
      <w:r w:rsidRPr="0039728E">
        <w:rPr>
          <w:rFonts w:eastAsia="Times New Roman"/>
          <w:sz w:val="16"/>
          <w:szCs w:val="16"/>
        </w:rPr>
        <w:t xml:space="preserve"> </w:t>
      </w:r>
    </w:p>
    <w:p w14:paraId="0B109775" w14:textId="237B253A" w:rsidR="00D12409" w:rsidRDefault="00D12409" w:rsidP="00D12409">
      <w:pPr>
        <w:rPr>
          <w:rFonts w:eastAsia="Times New Roman"/>
        </w:rPr>
      </w:pPr>
      <w:r>
        <w:rPr>
          <w:rFonts w:eastAsia="Times New Roman"/>
        </w:rPr>
        <w:t xml:space="preserve">As with other key areas of ITE programs, there is limited evidence on how professional experience works in practice. </w:t>
      </w:r>
      <w:r w:rsidR="001C4137">
        <w:rPr>
          <w:rFonts w:eastAsia="Times New Roman"/>
        </w:rPr>
        <w:t>The Expert Panel</w:t>
      </w:r>
      <w:r>
        <w:rPr>
          <w:rFonts w:eastAsia="Times New Roman"/>
        </w:rPr>
        <w:t xml:space="preserve"> heard about excellent partnerships and innovative responses to the delivery of professional experience, such as virtual placements. Stakeholders, however, have also noted that the quality of professional experience is highly variable and have raised a number of concerns about the provision of quality professional experience for ITE students. </w:t>
      </w:r>
    </w:p>
    <w:p w14:paraId="168F1542" w14:textId="77777777" w:rsidR="00D12409" w:rsidRPr="00187279" w:rsidRDefault="00D12409" w:rsidP="00D12409">
      <w:pPr>
        <w:pStyle w:val="Heading7"/>
      </w:pPr>
      <w:r w:rsidRPr="00187279">
        <w:t>Timing of professional experience</w:t>
      </w:r>
    </w:p>
    <w:p w14:paraId="0A2F4FD5" w14:textId="63788D4A" w:rsidR="00D12409" w:rsidRDefault="00D12409" w:rsidP="00D12409">
      <w:pPr>
        <w:rPr>
          <w:rFonts w:eastAsia="Times New Roman"/>
        </w:rPr>
      </w:pPr>
      <w:r>
        <w:rPr>
          <w:rFonts w:eastAsia="Times New Roman"/>
        </w:rPr>
        <w:t xml:space="preserve">Although the Accreditation Standards require ITE programs to expose students to classroom environments as early as practicable in the program, </w:t>
      </w:r>
      <w:r w:rsidR="00CF4233">
        <w:rPr>
          <w:rFonts w:eastAsia="Times New Roman"/>
        </w:rPr>
        <w:t xml:space="preserve">the Expert Panel </w:t>
      </w:r>
      <w:r>
        <w:rPr>
          <w:rFonts w:eastAsia="Times New Roman"/>
        </w:rPr>
        <w:t>heard from stakeholders that some ITE students are not undertaking professional experience until well into their program.</w:t>
      </w:r>
    </w:p>
    <w:p w14:paraId="54166376" w14:textId="0C04D474" w:rsidR="00D12409" w:rsidRDefault="00D12409" w:rsidP="00D12409">
      <w:pPr>
        <w:rPr>
          <w:rFonts w:eastAsia="Times New Roman"/>
        </w:rPr>
      </w:pPr>
      <w:r>
        <w:rPr>
          <w:rFonts w:eastAsia="Times New Roman"/>
        </w:rPr>
        <w:t xml:space="preserve">Placing students into classrooms as early as possible assists them to decide whether teaching is the right career for them. It is preferable that a student realises teaching is not the career for them in the first year of a program rather than the fourth year. Some </w:t>
      </w:r>
      <w:r w:rsidR="00E7166E">
        <w:rPr>
          <w:rFonts w:eastAsia="Times New Roman"/>
        </w:rPr>
        <w:t>ITE students</w:t>
      </w:r>
      <w:r>
        <w:rPr>
          <w:rFonts w:eastAsia="Times New Roman"/>
        </w:rPr>
        <w:t xml:space="preserve"> themselves express a preference for being ‘thrown in at the deep end’, spending fewer days on observation before beginning to teach lessons (anonymous submission). Genuine experience in the classroom has also been raised as important. Some teachers and school leaders consider observation periods of little value when compared with structured experiences (Independent Education Union submission).</w:t>
      </w:r>
    </w:p>
    <w:p w14:paraId="79F291D6" w14:textId="7E846538" w:rsidR="00D12409" w:rsidRDefault="00D12409" w:rsidP="00D12409">
      <w:pPr>
        <w:rPr>
          <w:rFonts w:eastAsia="Times New Roman"/>
        </w:rPr>
      </w:pPr>
      <w:r>
        <w:rPr>
          <w:rFonts w:eastAsia="Times New Roman"/>
        </w:rPr>
        <w:t>A second consideration with timing is when in the school year ITE students spend time in classrooms. Some stakeholders noted that ITE students are placed in schools at the end of each school term when assessment is taking place. The Queensland College of Teachers report</w:t>
      </w:r>
      <w:r w:rsidR="00615835">
        <w:rPr>
          <w:rFonts w:eastAsia="Times New Roman"/>
        </w:rPr>
        <w:t>s</w:t>
      </w:r>
      <w:r>
        <w:rPr>
          <w:rFonts w:eastAsia="Times New Roman"/>
        </w:rPr>
        <w:t xml:space="preserve"> anecdotal feedback that </w:t>
      </w:r>
      <w:r w:rsidR="00BC0634">
        <w:rPr>
          <w:rFonts w:eastAsia="Times New Roman"/>
        </w:rPr>
        <w:t>ITE students</w:t>
      </w:r>
      <w:r>
        <w:rPr>
          <w:rFonts w:eastAsia="Times New Roman"/>
        </w:rPr>
        <w:t xml:space="preserve"> want experience across the school year and the teaching and learning cycle (Queensland College of Teachers submission). </w:t>
      </w:r>
    </w:p>
    <w:p w14:paraId="69D1B520" w14:textId="3057302C" w:rsidR="00D12409" w:rsidRDefault="00D12409" w:rsidP="00D12409">
      <w:pPr>
        <w:rPr>
          <w:rFonts w:eastAsia="Times New Roman"/>
        </w:rPr>
      </w:pPr>
      <w:r w:rsidRPr="0995B48D">
        <w:rPr>
          <w:rFonts w:eastAsia="Times New Roman"/>
        </w:rPr>
        <w:lastRenderedPageBreak/>
        <w:t xml:space="preserve">Ideally, to best prepare </w:t>
      </w:r>
      <w:r w:rsidR="00E7166E">
        <w:rPr>
          <w:rFonts w:eastAsia="Times New Roman"/>
        </w:rPr>
        <w:t>ITE students</w:t>
      </w:r>
      <w:r w:rsidRPr="0995B48D">
        <w:rPr>
          <w:rFonts w:eastAsia="Times New Roman"/>
        </w:rPr>
        <w:t xml:space="preserve"> for the demands of teaching, they should experience all the key roles of a teacher throughout the school year such as beginning of the year planning, establishing baseline data on students, end of term reporting, assessment and marking, </w:t>
      </w:r>
      <w:r w:rsidR="00C33CCB">
        <w:rPr>
          <w:rFonts w:eastAsia="Times New Roman"/>
        </w:rPr>
        <w:t>family/carer</w:t>
      </w:r>
      <w:r w:rsidRPr="0995B48D">
        <w:rPr>
          <w:rFonts w:eastAsia="Times New Roman"/>
        </w:rPr>
        <w:t>-teacher relationships and school professional development days (Australian Secondary Principals Association submission; Catholic Education Diocese of Parramatta submission; Queensland Catholic Education Commission submission).</w:t>
      </w:r>
    </w:p>
    <w:p w14:paraId="2D1E8C87" w14:textId="3EF5C3AB" w:rsidR="00D12409" w:rsidRDefault="00886EEF" w:rsidP="00D12409">
      <w:pPr>
        <w:rPr>
          <w:rFonts w:eastAsia="Times New Roman"/>
        </w:rPr>
      </w:pPr>
      <w:r>
        <w:rPr>
          <w:rFonts w:eastAsia="Times New Roman"/>
        </w:rPr>
        <w:t xml:space="preserve">The Expert Panel </w:t>
      </w:r>
      <w:r w:rsidR="00D12409">
        <w:rPr>
          <w:rFonts w:eastAsia="Times New Roman"/>
        </w:rPr>
        <w:t>acknowledge</w:t>
      </w:r>
      <w:r>
        <w:rPr>
          <w:rFonts w:eastAsia="Times New Roman"/>
        </w:rPr>
        <w:t>s</w:t>
      </w:r>
      <w:r w:rsidR="00D12409">
        <w:rPr>
          <w:rFonts w:eastAsia="Times New Roman"/>
        </w:rPr>
        <w:t xml:space="preserve"> that this can be challenging for schools and higher education providers to coordinate; however, there are different models for how early exposure to schools could be implemented, which could help minimise the impact on schools, such as </w:t>
      </w:r>
      <w:hyperlink r:id="rId48" w:history="1">
        <w:r w:rsidR="00D12409" w:rsidRPr="000B4426">
          <w:rPr>
            <w:rStyle w:val="Hyperlink"/>
            <w:rFonts w:eastAsia="Times New Roman"/>
          </w:rPr>
          <w:t>Teach For Australia’s School Virtual Experience</w:t>
        </w:r>
      </w:hyperlink>
      <w:r w:rsidR="00D12409">
        <w:rPr>
          <w:rFonts w:eastAsia="Times New Roman"/>
        </w:rPr>
        <w:t xml:space="preserve"> which makes use of virtual placements. </w:t>
      </w:r>
    </w:p>
    <w:p w14:paraId="0801F335" w14:textId="77777777" w:rsidR="00D12409" w:rsidRPr="000C0532" w:rsidRDefault="00D12409" w:rsidP="00D12409">
      <w:pPr>
        <w:pStyle w:val="Heading7"/>
      </w:pPr>
      <w:r>
        <w:t>Delivery of professional experience</w:t>
      </w:r>
    </w:p>
    <w:p w14:paraId="4DDBFBC4" w14:textId="41BFDE87" w:rsidR="00D12409" w:rsidRDefault="00B81190" w:rsidP="00D12409">
      <w:pPr>
        <w:rPr>
          <w:rFonts w:eastAsia="Times New Roman"/>
        </w:rPr>
      </w:pPr>
      <w:r>
        <w:rPr>
          <w:rFonts w:eastAsia="Times New Roman"/>
        </w:rPr>
        <w:t xml:space="preserve">The </w:t>
      </w:r>
      <w:r w:rsidR="00D12409">
        <w:rPr>
          <w:rFonts w:eastAsia="Times New Roman"/>
        </w:rPr>
        <w:t xml:space="preserve">ACU has found that it is beneficial for </w:t>
      </w:r>
      <w:r w:rsidR="00E7166E">
        <w:rPr>
          <w:rFonts w:eastAsia="Times New Roman"/>
        </w:rPr>
        <w:t>ITE students</w:t>
      </w:r>
      <w:r w:rsidR="00D12409">
        <w:rPr>
          <w:rFonts w:eastAsia="Times New Roman"/>
        </w:rPr>
        <w:t xml:space="preserve"> to be ‘immersed in classrooms for a much longer period of their candidature’, a sentiment that is shared by other stakeholders, including Catholic School Parents Australia, who suggest that </w:t>
      </w:r>
      <w:r w:rsidR="00B66A3F">
        <w:rPr>
          <w:rFonts w:eastAsia="Times New Roman"/>
        </w:rPr>
        <w:t>ITE students</w:t>
      </w:r>
      <w:r w:rsidR="00D12409">
        <w:rPr>
          <w:rFonts w:eastAsia="Times New Roman"/>
        </w:rPr>
        <w:t xml:space="preserve"> could undertake a longer period of professional experience towards the end of their program, for example, at least one semester (20 weeks) (Catholic School Parents Australia submission).</w:t>
      </w:r>
    </w:p>
    <w:p w14:paraId="0B565AEF" w14:textId="44352369" w:rsidR="00D12409" w:rsidRDefault="00D12409" w:rsidP="00D12409">
      <w:pPr>
        <w:rPr>
          <w:rFonts w:eastAsia="Times New Roman"/>
        </w:rPr>
      </w:pPr>
      <w:r>
        <w:rPr>
          <w:rFonts w:eastAsia="Times New Roman"/>
        </w:rPr>
        <w:t xml:space="preserve">Some stakeholders noted that professional experience placements spread over a number of years in several schools do not allow </w:t>
      </w:r>
      <w:r w:rsidR="004E02A6">
        <w:rPr>
          <w:rFonts w:eastAsia="Times New Roman"/>
        </w:rPr>
        <w:t>ITE students</w:t>
      </w:r>
      <w:r>
        <w:rPr>
          <w:rFonts w:eastAsia="Times New Roman"/>
        </w:rPr>
        <w:t xml:space="preserve"> to build relationships with students and staff over time. Consistency and ongoing immersion in a school environment will give </w:t>
      </w:r>
      <w:r w:rsidR="004E02A6">
        <w:rPr>
          <w:rFonts w:eastAsia="Times New Roman"/>
        </w:rPr>
        <w:t>ITE students</w:t>
      </w:r>
      <w:r>
        <w:rPr>
          <w:rFonts w:eastAsia="Times New Roman"/>
        </w:rPr>
        <w:t xml:space="preserve"> a more comprehensive understanding of schools and classrooms (Catholic Education Tasmania submission).</w:t>
      </w:r>
    </w:p>
    <w:p w14:paraId="0AEB364E" w14:textId="459C5407" w:rsidR="00D12409" w:rsidRDefault="00D12409" w:rsidP="00D12409">
      <w:pPr>
        <w:rPr>
          <w:rFonts w:eastAsia="Times New Roman"/>
        </w:rPr>
      </w:pPr>
      <w:r>
        <w:rPr>
          <w:rFonts w:eastAsia="Times New Roman"/>
        </w:rPr>
        <w:t xml:space="preserve">Consideration of the diversity of settings </w:t>
      </w:r>
      <w:r w:rsidR="00A7035B">
        <w:rPr>
          <w:rFonts w:eastAsia="Times New Roman"/>
        </w:rPr>
        <w:t>ITE students</w:t>
      </w:r>
      <w:r>
        <w:rPr>
          <w:rFonts w:eastAsia="Times New Roman"/>
        </w:rPr>
        <w:t xml:space="preserve"> experience is also important. All teachers need experience in teaching students with diverse learning profiles. </w:t>
      </w:r>
    </w:p>
    <w:p w14:paraId="7C8EF9A4" w14:textId="3627E35E" w:rsidR="00D12409" w:rsidRDefault="00D12409" w:rsidP="00D12409">
      <w:pPr>
        <w:rPr>
          <w:rFonts w:eastAsia="Times New Roman"/>
        </w:rPr>
      </w:pPr>
      <w:r w:rsidRPr="6BFE7B19">
        <w:rPr>
          <w:rFonts w:eastAsia="Times New Roman"/>
        </w:rPr>
        <w:t xml:space="preserve">For ITE programs preparing early childhood teachers, for example, it is important that </w:t>
      </w:r>
      <w:r w:rsidR="00350ADB">
        <w:rPr>
          <w:rFonts w:eastAsia="Times New Roman"/>
        </w:rPr>
        <w:t>ITE students</w:t>
      </w:r>
      <w:r w:rsidRPr="6BFE7B19">
        <w:rPr>
          <w:rFonts w:eastAsia="Times New Roman"/>
        </w:rPr>
        <w:t xml:space="preserve"> have the opportunity to gain experience in diverse settings, both in long day care and preschool/kindergarten (Early Learning and Care Council of Australia submission). Ensuring all </w:t>
      </w:r>
      <w:r w:rsidR="00350ADB">
        <w:rPr>
          <w:rFonts w:eastAsia="Times New Roman"/>
        </w:rPr>
        <w:t>ITE students</w:t>
      </w:r>
      <w:r w:rsidRPr="6BFE7B19">
        <w:rPr>
          <w:rFonts w:eastAsia="Times New Roman"/>
        </w:rPr>
        <w:t xml:space="preserve"> have the opportunity to gain experience in teaching students with disability is also critical. This should not be limited to students studying special education, as all teachers need to be prepared for the diversity that is typical in mainstream classrooms (Family Advocacy submission). This is particularly important given the views of stakeholders that currently graduate teachers are not well prepared in many of these areas. </w:t>
      </w:r>
      <w:r w:rsidR="003A2190">
        <w:rPr>
          <w:rFonts w:eastAsia="Times New Roman"/>
        </w:rPr>
        <w:t>C</w:t>
      </w:r>
      <w:r w:rsidRPr="6BFE7B19">
        <w:rPr>
          <w:rFonts w:eastAsia="Times New Roman"/>
        </w:rPr>
        <w:t>onsultations</w:t>
      </w:r>
      <w:r w:rsidR="003A2190">
        <w:rPr>
          <w:rFonts w:eastAsia="Times New Roman"/>
        </w:rPr>
        <w:t xml:space="preserve"> undertaken for the Review </w:t>
      </w:r>
      <w:r w:rsidR="00A14148">
        <w:rPr>
          <w:rFonts w:eastAsia="Times New Roman"/>
        </w:rPr>
        <w:t>indicate</w:t>
      </w:r>
      <w:r w:rsidRPr="6BFE7B19">
        <w:rPr>
          <w:rFonts w:eastAsia="Times New Roman"/>
        </w:rPr>
        <w:t xml:space="preserve"> that ITE students may be actively discouraged from undertaking professional experience placements in special education settings. </w:t>
      </w:r>
      <w:r w:rsidR="00D40A34" w:rsidRPr="6BFE7B19">
        <w:rPr>
          <w:rFonts w:eastAsia="Times New Roman"/>
        </w:rPr>
        <w:t xml:space="preserve">Further, in </w:t>
      </w:r>
      <w:r w:rsidR="00857649" w:rsidRPr="6BFE7B19">
        <w:rPr>
          <w:rFonts w:eastAsia="Times New Roman"/>
        </w:rPr>
        <w:t>discussions with stakeholders it was note</w:t>
      </w:r>
      <w:r w:rsidR="767E972F" w:rsidRPr="6BFE7B19">
        <w:rPr>
          <w:rFonts w:eastAsia="Times New Roman"/>
        </w:rPr>
        <w:t>d</w:t>
      </w:r>
      <w:r w:rsidR="00857649" w:rsidRPr="6BFE7B19">
        <w:rPr>
          <w:rFonts w:eastAsia="Times New Roman"/>
        </w:rPr>
        <w:t xml:space="preserve"> that l</w:t>
      </w:r>
      <w:r w:rsidRPr="6BFE7B19">
        <w:rPr>
          <w:rFonts w:eastAsia="Times New Roman"/>
        </w:rPr>
        <w:t>imited opportunities to undertake professional experience in these settings likely contribute to teachers feeling unprepared.</w:t>
      </w:r>
    </w:p>
    <w:p w14:paraId="140C0855" w14:textId="02E4C3B0" w:rsidR="00D12409" w:rsidRPr="00CB0410" w:rsidRDefault="00D12409" w:rsidP="00D12409">
      <w:pPr>
        <w:rPr>
          <w:rFonts w:eastAsia="Times New Roman"/>
        </w:rPr>
      </w:pPr>
      <w:r w:rsidRPr="0995B48D">
        <w:rPr>
          <w:rFonts w:eastAsia="Times New Roman"/>
        </w:rPr>
        <w:t xml:space="preserve">Opportunities for </w:t>
      </w:r>
      <w:r w:rsidR="000633B7">
        <w:rPr>
          <w:rFonts w:eastAsia="Times New Roman"/>
        </w:rPr>
        <w:t>ITE students</w:t>
      </w:r>
      <w:r w:rsidRPr="0995B48D">
        <w:rPr>
          <w:rFonts w:eastAsia="Times New Roman"/>
        </w:rPr>
        <w:t xml:space="preserve"> to experience teaching in regional, rural and remote areas are also an important consideration. Financial support for ITE students (for example living expenses, maintaining student lodgings while on placement) may also be needed to support rural placements (Isolated Children’s Parents’ Association submission). Experiencing</w:t>
      </w:r>
      <w:r w:rsidRPr="0995B48D" w:rsidDel="005D6842">
        <w:rPr>
          <w:rFonts w:eastAsia="Times New Roman"/>
        </w:rPr>
        <w:t xml:space="preserve"> </w:t>
      </w:r>
      <w:r w:rsidR="005D6842">
        <w:rPr>
          <w:rFonts w:eastAsia="Times New Roman"/>
        </w:rPr>
        <w:t>professional experience placements</w:t>
      </w:r>
      <w:r w:rsidRPr="0995B48D">
        <w:rPr>
          <w:rFonts w:eastAsia="Times New Roman"/>
        </w:rPr>
        <w:t xml:space="preserve"> in remote settings can be expensive for student-teachers who may forgo part time work in their usual places of residence. Subsidies to undertake </w:t>
      </w:r>
      <w:r w:rsidR="005D60B4">
        <w:rPr>
          <w:rFonts w:eastAsia="Times New Roman"/>
        </w:rPr>
        <w:t>professional experience placements</w:t>
      </w:r>
      <w:r w:rsidRPr="0995B48D">
        <w:rPr>
          <w:rFonts w:eastAsia="Times New Roman"/>
        </w:rPr>
        <w:t xml:space="preserve"> in hard to staff areas, may encourage graduate teachers to consider remote positions (Australian Primary Principals Association submission).</w:t>
      </w:r>
    </w:p>
    <w:p w14:paraId="2493BAD5" w14:textId="77777777" w:rsidR="00A43A9C" w:rsidRPr="00CB0410" w:rsidRDefault="00A43A9C" w:rsidP="00D12409">
      <w:pPr>
        <w:rPr>
          <w:rFonts w:eastAsia="Times New Roman"/>
        </w:rPr>
      </w:pPr>
    </w:p>
    <w:p w14:paraId="2CA8732E" w14:textId="70ECF067" w:rsidR="00D12409" w:rsidRDefault="00D12409" w:rsidP="00A44017">
      <w:pPr>
        <w:pStyle w:val="Breakoutbox1body"/>
        <w:rPr>
          <w:b/>
          <w:bCs w:val="0"/>
        </w:rPr>
      </w:pPr>
      <w:r w:rsidRPr="003A29DE">
        <w:rPr>
          <w:b/>
          <w:bCs w:val="0"/>
        </w:rPr>
        <w:lastRenderedPageBreak/>
        <w:t>Beyond the Range Professional Experience Grant</w:t>
      </w:r>
    </w:p>
    <w:p w14:paraId="55577E6E" w14:textId="1CFDADD0" w:rsidR="00D12409" w:rsidRDefault="00D12409" w:rsidP="00C73014">
      <w:pPr>
        <w:pStyle w:val="Breakoutbox1body"/>
        <w:spacing w:after="200"/>
      </w:pPr>
      <w:r w:rsidRPr="00485606">
        <w:t>The Beyond the Range Professional Experience Grant provides financial</w:t>
      </w:r>
      <w:r w:rsidRPr="00845042">
        <w:t xml:space="preserve"> support for</w:t>
      </w:r>
      <w:r w:rsidR="00F24ABA">
        <w:t xml:space="preserve"> </w:t>
      </w:r>
      <w:r w:rsidR="00AB0489">
        <w:t xml:space="preserve">initial teacher education (ITE) </w:t>
      </w:r>
      <w:r w:rsidR="00F24ABA">
        <w:t>students</w:t>
      </w:r>
      <w:r w:rsidRPr="00845042">
        <w:t xml:space="preserve"> </w:t>
      </w:r>
      <w:r w:rsidRPr="00FD0D25">
        <w:t xml:space="preserve">studying an </w:t>
      </w:r>
      <w:r w:rsidR="00AB0489">
        <w:t>ITE</w:t>
      </w:r>
      <w:r w:rsidRPr="00B1660A">
        <w:t xml:space="preserve"> program at an Australian university to undertake their professional experience in a rural or remote Queensland state school.</w:t>
      </w:r>
    </w:p>
    <w:p w14:paraId="7C342A34" w14:textId="643E13C0" w:rsidR="00760D5D" w:rsidRPr="000404F7" w:rsidRDefault="00760D5D" w:rsidP="00A44017">
      <w:pPr>
        <w:pStyle w:val="Breakoutbox1body"/>
      </w:pPr>
      <w:r>
        <w:t xml:space="preserve">For more information see </w:t>
      </w:r>
      <w:hyperlink r:id="rId49" w:history="1">
        <w:r w:rsidRPr="004754A4">
          <w:rPr>
            <w:rStyle w:val="Hyperlink"/>
            <w:b/>
            <w:color w:val="000000" w:themeColor="text1"/>
          </w:rPr>
          <w:t>Teach Queensland</w:t>
        </w:r>
      </w:hyperlink>
      <w:r w:rsidRPr="004754A4">
        <w:rPr>
          <w:b/>
        </w:rPr>
        <w:t>.</w:t>
      </w:r>
    </w:p>
    <w:p w14:paraId="04F8C169" w14:textId="11DF2750" w:rsidR="00085F2B" w:rsidRDefault="00085F2B" w:rsidP="00D81478">
      <w:pPr>
        <w:spacing w:after="0"/>
      </w:pPr>
    </w:p>
    <w:p w14:paraId="38F3E0A2" w14:textId="5367F14D" w:rsidR="00085F2B" w:rsidRDefault="00B82B06" w:rsidP="00A44017">
      <w:pPr>
        <w:pStyle w:val="Breakoutbox1body"/>
        <w:rPr>
          <w:b/>
          <w:bCs w:val="0"/>
        </w:rPr>
      </w:pPr>
      <w:r w:rsidRPr="003A29DE">
        <w:rPr>
          <w:b/>
          <w:bCs w:val="0"/>
        </w:rPr>
        <w:t xml:space="preserve">Scholarships for </w:t>
      </w:r>
      <w:r w:rsidR="0010361E" w:rsidRPr="003A29DE">
        <w:rPr>
          <w:b/>
          <w:bCs w:val="0"/>
        </w:rPr>
        <w:t>initial teacher education (</w:t>
      </w:r>
      <w:r w:rsidR="00792F84" w:rsidRPr="003A29DE">
        <w:rPr>
          <w:b/>
          <w:bCs w:val="0"/>
        </w:rPr>
        <w:t>ITE</w:t>
      </w:r>
      <w:r w:rsidR="009F5467" w:rsidRPr="003A29DE">
        <w:rPr>
          <w:b/>
          <w:bCs w:val="0"/>
        </w:rPr>
        <w:t>)</w:t>
      </w:r>
      <w:r w:rsidR="00792F84" w:rsidRPr="003A29DE">
        <w:rPr>
          <w:b/>
          <w:bCs w:val="0"/>
        </w:rPr>
        <w:t xml:space="preserve"> </w:t>
      </w:r>
      <w:r w:rsidR="009F5467" w:rsidRPr="003A29DE">
        <w:rPr>
          <w:b/>
          <w:bCs w:val="0"/>
        </w:rPr>
        <w:t>s</w:t>
      </w:r>
      <w:r w:rsidR="00792F84" w:rsidRPr="003A29DE">
        <w:rPr>
          <w:b/>
          <w:bCs w:val="0"/>
        </w:rPr>
        <w:t>tudents</w:t>
      </w:r>
    </w:p>
    <w:p w14:paraId="22B61B39" w14:textId="1B5490F0" w:rsidR="00D62A8F" w:rsidRDefault="00AB624C" w:rsidP="00C73014">
      <w:pPr>
        <w:pStyle w:val="Breakoutbox1body"/>
        <w:spacing w:after="200"/>
      </w:pPr>
      <w:r>
        <w:t xml:space="preserve">A partnership between </w:t>
      </w:r>
      <w:r w:rsidR="00D62A8F">
        <w:t>Cairns Catholic Education</w:t>
      </w:r>
      <w:r>
        <w:t xml:space="preserve">, the </w:t>
      </w:r>
      <w:r w:rsidR="00D62A8F">
        <w:t>Australian Catholic University, James Cook University and Central Queensland University provide</w:t>
      </w:r>
      <w:r>
        <w:t>s</w:t>
      </w:r>
      <w:r w:rsidR="00D62A8F">
        <w:t xml:space="preserve"> scholarships to </w:t>
      </w:r>
      <w:r w:rsidR="00792F84">
        <w:t>ITE students</w:t>
      </w:r>
      <w:r w:rsidR="00D62A8F">
        <w:t xml:space="preserve"> as part of </w:t>
      </w:r>
      <w:r>
        <w:t>a</w:t>
      </w:r>
      <w:r w:rsidR="00D62A8F">
        <w:t xml:space="preserve"> commitment to attract, develop and retain graduate teachers at schools in the region.</w:t>
      </w:r>
    </w:p>
    <w:p w14:paraId="250D552B" w14:textId="0AA527D6" w:rsidR="0006794B" w:rsidRDefault="00D62A8F" w:rsidP="00C73014">
      <w:pPr>
        <w:pStyle w:val="Breakoutbox1body"/>
        <w:spacing w:after="200"/>
      </w:pPr>
      <w:r>
        <w:t>The scholarships include</w:t>
      </w:r>
      <w:r w:rsidR="00270F9E">
        <w:t xml:space="preserve"> </w:t>
      </w:r>
      <w:r w:rsidR="002066A6">
        <w:t xml:space="preserve">financial </w:t>
      </w:r>
      <w:r>
        <w:t>support</w:t>
      </w:r>
      <w:r w:rsidR="002066A6">
        <w:t xml:space="preserve">, including assistance </w:t>
      </w:r>
      <w:r>
        <w:t xml:space="preserve">with airfares, accommodation and living expenses for the duration of </w:t>
      </w:r>
      <w:r w:rsidR="002066A6">
        <w:t>their</w:t>
      </w:r>
      <w:r>
        <w:t xml:space="preserve"> </w:t>
      </w:r>
      <w:r w:rsidR="004D5DA8">
        <w:t>p</w:t>
      </w:r>
      <w:r>
        <w:t>racticum</w:t>
      </w:r>
      <w:r w:rsidR="002066A6">
        <w:t xml:space="preserve"> in a </w:t>
      </w:r>
      <w:r w:rsidR="00A85AB8">
        <w:t xml:space="preserve">far northen </w:t>
      </w:r>
      <w:r w:rsidR="0006794B">
        <w:t xml:space="preserve">Queensland </w:t>
      </w:r>
      <w:r w:rsidR="00A85AB8">
        <w:t xml:space="preserve">Catholic </w:t>
      </w:r>
      <w:r w:rsidR="0006794B">
        <w:t xml:space="preserve">School. </w:t>
      </w:r>
    </w:p>
    <w:p w14:paraId="208E770F" w14:textId="025542C9" w:rsidR="00B82B06" w:rsidRDefault="00792F84" w:rsidP="00C73014">
      <w:pPr>
        <w:pStyle w:val="Breakoutbox1body"/>
        <w:spacing w:after="200"/>
      </w:pPr>
      <w:r>
        <w:t>ITE students</w:t>
      </w:r>
      <w:r w:rsidR="0006794B">
        <w:t xml:space="preserve"> are also</w:t>
      </w:r>
      <w:r w:rsidR="00D62A8F">
        <w:t xml:space="preserve"> provided </w:t>
      </w:r>
      <w:r w:rsidR="0006794B">
        <w:t>a car if</w:t>
      </w:r>
      <w:r w:rsidR="00D62A8F">
        <w:t xml:space="preserve"> required for travel to school</w:t>
      </w:r>
      <w:r w:rsidR="0006794B">
        <w:t xml:space="preserve">, </w:t>
      </w:r>
      <w:r w:rsidR="00D62A8F">
        <w:t xml:space="preserve">$1,000 in their 4th year, placement in a Catholic school, and six Professional Development sessions throughout the year as part of </w:t>
      </w:r>
      <w:r w:rsidR="0006794B">
        <w:t>their</w:t>
      </w:r>
      <w:r w:rsidR="00D62A8F">
        <w:t xml:space="preserve"> ‘Getting Ready for Employment’ program.</w:t>
      </w:r>
    </w:p>
    <w:p w14:paraId="6D4FD3F9" w14:textId="656EE972" w:rsidR="004D5DA8" w:rsidRPr="00B82B06" w:rsidRDefault="004D5DA8" w:rsidP="00C73014">
      <w:pPr>
        <w:pStyle w:val="Breakoutbox1body"/>
        <w:spacing w:after="200"/>
      </w:pPr>
      <w:r>
        <w:t xml:space="preserve">For more information see </w:t>
      </w:r>
      <w:r w:rsidR="00053088">
        <w:t xml:space="preserve">the </w:t>
      </w:r>
      <w:hyperlink r:id="rId50" w:history="1">
        <w:r w:rsidR="00053088" w:rsidRPr="00634AAF">
          <w:rPr>
            <w:rStyle w:val="Hyperlink"/>
            <w:b/>
            <w:color w:val="auto"/>
          </w:rPr>
          <w:t>Catholic Education Diocese of Cairns.</w:t>
        </w:r>
      </w:hyperlink>
    </w:p>
    <w:p w14:paraId="6E3735F7" w14:textId="56208B45" w:rsidR="00D12409" w:rsidRPr="002E3B27" w:rsidRDefault="00D12409" w:rsidP="00D12409">
      <w:pPr>
        <w:pStyle w:val="Heading7"/>
      </w:pPr>
      <w:r w:rsidRPr="002E3B27">
        <w:t>Supervising teachers</w:t>
      </w:r>
      <w:r>
        <w:t xml:space="preserve"> </w:t>
      </w:r>
    </w:p>
    <w:p w14:paraId="571E3C17" w14:textId="6FFB54D4" w:rsidR="00D12409" w:rsidRDefault="00D12409" w:rsidP="00D12409">
      <w:pPr>
        <w:rPr>
          <w:rFonts w:eastAsia="Times New Roman"/>
        </w:rPr>
      </w:pPr>
      <w:r>
        <w:rPr>
          <w:rFonts w:eastAsia="Times New Roman"/>
        </w:rPr>
        <w:t xml:space="preserve">Providing existing teachers with the time and </w:t>
      </w:r>
      <w:r w:rsidR="00EE1414">
        <w:rPr>
          <w:rFonts w:eastAsia="Times New Roman"/>
        </w:rPr>
        <w:t>professional development</w:t>
      </w:r>
      <w:r>
        <w:rPr>
          <w:rFonts w:eastAsia="Times New Roman"/>
        </w:rPr>
        <w:t xml:space="preserve"> to be effective supervisors and mentors of </w:t>
      </w:r>
      <w:r w:rsidR="001A2CE7">
        <w:rPr>
          <w:rFonts w:eastAsia="Times New Roman"/>
        </w:rPr>
        <w:t>ITE students</w:t>
      </w:r>
      <w:r w:rsidR="00E2319E">
        <w:rPr>
          <w:rFonts w:eastAsia="Times New Roman"/>
        </w:rPr>
        <w:t xml:space="preserve"> </w:t>
      </w:r>
      <w:r>
        <w:rPr>
          <w:rFonts w:eastAsia="Times New Roman"/>
        </w:rPr>
        <w:t xml:space="preserve">is essential if </w:t>
      </w:r>
      <w:r w:rsidR="00E2319E">
        <w:rPr>
          <w:rFonts w:eastAsia="Times New Roman"/>
        </w:rPr>
        <w:t>ITE students</w:t>
      </w:r>
      <w:r>
        <w:rPr>
          <w:rFonts w:eastAsia="Times New Roman"/>
        </w:rPr>
        <w:t xml:space="preserve"> are to be well</w:t>
      </w:r>
      <w:r w:rsidR="000F31EC">
        <w:rPr>
          <w:rFonts w:eastAsia="Times New Roman"/>
        </w:rPr>
        <w:t xml:space="preserve"> </w:t>
      </w:r>
      <w:r>
        <w:rPr>
          <w:rFonts w:eastAsia="Times New Roman"/>
        </w:rPr>
        <w:t xml:space="preserve">prepared for the realities of the classroom. </w:t>
      </w:r>
      <w:r w:rsidRPr="00D84512">
        <w:rPr>
          <w:rFonts w:eastAsia="Times New Roman"/>
        </w:rPr>
        <w:t xml:space="preserve">Chapter </w:t>
      </w:r>
      <w:r>
        <w:rPr>
          <w:rFonts w:eastAsia="Times New Roman"/>
        </w:rPr>
        <w:t xml:space="preserve">7 explores the support needed for classroom teachers to maximise the benefit of professional experience for </w:t>
      </w:r>
      <w:r w:rsidR="00F90D05">
        <w:rPr>
          <w:rFonts w:eastAsia="Times New Roman"/>
        </w:rPr>
        <w:t>ITE students</w:t>
      </w:r>
      <w:r>
        <w:rPr>
          <w:rFonts w:eastAsia="Times New Roman"/>
        </w:rPr>
        <w:t>.</w:t>
      </w:r>
    </w:p>
    <w:p w14:paraId="3DF425D5" w14:textId="77777777" w:rsidR="00D12409" w:rsidRDefault="00D12409" w:rsidP="00D12409">
      <w:pPr>
        <w:pStyle w:val="Heading7"/>
      </w:pPr>
      <w:r w:rsidRPr="00FB011F">
        <w:t>Innovation in professional experience</w:t>
      </w:r>
    </w:p>
    <w:p w14:paraId="5A5C304C" w14:textId="77777777" w:rsidR="00D12409" w:rsidRPr="00F755D2" w:rsidRDefault="00D12409" w:rsidP="00D12409">
      <w:pPr>
        <w:rPr>
          <w:rStyle w:val="normaltextrun"/>
          <w:rFonts w:ascii="Calibri" w:eastAsiaTheme="majorEastAsia" w:hAnsi="Calibri" w:cs="Calibri"/>
          <w:i/>
          <w:color w:val="000000"/>
          <w:shd w:val="clear" w:color="auto" w:fill="FFFFFF"/>
        </w:rPr>
      </w:pPr>
      <w:r w:rsidRPr="00D84512">
        <w:rPr>
          <w:rStyle w:val="normaltextrun"/>
          <w:rFonts w:ascii="Calibri" w:hAnsi="Calibri" w:cs="Calibri"/>
          <w:color w:val="000000"/>
          <w:shd w:val="clear" w:color="auto" w:fill="FFFFFF"/>
        </w:rPr>
        <w:t>In addition to the need for strong partnerships between higher education providers and schools discussed in Chapter 5, stakeholders offered a number of ideas for innovative solutions to the provision of quality professional experience.</w:t>
      </w:r>
    </w:p>
    <w:p w14:paraId="1DB5BE3C" w14:textId="4BA93A8A" w:rsidR="00D12409" w:rsidRDefault="00D12409" w:rsidP="00D12409">
      <w:pPr>
        <w:rPr>
          <w:rFonts w:eastAsia="Times New Roman"/>
        </w:rPr>
      </w:pPr>
      <w:r w:rsidRPr="6BFE7B19">
        <w:rPr>
          <w:rFonts w:eastAsia="Times New Roman"/>
        </w:rPr>
        <w:t xml:space="preserve">Internship models of teacher preparation, discussed in Chapter 2, are just one example of innovation in ITE that allows students to gain more experience in the classroom prior to graduation. </w:t>
      </w:r>
      <w:r w:rsidR="005C22FD">
        <w:rPr>
          <w:rFonts w:eastAsia="Times New Roman"/>
        </w:rPr>
        <w:t xml:space="preserve">TFA, for example, places its Associates into classrooms after an initial six-week intensive </w:t>
      </w:r>
      <w:r w:rsidR="003576C0">
        <w:rPr>
          <w:rFonts w:eastAsia="Times New Roman"/>
        </w:rPr>
        <w:t>program</w:t>
      </w:r>
      <w:r w:rsidR="005C22FD">
        <w:rPr>
          <w:rFonts w:eastAsia="Times New Roman"/>
        </w:rPr>
        <w:t>, with ongoing employment in schools during the two-year program.</w:t>
      </w:r>
    </w:p>
    <w:p w14:paraId="604FC97B" w14:textId="77777777" w:rsidR="00D12409" w:rsidRDefault="00D12409" w:rsidP="00D12409">
      <w:r>
        <w:t>The Australian Secondary Principals Association suggest that partnerships with local schools to enable participation in the school workplace in between formal professional experience placements would be valuable. While the impact of such an approach on school workload needs to be carefully considered, this model could also benefit teacher educators in higher education providers to ensure current understanding of schools and teaching practice (Australian Secondary Principals Association submission).</w:t>
      </w:r>
    </w:p>
    <w:p w14:paraId="6FF14AAC" w14:textId="4CAA23BA" w:rsidR="00D12409" w:rsidRDefault="00D12409" w:rsidP="00D12409">
      <w:r>
        <w:t xml:space="preserve">The use of technology is also an area being explored to equip </w:t>
      </w:r>
      <w:r w:rsidR="00F90D05">
        <w:t>ITE students</w:t>
      </w:r>
      <w:r>
        <w:t xml:space="preserve"> with the teaching practices they need to effectively teach. </w:t>
      </w:r>
      <w:r w:rsidR="005F1A0A">
        <w:t>One higher education provider</w:t>
      </w:r>
      <w:r>
        <w:t xml:space="preserve"> has developed first year observational professional experience through an online practicum. Undertaken across a trimester, the online practicum ensures ITE students are able to experience teaching across all of the Graduate</w:t>
      </w:r>
      <w:r w:rsidR="00BD6E9B">
        <w:t xml:space="preserve"> level of the</w:t>
      </w:r>
      <w:r>
        <w:t xml:space="preserve"> Teacher Standards, something they are unlikely to experience in a ‘live’ classroom placement (</w:t>
      </w:r>
      <w:r w:rsidR="00007A1B">
        <w:t>higher education provider</w:t>
      </w:r>
      <w:r>
        <w:t xml:space="preserve"> submission).</w:t>
      </w:r>
    </w:p>
    <w:p w14:paraId="16CAA445" w14:textId="77777777" w:rsidR="00D12409" w:rsidRDefault="00D12409" w:rsidP="00D12409">
      <w:pPr>
        <w:rPr>
          <w:noProof/>
        </w:rPr>
      </w:pPr>
      <w:r>
        <w:rPr>
          <w:noProof/>
        </w:rPr>
        <w:lastRenderedPageBreak/>
        <w:t>Education Services Australia (ESA) expressed interest in exploring ‘whether professional experience could be delivered online in a national work experience platform that allows for hybrid delivery modes’. ESA also noted that technology could be used in other ways, such as identifying professional experience placements and online systems to reduce the paper-based burden of administration for schools (Education Services Australia submission).</w:t>
      </w:r>
    </w:p>
    <w:p w14:paraId="770CA13D" w14:textId="0D29F894" w:rsidR="00D12409" w:rsidRDefault="00D12409" w:rsidP="00D12409">
      <w:pPr>
        <w:pStyle w:val="Heading6"/>
        <w:ind w:left="1247" w:hanging="1247"/>
        <w:rPr>
          <w:rFonts w:eastAsia="Times New Roman"/>
        </w:rPr>
      </w:pPr>
      <w:r>
        <w:t>L</w:t>
      </w:r>
      <w:r w:rsidR="000752E1">
        <w:t>iteracy and Numeracy Test for Initial Teacher Education</w:t>
      </w:r>
    </w:p>
    <w:p w14:paraId="3A928783" w14:textId="4108DBC1" w:rsidR="00D12409" w:rsidRDefault="00D12409" w:rsidP="00D12409">
      <w:r>
        <w:t xml:space="preserve">The Accreditation Standards require students to have passed LANTITE prior to graduation. </w:t>
      </w:r>
      <w:r w:rsidR="003C4213">
        <w:t>S</w:t>
      </w:r>
      <w:r>
        <w:t>takeholders</w:t>
      </w:r>
      <w:r w:rsidR="003C4213">
        <w:t xml:space="preserve"> have, however</w:t>
      </w:r>
      <w:r>
        <w:t xml:space="preserve">, </w:t>
      </w:r>
      <w:r w:rsidR="003C4213">
        <w:t>raised</w:t>
      </w:r>
      <w:r>
        <w:t xml:space="preserve"> concerns about the number of students who, despite making it through their ITE course, fail to pass LANTITE and are thus unable to proceed into the profession.</w:t>
      </w:r>
    </w:p>
    <w:p w14:paraId="22658B3A" w14:textId="50797915" w:rsidR="00D12409" w:rsidRDefault="00D12409" w:rsidP="00D12409">
      <w:r>
        <w:t xml:space="preserve">Many stakeholders and public submissions support mandating LANTITE as a pre-requisite for entry into ITE. Its function as a quality-assurance mechanism </w:t>
      </w:r>
      <w:r w:rsidR="24F78F2E">
        <w:t xml:space="preserve">as </w:t>
      </w:r>
      <w:r>
        <w:t>opposed to a tool for making students better teachers, and the time, money and effort expended across an ITE degree in preparation for LANTITE, are the key reasons for this view.</w:t>
      </w:r>
    </w:p>
    <w:p w14:paraId="2C9AF35C" w14:textId="7AA9C761" w:rsidR="00D12409" w:rsidRDefault="00D12409" w:rsidP="00D12409">
      <w:r>
        <w:t xml:space="preserve">Other stakeholders express concern that the positioning of LANTITE as an entry requirement will significantly disadvantage ITE students from </w:t>
      </w:r>
      <w:r w:rsidR="00B60DC9">
        <w:t>CALD</w:t>
      </w:r>
      <w:r>
        <w:t xml:space="preserve"> backgrounds, students with</w:t>
      </w:r>
      <w:r w:rsidRPr="00E81115">
        <w:t xml:space="preserve"> </w:t>
      </w:r>
      <w:r>
        <w:t>disability, students from low socio-economic backgrounds and regional</w:t>
      </w:r>
      <w:r w:rsidR="00BD6E9B">
        <w:t xml:space="preserve">, </w:t>
      </w:r>
      <w:r>
        <w:t>rural</w:t>
      </w:r>
      <w:r w:rsidR="00BD6E9B">
        <w:t xml:space="preserve"> and remote</w:t>
      </w:r>
      <w:r>
        <w:t xml:space="preserve"> candidates. The Victorian Department of Education and Training considers keeping LANTITE as a graduation requirement would ensure ‘ITE students benefit from the valuable support of their ITE provider in preparing for LANTITE’. The A</w:t>
      </w:r>
      <w:r w:rsidR="00BD6E9B">
        <w:t xml:space="preserve">ustralian </w:t>
      </w:r>
      <w:r>
        <w:t>C</w:t>
      </w:r>
      <w:r w:rsidR="00BD6E9B">
        <w:t xml:space="preserve">apital </w:t>
      </w:r>
      <w:r>
        <w:t>T</w:t>
      </w:r>
      <w:r w:rsidR="00BD6E9B">
        <w:t>erritory</w:t>
      </w:r>
      <w:r>
        <w:t xml:space="preserve"> Education Directorate does not support requiring students to pass LANTITE in their first year of study as it could create a barrier to achieving diversity in the teaching workforce but does support it being available before or in the early stages of an ITE program so that students can be offered support. </w:t>
      </w:r>
    </w:p>
    <w:p w14:paraId="4F76C83E" w14:textId="22B20746" w:rsidR="00D12409" w:rsidRDefault="00D12409" w:rsidP="00D12409">
      <w:r>
        <w:t xml:space="preserve">Recent research from ACU has confirmed that the timing of assessments has an impact on ITE outcomes and that when these assessments are held towards the end of the degree they have the potential to create significant barriers </w:t>
      </w:r>
      <w:r w:rsidR="008F7D64">
        <w:t xml:space="preserve">to graduation </w:t>
      </w:r>
      <w:r>
        <w:t>for struggling students (ACU 2021</w:t>
      </w:r>
      <w:r w:rsidR="006F07D8">
        <w:t>a</w:t>
      </w:r>
      <w:r>
        <w:t>).</w:t>
      </w:r>
    </w:p>
    <w:p w14:paraId="1AECD8BA" w14:textId="77777777" w:rsidR="00D12409" w:rsidRDefault="00D12409" w:rsidP="00D12409">
      <w:r>
        <w:t>In December 2020, Australian education ministers agreed that from 2023, students will have the option to sit LANTITE before they begin their ITE degree (</w:t>
      </w:r>
      <w:hyperlink r:id="rId51" w:history="1">
        <w:r w:rsidRPr="00EF2D63">
          <w:rPr>
            <w:rStyle w:val="Hyperlink"/>
          </w:rPr>
          <w:t>the Hon Dan Tehan MP, Media Release December 2020</w:t>
        </w:r>
      </w:hyperlink>
      <w:r w:rsidRPr="00BD54CC">
        <w:t>).</w:t>
      </w:r>
      <w:r>
        <w:t xml:space="preserve"> This is a welcome move that will assist those interested in teaching to determine whether they have the required level of literacy and numeracy skills. It will also help prospective students to avoid unnecessary course costs and wasted time. </w:t>
      </w:r>
    </w:p>
    <w:p w14:paraId="0B43281F" w14:textId="008F1FC9" w:rsidR="00D12409" w:rsidRDefault="00D12409" w:rsidP="00D12409">
      <w:r>
        <w:t>To ensure all students are equipped to pass LANTITE, ACU proposes the introduction of ‘</w:t>
      </w:r>
      <w:r w:rsidRPr="001B77C0">
        <w:t>bridging courses</w:t>
      </w:r>
      <w:r>
        <w:t>’</w:t>
      </w:r>
      <w:r w:rsidRPr="001B77C0">
        <w:t xml:space="preserve">, offered prior to entry into ITE, </w:t>
      </w:r>
      <w:r>
        <w:t>to</w:t>
      </w:r>
      <w:r w:rsidRPr="001B77C0">
        <w:t xml:space="preserve"> help disadvantaged students build on their literacy and numeracy skills to pass LANTITE</w:t>
      </w:r>
      <w:r>
        <w:t>.</w:t>
      </w:r>
      <w:r w:rsidRPr="001B77C0">
        <w:t xml:space="preserve"> </w:t>
      </w:r>
      <w:r>
        <w:t xml:space="preserve">This approach would ensure that should LANTITE </w:t>
      </w:r>
      <w:r w:rsidR="00590B76">
        <w:t>become</w:t>
      </w:r>
      <w:r>
        <w:t xml:space="preserve"> a pre-entry assessment, students who need the extra support will be assisted. Similarly, in supporting LANTITE being an entry requirement, </w:t>
      </w:r>
      <w:r w:rsidR="00C0307D">
        <w:t>a higher education provider</w:t>
      </w:r>
      <w:r>
        <w:t xml:space="preserve"> suggested that rather than failure of LANTITE preventing entry to a degree, it could channel students into a supportive course to develop their skills, with a second opportunity to pass LANTITE in the first year of their ITE program (</w:t>
      </w:r>
      <w:r w:rsidR="00835590">
        <w:t>higher education provider</w:t>
      </w:r>
      <w:r>
        <w:t xml:space="preserve"> submission).</w:t>
      </w:r>
    </w:p>
    <w:p w14:paraId="5ACC2F8F" w14:textId="7CAAC7FE" w:rsidR="00F76A6E" w:rsidRDefault="007E5BB5" w:rsidP="00F76A6E">
      <w:r>
        <w:t>Another</w:t>
      </w:r>
      <w:r w:rsidR="00F76A6E">
        <w:t xml:space="preserve"> area of innovation that could be further explored by providers is the pathway they provide for less academically prepared students, as demonstrated by attrition rates and LANTITE results. </w:t>
      </w:r>
    </w:p>
    <w:p w14:paraId="0AED8351" w14:textId="77777777" w:rsidR="00C73014" w:rsidRDefault="00C73014">
      <w:pPr>
        <w:spacing w:after="0" w:line="240" w:lineRule="auto"/>
      </w:pPr>
      <w:r>
        <w:br w:type="page"/>
      </w:r>
    </w:p>
    <w:p w14:paraId="11B3AEA2" w14:textId="3728A8FA" w:rsidR="003F6A34" w:rsidRDefault="00F76A6E" w:rsidP="00F76A6E">
      <w:r>
        <w:lastRenderedPageBreak/>
        <w:t xml:space="preserve">Higher education providers could facilitate this outcome by taking advantage of the recently developed short courses as part of the </w:t>
      </w:r>
      <w:r w:rsidR="00BD6E9B">
        <w:t>AQF</w:t>
      </w:r>
      <w:r>
        <w:t xml:space="preserve">. A short course that ended with the LANTITE test following a targeted six-month program of ITE content would allow a prospective student or mid-career professional to explore a teaching career without committing to a full degree and the associated time and financial costs. </w:t>
      </w:r>
    </w:p>
    <w:p w14:paraId="6649558B" w14:textId="5CDC7CFC" w:rsidR="00F76A6E" w:rsidRDefault="00F76A6E" w:rsidP="00F76A6E">
      <w:r>
        <w:t xml:space="preserve">Short courses will also help students assess their aptitude and interest in a teaching career and may lead to improved performance and </w:t>
      </w:r>
      <w:r w:rsidR="56F7A596">
        <w:t xml:space="preserve">less </w:t>
      </w:r>
      <w:r>
        <w:t>attrition if they choose to pursue a full degree. Students who chose not to continue would exit with an Undergraduate Certificate qualification which may articulate or provide credit into a full ITE course.</w:t>
      </w:r>
    </w:p>
    <w:p w14:paraId="494C92DF" w14:textId="24B07E3C" w:rsidR="00D12409" w:rsidRPr="003F6A34" w:rsidRDefault="00F76A6E" w:rsidP="003F6A34">
      <w:pPr>
        <w:rPr>
          <w:rStyle w:val="Heading3Char"/>
          <w:rFonts w:eastAsia="Times New Roman"/>
          <w:b w:val="0"/>
          <w:bCs w:val="0"/>
          <w:sz w:val="20"/>
          <w:szCs w:val="20"/>
        </w:rPr>
      </w:pPr>
      <w:r>
        <w:t xml:space="preserve">It may be necessary for the </w:t>
      </w:r>
      <w:r w:rsidR="00E13CAF">
        <w:t>Australian Government</w:t>
      </w:r>
      <w:r>
        <w:t xml:space="preserve"> to consider incentives or targeted investment to initiate such a scheme.</w:t>
      </w:r>
    </w:p>
    <w:p w14:paraId="19AB6183" w14:textId="77777777" w:rsidR="00D12409" w:rsidRDefault="00D12409" w:rsidP="00D12409">
      <w:pPr>
        <w:pStyle w:val="Heading3"/>
        <w:ind w:left="1021" w:hanging="1021"/>
        <w:rPr>
          <w:rStyle w:val="Heading3Char"/>
          <w:b/>
        </w:rPr>
      </w:pPr>
      <w:r w:rsidRPr="00C84860">
        <w:rPr>
          <w:rStyle w:val="Heading3Char"/>
          <w:b/>
        </w:rPr>
        <w:t>Conclusions and Recommendations</w:t>
      </w:r>
    </w:p>
    <w:p w14:paraId="5EC892AA" w14:textId="1DFE1F7C" w:rsidR="00D12409" w:rsidRDefault="00D12409" w:rsidP="00D12409">
      <w:pPr>
        <w:jc w:val="both"/>
        <w:rPr>
          <w:rFonts w:eastAsia="Times New Roman"/>
        </w:rPr>
      </w:pPr>
      <w:r>
        <w:rPr>
          <w:rFonts w:eastAsia="Times New Roman"/>
        </w:rPr>
        <w:t xml:space="preserve">TPAs are a critical part of ensuring ITE graduates are prepared for the classroom environment. </w:t>
      </w:r>
      <w:r w:rsidR="006A0A90">
        <w:rPr>
          <w:rFonts w:eastAsia="Times New Roman"/>
        </w:rPr>
        <w:t xml:space="preserve">The Expert Panel </w:t>
      </w:r>
      <w:r>
        <w:rPr>
          <w:rFonts w:eastAsia="Times New Roman"/>
        </w:rPr>
        <w:t>consider</w:t>
      </w:r>
      <w:r w:rsidR="006A0A90">
        <w:rPr>
          <w:rFonts w:eastAsia="Times New Roman"/>
        </w:rPr>
        <w:t>s</w:t>
      </w:r>
      <w:r>
        <w:rPr>
          <w:rFonts w:eastAsia="Times New Roman"/>
        </w:rPr>
        <w:t xml:space="preserve"> that the benefits of TPAs far outweigh the costs involved and that ongoing implementation and development of TPAs should continue to be a priority for higher education providers.</w:t>
      </w:r>
    </w:p>
    <w:p w14:paraId="4FAF66D0" w14:textId="51D60E2E" w:rsidR="00D12409" w:rsidRDefault="00D12409" w:rsidP="00D12409">
      <w:pPr>
        <w:pStyle w:val="Heading7"/>
      </w:pPr>
      <w:r>
        <w:t>Opportunities to strengthen T</w:t>
      </w:r>
      <w:r w:rsidR="00BD6E9B">
        <w:t xml:space="preserve">eaching </w:t>
      </w:r>
      <w:r>
        <w:t>P</w:t>
      </w:r>
      <w:r w:rsidR="00BD6E9B">
        <w:t xml:space="preserve">erformance </w:t>
      </w:r>
      <w:r>
        <w:t>A</w:t>
      </w:r>
      <w:r w:rsidR="00BD6E9B">
        <w:t>ssessment</w:t>
      </w:r>
      <w:r>
        <w:t>s</w:t>
      </w:r>
    </w:p>
    <w:p w14:paraId="1708185A" w14:textId="77777777" w:rsidR="00D12409" w:rsidRDefault="00D12409" w:rsidP="00D12409">
      <w:pPr>
        <w:rPr>
          <w:rFonts w:eastAsia="Times New Roman"/>
        </w:rPr>
      </w:pPr>
      <w:r>
        <w:rPr>
          <w:rFonts w:eastAsia="Times New Roman"/>
        </w:rPr>
        <w:t>The lack of a structured process of national moderation and benchmarking of TPAs is limiting the potential of TPAs to lift the quality of ITE graduates and programs.</w:t>
      </w:r>
    </w:p>
    <w:p w14:paraId="2C9ADF8E" w14:textId="274E8470" w:rsidR="00D12409" w:rsidRDefault="00D12409" w:rsidP="00D12409">
      <w:pPr>
        <w:rPr>
          <w:rFonts w:eastAsia="Times New Roman"/>
        </w:rPr>
      </w:pPr>
      <w:r w:rsidRPr="6BFE7B19">
        <w:rPr>
          <w:rFonts w:eastAsia="Times New Roman"/>
        </w:rPr>
        <w:t xml:space="preserve">Strengthening TPAs to ensure that all ITE students are assessed against a nationally consistent high standard before entering the classroom will have </w:t>
      </w:r>
      <w:r w:rsidR="35FB8833" w:rsidRPr="6BFE7B19">
        <w:rPr>
          <w:rFonts w:eastAsia="Times New Roman"/>
        </w:rPr>
        <w:t xml:space="preserve">a significant </w:t>
      </w:r>
      <w:r w:rsidRPr="6BFE7B19">
        <w:rPr>
          <w:rFonts w:eastAsia="Times New Roman"/>
        </w:rPr>
        <w:t>impact on raising the quality of ITE. A national standard</w:t>
      </w:r>
      <w:r w:rsidR="00B765C6">
        <w:rPr>
          <w:rFonts w:eastAsia="Times New Roman"/>
        </w:rPr>
        <w:noBreakHyphen/>
      </w:r>
      <w:r w:rsidRPr="6BFE7B19">
        <w:rPr>
          <w:rFonts w:eastAsia="Times New Roman"/>
        </w:rPr>
        <w:t>setting and benchmarking process for the TPAs currently in operation would ensure that the same high standard is being applied in all approved TPAs.</w:t>
      </w:r>
    </w:p>
    <w:p w14:paraId="440FC1FF" w14:textId="065F2F38" w:rsidR="00D12409" w:rsidRDefault="00D12409" w:rsidP="00D12409">
      <w:pPr>
        <w:rPr>
          <w:rFonts w:eastAsia="Times New Roman"/>
        </w:rPr>
      </w:pPr>
      <w:r w:rsidRPr="0995B48D">
        <w:rPr>
          <w:rFonts w:eastAsia="Times New Roman"/>
        </w:rPr>
        <w:t xml:space="preserve">Endorsing and monitoring TPAs requires high-level technical assessment advice (AITSL submission). AITSL has commenced some preliminary work on cross-institutional moderation, commissioning four papers from three TPA consortia and one individual TPA to identify the key components of cross-institutional moderation activities and intends to build on this work (AITSL submission). </w:t>
      </w:r>
      <w:r w:rsidR="006A0A90">
        <w:rPr>
          <w:rFonts w:eastAsia="Times New Roman"/>
        </w:rPr>
        <w:t xml:space="preserve">The Expert Panel </w:t>
      </w:r>
      <w:r>
        <w:rPr>
          <w:rFonts w:eastAsia="Times New Roman"/>
        </w:rPr>
        <w:t>recommend</w:t>
      </w:r>
      <w:r w:rsidR="006A0A90">
        <w:rPr>
          <w:rFonts w:eastAsia="Times New Roman"/>
        </w:rPr>
        <w:t>s</w:t>
      </w:r>
      <w:r>
        <w:rPr>
          <w:rFonts w:eastAsia="Times New Roman"/>
        </w:rPr>
        <w:t xml:space="preserve"> that a process be established to drive implementation and oversight of TPA standard</w:t>
      </w:r>
      <w:r w:rsidR="00B765C6">
        <w:rPr>
          <w:rFonts w:eastAsia="Times New Roman"/>
        </w:rPr>
        <w:t xml:space="preserve"> </w:t>
      </w:r>
      <w:r>
        <w:rPr>
          <w:rFonts w:eastAsia="Times New Roman"/>
        </w:rPr>
        <w:t xml:space="preserve">setting to ensure </w:t>
      </w:r>
      <w:r w:rsidR="00F95C76">
        <w:rPr>
          <w:rFonts w:eastAsia="Times New Roman"/>
        </w:rPr>
        <w:t>ITE students</w:t>
      </w:r>
      <w:r>
        <w:rPr>
          <w:rFonts w:eastAsia="Times New Roman"/>
        </w:rPr>
        <w:t xml:space="preserve"> meet a consistently high standard across Australia. A national standard-setting and benchmarking process for all TPAs currently in operation should be a priority. Higher education providers should provide samples of both passing and failing TPAs so that a formal psychometric standard-setting study of TPAs can be conducted. </w:t>
      </w:r>
    </w:p>
    <w:p w14:paraId="2B921D25" w14:textId="389BE201" w:rsidR="00D12409" w:rsidRDefault="00D12409" w:rsidP="00D12409">
      <w:pPr>
        <w:rPr>
          <w:rFonts w:eastAsia="Times New Roman"/>
        </w:rPr>
      </w:pPr>
      <w:r w:rsidRPr="6BFE7B19">
        <w:rPr>
          <w:rFonts w:eastAsia="Times New Roman"/>
        </w:rPr>
        <w:t>This process could be undertaken by the Expert Advisory Group (EAG), or a new body could be established.</w:t>
      </w:r>
    </w:p>
    <w:p w14:paraId="1F74CF30" w14:textId="238A63A6" w:rsidR="00D12409" w:rsidRDefault="00D12409" w:rsidP="6BFE7B19">
      <w:pPr>
        <w:rPr>
          <w:rFonts w:eastAsia="Times New Roman"/>
        </w:rPr>
      </w:pPr>
      <w:r w:rsidRPr="6BFE7B19">
        <w:rPr>
          <w:rFonts w:eastAsia="Times New Roman"/>
        </w:rPr>
        <w:t>Under this process, any new TPAs, or existing TPAs in a program seeking re-accreditation</w:t>
      </w:r>
      <w:r w:rsidR="29C69181" w:rsidRPr="6BFE7B19">
        <w:rPr>
          <w:rFonts w:eastAsia="Times New Roman"/>
        </w:rPr>
        <w:t xml:space="preserve"> that do not meet the national standard</w:t>
      </w:r>
      <w:r w:rsidRPr="6BFE7B19">
        <w:rPr>
          <w:rFonts w:eastAsia="Times New Roman"/>
        </w:rPr>
        <w:t>, should be required to join one of the most commonly used TPAs that has been assessed as high</w:t>
      </w:r>
      <w:r w:rsidR="00A86D54">
        <w:rPr>
          <w:rFonts w:eastAsia="Times New Roman"/>
        </w:rPr>
        <w:t xml:space="preserve"> </w:t>
      </w:r>
      <w:r w:rsidRPr="6BFE7B19">
        <w:rPr>
          <w:rFonts w:eastAsia="Times New Roman"/>
        </w:rPr>
        <w:t>quality through this process. Consideration could be given to providing financial support to the providers operating the two most widely used TPAs to support the national standard setting and moderation process.</w:t>
      </w:r>
    </w:p>
    <w:p w14:paraId="5F3D277F" w14:textId="3DF4A374" w:rsidR="00D12409" w:rsidRDefault="00D12409" w:rsidP="00D12409">
      <w:pPr>
        <w:rPr>
          <w:rFonts w:eastAsia="Times New Roman"/>
        </w:rPr>
      </w:pPr>
      <w:r w:rsidRPr="6BFE7B19">
        <w:rPr>
          <w:rFonts w:eastAsia="Times New Roman"/>
        </w:rPr>
        <w:t xml:space="preserve">Currently there is no limit on the number of attempts </w:t>
      </w:r>
      <w:r w:rsidR="00C535E5">
        <w:rPr>
          <w:rFonts w:eastAsia="Times New Roman"/>
        </w:rPr>
        <w:t>a higher education</w:t>
      </w:r>
      <w:r w:rsidRPr="6BFE7B19">
        <w:rPr>
          <w:rFonts w:eastAsia="Times New Roman"/>
        </w:rPr>
        <w:t xml:space="preserve"> provider can </w:t>
      </w:r>
      <w:r w:rsidR="00C65957">
        <w:rPr>
          <w:rFonts w:eastAsia="Times New Roman"/>
        </w:rPr>
        <w:t>make</w:t>
      </w:r>
      <w:r w:rsidRPr="6BFE7B19">
        <w:rPr>
          <w:rFonts w:eastAsia="Times New Roman"/>
        </w:rPr>
        <w:t xml:space="preserve"> when seeking endorsement of their proposed TPA. This has resulted in some higher education providers, either individually or as smaller consortia, having to resubmit their TPAs to the EAG on multiple occasions. There would</w:t>
      </w:r>
      <w:r w:rsidRPr="6BFE7B19" w:rsidDel="00D12409">
        <w:rPr>
          <w:rFonts w:eastAsia="Times New Roman"/>
        </w:rPr>
        <w:t xml:space="preserve"> </w:t>
      </w:r>
      <w:r w:rsidR="000F13FC">
        <w:rPr>
          <w:rFonts w:eastAsia="Times New Roman"/>
        </w:rPr>
        <w:t xml:space="preserve">also </w:t>
      </w:r>
      <w:r w:rsidRPr="6BFE7B19">
        <w:rPr>
          <w:rFonts w:eastAsia="Times New Roman"/>
        </w:rPr>
        <w:t xml:space="preserve">be value in limiting the number of attempts a higher education provider can have to seek endorsement of their TPA to three. This would effectively limit the options of providers whose TPA is not endorsed to joining an established TPA. </w:t>
      </w:r>
    </w:p>
    <w:p w14:paraId="482122C8" w14:textId="77777777" w:rsidR="00D12409" w:rsidRDefault="00D12409" w:rsidP="00D12409">
      <w:pPr>
        <w:rPr>
          <w:rFonts w:eastAsia="Times New Roman"/>
        </w:rPr>
      </w:pPr>
      <w:r>
        <w:rPr>
          <w:rFonts w:eastAsia="Times New Roman"/>
        </w:rPr>
        <w:lastRenderedPageBreak/>
        <w:t>Limiting TPA endorsement attempts to three would have a number of benefits. It would ensure students in ITE programs are not disadvantaged due to the time it takes TPAs to be endorsed, particularly if multiple attempts are required. It could also reduce the costs to higher education providers of preparing multiple applications for endorsement.</w:t>
      </w:r>
    </w:p>
    <w:p w14:paraId="48ECAD58" w14:textId="6D2F67F6" w:rsidR="00D12409" w:rsidRDefault="00D12409" w:rsidP="00D12409">
      <w:pPr>
        <w:rPr>
          <w:rFonts w:eastAsia="Times New Roman"/>
        </w:rPr>
      </w:pPr>
      <w:r w:rsidRPr="6BFE7B19">
        <w:rPr>
          <w:rFonts w:eastAsia="Times New Roman"/>
        </w:rPr>
        <w:t>Cross-institutional moderation should also be explicitly required in the Accreditation Standards. This could look different in practice depending on the type of TPA in place. Large consortia, for example, already have cross</w:t>
      </w:r>
      <w:r w:rsidR="00BD5B38">
        <w:rPr>
          <w:rFonts w:eastAsia="Times New Roman"/>
        </w:rPr>
        <w:noBreakHyphen/>
      </w:r>
      <w:r w:rsidRPr="6BFE7B19">
        <w:rPr>
          <w:rFonts w:eastAsia="Times New Roman"/>
        </w:rPr>
        <w:t>institutional moderation built in to the TPA. Establishing a national moderation and benchmarking process will give greater confidence in the quality of endorsed TPAs</w:t>
      </w:r>
      <w:r w:rsidR="00350D4F">
        <w:rPr>
          <w:rFonts w:eastAsia="Times New Roman"/>
        </w:rPr>
        <w:t xml:space="preserve">. </w:t>
      </w:r>
      <w:r w:rsidR="006F0B7D">
        <w:rPr>
          <w:rFonts w:eastAsia="Times New Roman"/>
        </w:rPr>
        <w:t xml:space="preserve">As </w:t>
      </w:r>
      <w:r w:rsidR="004450FF">
        <w:rPr>
          <w:rFonts w:eastAsia="Times New Roman"/>
        </w:rPr>
        <w:t>ACU</w:t>
      </w:r>
      <w:r w:rsidR="007C2FDF">
        <w:rPr>
          <w:rFonts w:eastAsia="Times New Roman"/>
        </w:rPr>
        <w:t>’s Workforce Studies Series</w:t>
      </w:r>
      <w:r w:rsidR="004450FF">
        <w:rPr>
          <w:rFonts w:eastAsia="Times New Roman"/>
        </w:rPr>
        <w:t xml:space="preserve"> research </w:t>
      </w:r>
      <w:r w:rsidR="00702FC3">
        <w:rPr>
          <w:rFonts w:eastAsia="Times New Roman"/>
        </w:rPr>
        <w:t>indicates</w:t>
      </w:r>
      <w:r w:rsidRPr="6BFE7B19">
        <w:rPr>
          <w:rFonts w:eastAsia="Times New Roman"/>
        </w:rPr>
        <w:t xml:space="preserve"> it will also contribute significantly to expanding the ITE evidence base to </w:t>
      </w:r>
      <w:r w:rsidR="0050310A">
        <w:rPr>
          <w:rFonts w:eastAsia="Times New Roman"/>
        </w:rPr>
        <w:t xml:space="preserve">enable greater understanding of how ITE programs can best support </w:t>
      </w:r>
      <w:r w:rsidR="000D142B">
        <w:rPr>
          <w:rFonts w:eastAsia="Times New Roman"/>
        </w:rPr>
        <w:t>ITE students</w:t>
      </w:r>
      <w:r w:rsidR="0050310A">
        <w:rPr>
          <w:rFonts w:eastAsia="Times New Roman"/>
        </w:rPr>
        <w:t xml:space="preserve"> to become classroom</w:t>
      </w:r>
      <w:r w:rsidR="00174F71">
        <w:rPr>
          <w:rFonts w:eastAsia="Times New Roman"/>
        </w:rPr>
        <w:t xml:space="preserve"> </w:t>
      </w:r>
      <w:r w:rsidR="0050310A">
        <w:rPr>
          <w:rFonts w:eastAsia="Times New Roman"/>
        </w:rPr>
        <w:t>ready</w:t>
      </w:r>
      <w:r w:rsidRPr="6BFE7B19">
        <w:rPr>
          <w:rFonts w:eastAsia="Times New Roman"/>
        </w:rPr>
        <w:t>.</w:t>
      </w:r>
    </w:p>
    <w:p w14:paraId="4D5EC9E9" w14:textId="7B7F5636" w:rsidR="007F0778" w:rsidRDefault="007F0778" w:rsidP="007F0778">
      <w:pPr>
        <w:pStyle w:val="Recommendation4"/>
        <w:spacing w:after="0"/>
        <w:rPr>
          <w:b/>
          <w:sz w:val="20"/>
        </w:rPr>
      </w:pPr>
      <w:r w:rsidRPr="00FE09FB">
        <w:rPr>
          <w:b/>
          <w:sz w:val="20"/>
        </w:rPr>
        <w:t>Recommendation 10: Strengthen national standard setting and moderation of Teaching Performance Assessments</w:t>
      </w:r>
      <w:r w:rsidR="00300D66">
        <w:rPr>
          <w:b/>
          <w:sz w:val="20"/>
        </w:rPr>
        <w:t xml:space="preserve"> (TPAs)</w:t>
      </w:r>
    </w:p>
    <w:p w14:paraId="4874CBF5" w14:textId="75CF5518" w:rsidR="007F0778" w:rsidRPr="00FE09FB" w:rsidRDefault="007F0778" w:rsidP="007F0778">
      <w:pPr>
        <w:pStyle w:val="Recommendation4"/>
        <w:spacing w:after="0"/>
        <w:rPr>
          <w:sz w:val="20"/>
        </w:rPr>
      </w:pPr>
      <w:r w:rsidRPr="00FE09FB">
        <w:rPr>
          <w:sz w:val="20"/>
        </w:rPr>
        <w:t xml:space="preserve">Strengthen TPAs to ensure graduate teachers are classroom ready by: </w:t>
      </w:r>
    </w:p>
    <w:p w14:paraId="43C14773" w14:textId="2B6B5A2F" w:rsidR="007F0778" w:rsidRPr="00FE09FB" w:rsidRDefault="007F0778" w:rsidP="00430815">
      <w:pPr>
        <w:pStyle w:val="Recommendation4"/>
        <w:numPr>
          <w:ilvl w:val="0"/>
          <w:numId w:val="51"/>
        </w:numPr>
        <w:spacing w:after="0"/>
        <w:rPr>
          <w:sz w:val="20"/>
        </w:rPr>
      </w:pPr>
      <w:r w:rsidRPr="00FE09FB">
        <w:rPr>
          <w:sz w:val="20"/>
        </w:rPr>
        <w:t>establishing a governance board with delegated authority to make decisions on TPAs, including national standard setting, moderation and comparability</w:t>
      </w:r>
    </w:p>
    <w:p w14:paraId="68DEF19F" w14:textId="3D84D0BE" w:rsidR="007F0778" w:rsidRPr="00FE09FB" w:rsidRDefault="007F0778" w:rsidP="00430815">
      <w:pPr>
        <w:pStyle w:val="Recommendation4"/>
        <w:numPr>
          <w:ilvl w:val="0"/>
          <w:numId w:val="51"/>
        </w:numPr>
        <w:spacing w:after="0"/>
        <w:rPr>
          <w:sz w:val="20"/>
        </w:rPr>
      </w:pPr>
      <w:r w:rsidRPr="00FE09FB">
        <w:rPr>
          <w:sz w:val="20"/>
        </w:rPr>
        <w:t xml:space="preserve">limiting the number of attempts a higher education provider can have, to seek endorsement of their TPA, to three through amendment of the </w:t>
      </w:r>
      <w:r w:rsidR="00CA058D" w:rsidRPr="00274DC9">
        <w:rPr>
          <w:i/>
          <w:sz w:val="20"/>
        </w:rPr>
        <w:t xml:space="preserve">Accreditation of Initial Teacher Education Programs in Australia: </w:t>
      </w:r>
      <w:r w:rsidR="00CA058D">
        <w:rPr>
          <w:i/>
          <w:sz w:val="20"/>
        </w:rPr>
        <w:t xml:space="preserve">Standards </w:t>
      </w:r>
      <w:r w:rsidR="00CA058D" w:rsidRPr="00274DC9">
        <w:rPr>
          <w:i/>
          <w:sz w:val="20"/>
        </w:rPr>
        <w:t>and Procedures</w:t>
      </w:r>
    </w:p>
    <w:p w14:paraId="4BE861B7" w14:textId="2B48DCCB" w:rsidR="007F0778" w:rsidRPr="00FE09FB" w:rsidRDefault="007F0778" w:rsidP="00430815">
      <w:pPr>
        <w:pStyle w:val="Recommendation4"/>
        <w:numPr>
          <w:ilvl w:val="0"/>
          <w:numId w:val="51"/>
        </w:numPr>
        <w:rPr>
          <w:sz w:val="20"/>
        </w:rPr>
      </w:pPr>
      <w:r w:rsidRPr="00FE09FB">
        <w:rPr>
          <w:sz w:val="20"/>
        </w:rPr>
        <w:t>allocating Australian Government support for the providers who operate the two most widely used TPAs to support national standard setting, moderation and comparability.</w:t>
      </w:r>
    </w:p>
    <w:p w14:paraId="3ECB150C" w14:textId="2864FE92" w:rsidR="00D12409" w:rsidRDefault="00D80759">
      <w:pPr>
        <w:pStyle w:val="Heading7"/>
      </w:pPr>
      <w:r>
        <w:t xml:space="preserve">Strengthening </w:t>
      </w:r>
      <w:r w:rsidR="000752E1">
        <w:t>in</w:t>
      </w:r>
      <w:r w:rsidR="00751406">
        <w:t>itial teacher education</w:t>
      </w:r>
      <w:r>
        <w:t xml:space="preserve"> student suitability through LANTITE, professional experience and school and </w:t>
      </w:r>
      <w:r w:rsidR="00BD6E9B">
        <w:t xml:space="preserve">higher education provider </w:t>
      </w:r>
      <w:r>
        <w:t xml:space="preserve">partnerships </w:t>
      </w:r>
    </w:p>
    <w:p w14:paraId="0FF33538" w14:textId="57D0322C" w:rsidR="00D12409" w:rsidRDefault="00D12409" w:rsidP="00D12409">
      <w:r>
        <w:t xml:space="preserve">It is critical to continue to ensure that teachers possess strong personal literacy and numeracy skills. </w:t>
      </w:r>
      <w:r w:rsidR="00915F90">
        <w:t>The Expert Panel is</w:t>
      </w:r>
      <w:r>
        <w:t xml:space="preserve"> aware through the consultation process undertaken for the Review, a number of current and recent ITE students have called for LANTITE to be abolished. </w:t>
      </w:r>
      <w:r w:rsidR="007F402C">
        <w:t>The Expert Panel</w:t>
      </w:r>
      <w:r>
        <w:t xml:space="preserve"> also acknowledge</w:t>
      </w:r>
      <w:r w:rsidR="007F402C">
        <w:t>s</w:t>
      </w:r>
      <w:r>
        <w:t xml:space="preserve"> that some cohorts of students may require additional support from higher education providers in order to pass the test, particularly those from </w:t>
      </w:r>
      <w:r w:rsidR="00146B6B">
        <w:t>CALD</w:t>
      </w:r>
      <w:r>
        <w:t xml:space="preserve"> backgrounds. </w:t>
      </w:r>
    </w:p>
    <w:p w14:paraId="004D603E" w14:textId="4EA9B651" w:rsidR="00D12409" w:rsidRDefault="00D12409" w:rsidP="00D12409">
      <w:r>
        <w:t xml:space="preserve">LANTITE, however, remains an appropriate way to assess critical skills needed to be an effective teacher and should continue to be a key part of the requirements for graduating from an ITE program. </w:t>
      </w:r>
      <w:r w:rsidRPr="0064032A">
        <w:t xml:space="preserve">Rather than lowering standards, </w:t>
      </w:r>
      <w:r w:rsidR="007F402C">
        <w:t>it is</w:t>
      </w:r>
      <w:r w:rsidR="007F402C" w:rsidRPr="0064032A">
        <w:t xml:space="preserve"> </w:t>
      </w:r>
      <w:r w:rsidRPr="0064032A">
        <w:t>recommend</w:t>
      </w:r>
      <w:r w:rsidR="007F402C">
        <w:t>ed</w:t>
      </w:r>
      <w:r w:rsidRPr="0064032A">
        <w:t xml:space="preserve"> that additional support is provided to ITE students who are not successful in passing LANTITE on their first attempt.</w:t>
      </w:r>
      <w:r>
        <w:t xml:space="preserve"> </w:t>
      </w:r>
    </w:p>
    <w:p w14:paraId="3371D529" w14:textId="202657CF" w:rsidR="00D12409" w:rsidRDefault="00D12409" w:rsidP="00D12409">
      <w:r>
        <w:t xml:space="preserve">To strengthen consideration of ITE student suitability and preparedness to teach, </w:t>
      </w:r>
      <w:r w:rsidR="007F402C">
        <w:t xml:space="preserve">the Expert Panel </w:t>
      </w:r>
      <w:r>
        <w:t>recommend</w:t>
      </w:r>
      <w:r w:rsidR="007F402C">
        <w:t>s</w:t>
      </w:r>
      <w:r>
        <w:t xml:space="preserve"> that the Accreditation Standards be amended to require students to sit and pass LANTITE by the end of the first year of study. </w:t>
      </w:r>
    </w:p>
    <w:p w14:paraId="310B46EF" w14:textId="4C241599" w:rsidR="00D12409" w:rsidRDefault="00D12409" w:rsidP="00D12409">
      <w:r w:rsidRPr="0028295B">
        <w:t xml:space="preserve">Targeted support for </w:t>
      </w:r>
      <w:r w:rsidR="68183861">
        <w:t>people from</w:t>
      </w:r>
      <w:r w:rsidR="73DCF881">
        <w:t xml:space="preserve"> </w:t>
      </w:r>
      <w:r w:rsidRPr="0028295B">
        <w:t xml:space="preserve">diverse </w:t>
      </w:r>
      <w:r w:rsidR="46DDEF0F">
        <w:t>backgrounds</w:t>
      </w:r>
      <w:r w:rsidRPr="0028295B">
        <w:t xml:space="preserve"> to successfully </w:t>
      </w:r>
      <w:r w:rsidR="74F57176">
        <w:t>complet</w:t>
      </w:r>
      <w:r w:rsidR="5FDC8EB3">
        <w:t>e</w:t>
      </w:r>
      <w:r w:rsidRPr="0028295B">
        <w:t xml:space="preserve"> LANTITE should be considered. Higher education</w:t>
      </w:r>
      <w:r w:rsidRPr="006F2913">
        <w:t xml:space="preserve"> providers should offer bridging-style courses to current and prospective students who are not successful on their first attempt at LANTITE. Once these students have </w:t>
      </w:r>
      <w:r w:rsidR="4F321EDB">
        <w:t xml:space="preserve">received intensive support </w:t>
      </w:r>
      <w:r w:rsidR="0004E685">
        <w:t>to</w:t>
      </w:r>
      <w:r w:rsidRPr="006F2913">
        <w:t xml:space="preserve"> pass LANTITE they would then </w:t>
      </w:r>
      <w:r w:rsidR="4110DAD8">
        <w:t>be able to</w:t>
      </w:r>
      <w:r w:rsidR="06C68FE4">
        <w:t xml:space="preserve"> </w:t>
      </w:r>
      <w:r w:rsidRPr="006F2913">
        <w:t xml:space="preserve">transfer to the mainstream ITE program. </w:t>
      </w:r>
    </w:p>
    <w:p w14:paraId="1012AB4C" w14:textId="77777777" w:rsidR="00D12409" w:rsidRDefault="00D12409" w:rsidP="00D12409">
      <w:pPr>
        <w:rPr>
          <w:noProof/>
        </w:rPr>
      </w:pPr>
      <w:r>
        <w:rPr>
          <w:noProof/>
        </w:rPr>
        <w:t xml:space="preserve">Earlier consideration of ITE student suitability and preparedness to teach will enable students and higher education providers to determine sooner in their ITE program whether they are suited to teaching. The Accreditation Standards should be amended to explicitly require professional experience in the first year of study to introduce ITE students to the classroom environment. </w:t>
      </w:r>
    </w:p>
    <w:p w14:paraId="37424931" w14:textId="77777777" w:rsidR="00D12409" w:rsidRDefault="00D12409" w:rsidP="00D12409">
      <w:pPr>
        <w:rPr>
          <w:noProof/>
        </w:rPr>
      </w:pPr>
      <w:r>
        <w:rPr>
          <w:noProof/>
        </w:rPr>
        <w:lastRenderedPageBreak/>
        <w:t xml:space="preserve">With completion rates varying significantly among higher education providers (from 34 to 73 per cent), some ITE students are </w:t>
      </w:r>
      <w:r>
        <w:t>investing</w:t>
      </w:r>
      <w:r>
        <w:rPr>
          <w:noProof/>
        </w:rPr>
        <w:t xml:space="preserve"> years and money on preparation for a career they later decide is not for them. In conjunction with efforts to attract and select students into ITE with characteristics that indicate suitability for teaching outlined </w:t>
      </w:r>
      <w:r w:rsidRPr="00226162">
        <w:rPr>
          <w:noProof/>
        </w:rPr>
        <w:t>in Chapter 1,</w:t>
      </w:r>
      <w:r>
        <w:rPr>
          <w:noProof/>
        </w:rPr>
        <w:t xml:space="preserve"> earlier exposure to the classroom has the potential to help students make this decision earlier. </w:t>
      </w:r>
    </w:p>
    <w:p w14:paraId="1C5B56DD" w14:textId="176812EF" w:rsidR="008A24D6" w:rsidRDefault="00D12409" w:rsidP="00D12409">
      <w:pPr>
        <w:rPr>
          <w:noProof/>
        </w:rPr>
      </w:pPr>
      <w:r>
        <w:rPr>
          <w:noProof/>
        </w:rPr>
        <w:t xml:space="preserve">While the impact on schools of requiring professional experience in the first year needs to be considered, innovative solutions and partnerships between higher education providers and schools should be supported. </w:t>
      </w:r>
    </w:p>
    <w:p w14:paraId="5516EC64" w14:textId="4AF3570A" w:rsidR="00CF3CF6" w:rsidRDefault="00CF3CF6" w:rsidP="00DE6EFD">
      <w:pPr>
        <w:pStyle w:val="Heading7"/>
      </w:pPr>
      <w:r>
        <w:t>National School Reform Agreement</w:t>
      </w:r>
    </w:p>
    <w:p w14:paraId="7B2B91E4" w14:textId="77777777" w:rsidR="00FB206E" w:rsidRDefault="00CF3CF6" w:rsidP="00D12409">
      <w:pPr>
        <w:rPr>
          <w:noProof/>
        </w:rPr>
      </w:pPr>
      <w:r w:rsidRPr="00CF3CF6">
        <w:rPr>
          <w:noProof/>
        </w:rPr>
        <w:t xml:space="preserve">The National School Reform Agreement is a joint agreement between the </w:t>
      </w:r>
      <w:r>
        <w:rPr>
          <w:noProof/>
        </w:rPr>
        <w:t>Australian Government</w:t>
      </w:r>
      <w:r w:rsidRPr="00CF3CF6">
        <w:rPr>
          <w:noProof/>
        </w:rPr>
        <w:t xml:space="preserve">, </w:t>
      </w:r>
      <w:r>
        <w:rPr>
          <w:noProof/>
        </w:rPr>
        <w:t>s</w:t>
      </w:r>
      <w:r w:rsidRPr="00CF3CF6">
        <w:rPr>
          <w:noProof/>
        </w:rPr>
        <w:t xml:space="preserve">tates and </w:t>
      </w:r>
      <w:r>
        <w:rPr>
          <w:noProof/>
        </w:rPr>
        <w:t>t</w:t>
      </w:r>
      <w:r w:rsidRPr="00CF3CF6">
        <w:rPr>
          <w:noProof/>
        </w:rPr>
        <w:t xml:space="preserve">erritories </w:t>
      </w:r>
      <w:r w:rsidR="00DB7701">
        <w:rPr>
          <w:noProof/>
        </w:rPr>
        <w:t xml:space="preserve">that aims </w:t>
      </w:r>
      <w:r w:rsidRPr="00CF3CF6">
        <w:rPr>
          <w:noProof/>
        </w:rPr>
        <w:t>to lift student outcomes across Australian schools.</w:t>
      </w:r>
      <w:r>
        <w:rPr>
          <w:noProof/>
        </w:rPr>
        <w:t xml:space="preserve"> </w:t>
      </w:r>
      <w:r w:rsidR="000B238F" w:rsidRPr="000B238F">
        <w:rPr>
          <w:noProof/>
        </w:rPr>
        <w:t>It outlines strategic reforms in areas where national collaboration will have the greatest impact on driving improved student outcomes.</w:t>
      </w:r>
      <w:r w:rsidR="00E363AA">
        <w:rPr>
          <w:noProof/>
        </w:rPr>
        <w:t xml:space="preserve"> </w:t>
      </w:r>
    </w:p>
    <w:p w14:paraId="0DA7893D" w14:textId="454B7746" w:rsidR="002A6050" w:rsidRDefault="0027118F" w:rsidP="00D12409">
      <w:pPr>
        <w:rPr>
          <w:noProof/>
        </w:rPr>
      </w:pPr>
      <w:r>
        <w:rPr>
          <w:noProof/>
        </w:rPr>
        <w:t>While earlier implementation</w:t>
      </w:r>
      <w:r w:rsidR="00FD1AD7">
        <w:rPr>
          <w:noProof/>
        </w:rPr>
        <w:t xml:space="preserve"> is encouraged</w:t>
      </w:r>
      <w:r>
        <w:rPr>
          <w:noProof/>
        </w:rPr>
        <w:t>, t</w:t>
      </w:r>
      <w:r w:rsidR="005A7573">
        <w:rPr>
          <w:noProof/>
        </w:rPr>
        <w:t>he development of the next National School Reform Agreement, due to be in place from 2024, provides an opportunity to implement and embed measures to improve the quality of ITE</w:t>
      </w:r>
      <w:r w:rsidR="009248BE">
        <w:rPr>
          <w:noProof/>
        </w:rPr>
        <w:t>.</w:t>
      </w:r>
      <w:r w:rsidR="00CF3CF6">
        <w:rPr>
          <w:noProof/>
        </w:rPr>
        <w:t xml:space="preserve"> </w:t>
      </w:r>
    </w:p>
    <w:p w14:paraId="5D922009" w14:textId="41872658" w:rsidR="007F0778" w:rsidRDefault="007F0778" w:rsidP="007F0778">
      <w:pPr>
        <w:pStyle w:val="Recommendation4"/>
        <w:spacing w:after="0"/>
        <w:rPr>
          <w:b/>
          <w:sz w:val="20"/>
        </w:rPr>
      </w:pPr>
      <w:r w:rsidRPr="00FE09FB">
        <w:rPr>
          <w:b/>
          <w:sz w:val="20"/>
        </w:rPr>
        <w:t xml:space="preserve">Recommendation 11: Require earlier identification of suitability to teach </w:t>
      </w:r>
    </w:p>
    <w:p w14:paraId="49E3F068" w14:textId="77777777" w:rsidR="007F0778" w:rsidRPr="00FE09FB" w:rsidRDefault="007F0778" w:rsidP="007F0778">
      <w:pPr>
        <w:pStyle w:val="Recommendation4"/>
        <w:spacing w:after="0"/>
        <w:rPr>
          <w:sz w:val="20"/>
        </w:rPr>
      </w:pPr>
      <w:r w:rsidRPr="00FE09FB">
        <w:rPr>
          <w:sz w:val="20"/>
        </w:rPr>
        <w:t xml:space="preserve">Empower </w:t>
      </w:r>
      <w:r>
        <w:rPr>
          <w:sz w:val="20"/>
        </w:rPr>
        <w:t>initial teacher education (</w:t>
      </w:r>
      <w:r w:rsidRPr="00FE09FB">
        <w:rPr>
          <w:sz w:val="20"/>
        </w:rPr>
        <w:t>ITE</w:t>
      </w:r>
      <w:r>
        <w:rPr>
          <w:sz w:val="20"/>
        </w:rPr>
        <w:t>)</w:t>
      </w:r>
      <w:r w:rsidRPr="00FE09FB">
        <w:rPr>
          <w:sz w:val="20"/>
        </w:rPr>
        <w:t xml:space="preserve"> students to identify earlier whether a career in teaching is likely to be suitable by:</w:t>
      </w:r>
    </w:p>
    <w:p w14:paraId="488A9847" w14:textId="45FA11E1" w:rsidR="007F0778" w:rsidRPr="00FE09FB" w:rsidRDefault="007F0778" w:rsidP="00430815">
      <w:pPr>
        <w:pStyle w:val="Recommendation4"/>
        <w:numPr>
          <w:ilvl w:val="0"/>
          <w:numId w:val="52"/>
        </w:numPr>
        <w:spacing w:after="0"/>
        <w:rPr>
          <w:sz w:val="20"/>
        </w:rPr>
      </w:pPr>
      <w:r w:rsidRPr="00FE09FB">
        <w:rPr>
          <w:sz w:val="20"/>
        </w:rPr>
        <w:t>requiring significant, practical school experience in the first year of study</w:t>
      </w:r>
    </w:p>
    <w:p w14:paraId="0800B51C" w14:textId="651C42E4" w:rsidR="007F0778" w:rsidRPr="00FE09FB" w:rsidRDefault="007F0778" w:rsidP="00430815">
      <w:pPr>
        <w:pStyle w:val="Recommendation4"/>
        <w:numPr>
          <w:ilvl w:val="0"/>
          <w:numId w:val="52"/>
        </w:numPr>
        <w:spacing w:after="0"/>
        <w:rPr>
          <w:sz w:val="20"/>
        </w:rPr>
      </w:pPr>
      <w:r w:rsidRPr="00FE09FB">
        <w:rPr>
          <w:sz w:val="20"/>
        </w:rPr>
        <w:t xml:space="preserve">requiring the Literacy and Numeracy Test for Initial Teacher Education (LANTITE) be passed by the end of the first year of study </w:t>
      </w:r>
    </w:p>
    <w:p w14:paraId="1E30BA6E" w14:textId="083F136D" w:rsidR="007F0778" w:rsidRPr="00FE09FB" w:rsidRDefault="007F0778" w:rsidP="00430815">
      <w:pPr>
        <w:pStyle w:val="Recommendation4"/>
        <w:numPr>
          <w:ilvl w:val="0"/>
          <w:numId w:val="52"/>
        </w:numPr>
        <w:spacing w:after="0"/>
        <w:rPr>
          <w:sz w:val="20"/>
        </w:rPr>
      </w:pPr>
      <w:r w:rsidRPr="00FE09FB">
        <w:rPr>
          <w:sz w:val="20"/>
        </w:rPr>
        <w:t xml:space="preserve">funding foundation courses to support diverse groups such as </w:t>
      </w:r>
      <w:r w:rsidR="00A37130" w:rsidRPr="00FE09FB">
        <w:rPr>
          <w:sz w:val="20"/>
        </w:rPr>
        <w:t xml:space="preserve">Culturally and Linguistically Diverse </w:t>
      </w:r>
      <w:r w:rsidRPr="00FE09FB">
        <w:rPr>
          <w:sz w:val="20"/>
        </w:rPr>
        <w:t>students to successfully complete LANTITE</w:t>
      </w:r>
    </w:p>
    <w:p w14:paraId="4E6CDDD5" w14:textId="76D8F3F7" w:rsidR="007F0778" w:rsidRPr="00FE09FB" w:rsidRDefault="007F0778" w:rsidP="00430815">
      <w:pPr>
        <w:pStyle w:val="Recommendation4"/>
        <w:numPr>
          <w:ilvl w:val="0"/>
          <w:numId w:val="52"/>
        </w:numPr>
        <w:spacing w:after="0"/>
        <w:rPr>
          <w:sz w:val="20"/>
        </w:rPr>
      </w:pPr>
      <w:r w:rsidRPr="00FE09FB">
        <w:rPr>
          <w:sz w:val="20"/>
        </w:rPr>
        <w:t>allocating funding for ITE short courses so students can explore the prospect of a teaching career without committing to a full degree.</w:t>
      </w:r>
    </w:p>
    <w:p w14:paraId="60942238" w14:textId="77777777" w:rsidR="00483728" w:rsidRDefault="00483728" w:rsidP="003F6A34">
      <w:pPr>
        <w:spacing w:after="0"/>
      </w:pPr>
    </w:p>
    <w:p w14:paraId="3ADA06ED" w14:textId="2A0B7B0A" w:rsidR="007F0778" w:rsidRPr="00FE09FB" w:rsidRDefault="007F0778" w:rsidP="007F0778">
      <w:pPr>
        <w:pStyle w:val="Recommendation4"/>
        <w:spacing w:after="0"/>
        <w:rPr>
          <w:b/>
          <w:sz w:val="20"/>
        </w:rPr>
      </w:pPr>
      <w:r w:rsidRPr="00FE09FB">
        <w:rPr>
          <w:b/>
          <w:sz w:val="20"/>
        </w:rPr>
        <w:t>Recommendation 12: Promote reform through the next National School Reform Agreement</w:t>
      </w:r>
    </w:p>
    <w:p w14:paraId="47E38305" w14:textId="77777777" w:rsidR="007F0778" w:rsidRPr="00FE09FB" w:rsidRDefault="007F0778" w:rsidP="007F0778">
      <w:pPr>
        <w:pStyle w:val="Recommendation4"/>
        <w:spacing w:after="0"/>
        <w:rPr>
          <w:sz w:val="20"/>
        </w:rPr>
      </w:pPr>
      <w:r w:rsidRPr="00FE09FB">
        <w:rPr>
          <w:sz w:val="20"/>
        </w:rPr>
        <w:t xml:space="preserve">Ensure that the next National School Reform Agreement requires states and territories to demonstrate, at least: </w:t>
      </w:r>
    </w:p>
    <w:p w14:paraId="7E263898" w14:textId="77777777" w:rsidR="007F0778" w:rsidRPr="00FE09FB" w:rsidRDefault="007F0778" w:rsidP="00F66D2A">
      <w:pPr>
        <w:pStyle w:val="Recommendation4"/>
        <w:numPr>
          <w:ilvl w:val="0"/>
          <w:numId w:val="33"/>
        </w:numPr>
        <w:spacing w:after="0"/>
        <w:rPr>
          <w:sz w:val="20"/>
        </w:rPr>
      </w:pPr>
      <w:r w:rsidRPr="00FE09FB">
        <w:rPr>
          <w:sz w:val="20"/>
        </w:rPr>
        <w:t xml:space="preserve">evidence-based teaching of reading </w:t>
      </w:r>
    </w:p>
    <w:p w14:paraId="1B5620FF" w14:textId="7F3D4A15" w:rsidR="007F0778" w:rsidRPr="00FE09FB" w:rsidRDefault="007F0778" w:rsidP="00F66D2A">
      <w:pPr>
        <w:pStyle w:val="Recommendation4"/>
        <w:numPr>
          <w:ilvl w:val="0"/>
          <w:numId w:val="33"/>
        </w:numPr>
        <w:spacing w:after="0"/>
        <w:rPr>
          <w:sz w:val="20"/>
        </w:rPr>
      </w:pPr>
      <w:r>
        <w:rPr>
          <w:sz w:val="20"/>
        </w:rPr>
        <w:t>the L</w:t>
      </w:r>
      <w:r w:rsidRPr="00FE09FB">
        <w:rPr>
          <w:sz w:val="20"/>
        </w:rPr>
        <w:t>iteracy and Numeracy Test for Initial Teacher Education to be passed in the first year of a</w:t>
      </w:r>
      <w:r w:rsidR="004B4475">
        <w:rPr>
          <w:sz w:val="20"/>
        </w:rPr>
        <w:t>n</w:t>
      </w:r>
      <w:r w:rsidRPr="00FE09FB">
        <w:rPr>
          <w:sz w:val="20"/>
        </w:rPr>
        <w:t xml:space="preserve"> </w:t>
      </w:r>
      <w:r>
        <w:rPr>
          <w:sz w:val="20"/>
        </w:rPr>
        <w:t>initial teacher education (</w:t>
      </w:r>
      <w:r w:rsidRPr="00FE09FB">
        <w:rPr>
          <w:sz w:val="20"/>
        </w:rPr>
        <w:t>ITE</w:t>
      </w:r>
      <w:r>
        <w:rPr>
          <w:sz w:val="20"/>
        </w:rPr>
        <w:t>)</w:t>
      </w:r>
      <w:r w:rsidRPr="00FE09FB">
        <w:rPr>
          <w:sz w:val="20"/>
        </w:rPr>
        <w:t xml:space="preserve"> course</w:t>
      </w:r>
    </w:p>
    <w:p w14:paraId="523CA131" w14:textId="77777777" w:rsidR="007F0778" w:rsidRPr="00FE09FB" w:rsidRDefault="007F0778" w:rsidP="00F66D2A">
      <w:pPr>
        <w:pStyle w:val="Recommendation4"/>
        <w:numPr>
          <w:ilvl w:val="0"/>
          <w:numId w:val="33"/>
        </w:numPr>
        <w:spacing w:after="0"/>
        <w:rPr>
          <w:sz w:val="20"/>
        </w:rPr>
      </w:pPr>
      <w:r w:rsidRPr="00FE09FB">
        <w:rPr>
          <w:sz w:val="20"/>
        </w:rPr>
        <w:t xml:space="preserve">early exposure to professional placement </w:t>
      </w:r>
    </w:p>
    <w:p w14:paraId="7B00A45F" w14:textId="6D4FFEFD" w:rsidR="007F0778" w:rsidRPr="00FE09FB" w:rsidRDefault="007F0778" w:rsidP="00F66D2A">
      <w:pPr>
        <w:pStyle w:val="Recommendation4"/>
        <w:numPr>
          <w:ilvl w:val="0"/>
          <w:numId w:val="33"/>
        </w:numPr>
        <w:spacing w:after="0"/>
        <w:rPr>
          <w:sz w:val="20"/>
        </w:rPr>
      </w:pPr>
      <w:r w:rsidRPr="00FE09FB">
        <w:rPr>
          <w:sz w:val="20"/>
        </w:rPr>
        <w:t xml:space="preserve">Teacher </w:t>
      </w:r>
      <w:r w:rsidR="004B4475">
        <w:rPr>
          <w:sz w:val="20"/>
        </w:rPr>
        <w:t>Regulatory</w:t>
      </w:r>
      <w:r w:rsidR="004B4475" w:rsidRPr="00FE09FB">
        <w:rPr>
          <w:sz w:val="20"/>
        </w:rPr>
        <w:t xml:space="preserve"> </w:t>
      </w:r>
      <w:r w:rsidRPr="00FE09FB">
        <w:rPr>
          <w:sz w:val="20"/>
        </w:rPr>
        <w:t xml:space="preserve">Authority transparency on each accredited higher education provider’s student entry characteristics, attrition and completions and other data relevant for accountability. </w:t>
      </w:r>
    </w:p>
    <w:p w14:paraId="62AECCF7" w14:textId="77777777" w:rsidR="007F0778" w:rsidRPr="00FE09FB" w:rsidRDefault="007F0778" w:rsidP="00F66D2A">
      <w:pPr>
        <w:pStyle w:val="Recommendation4"/>
        <w:numPr>
          <w:ilvl w:val="0"/>
          <w:numId w:val="33"/>
        </w:numPr>
        <w:spacing w:after="0"/>
        <w:rPr>
          <w:sz w:val="20"/>
        </w:rPr>
      </w:pPr>
      <w:r w:rsidRPr="00FE09FB">
        <w:rPr>
          <w:sz w:val="20"/>
        </w:rPr>
        <w:t xml:space="preserve">making available data, including student achievement data, for research purposes to determine the impact of candidate selection and ITE programs on student achievement </w:t>
      </w:r>
    </w:p>
    <w:p w14:paraId="66FA14B1" w14:textId="77777777" w:rsidR="007F0778" w:rsidRPr="00FE09FB" w:rsidRDefault="007F0778" w:rsidP="00F66D2A">
      <w:pPr>
        <w:pStyle w:val="Recommendation4"/>
        <w:numPr>
          <w:ilvl w:val="0"/>
          <w:numId w:val="33"/>
        </w:numPr>
        <w:spacing w:after="0"/>
        <w:rPr>
          <w:sz w:val="20"/>
        </w:rPr>
      </w:pPr>
      <w:r w:rsidRPr="00FE09FB">
        <w:rPr>
          <w:sz w:val="20"/>
        </w:rPr>
        <w:t>school and higher education provider partnerships and mentoring requirements for early years teachers.</w:t>
      </w:r>
    </w:p>
    <w:p w14:paraId="50FBAF3E" w14:textId="1D29D6A1" w:rsidR="00D80759" w:rsidRDefault="00D80759" w:rsidP="00D12409">
      <w:pPr>
        <w:rPr>
          <w:noProof/>
        </w:rPr>
      </w:pPr>
    </w:p>
    <w:p w14:paraId="7ED6BF40" w14:textId="157BE7A8" w:rsidR="006F2913" w:rsidRDefault="007C6F5E" w:rsidP="003F6A34">
      <w:pPr>
        <w:spacing w:after="0" w:line="240" w:lineRule="auto"/>
        <w:rPr>
          <w:noProof/>
        </w:rPr>
      </w:pPr>
      <w:r>
        <w:rPr>
          <w:noProof/>
        </w:rPr>
        <w:br w:type="page"/>
      </w:r>
    </w:p>
    <w:p w14:paraId="22AEA670" w14:textId="526BACCE" w:rsidR="00D12409" w:rsidRDefault="00D12409" w:rsidP="003B5F25">
      <w:pPr>
        <w:pStyle w:val="Heading2"/>
        <w:ind w:left="434" w:hanging="434"/>
      </w:pPr>
      <w:bookmarkStart w:id="42" w:name="_Toc86138408"/>
      <w:bookmarkStart w:id="43" w:name="_Toc86141312"/>
      <w:bookmarkStart w:id="44" w:name="_Toc91160203"/>
      <w:r>
        <w:lastRenderedPageBreak/>
        <w:t>Chapter 5: School-Higher Education Provider Partnerships</w:t>
      </w:r>
      <w:bookmarkEnd w:id="42"/>
      <w:bookmarkEnd w:id="43"/>
      <w:bookmarkEnd w:id="44"/>
      <w:r>
        <w:t xml:space="preserve"> </w:t>
      </w:r>
    </w:p>
    <w:p w14:paraId="07D13E92" w14:textId="506EA16C" w:rsidR="00082C82" w:rsidRDefault="00082C82" w:rsidP="00082C82">
      <w:pPr>
        <w:pStyle w:val="Keypoints"/>
      </w:pPr>
      <w:r>
        <w:t>Key points</w:t>
      </w:r>
    </w:p>
    <w:p w14:paraId="3F338C5E" w14:textId="5F941591" w:rsidR="00ED3B72" w:rsidRPr="005105CD" w:rsidRDefault="003F6E8F" w:rsidP="00F66D2A">
      <w:pPr>
        <w:pStyle w:val="Keypoints"/>
        <w:numPr>
          <w:ilvl w:val="0"/>
          <w:numId w:val="25"/>
        </w:numPr>
      </w:pPr>
      <w:r>
        <w:rPr>
          <w:b w:val="0"/>
          <w:bCs/>
        </w:rPr>
        <w:t>Strong p</w:t>
      </w:r>
      <w:r w:rsidR="001915D7">
        <w:rPr>
          <w:b w:val="0"/>
          <w:bCs/>
        </w:rPr>
        <w:t xml:space="preserve">artnerships between schools and higher education providers </w:t>
      </w:r>
      <w:r w:rsidR="006212EB">
        <w:rPr>
          <w:b w:val="0"/>
          <w:bCs/>
        </w:rPr>
        <w:t xml:space="preserve">can increase the classroom readiness </w:t>
      </w:r>
      <w:r w:rsidR="007115E9">
        <w:rPr>
          <w:b w:val="0"/>
          <w:bCs/>
        </w:rPr>
        <w:t xml:space="preserve">of </w:t>
      </w:r>
      <w:r w:rsidR="00067AAE">
        <w:rPr>
          <w:b w:val="0"/>
          <w:bCs/>
        </w:rPr>
        <w:t>initial teacher education (ITE) students</w:t>
      </w:r>
      <w:r w:rsidR="007115E9">
        <w:rPr>
          <w:b w:val="0"/>
          <w:bCs/>
        </w:rPr>
        <w:t xml:space="preserve"> and </w:t>
      </w:r>
      <w:r w:rsidR="00DC40E4">
        <w:rPr>
          <w:b w:val="0"/>
          <w:bCs/>
        </w:rPr>
        <w:t>strengthen professional experience placements.</w:t>
      </w:r>
    </w:p>
    <w:p w14:paraId="116EC326" w14:textId="19BECC56" w:rsidR="00DC40E4" w:rsidRPr="005105CD" w:rsidRDefault="00DC40E4" w:rsidP="00F66D2A">
      <w:pPr>
        <w:pStyle w:val="Keypoints"/>
        <w:numPr>
          <w:ilvl w:val="0"/>
          <w:numId w:val="25"/>
        </w:numPr>
      </w:pPr>
      <w:r>
        <w:rPr>
          <w:b w:val="0"/>
          <w:bCs/>
        </w:rPr>
        <w:t xml:space="preserve">School-provider partnerships </w:t>
      </w:r>
      <w:r w:rsidR="002A784A">
        <w:rPr>
          <w:b w:val="0"/>
          <w:bCs/>
        </w:rPr>
        <w:t xml:space="preserve">can </w:t>
      </w:r>
      <w:r w:rsidR="00E6341E">
        <w:rPr>
          <w:b w:val="0"/>
          <w:bCs/>
        </w:rPr>
        <w:t>be used to better connect theory and practice by offering schools the opportunity to be involved in the development of ITE programs.</w:t>
      </w:r>
    </w:p>
    <w:p w14:paraId="107A2367" w14:textId="77777777" w:rsidR="004D572B" w:rsidRDefault="004F134F" w:rsidP="00F66D2A">
      <w:pPr>
        <w:pStyle w:val="Keypoints"/>
        <w:numPr>
          <w:ilvl w:val="0"/>
          <w:numId w:val="25"/>
        </w:numPr>
        <w:rPr>
          <w:b w:val="0"/>
          <w:bCs/>
        </w:rPr>
      </w:pPr>
      <w:r w:rsidRPr="00CE5CD1">
        <w:rPr>
          <w:b w:val="0"/>
        </w:rPr>
        <w:t>In addition</w:t>
      </w:r>
      <w:r w:rsidR="00C40851">
        <w:rPr>
          <w:b w:val="0"/>
          <w:bCs/>
        </w:rPr>
        <w:t>,</w:t>
      </w:r>
      <w:r w:rsidRPr="00CE5CD1">
        <w:rPr>
          <w:b w:val="0"/>
        </w:rPr>
        <w:t xml:space="preserve"> school-</w:t>
      </w:r>
      <w:r>
        <w:rPr>
          <w:b w:val="0"/>
          <w:bCs/>
        </w:rPr>
        <w:t>provider</w:t>
      </w:r>
      <w:r w:rsidRPr="00CE5CD1">
        <w:rPr>
          <w:b w:val="0"/>
        </w:rPr>
        <w:t xml:space="preserve"> partnerships </w:t>
      </w:r>
      <w:r w:rsidR="00C40851">
        <w:rPr>
          <w:b w:val="0"/>
          <w:bCs/>
        </w:rPr>
        <w:t>can be beneficial</w:t>
      </w:r>
      <w:r>
        <w:rPr>
          <w:b w:val="0"/>
          <w:bCs/>
        </w:rPr>
        <w:t xml:space="preserve"> to academics and researchers </w:t>
      </w:r>
      <w:r w:rsidR="00E3565B">
        <w:rPr>
          <w:b w:val="0"/>
          <w:bCs/>
        </w:rPr>
        <w:t>as they encourage</w:t>
      </w:r>
      <w:r w:rsidR="004D572B">
        <w:rPr>
          <w:b w:val="0"/>
          <w:bCs/>
        </w:rPr>
        <w:t xml:space="preserve"> reciprocal sharing of knowledge and experience.</w:t>
      </w:r>
    </w:p>
    <w:p w14:paraId="77349FD4" w14:textId="0B04A1C6" w:rsidR="000D6D2D" w:rsidRPr="00CE5CD1" w:rsidRDefault="00051D8D" w:rsidP="00F66D2A">
      <w:pPr>
        <w:pStyle w:val="Keypoints"/>
        <w:numPr>
          <w:ilvl w:val="0"/>
          <w:numId w:val="25"/>
        </w:numPr>
        <w:rPr>
          <w:b w:val="0"/>
        </w:rPr>
      </w:pPr>
      <w:r w:rsidRPr="00051D8D">
        <w:rPr>
          <w:b w:val="0"/>
          <w:bCs/>
        </w:rPr>
        <w:t>Stakeholders highlighted</w:t>
      </w:r>
      <w:r>
        <w:rPr>
          <w:b w:val="0"/>
          <w:bCs/>
        </w:rPr>
        <w:t xml:space="preserve"> that </w:t>
      </w:r>
      <w:r w:rsidRPr="00051D8D">
        <w:rPr>
          <w:b w:val="0"/>
          <w:bCs/>
        </w:rPr>
        <w:t>stronger partnerships between higher education providers and schools</w:t>
      </w:r>
      <w:r>
        <w:rPr>
          <w:b w:val="0"/>
          <w:bCs/>
        </w:rPr>
        <w:t xml:space="preserve"> could also be </w:t>
      </w:r>
      <w:r w:rsidR="004A7521">
        <w:rPr>
          <w:b w:val="0"/>
          <w:bCs/>
        </w:rPr>
        <w:t xml:space="preserve">used </w:t>
      </w:r>
      <w:r>
        <w:rPr>
          <w:b w:val="0"/>
          <w:bCs/>
        </w:rPr>
        <w:t xml:space="preserve">to support </w:t>
      </w:r>
      <w:r w:rsidRPr="00051D8D">
        <w:rPr>
          <w:b w:val="0"/>
          <w:bCs/>
        </w:rPr>
        <w:t>supervising teachers</w:t>
      </w:r>
      <w:r>
        <w:rPr>
          <w:b w:val="0"/>
          <w:bCs/>
        </w:rPr>
        <w:t xml:space="preserve">. </w:t>
      </w:r>
    </w:p>
    <w:p w14:paraId="2133CC30" w14:textId="77777777" w:rsidR="00D12409" w:rsidRDefault="00D12409" w:rsidP="00D12409">
      <w:pPr>
        <w:pStyle w:val="Heading3"/>
        <w:ind w:left="1021" w:hanging="1021"/>
        <w:rPr>
          <w:rFonts w:eastAsia="Times New Roman"/>
        </w:rPr>
      </w:pPr>
      <w:r>
        <w:t xml:space="preserve">Current Context </w:t>
      </w:r>
    </w:p>
    <w:p w14:paraId="5B2D1B70" w14:textId="77377BA7" w:rsidR="00D12409" w:rsidRDefault="00D12409" w:rsidP="00D12409">
      <w:pPr>
        <w:rPr>
          <w:rFonts w:eastAsia="Times New Roman"/>
        </w:rPr>
      </w:pPr>
      <w:r>
        <w:rPr>
          <w:rFonts w:eastAsia="Times New Roman"/>
        </w:rPr>
        <w:t xml:space="preserve">Reforms to professional experience recommended by </w:t>
      </w:r>
      <w:r w:rsidR="00216976">
        <w:rPr>
          <w:rFonts w:eastAsia="Times New Roman"/>
        </w:rPr>
        <w:t xml:space="preserve">the </w:t>
      </w:r>
      <w:r w:rsidRPr="00A54E9B">
        <w:rPr>
          <w:rFonts w:eastAsia="Times New Roman"/>
        </w:rPr>
        <w:t xml:space="preserve">TEMAG </w:t>
      </w:r>
      <w:r w:rsidR="00216976">
        <w:rPr>
          <w:rFonts w:eastAsia="Times New Roman"/>
        </w:rPr>
        <w:t>Review</w:t>
      </w:r>
      <w:r w:rsidRPr="00A54E9B">
        <w:rPr>
          <w:rFonts w:eastAsia="Times New Roman"/>
        </w:rPr>
        <w:t xml:space="preserve"> focused on enhancing partnerships between </w:t>
      </w:r>
      <w:r>
        <w:rPr>
          <w:rFonts w:eastAsia="Times New Roman"/>
        </w:rPr>
        <w:t>higher education</w:t>
      </w:r>
      <w:r w:rsidRPr="00A54E9B">
        <w:rPr>
          <w:rFonts w:eastAsia="Times New Roman"/>
        </w:rPr>
        <w:t xml:space="preserve"> providers and schools. The Accreditation Standards require formal partnerships, agreed in writing, for every professional experience school or site. These agreements must clearly specify components of placements and planned experiences, identified roles and responsibilities and contacts for day</w:t>
      </w:r>
      <w:r w:rsidR="00486B47">
        <w:rPr>
          <w:rFonts w:eastAsia="Times New Roman"/>
        </w:rPr>
        <w:noBreakHyphen/>
      </w:r>
      <w:r w:rsidRPr="00A54E9B">
        <w:rPr>
          <w:rFonts w:eastAsia="Times New Roman"/>
        </w:rPr>
        <w:t>to-day administration of the arrangement (Program Standard 5.1).</w:t>
      </w:r>
    </w:p>
    <w:p w14:paraId="6C8274E5" w14:textId="77777777" w:rsidR="00D12409" w:rsidRDefault="00D12409" w:rsidP="00D12409">
      <w:pPr>
        <w:rPr>
          <w:rFonts w:eastAsia="Times New Roman"/>
        </w:rPr>
      </w:pPr>
      <w:r>
        <w:rPr>
          <w:rFonts w:eastAsia="Times New Roman"/>
        </w:rPr>
        <w:t xml:space="preserve">School-provider partnerships can extend further than the delivery of professional experience. Partnerships can offer schools the opportunity to be involved in the development of ITE programs and can assist providers to ensure programs remain relevant to current school contexts, bridging the gap between theory and practice. Strong partnerships can also support teachers in the school through professional development. </w:t>
      </w:r>
    </w:p>
    <w:p w14:paraId="63CB73E5" w14:textId="77777777" w:rsidR="00D12409" w:rsidRDefault="00D12409" w:rsidP="00D12409">
      <w:pPr>
        <w:pStyle w:val="Heading3"/>
        <w:ind w:left="1021" w:hanging="1021"/>
      </w:pPr>
      <w:r>
        <w:t xml:space="preserve">Key Consultation Themes and Analysis </w:t>
      </w:r>
    </w:p>
    <w:p w14:paraId="0F29F807" w14:textId="30F61763" w:rsidR="00D12409" w:rsidRDefault="00D12409" w:rsidP="00D12409">
      <w:pPr>
        <w:rPr>
          <w:rFonts w:eastAsia="Times New Roman"/>
        </w:rPr>
      </w:pPr>
      <w:r>
        <w:rPr>
          <w:rFonts w:eastAsia="Times New Roman"/>
        </w:rPr>
        <w:t xml:space="preserve">Stakeholders acknowledge the importance of strong partnerships between higher education providers and schools to increase the classroom readiness of </w:t>
      </w:r>
      <w:r w:rsidR="000D142B">
        <w:rPr>
          <w:rFonts w:eastAsia="Times New Roman"/>
        </w:rPr>
        <w:t>ITE students</w:t>
      </w:r>
      <w:r>
        <w:rPr>
          <w:rFonts w:eastAsia="Times New Roman"/>
        </w:rPr>
        <w:t xml:space="preserve"> and strengthen the quality of ITE course content and delivery. Recent Australian research has also highlighted the benefit these partnerships offer to schools and </w:t>
      </w:r>
      <w:r w:rsidRPr="00264E8C">
        <w:rPr>
          <w:rFonts w:eastAsia="Times New Roman"/>
        </w:rPr>
        <w:t>universities (</w:t>
      </w:r>
      <w:r w:rsidR="00BE1E84" w:rsidRPr="00BE1E84">
        <w:rPr>
          <w:rFonts w:eastAsia="Times New Roman"/>
        </w:rPr>
        <w:t>Green et al. 2019</w:t>
      </w:r>
      <w:r w:rsidRPr="00264E8C">
        <w:rPr>
          <w:rFonts w:eastAsia="Times New Roman"/>
        </w:rPr>
        <w:t>).</w:t>
      </w:r>
    </w:p>
    <w:p w14:paraId="581CE43B" w14:textId="573EB758" w:rsidR="00D12409" w:rsidRDefault="00D12409" w:rsidP="00D12409">
      <w:pPr>
        <w:rPr>
          <w:rFonts w:eastAsia="Times New Roman"/>
        </w:rPr>
      </w:pPr>
      <w:r>
        <w:rPr>
          <w:rStyle w:val="normaltextrun"/>
          <w:rFonts w:ascii="Calibri" w:hAnsi="Calibri" w:cs="Calibri"/>
          <w:color w:val="000000"/>
          <w:shd w:val="clear" w:color="auto" w:fill="FFFFFF"/>
        </w:rPr>
        <w:t xml:space="preserve">There has been steady progress in the development of school-university partnerships since </w:t>
      </w:r>
      <w:r w:rsidR="00216976">
        <w:rPr>
          <w:rStyle w:val="normaltextrun"/>
          <w:rFonts w:ascii="Calibri" w:hAnsi="Calibri" w:cs="Calibri"/>
          <w:color w:val="000000"/>
          <w:shd w:val="clear" w:color="auto" w:fill="FFFFFF"/>
        </w:rPr>
        <w:t xml:space="preserve">the </w:t>
      </w:r>
      <w:r>
        <w:rPr>
          <w:rStyle w:val="normaltextrun"/>
          <w:rFonts w:ascii="Calibri" w:hAnsi="Calibri" w:cs="Calibri"/>
          <w:color w:val="000000"/>
          <w:shd w:val="clear" w:color="auto" w:fill="FFFFFF"/>
        </w:rPr>
        <w:t>TEMAG</w:t>
      </w:r>
      <w:r w:rsidR="00216976">
        <w:rPr>
          <w:rStyle w:val="normaltextrun"/>
          <w:rFonts w:ascii="Calibri" w:hAnsi="Calibri" w:cs="Calibri"/>
          <w:color w:val="000000"/>
          <w:shd w:val="clear" w:color="auto" w:fill="FFFFFF"/>
        </w:rPr>
        <w:t xml:space="preserve"> Review</w:t>
      </w:r>
      <w:r>
        <w:rPr>
          <w:rStyle w:val="normaltextrun"/>
          <w:rFonts w:ascii="Calibri" w:hAnsi="Calibri" w:cs="Calibri"/>
          <w:color w:val="000000"/>
          <w:shd w:val="clear" w:color="auto" w:fill="FFFFFF"/>
        </w:rPr>
        <w:t>.</w:t>
      </w:r>
      <w:r>
        <w:rPr>
          <w:rFonts w:eastAsia="Times New Roman"/>
        </w:rPr>
        <w:t xml:space="preserve"> Stakeholders have, however, identified areas where partnerships between schools and providers could be enhanced.</w:t>
      </w:r>
    </w:p>
    <w:p w14:paraId="676C9468" w14:textId="77777777" w:rsidR="00D12409" w:rsidRDefault="00D12409" w:rsidP="00D12409">
      <w:pPr>
        <w:pStyle w:val="Heading7"/>
      </w:pPr>
      <w:r>
        <w:t>Partnerships</w:t>
      </w:r>
    </w:p>
    <w:p w14:paraId="4B8645FA" w14:textId="012C9EEB" w:rsidR="00D12409" w:rsidRDefault="00D12409" w:rsidP="00D12409">
      <w:pPr>
        <w:rPr>
          <w:rFonts w:eastAsia="Times New Roman"/>
        </w:rPr>
      </w:pPr>
      <w:r>
        <w:rPr>
          <w:rFonts w:eastAsia="Times New Roman"/>
        </w:rPr>
        <w:t>Most jurisdictions promote partnerships between schools and providers to a certain degree. Some, like Queensland, have taken a system-level response which sees a</w:t>
      </w:r>
      <w:r w:rsidR="00B31C45">
        <w:rPr>
          <w:rFonts w:eastAsia="Times New Roman"/>
        </w:rPr>
        <w:t>n</w:t>
      </w:r>
      <w:r>
        <w:rPr>
          <w:rFonts w:eastAsia="Times New Roman"/>
        </w:rPr>
        <w:t xml:space="preserve"> agreement between the government and non</w:t>
      </w:r>
      <w:r w:rsidR="003B1C77">
        <w:rPr>
          <w:rFonts w:eastAsia="Times New Roman"/>
        </w:rPr>
        <w:noBreakHyphen/>
      </w:r>
      <w:r>
        <w:rPr>
          <w:rFonts w:eastAsia="Times New Roman"/>
        </w:rPr>
        <w:t>government sectors, and higher education providers, to ensure a consistent approach to the delivery of high</w:t>
      </w:r>
      <w:r w:rsidR="003B1C77">
        <w:rPr>
          <w:rFonts w:eastAsia="Times New Roman"/>
        </w:rPr>
        <w:noBreakHyphen/>
      </w:r>
      <w:r>
        <w:rPr>
          <w:rFonts w:eastAsia="Times New Roman"/>
        </w:rPr>
        <w:t>quality professional experience in Queensland (Queensland College of Teachers submission).</w:t>
      </w:r>
    </w:p>
    <w:p w14:paraId="79376CBF" w14:textId="1FDFDE3D" w:rsidR="00D12409" w:rsidRDefault="00504B3C" w:rsidP="00D12409">
      <w:pPr>
        <w:rPr>
          <w:rFonts w:eastAsia="Times New Roman"/>
        </w:rPr>
      </w:pPr>
      <w:r>
        <w:rPr>
          <w:rFonts w:eastAsia="Times New Roman"/>
        </w:rPr>
        <w:t>T</w:t>
      </w:r>
      <w:r w:rsidR="00D12409">
        <w:rPr>
          <w:rFonts w:eastAsia="Times New Roman"/>
        </w:rPr>
        <w:t xml:space="preserve">he </w:t>
      </w:r>
      <w:r w:rsidR="00D12409" w:rsidRPr="003829AB">
        <w:rPr>
          <w:rFonts w:eastAsia="Times New Roman"/>
        </w:rPr>
        <w:t xml:space="preserve">New South Wales </w:t>
      </w:r>
      <w:r w:rsidR="00D12409">
        <w:rPr>
          <w:rFonts w:eastAsia="Times New Roman"/>
        </w:rPr>
        <w:t>Hub School Model</w:t>
      </w:r>
      <w:r w:rsidR="0048672B">
        <w:rPr>
          <w:rFonts w:eastAsia="Times New Roman"/>
        </w:rPr>
        <w:t xml:space="preserve"> leverages strong partnerships between schools and higher education providers to offer a networked approach to delivering practical experience placements</w:t>
      </w:r>
      <w:r w:rsidR="00D12409">
        <w:rPr>
          <w:rFonts w:eastAsia="Times New Roman"/>
        </w:rPr>
        <w:t xml:space="preserve">. Stakeholders consider such an approach can assist </w:t>
      </w:r>
      <w:r w:rsidR="0048672B">
        <w:rPr>
          <w:rFonts w:eastAsia="Times New Roman"/>
        </w:rPr>
        <w:t>in resolving</w:t>
      </w:r>
      <w:r w:rsidR="00D12409">
        <w:rPr>
          <w:rFonts w:eastAsia="Times New Roman"/>
        </w:rPr>
        <w:t xml:space="preserve"> challenges </w:t>
      </w:r>
      <w:r w:rsidR="0048672B">
        <w:rPr>
          <w:rFonts w:eastAsia="Times New Roman"/>
        </w:rPr>
        <w:t>such as</w:t>
      </w:r>
      <w:r w:rsidR="00D12409">
        <w:rPr>
          <w:rFonts w:eastAsia="Times New Roman"/>
        </w:rPr>
        <w:t xml:space="preserve"> difficulty in finding </w:t>
      </w:r>
      <w:r w:rsidR="0048672B">
        <w:rPr>
          <w:rFonts w:eastAsia="Times New Roman"/>
        </w:rPr>
        <w:t xml:space="preserve">appropriate </w:t>
      </w:r>
      <w:r w:rsidR="00D12409">
        <w:rPr>
          <w:rFonts w:eastAsia="Times New Roman"/>
        </w:rPr>
        <w:t>placements</w:t>
      </w:r>
      <w:r w:rsidR="0048672B">
        <w:rPr>
          <w:rFonts w:eastAsia="Times New Roman"/>
        </w:rPr>
        <w:t xml:space="preserve"> for ITE students</w:t>
      </w:r>
      <w:r w:rsidR="00D12409">
        <w:rPr>
          <w:rFonts w:eastAsia="Times New Roman"/>
        </w:rPr>
        <w:t xml:space="preserve"> and the variance in the quality of professional experience </w:t>
      </w:r>
      <w:r w:rsidR="0048672B">
        <w:rPr>
          <w:rFonts w:eastAsia="Times New Roman"/>
        </w:rPr>
        <w:t>placements</w:t>
      </w:r>
      <w:r w:rsidR="00D12409">
        <w:rPr>
          <w:rFonts w:eastAsia="Times New Roman"/>
        </w:rPr>
        <w:t xml:space="preserve"> across schools (Macquarie School of Education submission). </w:t>
      </w:r>
    </w:p>
    <w:p w14:paraId="5E53CEED" w14:textId="4D1548BA" w:rsidR="00D12409" w:rsidRDefault="00D12409" w:rsidP="00D12409">
      <w:pPr>
        <w:rPr>
          <w:rFonts w:eastAsia="Times New Roman"/>
        </w:rPr>
      </w:pPr>
      <w:r>
        <w:rPr>
          <w:rFonts w:eastAsia="Times New Roman"/>
        </w:rPr>
        <w:lastRenderedPageBreak/>
        <w:t>The Northern Territory has a Teaching School Partnership Agreement</w:t>
      </w:r>
      <w:r w:rsidR="00EA080C">
        <w:rPr>
          <w:rFonts w:eastAsia="Times New Roman"/>
        </w:rPr>
        <w:t xml:space="preserve">, </w:t>
      </w:r>
      <w:r w:rsidR="007F6150">
        <w:rPr>
          <w:rFonts w:eastAsia="Times New Roman"/>
        </w:rPr>
        <w:t xml:space="preserve">which </w:t>
      </w:r>
      <w:r>
        <w:rPr>
          <w:rFonts w:eastAsia="Times New Roman"/>
        </w:rPr>
        <w:t>provide</w:t>
      </w:r>
      <w:r w:rsidR="007F6150">
        <w:rPr>
          <w:rFonts w:eastAsia="Times New Roman"/>
        </w:rPr>
        <w:t>s</w:t>
      </w:r>
      <w:r>
        <w:rPr>
          <w:rFonts w:eastAsia="Times New Roman"/>
        </w:rPr>
        <w:t xml:space="preserve"> structured support for schools to achieve a rigorous approach to the assessment of </w:t>
      </w:r>
      <w:r w:rsidR="000D142B">
        <w:rPr>
          <w:rFonts w:eastAsia="Times New Roman"/>
        </w:rPr>
        <w:t>ITE students</w:t>
      </w:r>
      <w:r>
        <w:rPr>
          <w:rFonts w:eastAsia="Times New Roman"/>
        </w:rPr>
        <w:t xml:space="preserve"> against the Graduate</w:t>
      </w:r>
      <w:r w:rsidR="00BD6E9B">
        <w:rPr>
          <w:rFonts w:eastAsia="Times New Roman"/>
        </w:rPr>
        <w:t xml:space="preserve"> level of the</w:t>
      </w:r>
      <w:r>
        <w:rPr>
          <w:rFonts w:eastAsia="Times New Roman"/>
        </w:rPr>
        <w:t xml:space="preserve"> Teacher Standards. The model includes coordination of </w:t>
      </w:r>
      <w:r w:rsidR="00CF7388">
        <w:rPr>
          <w:rFonts w:eastAsia="Times New Roman"/>
        </w:rPr>
        <w:t>professional development</w:t>
      </w:r>
      <w:r>
        <w:rPr>
          <w:rFonts w:eastAsia="Times New Roman"/>
        </w:rPr>
        <w:t xml:space="preserve"> for mentor teachers and professional learning leaders. This partnership has demonstrated the value of experienced teachers and academic staff working together to build high-quality programs (Northern Territory Department of Education and Charles Darwin University submission).</w:t>
      </w:r>
    </w:p>
    <w:p w14:paraId="5D20ED5D" w14:textId="77C474FD" w:rsidR="003B0E65" w:rsidRDefault="00D12409" w:rsidP="00D12409">
      <w:pPr>
        <w:rPr>
          <w:rFonts w:eastAsia="Times New Roman"/>
        </w:rPr>
      </w:pPr>
      <w:r>
        <w:rPr>
          <w:rFonts w:eastAsia="Times New Roman"/>
        </w:rPr>
        <w:t>Other examples of school-provider partnerships focus on embedding ITE program</w:t>
      </w:r>
      <w:r w:rsidR="0048672B">
        <w:rPr>
          <w:rFonts w:eastAsia="Times New Roman"/>
        </w:rPr>
        <w:t>s</w:t>
      </w:r>
      <w:r>
        <w:rPr>
          <w:rFonts w:eastAsia="Times New Roman"/>
        </w:rPr>
        <w:t xml:space="preserve"> in schools </w:t>
      </w:r>
      <w:r w:rsidR="0048672B">
        <w:rPr>
          <w:rFonts w:eastAsia="Times New Roman"/>
        </w:rPr>
        <w:t xml:space="preserve">such as </w:t>
      </w:r>
      <w:r>
        <w:rPr>
          <w:rFonts w:eastAsia="Times New Roman"/>
        </w:rPr>
        <w:t>the University of Canberra’s Affiliated Schools Partnership and the Alphacrucis College Teaching School Hub Model.</w:t>
      </w:r>
    </w:p>
    <w:p w14:paraId="4AFD49A7" w14:textId="73B03000" w:rsidR="00D12409" w:rsidRDefault="00D12409" w:rsidP="00A44017">
      <w:pPr>
        <w:pStyle w:val="Breakoutbox1body"/>
        <w:rPr>
          <w:b/>
          <w:bCs w:val="0"/>
        </w:rPr>
      </w:pPr>
      <w:r w:rsidRPr="00615E6E">
        <w:rPr>
          <w:b/>
          <w:bCs w:val="0"/>
        </w:rPr>
        <w:t xml:space="preserve">University of Canberra </w:t>
      </w:r>
      <w:r w:rsidR="00227634" w:rsidRPr="00615E6E">
        <w:rPr>
          <w:b/>
          <w:bCs w:val="0"/>
        </w:rPr>
        <w:t>–</w:t>
      </w:r>
      <w:r w:rsidRPr="00615E6E">
        <w:rPr>
          <w:b/>
          <w:bCs w:val="0"/>
        </w:rPr>
        <w:t xml:space="preserve"> Affiliated Schools Partnership</w:t>
      </w:r>
    </w:p>
    <w:p w14:paraId="71FF5F0F" w14:textId="39C4B4DD" w:rsidR="00D12409" w:rsidRPr="00730C9A" w:rsidRDefault="00464429" w:rsidP="00C73014">
      <w:pPr>
        <w:pStyle w:val="Breakoutbox1body"/>
        <w:spacing w:after="200"/>
      </w:pPr>
      <w:r>
        <w:t xml:space="preserve">Since </w:t>
      </w:r>
      <w:r w:rsidR="00D12409" w:rsidRPr="00730C9A">
        <w:t xml:space="preserve">2019, the University of Canberra </w:t>
      </w:r>
      <w:r w:rsidR="00387F9E">
        <w:t>(UC)</w:t>
      </w:r>
      <w:r w:rsidR="00D12409" w:rsidRPr="00730C9A">
        <w:t xml:space="preserve"> </w:t>
      </w:r>
      <w:r>
        <w:t xml:space="preserve">has </w:t>
      </w:r>
      <w:r w:rsidR="00D12409" w:rsidRPr="00730C9A">
        <w:t>partner</w:t>
      </w:r>
      <w:r>
        <w:t>ed</w:t>
      </w:r>
      <w:r w:rsidR="00D12409" w:rsidRPr="00730C9A">
        <w:t xml:space="preserve"> with the A</w:t>
      </w:r>
      <w:r w:rsidR="00BD6E9B">
        <w:t xml:space="preserve">ustralian </w:t>
      </w:r>
      <w:r w:rsidR="00D12409" w:rsidRPr="00730C9A">
        <w:t>C</w:t>
      </w:r>
      <w:r w:rsidR="00BD6E9B">
        <w:t xml:space="preserve">apital </w:t>
      </w:r>
      <w:r w:rsidR="00D12409" w:rsidRPr="00730C9A">
        <w:t>T</w:t>
      </w:r>
      <w:r w:rsidR="00BD6E9B">
        <w:t>erritory</w:t>
      </w:r>
      <w:r w:rsidR="00D12409" w:rsidRPr="00730C9A">
        <w:t xml:space="preserve"> Education Directorate to implement the Affiliated Schools Partnership involving 25 primary, secondary and senior secondary schools.</w:t>
      </w:r>
    </w:p>
    <w:p w14:paraId="56D534B3" w14:textId="77777777" w:rsidR="00D76839" w:rsidRDefault="00D12409" w:rsidP="00A44017">
      <w:pPr>
        <w:pStyle w:val="Breakoutbox1body"/>
      </w:pPr>
      <w:r w:rsidRPr="00730C9A">
        <w:t>Key features of the model include:</w:t>
      </w:r>
    </w:p>
    <w:p w14:paraId="1FA2A759" w14:textId="1192A49B" w:rsidR="00D12409" w:rsidRPr="00730C9A" w:rsidRDefault="00D76839" w:rsidP="00F66D2A">
      <w:pPr>
        <w:pStyle w:val="Breakoutbox1body"/>
        <w:numPr>
          <w:ilvl w:val="0"/>
          <w:numId w:val="42"/>
        </w:numPr>
      </w:pPr>
      <w:r>
        <w:t>r</w:t>
      </w:r>
      <w:r w:rsidRPr="00730C9A">
        <w:t>egular</w:t>
      </w:r>
      <w:r w:rsidR="00D12409" w:rsidRPr="00730C9A">
        <w:t xml:space="preserve"> engagement on problems of mutual importance, such as </w:t>
      </w:r>
      <w:r w:rsidR="00BD6E9B">
        <w:t xml:space="preserve">the </w:t>
      </w:r>
      <w:r w:rsidR="00D12409" w:rsidRPr="00730C9A">
        <w:t xml:space="preserve">COVID-19 </w:t>
      </w:r>
      <w:r w:rsidR="00E744CA">
        <w:t>pan</w:t>
      </w:r>
      <w:r w:rsidR="00CC28C5">
        <w:t xml:space="preserve">demic </w:t>
      </w:r>
      <w:r w:rsidR="00D12409" w:rsidRPr="00730C9A">
        <w:t xml:space="preserve">responses, </w:t>
      </w:r>
      <w:r w:rsidR="00E5562B">
        <w:t>initial teacher education (</w:t>
      </w:r>
      <w:r w:rsidR="00D12409" w:rsidRPr="00730C9A">
        <w:t>ITE</w:t>
      </w:r>
      <w:r w:rsidR="00E5562B">
        <w:t>)</w:t>
      </w:r>
      <w:r w:rsidR="00D12409" w:rsidRPr="00730C9A">
        <w:t xml:space="preserve"> course design and delivery, </w:t>
      </w:r>
      <w:r w:rsidR="005F7739">
        <w:t>ITE student</w:t>
      </w:r>
      <w:r w:rsidR="00D12409" w:rsidRPr="00730C9A" w:rsidDel="005F7739">
        <w:t xml:space="preserve"> </w:t>
      </w:r>
      <w:r w:rsidR="00D12409" w:rsidRPr="00730C9A">
        <w:t>placement design and support, teacher professional learning, research and program evaluation and school education strategy</w:t>
      </w:r>
    </w:p>
    <w:p w14:paraId="1F624809" w14:textId="703FD45F" w:rsidR="00116E4D" w:rsidRDefault="00D76839" w:rsidP="00F66D2A">
      <w:pPr>
        <w:pStyle w:val="Breakoutbox1body"/>
        <w:numPr>
          <w:ilvl w:val="0"/>
          <w:numId w:val="42"/>
        </w:numPr>
      </w:pPr>
      <w:r>
        <w:t>a</w:t>
      </w:r>
      <w:r w:rsidRPr="00730C9A">
        <w:t>n</w:t>
      </w:r>
      <w:r w:rsidR="00D12409" w:rsidRPr="00730C9A">
        <w:t xml:space="preserve"> in-school clinical model of </w:t>
      </w:r>
      <w:r w:rsidR="00DD1E80">
        <w:t xml:space="preserve">initial </w:t>
      </w:r>
      <w:r w:rsidR="00D12409" w:rsidRPr="00730C9A">
        <w:t>teacher education (delivered in 44 subjects/units within nine ITE programs)</w:t>
      </w:r>
    </w:p>
    <w:p w14:paraId="5AE801F7" w14:textId="4EC1651E" w:rsidR="00D12409" w:rsidRDefault="00116E4D" w:rsidP="00F66D2A">
      <w:pPr>
        <w:pStyle w:val="Breakoutbox1body"/>
        <w:numPr>
          <w:ilvl w:val="0"/>
          <w:numId w:val="42"/>
        </w:numPr>
      </w:pPr>
      <w:r>
        <w:t>a</w:t>
      </w:r>
      <w:r w:rsidRPr="00730C9A">
        <w:t>cademic</w:t>
      </w:r>
      <w:r w:rsidR="00D12409" w:rsidRPr="00730C9A">
        <w:t xml:space="preserve"> staff allocated to school liaison roles (five staff with five schools each) collaborating with School Professional Experience Coordinators in support for high</w:t>
      </w:r>
      <w:r w:rsidR="00D12409">
        <w:t>-</w:t>
      </w:r>
      <w:r w:rsidR="00D12409" w:rsidRPr="00730C9A">
        <w:t xml:space="preserve">quality </w:t>
      </w:r>
      <w:r w:rsidR="00D12409">
        <w:t>p</w:t>
      </w:r>
      <w:r w:rsidR="00D12409" w:rsidRPr="00730C9A">
        <w:t xml:space="preserve">rofessional </w:t>
      </w:r>
      <w:r w:rsidR="00D12409">
        <w:t>e</w:t>
      </w:r>
      <w:r w:rsidR="00D12409" w:rsidRPr="00730C9A">
        <w:t>xperience placements and in coordination of school-based clinical units</w:t>
      </w:r>
    </w:p>
    <w:p w14:paraId="33A3EA6F" w14:textId="78A62812" w:rsidR="00DF6980" w:rsidRDefault="00D76839" w:rsidP="00F66D2A">
      <w:pPr>
        <w:pStyle w:val="Breakoutbox1body"/>
        <w:numPr>
          <w:ilvl w:val="0"/>
          <w:numId w:val="42"/>
        </w:numPr>
      </w:pPr>
      <w:r>
        <w:t>p</w:t>
      </w:r>
      <w:r w:rsidRPr="00730C9A">
        <w:t xml:space="preserve">rofessional </w:t>
      </w:r>
      <w:r w:rsidR="00D12409" w:rsidRPr="00730C9A">
        <w:t xml:space="preserve">learning for school-based mentors supporting </w:t>
      </w:r>
      <w:r w:rsidR="00F55973">
        <w:t>ITE students</w:t>
      </w:r>
      <w:r w:rsidR="00F55973" w:rsidRPr="00730C9A">
        <w:t xml:space="preserve"> </w:t>
      </w:r>
      <w:r w:rsidR="00D12409" w:rsidRPr="00730C9A">
        <w:t>on placement</w:t>
      </w:r>
    </w:p>
    <w:p w14:paraId="4C999DFE" w14:textId="56A35B6C" w:rsidR="00900BB3" w:rsidRDefault="00C00209" w:rsidP="00F66D2A">
      <w:pPr>
        <w:pStyle w:val="Breakoutbox1body"/>
        <w:numPr>
          <w:ilvl w:val="0"/>
          <w:numId w:val="42"/>
        </w:numPr>
      </w:pPr>
      <w:r>
        <w:t>c</w:t>
      </w:r>
      <w:r w:rsidRPr="00730C9A">
        <w:t xml:space="preserve">apacity </w:t>
      </w:r>
      <w:r w:rsidR="00D12409" w:rsidRPr="00730C9A">
        <w:t>development for teachers as researchers</w:t>
      </w:r>
      <w:r w:rsidR="00900BB3">
        <w:t>,</w:t>
      </w:r>
      <w:r w:rsidR="00D12409" w:rsidRPr="00730C9A">
        <w:t xml:space="preserve"> through mentorship by experienced educational researchers (currently involving 50 teachers from 10 schools)</w:t>
      </w:r>
    </w:p>
    <w:p w14:paraId="61A5BFE3" w14:textId="53F72F00" w:rsidR="00202F20" w:rsidRDefault="00C00209" w:rsidP="00F66D2A">
      <w:pPr>
        <w:pStyle w:val="Breakoutbox1body"/>
        <w:numPr>
          <w:ilvl w:val="0"/>
          <w:numId w:val="42"/>
        </w:numPr>
      </w:pPr>
      <w:r>
        <w:t>m</w:t>
      </w:r>
      <w:r w:rsidRPr="00730C9A">
        <w:t xml:space="preserve">aster </w:t>
      </w:r>
      <w:r w:rsidR="00D12409" w:rsidRPr="00730C9A">
        <w:t>classes on contemporary topics at the nexus of research and practice (four delivered per year to teachers drawn from the 25 schools)</w:t>
      </w:r>
    </w:p>
    <w:p w14:paraId="751C083E" w14:textId="77777777" w:rsidR="006B58FF" w:rsidRDefault="00D76839" w:rsidP="00F66D2A">
      <w:pPr>
        <w:pStyle w:val="Breakoutbox1body"/>
        <w:numPr>
          <w:ilvl w:val="0"/>
          <w:numId w:val="42"/>
        </w:numPr>
      </w:pPr>
      <w:r>
        <w:t>a</w:t>
      </w:r>
      <w:r w:rsidR="00D12409" w:rsidRPr="00730C9A">
        <w:t xml:space="preserve"> Master of Education program with a curriculum and intensive delivery model tailored to the learning needs of Capital Region teachers (with 30 scholarships per year)</w:t>
      </w:r>
    </w:p>
    <w:p w14:paraId="5B6C246C" w14:textId="18107980" w:rsidR="00D12409" w:rsidRPr="00730C9A" w:rsidRDefault="00C00209" w:rsidP="00F66D2A">
      <w:pPr>
        <w:pStyle w:val="Breakoutbox1body"/>
        <w:numPr>
          <w:ilvl w:val="0"/>
          <w:numId w:val="42"/>
        </w:numPr>
      </w:pPr>
      <w:r>
        <w:t>a</w:t>
      </w:r>
      <w:r w:rsidRPr="00730C9A">
        <w:t xml:space="preserve"> </w:t>
      </w:r>
      <w:r w:rsidR="00D12409" w:rsidRPr="00730C9A">
        <w:t>large program of collaborative research (eight current projects involving collaborations between UC educational researchers and teachers across 20 schools, focusing on research problems aligned to the A</w:t>
      </w:r>
      <w:r w:rsidR="00BD6E9B">
        <w:t xml:space="preserve">ustralian </w:t>
      </w:r>
      <w:r w:rsidR="00D12409" w:rsidRPr="00730C9A">
        <w:t>C</w:t>
      </w:r>
      <w:r w:rsidR="00BD6E9B">
        <w:t xml:space="preserve">apital </w:t>
      </w:r>
      <w:r w:rsidR="00D12409" w:rsidRPr="00730C9A">
        <w:t>T</w:t>
      </w:r>
      <w:r w:rsidR="00BD6E9B">
        <w:t>erritory</w:t>
      </w:r>
      <w:r w:rsidR="00D12409" w:rsidRPr="00730C9A">
        <w:t xml:space="preserve"> Future of Education Strategy).</w:t>
      </w:r>
    </w:p>
    <w:p w14:paraId="5EBE198D" w14:textId="77777777" w:rsidR="00D12409" w:rsidRDefault="00D12409" w:rsidP="00D12409">
      <w:pPr>
        <w:rPr>
          <w:rFonts w:eastAsia="Times New Roman"/>
          <w:u w:val="single"/>
        </w:rPr>
      </w:pPr>
    </w:p>
    <w:p w14:paraId="3DE719A7" w14:textId="3EE66719" w:rsidR="00D12409" w:rsidRDefault="00D12409" w:rsidP="00A44017">
      <w:pPr>
        <w:pStyle w:val="Breakoutbox1body"/>
        <w:rPr>
          <w:b/>
          <w:bCs w:val="0"/>
        </w:rPr>
      </w:pPr>
      <w:r w:rsidRPr="00615E6E">
        <w:rPr>
          <w:b/>
          <w:bCs w:val="0"/>
        </w:rPr>
        <w:lastRenderedPageBreak/>
        <w:t>Alphacrucis</w:t>
      </w:r>
      <w:r w:rsidR="00BD6E9B">
        <w:rPr>
          <w:b/>
          <w:bCs w:val="0"/>
        </w:rPr>
        <w:t xml:space="preserve"> College</w:t>
      </w:r>
      <w:r w:rsidRPr="00615E6E">
        <w:rPr>
          <w:b/>
          <w:bCs w:val="0"/>
        </w:rPr>
        <w:t xml:space="preserve"> Teaching School Hub Model</w:t>
      </w:r>
    </w:p>
    <w:p w14:paraId="60D7A6FB" w14:textId="54D37B8A" w:rsidR="00615E6E" w:rsidRDefault="00D12409" w:rsidP="00C73014">
      <w:pPr>
        <w:pStyle w:val="Breakoutbox1body"/>
        <w:spacing w:after="200"/>
      </w:pPr>
      <w:r>
        <w:t xml:space="preserve">The model enables a cluster of schools (connected </w:t>
      </w:r>
      <w:r w:rsidR="00D81AB3">
        <w:t xml:space="preserve">by </w:t>
      </w:r>
      <w:r>
        <w:t xml:space="preserve">region or ethos) to provide </w:t>
      </w:r>
      <w:r w:rsidR="00D319E1">
        <w:t>eight</w:t>
      </w:r>
      <w:r w:rsidR="000540D2">
        <w:t xml:space="preserve"> to 30 </w:t>
      </w:r>
      <w:r>
        <w:t xml:space="preserve">initial teacher education (ITE) </w:t>
      </w:r>
      <w:r w:rsidR="000540D2">
        <w:t xml:space="preserve">placements </w:t>
      </w:r>
      <w:r>
        <w:t xml:space="preserve">per year, with delivery onsite through a blend of intensives and online learning accredited by a tertiary provider. </w:t>
      </w:r>
    </w:p>
    <w:p w14:paraId="65CFF6EE" w14:textId="4C2DC53F" w:rsidR="00D12409" w:rsidRDefault="000540D2" w:rsidP="00CD1FEB">
      <w:pPr>
        <w:pStyle w:val="Breakoutbox1body"/>
        <w:spacing w:after="200"/>
      </w:pPr>
      <w:r>
        <w:t>The</w:t>
      </w:r>
      <w:r w:rsidRPr="000540D2">
        <w:t xml:space="preserve"> schools sponsor </w:t>
      </w:r>
      <w:r w:rsidR="00F508B2">
        <w:t xml:space="preserve">these </w:t>
      </w:r>
      <w:r w:rsidRPr="000540D2">
        <w:t xml:space="preserve">annual cohorts of </w:t>
      </w:r>
      <w:r w:rsidR="001C2AF5">
        <w:t>ITE students</w:t>
      </w:r>
      <w:r w:rsidRPr="000540D2">
        <w:t xml:space="preserve"> and provide clinical </w:t>
      </w:r>
      <w:r w:rsidR="00BB1541">
        <w:t>preparation</w:t>
      </w:r>
      <w:r w:rsidRPr="000540D2">
        <w:t xml:space="preserve"> from day one</w:t>
      </w:r>
      <w:r w:rsidR="00F508B2">
        <w:t xml:space="preserve">, which results in </w:t>
      </w:r>
      <w:r w:rsidRPr="000540D2">
        <w:t xml:space="preserve">a form of permanent practicum </w:t>
      </w:r>
      <w:r w:rsidR="00F508B2">
        <w:t xml:space="preserve">providing </w:t>
      </w:r>
      <w:r w:rsidR="001C2AF5">
        <w:t>ITE students</w:t>
      </w:r>
      <w:r w:rsidR="00B0565A">
        <w:t xml:space="preserve"> </w:t>
      </w:r>
      <w:r w:rsidR="00752626">
        <w:t xml:space="preserve">more in-class time. </w:t>
      </w:r>
    </w:p>
    <w:p w14:paraId="7D602966" w14:textId="5886EA41" w:rsidR="00870A38" w:rsidRDefault="00D12409" w:rsidP="00CD1FEB">
      <w:pPr>
        <w:pStyle w:val="Breakoutbox1body"/>
        <w:spacing w:after="200"/>
      </w:pPr>
      <w:r>
        <w:t xml:space="preserve">The schools cover 50 per cent of the </w:t>
      </w:r>
      <w:r w:rsidR="008503E6">
        <w:t>cost</w:t>
      </w:r>
      <w:r>
        <w:t xml:space="preserve"> and provide one day per week of paid placement </w:t>
      </w:r>
      <w:r w:rsidR="0028232F">
        <w:t xml:space="preserve">working as </w:t>
      </w:r>
      <w:r>
        <w:t>a teaching assistant for the students. The students have guaranteed employment and schools have the option to rurally</w:t>
      </w:r>
      <w:r w:rsidR="00327064">
        <w:t xml:space="preserve"> </w:t>
      </w:r>
      <w:r>
        <w:t>bond the trainees as a condition of entry</w:t>
      </w:r>
      <w:r w:rsidR="00097101">
        <w:t xml:space="preserve"> to </w:t>
      </w:r>
      <w:r w:rsidR="009D24E6">
        <w:t>the hub</w:t>
      </w:r>
      <w:r w:rsidR="0028232F">
        <w:t xml:space="preserve"> program</w:t>
      </w:r>
      <w:r>
        <w:t>.</w:t>
      </w:r>
    </w:p>
    <w:p w14:paraId="46D6E618" w14:textId="039A18B5" w:rsidR="00D12409" w:rsidRDefault="00D12409" w:rsidP="00CD1FEB">
      <w:pPr>
        <w:pStyle w:val="Breakoutbox1body"/>
        <w:spacing w:after="200"/>
      </w:pPr>
      <w:r>
        <w:t>The schools also provide six Higher Degree Research and 10 Master of Leadership half-pay positions per year for senior teachers within the cluster. These researcher</w:t>
      </w:r>
      <w:r w:rsidR="00562C74">
        <w:t xml:space="preserve"> </w:t>
      </w:r>
      <w:r>
        <w:t>teachers provide professional development for the school cluster.</w:t>
      </w:r>
    </w:p>
    <w:p w14:paraId="0A1307D8" w14:textId="150F824B" w:rsidR="00D12409" w:rsidRDefault="00D12409" w:rsidP="00CD1FEB">
      <w:pPr>
        <w:pStyle w:val="Breakoutbox1body"/>
        <w:spacing w:after="200"/>
        <w:rPr>
          <w:rFonts w:eastAsia="Times New Roman"/>
        </w:rPr>
      </w:pPr>
      <w:r>
        <w:t xml:space="preserve">The tertiary provider forms a close long-term partnership with the school cluster, which is </w:t>
      </w:r>
      <w:r w:rsidR="001F0783">
        <w:t xml:space="preserve">bound </w:t>
      </w:r>
      <w:r>
        <w:t>by a</w:t>
      </w:r>
      <w:r w:rsidR="004A1D75">
        <w:t xml:space="preserve"> memorandum of understanding </w:t>
      </w:r>
      <w:r>
        <w:t xml:space="preserve">for annual minimum viable numbers of students. Each </w:t>
      </w:r>
      <w:r w:rsidR="008C240B">
        <w:t>T</w:t>
      </w:r>
      <w:r>
        <w:t xml:space="preserve">eaching </w:t>
      </w:r>
      <w:r w:rsidR="008C240B">
        <w:t>S</w:t>
      </w:r>
      <w:r>
        <w:t xml:space="preserve">chool Hub is assigned an external research team from a tertiary institution to provide longitudinal program evaluation for </w:t>
      </w:r>
      <w:r w:rsidR="004B6E57">
        <w:t>continuous improvement</w:t>
      </w:r>
      <w:r>
        <w:t xml:space="preserve">. The School Hub also becomes a </w:t>
      </w:r>
      <w:r w:rsidR="00BE3B86">
        <w:t>vocational education and training</w:t>
      </w:r>
      <w:r>
        <w:t xml:space="preserve"> provider with part of the student </w:t>
      </w:r>
      <w:r w:rsidR="00BB1541">
        <w:t>preparation</w:t>
      </w:r>
      <w:r>
        <w:t xml:space="preserve"> involving teaching Certificate</w:t>
      </w:r>
      <w:r w:rsidR="00781276">
        <w:t>-level</w:t>
      </w:r>
      <w:r>
        <w:t xml:space="preserve"> courses to the local community.</w:t>
      </w:r>
    </w:p>
    <w:p w14:paraId="5BB5A49E" w14:textId="77777777" w:rsidR="00D12409" w:rsidRDefault="00D12409" w:rsidP="00D12409">
      <w:pPr>
        <w:pStyle w:val="Heading7"/>
      </w:pPr>
      <w:r>
        <w:t xml:space="preserve">Bridging the gap between theory and practice </w:t>
      </w:r>
    </w:p>
    <w:p w14:paraId="62791863" w14:textId="31465636" w:rsidR="00D12409" w:rsidRDefault="00D12409" w:rsidP="00D12409">
      <w:pPr>
        <w:rPr>
          <w:rFonts w:eastAsia="Times New Roman"/>
        </w:rPr>
      </w:pPr>
      <w:r>
        <w:rPr>
          <w:rFonts w:eastAsia="Times New Roman"/>
        </w:rPr>
        <w:t xml:space="preserve">The need for a greater connection between theory and practice was raised by many stakeholders, with strong partnerships </w:t>
      </w:r>
      <w:r w:rsidR="006242BC">
        <w:rPr>
          <w:rFonts w:eastAsia="Times New Roman"/>
        </w:rPr>
        <w:t xml:space="preserve">between schools and higher education providers </w:t>
      </w:r>
      <w:r>
        <w:rPr>
          <w:rFonts w:eastAsia="Times New Roman"/>
        </w:rPr>
        <w:t>considered critical to reducing th</w:t>
      </w:r>
      <w:r w:rsidR="006242BC">
        <w:rPr>
          <w:rFonts w:eastAsia="Times New Roman"/>
        </w:rPr>
        <w:t>is</w:t>
      </w:r>
      <w:r>
        <w:rPr>
          <w:rFonts w:eastAsia="Times New Roman"/>
        </w:rPr>
        <w:t xml:space="preserve"> gap. Strong school-higher education provider partnerships can have a wide range of benefits, such as developing a sense of community between </w:t>
      </w:r>
      <w:r w:rsidRPr="00D6702B">
        <w:rPr>
          <w:rFonts w:eastAsia="Times New Roman"/>
        </w:rPr>
        <w:t>stakeholders (Green et al. 2019) and enabling schools and universities to share expertise and work together to develo</w:t>
      </w:r>
      <w:r w:rsidRPr="001D2499">
        <w:rPr>
          <w:rFonts w:eastAsia="Times New Roman"/>
        </w:rPr>
        <w:t xml:space="preserve">p approaches to professional learning </w:t>
      </w:r>
      <w:r w:rsidRPr="00D6702B">
        <w:rPr>
          <w:rFonts w:eastAsia="Times New Roman"/>
        </w:rPr>
        <w:t>(Greany and Brown 2015).</w:t>
      </w:r>
      <w:r>
        <w:rPr>
          <w:rFonts w:eastAsia="Times New Roman"/>
        </w:rPr>
        <w:t xml:space="preserve"> </w:t>
      </w:r>
    </w:p>
    <w:p w14:paraId="5AA989BF" w14:textId="72662E8E" w:rsidR="00D12409" w:rsidRDefault="00D12409" w:rsidP="00D12409">
      <w:pPr>
        <w:rPr>
          <w:rFonts w:eastAsia="Times New Roman"/>
        </w:rPr>
      </w:pPr>
      <w:r>
        <w:rPr>
          <w:rFonts w:eastAsia="Times New Roman"/>
        </w:rPr>
        <w:t>School-</w:t>
      </w:r>
      <w:r w:rsidR="00ED08D4">
        <w:rPr>
          <w:rFonts w:eastAsia="Times New Roman"/>
        </w:rPr>
        <w:t>higher education provider</w:t>
      </w:r>
      <w:r>
        <w:rPr>
          <w:rFonts w:eastAsia="Times New Roman"/>
        </w:rPr>
        <w:t xml:space="preserve"> partnerships can offer schools the opportunity to be involved in the development of ITE programs. Models that support these types of meaningful engagement between schools and higher education providers, such as the Melbourne Graduate School of Education’s (MGSE) partnership model, can assist in bridging the gap between theory and practical experience. Using the clinical approach connecting theory, professional knowledge and classroom experience requires close collaboration between the MGSE and participating schools. </w:t>
      </w:r>
    </w:p>
    <w:p w14:paraId="7F12B0AF" w14:textId="5514EEBA" w:rsidR="00D44ED2" w:rsidRDefault="00D12409" w:rsidP="00D12409">
      <w:pPr>
        <w:rPr>
          <w:rFonts w:eastAsia="Times New Roman"/>
        </w:rPr>
      </w:pPr>
      <w:r>
        <w:rPr>
          <w:rFonts w:eastAsia="Times New Roman"/>
        </w:rPr>
        <w:t>In addition to</w:t>
      </w:r>
      <w:r w:rsidR="00CA7F7C">
        <w:rPr>
          <w:rFonts w:eastAsia="Times New Roman"/>
        </w:rPr>
        <w:t xml:space="preserve"> benefits for professional experience, school-higher education provider partnerships </w:t>
      </w:r>
      <w:r w:rsidR="00292743">
        <w:rPr>
          <w:rFonts w:eastAsia="Times New Roman"/>
        </w:rPr>
        <w:t>enable academics and researchers to connect</w:t>
      </w:r>
      <w:r>
        <w:rPr>
          <w:rFonts w:eastAsia="Times New Roman"/>
        </w:rPr>
        <w:t xml:space="preserve"> to the ‘classroom reality’ (Australian Teacher Education Association submission) and ensure they maintain an up</w:t>
      </w:r>
      <w:r w:rsidR="00880474">
        <w:rPr>
          <w:rFonts w:eastAsia="Times New Roman"/>
        </w:rPr>
        <w:t>-</w:t>
      </w:r>
      <w:r>
        <w:rPr>
          <w:rFonts w:eastAsia="Times New Roman"/>
        </w:rPr>
        <w:t>to</w:t>
      </w:r>
      <w:r w:rsidR="00880474">
        <w:rPr>
          <w:rFonts w:eastAsia="Times New Roman"/>
        </w:rPr>
        <w:t>-</w:t>
      </w:r>
      <w:r>
        <w:rPr>
          <w:rFonts w:eastAsia="Times New Roman"/>
        </w:rPr>
        <w:t xml:space="preserve">date understanding of modern schooling (Australian Secondary Principals Association submission). </w:t>
      </w:r>
      <w:r w:rsidR="00CC0506" w:rsidRPr="00FF62FD">
        <w:rPr>
          <w:rFonts w:eastAsia="Times New Roman"/>
        </w:rPr>
        <w:t xml:space="preserve">Ensuring </w:t>
      </w:r>
      <w:r w:rsidR="00D44ED2" w:rsidRPr="00FF62FD">
        <w:rPr>
          <w:rFonts w:eastAsia="Times New Roman"/>
        </w:rPr>
        <w:t xml:space="preserve">ITE programs are </w:t>
      </w:r>
      <w:r w:rsidR="003E16FC" w:rsidRPr="00FF62FD">
        <w:rPr>
          <w:rFonts w:eastAsia="Times New Roman"/>
        </w:rPr>
        <w:t xml:space="preserve">informed </w:t>
      </w:r>
      <w:r w:rsidR="00D44ED2" w:rsidRPr="00FF62FD">
        <w:rPr>
          <w:rFonts w:eastAsia="Times New Roman"/>
        </w:rPr>
        <w:t xml:space="preserve">by </w:t>
      </w:r>
      <w:r w:rsidR="003E16FC" w:rsidRPr="00FF62FD">
        <w:rPr>
          <w:rFonts w:eastAsia="Times New Roman"/>
        </w:rPr>
        <w:t>quality</w:t>
      </w:r>
      <w:r w:rsidR="00D44ED2" w:rsidRPr="00FF62FD">
        <w:rPr>
          <w:rFonts w:eastAsia="Times New Roman"/>
        </w:rPr>
        <w:t xml:space="preserve"> contemporary teaching and learning practices </w:t>
      </w:r>
      <w:r w:rsidR="003E16FC" w:rsidRPr="00FF62FD">
        <w:rPr>
          <w:rFonts w:eastAsia="Times New Roman"/>
        </w:rPr>
        <w:t xml:space="preserve">will </w:t>
      </w:r>
      <w:r w:rsidR="00E255A4" w:rsidRPr="00FF62FD">
        <w:rPr>
          <w:rFonts w:eastAsia="Times New Roman"/>
        </w:rPr>
        <w:t>result in</w:t>
      </w:r>
      <w:r w:rsidR="00D44ED2" w:rsidRPr="00FF62FD">
        <w:rPr>
          <w:rFonts w:eastAsia="Times New Roman"/>
        </w:rPr>
        <w:t xml:space="preserve"> </w:t>
      </w:r>
      <w:r w:rsidR="00E255A4" w:rsidRPr="00B50812">
        <w:rPr>
          <w:rFonts w:eastAsia="Times New Roman"/>
        </w:rPr>
        <w:t>stronger</w:t>
      </w:r>
      <w:r w:rsidR="00D44ED2" w:rsidRPr="00B50812">
        <w:rPr>
          <w:rFonts w:eastAsia="Times New Roman"/>
        </w:rPr>
        <w:t xml:space="preserve"> </w:t>
      </w:r>
      <w:r w:rsidR="0088531D">
        <w:rPr>
          <w:rFonts w:eastAsia="Times New Roman"/>
        </w:rPr>
        <w:t>ITE</w:t>
      </w:r>
      <w:r w:rsidR="0088531D" w:rsidRPr="00B50812">
        <w:rPr>
          <w:rFonts w:eastAsia="Times New Roman"/>
        </w:rPr>
        <w:t xml:space="preserve"> </w:t>
      </w:r>
      <w:r w:rsidR="00D44ED2" w:rsidRPr="00B50812">
        <w:rPr>
          <w:rFonts w:eastAsia="Times New Roman"/>
        </w:rPr>
        <w:t xml:space="preserve">graduates </w:t>
      </w:r>
      <w:r w:rsidR="00E255A4" w:rsidRPr="00B50812">
        <w:rPr>
          <w:rFonts w:eastAsia="Times New Roman"/>
        </w:rPr>
        <w:t>(Aus</w:t>
      </w:r>
      <w:r w:rsidR="00E255A4" w:rsidRPr="0037695E">
        <w:rPr>
          <w:rFonts w:eastAsia="Times New Roman"/>
        </w:rPr>
        <w:t xml:space="preserve">tralian Secondary Principals Association submission). </w:t>
      </w:r>
      <w:r w:rsidR="002C5CF3" w:rsidRPr="000A5876">
        <w:rPr>
          <w:rFonts w:eastAsia="Times New Roman"/>
        </w:rPr>
        <w:t xml:space="preserve">This </w:t>
      </w:r>
      <w:r w:rsidR="00A4546F" w:rsidRPr="000A5876">
        <w:rPr>
          <w:rFonts w:eastAsia="Times New Roman"/>
        </w:rPr>
        <w:t>sup</w:t>
      </w:r>
      <w:r w:rsidR="00A4546F" w:rsidRPr="00CD6641">
        <w:rPr>
          <w:rFonts w:eastAsia="Times New Roman"/>
        </w:rPr>
        <w:t>ports</w:t>
      </w:r>
      <w:r w:rsidR="002C5CF3" w:rsidRPr="00CD6641">
        <w:rPr>
          <w:rFonts w:eastAsia="Times New Roman"/>
        </w:rPr>
        <w:t xml:space="preserve"> the </w:t>
      </w:r>
      <w:r w:rsidR="00AC5CE2" w:rsidRPr="00CD6641">
        <w:rPr>
          <w:rFonts w:eastAsia="Times New Roman"/>
        </w:rPr>
        <w:t>nee</w:t>
      </w:r>
      <w:r w:rsidR="00AC5CE2" w:rsidRPr="00A1269D">
        <w:rPr>
          <w:rFonts w:eastAsia="Times New Roman"/>
        </w:rPr>
        <w:t xml:space="preserve">d </w:t>
      </w:r>
      <w:r w:rsidR="00AC5CE2" w:rsidRPr="00970BE5">
        <w:rPr>
          <w:rFonts w:eastAsia="Times New Roman"/>
        </w:rPr>
        <w:t xml:space="preserve">for </w:t>
      </w:r>
      <w:r w:rsidR="00365992" w:rsidRPr="00681AF1">
        <w:rPr>
          <w:rFonts w:eastAsia="Times New Roman"/>
        </w:rPr>
        <w:t xml:space="preserve">higher education providers to </w:t>
      </w:r>
      <w:r w:rsidR="00422AF3" w:rsidRPr="00122FC3">
        <w:rPr>
          <w:rFonts w:eastAsia="Times New Roman"/>
        </w:rPr>
        <w:t>facilit</w:t>
      </w:r>
      <w:r w:rsidR="00422AF3" w:rsidRPr="00FF62FD">
        <w:rPr>
          <w:rFonts w:eastAsia="Times New Roman"/>
        </w:rPr>
        <w:t xml:space="preserve">ate </w:t>
      </w:r>
      <w:r w:rsidR="0047260C" w:rsidRPr="00FF62FD">
        <w:rPr>
          <w:rFonts w:eastAsia="Times New Roman"/>
        </w:rPr>
        <w:t xml:space="preserve">relationships between </w:t>
      </w:r>
      <w:r w:rsidR="00A4546F" w:rsidRPr="00FF62FD">
        <w:rPr>
          <w:rFonts w:eastAsia="Times New Roman"/>
        </w:rPr>
        <w:t>classroom teachers and ITE academic staff.</w:t>
      </w:r>
      <w:r w:rsidR="0047260C">
        <w:rPr>
          <w:rFonts w:eastAsia="Times New Roman"/>
        </w:rPr>
        <w:t xml:space="preserve"> </w:t>
      </w:r>
    </w:p>
    <w:p w14:paraId="0C739CCD" w14:textId="26B7641F" w:rsidR="00D12409" w:rsidRDefault="00D12409" w:rsidP="00D12409">
      <w:pPr>
        <w:pStyle w:val="Heading7"/>
      </w:pPr>
      <w:r>
        <w:t xml:space="preserve">The role of partnerships in </w:t>
      </w:r>
      <w:r w:rsidR="000F7982">
        <w:t>initial teacher education</w:t>
      </w:r>
      <w:r w:rsidR="00CE519A">
        <w:t xml:space="preserve"> student</w:t>
      </w:r>
      <w:r>
        <w:t xml:space="preserve"> supervision</w:t>
      </w:r>
    </w:p>
    <w:p w14:paraId="4A530DAF" w14:textId="06769A07" w:rsidR="00D12409" w:rsidRDefault="00D12409" w:rsidP="00D12409">
      <w:pPr>
        <w:rPr>
          <w:rFonts w:eastAsia="Times New Roman"/>
        </w:rPr>
      </w:pPr>
      <w:r>
        <w:rPr>
          <w:rFonts w:eastAsia="Times New Roman"/>
        </w:rPr>
        <w:t>Effective professional experience can only be delivered with the support and involvement of teachers. Stakeholders have highlighted that support and guidance for supervising teachers is an area that would benefit from stronger partnerships between higher education providers and schools</w:t>
      </w:r>
      <w:r w:rsidR="0005597F">
        <w:rPr>
          <w:rFonts w:eastAsia="Times New Roman"/>
        </w:rPr>
        <w:t xml:space="preserve"> and highlight</w:t>
      </w:r>
      <w:r>
        <w:rPr>
          <w:rFonts w:eastAsia="Times New Roman"/>
        </w:rPr>
        <w:t xml:space="preserve"> that mentoring is not an inherent skill. </w:t>
      </w:r>
    </w:p>
    <w:p w14:paraId="6F40C8AA" w14:textId="3F5721A6" w:rsidR="00D12409" w:rsidRDefault="00D12409" w:rsidP="00D12409">
      <w:pPr>
        <w:rPr>
          <w:rFonts w:eastAsia="Times New Roman"/>
        </w:rPr>
      </w:pPr>
      <w:r>
        <w:rPr>
          <w:rFonts w:eastAsia="Times New Roman"/>
        </w:rPr>
        <w:lastRenderedPageBreak/>
        <w:t xml:space="preserve">Higher education providers highlight the </w:t>
      </w:r>
      <w:r w:rsidR="00DB7AE0">
        <w:rPr>
          <w:rFonts w:eastAsia="Times New Roman"/>
        </w:rPr>
        <w:t>difficulty of</w:t>
      </w:r>
      <w:r>
        <w:rPr>
          <w:rFonts w:eastAsia="Times New Roman"/>
        </w:rPr>
        <w:t xml:space="preserve"> placing students with teachers who have the skills to supervise and mentor them (Central Queensland University submission). Schools and teachers </w:t>
      </w:r>
      <w:r w:rsidR="00A11F21">
        <w:rPr>
          <w:rFonts w:eastAsia="Times New Roman"/>
        </w:rPr>
        <w:t>report</w:t>
      </w:r>
      <w:r>
        <w:rPr>
          <w:rFonts w:eastAsia="Times New Roman"/>
        </w:rPr>
        <w:t xml:space="preserve"> challenges </w:t>
      </w:r>
      <w:r w:rsidR="00A11F21">
        <w:rPr>
          <w:rFonts w:eastAsia="Times New Roman"/>
        </w:rPr>
        <w:t>in</w:t>
      </w:r>
      <w:r>
        <w:rPr>
          <w:rFonts w:eastAsia="Times New Roman"/>
        </w:rPr>
        <w:t xml:space="preserve"> meeting the requests of higher education providers (</w:t>
      </w:r>
      <w:r w:rsidRPr="00C8335E">
        <w:rPr>
          <w:rFonts w:eastAsia="Times New Roman"/>
        </w:rPr>
        <w:t>Association of Heads of Independent Schools of Australia</w:t>
      </w:r>
      <w:r>
        <w:rPr>
          <w:rFonts w:eastAsia="Times New Roman"/>
        </w:rPr>
        <w:t xml:space="preserve"> submission) </w:t>
      </w:r>
      <w:r w:rsidR="00A52B3E">
        <w:rPr>
          <w:rFonts w:eastAsia="Times New Roman"/>
        </w:rPr>
        <w:t>and</w:t>
      </w:r>
      <w:r>
        <w:rPr>
          <w:rFonts w:eastAsia="Times New Roman"/>
        </w:rPr>
        <w:t xml:space="preserve"> that they have minimal or no contact </w:t>
      </w:r>
      <w:r w:rsidR="00A52B3E">
        <w:rPr>
          <w:rFonts w:eastAsia="Times New Roman"/>
        </w:rPr>
        <w:t>with</w:t>
      </w:r>
      <w:r>
        <w:rPr>
          <w:rFonts w:eastAsia="Times New Roman"/>
        </w:rPr>
        <w:t xml:space="preserve"> higher education providers while ITE students are undertaking placements (Independent Education Union submission). Some teachers are reluctant to take on supervisory roles because of the </w:t>
      </w:r>
      <w:r w:rsidR="00A52B3E">
        <w:rPr>
          <w:rFonts w:eastAsia="Times New Roman"/>
        </w:rPr>
        <w:t>a</w:t>
      </w:r>
      <w:r w:rsidR="00F31CB6">
        <w:rPr>
          <w:rFonts w:eastAsia="Times New Roman"/>
        </w:rPr>
        <w:t xml:space="preserve">ssociated time </w:t>
      </w:r>
      <w:r w:rsidR="007879EF">
        <w:rPr>
          <w:rFonts w:eastAsia="Times New Roman"/>
        </w:rPr>
        <w:t xml:space="preserve">and administrative </w:t>
      </w:r>
      <w:r w:rsidR="00F31CB6">
        <w:rPr>
          <w:rFonts w:eastAsia="Times New Roman"/>
        </w:rPr>
        <w:t>burden</w:t>
      </w:r>
      <w:r>
        <w:rPr>
          <w:rFonts w:eastAsia="Times New Roman"/>
        </w:rPr>
        <w:t xml:space="preserve"> on top of an already heavy workload (Independent Education Union submission). </w:t>
      </w:r>
    </w:p>
    <w:p w14:paraId="235F16A6" w14:textId="77777777" w:rsidR="00D12409" w:rsidRDefault="00D12409" w:rsidP="00D12409">
      <w:pPr>
        <w:pStyle w:val="Heading3"/>
        <w:ind w:left="1021" w:hanging="1021"/>
        <w:rPr>
          <w:rFonts w:eastAsia="Times New Roman"/>
        </w:rPr>
      </w:pPr>
      <w:r>
        <w:t xml:space="preserve">Conclusions and Recommendations </w:t>
      </w:r>
    </w:p>
    <w:p w14:paraId="11F49F92" w14:textId="08AB8C03" w:rsidR="00D12409" w:rsidRDefault="00D12409" w:rsidP="00D12409">
      <w:pPr>
        <w:rPr>
          <w:rFonts w:eastAsia="Times New Roman"/>
        </w:rPr>
      </w:pPr>
      <w:r w:rsidRPr="0995B48D">
        <w:rPr>
          <w:rFonts w:eastAsia="Times New Roman"/>
        </w:rPr>
        <w:t>Strong partnerships between higher education providers and schools must continue to be a priority in the delivery of ITE. While</w:t>
      </w:r>
      <w:r w:rsidRPr="0995B48D" w:rsidDel="00FD1AD7">
        <w:rPr>
          <w:rFonts w:eastAsia="Times New Roman"/>
        </w:rPr>
        <w:t xml:space="preserve"> </w:t>
      </w:r>
      <w:r w:rsidR="00FD1AD7">
        <w:rPr>
          <w:rFonts w:eastAsia="Times New Roman"/>
        </w:rPr>
        <w:t>the Expert Panel</w:t>
      </w:r>
      <w:r w:rsidR="00FD1AD7" w:rsidRPr="0995B48D">
        <w:rPr>
          <w:rFonts w:eastAsia="Times New Roman"/>
        </w:rPr>
        <w:t xml:space="preserve"> </w:t>
      </w:r>
      <w:r w:rsidRPr="0995B48D">
        <w:rPr>
          <w:rFonts w:eastAsia="Times New Roman"/>
        </w:rPr>
        <w:t>consider</w:t>
      </w:r>
      <w:r w:rsidR="00FD1AD7">
        <w:rPr>
          <w:rFonts w:eastAsia="Times New Roman"/>
        </w:rPr>
        <w:t>s</w:t>
      </w:r>
      <w:r w:rsidRPr="0995B48D">
        <w:rPr>
          <w:rFonts w:eastAsia="Times New Roman"/>
        </w:rPr>
        <w:t xml:space="preserve"> the Accreditation Standards have the right </w:t>
      </w:r>
      <w:r w:rsidR="00296EFA">
        <w:rPr>
          <w:rFonts w:eastAsia="Times New Roman"/>
        </w:rPr>
        <w:t xml:space="preserve">broad </w:t>
      </w:r>
      <w:r w:rsidRPr="0995B48D">
        <w:rPr>
          <w:rFonts w:eastAsia="Times New Roman"/>
        </w:rPr>
        <w:t>settings in place, the challenge is to ensure that this is translated into practice.</w:t>
      </w:r>
    </w:p>
    <w:p w14:paraId="709A5F88" w14:textId="38E2D05B" w:rsidR="00D12409" w:rsidRDefault="00D12409" w:rsidP="00D12409">
      <w:pPr>
        <w:rPr>
          <w:rFonts w:eastAsia="Times New Roman"/>
        </w:rPr>
      </w:pPr>
      <w:r>
        <w:rPr>
          <w:rFonts w:eastAsia="Times New Roman"/>
        </w:rPr>
        <w:t>School-higher education provider partnerships should be used not only to facilitate professional experience. They should also be used to bridge the gap between theory and practice and connect teachers and academic staff in a meaningful way. School-</w:t>
      </w:r>
      <w:r w:rsidR="00D464BA">
        <w:rPr>
          <w:rFonts w:eastAsia="Times New Roman"/>
        </w:rPr>
        <w:t>higher education provider</w:t>
      </w:r>
      <w:r>
        <w:rPr>
          <w:rFonts w:eastAsia="Times New Roman"/>
        </w:rPr>
        <w:t xml:space="preserve"> partnerships could be </w:t>
      </w:r>
      <w:r w:rsidR="006660F4">
        <w:rPr>
          <w:rFonts w:eastAsia="Times New Roman"/>
        </w:rPr>
        <w:t xml:space="preserve">used </w:t>
      </w:r>
      <w:r>
        <w:rPr>
          <w:rFonts w:eastAsia="Times New Roman"/>
        </w:rPr>
        <w:t xml:space="preserve">to formalise supervisory arrangements between employers and higher education providers and support teachers in supervisory roles. </w:t>
      </w:r>
    </w:p>
    <w:p w14:paraId="48E037A9" w14:textId="35ACDB04" w:rsidR="00ED594B" w:rsidRDefault="00B87E49" w:rsidP="00D12409">
      <w:pPr>
        <w:rPr>
          <w:rFonts w:eastAsia="Times New Roman"/>
        </w:rPr>
      </w:pPr>
      <w:r>
        <w:rPr>
          <w:rFonts w:eastAsia="Times New Roman"/>
        </w:rPr>
        <w:t xml:space="preserve">In addition, these partnerships </w:t>
      </w:r>
      <w:r w:rsidR="00480A09">
        <w:rPr>
          <w:rFonts w:eastAsia="Times New Roman"/>
        </w:rPr>
        <w:t>can allow</w:t>
      </w:r>
      <w:r>
        <w:rPr>
          <w:rFonts w:eastAsia="Times New Roman"/>
        </w:rPr>
        <w:t xml:space="preserve"> for </w:t>
      </w:r>
      <w:r w:rsidR="00060705">
        <w:rPr>
          <w:rFonts w:eastAsia="Times New Roman"/>
        </w:rPr>
        <w:t>feedback loops</w:t>
      </w:r>
      <w:r w:rsidR="00480A09">
        <w:rPr>
          <w:rFonts w:eastAsia="Times New Roman"/>
        </w:rPr>
        <w:t xml:space="preserve"> </w:t>
      </w:r>
      <w:r w:rsidR="00060705">
        <w:rPr>
          <w:rFonts w:eastAsia="Times New Roman"/>
        </w:rPr>
        <w:t xml:space="preserve">between </w:t>
      </w:r>
      <w:r w:rsidR="00480A09">
        <w:rPr>
          <w:rFonts w:eastAsia="Times New Roman"/>
        </w:rPr>
        <w:t xml:space="preserve">classroom teachers and </w:t>
      </w:r>
      <w:r w:rsidR="001823AB">
        <w:rPr>
          <w:rFonts w:eastAsia="Times New Roman"/>
        </w:rPr>
        <w:t xml:space="preserve">higher education </w:t>
      </w:r>
      <w:r w:rsidR="00480A09">
        <w:rPr>
          <w:rFonts w:eastAsia="Times New Roman"/>
        </w:rPr>
        <w:t>providers</w:t>
      </w:r>
      <w:r w:rsidR="00720923">
        <w:rPr>
          <w:rFonts w:eastAsia="Times New Roman"/>
        </w:rPr>
        <w:t xml:space="preserve"> to strengthen ITE course content and delivery.</w:t>
      </w:r>
      <w:r w:rsidR="00480A09">
        <w:rPr>
          <w:rFonts w:eastAsia="Times New Roman"/>
        </w:rPr>
        <w:t xml:space="preserve"> </w:t>
      </w:r>
      <w:r w:rsidR="00720923">
        <w:rPr>
          <w:rFonts w:eastAsia="Times New Roman"/>
        </w:rPr>
        <w:t xml:space="preserve">Classroom teachers can use their practical experience to </w:t>
      </w:r>
      <w:r w:rsidR="00E43308">
        <w:rPr>
          <w:rFonts w:eastAsia="Times New Roman"/>
        </w:rPr>
        <w:t xml:space="preserve">ensure </w:t>
      </w:r>
      <w:r w:rsidR="001823AB">
        <w:rPr>
          <w:rFonts w:eastAsia="Times New Roman"/>
        </w:rPr>
        <w:t xml:space="preserve">higher education </w:t>
      </w:r>
      <w:r w:rsidR="00E43308">
        <w:rPr>
          <w:rFonts w:eastAsia="Times New Roman"/>
        </w:rPr>
        <w:t xml:space="preserve">providers are </w:t>
      </w:r>
      <w:r w:rsidR="00ED6C4B">
        <w:rPr>
          <w:rFonts w:eastAsia="Times New Roman"/>
        </w:rPr>
        <w:t xml:space="preserve">up to date with current practices and </w:t>
      </w:r>
      <w:r w:rsidR="001823AB">
        <w:rPr>
          <w:rFonts w:eastAsia="Times New Roman"/>
        </w:rPr>
        <w:t xml:space="preserve">higher education </w:t>
      </w:r>
      <w:r w:rsidR="00ED6C4B">
        <w:rPr>
          <w:rFonts w:eastAsia="Times New Roman"/>
        </w:rPr>
        <w:t xml:space="preserve">providers can share research and theory to assist classroom teachers </w:t>
      </w:r>
      <w:r w:rsidR="008717F9">
        <w:rPr>
          <w:rFonts w:eastAsia="Times New Roman"/>
        </w:rPr>
        <w:t>strengthen their</w:t>
      </w:r>
      <w:r w:rsidR="00424872">
        <w:rPr>
          <w:rFonts w:eastAsia="Times New Roman"/>
        </w:rPr>
        <w:t xml:space="preserve"> teaching. </w:t>
      </w:r>
      <w:r w:rsidR="006A23AB">
        <w:rPr>
          <w:rFonts w:eastAsia="Times New Roman"/>
        </w:rPr>
        <w:t>As the Accreditation Standards recommend ITE programs include staff who have ongoing or recent</w:t>
      </w:r>
      <w:r w:rsidR="00111B0E">
        <w:rPr>
          <w:rFonts w:eastAsia="Times New Roman"/>
        </w:rPr>
        <w:t xml:space="preserve"> </w:t>
      </w:r>
      <w:r w:rsidR="006A23AB">
        <w:rPr>
          <w:rFonts w:eastAsia="Times New Roman"/>
        </w:rPr>
        <w:t>school</w:t>
      </w:r>
      <w:r w:rsidR="00111B0E">
        <w:rPr>
          <w:rFonts w:eastAsia="Times New Roman"/>
        </w:rPr>
        <w:t>-</w:t>
      </w:r>
      <w:r w:rsidR="006A23AB">
        <w:rPr>
          <w:rFonts w:eastAsia="Times New Roman"/>
        </w:rPr>
        <w:t>based experience (Program Standard 2.3),</w:t>
      </w:r>
      <w:r w:rsidR="00ED594B">
        <w:rPr>
          <w:rFonts w:eastAsia="Times New Roman"/>
        </w:rPr>
        <w:t xml:space="preserve"> higher </w:t>
      </w:r>
      <w:r w:rsidR="00D12409">
        <w:rPr>
          <w:rFonts w:eastAsia="Times New Roman"/>
        </w:rPr>
        <w:t xml:space="preserve">education providers should prioritise recent classroom experience for academic staff in ITE to ensure they are keeping up to date with contemporary teaching practices. </w:t>
      </w:r>
    </w:p>
    <w:p w14:paraId="6D4FC6C9" w14:textId="6AAD78BE" w:rsidR="00D12409" w:rsidRDefault="00D12409" w:rsidP="00D12409">
      <w:pPr>
        <w:rPr>
          <w:rFonts w:eastAsia="Times New Roman"/>
        </w:rPr>
      </w:pPr>
      <w:r>
        <w:rPr>
          <w:rFonts w:eastAsia="Times New Roman"/>
        </w:rPr>
        <w:t>Making information on the proportion of academic staff with recent classroom experience publicly available will help prospective students to assess whether an ITE program can offer them strong connections between theory and practice.</w:t>
      </w:r>
    </w:p>
    <w:p w14:paraId="5CCB91EB" w14:textId="773D6E97" w:rsidR="007F0778" w:rsidRPr="00FE09FB" w:rsidRDefault="007F0778" w:rsidP="007F0778">
      <w:pPr>
        <w:pStyle w:val="Recommendation4"/>
        <w:spacing w:after="0"/>
        <w:rPr>
          <w:b/>
          <w:sz w:val="20"/>
        </w:rPr>
      </w:pPr>
      <w:r w:rsidRPr="00FE09FB">
        <w:rPr>
          <w:b/>
          <w:sz w:val="20"/>
        </w:rPr>
        <w:t xml:space="preserve">Recommendation 13: Require transparency of </w:t>
      </w:r>
      <w:r>
        <w:rPr>
          <w:b/>
          <w:sz w:val="20"/>
        </w:rPr>
        <w:t>initial teacher education (</w:t>
      </w:r>
      <w:r w:rsidRPr="00FE09FB">
        <w:rPr>
          <w:b/>
          <w:sz w:val="20"/>
        </w:rPr>
        <w:t>ITE</w:t>
      </w:r>
      <w:r>
        <w:rPr>
          <w:b/>
          <w:sz w:val="20"/>
        </w:rPr>
        <w:t>)</w:t>
      </w:r>
      <w:r w:rsidRPr="00FE09FB">
        <w:rPr>
          <w:b/>
          <w:sz w:val="20"/>
        </w:rPr>
        <w:t xml:space="preserve"> academic staff with recent teaching experience</w:t>
      </w:r>
    </w:p>
    <w:p w14:paraId="7E774F08" w14:textId="435AEA51" w:rsidR="007F0778" w:rsidRPr="00FE09FB" w:rsidRDefault="007F0778" w:rsidP="007F0778">
      <w:pPr>
        <w:pStyle w:val="Recommendation4"/>
        <w:spacing w:after="0"/>
        <w:rPr>
          <w:sz w:val="20"/>
        </w:rPr>
      </w:pPr>
      <w:r w:rsidRPr="00FE09FB">
        <w:rPr>
          <w:sz w:val="20"/>
        </w:rPr>
        <w:t xml:space="preserve">Require </w:t>
      </w:r>
      <w:r w:rsidR="00A963BA">
        <w:rPr>
          <w:sz w:val="20"/>
        </w:rPr>
        <w:t>higher education</w:t>
      </w:r>
      <w:r w:rsidR="00A963BA" w:rsidRPr="00FE09FB">
        <w:rPr>
          <w:sz w:val="20"/>
        </w:rPr>
        <w:t xml:space="preserve"> </w:t>
      </w:r>
      <w:r w:rsidRPr="00FE09FB">
        <w:rPr>
          <w:sz w:val="20"/>
        </w:rPr>
        <w:t>providers to publicly report the proportion of academic staff in ITE who have substantial recent experience teaching in schools or childcare centres.</w:t>
      </w:r>
    </w:p>
    <w:p w14:paraId="4897D764" w14:textId="77777777" w:rsidR="00615E6E" w:rsidRDefault="00615E6E">
      <w:pPr>
        <w:spacing w:after="0" w:line="240" w:lineRule="auto"/>
        <w:rPr>
          <w:bCs/>
          <w:color w:val="2F5496" w:themeColor="accent1" w:themeShade="BF"/>
          <w:sz w:val="24"/>
          <w:szCs w:val="24"/>
        </w:rPr>
      </w:pPr>
      <w:bookmarkStart w:id="45" w:name="_Toc86138409"/>
      <w:bookmarkStart w:id="46" w:name="_Toc86141313"/>
      <w:r>
        <w:br w:type="page"/>
      </w:r>
    </w:p>
    <w:p w14:paraId="6D8F2BB4" w14:textId="0AC87E09" w:rsidR="00D12409" w:rsidRDefault="00D12409" w:rsidP="00D12409">
      <w:pPr>
        <w:pStyle w:val="Heading2"/>
      </w:pPr>
      <w:bookmarkStart w:id="47" w:name="_Toc91160204"/>
      <w:r>
        <w:lastRenderedPageBreak/>
        <w:t>Chapter 6: Authorising Environment and Funding Arrangements</w:t>
      </w:r>
      <w:bookmarkEnd w:id="45"/>
      <w:bookmarkEnd w:id="46"/>
      <w:bookmarkEnd w:id="47"/>
    </w:p>
    <w:p w14:paraId="70B9D6A7" w14:textId="7272C63A" w:rsidR="00082C82" w:rsidRPr="00577034" w:rsidRDefault="00082C82" w:rsidP="00082C82">
      <w:pPr>
        <w:pStyle w:val="Keypoints"/>
      </w:pPr>
      <w:r>
        <w:t>Key points</w:t>
      </w:r>
    </w:p>
    <w:p w14:paraId="6A84EF3D" w14:textId="2DB805DF" w:rsidR="00347E35" w:rsidRPr="00611735" w:rsidRDefault="003A5592" w:rsidP="00F66D2A">
      <w:pPr>
        <w:pStyle w:val="Keypoints"/>
        <w:numPr>
          <w:ilvl w:val="0"/>
          <w:numId w:val="20"/>
        </w:numPr>
        <w:rPr>
          <w:b w:val="0"/>
          <w:bCs/>
        </w:rPr>
      </w:pPr>
      <w:r>
        <w:rPr>
          <w:b w:val="0"/>
          <w:bCs/>
        </w:rPr>
        <w:t>Quality teaching</w:t>
      </w:r>
      <w:r w:rsidR="00F11DC0">
        <w:rPr>
          <w:b w:val="0"/>
          <w:bCs/>
        </w:rPr>
        <w:t xml:space="preserve"> is of national importance</w:t>
      </w:r>
      <w:r w:rsidR="00D07C01">
        <w:rPr>
          <w:b w:val="0"/>
          <w:bCs/>
        </w:rPr>
        <w:t xml:space="preserve"> and </w:t>
      </w:r>
      <w:r w:rsidR="00687AD2">
        <w:rPr>
          <w:b w:val="0"/>
          <w:bCs/>
        </w:rPr>
        <w:t>initial teacher education (</w:t>
      </w:r>
      <w:r w:rsidR="00D07C01">
        <w:rPr>
          <w:b w:val="0"/>
          <w:bCs/>
        </w:rPr>
        <w:t>ITE</w:t>
      </w:r>
      <w:r w:rsidR="00687AD2">
        <w:rPr>
          <w:b w:val="0"/>
          <w:bCs/>
        </w:rPr>
        <w:t>)</w:t>
      </w:r>
      <w:r w:rsidR="00D07C01">
        <w:rPr>
          <w:b w:val="0"/>
          <w:bCs/>
        </w:rPr>
        <w:t xml:space="preserve"> </w:t>
      </w:r>
      <w:r w:rsidR="009A58A1" w:rsidRPr="009A58A1">
        <w:rPr>
          <w:b w:val="0"/>
          <w:bCs/>
        </w:rPr>
        <w:t>should be considered a national priority that is treated differently within the higher education funding system.</w:t>
      </w:r>
    </w:p>
    <w:p w14:paraId="5072676D" w14:textId="3F48C192" w:rsidR="003E7567" w:rsidRDefault="00BF769B" w:rsidP="00F66D2A">
      <w:pPr>
        <w:pStyle w:val="Keypoints"/>
        <w:numPr>
          <w:ilvl w:val="0"/>
          <w:numId w:val="20"/>
        </w:numPr>
        <w:rPr>
          <w:b w:val="0"/>
          <w:bCs/>
        </w:rPr>
      </w:pPr>
      <w:r w:rsidRPr="00CE5CD1">
        <w:rPr>
          <w:b w:val="0"/>
        </w:rPr>
        <w:t>The</w:t>
      </w:r>
      <w:r w:rsidR="00A914F1" w:rsidRPr="00CE5CD1">
        <w:rPr>
          <w:b w:val="0"/>
        </w:rPr>
        <w:t xml:space="preserve">re is no transparent national moderation process to give confidence that all regulators are assessing </w:t>
      </w:r>
      <w:r w:rsidR="00AA6D8E">
        <w:rPr>
          <w:b w:val="0"/>
        </w:rPr>
        <w:t xml:space="preserve">ITE </w:t>
      </w:r>
      <w:r w:rsidR="00A914F1" w:rsidRPr="00CE5CD1">
        <w:rPr>
          <w:b w:val="0"/>
        </w:rPr>
        <w:t xml:space="preserve">programs against the </w:t>
      </w:r>
      <w:r w:rsidR="00A914F1" w:rsidRPr="00223176">
        <w:rPr>
          <w:b w:val="0"/>
          <w:bCs/>
          <w:i/>
        </w:rPr>
        <w:t xml:space="preserve">Accreditation </w:t>
      </w:r>
      <w:r w:rsidR="00D47D7A" w:rsidRPr="00223176">
        <w:rPr>
          <w:b w:val="0"/>
          <w:bCs/>
          <w:i/>
          <w:iCs/>
        </w:rPr>
        <w:t>of Initial Teacher Education Programs in Australia: Standards and Procedures</w:t>
      </w:r>
      <w:r w:rsidR="00D47D7A">
        <w:t xml:space="preserve"> </w:t>
      </w:r>
      <w:r w:rsidR="00A914F1" w:rsidRPr="00CE5CD1">
        <w:rPr>
          <w:b w:val="0"/>
        </w:rPr>
        <w:t>in the same way.</w:t>
      </w:r>
    </w:p>
    <w:p w14:paraId="253A1799" w14:textId="65745004" w:rsidR="00A914F1" w:rsidRDefault="00C97D4B" w:rsidP="00F66D2A">
      <w:pPr>
        <w:pStyle w:val="Keypoints"/>
        <w:numPr>
          <w:ilvl w:val="0"/>
          <w:numId w:val="20"/>
        </w:numPr>
        <w:rPr>
          <w:b w:val="0"/>
        </w:rPr>
      </w:pPr>
      <w:r w:rsidRPr="0095607C">
        <w:rPr>
          <w:b w:val="0"/>
        </w:rPr>
        <w:t>Jurisdictions remain</w:t>
      </w:r>
      <w:r w:rsidRPr="00255A5C">
        <w:rPr>
          <w:b w:val="0"/>
        </w:rPr>
        <w:t xml:space="preserve"> at different stages in implementing the </w:t>
      </w:r>
      <w:r w:rsidR="00687AD2">
        <w:rPr>
          <w:b w:val="0"/>
        </w:rPr>
        <w:t>Teacher Education M</w:t>
      </w:r>
      <w:r w:rsidR="00E93688">
        <w:rPr>
          <w:b w:val="0"/>
        </w:rPr>
        <w:t>inisterial Advisory Group</w:t>
      </w:r>
      <w:r w:rsidRPr="00255A5C">
        <w:rPr>
          <w:b w:val="0"/>
        </w:rPr>
        <w:t xml:space="preserve"> </w:t>
      </w:r>
      <w:r w:rsidR="000F7982">
        <w:rPr>
          <w:b w:val="0"/>
        </w:rPr>
        <w:t xml:space="preserve">Review </w:t>
      </w:r>
      <w:r w:rsidRPr="00255A5C">
        <w:rPr>
          <w:b w:val="0"/>
        </w:rPr>
        <w:t>reforms</w:t>
      </w:r>
      <w:r w:rsidRPr="00D03C55">
        <w:rPr>
          <w:b w:val="0"/>
        </w:rPr>
        <w:t>.</w:t>
      </w:r>
    </w:p>
    <w:p w14:paraId="2DC88EC5" w14:textId="331679E6" w:rsidR="00C8576B" w:rsidRPr="00C653D5" w:rsidRDefault="009D781D" w:rsidP="00F66D2A">
      <w:pPr>
        <w:pStyle w:val="Keypoints"/>
        <w:numPr>
          <w:ilvl w:val="0"/>
          <w:numId w:val="20"/>
        </w:numPr>
        <w:rPr>
          <w:b w:val="0"/>
        </w:rPr>
      </w:pPr>
      <w:r>
        <w:rPr>
          <w:b w:val="0"/>
        </w:rPr>
        <w:t>There is a need to p</w:t>
      </w:r>
      <w:r w:rsidR="00C8576B" w:rsidRPr="00C653D5">
        <w:rPr>
          <w:b w:val="0"/>
        </w:rPr>
        <w:t>romote excellence in ITE delivery by fostering innovation and building the evidence base for high-quality ITE</w:t>
      </w:r>
      <w:r w:rsidR="007F7B1C">
        <w:rPr>
          <w:b w:val="0"/>
        </w:rPr>
        <w:t>.</w:t>
      </w:r>
      <w:r w:rsidR="00C8576B" w:rsidRPr="00C653D5">
        <w:rPr>
          <w:b w:val="0"/>
        </w:rPr>
        <w:t xml:space="preserve"> </w:t>
      </w:r>
    </w:p>
    <w:p w14:paraId="2D95F8F4" w14:textId="3EA0926A" w:rsidR="006F1B80" w:rsidRPr="00C653D5" w:rsidRDefault="00551545" w:rsidP="00F66D2A">
      <w:pPr>
        <w:pStyle w:val="Keypoints"/>
        <w:numPr>
          <w:ilvl w:val="0"/>
          <w:numId w:val="20"/>
        </w:numPr>
        <w:rPr>
          <w:b w:val="0"/>
        </w:rPr>
      </w:pPr>
      <w:r>
        <w:rPr>
          <w:b w:val="0"/>
          <w:bCs/>
        </w:rPr>
        <w:t>A</w:t>
      </w:r>
      <w:r w:rsidR="00CD31F0">
        <w:rPr>
          <w:b w:val="0"/>
          <w:bCs/>
        </w:rPr>
        <w:t xml:space="preserve"> </w:t>
      </w:r>
      <w:r w:rsidR="00E40D56">
        <w:rPr>
          <w:b w:val="0"/>
          <w:bCs/>
        </w:rPr>
        <w:t xml:space="preserve">publicly available quality measure </w:t>
      </w:r>
      <w:r w:rsidR="008733D5">
        <w:rPr>
          <w:b w:val="0"/>
          <w:bCs/>
        </w:rPr>
        <w:t xml:space="preserve">for ITE programs </w:t>
      </w:r>
      <w:r>
        <w:rPr>
          <w:rFonts w:eastAsia="Times New Roman"/>
          <w:b w:val="0"/>
          <w:bCs/>
        </w:rPr>
        <w:t xml:space="preserve">needs to be developed and </w:t>
      </w:r>
      <w:r w:rsidR="00990290">
        <w:rPr>
          <w:rFonts w:eastAsia="Times New Roman"/>
          <w:b w:val="0"/>
          <w:bCs/>
        </w:rPr>
        <w:t xml:space="preserve">would drive </w:t>
      </w:r>
      <w:r w:rsidR="001A047D">
        <w:rPr>
          <w:rFonts w:eastAsia="Times New Roman"/>
          <w:b w:val="0"/>
          <w:bCs/>
        </w:rPr>
        <w:t xml:space="preserve">performance </w:t>
      </w:r>
      <w:r w:rsidR="00677789">
        <w:rPr>
          <w:rFonts w:eastAsia="Times New Roman"/>
          <w:b w:val="0"/>
          <w:bCs/>
        </w:rPr>
        <w:t xml:space="preserve">of higher education providers and help prospective ITE </w:t>
      </w:r>
      <w:r w:rsidR="009232C8">
        <w:rPr>
          <w:rFonts w:eastAsia="Times New Roman"/>
          <w:b w:val="0"/>
          <w:bCs/>
        </w:rPr>
        <w:t>students make informed choices</w:t>
      </w:r>
      <w:r w:rsidR="006546BD">
        <w:rPr>
          <w:rFonts w:eastAsia="Times New Roman"/>
          <w:b w:val="0"/>
          <w:bCs/>
        </w:rPr>
        <w:t>.</w:t>
      </w:r>
    </w:p>
    <w:p w14:paraId="011CD310" w14:textId="55CE1C7E" w:rsidR="00C653D5" w:rsidRPr="00C653D5" w:rsidRDefault="00C653D5" w:rsidP="00F66D2A">
      <w:pPr>
        <w:pStyle w:val="Keypoints"/>
        <w:numPr>
          <w:ilvl w:val="0"/>
          <w:numId w:val="20"/>
        </w:numPr>
        <w:rPr>
          <w:b w:val="0"/>
        </w:rPr>
      </w:pPr>
      <w:r w:rsidRPr="00C653D5">
        <w:rPr>
          <w:b w:val="0"/>
        </w:rPr>
        <w:t xml:space="preserve">Quality and performance measures, once developed, should be </w:t>
      </w:r>
      <w:r w:rsidR="001A1028">
        <w:rPr>
          <w:b w:val="0"/>
        </w:rPr>
        <w:t>considered</w:t>
      </w:r>
      <w:r w:rsidRPr="00C653D5">
        <w:rPr>
          <w:b w:val="0"/>
        </w:rPr>
        <w:t xml:space="preserve"> in the allocation of </w:t>
      </w:r>
      <w:r w:rsidR="00C8576B">
        <w:rPr>
          <w:b w:val="0"/>
        </w:rPr>
        <w:t>higher education funding</w:t>
      </w:r>
      <w:r w:rsidRPr="00C653D5">
        <w:rPr>
          <w:b w:val="0"/>
        </w:rPr>
        <w:t xml:space="preserve">. </w:t>
      </w:r>
    </w:p>
    <w:p w14:paraId="288C9B4B" w14:textId="77777777" w:rsidR="00D12409" w:rsidRDefault="00D12409" w:rsidP="00D12409">
      <w:pPr>
        <w:pStyle w:val="Heading3"/>
        <w:ind w:left="1021" w:hanging="1021"/>
      </w:pPr>
      <w:r>
        <w:t>Current Context</w:t>
      </w:r>
    </w:p>
    <w:p w14:paraId="352E4C50" w14:textId="41E15EFD" w:rsidR="00D12409" w:rsidRDefault="00D12409" w:rsidP="00D12409">
      <w:pPr>
        <w:pStyle w:val="Heading7"/>
      </w:pPr>
      <w:r>
        <w:t>I</w:t>
      </w:r>
      <w:r w:rsidR="000F7982">
        <w:t>nitial teacher education</w:t>
      </w:r>
      <w:r>
        <w:t xml:space="preserve"> </w:t>
      </w:r>
      <w:r w:rsidR="000F7982">
        <w:t>a</w:t>
      </w:r>
      <w:r>
        <w:t xml:space="preserve">ccreditation </w:t>
      </w:r>
      <w:r w:rsidR="000F7982">
        <w:t>p</w:t>
      </w:r>
      <w:r>
        <w:t>rocess</w:t>
      </w:r>
    </w:p>
    <w:p w14:paraId="4C325827" w14:textId="189C330A" w:rsidR="00D12409" w:rsidRDefault="00851263" w:rsidP="00D12409">
      <w:r>
        <w:t xml:space="preserve">The </w:t>
      </w:r>
      <w:r w:rsidR="00D12409">
        <w:t xml:space="preserve">TEMAG </w:t>
      </w:r>
      <w:r>
        <w:t>Review</w:t>
      </w:r>
      <w:r w:rsidR="00D12409">
        <w:t xml:space="preserve"> identified a need for greater assurance that all ITE programs were being rigorously assessed and were based on solid research and best practice. It found that ongoing monitoring and examination of the impact of programs was essential to ensure continuous improvement (TEMAG 2014).</w:t>
      </w:r>
    </w:p>
    <w:p w14:paraId="426CA7C2" w14:textId="012A3E4B" w:rsidR="00D12409" w:rsidRDefault="00D12409" w:rsidP="00D12409">
      <w:r>
        <w:t xml:space="preserve">The accreditation process set out in the Accreditation Standards was amended significantly in response to </w:t>
      </w:r>
      <w:r w:rsidR="00851263">
        <w:t xml:space="preserve">the </w:t>
      </w:r>
      <w:r>
        <w:t xml:space="preserve">TEMAG </w:t>
      </w:r>
      <w:r w:rsidR="00851263">
        <w:t>Review</w:t>
      </w:r>
      <w:r>
        <w:t xml:space="preserve"> to strengthen national consistency and the rigour of accreditation decisions, including through requirements for higher education providers to report </w:t>
      </w:r>
      <w:r w:rsidR="001647E0">
        <w:t>annually</w:t>
      </w:r>
      <w:r>
        <w:t xml:space="preserve"> to TRAs</w:t>
      </w:r>
      <w:r w:rsidR="00DE367C">
        <w:t xml:space="preserve"> to allow </w:t>
      </w:r>
      <w:r w:rsidR="008650F9">
        <w:t>issues to be addressed prior to reaccreditation</w:t>
      </w:r>
      <w:r w:rsidR="00227B30">
        <w:t xml:space="preserve">. </w:t>
      </w:r>
      <w:r>
        <w:t xml:space="preserve">The accreditation process requires providers to demonstrate the impact of their programs and continuous improvement throughout an accreditation period. </w:t>
      </w:r>
    </w:p>
    <w:p w14:paraId="5D6CA447" w14:textId="77777777" w:rsidR="00D12409" w:rsidRDefault="00D12409" w:rsidP="00D12409">
      <w:r>
        <w:t>The preamble to the Accreditation Standards includes eight principles for national accreditation, one of which relates to transparency.</w:t>
      </w:r>
    </w:p>
    <w:p w14:paraId="2BE719BA" w14:textId="2B876193" w:rsidR="00D12409" w:rsidRPr="00CE5CD1" w:rsidRDefault="00D12409" w:rsidP="00CD1FEB">
      <w:pPr>
        <w:pStyle w:val="Quote"/>
        <w:framePr w:wrap="around"/>
      </w:pPr>
      <w:r w:rsidRPr="00CE5CD1">
        <w:t>‘The accreditation process requires transparency across all elements of initial teacher education, from entrant selection to program outcomes. This results in publicly available data that is valid and comparable, as well as clarity for pre-service teachers about what to expect from initial teacher education and, in turn, what is expected of them throughout their course.’</w:t>
      </w:r>
    </w:p>
    <w:p w14:paraId="5BD2B78E" w14:textId="77777777" w:rsidR="00D12409" w:rsidRPr="00CE5CD1" w:rsidRDefault="00D12409" w:rsidP="00CD1FEB">
      <w:pPr>
        <w:pStyle w:val="Quote"/>
        <w:framePr w:wrap="around"/>
      </w:pPr>
      <w:r w:rsidRPr="00CE5CD1">
        <w:t>(AITSL 2019)</w:t>
      </w:r>
    </w:p>
    <w:p w14:paraId="3DD8AB43" w14:textId="77777777" w:rsidR="00D12409" w:rsidRDefault="00D12409" w:rsidP="00615E6E">
      <w:pPr>
        <w:spacing w:after="0"/>
      </w:pPr>
    </w:p>
    <w:p w14:paraId="7B3E1E02" w14:textId="77777777" w:rsidR="00615E6E" w:rsidRDefault="00615E6E">
      <w:pPr>
        <w:spacing w:after="0" w:line="240" w:lineRule="auto"/>
        <w:rPr>
          <w:rFonts w:asciiTheme="majorHAnsi" w:eastAsiaTheme="majorEastAsia" w:hAnsiTheme="majorHAnsi" w:cstheme="majorBidi"/>
          <w:i/>
          <w:iCs/>
          <w:color w:val="1F3763" w:themeColor="accent1" w:themeShade="7F"/>
        </w:rPr>
      </w:pPr>
      <w:r>
        <w:br w:type="page"/>
      </w:r>
    </w:p>
    <w:p w14:paraId="3C2EF9AA" w14:textId="146E4268" w:rsidR="00D12409" w:rsidRDefault="00D12409" w:rsidP="00D12409">
      <w:pPr>
        <w:pStyle w:val="Heading7"/>
      </w:pPr>
      <w:r>
        <w:lastRenderedPageBreak/>
        <w:t>I</w:t>
      </w:r>
      <w:r w:rsidR="000F7982">
        <w:t>nitial teacher education f</w:t>
      </w:r>
      <w:r>
        <w:t xml:space="preserve">unding </w:t>
      </w:r>
      <w:r w:rsidR="000F7982">
        <w:t>a</w:t>
      </w:r>
      <w:r>
        <w:t>rrangements</w:t>
      </w:r>
    </w:p>
    <w:p w14:paraId="712CBDCE" w14:textId="0411A06D" w:rsidR="00D12409" w:rsidRDefault="00D12409" w:rsidP="00D12409">
      <w:r>
        <w:t xml:space="preserve">While TRAs have the legislative authority to accredit ITE programs, the </w:t>
      </w:r>
      <w:r w:rsidR="00DD1E80">
        <w:t>Australian Government</w:t>
      </w:r>
      <w:r>
        <w:t xml:space="preserve"> funds ITE, with an investment of around $760 million in 2021. </w:t>
      </w:r>
    </w:p>
    <w:p w14:paraId="14E674C6" w14:textId="77777777" w:rsidR="00D12409" w:rsidRDefault="00D12409" w:rsidP="00D12409">
      <w:pPr>
        <w:pStyle w:val="Heading3"/>
        <w:ind w:left="1021" w:hanging="1021"/>
      </w:pPr>
      <w:r>
        <w:t xml:space="preserve">Key Consultation Themes and Analysis </w:t>
      </w:r>
    </w:p>
    <w:p w14:paraId="681A874D" w14:textId="2C700109" w:rsidR="00D12409" w:rsidRPr="009D354B" w:rsidRDefault="00D12409" w:rsidP="00615E6E">
      <w:pPr>
        <w:pStyle w:val="Heading7"/>
      </w:pPr>
      <w:r w:rsidRPr="009D354B">
        <w:t>I</w:t>
      </w:r>
      <w:r w:rsidR="000F7982">
        <w:t>nitial teacher education</w:t>
      </w:r>
      <w:r w:rsidRPr="009D354B">
        <w:t xml:space="preserve"> </w:t>
      </w:r>
      <w:r w:rsidR="00487851">
        <w:t>a</w:t>
      </w:r>
      <w:r w:rsidRPr="009D354B">
        <w:t xml:space="preserve">ccreditation </w:t>
      </w:r>
      <w:r w:rsidR="00487851">
        <w:t>p</w:t>
      </w:r>
      <w:r w:rsidRPr="009D354B">
        <w:t>rocess</w:t>
      </w:r>
    </w:p>
    <w:p w14:paraId="5CC577BA" w14:textId="7F4355FC" w:rsidR="00D12409" w:rsidRDefault="0061593E" w:rsidP="00D12409">
      <w:r>
        <w:t>The Expert Panel has</w:t>
      </w:r>
      <w:r w:rsidR="00D12409">
        <w:t xml:space="preserve"> found it difficult to obtain any publicly available data or information </w:t>
      </w:r>
      <w:r w:rsidR="0067746A">
        <w:t>regarding</w:t>
      </w:r>
      <w:r w:rsidR="00D12409">
        <w:t xml:space="preserve"> the </w:t>
      </w:r>
      <w:r w:rsidR="001206A1">
        <w:t xml:space="preserve">quality </w:t>
      </w:r>
      <w:r w:rsidR="00D12409">
        <w:t xml:space="preserve">of ITE programs. </w:t>
      </w:r>
    </w:p>
    <w:p w14:paraId="6F93572C" w14:textId="2EEFF2F7" w:rsidR="00D12409" w:rsidRDefault="00D12409" w:rsidP="00D12409">
      <w:pPr>
        <w:rPr>
          <w:rFonts w:eastAsia="Times New Roman"/>
        </w:rPr>
      </w:pPr>
      <w:r>
        <w:rPr>
          <w:rFonts w:eastAsia="Times New Roman"/>
        </w:rPr>
        <w:t xml:space="preserve">There are no mechanisms in place to provide assurance that the Accreditation Standards are consistently and rigorously applied. </w:t>
      </w:r>
      <w:r w:rsidR="009F001F">
        <w:rPr>
          <w:rFonts w:eastAsia="Times New Roman"/>
        </w:rPr>
        <w:t>The national framework</w:t>
      </w:r>
      <w:r w:rsidR="00D95451">
        <w:rPr>
          <w:rFonts w:eastAsia="Times New Roman"/>
        </w:rPr>
        <w:t xml:space="preserve"> </w:t>
      </w:r>
      <w:r w:rsidR="00794FD6">
        <w:rPr>
          <w:rFonts w:eastAsia="Times New Roman"/>
        </w:rPr>
        <w:t xml:space="preserve">relies on each jurisdiction </w:t>
      </w:r>
      <w:r w:rsidR="00BB0180">
        <w:rPr>
          <w:rFonts w:eastAsia="Times New Roman"/>
        </w:rPr>
        <w:t xml:space="preserve">applying </w:t>
      </w:r>
      <w:r w:rsidR="009F001F">
        <w:rPr>
          <w:rFonts w:eastAsia="Times New Roman"/>
        </w:rPr>
        <w:t xml:space="preserve">the Accreditation Standards in a consistent way. </w:t>
      </w:r>
      <w:r w:rsidR="00542BB2">
        <w:rPr>
          <w:rFonts w:eastAsia="Times New Roman"/>
        </w:rPr>
        <w:t>Da</w:t>
      </w:r>
      <w:r w:rsidR="00D95451">
        <w:rPr>
          <w:rFonts w:eastAsia="Times New Roman"/>
        </w:rPr>
        <w:t>t</w:t>
      </w:r>
      <w:r w:rsidR="00542BB2">
        <w:rPr>
          <w:rFonts w:eastAsia="Times New Roman"/>
        </w:rPr>
        <w:t xml:space="preserve">a on program quality and outcomes is not readily available </w:t>
      </w:r>
      <w:r w:rsidR="00B67469">
        <w:rPr>
          <w:rFonts w:eastAsia="Times New Roman"/>
        </w:rPr>
        <w:t>as jurisdictions a</w:t>
      </w:r>
      <w:r w:rsidR="009962C0">
        <w:rPr>
          <w:rFonts w:eastAsia="Times New Roman"/>
        </w:rPr>
        <w:t>re at</w:t>
      </w:r>
      <w:r w:rsidR="00486B5A">
        <w:rPr>
          <w:rFonts w:eastAsia="Times New Roman"/>
        </w:rPr>
        <w:t xml:space="preserve"> different </w:t>
      </w:r>
      <w:r w:rsidR="00821DA3">
        <w:rPr>
          <w:rFonts w:eastAsia="Times New Roman"/>
        </w:rPr>
        <w:t>stages</w:t>
      </w:r>
      <w:r w:rsidR="007D0056">
        <w:rPr>
          <w:rFonts w:eastAsia="Times New Roman"/>
        </w:rPr>
        <w:t xml:space="preserve"> </w:t>
      </w:r>
      <w:r w:rsidR="008D75EC">
        <w:rPr>
          <w:rFonts w:eastAsia="Times New Roman"/>
        </w:rPr>
        <w:t xml:space="preserve">of implementing the </w:t>
      </w:r>
      <w:r w:rsidR="00BF47B7">
        <w:rPr>
          <w:rFonts w:eastAsia="Times New Roman"/>
        </w:rPr>
        <w:t>TEMAG</w:t>
      </w:r>
      <w:r w:rsidR="00411C96">
        <w:rPr>
          <w:rFonts w:eastAsia="Times New Roman"/>
        </w:rPr>
        <w:t xml:space="preserve"> </w:t>
      </w:r>
      <w:r w:rsidR="000F7982">
        <w:rPr>
          <w:rFonts w:eastAsia="Times New Roman"/>
        </w:rPr>
        <w:t xml:space="preserve">Review </w:t>
      </w:r>
      <w:r w:rsidR="008D75EC">
        <w:rPr>
          <w:rFonts w:eastAsia="Times New Roman"/>
        </w:rPr>
        <w:t xml:space="preserve">reforms (AITSL submission). </w:t>
      </w:r>
      <w:r>
        <w:t xml:space="preserve">There is </w:t>
      </w:r>
      <w:r w:rsidR="5B7786C1">
        <w:t>limited</w:t>
      </w:r>
      <w:r>
        <w:t xml:space="preserve"> visibility of accreditation decisions nationally because </w:t>
      </w:r>
      <w:r w:rsidR="0096057B">
        <w:t xml:space="preserve">there is no requirement for </w:t>
      </w:r>
      <w:r w:rsidR="00D51182">
        <w:t>data and</w:t>
      </w:r>
      <w:r w:rsidR="0096057B">
        <w:t xml:space="preserve"> information</w:t>
      </w:r>
      <w:r w:rsidR="00D51182">
        <w:t xml:space="preserve"> collected on ITE programs</w:t>
      </w:r>
      <w:r w:rsidR="0096057B">
        <w:t xml:space="preserve"> to be </w:t>
      </w:r>
      <w:r w:rsidR="00D51182">
        <w:t xml:space="preserve">made </w:t>
      </w:r>
      <w:r w:rsidR="0096057B">
        <w:t xml:space="preserve">publicly available. </w:t>
      </w:r>
      <w:r>
        <w:t xml:space="preserve">There is also no transparent national moderation process to give confidence that all </w:t>
      </w:r>
      <w:r w:rsidR="00A428FE">
        <w:t xml:space="preserve">TRAs </w:t>
      </w:r>
      <w:r>
        <w:t xml:space="preserve">are assessing programs against the Accreditation Standards in the same way. </w:t>
      </w:r>
      <w:r>
        <w:rPr>
          <w:rFonts w:eastAsia="Times New Roman"/>
        </w:rPr>
        <w:t xml:space="preserve">Without transparency there cannot be </w:t>
      </w:r>
      <w:r w:rsidR="005824E6">
        <w:rPr>
          <w:rFonts w:eastAsia="Times New Roman"/>
        </w:rPr>
        <w:t>full</w:t>
      </w:r>
      <w:r>
        <w:rPr>
          <w:rFonts w:eastAsia="Times New Roman"/>
        </w:rPr>
        <w:t xml:space="preserve"> confidence in the quality of ITE programs or </w:t>
      </w:r>
      <w:r w:rsidR="005824E6">
        <w:rPr>
          <w:rFonts w:eastAsia="Times New Roman"/>
        </w:rPr>
        <w:t xml:space="preserve">in </w:t>
      </w:r>
      <w:r>
        <w:rPr>
          <w:rFonts w:eastAsia="Times New Roman"/>
        </w:rPr>
        <w:t xml:space="preserve">whether the </w:t>
      </w:r>
      <w:r w:rsidR="005F296B">
        <w:rPr>
          <w:rFonts w:eastAsia="Times New Roman"/>
        </w:rPr>
        <w:t>A</w:t>
      </w:r>
      <w:r>
        <w:rPr>
          <w:rFonts w:eastAsia="Times New Roman"/>
        </w:rPr>
        <w:t xml:space="preserve">ccreditation </w:t>
      </w:r>
      <w:r w:rsidR="005F296B">
        <w:rPr>
          <w:rFonts w:eastAsia="Times New Roman"/>
        </w:rPr>
        <w:t>S</w:t>
      </w:r>
      <w:r>
        <w:rPr>
          <w:rFonts w:eastAsia="Times New Roman"/>
        </w:rPr>
        <w:t>tandards are being applied consistently across jurisdictions.</w:t>
      </w:r>
    </w:p>
    <w:p w14:paraId="02842DCC" w14:textId="66FD2BA4" w:rsidR="00D12409" w:rsidRDefault="00D12409" w:rsidP="00D12409">
      <w:r>
        <w:t>In practice, the current accreditation system focuses primarily on program inputs. AITSL acknowledges that the lack of a structure to assess the quality of ITE program outputs means that programs are vulnerable to criticism. Further, this also results in an inflexible regulatory framework that makes it difficult to recognise and reward excellence in ITE (AITSL submission).</w:t>
      </w:r>
    </w:p>
    <w:p w14:paraId="0D46D9A0" w14:textId="7D891C80" w:rsidR="003C4258" w:rsidRPr="000425F8" w:rsidRDefault="00D12409" w:rsidP="00060F11">
      <w:r>
        <w:t xml:space="preserve">AITSL worked with TRAs and higher education providers and managed the process of amending the Accreditation Standards to reflect the TEMAG </w:t>
      </w:r>
      <w:r w:rsidR="00E93A4B">
        <w:t>Review</w:t>
      </w:r>
      <w:r>
        <w:t xml:space="preserve"> recommendations. </w:t>
      </w:r>
      <w:r w:rsidRPr="00922E0B">
        <w:t>AITSL, however, does not have the authority to mandate and drive change</w:t>
      </w:r>
      <w:r w:rsidRPr="00303948">
        <w:t xml:space="preserve">, </w:t>
      </w:r>
      <w:r w:rsidR="003F0F34">
        <w:t>and therefore</w:t>
      </w:r>
      <w:r w:rsidR="00E93A4B">
        <w:t>,</w:t>
      </w:r>
      <w:r w:rsidR="003F0F34">
        <w:t xml:space="preserve"> its role is </w:t>
      </w:r>
      <w:r w:rsidRPr="00303948">
        <w:t xml:space="preserve">only </w:t>
      </w:r>
      <w:r w:rsidR="003F0F34">
        <w:t xml:space="preserve">to </w:t>
      </w:r>
      <w:r w:rsidRPr="00303948">
        <w:t>facili</w:t>
      </w:r>
      <w:r w:rsidRPr="001116CF">
        <w:t xml:space="preserve">tate </w:t>
      </w:r>
      <w:r w:rsidR="00B936CF">
        <w:t>amen</w:t>
      </w:r>
      <w:r w:rsidR="00F4019F">
        <w:t>dments to the Accreditation Standards</w:t>
      </w:r>
      <w:r w:rsidRPr="001116CF">
        <w:t>.</w:t>
      </w:r>
      <w:r w:rsidR="00471936" w:rsidRPr="000425F8">
        <w:t xml:space="preserve"> </w:t>
      </w:r>
    </w:p>
    <w:p w14:paraId="72177842" w14:textId="77777777" w:rsidR="003C4258" w:rsidRPr="00CE5CD1" w:rsidRDefault="003C4258" w:rsidP="00CD1FEB">
      <w:pPr>
        <w:pStyle w:val="Quote"/>
        <w:framePr w:wrap="around"/>
      </w:pPr>
      <w:r w:rsidRPr="00CE5CD1">
        <w:t>‘The revision or amendment of the Standards and Procedures cannot overcome the structural differences that result from eight different interpretations of the accreditation standards.’</w:t>
      </w:r>
    </w:p>
    <w:p w14:paraId="096D7178" w14:textId="18D63823" w:rsidR="003C4258" w:rsidRPr="00CE5CD1" w:rsidRDefault="003C4258" w:rsidP="00CD1FEB">
      <w:pPr>
        <w:pStyle w:val="Quote"/>
        <w:framePr w:wrap="around"/>
      </w:pPr>
      <w:r w:rsidRPr="00CE5CD1">
        <w:t>(AITSL submission)</w:t>
      </w:r>
    </w:p>
    <w:p w14:paraId="1B445CC9" w14:textId="77777777" w:rsidR="00CD1FEB" w:rsidRDefault="00CD1FEB" w:rsidP="00CD1FEB">
      <w:pPr>
        <w:spacing w:before="200" w:after="0"/>
        <w:rPr>
          <w:rFonts w:eastAsia="Times New Roman"/>
        </w:rPr>
      </w:pPr>
    </w:p>
    <w:p w14:paraId="1C1FADD6" w14:textId="213577DF" w:rsidR="00D12409" w:rsidRDefault="00D12409" w:rsidP="00CD1FEB">
      <w:pPr>
        <w:rPr>
          <w:rFonts w:eastAsia="Times New Roman"/>
        </w:rPr>
      </w:pPr>
      <w:r w:rsidRPr="0995B48D">
        <w:rPr>
          <w:rFonts w:eastAsia="Times New Roman"/>
        </w:rPr>
        <w:t xml:space="preserve">AITSL </w:t>
      </w:r>
      <w:r w:rsidR="00C00116" w:rsidRPr="0995B48D">
        <w:rPr>
          <w:rFonts w:eastAsia="Times New Roman"/>
        </w:rPr>
        <w:t>has</w:t>
      </w:r>
      <w:r w:rsidRPr="0995B48D">
        <w:rPr>
          <w:rFonts w:eastAsia="Times New Roman"/>
        </w:rPr>
        <w:t xml:space="preserve"> </w:t>
      </w:r>
      <w:r w:rsidR="00C00116" w:rsidRPr="0995B48D">
        <w:rPr>
          <w:rFonts w:eastAsia="Times New Roman"/>
        </w:rPr>
        <w:t>recommended</w:t>
      </w:r>
      <w:r w:rsidR="00DE6002" w:rsidRPr="0995B48D">
        <w:rPr>
          <w:rFonts w:eastAsia="Times New Roman"/>
        </w:rPr>
        <w:t xml:space="preserve"> to the </w:t>
      </w:r>
      <w:r w:rsidR="002940C0">
        <w:rPr>
          <w:rFonts w:eastAsia="Times New Roman"/>
        </w:rPr>
        <w:t xml:space="preserve">Expert </w:t>
      </w:r>
      <w:r w:rsidR="00DE6002" w:rsidRPr="0995B48D">
        <w:rPr>
          <w:rFonts w:eastAsia="Times New Roman"/>
        </w:rPr>
        <w:t xml:space="preserve">Panel that a </w:t>
      </w:r>
      <w:r w:rsidRPr="0995B48D">
        <w:rPr>
          <w:rFonts w:eastAsia="Times New Roman"/>
        </w:rPr>
        <w:t>national quality assurance oversight body</w:t>
      </w:r>
      <w:r w:rsidR="00DE6002" w:rsidRPr="0995B48D">
        <w:rPr>
          <w:rFonts w:eastAsia="Times New Roman"/>
        </w:rPr>
        <w:t xml:space="preserve"> be established</w:t>
      </w:r>
      <w:r w:rsidRPr="0995B48D">
        <w:rPr>
          <w:rFonts w:eastAsia="Times New Roman"/>
        </w:rPr>
        <w:t xml:space="preserve">, which would develop and publish information about the quality and national consistency of ITE programs. The body would be established as a joint initiative between the </w:t>
      </w:r>
      <w:r w:rsidR="002940C0">
        <w:rPr>
          <w:rFonts w:eastAsia="Times New Roman"/>
        </w:rPr>
        <w:t>Australian Government</w:t>
      </w:r>
      <w:r w:rsidR="002940C0" w:rsidRPr="0995B48D">
        <w:rPr>
          <w:rFonts w:eastAsia="Times New Roman"/>
        </w:rPr>
        <w:t xml:space="preserve"> </w:t>
      </w:r>
      <w:r w:rsidRPr="0995B48D">
        <w:rPr>
          <w:rFonts w:eastAsia="Times New Roman"/>
        </w:rPr>
        <w:t xml:space="preserve">and state and territory governments and would report periodically to education ministers. The body could also incorporate other groups such as the TPA </w:t>
      </w:r>
      <w:r w:rsidR="00E93A4B">
        <w:rPr>
          <w:rFonts w:eastAsia="Times New Roman"/>
        </w:rPr>
        <w:t xml:space="preserve">EAG </w:t>
      </w:r>
      <w:r w:rsidRPr="0995B48D">
        <w:rPr>
          <w:rFonts w:eastAsia="Times New Roman"/>
        </w:rPr>
        <w:t>(AITSL submission).</w:t>
      </w:r>
    </w:p>
    <w:p w14:paraId="372CDCE5" w14:textId="786CD510" w:rsidR="00D12409" w:rsidRDefault="00D12409" w:rsidP="00615E6E">
      <w:pPr>
        <w:spacing w:after="0"/>
      </w:pPr>
      <w:r>
        <w:t>A national system of accreditation of ITE programs has the potential to:</w:t>
      </w:r>
    </w:p>
    <w:p w14:paraId="4F232125" w14:textId="77777777" w:rsidR="00D12409" w:rsidRDefault="00D12409" w:rsidP="00B80EA1">
      <w:pPr>
        <w:pStyle w:val="ListParagraph"/>
        <w:numPr>
          <w:ilvl w:val="0"/>
          <w:numId w:val="5"/>
        </w:numPr>
      </w:pPr>
      <w:r>
        <w:t>ensure national consistency and rigour in the accreditation process</w:t>
      </w:r>
    </w:p>
    <w:p w14:paraId="11BB6E1F" w14:textId="77777777" w:rsidR="00D12409" w:rsidRDefault="00D12409" w:rsidP="00B80EA1">
      <w:pPr>
        <w:pStyle w:val="ListParagraph"/>
        <w:numPr>
          <w:ilvl w:val="0"/>
          <w:numId w:val="5"/>
        </w:numPr>
      </w:pPr>
      <w:r>
        <w:t>simplify the accreditation process for providers, particularly those operating across several jurisdictions</w:t>
      </w:r>
    </w:p>
    <w:p w14:paraId="5E7C6165" w14:textId="77777777" w:rsidR="00D12409" w:rsidRDefault="00D12409" w:rsidP="00B80EA1">
      <w:pPr>
        <w:pStyle w:val="ListParagraph"/>
        <w:numPr>
          <w:ilvl w:val="0"/>
          <w:numId w:val="5"/>
        </w:numPr>
      </w:pPr>
      <w:r>
        <w:t>ensure any future developments can be implemented in a timely manner</w:t>
      </w:r>
    </w:p>
    <w:p w14:paraId="64B13A21" w14:textId="77777777" w:rsidR="00D12409" w:rsidRDefault="00D12409" w:rsidP="00B80EA1">
      <w:pPr>
        <w:pStyle w:val="ListParagraph"/>
        <w:numPr>
          <w:ilvl w:val="0"/>
          <w:numId w:val="5"/>
        </w:numPr>
      </w:pPr>
      <w:r>
        <w:t>drive continuous improvement and quality assurance</w:t>
      </w:r>
    </w:p>
    <w:p w14:paraId="7E0FE70A" w14:textId="77777777" w:rsidR="00D12409" w:rsidRDefault="00D12409" w:rsidP="00B80EA1">
      <w:pPr>
        <w:pStyle w:val="ListParagraph"/>
        <w:numPr>
          <w:ilvl w:val="0"/>
          <w:numId w:val="5"/>
        </w:numPr>
      </w:pPr>
      <w:r>
        <w:t>allow a risk-based regulatory approach to be implemented over time</w:t>
      </w:r>
    </w:p>
    <w:p w14:paraId="431F6FC8" w14:textId="13E7492E" w:rsidR="00D12409" w:rsidRDefault="00D12409" w:rsidP="00B80EA1">
      <w:pPr>
        <w:pStyle w:val="ListParagraph"/>
        <w:numPr>
          <w:ilvl w:val="0"/>
          <w:numId w:val="5"/>
        </w:numPr>
      </w:pPr>
      <w:r>
        <w:t>enable the collection of national data to support workforce planning.</w:t>
      </w:r>
    </w:p>
    <w:p w14:paraId="50F0F261" w14:textId="77777777" w:rsidR="00615E6E" w:rsidRDefault="00615E6E">
      <w:pPr>
        <w:spacing w:after="0" w:line="240" w:lineRule="auto"/>
        <w:rPr>
          <w:rFonts w:eastAsia="Times New Roman"/>
        </w:rPr>
      </w:pPr>
      <w:r>
        <w:rPr>
          <w:rFonts w:eastAsia="Times New Roman"/>
        </w:rPr>
        <w:br w:type="page"/>
      </w:r>
    </w:p>
    <w:p w14:paraId="30BBB213" w14:textId="7E1D9BDA" w:rsidR="0029315F" w:rsidRPr="00182D17" w:rsidDel="002A149C" w:rsidRDefault="002A149C" w:rsidP="0029315F">
      <w:pPr>
        <w:rPr>
          <w:rFonts w:eastAsia="Times New Roman"/>
        </w:rPr>
      </w:pPr>
      <w:r w:rsidRPr="002A149C">
        <w:rPr>
          <w:rFonts w:eastAsia="Times New Roman"/>
        </w:rPr>
        <w:lastRenderedPageBreak/>
        <w:t xml:space="preserve">While the establishment of such a body would be a welcome advance on the current arrangements, it would have limitations as the body would </w:t>
      </w:r>
      <w:r w:rsidR="00664797">
        <w:rPr>
          <w:rFonts w:eastAsia="Times New Roman"/>
        </w:rPr>
        <w:t>lack</w:t>
      </w:r>
      <w:r w:rsidRPr="002A149C">
        <w:rPr>
          <w:rFonts w:eastAsia="Times New Roman"/>
        </w:rPr>
        <w:t xml:space="preserve"> regulatory or legislative power, as these powers rest with individual jurisdiction</w:t>
      </w:r>
      <w:r w:rsidR="00084795">
        <w:rPr>
          <w:rFonts w:eastAsia="Times New Roman"/>
        </w:rPr>
        <w:t>s</w:t>
      </w:r>
      <w:r w:rsidRPr="002A149C">
        <w:rPr>
          <w:rFonts w:eastAsia="Times New Roman"/>
        </w:rPr>
        <w:t xml:space="preserve">. Therefore, other options </w:t>
      </w:r>
      <w:r w:rsidR="00084795">
        <w:rPr>
          <w:rFonts w:eastAsia="Times New Roman"/>
        </w:rPr>
        <w:t xml:space="preserve">to improve </w:t>
      </w:r>
      <w:r w:rsidRPr="002A149C">
        <w:rPr>
          <w:rFonts w:eastAsia="Times New Roman"/>
        </w:rPr>
        <w:t xml:space="preserve">transparency and the quality of programs </w:t>
      </w:r>
      <w:r w:rsidR="004B113F">
        <w:rPr>
          <w:rFonts w:eastAsia="Times New Roman"/>
        </w:rPr>
        <w:t>require further</w:t>
      </w:r>
      <w:r w:rsidRPr="002A149C">
        <w:rPr>
          <w:rFonts w:eastAsia="Times New Roman"/>
        </w:rPr>
        <w:t xml:space="preserve"> consideration</w:t>
      </w:r>
      <w:r w:rsidR="0029315F" w:rsidRPr="00182D17" w:rsidDel="002A149C">
        <w:rPr>
          <w:rFonts w:eastAsia="Times New Roman"/>
        </w:rPr>
        <w:t>.</w:t>
      </w:r>
    </w:p>
    <w:p w14:paraId="20413608" w14:textId="1012C308" w:rsidR="00E45C97" w:rsidRDefault="00E45C97" w:rsidP="00615E6E">
      <w:pPr>
        <w:pStyle w:val="Heading7"/>
      </w:pPr>
      <w:r>
        <w:t xml:space="preserve">Promoting excellence in </w:t>
      </w:r>
      <w:r w:rsidR="000F7982">
        <w:t>initial teacher education</w:t>
      </w:r>
      <w:r>
        <w:t xml:space="preserve"> delivery</w:t>
      </w:r>
    </w:p>
    <w:p w14:paraId="00C2A56E" w14:textId="73911AB2" w:rsidR="00E45C97" w:rsidRDefault="001E3D0C" w:rsidP="00E45C97">
      <w:r>
        <w:t>To ensure high</w:t>
      </w:r>
      <w:r w:rsidR="000F7982">
        <w:t>-</w:t>
      </w:r>
      <w:r>
        <w:t>quality ITE</w:t>
      </w:r>
      <w:r w:rsidR="00947706">
        <w:t xml:space="preserve"> the</w:t>
      </w:r>
      <w:r w:rsidR="00E45C97">
        <w:t xml:space="preserve"> authorising environment </w:t>
      </w:r>
      <w:r w:rsidR="00947706">
        <w:t>needs to</w:t>
      </w:r>
      <w:r w:rsidR="00E45C97">
        <w:t xml:space="preserve"> </w:t>
      </w:r>
      <w:r w:rsidR="00D314FF">
        <w:t>encourage</w:t>
      </w:r>
      <w:r w:rsidR="00E45C97">
        <w:t xml:space="preserve"> higher education providers to strive for excellence in the delivery of ITE programs. </w:t>
      </w:r>
    </w:p>
    <w:p w14:paraId="46511C3E" w14:textId="1DB069A6" w:rsidR="00E45C97" w:rsidRDefault="00E45C97" w:rsidP="00E45C97">
      <w:r>
        <w:t xml:space="preserve">The Accreditation Standards only require state and territory TRAs to determine whether the program standards are met or not met. </w:t>
      </w:r>
      <w:r w:rsidR="005B1F28">
        <w:t>Those</w:t>
      </w:r>
      <w:r>
        <w:t xml:space="preserve"> higher education providers </w:t>
      </w:r>
      <w:r w:rsidR="00A968C2">
        <w:t>that</w:t>
      </w:r>
      <w:r>
        <w:t xml:space="preserve"> do have a culture of innovation and continuous improvement</w:t>
      </w:r>
      <w:r w:rsidR="00522DC1">
        <w:t xml:space="preserve"> in the delivery of ITE</w:t>
      </w:r>
      <w:r>
        <w:t xml:space="preserve"> are not necessarily rewarded for this approach. </w:t>
      </w:r>
    </w:p>
    <w:p w14:paraId="30B5419B" w14:textId="7EC1A35E" w:rsidR="00E45C97" w:rsidRDefault="00E45C97" w:rsidP="00E45C97">
      <w:r>
        <w:t xml:space="preserve">Some stakeholders suggest there should be more support for research, especially longitudinal research on teacher preparation and retention, evaluating innovations in program design, and the effect </w:t>
      </w:r>
      <w:r w:rsidR="000408EB">
        <w:t xml:space="preserve">of </w:t>
      </w:r>
      <w:r>
        <w:t xml:space="preserve">improvements in ITE programs </w:t>
      </w:r>
      <w:r w:rsidR="000408EB">
        <w:t xml:space="preserve">on </w:t>
      </w:r>
      <w:r>
        <w:t xml:space="preserve">student learning outcomes (Deakin University submission; Group of Eight submission). </w:t>
      </w:r>
    </w:p>
    <w:p w14:paraId="34A29666" w14:textId="72562017" w:rsidR="00E45C97" w:rsidRDefault="00E45C97" w:rsidP="00615E6E">
      <w:pPr>
        <w:spacing w:after="0"/>
      </w:pPr>
      <w:r>
        <w:t>The U</w:t>
      </w:r>
      <w:r w:rsidR="000E673F">
        <w:t xml:space="preserve">nited </w:t>
      </w:r>
      <w:r>
        <w:t>K</w:t>
      </w:r>
      <w:r w:rsidR="000E673F">
        <w:t>ingdom</w:t>
      </w:r>
      <w:r>
        <w:t xml:space="preserve"> </w:t>
      </w:r>
      <w:r w:rsidR="000E082C">
        <w:t>Department</w:t>
      </w:r>
      <w:r w:rsidR="001D6394">
        <w:t xml:space="preserve"> </w:t>
      </w:r>
      <w:r w:rsidR="000E082C">
        <w:t xml:space="preserve">for Education </w:t>
      </w:r>
      <w:r>
        <w:t xml:space="preserve">is establishing an </w:t>
      </w:r>
      <w:hyperlink r:id="rId52">
        <w:r w:rsidRPr="3367936E">
          <w:rPr>
            <w:rStyle w:val="Hyperlink"/>
          </w:rPr>
          <w:t>Institute of Teaching</w:t>
        </w:r>
      </w:hyperlink>
      <w:r>
        <w:rPr>
          <w:rStyle w:val="Hyperlink"/>
        </w:rPr>
        <w:t xml:space="preserve"> (the Institute)</w:t>
      </w:r>
      <w:r w:rsidRPr="00233818">
        <w:rPr>
          <w:rStyle w:val="Hyperlink"/>
          <w:u w:val="none"/>
        </w:rPr>
        <w:t xml:space="preserve"> </w:t>
      </w:r>
      <w:r>
        <w:t>to provide teachers and schools leaders with prestigious training and development throughout their career. It will be launched in September 2022, with training delivered through at least four regional campuses. The Institute will feature:</w:t>
      </w:r>
    </w:p>
    <w:p w14:paraId="5C709EA5" w14:textId="7A46897C" w:rsidR="00E45C97" w:rsidRDefault="0047269B" w:rsidP="00E45C97">
      <w:pPr>
        <w:pStyle w:val="ListParagraph"/>
        <w:numPr>
          <w:ilvl w:val="0"/>
          <w:numId w:val="7"/>
        </w:numPr>
        <w:spacing w:after="160"/>
      </w:pPr>
      <w:r>
        <w:t>evidence</w:t>
      </w:r>
      <w:r w:rsidR="00E45C97">
        <w:t>-based approaches to teacher training, with a ‘cutting edge’ approach to teacher training</w:t>
      </w:r>
    </w:p>
    <w:p w14:paraId="678306BE" w14:textId="7F1560EA" w:rsidR="00E45C97" w:rsidRDefault="0047269B" w:rsidP="00E45C97">
      <w:pPr>
        <w:pStyle w:val="ListParagraph"/>
        <w:numPr>
          <w:ilvl w:val="0"/>
          <w:numId w:val="7"/>
        </w:numPr>
        <w:spacing w:after="160"/>
      </w:pPr>
      <w:r>
        <w:t>mentoring</w:t>
      </w:r>
      <w:r w:rsidR="00E45C97">
        <w:t xml:space="preserve"> and early career support</w:t>
      </w:r>
    </w:p>
    <w:p w14:paraId="28A688F5" w14:textId="7233EF69" w:rsidR="00E45C97" w:rsidRDefault="0047269B" w:rsidP="00E45C97">
      <w:pPr>
        <w:pStyle w:val="ListParagraph"/>
        <w:numPr>
          <w:ilvl w:val="0"/>
          <w:numId w:val="7"/>
        </w:numPr>
        <w:spacing w:after="160"/>
      </w:pPr>
      <w:r>
        <w:t>leadership</w:t>
      </w:r>
      <w:r w:rsidR="00E45C97">
        <w:t xml:space="preserve"> courses</w:t>
      </w:r>
    </w:p>
    <w:p w14:paraId="17E0E1FE" w14:textId="4D747978" w:rsidR="00E45C97" w:rsidRDefault="0047269B" w:rsidP="00E45C97">
      <w:pPr>
        <w:pStyle w:val="ListParagraph"/>
        <w:numPr>
          <w:ilvl w:val="0"/>
          <w:numId w:val="7"/>
        </w:numPr>
        <w:spacing w:after="160"/>
      </w:pPr>
      <w:r>
        <w:t>continued</w:t>
      </w:r>
      <w:r w:rsidR="00E45C97">
        <w:t xml:space="preserve"> professional development, building on existing high-quality provision.</w:t>
      </w:r>
    </w:p>
    <w:p w14:paraId="294A8F96" w14:textId="4711B150" w:rsidR="00E45C97" w:rsidRDefault="00E45C97" w:rsidP="00E45C97">
      <w:r>
        <w:t>The Institute is designed to become England’s</w:t>
      </w:r>
      <w:r w:rsidR="002C17C7">
        <w:t xml:space="preserve"> </w:t>
      </w:r>
      <w:r>
        <w:t>‘flagship’ teacher training and development provider and when fully operational it is expected to deliver training for around 1000 trainees, around 2000 early career teachers, 2000 mentors, and 1000 National Professional Qualifications participants annually.</w:t>
      </w:r>
    </w:p>
    <w:p w14:paraId="2C733DD1" w14:textId="05BC0260" w:rsidR="00E45C97" w:rsidRDefault="00E45C97" w:rsidP="00E45C97">
      <w:r>
        <w:t xml:space="preserve">The Institute will also build evidence </w:t>
      </w:r>
      <w:r w:rsidR="00CF53F4">
        <w:t xml:space="preserve">of </w:t>
      </w:r>
      <w:r>
        <w:t>the most effective approaches to and developing teachers. This will be used to support other teacher development organisations to implement best practice.</w:t>
      </w:r>
    </w:p>
    <w:p w14:paraId="0E7896C1" w14:textId="5C1749F9" w:rsidR="00E45C97" w:rsidRPr="00E636E6" w:rsidRDefault="00E45C97" w:rsidP="00CE6F66">
      <w:r w:rsidRPr="00E636E6">
        <w:t>Pursuing a similar approach in Australia could foster innovation and build the evidence base for high-quality ITE.</w:t>
      </w:r>
    </w:p>
    <w:p w14:paraId="28101CF5" w14:textId="4E3AB583" w:rsidR="00D12409" w:rsidRPr="00E84D8C" w:rsidRDefault="00D12409" w:rsidP="00615E6E">
      <w:pPr>
        <w:pStyle w:val="Heading7"/>
      </w:pPr>
      <w:r>
        <w:t>I</w:t>
      </w:r>
      <w:r w:rsidR="000F7982">
        <w:t>nitial teacher education</w:t>
      </w:r>
      <w:r>
        <w:t xml:space="preserve"> </w:t>
      </w:r>
      <w:r w:rsidR="0009226F">
        <w:t>f</w:t>
      </w:r>
      <w:r>
        <w:t xml:space="preserve">unding </w:t>
      </w:r>
      <w:r w:rsidR="0009226F">
        <w:t>a</w:t>
      </w:r>
      <w:r>
        <w:t>rrangements</w:t>
      </w:r>
    </w:p>
    <w:p w14:paraId="0D33998E" w14:textId="3CC4C342" w:rsidR="00D12409" w:rsidRDefault="00D12409" w:rsidP="00D12409">
      <w:r w:rsidRPr="00924BDE">
        <w:t xml:space="preserve">A number of higher education providers </w:t>
      </w:r>
      <w:r w:rsidR="0009226F">
        <w:t>shared</w:t>
      </w:r>
      <w:r w:rsidR="0009226F" w:rsidRPr="00924BDE">
        <w:t xml:space="preserve"> </w:t>
      </w:r>
      <w:r w:rsidRPr="00924BDE">
        <w:t xml:space="preserve">concerns </w:t>
      </w:r>
      <w:r w:rsidR="0009226F">
        <w:t>about</w:t>
      </w:r>
      <w:r w:rsidRPr="00924BDE">
        <w:t xml:space="preserve"> the funding provided for ITE programs.</w:t>
      </w:r>
      <w:r>
        <w:t xml:space="preserve"> In particular, providers have called for the return of specific funding for professional experience and support for establishing partnerships with schools (Macquarie University School of Education submission; University of Canberra submission; </w:t>
      </w:r>
      <w:r w:rsidRPr="003829AB">
        <w:t xml:space="preserve">New South Wales </w:t>
      </w:r>
      <w:r>
        <w:t xml:space="preserve">Department of Education submission). A loading to compensate universities for the cost of administering arrangements for professional experience was once paid separately but was folded into </w:t>
      </w:r>
      <w:r w:rsidR="00E823DE">
        <w:t>general funding</w:t>
      </w:r>
      <w:r>
        <w:t xml:space="preserve"> in 2009.</w:t>
      </w:r>
      <w:r w:rsidR="002C17C7">
        <w:t xml:space="preserve"> </w:t>
      </w:r>
    </w:p>
    <w:p w14:paraId="0F96990E" w14:textId="61E33593" w:rsidR="00D12409" w:rsidRDefault="00D12409" w:rsidP="00D12409">
      <w:r>
        <w:t xml:space="preserve">Other higher education providers have </w:t>
      </w:r>
      <w:r w:rsidR="00883628">
        <w:t>suggested</w:t>
      </w:r>
      <w:r>
        <w:t xml:space="preserve"> that recent higher education reforms introduced as part of the Job</w:t>
      </w:r>
      <w:r w:rsidR="00883628">
        <w:t>-r</w:t>
      </w:r>
      <w:r>
        <w:t xml:space="preserve">eady Graduates </w:t>
      </w:r>
      <w:r w:rsidR="00372C83">
        <w:t>P</w:t>
      </w:r>
      <w:r>
        <w:t>ackage have had an impact, with funding to ITE programs reduced in the latest funding model (</w:t>
      </w:r>
      <w:r w:rsidR="00E015E1">
        <w:t>H</w:t>
      </w:r>
      <w:r w:rsidR="00AB01A7">
        <w:t xml:space="preserve">igher education </w:t>
      </w:r>
      <w:r w:rsidR="00372C83">
        <w:t>provider</w:t>
      </w:r>
      <w:r w:rsidR="00AB01A7">
        <w:t xml:space="preserve"> submission</w:t>
      </w:r>
      <w:r>
        <w:t xml:space="preserve">). </w:t>
      </w:r>
    </w:p>
    <w:p w14:paraId="153BACC7" w14:textId="77777777" w:rsidR="000F7982" w:rsidRDefault="000F7982">
      <w:pPr>
        <w:spacing w:after="0" w:line="240" w:lineRule="auto"/>
      </w:pPr>
      <w:r>
        <w:br w:type="page"/>
      </w:r>
    </w:p>
    <w:p w14:paraId="1F7A77F8" w14:textId="3D523157" w:rsidR="00D12409" w:rsidRDefault="00D12409" w:rsidP="00D12409">
      <w:r>
        <w:lastRenderedPageBreak/>
        <w:t xml:space="preserve">The New South Wales Department of Education suggests the </w:t>
      </w:r>
      <w:r w:rsidR="00821B95">
        <w:t>Australian Government</w:t>
      </w:r>
      <w:r>
        <w:t xml:space="preserve"> should use performance</w:t>
      </w:r>
      <w:r w:rsidR="00D208AD">
        <w:noBreakHyphen/>
      </w:r>
      <w:r>
        <w:t xml:space="preserve">based </w:t>
      </w:r>
      <w:r w:rsidR="00821B95">
        <w:t xml:space="preserve">funding </w:t>
      </w:r>
      <w:r>
        <w:t xml:space="preserve">to </w:t>
      </w:r>
      <w:r w:rsidR="00230FA1">
        <w:t xml:space="preserve">provide an incentive to </w:t>
      </w:r>
      <w:r>
        <w:t xml:space="preserve">higher education providers, or impose conditions, to ensure ITE graduates </w:t>
      </w:r>
      <w:r w:rsidR="005E73A3">
        <w:t>are being prepared</w:t>
      </w:r>
      <w:r>
        <w:t xml:space="preserve"> in specialisations and areas of need (New South Wales Department of Education submission). </w:t>
      </w:r>
    </w:p>
    <w:p w14:paraId="7BBB1AB6" w14:textId="2D5FFD6D" w:rsidR="00B73B49" w:rsidRDefault="00D12409" w:rsidP="00615E6E">
      <w:pPr>
        <w:rPr>
          <w:rFonts w:eastAsia="Times New Roman"/>
        </w:rPr>
      </w:pPr>
      <w:r>
        <w:rPr>
          <w:rFonts w:eastAsia="Times New Roman"/>
        </w:rPr>
        <w:t xml:space="preserve">Edith Cowan University </w:t>
      </w:r>
      <w:r w:rsidR="00362B28">
        <w:rPr>
          <w:rFonts w:eastAsia="Times New Roman"/>
        </w:rPr>
        <w:t>suggests that</w:t>
      </w:r>
      <w:r>
        <w:rPr>
          <w:rFonts w:eastAsia="Times New Roman"/>
        </w:rPr>
        <w:t xml:space="preserve"> designating ITE</w:t>
      </w:r>
      <w:r w:rsidR="00362B28">
        <w:rPr>
          <w:rFonts w:eastAsia="Times New Roman"/>
        </w:rPr>
        <w:t xml:space="preserve"> places</w:t>
      </w:r>
      <w:r w:rsidR="00F21EAE">
        <w:rPr>
          <w:rFonts w:eastAsia="Times New Roman"/>
        </w:rPr>
        <w:t xml:space="preserve"> (</w:t>
      </w:r>
      <w:r w:rsidR="00A87CD4">
        <w:rPr>
          <w:rFonts w:eastAsia="Times New Roman"/>
        </w:rPr>
        <w:t>similar to medicine)</w:t>
      </w:r>
      <w:r>
        <w:rPr>
          <w:rFonts w:eastAsia="Times New Roman"/>
        </w:rPr>
        <w:t xml:space="preserve"> under </w:t>
      </w:r>
      <w:r w:rsidR="008749C2">
        <w:rPr>
          <w:rFonts w:eastAsia="Times New Roman"/>
        </w:rPr>
        <w:t>the</w:t>
      </w:r>
      <w:r w:rsidR="008749C2" w:rsidRPr="00D65AE6">
        <w:rPr>
          <w:rFonts w:eastAsia="Times New Roman"/>
          <w:i/>
          <w:iCs/>
        </w:rPr>
        <w:t xml:space="preserve"> Higher Education Support Act </w:t>
      </w:r>
      <w:r w:rsidR="008749C2">
        <w:rPr>
          <w:rFonts w:eastAsia="Times New Roman"/>
        </w:rPr>
        <w:t>2003</w:t>
      </w:r>
      <w:r>
        <w:rPr>
          <w:rFonts w:eastAsia="Times New Roman"/>
        </w:rPr>
        <w:t xml:space="preserve"> </w:t>
      </w:r>
      <w:r w:rsidR="002802A7">
        <w:rPr>
          <w:rFonts w:eastAsia="Times New Roman"/>
        </w:rPr>
        <w:t>would ensure</w:t>
      </w:r>
      <w:r>
        <w:rPr>
          <w:rFonts w:eastAsia="Times New Roman"/>
        </w:rPr>
        <w:t xml:space="preserve"> certainty and control in the ongoing allocation of ITE CSPs for both undergraduate and postgraduate ITE courses (Edith Cowan University submission).</w:t>
      </w:r>
    </w:p>
    <w:p w14:paraId="4DA0243E" w14:textId="77777777" w:rsidR="00D12409" w:rsidRPr="00615E6E" w:rsidRDefault="00D12409" w:rsidP="00615E6E">
      <w:pPr>
        <w:pStyle w:val="Heading7"/>
      </w:pPr>
      <w:r w:rsidRPr="00615E6E">
        <w:rPr>
          <w:rStyle w:val="Heading7Char"/>
          <w:i/>
          <w:iCs/>
        </w:rPr>
        <w:t>Quality measures</w:t>
      </w:r>
    </w:p>
    <w:p w14:paraId="139B500B" w14:textId="580C8F2E" w:rsidR="00D12409" w:rsidRDefault="00D12409" w:rsidP="00615E6E">
      <w:pPr>
        <w:spacing w:after="0"/>
        <w:rPr>
          <w:rFonts w:eastAsia="Times New Roman"/>
        </w:rPr>
      </w:pPr>
      <w:r>
        <w:rPr>
          <w:rFonts w:eastAsia="Times New Roman"/>
        </w:rPr>
        <w:t>The established p</w:t>
      </w:r>
      <w:r w:rsidRPr="00A01484">
        <w:rPr>
          <w:rFonts w:eastAsia="Times New Roman"/>
        </w:rPr>
        <w:t>erformance</w:t>
      </w:r>
      <w:r w:rsidRPr="00A01484">
        <w:rPr>
          <w:rFonts w:ascii="Cambria Math" w:eastAsia="Times New Roman" w:hAnsi="Cambria Math" w:cs="Cambria Math"/>
        </w:rPr>
        <w:t>‑</w:t>
      </w:r>
      <w:r w:rsidRPr="00A01484">
        <w:rPr>
          <w:rFonts w:eastAsia="Times New Roman"/>
        </w:rPr>
        <w:t>based funding (PBF)</w:t>
      </w:r>
      <w:r>
        <w:rPr>
          <w:rFonts w:eastAsia="Times New Roman"/>
        </w:rPr>
        <w:t xml:space="preserve"> scheme provides a measure of quality based on data including:</w:t>
      </w:r>
    </w:p>
    <w:p w14:paraId="485A7097" w14:textId="77777777" w:rsidR="00D12409" w:rsidRDefault="00D12409" w:rsidP="00B80EA1">
      <w:pPr>
        <w:pStyle w:val="ListParagraph"/>
        <w:numPr>
          <w:ilvl w:val="0"/>
          <w:numId w:val="2"/>
        </w:numPr>
        <w:rPr>
          <w:rFonts w:eastAsia="Times New Roman"/>
        </w:rPr>
      </w:pPr>
      <w:r>
        <w:rPr>
          <w:rFonts w:eastAsia="Times New Roman"/>
        </w:rPr>
        <w:t>first year undergraduate attrition</w:t>
      </w:r>
    </w:p>
    <w:p w14:paraId="509E2C58" w14:textId="77777777" w:rsidR="00D12409" w:rsidRDefault="00D12409" w:rsidP="00B80EA1">
      <w:pPr>
        <w:pStyle w:val="ListParagraph"/>
        <w:numPr>
          <w:ilvl w:val="0"/>
          <w:numId w:val="2"/>
        </w:numPr>
        <w:rPr>
          <w:rFonts w:eastAsia="Times New Roman"/>
        </w:rPr>
      </w:pPr>
      <w:r>
        <w:rPr>
          <w:rFonts w:eastAsia="Times New Roman"/>
        </w:rPr>
        <w:t>student satisfaction with teaching quality for undergraduates</w:t>
      </w:r>
    </w:p>
    <w:p w14:paraId="5F17FD7D" w14:textId="77777777" w:rsidR="00D12409" w:rsidRDefault="00D12409" w:rsidP="00B80EA1">
      <w:pPr>
        <w:pStyle w:val="ListParagraph"/>
        <w:numPr>
          <w:ilvl w:val="0"/>
          <w:numId w:val="2"/>
        </w:numPr>
        <w:rPr>
          <w:rFonts w:eastAsia="Times New Roman"/>
        </w:rPr>
      </w:pPr>
      <w:r>
        <w:rPr>
          <w:rFonts w:eastAsia="Times New Roman"/>
        </w:rPr>
        <w:t>overall short-term employment for undergraduates</w:t>
      </w:r>
    </w:p>
    <w:p w14:paraId="3664963A" w14:textId="77777777" w:rsidR="00D12409" w:rsidRDefault="00D12409" w:rsidP="00B80EA1">
      <w:pPr>
        <w:pStyle w:val="ListParagraph"/>
        <w:numPr>
          <w:ilvl w:val="0"/>
          <w:numId w:val="2"/>
        </w:numPr>
        <w:rPr>
          <w:rFonts w:eastAsia="Times New Roman"/>
        </w:rPr>
      </w:pPr>
      <w:r>
        <w:rPr>
          <w:rFonts w:eastAsia="Times New Roman"/>
        </w:rPr>
        <w:t>equity participation.</w:t>
      </w:r>
    </w:p>
    <w:p w14:paraId="4BE4058A" w14:textId="2B5442E4" w:rsidR="00D12409" w:rsidRDefault="00D12409" w:rsidP="00D12409">
      <w:pPr>
        <w:rPr>
          <w:rFonts w:eastAsia="Times New Roman"/>
        </w:rPr>
      </w:pPr>
      <w:r w:rsidRPr="0995B48D">
        <w:rPr>
          <w:rFonts w:eastAsia="Times New Roman"/>
        </w:rPr>
        <w:t xml:space="preserve">The PBF is not specific to the quality of ITE programs. While more focused performance incentives </w:t>
      </w:r>
      <w:r w:rsidR="001E16FB">
        <w:rPr>
          <w:rFonts w:eastAsia="Times New Roman"/>
        </w:rPr>
        <w:t>would be</w:t>
      </w:r>
      <w:r w:rsidR="001E16FB" w:rsidRPr="0995B48D">
        <w:rPr>
          <w:rFonts w:eastAsia="Times New Roman"/>
        </w:rPr>
        <w:t xml:space="preserve"> </w:t>
      </w:r>
      <w:r w:rsidRPr="0995B48D">
        <w:rPr>
          <w:rFonts w:eastAsia="Times New Roman"/>
        </w:rPr>
        <w:t>needed to give assurance that teachers are ready for the classroom, the metric</w:t>
      </w:r>
      <w:r w:rsidR="6E734153" w:rsidRPr="0995B48D">
        <w:rPr>
          <w:rFonts w:eastAsia="Times New Roman"/>
        </w:rPr>
        <w:t>s</w:t>
      </w:r>
      <w:r w:rsidRPr="0995B48D">
        <w:rPr>
          <w:rFonts w:eastAsia="Times New Roman"/>
        </w:rPr>
        <w:t xml:space="preserve"> used in the PBF provide a base for considering how quality in ITE could be measured. </w:t>
      </w:r>
    </w:p>
    <w:p w14:paraId="05B54A24" w14:textId="2E895AD6" w:rsidR="00D12409" w:rsidRDefault="00D12409" w:rsidP="00D12409">
      <w:pPr>
        <w:rPr>
          <w:rFonts w:eastAsia="Times New Roman"/>
        </w:rPr>
      </w:pPr>
      <w:r>
        <w:t xml:space="preserve">As outlined in the Discussion Paper, data from the 2020 Graduate Outcomes Survey </w:t>
      </w:r>
      <w:r w:rsidR="00F017AA">
        <w:t xml:space="preserve">shows </w:t>
      </w:r>
      <w:r>
        <w:t xml:space="preserve">81 per cent of </w:t>
      </w:r>
      <w:r w:rsidR="00DD1E80">
        <w:t xml:space="preserve">initial </w:t>
      </w:r>
      <w:r>
        <w:t>teacher education graduates are in full-time employment four months after completion of their course, compared to 72 per cent for all study areas. Full</w:t>
      </w:r>
      <w:r w:rsidR="00166A32">
        <w:t>-</w:t>
      </w:r>
      <w:r>
        <w:t>time employment for ITE programs varies between a low of 58 per cent and a high of 99 per cent across higher education providers. Most</w:t>
      </w:r>
      <w:r w:rsidR="00DD1E80">
        <w:t xml:space="preserve"> initial</w:t>
      </w:r>
      <w:r>
        <w:t xml:space="preserve"> teacher education graduates who are in full-time employment are working full-time as education professionals (83 per cent).</w:t>
      </w:r>
    </w:p>
    <w:p w14:paraId="2620CEDB" w14:textId="49D9060F" w:rsidR="00F447BF" w:rsidRDefault="00D065E4" w:rsidP="00D12409">
      <w:r>
        <w:t xml:space="preserve">The </w:t>
      </w:r>
      <w:r w:rsidR="00433848">
        <w:t xml:space="preserve">Quality </w:t>
      </w:r>
      <w:r w:rsidR="009176A4">
        <w:t xml:space="preserve">Indicators for Learning and </w:t>
      </w:r>
      <w:r w:rsidR="006E30E6">
        <w:t xml:space="preserve">Teaching </w:t>
      </w:r>
      <w:r w:rsidR="004E67C8">
        <w:t xml:space="preserve">Student Experience Survey </w:t>
      </w:r>
      <w:r w:rsidR="00F447BF">
        <w:t>shows that</w:t>
      </w:r>
      <w:r w:rsidR="000A5043">
        <w:t xml:space="preserve"> </w:t>
      </w:r>
      <w:r w:rsidR="00D12409">
        <w:t xml:space="preserve">74 per cent of </w:t>
      </w:r>
      <w:r w:rsidR="000F7982">
        <w:t xml:space="preserve">ITE </w:t>
      </w:r>
      <w:r w:rsidR="00D12409">
        <w:t>students rated the quality of their entire educational experience positively in 2020, compared to 69 per cent for all study areas.</w:t>
      </w:r>
    </w:p>
    <w:p w14:paraId="16E9F3BD" w14:textId="4A052507" w:rsidR="00D12409" w:rsidRDefault="00D12409" w:rsidP="00D12409">
      <w:r>
        <w:t xml:space="preserve">The ITE results ranged across higher education providers from a high of 86 per cent to a low of 46 per cent. </w:t>
      </w:r>
      <w:r w:rsidR="006B3577">
        <w:t>S</w:t>
      </w:r>
      <w:r>
        <w:t>ix</w:t>
      </w:r>
      <w:r w:rsidR="00F129E9">
        <w:noBreakHyphen/>
      </w:r>
      <w:r>
        <w:t xml:space="preserve">year completion rates </w:t>
      </w:r>
      <w:r w:rsidR="00067839">
        <w:t xml:space="preserve">also </w:t>
      </w:r>
      <w:r>
        <w:t xml:space="preserve">vary across higher education providers, ranging from 34 to 73 per cent. </w:t>
      </w:r>
    </w:p>
    <w:p w14:paraId="698D100D" w14:textId="284775CE" w:rsidR="00826AD5" w:rsidRDefault="00714ECC" w:rsidP="00D12409">
      <w:r>
        <w:t xml:space="preserve">Despite </w:t>
      </w:r>
      <w:r w:rsidR="00884DBC">
        <w:t xml:space="preserve">this, the </w:t>
      </w:r>
      <w:r w:rsidR="000F7982">
        <w:t xml:space="preserve">Expert </w:t>
      </w:r>
      <w:r w:rsidR="00884DBC">
        <w:t xml:space="preserve">Panel consistently received feedback </w:t>
      </w:r>
      <w:r w:rsidR="001E4AC9">
        <w:t>that new graduates felt underprepared for the classroom environment.</w:t>
      </w:r>
      <w:r w:rsidR="00884DBC">
        <w:t xml:space="preserve"> </w:t>
      </w:r>
      <w:r w:rsidR="00D91224">
        <w:t>R</w:t>
      </w:r>
      <w:r w:rsidR="00826AD5" w:rsidRPr="006F0C8C">
        <w:t>esearch conducted by Dr</w:t>
      </w:r>
      <w:r w:rsidR="00DA2E50">
        <w:t> </w:t>
      </w:r>
      <w:r w:rsidR="00826AD5" w:rsidRPr="006F0C8C">
        <w:t>Jennifer Buckingham and Professor Linda Meeks (2019) found a lack of progress by higher education providers in teach</w:t>
      </w:r>
      <w:r w:rsidR="00D26E26">
        <w:t>ing evidence-based</w:t>
      </w:r>
      <w:r w:rsidR="00826AD5" w:rsidRPr="006F0C8C">
        <w:t xml:space="preserve"> reading </w:t>
      </w:r>
      <w:r w:rsidR="00D26E26">
        <w:t>practices</w:t>
      </w:r>
      <w:r w:rsidR="00D65AE6">
        <w:t xml:space="preserve"> </w:t>
      </w:r>
      <w:r w:rsidR="00D91224">
        <w:t xml:space="preserve">(see </w:t>
      </w:r>
      <w:r w:rsidR="00D91224" w:rsidRPr="00A37130">
        <w:t>Chapter 3</w:t>
      </w:r>
      <w:r w:rsidR="00D91224" w:rsidRPr="00526D8E">
        <w:t>).</w:t>
      </w:r>
    </w:p>
    <w:p w14:paraId="5F86FD20" w14:textId="77777777" w:rsidR="00D12409" w:rsidRDefault="00D12409" w:rsidP="00D12409">
      <w:pPr>
        <w:pStyle w:val="Heading3"/>
        <w:ind w:left="1021" w:hanging="1021"/>
      </w:pPr>
      <w:r>
        <w:t xml:space="preserve">Conclusions and Recommendations </w:t>
      </w:r>
    </w:p>
    <w:p w14:paraId="64982C17" w14:textId="2999F835" w:rsidR="00C61EB7" w:rsidRDefault="00C61EB7" w:rsidP="00D12409">
      <w:pPr>
        <w:rPr>
          <w:rFonts w:eastAsia="Times New Roman"/>
        </w:rPr>
      </w:pPr>
      <w:r>
        <w:rPr>
          <w:rFonts w:eastAsia="Times New Roman"/>
        </w:rPr>
        <w:t xml:space="preserve">As quality teaching is essential for education excellence and equity in student achievement, ITE is a national imperative to ensure a sustainable pipeline of quality entrants to the teaching profession. </w:t>
      </w:r>
      <w:r>
        <w:t>Variable completion rates amongst ITE courses risks the national supply of teachers. This is of concern when jurisdictions are reporting teacher shortages.</w:t>
      </w:r>
      <w:r>
        <w:rPr>
          <w:rFonts w:eastAsia="Times New Roman"/>
        </w:rPr>
        <w:t xml:space="preserve"> The Expert Panel believes ITE should be considered a national priority that is treated differently within the higher education funding system.</w:t>
      </w:r>
    </w:p>
    <w:p w14:paraId="58A99129" w14:textId="270B8324" w:rsidR="00D12409" w:rsidRDefault="00C479BD" w:rsidP="00D12409">
      <w:pPr>
        <w:rPr>
          <w:rFonts w:eastAsia="Times New Roman"/>
        </w:rPr>
      </w:pPr>
      <w:r>
        <w:rPr>
          <w:rFonts w:eastAsia="Times New Roman"/>
        </w:rPr>
        <w:t>L</w:t>
      </w:r>
      <w:r w:rsidR="00BD0050">
        <w:rPr>
          <w:rFonts w:eastAsia="Times New Roman"/>
        </w:rPr>
        <w:t xml:space="preserve">inking funding and quality ITE provision </w:t>
      </w:r>
      <w:r w:rsidR="00291020">
        <w:rPr>
          <w:rFonts w:eastAsia="Times New Roman"/>
        </w:rPr>
        <w:t>could</w:t>
      </w:r>
      <w:r w:rsidR="00BD0050">
        <w:rPr>
          <w:rFonts w:eastAsia="Times New Roman"/>
        </w:rPr>
        <w:t xml:space="preserve"> bring about</w:t>
      </w:r>
      <w:r w:rsidR="00507F9F">
        <w:rPr>
          <w:rFonts w:eastAsia="Times New Roman"/>
        </w:rPr>
        <w:t xml:space="preserve"> meaningful</w:t>
      </w:r>
      <w:r w:rsidR="00BD0050">
        <w:rPr>
          <w:rFonts w:eastAsia="Times New Roman"/>
        </w:rPr>
        <w:t xml:space="preserve"> change</w:t>
      </w:r>
      <w:r w:rsidR="00D12409" w:rsidRPr="00886F9B">
        <w:rPr>
          <w:rFonts w:eastAsia="Times New Roman"/>
        </w:rPr>
        <w:t xml:space="preserve">. The current ITE system, with the </w:t>
      </w:r>
      <w:r w:rsidR="00DD1E80">
        <w:rPr>
          <w:rFonts w:eastAsia="Times New Roman"/>
        </w:rPr>
        <w:t>Australian Government</w:t>
      </w:r>
      <w:r w:rsidR="00D12409" w:rsidRPr="00886F9B">
        <w:rPr>
          <w:rFonts w:eastAsia="Times New Roman"/>
        </w:rPr>
        <w:t xml:space="preserve"> being the primary funder of ITE, </w:t>
      </w:r>
      <w:r w:rsidR="00D12409" w:rsidRPr="00886F9B">
        <w:t>but states and territories having the legislative authority to accredit ITE courses</w:t>
      </w:r>
      <w:r w:rsidR="00AB2312">
        <w:t>,</w:t>
      </w:r>
      <w:r w:rsidR="00D12409" w:rsidRPr="00886F9B">
        <w:rPr>
          <w:rStyle w:val="CommentReference"/>
        </w:rPr>
        <w:t xml:space="preserve"> </w:t>
      </w:r>
      <w:r w:rsidR="00D12409" w:rsidRPr="00886F9B">
        <w:rPr>
          <w:rFonts w:eastAsia="Times New Roman"/>
        </w:rPr>
        <w:t xml:space="preserve">is limiting the ability to implement reform </w:t>
      </w:r>
      <w:r w:rsidR="00BE6CB4">
        <w:rPr>
          <w:rFonts w:eastAsia="Times New Roman"/>
        </w:rPr>
        <w:t>that encourages a</w:t>
      </w:r>
      <w:r w:rsidR="00B76189">
        <w:rPr>
          <w:rFonts w:eastAsia="Times New Roman"/>
        </w:rPr>
        <w:t xml:space="preserve"> focus on </w:t>
      </w:r>
      <w:r w:rsidR="00D12409" w:rsidRPr="00886F9B">
        <w:rPr>
          <w:rFonts w:eastAsia="Times New Roman"/>
        </w:rPr>
        <w:t xml:space="preserve">quality. A suite of changes is required to </w:t>
      </w:r>
      <w:r w:rsidR="00D12409">
        <w:rPr>
          <w:rFonts w:eastAsia="Times New Roman"/>
        </w:rPr>
        <w:t xml:space="preserve">address </w:t>
      </w:r>
      <w:r w:rsidR="00D12409" w:rsidRPr="00886F9B">
        <w:rPr>
          <w:rFonts w:eastAsia="Times New Roman"/>
        </w:rPr>
        <w:t xml:space="preserve">this </w:t>
      </w:r>
      <w:r w:rsidR="00424E96">
        <w:rPr>
          <w:rFonts w:eastAsia="Times New Roman"/>
        </w:rPr>
        <w:t>such</w:t>
      </w:r>
      <w:r w:rsidR="00D12409" w:rsidRPr="00886F9B">
        <w:rPr>
          <w:rFonts w:eastAsia="Times New Roman"/>
        </w:rPr>
        <w:t xml:space="preserve"> </w:t>
      </w:r>
      <w:r w:rsidR="00CD705A">
        <w:rPr>
          <w:rFonts w:eastAsia="Times New Roman"/>
        </w:rPr>
        <w:t>as</w:t>
      </w:r>
      <w:r w:rsidR="00D12409" w:rsidRPr="00886F9B">
        <w:rPr>
          <w:rFonts w:eastAsia="Times New Roman"/>
        </w:rPr>
        <w:t xml:space="preserve"> introducing measures to assess the quality of programs </w:t>
      </w:r>
      <w:r w:rsidR="00D12409" w:rsidRPr="00886F9B">
        <w:rPr>
          <w:rFonts w:eastAsia="Times New Roman"/>
        </w:rPr>
        <w:lastRenderedPageBreak/>
        <w:t xml:space="preserve">and </w:t>
      </w:r>
      <w:r w:rsidR="00355DF8">
        <w:rPr>
          <w:rFonts w:eastAsia="Times New Roman"/>
        </w:rPr>
        <w:t xml:space="preserve">to </w:t>
      </w:r>
      <w:r w:rsidR="00D12409" w:rsidRPr="00886F9B">
        <w:rPr>
          <w:rFonts w:eastAsia="Times New Roman"/>
        </w:rPr>
        <w:t>ensure the accreditation of ITE programs is rigorous and transparent.</w:t>
      </w:r>
      <w:r w:rsidR="00D730EA">
        <w:rPr>
          <w:rFonts w:eastAsia="Times New Roman"/>
        </w:rPr>
        <w:t xml:space="preserve"> </w:t>
      </w:r>
      <w:r w:rsidR="00D730EA">
        <w:t>The funding and regulatory system for higher education should support this quality agenda with appropriate incentives.</w:t>
      </w:r>
    </w:p>
    <w:p w14:paraId="60635989" w14:textId="4CDC6874" w:rsidR="0048762D" w:rsidRDefault="0048762D" w:rsidP="0048762D">
      <w:pPr>
        <w:pStyle w:val="Heading7"/>
      </w:pPr>
      <w:r>
        <w:t xml:space="preserve">Supporting excellence in </w:t>
      </w:r>
      <w:r w:rsidR="000F7982">
        <w:t>initial teacher education</w:t>
      </w:r>
      <w:r>
        <w:t xml:space="preserve"> delivery</w:t>
      </w:r>
    </w:p>
    <w:p w14:paraId="4F6F767B" w14:textId="2ECBABE6" w:rsidR="00953050" w:rsidRDefault="0048762D" w:rsidP="0048762D">
      <w:r>
        <w:t>To</w:t>
      </w:r>
      <w:r w:rsidDel="0048762D">
        <w:t xml:space="preserve"> </w:t>
      </w:r>
      <w:r>
        <w:t xml:space="preserve">support excellence and continuous improvement in ITE, the </w:t>
      </w:r>
      <w:r w:rsidR="00341D57">
        <w:t xml:space="preserve">Australian Government </w:t>
      </w:r>
      <w:r>
        <w:t xml:space="preserve">should establish an ITE Centre </w:t>
      </w:r>
      <w:r w:rsidR="00E47AE0">
        <w:t>for</w:t>
      </w:r>
      <w:r>
        <w:t xml:space="preserve"> Excellence to deliver high-quality</w:t>
      </w:r>
      <w:r w:rsidR="007F00D6">
        <w:t>,</w:t>
      </w:r>
      <w:r>
        <w:t xml:space="preserve"> evidence-based ITE and support high-quality research.</w:t>
      </w:r>
    </w:p>
    <w:p w14:paraId="5BCA2907" w14:textId="698D4A7D" w:rsidR="0048762D" w:rsidRDefault="00953050" w:rsidP="0048762D">
      <w:r>
        <w:t>The location of the Centre for Excellence should be determined following a competitive tender process.</w:t>
      </w:r>
      <w:r w:rsidR="0048762D">
        <w:t xml:space="preserve"> The Centre </w:t>
      </w:r>
      <w:r w:rsidR="00E47AE0">
        <w:t>for</w:t>
      </w:r>
      <w:r w:rsidR="0048762D">
        <w:t xml:space="preserve"> Excellence should deliver best-practice ITE programs, with a focus on evidence-based teaching methods, research and innovative delivery. </w:t>
      </w:r>
    </w:p>
    <w:p w14:paraId="7594D81E" w14:textId="6C6F8E96" w:rsidR="0048762D" w:rsidRDefault="0048762D" w:rsidP="00615E6E">
      <w:pPr>
        <w:spacing w:after="0"/>
      </w:pPr>
      <w:r>
        <w:t xml:space="preserve">The Centre </w:t>
      </w:r>
      <w:r w:rsidR="00E47AE0">
        <w:t>for</w:t>
      </w:r>
      <w:r>
        <w:t xml:space="preserve"> Excellence should undertake </w:t>
      </w:r>
      <w:r w:rsidRPr="00D1061F">
        <w:t>high</w:t>
      </w:r>
      <w:r>
        <w:t>-</w:t>
      </w:r>
      <w:r w:rsidRPr="00D1061F">
        <w:t>quality research and ensure a coordinated focused on key elements of teaching and teacher preparation.</w:t>
      </w:r>
      <w:r>
        <w:t xml:space="preserve"> Research</w:t>
      </w:r>
      <w:r w:rsidRPr="00C508AB">
        <w:t xml:space="preserve"> should prioritise</w:t>
      </w:r>
      <w:r w:rsidR="00F1376D">
        <w:t>, for example</w:t>
      </w:r>
      <w:r>
        <w:t>:</w:t>
      </w:r>
    </w:p>
    <w:p w14:paraId="6A33EA49" w14:textId="77777777" w:rsidR="0048762D" w:rsidRDefault="0048762D" w:rsidP="00F66D2A">
      <w:pPr>
        <w:pStyle w:val="ListParagraph"/>
        <w:numPr>
          <w:ilvl w:val="0"/>
          <w:numId w:val="17"/>
        </w:numPr>
      </w:pPr>
      <w:r>
        <w:t xml:space="preserve">developing an agreed </w:t>
      </w:r>
      <w:r w:rsidRPr="00C508AB">
        <w:t>definition of quality teaching</w:t>
      </w:r>
    </w:p>
    <w:p w14:paraId="64AFE83B" w14:textId="46941D45" w:rsidR="0048762D" w:rsidRDefault="0048762D" w:rsidP="00F66D2A">
      <w:pPr>
        <w:pStyle w:val="ListParagraph"/>
        <w:numPr>
          <w:ilvl w:val="0"/>
          <w:numId w:val="17"/>
        </w:numPr>
      </w:pPr>
      <w:r>
        <w:t>the impact of assessing</w:t>
      </w:r>
      <w:r w:rsidRPr="00C508AB">
        <w:t xml:space="preserve"> non-academic characteristics</w:t>
      </w:r>
      <w:r>
        <w:t xml:space="preserve"> for selection into ITE, including the impact on diversity of candidates</w:t>
      </w:r>
    </w:p>
    <w:p w14:paraId="3B33C392" w14:textId="3A27E1D6" w:rsidR="00F95F0F" w:rsidRDefault="00FE3A77" w:rsidP="00F66D2A">
      <w:pPr>
        <w:pStyle w:val="ListParagraph"/>
        <w:numPr>
          <w:ilvl w:val="0"/>
          <w:numId w:val="17"/>
        </w:numPr>
      </w:pPr>
      <w:r>
        <w:t>u</w:t>
      </w:r>
      <w:r w:rsidR="00F95F0F" w:rsidRPr="26C5919C">
        <w:t xml:space="preserve">ndertaking research that can be used to predict, for example, what selection characteristics are most likely to </w:t>
      </w:r>
      <w:r w:rsidR="00FD7A8F">
        <w:t>indicate</w:t>
      </w:r>
      <w:r w:rsidR="00FD7A8F" w:rsidRPr="26C5919C">
        <w:t xml:space="preserve"> </w:t>
      </w:r>
      <w:r w:rsidR="00F95F0F" w:rsidRPr="26C5919C">
        <w:t>a teacher’s ability to offer their students a year or more of growth in any classroom year; and similarly what characteristics of ITE programs best predict teaching success</w:t>
      </w:r>
    </w:p>
    <w:p w14:paraId="4B6D06FC" w14:textId="77777777" w:rsidR="0048762D" w:rsidRDefault="0048762D" w:rsidP="00F66D2A">
      <w:pPr>
        <w:pStyle w:val="ListParagraph"/>
        <w:numPr>
          <w:ilvl w:val="0"/>
          <w:numId w:val="17"/>
        </w:numPr>
      </w:pPr>
      <w:r>
        <w:t>longitudinal</w:t>
      </w:r>
      <w:r w:rsidRPr="00C508AB">
        <w:t xml:space="preserve"> research </w:t>
      </w:r>
      <w:r>
        <w:t>on the</w:t>
      </w:r>
      <w:r w:rsidRPr="00C508AB">
        <w:t xml:space="preserve"> impact of TPAs</w:t>
      </w:r>
      <w:r>
        <w:t>.</w:t>
      </w:r>
    </w:p>
    <w:p w14:paraId="30B1CC70" w14:textId="74DDAEA0" w:rsidR="0048762D" w:rsidRDefault="0048762D" w:rsidP="0048762D">
      <w:r>
        <w:t>Investing directly in high-quality, evidence-based programs will set a quality benchmark that other providers of ITE will need to respond to if they are to continue to attract students to their courses.</w:t>
      </w:r>
    </w:p>
    <w:p w14:paraId="7C3170A8" w14:textId="356AF53D" w:rsidR="00320C27" w:rsidRDefault="00320C27" w:rsidP="00320C27">
      <w:pPr>
        <w:pStyle w:val="Recommendation4"/>
        <w:spacing w:after="0"/>
        <w:rPr>
          <w:b/>
          <w:sz w:val="20"/>
        </w:rPr>
      </w:pPr>
      <w:r w:rsidRPr="00FE09FB">
        <w:rPr>
          <w:b/>
          <w:sz w:val="20"/>
        </w:rPr>
        <w:t>Recommendation 14: Establish a Centre for Excellence to teach, research and evaluate best teaching practice</w:t>
      </w:r>
    </w:p>
    <w:p w14:paraId="532531F4" w14:textId="28A85C65" w:rsidR="00AB2745" w:rsidRPr="00CD1FEB" w:rsidRDefault="00320C27" w:rsidP="00CD1FEB">
      <w:pPr>
        <w:pStyle w:val="Recommendation4"/>
        <w:rPr>
          <w:sz w:val="20"/>
        </w:rPr>
      </w:pPr>
      <w:r w:rsidRPr="00FE09FB">
        <w:rPr>
          <w:sz w:val="20"/>
        </w:rPr>
        <w:t xml:space="preserve">Establish a national Centre for Excellence in </w:t>
      </w:r>
      <w:r>
        <w:rPr>
          <w:sz w:val="20"/>
        </w:rPr>
        <w:t>initial teacher education (</w:t>
      </w:r>
      <w:r w:rsidRPr="00FE09FB">
        <w:rPr>
          <w:sz w:val="20"/>
        </w:rPr>
        <w:t>ITE</w:t>
      </w:r>
      <w:r>
        <w:rPr>
          <w:sz w:val="20"/>
        </w:rPr>
        <w:t>)</w:t>
      </w:r>
      <w:r w:rsidRPr="00FE09FB">
        <w:rPr>
          <w:sz w:val="20"/>
        </w:rPr>
        <w:t xml:space="preserve"> to showcase and evaluate best-practice, evidence-based ITE. The Centre for Excellence should also undertake specific research into the key selection, ITE program and early years teaching components that drive quality teaching and student achievement.</w:t>
      </w:r>
    </w:p>
    <w:p w14:paraId="7F9A434C" w14:textId="689ABFE5" w:rsidR="00D12409" w:rsidRDefault="00D12409" w:rsidP="00D12409">
      <w:pPr>
        <w:pStyle w:val="Heading7"/>
      </w:pPr>
      <w:r>
        <w:t>Develop a quality measure for</w:t>
      </w:r>
      <w:r w:rsidR="000F7982">
        <w:t xml:space="preserve"> initial teacher education</w:t>
      </w:r>
    </w:p>
    <w:p w14:paraId="5C14A801" w14:textId="77777777" w:rsidR="00D12409" w:rsidRDefault="00D12409" w:rsidP="00D12409">
      <w:pPr>
        <w:rPr>
          <w:rFonts w:eastAsia="Times New Roman"/>
        </w:rPr>
      </w:pPr>
      <w:r>
        <w:rPr>
          <w:rFonts w:eastAsia="Times New Roman"/>
        </w:rPr>
        <w:t xml:space="preserve">An advisory body should be established to support the development of a measurement of quality for the delivery of ITE. </w:t>
      </w:r>
    </w:p>
    <w:p w14:paraId="5224BEC4" w14:textId="6EB7FE2D" w:rsidR="00D12409" w:rsidRDefault="00D12409" w:rsidP="00C63890">
      <w:pPr>
        <w:rPr>
          <w:rFonts w:eastAsia="Times New Roman"/>
        </w:rPr>
      </w:pPr>
      <w:r>
        <w:rPr>
          <w:rFonts w:eastAsia="Times New Roman"/>
        </w:rPr>
        <w:t>There is merit in initially basing such a measure on the established PBF scheme, with the data outlined above, but using data specifically relating to ITE programs.</w:t>
      </w:r>
    </w:p>
    <w:p w14:paraId="66B758E4" w14:textId="778124EF" w:rsidR="00D12409" w:rsidRDefault="00D12409" w:rsidP="00615E6E">
      <w:pPr>
        <w:spacing w:after="0"/>
        <w:rPr>
          <w:rFonts w:eastAsia="Times New Roman"/>
        </w:rPr>
      </w:pPr>
      <w:r>
        <w:rPr>
          <w:rFonts w:eastAsia="Times New Roman"/>
        </w:rPr>
        <w:t>Over time, ITE-specific measures that could be considered in an enhanced quality measure include:</w:t>
      </w:r>
    </w:p>
    <w:p w14:paraId="22DA0E0D" w14:textId="3901AAE5" w:rsidR="00D12409" w:rsidRDefault="00EE2C8B" w:rsidP="00615E6E">
      <w:pPr>
        <w:pStyle w:val="ListParagraph"/>
        <w:numPr>
          <w:ilvl w:val="0"/>
          <w:numId w:val="4"/>
        </w:numPr>
        <w:rPr>
          <w:rFonts w:eastAsia="Times New Roman"/>
        </w:rPr>
      </w:pPr>
      <w:r>
        <w:rPr>
          <w:rFonts w:eastAsia="Times New Roman"/>
        </w:rPr>
        <w:t>l</w:t>
      </w:r>
      <w:r w:rsidR="00D12409">
        <w:rPr>
          <w:rFonts w:eastAsia="Times New Roman"/>
        </w:rPr>
        <w:t>onger-term employment outcomes</w:t>
      </w:r>
    </w:p>
    <w:p w14:paraId="2259DFCB" w14:textId="1005D847" w:rsidR="00D12409" w:rsidRDefault="00EE2C8B" w:rsidP="00615E6E">
      <w:pPr>
        <w:pStyle w:val="ListParagraph"/>
        <w:numPr>
          <w:ilvl w:val="0"/>
          <w:numId w:val="4"/>
        </w:numPr>
        <w:rPr>
          <w:rFonts w:eastAsia="Times New Roman"/>
        </w:rPr>
      </w:pPr>
      <w:r>
        <w:rPr>
          <w:rFonts w:eastAsia="Times New Roman"/>
        </w:rPr>
        <w:t>e</w:t>
      </w:r>
      <w:r w:rsidR="00D12409">
        <w:rPr>
          <w:rFonts w:eastAsia="Times New Roman"/>
        </w:rPr>
        <w:t>mployer assessments of graduate performance</w:t>
      </w:r>
    </w:p>
    <w:p w14:paraId="6CEB24C4" w14:textId="4B46E167" w:rsidR="00D12409" w:rsidRPr="008B4E83" w:rsidRDefault="00EE2C8B" w:rsidP="00F66D2A">
      <w:pPr>
        <w:pStyle w:val="ListParagraph"/>
        <w:numPr>
          <w:ilvl w:val="0"/>
          <w:numId w:val="26"/>
        </w:numPr>
        <w:spacing w:after="0"/>
        <w:ind w:left="360" w:firstLine="0"/>
        <w:textAlignment w:val="baseline"/>
        <w:rPr>
          <w:rFonts w:ascii="Calibri" w:eastAsia="Times New Roman" w:hAnsi="Calibri" w:cs="Calibri"/>
          <w:color w:val="000000"/>
          <w:u w:val="single"/>
          <w:lang w:eastAsia="en-AU"/>
        </w:rPr>
      </w:pPr>
      <w:r>
        <w:rPr>
          <w:rFonts w:eastAsia="Times New Roman"/>
        </w:rPr>
        <w:t>i</w:t>
      </w:r>
      <w:r w:rsidR="00D12409">
        <w:rPr>
          <w:rFonts w:eastAsia="Times New Roman"/>
        </w:rPr>
        <w:t>mplementation of changes to the Accreditation Standards and procedures such as reading instruction</w:t>
      </w:r>
    </w:p>
    <w:p w14:paraId="67D217E5" w14:textId="7941FC70" w:rsidR="003D73D5" w:rsidRPr="00BA5DF8" w:rsidRDefault="00EE2C8B" w:rsidP="00F66D2A">
      <w:pPr>
        <w:pStyle w:val="ListParagraph"/>
        <w:numPr>
          <w:ilvl w:val="0"/>
          <w:numId w:val="26"/>
        </w:numPr>
        <w:spacing w:after="0"/>
        <w:ind w:left="360" w:firstLine="0"/>
        <w:textAlignment w:val="baseline"/>
        <w:rPr>
          <w:rFonts w:ascii="Calibri" w:eastAsia="Times New Roman" w:hAnsi="Calibri" w:cs="Calibri"/>
          <w:color w:val="auto"/>
          <w:lang w:eastAsia="en-AU"/>
        </w:rPr>
      </w:pPr>
      <w:r>
        <w:rPr>
          <w:rFonts w:ascii="Calibri" w:eastAsia="Times New Roman" w:hAnsi="Calibri" w:cs="Calibri"/>
          <w:color w:val="auto"/>
          <w:lang w:eastAsia="en-AU"/>
        </w:rPr>
        <w:t>e</w:t>
      </w:r>
      <w:r w:rsidR="003D73D5" w:rsidRPr="00BA5DF8">
        <w:rPr>
          <w:rFonts w:ascii="Calibri" w:eastAsia="Times New Roman" w:hAnsi="Calibri" w:cs="Calibri"/>
          <w:color w:val="auto"/>
          <w:lang w:eastAsia="en-AU"/>
        </w:rPr>
        <w:t>vidence-based instruction in the teaching of reading and other areas </w:t>
      </w:r>
    </w:p>
    <w:p w14:paraId="01EB9CF6" w14:textId="737E5496" w:rsidR="003D73D5" w:rsidRPr="00BA5DF8" w:rsidRDefault="00EE2C8B" w:rsidP="00615E6E">
      <w:pPr>
        <w:pStyle w:val="ListParagraph"/>
        <w:numPr>
          <w:ilvl w:val="0"/>
          <w:numId w:val="1"/>
        </w:numPr>
        <w:spacing w:after="0"/>
        <w:ind w:left="714" w:hanging="357"/>
        <w:rPr>
          <w:rFonts w:ascii="Calibri" w:eastAsia="Times New Roman" w:hAnsi="Calibri" w:cs="Calibri"/>
          <w:color w:val="auto"/>
          <w:lang w:eastAsia="en-AU"/>
        </w:rPr>
      </w:pPr>
      <w:r>
        <w:rPr>
          <w:rFonts w:ascii="Calibri" w:eastAsia="Times New Roman" w:hAnsi="Calibri" w:cs="Calibri"/>
          <w:color w:val="auto"/>
          <w:lang w:eastAsia="en-AU"/>
        </w:rPr>
        <w:t>c</w:t>
      </w:r>
      <w:r w:rsidR="003D73D5" w:rsidRPr="00BA5DF8">
        <w:rPr>
          <w:rFonts w:ascii="Calibri" w:eastAsia="Times New Roman" w:hAnsi="Calibri" w:cs="Calibri"/>
          <w:color w:val="auto"/>
          <w:lang w:eastAsia="en-AU"/>
        </w:rPr>
        <w:t>andidate selection based on evidence of</w:t>
      </w:r>
      <w:r w:rsidR="003D73D5" w:rsidRPr="00BA5DF8">
        <w:rPr>
          <w:rFonts w:ascii="Times New Roman" w:eastAsia="Times New Roman" w:hAnsi="Times New Roman" w:cs="Times New Roman"/>
          <w:color w:val="auto"/>
          <w:lang w:eastAsia="en-AU"/>
        </w:rPr>
        <w:t> </w:t>
      </w:r>
      <w:r w:rsidR="003D73D5" w:rsidRPr="00BA5DF8">
        <w:rPr>
          <w:rFonts w:ascii="Calibri" w:eastAsia="Times New Roman" w:hAnsi="Calibri" w:cs="Calibri"/>
          <w:color w:val="auto"/>
          <w:lang w:eastAsia="en-AU"/>
        </w:rPr>
        <w:t>likely success as a teacher in improving students’ learning outcomes </w:t>
      </w:r>
    </w:p>
    <w:p w14:paraId="46F14B01" w14:textId="779D486A" w:rsidR="003D73D5" w:rsidRPr="00BA5DF8" w:rsidRDefault="003D73D5" w:rsidP="00F66D2A">
      <w:pPr>
        <w:numPr>
          <w:ilvl w:val="0"/>
          <w:numId w:val="26"/>
        </w:numPr>
        <w:spacing w:after="0"/>
        <w:ind w:left="360" w:firstLine="0"/>
        <w:textAlignment w:val="baseline"/>
        <w:rPr>
          <w:rFonts w:ascii="Calibri" w:eastAsia="Times New Roman" w:hAnsi="Calibri" w:cs="Calibri"/>
          <w:color w:val="auto"/>
          <w:lang w:eastAsia="en-AU"/>
        </w:rPr>
      </w:pPr>
      <w:r w:rsidRPr="00BA5DF8">
        <w:rPr>
          <w:rFonts w:ascii="Calibri" w:eastAsia="Times New Roman" w:hAnsi="Calibri" w:cs="Calibri"/>
          <w:color w:val="auto"/>
          <w:lang w:eastAsia="en-AU"/>
        </w:rPr>
        <w:t>length, depth, quality of ITE students’ experience in schools during their </w:t>
      </w:r>
      <w:r w:rsidR="000F04B6">
        <w:rPr>
          <w:rFonts w:ascii="Calibri" w:eastAsia="Times New Roman" w:hAnsi="Calibri" w:cs="Calibri"/>
          <w:color w:val="auto"/>
          <w:lang w:eastAsia="en-AU"/>
        </w:rPr>
        <w:t>program</w:t>
      </w:r>
      <w:r w:rsidRPr="00BA5DF8">
        <w:rPr>
          <w:rFonts w:ascii="Calibri" w:eastAsia="Times New Roman" w:hAnsi="Calibri" w:cs="Calibri"/>
          <w:color w:val="auto"/>
          <w:lang w:eastAsia="en-AU"/>
        </w:rPr>
        <w:t> </w:t>
      </w:r>
    </w:p>
    <w:p w14:paraId="31D743B4" w14:textId="77777777" w:rsidR="003D73D5" w:rsidRPr="00BA5DF8" w:rsidRDefault="003D73D5" w:rsidP="00F66D2A">
      <w:pPr>
        <w:numPr>
          <w:ilvl w:val="0"/>
          <w:numId w:val="26"/>
        </w:numPr>
        <w:spacing w:after="0"/>
        <w:ind w:left="360" w:firstLine="0"/>
        <w:textAlignment w:val="baseline"/>
        <w:rPr>
          <w:rFonts w:ascii="Calibri" w:eastAsia="Times New Roman" w:hAnsi="Calibri" w:cs="Calibri"/>
          <w:color w:val="auto"/>
          <w:lang w:eastAsia="en-AU"/>
        </w:rPr>
      </w:pPr>
      <w:r w:rsidRPr="00BA5DF8">
        <w:rPr>
          <w:rFonts w:ascii="Calibri" w:eastAsia="Times New Roman" w:hAnsi="Calibri" w:cs="Calibri"/>
          <w:color w:val="auto"/>
          <w:lang w:eastAsia="en-AU"/>
        </w:rPr>
        <w:t>quality and impact of school-provider partnerships </w:t>
      </w:r>
    </w:p>
    <w:p w14:paraId="2A4D0ECF" w14:textId="50800117" w:rsidR="003D73D5" w:rsidRPr="00BA5DF8" w:rsidRDefault="00EE2C8B" w:rsidP="00F66D2A">
      <w:pPr>
        <w:numPr>
          <w:ilvl w:val="0"/>
          <w:numId w:val="26"/>
        </w:numPr>
        <w:spacing w:after="0"/>
        <w:ind w:left="360" w:firstLine="0"/>
        <w:textAlignment w:val="baseline"/>
        <w:rPr>
          <w:rFonts w:ascii="Calibri" w:eastAsia="Times New Roman" w:hAnsi="Calibri" w:cs="Calibri"/>
          <w:color w:val="auto"/>
          <w:lang w:eastAsia="en-AU"/>
        </w:rPr>
      </w:pPr>
      <w:r>
        <w:rPr>
          <w:rFonts w:ascii="Calibri" w:eastAsia="Times New Roman" w:hAnsi="Calibri" w:cs="Calibri"/>
          <w:color w:val="auto"/>
          <w:lang w:eastAsia="en-AU"/>
        </w:rPr>
        <w:t>c</w:t>
      </w:r>
      <w:r w:rsidR="003D73D5" w:rsidRPr="00BA5DF8">
        <w:rPr>
          <w:rFonts w:ascii="Calibri" w:eastAsia="Times New Roman" w:hAnsi="Calibri" w:cs="Calibri"/>
          <w:color w:val="auto"/>
          <w:lang w:eastAsia="en-AU"/>
        </w:rPr>
        <w:t>urrency of ITE staff experience in schools </w:t>
      </w:r>
    </w:p>
    <w:p w14:paraId="693DDA70" w14:textId="7F5709D8" w:rsidR="003D73D5" w:rsidRPr="00BA5DF8" w:rsidRDefault="00EE2C8B" w:rsidP="00615E6E">
      <w:pPr>
        <w:pStyle w:val="ListParagraph"/>
        <w:numPr>
          <w:ilvl w:val="0"/>
          <w:numId w:val="1"/>
        </w:numPr>
        <w:spacing w:after="0"/>
        <w:ind w:left="714" w:hanging="357"/>
        <w:rPr>
          <w:rFonts w:ascii="Calibri" w:eastAsia="Times New Roman" w:hAnsi="Calibri" w:cs="Calibri"/>
          <w:color w:val="auto"/>
          <w:lang w:eastAsia="en-AU"/>
        </w:rPr>
      </w:pPr>
      <w:r>
        <w:rPr>
          <w:rFonts w:ascii="Calibri" w:eastAsia="Times New Roman" w:hAnsi="Calibri" w:cs="Calibri"/>
          <w:color w:val="auto"/>
          <w:lang w:eastAsia="en-AU"/>
        </w:rPr>
        <w:t>q</w:t>
      </w:r>
      <w:r w:rsidR="003D73D5" w:rsidRPr="00BA5DF8">
        <w:rPr>
          <w:rFonts w:ascii="Calibri" w:eastAsia="Times New Roman" w:hAnsi="Calibri" w:cs="Calibri"/>
          <w:color w:val="auto"/>
          <w:lang w:eastAsia="en-AU"/>
        </w:rPr>
        <w:t xml:space="preserve">uality of reach by </w:t>
      </w:r>
      <w:r w:rsidR="00A963BA">
        <w:rPr>
          <w:rFonts w:ascii="Calibri" w:eastAsia="Times New Roman" w:hAnsi="Calibri" w:cs="Calibri"/>
          <w:color w:val="auto"/>
          <w:lang w:eastAsia="en-AU"/>
        </w:rPr>
        <w:t>higher education</w:t>
      </w:r>
      <w:r w:rsidR="00A963BA" w:rsidRPr="00BA5DF8">
        <w:rPr>
          <w:rFonts w:ascii="Calibri" w:eastAsia="Times New Roman" w:hAnsi="Calibri" w:cs="Calibri"/>
          <w:color w:val="auto"/>
          <w:lang w:eastAsia="en-AU"/>
        </w:rPr>
        <w:t xml:space="preserve"> </w:t>
      </w:r>
      <w:r w:rsidR="003D73D5" w:rsidRPr="00BA5DF8">
        <w:rPr>
          <w:rFonts w:ascii="Calibri" w:eastAsia="Times New Roman" w:hAnsi="Calibri" w:cs="Calibri"/>
          <w:color w:val="auto"/>
          <w:lang w:eastAsia="en-AU"/>
        </w:rPr>
        <w:t>providers into graduates' early years</w:t>
      </w:r>
      <w:r w:rsidR="003D73D5" w:rsidRPr="00BA5DF8">
        <w:rPr>
          <w:rFonts w:ascii="Times New Roman" w:eastAsia="Times New Roman" w:hAnsi="Times New Roman" w:cs="Times New Roman"/>
          <w:color w:val="auto"/>
          <w:lang w:eastAsia="en-AU"/>
        </w:rPr>
        <w:t>’</w:t>
      </w:r>
      <w:r w:rsidR="003D73D5" w:rsidRPr="00BA5DF8">
        <w:rPr>
          <w:rFonts w:ascii="Calibri" w:eastAsia="Times New Roman" w:hAnsi="Calibri" w:cs="Calibri"/>
          <w:color w:val="auto"/>
          <w:lang w:eastAsia="en-AU"/>
        </w:rPr>
        <w:t> experience in the</w:t>
      </w:r>
      <w:r w:rsidR="00615E6E">
        <w:rPr>
          <w:rFonts w:ascii="Calibri" w:eastAsia="Times New Roman" w:hAnsi="Calibri" w:cs="Calibri"/>
          <w:color w:val="auto"/>
          <w:lang w:eastAsia="en-AU"/>
        </w:rPr>
        <w:t xml:space="preserve"> </w:t>
      </w:r>
      <w:r w:rsidR="003D73D5" w:rsidRPr="00BA5DF8">
        <w:rPr>
          <w:rFonts w:ascii="Calibri" w:eastAsia="Times New Roman" w:hAnsi="Calibri" w:cs="Calibri"/>
          <w:color w:val="auto"/>
          <w:lang w:eastAsia="en-AU"/>
        </w:rPr>
        <w:t>classroom </w:t>
      </w:r>
    </w:p>
    <w:p w14:paraId="04F1E038" w14:textId="52FB0D01" w:rsidR="003D73D5" w:rsidRPr="00BA5DF8" w:rsidRDefault="00EE2C8B" w:rsidP="00F66D2A">
      <w:pPr>
        <w:numPr>
          <w:ilvl w:val="0"/>
          <w:numId w:val="27"/>
        </w:numPr>
        <w:spacing w:after="0"/>
        <w:ind w:left="360" w:firstLine="0"/>
        <w:textAlignment w:val="baseline"/>
        <w:rPr>
          <w:rFonts w:ascii="Calibri" w:eastAsia="Times New Roman" w:hAnsi="Calibri" w:cs="Calibri"/>
          <w:color w:val="auto"/>
          <w:lang w:eastAsia="en-AU"/>
        </w:rPr>
      </w:pPr>
      <w:r>
        <w:rPr>
          <w:rFonts w:ascii="Calibri" w:eastAsia="Times New Roman" w:hAnsi="Calibri" w:cs="Calibri"/>
          <w:color w:val="auto"/>
          <w:lang w:eastAsia="en-AU"/>
        </w:rPr>
        <w:lastRenderedPageBreak/>
        <w:t>c</w:t>
      </w:r>
      <w:r w:rsidR="003D73D5" w:rsidRPr="00BA5DF8">
        <w:rPr>
          <w:rFonts w:ascii="Calibri" w:eastAsia="Times New Roman" w:hAnsi="Calibri" w:cs="Calibri"/>
          <w:color w:val="auto"/>
          <w:lang w:eastAsia="en-AU"/>
        </w:rPr>
        <w:t>ompletion rates </w:t>
      </w:r>
    </w:p>
    <w:p w14:paraId="13EE71FC" w14:textId="042EB576" w:rsidR="00D12409" w:rsidRDefault="00EE2C8B" w:rsidP="00615E6E">
      <w:pPr>
        <w:pStyle w:val="ListParagraph"/>
        <w:numPr>
          <w:ilvl w:val="0"/>
          <w:numId w:val="1"/>
        </w:numPr>
        <w:rPr>
          <w:rFonts w:eastAsia="Times New Roman"/>
        </w:rPr>
      </w:pPr>
      <w:r>
        <w:rPr>
          <w:rFonts w:eastAsia="Times New Roman"/>
        </w:rPr>
        <w:t>p</w:t>
      </w:r>
      <w:r w:rsidR="00D12409">
        <w:rPr>
          <w:rFonts w:eastAsia="Times New Roman"/>
        </w:rPr>
        <w:t>reparedness of graduates for teaching, including the views of school leaders</w:t>
      </w:r>
    </w:p>
    <w:p w14:paraId="3D9790E9" w14:textId="0EF41808" w:rsidR="00D12409" w:rsidRDefault="00EE2C8B" w:rsidP="00615E6E">
      <w:pPr>
        <w:pStyle w:val="ListParagraph"/>
        <w:numPr>
          <w:ilvl w:val="0"/>
          <w:numId w:val="1"/>
        </w:numPr>
        <w:rPr>
          <w:rFonts w:eastAsia="Times New Roman"/>
        </w:rPr>
      </w:pPr>
      <w:r>
        <w:rPr>
          <w:rFonts w:eastAsia="Times New Roman"/>
        </w:rPr>
        <w:t>p</w:t>
      </w:r>
      <w:r w:rsidR="00D12409">
        <w:rPr>
          <w:rFonts w:eastAsia="Times New Roman"/>
        </w:rPr>
        <w:t>erformance of providers in matching the supply of teachers to employment demand at learning level, subject level and state/regional level</w:t>
      </w:r>
    </w:p>
    <w:p w14:paraId="7A9F159B" w14:textId="454AAC2B" w:rsidR="00D12409" w:rsidRDefault="00EE2C8B" w:rsidP="00615E6E">
      <w:pPr>
        <w:pStyle w:val="ListParagraph"/>
        <w:numPr>
          <w:ilvl w:val="0"/>
          <w:numId w:val="1"/>
        </w:numPr>
        <w:rPr>
          <w:rFonts w:eastAsia="Times New Roman"/>
        </w:rPr>
      </w:pPr>
      <w:r>
        <w:rPr>
          <w:rFonts w:eastAsia="Times New Roman"/>
        </w:rPr>
        <w:t>d</w:t>
      </w:r>
      <w:r w:rsidR="00D12409">
        <w:rPr>
          <w:rFonts w:eastAsia="Times New Roman"/>
        </w:rPr>
        <w:t>iversity of graduates to meet the needs of the school population</w:t>
      </w:r>
    </w:p>
    <w:p w14:paraId="440CC8C7" w14:textId="5CBBCF7A" w:rsidR="00D12409" w:rsidRDefault="00EE2C8B" w:rsidP="00615E6E">
      <w:pPr>
        <w:pStyle w:val="ListParagraph"/>
        <w:numPr>
          <w:ilvl w:val="0"/>
          <w:numId w:val="1"/>
        </w:numPr>
        <w:rPr>
          <w:rFonts w:eastAsia="Times New Roman"/>
        </w:rPr>
      </w:pPr>
      <w:r>
        <w:rPr>
          <w:rFonts w:eastAsia="Times New Roman"/>
        </w:rPr>
        <w:t>p</w:t>
      </w:r>
      <w:r w:rsidR="00D12409">
        <w:rPr>
          <w:rFonts w:eastAsia="Times New Roman"/>
        </w:rPr>
        <w:t>ass rates and strengths and weaknesses of students on an endorsed and benchmarked TPA</w:t>
      </w:r>
    </w:p>
    <w:p w14:paraId="397F62AB" w14:textId="77777777" w:rsidR="00D12409" w:rsidRDefault="00D12409" w:rsidP="00615E6E">
      <w:pPr>
        <w:pStyle w:val="ListParagraph"/>
        <w:numPr>
          <w:ilvl w:val="0"/>
          <w:numId w:val="1"/>
        </w:numPr>
        <w:rPr>
          <w:rFonts w:eastAsia="Times New Roman"/>
        </w:rPr>
      </w:pPr>
      <w:r>
        <w:rPr>
          <w:rFonts w:eastAsia="Times New Roman"/>
        </w:rPr>
        <w:t>LANTITE performance.</w:t>
      </w:r>
    </w:p>
    <w:p w14:paraId="5B414319" w14:textId="178EA89C" w:rsidR="001627DB" w:rsidRPr="004E3BB9" w:rsidRDefault="004E3BB9" w:rsidP="004E3BB9">
      <w:pPr>
        <w:rPr>
          <w:rFonts w:eastAsia="Times New Roman"/>
        </w:rPr>
      </w:pPr>
      <w:r w:rsidRPr="00C52479">
        <w:rPr>
          <w:rFonts w:eastAsia="Times New Roman"/>
        </w:rPr>
        <w:t>The results of the measurement should be shared with higher education providers, allowing providers the opportunity to make changes to course</w:t>
      </w:r>
      <w:r w:rsidR="00332318">
        <w:rPr>
          <w:rFonts w:eastAsia="Times New Roman"/>
        </w:rPr>
        <w:t>s</w:t>
      </w:r>
      <w:r w:rsidRPr="00C52479">
        <w:rPr>
          <w:rFonts w:eastAsia="Times New Roman"/>
        </w:rPr>
        <w:t xml:space="preserve"> before </w:t>
      </w:r>
      <w:r w:rsidR="00332318">
        <w:rPr>
          <w:rFonts w:eastAsia="Times New Roman"/>
        </w:rPr>
        <w:t>changes to funding arrangements</w:t>
      </w:r>
      <w:r w:rsidRPr="00C52479">
        <w:rPr>
          <w:rFonts w:eastAsia="Times New Roman"/>
        </w:rPr>
        <w:t xml:space="preserve"> take effect. </w:t>
      </w:r>
    </w:p>
    <w:p w14:paraId="66F914EF" w14:textId="0BB96116" w:rsidR="00D12409" w:rsidRDefault="00740940" w:rsidP="00D12409">
      <w:pPr>
        <w:pStyle w:val="Heading7"/>
        <w:rPr>
          <w:rFonts w:eastAsia="Times New Roman"/>
        </w:rPr>
      </w:pPr>
      <w:r>
        <w:t xml:space="preserve">Performance </w:t>
      </w:r>
      <w:r w:rsidR="00D12409">
        <w:t>rating system</w:t>
      </w:r>
    </w:p>
    <w:p w14:paraId="7CA4F45B" w14:textId="0A488344" w:rsidR="00D12409" w:rsidRDefault="00D12409" w:rsidP="00C25AAA">
      <w:pPr>
        <w:spacing w:after="0"/>
        <w:rPr>
          <w:rFonts w:eastAsia="Times New Roman"/>
        </w:rPr>
      </w:pPr>
      <w:r>
        <w:rPr>
          <w:rFonts w:eastAsia="Times New Roman"/>
        </w:rPr>
        <w:t xml:space="preserve">Once the quality measure is established, </w:t>
      </w:r>
      <w:r w:rsidR="005603E1">
        <w:rPr>
          <w:rFonts w:eastAsia="Times New Roman"/>
        </w:rPr>
        <w:t xml:space="preserve">the Expert Panel </w:t>
      </w:r>
      <w:r>
        <w:rPr>
          <w:rFonts w:eastAsia="Times New Roman"/>
        </w:rPr>
        <w:t>recommend</w:t>
      </w:r>
      <w:r w:rsidR="005603E1">
        <w:rPr>
          <w:rFonts w:eastAsia="Times New Roman"/>
        </w:rPr>
        <w:t>s</w:t>
      </w:r>
      <w:r>
        <w:rPr>
          <w:rFonts w:eastAsia="Times New Roman"/>
        </w:rPr>
        <w:t xml:space="preserve"> that a national assessment of higher education performance is developed, informed by teaching outcomes of ITE</w:t>
      </w:r>
      <w:r w:rsidR="009F523D">
        <w:rPr>
          <w:rFonts w:eastAsia="Times New Roman"/>
        </w:rPr>
        <w:t>, to</w:t>
      </w:r>
      <w:r>
        <w:rPr>
          <w:rFonts w:eastAsia="Times New Roman"/>
        </w:rPr>
        <w:t>:</w:t>
      </w:r>
    </w:p>
    <w:p w14:paraId="5F3F3799" w14:textId="4E6D6E57" w:rsidR="00D12409" w:rsidRDefault="00D12409" w:rsidP="00B80EA1">
      <w:pPr>
        <w:pStyle w:val="ListParagraph"/>
        <w:numPr>
          <w:ilvl w:val="0"/>
          <w:numId w:val="3"/>
        </w:numPr>
        <w:rPr>
          <w:rFonts w:eastAsia="Times New Roman"/>
        </w:rPr>
      </w:pPr>
      <w:r w:rsidRPr="0995B48D">
        <w:rPr>
          <w:rFonts w:eastAsia="Times New Roman"/>
        </w:rPr>
        <w:t xml:space="preserve">drive behavioural change of </w:t>
      </w:r>
      <w:r w:rsidR="00446451">
        <w:rPr>
          <w:rFonts w:eastAsia="Times New Roman"/>
        </w:rPr>
        <w:t>higher education providers</w:t>
      </w:r>
      <w:r w:rsidR="00446451" w:rsidRPr="0995B48D">
        <w:rPr>
          <w:rFonts w:eastAsia="Times New Roman"/>
        </w:rPr>
        <w:t xml:space="preserve"> </w:t>
      </w:r>
      <w:r w:rsidRPr="0995B48D">
        <w:rPr>
          <w:rFonts w:eastAsia="Times New Roman"/>
        </w:rPr>
        <w:t>to cater for the teaching and learning needs of ITE students. This could stimulate lower performing universities to improve performance, while providing high</w:t>
      </w:r>
      <w:r w:rsidR="0035775E">
        <w:rPr>
          <w:rFonts w:eastAsia="Times New Roman"/>
        </w:rPr>
        <w:t xml:space="preserve"> </w:t>
      </w:r>
      <w:r w:rsidRPr="0995B48D">
        <w:rPr>
          <w:rFonts w:eastAsia="Times New Roman"/>
        </w:rPr>
        <w:t>performers with a well-deserved competitive edge</w:t>
      </w:r>
    </w:p>
    <w:p w14:paraId="1744E232" w14:textId="77777777" w:rsidR="00D12409" w:rsidRDefault="00D12409" w:rsidP="00B80EA1">
      <w:pPr>
        <w:pStyle w:val="ListParagraph"/>
        <w:numPr>
          <w:ilvl w:val="0"/>
          <w:numId w:val="3"/>
        </w:numPr>
        <w:rPr>
          <w:rFonts w:eastAsia="Times New Roman"/>
        </w:rPr>
      </w:pPr>
      <w:r>
        <w:rPr>
          <w:rFonts w:eastAsia="Times New Roman"/>
        </w:rPr>
        <w:t>help prospective students make more informed choices when selecting their preferred university or ITE course.</w:t>
      </w:r>
    </w:p>
    <w:p w14:paraId="48A64412" w14:textId="48200247" w:rsidR="00D12409" w:rsidRDefault="00D12409" w:rsidP="00D12409">
      <w:pPr>
        <w:rPr>
          <w:rFonts w:eastAsia="Times New Roman"/>
        </w:rPr>
      </w:pPr>
      <w:r>
        <w:rPr>
          <w:rFonts w:eastAsia="Times New Roman"/>
        </w:rPr>
        <w:t xml:space="preserve">Such a system would align with existing performance measures such as the PBF scheme. It would also address the lack of transparency in the current system where information on the quality of </w:t>
      </w:r>
      <w:r w:rsidR="0054141E">
        <w:rPr>
          <w:rFonts w:eastAsia="Times New Roman"/>
        </w:rPr>
        <w:t>ITE</w:t>
      </w:r>
      <w:r w:rsidR="007C51B7">
        <w:rPr>
          <w:rFonts w:eastAsia="Times New Roman"/>
        </w:rPr>
        <w:t xml:space="preserve"> </w:t>
      </w:r>
      <w:r>
        <w:rPr>
          <w:rFonts w:eastAsia="Times New Roman"/>
        </w:rPr>
        <w:t xml:space="preserve">programs is not </w:t>
      </w:r>
      <w:r w:rsidR="00A12C5B">
        <w:rPr>
          <w:rFonts w:eastAsia="Times New Roman"/>
        </w:rPr>
        <w:t>easily</w:t>
      </w:r>
      <w:r>
        <w:rPr>
          <w:rFonts w:eastAsia="Times New Roman"/>
        </w:rPr>
        <w:t xml:space="preserve"> publicly available. </w:t>
      </w:r>
    </w:p>
    <w:p w14:paraId="2D8E5150" w14:textId="402884D8" w:rsidR="00D12409" w:rsidRDefault="00CD74AD" w:rsidP="00D12409">
      <w:pPr>
        <w:pStyle w:val="Heading7"/>
      </w:pPr>
      <w:r>
        <w:t>Linking</w:t>
      </w:r>
      <w:r w:rsidR="00EE4A2B" w:rsidRPr="008B642C">
        <w:t xml:space="preserve"> funding </w:t>
      </w:r>
      <w:r>
        <w:t>and</w:t>
      </w:r>
      <w:r w:rsidR="00D12409">
        <w:t xml:space="preserve"> quality</w:t>
      </w:r>
    </w:p>
    <w:p w14:paraId="002EC743" w14:textId="73D7A640" w:rsidR="007A0D4E" w:rsidRDefault="00D12409" w:rsidP="005E31B7">
      <w:r w:rsidRPr="0995B48D">
        <w:rPr>
          <w:rFonts w:eastAsia="Times New Roman"/>
        </w:rPr>
        <w:t xml:space="preserve">Following the establishment of an ITE quality measure, </w:t>
      </w:r>
      <w:r w:rsidR="005603E1">
        <w:rPr>
          <w:rFonts w:eastAsia="Times New Roman"/>
        </w:rPr>
        <w:t>the Expert Panel</w:t>
      </w:r>
      <w:r w:rsidR="005603E1" w:rsidRPr="0995B48D">
        <w:rPr>
          <w:rFonts w:eastAsia="Times New Roman"/>
        </w:rPr>
        <w:t xml:space="preserve"> </w:t>
      </w:r>
      <w:r w:rsidRPr="0995B48D">
        <w:rPr>
          <w:rFonts w:eastAsia="Times New Roman"/>
        </w:rPr>
        <w:t>recommend</w:t>
      </w:r>
      <w:r w:rsidR="005603E1">
        <w:rPr>
          <w:rFonts w:eastAsia="Times New Roman"/>
        </w:rPr>
        <w:t>s</w:t>
      </w:r>
      <w:r w:rsidRPr="0995B48D">
        <w:rPr>
          <w:rFonts w:eastAsia="Times New Roman"/>
        </w:rPr>
        <w:t xml:space="preserve"> that the </w:t>
      </w:r>
      <w:r w:rsidR="005E31B7" w:rsidRPr="0995B48D">
        <w:rPr>
          <w:rFonts w:eastAsia="Times New Roman"/>
        </w:rPr>
        <w:t xml:space="preserve">performance measures that have been developed be used to inform the allocation of </w:t>
      </w:r>
      <w:r w:rsidR="00CD74AD">
        <w:rPr>
          <w:rFonts w:eastAsia="Times New Roman"/>
        </w:rPr>
        <w:t>funding</w:t>
      </w:r>
      <w:r w:rsidR="0002508A">
        <w:rPr>
          <w:rFonts w:eastAsia="Times New Roman"/>
        </w:rPr>
        <w:t xml:space="preserve"> for ITE</w:t>
      </w:r>
      <w:r w:rsidR="005E31B7" w:rsidRPr="0995B48D">
        <w:rPr>
          <w:rFonts w:eastAsia="Times New Roman"/>
        </w:rPr>
        <w:t>.</w:t>
      </w:r>
      <w:r w:rsidR="005E31B7">
        <w:t xml:space="preserve"> </w:t>
      </w:r>
    </w:p>
    <w:p w14:paraId="6996B579" w14:textId="640673BF" w:rsidR="007A0D4E" w:rsidRDefault="007A0D4E" w:rsidP="007A0D4E">
      <w:r>
        <w:t xml:space="preserve">The </w:t>
      </w:r>
      <w:r w:rsidR="00CB2C27">
        <w:t>Expert</w:t>
      </w:r>
      <w:r>
        <w:t xml:space="preserve"> Panel is of the view that the intention of the change should be that those providers with the highest quality rating be rewarded and given the opportunity to provide ITE to a greater number of students</w:t>
      </w:r>
      <w:r w:rsidR="00243A56">
        <w:t>,</w:t>
      </w:r>
      <w:r>
        <w:t xml:space="preserve"> with the outcome being a greater number of high-quality teachers entering the profession. A tender</w:t>
      </w:r>
      <w:r w:rsidR="00B01FBD">
        <w:t>-</w:t>
      </w:r>
      <w:r>
        <w:t xml:space="preserve">like process might eventually be one way </w:t>
      </w:r>
      <w:r w:rsidR="002C0F20">
        <w:t xml:space="preserve">through </w:t>
      </w:r>
      <w:r>
        <w:t>which to direct this additional support.</w:t>
      </w:r>
      <w:r w:rsidR="00C664A3">
        <w:t xml:space="preserve"> </w:t>
      </w:r>
      <w:r w:rsidR="00CD6262">
        <w:t xml:space="preserve">Higher education providers </w:t>
      </w:r>
      <w:r w:rsidR="00BC7F01">
        <w:t>with a high</w:t>
      </w:r>
      <w:r w:rsidR="00543689">
        <w:t>-</w:t>
      </w:r>
      <w:r w:rsidR="00BC7F01">
        <w:t xml:space="preserve">quality rating, </w:t>
      </w:r>
      <w:r w:rsidR="008367B9">
        <w:t>and</w:t>
      </w:r>
      <w:r w:rsidR="00CD6262">
        <w:t xml:space="preserve"> </w:t>
      </w:r>
      <w:r w:rsidR="002C0F20">
        <w:t xml:space="preserve">who </w:t>
      </w:r>
      <w:r w:rsidR="00CD6262">
        <w:t>meet specific program criteria</w:t>
      </w:r>
      <w:r w:rsidR="008367B9">
        <w:t>,</w:t>
      </w:r>
      <w:r w:rsidR="00CD6262">
        <w:t xml:space="preserve"> </w:t>
      </w:r>
      <w:r w:rsidR="00EF4FD2">
        <w:t xml:space="preserve">could </w:t>
      </w:r>
      <w:r w:rsidR="0000591D">
        <w:t xml:space="preserve">be given the opportunity to tender for </w:t>
      </w:r>
      <w:r w:rsidR="003E60C0">
        <w:t xml:space="preserve">funding </w:t>
      </w:r>
      <w:r w:rsidR="007875F6">
        <w:t>for</w:t>
      </w:r>
      <w:r w:rsidR="003E60C0">
        <w:t xml:space="preserve"> </w:t>
      </w:r>
      <w:r w:rsidR="008367B9">
        <w:t>additional</w:t>
      </w:r>
      <w:r w:rsidR="00062214">
        <w:t xml:space="preserve"> </w:t>
      </w:r>
      <w:r w:rsidR="003E60C0">
        <w:t>ITE places.</w:t>
      </w:r>
      <w:r w:rsidR="00400DE8">
        <w:t xml:space="preserve"> </w:t>
      </w:r>
    </w:p>
    <w:p w14:paraId="5ECE37C2" w14:textId="4FE479C8" w:rsidR="002537ED" w:rsidRDefault="00F90627" w:rsidP="003468EC">
      <w:r>
        <w:t xml:space="preserve">The </w:t>
      </w:r>
      <w:r w:rsidR="00027E70">
        <w:t>Expert</w:t>
      </w:r>
      <w:r>
        <w:t xml:space="preserve"> Panel considers that in implementing the recommendation</w:t>
      </w:r>
      <w:r w:rsidR="00641180">
        <w:t xml:space="preserve"> the </w:t>
      </w:r>
      <w:r w:rsidR="00DC102B">
        <w:t xml:space="preserve">Australian </w:t>
      </w:r>
      <w:r w:rsidR="00641180">
        <w:t xml:space="preserve">Government will need to give careful consideration </w:t>
      </w:r>
      <w:r w:rsidR="002537ED">
        <w:t xml:space="preserve">to </w:t>
      </w:r>
      <w:r w:rsidR="00DC102B">
        <w:t xml:space="preserve">its </w:t>
      </w:r>
      <w:r w:rsidR="00027E70">
        <w:t>impact on</w:t>
      </w:r>
      <w:r w:rsidR="002537ED">
        <w:t xml:space="preserve"> </w:t>
      </w:r>
      <w:r w:rsidR="003A257E">
        <w:t>regional</w:t>
      </w:r>
      <w:r w:rsidR="00A46CE6">
        <w:t xml:space="preserve"> and </w:t>
      </w:r>
      <w:r w:rsidR="003A257E">
        <w:t>rural</w:t>
      </w:r>
      <w:r w:rsidR="00A46CE6">
        <w:t xml:space="preserve"> </w:t>
      </w:r>
      <w:r w:rsidR="00027E70">
        <w:t>areas</w:t>
      </w:r>
      <w:r w:rsidR="00A46CE6">
        <w:t xml:space="preserve">. During consultations the </w:t>
      </w:r>
      <w:r w:rsidR="00793A82">
        <w:t xml:space="preserve">Expert </w:t>
      </w:r>
      <w:r w:rsidR="00A46CE6">
        <w:t xml:space="preserve">Panel has heard </w:t>
      </w:r>
      <w:r w:rsidR="00C97195">
        <w:t xml:space="preserve">from a number of stakeholders </w:t>
      </w:r>
      <w:r w:rsidR="00AC6502">
        <w:t>that the</w:t>
      </w:r>
      <w:r w:rsidR="00C97195">
        <w:t xml:space="preserve"> supply of t</w:t>
      </w:r>
      <w:r w:rsidR="00793A82">
        <w:t>eachers</w:t>
      </w:r>
      <w:r w:rsidR="00AC6502">
        <w:t xml:space="preserve"> in certain regional locations in Australia </w:t>
      </w:r>
      <w:r w:rsidR="00C97195">
        <w:t>relies</w:t>
      </w:r>
      <w:r w:rsidR="00AC6502">
        <w:t xml:space="preserve"> heavily on </w:t>
      </w:r>
      <w:r w:rsidR="00144E85">
        <w:t>one</w:t>
      </w:r>
      <w:r w:rsidR="00AC6502">
        <w:t xml:space="preserve"> higher education provider. </w:t>
      </w:r>
      <w:r w:rsidR="00C97195">
        <w:t>Such issues need to be taken into account</w:t>
      </w:r>
      <w:r w:rsidR="0069000C">
        <w:t xml:space="preserve"> in any system design. </w:t>
      </w:r>
    </w:p>
    <w:p w14:paraId="1CC8572D" w14:textId="77777777" w:rsidR="003A6E6E" w:rsidRDefault="003A6E6E">
      <w:pPr>
        <w:spacing w:after="0" w:line="240" w:lineRule="auto"/>
      </w:pPr>
      <w:r>
        <w:br w:type="page"/>
      </w:r>
    </w:p>
    <w:p w14:paraId="473B003D" w14:textId="375A42FB" w:rsidR="003A6E6E" w:rsidRDefault="003468EC" w:rsidP="003468EC">
      <w:r>
        <w:lastRenderedPageBreak/>
        <w:t xml:space="preserve">The </w:t>
      </w:r>
      <w:r w:rsidR="00FD14C0">
        <w:t xml:space="preserve">Expert </w:t>
      </w:r>
      <w:r>
        <w:t xml:space="preserve">Panel understands this would be a significant change for higher education providers. As set out above, there are a number of steps </w:t>
      </w:r>
      <w:r w:rsidR="000E38FE">
        <w:t>proposed</w:t>
      </w:r>
      <w:r w:rsidR="007A14D8">
        <w:t>, before</w:t>
      </w:r>
      <w:r>
        <w:t xml:space="preserve"> the </w:t>
      </w:r>
      <w:r w:rsidR="00FD14C0">
        <w:t xml:space="preserve">Australian </w:t>
      </w:r>
      <w:r>
        <w:t xml:space="preserve">Government </w:t>
      </w:r>
      <w:r w:rsidR="00934496">
        <w:t xml:space="preserve">would be </w:t>
      </w:r>
      <w:r>
        <w:t xml:space="preserve">in a position </w:t>
      </w:r>
      <w:r w:rsidR="00C42E17">
        <w:t>make funding decisions</w:t>
      </w:r>
      <w:r w:rsidRPr="008B642C">
        <w:t xml:space="preserve"> </w:t>
      </w:r>
      <w:r>
        <w:t>in this manner. However,</w:t>
      </w:r>
      <w:r w:rsidDel="00D40FDB">
        <w:t xml:space="preserve"> </w:t>
      </w:r>
      <w:r w:rsidR="00D40FDB">
        <w:t xml:space="preserve">the Expert Panel </w:t>
      </w:r>
      <w:r>
        <w:t>consider</w:t>
      </w:r>
      <w:r w:rsidR="00D40FDB">
        <w:t>s</w:t>
      </w:r>
      <w:r>
        <w:t xml:space="preserve"> linking higher education funding with ITE course quality </w:t>
      </w:r>
      <w:r w:rsidR="003B6A3F">
        <w:t>is</w:t>
      </w:r>
      <w:r>
        <w:t xml:space="preserve"> critical to ensuring teachers graduate classroom</w:t>
      </w:r>
      <w:r w:rsidR="007E0629">
        <w:t xml:space="preserve"> </w:t>
      </w:r>
      <w:r>
        <w:t>ready.</w:t>
      </w:r>
    </w:p>
    <w:p w14:paraId="2618923C" w14:textId="5DED4C35" w:rsidR="00320C27" w:rsidRPr="00FE09FB" w:rsidRDefault="00320C27" w:rsidP="00320C27">
      <w:pPr>
        <w:pStyle w:val="Recommendation4"/>
        <w:spacing w:after="0"/>
        <w:rPr>
          <w:b/>
          <w:sz w:val="20"/>
        </w:rPr>
      </w:pPr>
      <w:r w:rsidRPr="00FE09FB">
        <w:rPr>
          <w:b/>
          <w:sz w:val="20"/>
        </w:rPr>
        <w:t xml:space="preserve">Recommendation 15: Strengthen the link between performance and funding of </w:t>
      </w:r>
      <w:r>
        <w:rPr>
          <w:b/>
          <w:sz w:val="20"/>
        </w:rPr>
        <w:t>initial teacher education (</w:t>
      </w:r>
      <w:r w:rsidRPr="00FE09FB">
        <w:rPr>
          <w:b/>
          <w:sz w:val="20"/>
        </w:rPr>
        <w:t>ITE</w:t>
      </w:r>
      <w:r>
        <w:rPr>
          <w:b/>
          <w:sz w:val="20"/>
        </w:rPr>
        <w:t>)</w:t>
      </w:r>
    </w:p>
    <w:p w14:paraId="17AEDE6B" w14:textId="77777777" w:rsidR="00320C27" w:rsidRPr="00FE09FB" w:rsidRDefault="00320C27" w:rsidP="00F2253A">
      <w:pPr>
        <w:pStyle w:val="Recommendation4"/>
        <w:spacing w:after="0"/>
        <w:rPr>
          <w:sz w:val="20"/>
        </w:rPr>
      </w:pPr>
      <w:r w:rsidRPr="00FE09FB">
        <w:rPr>
          <w:sz w:val="20"/>
        </w:rPr>
        <w:t>Strengthen the link between performance and funding of ITE by:</w:t>
      </w:r>
    </w:p>
    <w:p w14:paraId="2A976173" w14:textId="59D063E1" w:rsidR="00320C27" w:rsidRPr="00FE09FB" w:rsidRDefault="00320C27" w:rsidP="00430815">
      <w:pPr>
        <w:pStyle w:val="Recommendation4"/>
        <w:numPr>
          <w:ilvl w:val="0"/>
          <w:numId w:val="53"/>
        </w:numPr>
        <w:spacing w:after="0"/>
        <w:rPr>
          <w:sz w:val="20"/>
        </w:rPr>
      </w:pPr>
      <w:r w:rsidRPr="00FE09FB">
        <w:rPr>
          <w:sz w:val="20"/>
        </w:rPr>
        <w:t>establishing a national body or expert group to advise on how ITE Commonwealth supported places (CSPs) should be allocated amongst higher education providers, based on quality and other relevant factors</w:t>
      </w:r>
    </w:p>
    <w:p w14:paraId="0C82438F" w14:textId="427BE71A" w:rsidR="00320C27" w:rsidRPr="00FE09FB" w:rsidRDefault="00320C27" w:rsidP="00430815">
      <w:pPr>
        <w:pStyle w:val="Recommendation4"/>
        <w:numPr>
          <w:ilvl w:val="0"/>
          <w:numId w:val="53"/>
        </w:numPr>
        <w:spacing w:after="0"/>
        <w:rPr>
          <w:sz w:val="20"/>
        </w:rPr>
      </w:pPr>
      <w:r w:rsidRPr="00FE09FB">
        <w:rPr>
          <w:sz w:val="20"/>
        </w:rPr>
        <w:t>developing a quality measure for ITE courses that enables performance-based assessments of ITE programs and assists in student choice</w:t>
      </w:r>
    </w:p>
    <w:p w14:paraId="7C668310" w14:textId="265DB227" w:rsidR="00320C27" w:rsidRPr="00FE09FB" w:rsidRDefault="00320C27" w:rsidP="00430815">
      <w:pPr>
        <w:pStyle w:val="Recommendation4"/>
        <w:numPr>
          <w:ilvl w:val="0"/>
          <w:numId w:val="53"/>
        </w:numPr>
        <w:spacing w:after="0"/>
        <w:rPr>
          <w:sz w:val="20"/>
        </w:rPr>
      </w:pPr>
      <w:r w:rsidRPr="00FE09FB">
        <w:rPr>
          <w:sz w:val="20"/>
        </w:rPr>
        <w:t>rewarding those providers who score highly on the measure</w:t>
      </w:r>
    </w:p>
    <w:p w14:paraId="03BEECE9" w14:textId="7388569C" w:rsidR="00320C27" w:rsidRPr="00FE09FB" w:rsidRDefault="00320C27" w:rsidP="00430815">
      <w:pPr>
        <w:pStyle w:val="Recommendation4"/>
        <w:numPr>
          <w:ilvl w:val="0"/>
          <w:numId w:val="53"/>
        </w:numPr>
        <w:spacing w:after="0"/>
        <w:rPr>
          <w:sz w:val="20"/>
        </w:rPr>
      </w:pPr>
      <w:r w:rsidRPr="00FE09FB">
        <w:rPr>
          <w:sz w:val="20"/>
        </w:rPr>
        <w:t xml:space="preserve">increasing transparency by making publicly available information on how each higher education provider scores on the quality measure </w:t>
      </w:r>
    </w:p>
    <w:p w14:paraId="4E934FEE" w14:textId="506F93B6" w:rsidR="00320C27" w:rsidRPr="00FE09FB" w:rsidRDefault="00320C27" w:rsidP="00430815">
      <w:pPr>
        <w:pStyle w:val="Recommendation4"/>
        <w:numPr>
          <w:ilvl w:val="0"/>
          <w:numId w:val="53"/>
        </w:numPr>
        <w:spacing w:after="0"/>
        <w:rPr>
          <w:sz w:val="20"/>
        </w:rPr>
      </w:pPr>
      <w:r w:rsidRPr="00FE09FB">
        <w:rPr>
          <w:sz w:val="20"/>
        </w:rPr>
        <w:t xml:space="preserve">allocating CSPs based on ITE performance </w:t>
      </w:r>
    </w:p>
    <w:p w14:paraId="046E3A87" w14:textId="63827C77" w:rsidR="00320C27" w:rsidRPr="00FE09FB" w:rsidRDefault="00320C27" w:rsidP="00430815">
      <w:pPr>
        <w:pStyle w:val="Recommendation4"/>
        <w:numPr>
          <w:ilvl w:val="0"/>
          <w:numId w:val="53"/>
        </w:numPr>
        <w:spacing w:after="0"/>
        <w:rPr>
          <w:sz w:val="20"/>
        </w:rPr>
      </w:pPr>
      <w:r w:rsidRPr="00FE09FB">
        <w:rPr>
          <w:sz w:val="20"/>
        </w:rPr>
        <w:t>tendering a portion of CSPs to higher education providers that meet specific program criteria.</w:t>
      </w:r>
    </w:p>
    <w:p w14:paraId="6C943828" w14:textId="77777777" w:rsidR="00C25AAA" w:rsidRDefault="00C25AAA">
      <w:pPr>
        <w:spacing w:after="0" w:line="240" w:lineRule="auto"/>
        <w:rPr>
          <w:b/>
          <w:bCs/>
          <w:color w:val="4472C4" w:themeColor="accent1"/>
          <w:sz w:val="28"/>
          <w:szCs w:val="32"/>
          <w14:textFill>
            <w14:solidFill>
              <w14:schemeClr w14:val="accent1">
                <w14:lumMod w14:val="75000"/>
                <w14:lumMod w14:val="50000"/>
                <w14:lumMod w14:val="75000"/>
                <w14:lumOff w14:val="25000"/>
              </w14:schemeClr>
            </w14:solidFill>
          </w14:textFill>
        </w:rPr>
      </w:pPr>
      <w:bookmarkStart w:id="48" w:name="_Toc86138410"/>
      <w:bookmarkStart w:id="49" w:name="_Toc86141314"/>
      <w:bookmarkEnd w:id="32"/>
      <w:r>
        <w:br w:type="page"/>
      </w:r>
    </w:p>
    <w:p w14:paraId="6008740F" w14:textId="1799E6F7" w:rsidR="009E5D98" w:rsidRDefault="009E5D98" w:rsidP="009E5D98">
      <w:pPr>
        <w:pStyle w:val="Heading1"/>
        <w:ind w:left="794" w:hanging="794"/>
        <w:rPr>
          <w:rFonts w:eastAsia="Times New Roman"/>
        </w:rPr>
      </w:pPr>
      <w:bookmarkStart w:id="50" w:name="_Toc91160205"/>
      <w:r>
        <w:lastRenderedPageBreak/>
        <w:t>Part C</w:t>
      </w:r>
      <w:r w:rsidR="00973E35">
        <w:t>:</w:t>
      </w:r>
      <w:r>
        <w:t xml:space="preserve"> Early Years of Teaching</w:t>
      </w:r>
      <w:bookmarkEnd w:id="48"/>
      <w:bookmarkEnd w:id="49"/>
      <w:bookmarkEnd w:id="50"/>
      <w:r>
        <w:t xml:space="preserve"> </w:t>
      </w:r>
    </w:p>
    <w:p w14:paraId="6AA773CD" w14:textId="08EC7438" w:rsidR="009E5D98" w:rsidRDefault="009E5D98" w:rsidP="009E5D98">
      <w:pPr>
        <w:rPr>
          <w:rFonts w:eastAsia="Times New Roman"/>
        </w:rPr>
      </w:pPr>
      <w:r>
        <w:rPr>
          <w:rFonts w:eastAsia="Times New Roman"/>
        </w:rPr>
        <w:t xml:space="preserve">The first few years in the classroom </w:t>
      </w:r>
      <w:r w:rsidR="009D5C83">
        <w:rPr>
          <w:rFonts w:eastAsia="Times New Roman"/>
        </w:rPr>
        <w:t xml:space="preserve">are </w:t>
      </w:r>
      <w:r>
        <w:rPr>
          <w:rFonts w:eastAsia="Times New Roman"/>
        </w:rPr>
        <w:t xml:space="preserve">just as critical as high-quality </w:t>
      </w:r>
      <w:r w:rsidR="00497ED0">
        <w:rPr>
          <w:rFonts w:eastAsia="Times New Roman"/>
        </w:rPr>
        <w:t>initial teacher education (</w:t>
      </w:r>
      <w:r>
        <w:rPr>
          <w:rFonts w:eastAsia="Times New Roman"/>
        </w:rPr>
        <w:t>ITE</w:t>
      </w:r>
      <w:r w:rsidR="00497ED0">
        <w:rPr>
          <w:rFonts w:eastAsia="Times New Roman"/>
        </w:rPr>
        <w:t>)</w:t>
      </w:r>
      <w:r>
        <w:rPr>
          <w:rFonts w:eastAsia="Times New Roman"/>
        </w:rPr>
        <w:t xml:space="preserve"> in preparing effective teachers. A</w:t>
      </w:r>
      <w:r w:rsidR="009D5C83">
        <w:rPr>
          <w:rFonts w:eastAsia="Times New Roman"/>
        </w:rPr>
        <w:t> </w:t>
      </w:r>
      <w:r>
        <w:rPr>
          <w:rFonts w:eastAsia="Times New Roman"/>
        </w:rPr>
        <w:t>graduate teacher</w:t>
      </w:r>
      <w:r w:rsidR="004032E5">
        <w:rPr>
          <w:rFonts w:eastAsia="Times New Roman"/>
        </w:rPr>
        <w:t>’</w:t>
      </w:r>
      <w:r>
        <w:rPr>
          <w:rFonts w:eastAsia="Times New Roman"/>
        </w:rPr>
        <w:t>s experience in their early career can influence whether they stay in the profession or leave to pursue other opportunities.</w:t>
      </w:r>
    </w:p>
    <w:p w14:paraId="480B918B" w14:textId="2E5721BF" w:rsidR="009E5D98" w:rsidRDefault="009E5D98" w:rsidP="009E5D98">
      <w:pPr>
        <w:rPr>
          <w:rFonts w:eastAsia="Times New Roman"/>
        </w:rPr>
      </w:pPr>
      <w:r>
        <w:rPr>
          <w:rFonts w:eastAsia="Times New Roman"/>
        </w:rPr>
        <w:t xml:space="preserve">Supporting teachers through ITE and the early years of their career requires high levels of engagement from teachers, school leaders and school communities. There are many experienced and passionate teachers who commit significant time and resources to mentoring new entrants to the profession. These teachers, however, also need to be supported so that they in turn can provide skilled and effective mentoring. Higher education providers can also play a role through partnerships </w:t>
      </w:r>
      <w:r w:rsidR="00482DA5">
        <w:rPr>
          <w:rFonts w:eastAsia="Times New Roman"/>
        </w:rPr>
        <w:t>with schools</w:t>
      </w:r>
      <w:r>
        <w:rPr>
          <w:rFonts w:eastAsia="Times New Roman"/>
        </w:rPr>
        <w:t xml:space="preserve"> and providing professional learning.</w:t>
      </w:r>
    </w:p>
    <w:p w14:paraId="5F0BBCD2" w14:textId="0CA4EE50" w:rsidR="009E5D98" w:rsidRDefault="009E5D98" w:rsidP="009E5D98">
      <w:pPr>
        <w:rPr>
          <w:rFonts w:eastAsia="Times New Roman"/>
        </w:rPr>
      </w:pPr>
      <w:r>
        <w:rPr>
          <w:rFonts w:eastAsia="Times New Roman"/>
        </w:rPr>
        <w:t xml:space="preserve">ITE also plays a critical role in meeting the </w:t>
      </w:r>
      <w:r w:rsidR="00D265C7">
        <w:rPr>
          <w:rFonts w:eastAsia="Times New Roman"/>
        </w:rPr>
        <w:t xml:space="preserve">workforce </w:t>
      </w:r>
      <w:r>
        <w:rPr>
          <w:rFonts w:eastAsia="Times New Roman"/>
        </w:rPr>
        <w:t xml:space="preserve">requirements of Australia’s schooling systems. </w:t>
      </w:r>
      <w:r w:rsidRPr="006A57CB">
        <w:t xml:space="preserve">Robust and accessible data and modelling are </w:t>
      </w:r>
      <w:r>
        <w:t>needed</w:t>
      </w:r>
      <w:r w:rsidRPr="006A57CB">
        <w:t xml:space="preserve"> to understand the challenges facing the teaching profession</w:t>
      </w:r>
      <w:r>
        <w:t xml:space="preserve"> and to facilitate conversations between employers and higher education providers about future supply</w:t>
      </w:r>
      <w:r w:rsidRPr="006A57CB">
        <w:t xml:space="preserve">. </w:t>
      </w:r>
      <w:r>
        <w:rPr>
          <w:rFonts w:eastAsia="Times New Roman"/>
        </w:rPr>
        <w:t>Better workforce planning to project future needs would provide jurisdictions and schools with the information they need to work with higher education providers to ensure their workforce needs are met.</w:t>
      </w:r>
    </w:p>
    <w:p w14:paraId="2C57B5E5" w14:textId="300B7BB8" w:rsidR="009E5D98" w:rsidRDefault="009E5D98" w:rsidP="009E5D98">
      <w:pPr>
        <w:rPr>
          <w:rFonts w:eastAsia="Times New Roman"/>
        </w:rPr>
      </w:pPr>
      <w:r>
        <w:rPr>
          <w:rFonts w:eastAsia="Times New Roman"/>
        </w:rPr>
        <w:t xml:space="preserve">While there are a number of broader issues </w:t>
      </w:r>
      <w:r w:rsidR="00E27CB7">
        <w:rPr>
          <w:rFonts w:eastAsia="Times New Roman"/>
        </w:rPr>
        <w:t xml:space="preserve">affecting </w:t>
      </w:r>
      <w:r>
        <w:rPr>
          <w:rFonts w:eastAsia="Times New Roman"/>
        </w:rPr>
        <w:t xml:space="preserve">the teaching workforce that require attention, </w:t>
      </w:r>
      <w:r w:rsidR="003D1D9C">
        <w:rPr>
          <w:rFonts w:eastAsia="Times New Roman"/>
        </w:rPr>
        <w:t>supporting early career teachers and understanding the teacher workforce</w:t>
      </w:r>
      <w:r>
        <w:rPr>
          <w:rFonts w:eastAsia="Times New Roman"/>
        </w:rPr>
        <w:t xml:space="preserve"> are particularly relevant in </w:t>
      </w:r>
      <w:r w:rsidR="00551F2B">
        <w:rPr>
          <w:rFonts w:eastAsia="Times New Roman"/>
        </w:rPr>
        <w:t>the context of ITE and this Review</w:t>
      </w:r>
      <w:r>
        <w:rPr>
          <w:rFonts w:eastAsia="Times New Roman"/>
        </w:rPr>
        <w:t>.</w:t>
      </w:r>
    </w:p>
    <w:p w14:paraId="246B8891" w14:textId="77777777" w:rsidR="00B014EC" w:rsidRDefault="00B014EC">
      <w:pPr>
        <w:spacing w:after="0" w:line="240" w:lineRule="auto"/>
        <w:rPr>
          <w:bCs/>
          <w:color w:val="2F5496" w:themeColor="accent1" w:themeShade="BF"/>
          <w:sz w:val="24"/>
          <w:szCs w:val="24"/>
        </w:rPr>
      </w:pPr>
      <w:bookmarkStart w:id="51" w:name="_Toc86138411"/>
      <w:bookmarkStart w:id="52" w:name="_Toc86141315"/>
      <w:r>
        <w:br w:type="page"/>
      </w:r>
    </w:p>
    <w:p w14:paraId="0C771F11" w14:textId="47FF339A" w:rsidR="009E5D98" w:rsidRDefault="009E5D98" w:rsidP="009E5D98">
      <w:pPr>
        <w:pStyle w:val="Heading2"/>
        <w:ind w:left="794" w:hanging="794"/>
      </w:pPr>
      <w:bookmarkStart w:id="53" w:name="_Toc91160206"/>
      <w:r>
        <w:lastRenderedPageBreak/>
        <w:t xml:space="preserve">Chapter 7: </w:t>
      </w:r>
      <w:r w:rsidRPr="005976A9">
        <w:t>Supporting Early Career Teachers, Teachers and Schools Leaders</w:t>
      </w:r>
      <w:bookmarkEnd w:id="51"/>
      <w:bookmarkEnd w:id="52"/>
      <w:bookmarkEnd w:id="53"/>
      <w:r w:rsidR="003B5B95">
        <w:t xml:space="preserve"> </w:t>
      </w:r>
    </w:p>
    <w:p w14:paraId="798D7493" w14:textId="6C4D0514" w:rsidR="00082C82" w:rsidRPr="00577034" w:rsidRDefault="00082C82" w:rsidP="00082C82">
      <w:pPr>
        <w:pStyle w:val="Keypoints"/>
      </w:pPr>
      <w:r>
        <w:t>Key points</w:t>
      </w:r>
    </w:p>
    <w:p w14:paraId="4733831E" w14:textId="12B141B0" w:rsidR="008B44EB" w:rsidRDefault="00690B23" w:rsidP="00F66D2A">
      <w:pPr>
        <w:pStyle w:val="Keypoints"/>
        <w:numPr>
          <w:ilvl w:val="0"/>
          <w:numId w:val="22"/>
        </w:numPr>
        <w:rPr>
          <w:b w:val="0"/>
        </w:rPr>
      </w:pPr>
      <w:r w:rsidRPr="00A83F0D">
        <w:rPr>
          <w:b w:val="0"/>
        </w:rPr>
        <w:t>Induction is critical</w:t>
      </w:r>
      <w:r w:rsidR="00424735">
        <w:rPr>
          <w:b w:val="0"/>
          <w:bCs/>
        </w:rPr>
        <w:t xml:space="preserve"> but varies considerably</w:t>
      </w:r>
      <w:r w:rsidR="00D62997">
        <w:rPr>
          <w:b w:val="0"/>
          <w:bCs/>
        </w:rPr>
        <w:t xml:space="preserve">. </w:t>
      </w:r>
      <w:r w:rsidR="00D62997" w:rsidRPr="00A83F0D">
        <w:rPr>
          <w:b w:val="0"/>
        </w:rPr>
        <w:t>Supporting teachers well in their first few years of teaching may lead to higher retention rates</w:t>
      </w:r>
      <w:r w:rsidR="00D62997">
        <w:rPr>
          <w:b w:val="0"/>
          <w:bCs/>
        </w:rPr>
        <w:t>.</w:t>
      </w:r>
    </w:p>
    <w:p w14:paraId="0B288F9F" w14:textId="1C37B911" w:rsidR="00424735" w:rsidRDefault="00EB3C89" w:rsidP="00F66D2A">
      <w:pPr>
        <w:pStyle w:val="Keypoints"/>
        <w:numPr>
          <w:ilvl w:val="0"/>
          <w:numId w:val="22"/>
        </w:numPr>
        <w:rPr>
          <w:b w:val="0"/>
        </w:rPr>
      </w:pPr>
      <w:r w:rsidRPr="00A83F0D" w:rsidDel="00892A3C">
        <w:rPr>
          <w:b w:val="0"/>
        </w:rPr>
        <w:t xml:space="preserve">Mentoring is a key element of early career teacher support. </w:t>
      </w:r>
      <w:r>
        <w:rPr>
          <w:b w:val="0"/>
          <w:bCs/>
        </w:rPr>
        <w:t>T</w:t>
      </w:r>
      <w:r w:rsidRPr="00A83F0D" w:rsidDel="00892A3C">
        <w:rPr>
          <w:b w:val="0"/>
        </w:rPr>
        <w:t>he role of mentors should be valued</w:t>
      </w:r>
      <w:r w:rsidR="00173FAA">
        <w:rPr>
          <w:b w:val="0"/>
          <w:bCs/>
        </w:rPr>
        <w:t xml:space="preserve"> and struct</w:t>
      </w:r>
      <w:r w:rsidR="006E1C3F">
        <w:rPr>
          <w:b w:val="0"/>
          <w:bCs/>
        </w:rPr>
        <w:t>ured as part of the core business of a teacher</w:t>
      </w:r>
      <w:r w:rsidR="00D62997">
        <w:rPr>
          <w:b w:val="0"/>
          <w:bCs/>
        </w:rPr>
        <w:t>.</w:t>
      </w:r>
    </w:p>
    <w:p w14:paraId="59B6BB6E" w14:textId="6B0B2C96" w:rsidR="00653FBD" w:rsidRDefault="00653FBD" w:rsidP="00F66D2A">
      <w:pPr>
        <w:pStyle w:val="Keypoints"/>
        <w:numPr>
          <w:ilvl w:val="0"/>
          <w:numId w:val="22"/>
        </w:numPr>
        <w:rPr>
          <w:b w:val="0"/>
          <w:bCs/>
        </w:rPr>
      </w:pPr>
      <w:r>
        <w:rPr>
          <w:b w:val="0"/>
          <w:bCs/>
        </w:rPr>
        <w:t>T</w:t>
      </w:r>
      <w:r w:rsidRPr="00A83F0D">
        <w:rPr>
          <w:b w:val="0"/>
        </w:rPr>
        <w:t xml:space="preserve">here is potential for </w:t>
      </w:r>
      <w:r w:rsidR="00747FDA">
        <w:rPr>
          <w:b w:val="0"/>
        </w:rPr>
        <w:t>Highly Accomplished and Lead Teacher</w:t>
      </w:r>
      <w:r w:rsidRPr="00A83F0D">
        <w:rPr>
          <w:b w:val="0"/>
        </w:rPr>
        <w:t xml:space="preserve"> certified teachers to play a role in supporting </w:t>
      </w:r>
      <w:r w:rsidR="00EB48F1">
        <w:rPr>
          <w:b w:val="0"/>
        </w:rPr>
        <w:t xml:space="preserve">initial teacher education students </w:t>
      </w:r>
      <w:r w:rsidRPr="00A83F0D">
        <w:rPr>
          <w:b w:val="0"/>
        </w:rPr>
        <w:t xml:space="preserve">and early career teachers. </w:t>
      </w:r>
    </w:p>
    <w:p w14:paraId="5F3282FE" w14:textId="0CE75391" w:rsidR="00653FBD" w:rsidRPr="00AF7030" w:rsidRDefault="00F5652A" w:rsidP="00F66D2A">
      <w:pPr>
        <w:pStyle w:val="Keypoints"/>
        <w:numPr>
          <w:ilvl w:val="0"/>
          <w:numId w:val="22"/>
        </w:numPr>
        <w:rPr>
          <w:b w:val="0"/>
          <w:bCs/>
        </w:rPr>
      </w:pPr>
      <w:r>
        <w:rPr>
          <w:b w:val="0"/>
        </w:rPr>
        <w:t>Aboriginal and Torres Strait</w:t>
      </w:r>
      <w:r w:rsidR="00DE0DC9">
        <w:rPr>
          <w:b w:val="0"/>
        </w:rPr>
        <w:t xml:space="preserve"> Islander</w:t>
      </w:r>
      <w:r w:rsidR="000C16D9" w:rsidRPr="00A83F0D">
        <w:rPr>
          <w:b w:val="0"/>
        </w:rPr>
        <w:t xml:space="preserve"> </w:t>
      </w:r>
      <w:r w:rsidR="00F9194F">
        <w:rPr>
          <w:b w:val="0"/>
        </w:rPr>
        <w:t>community educators</w:t>
      </w:r>
      <w:r w:rsidR="000C16D9" w:rsidRPr="00A83F0D">
        <w:rPr>
          <w:b w:val="0"/>
        </w:rPr>
        <w:t xml:space="preserve"> </w:t>
      </w:r>
      <w:r w:rsidR="000C16D9" w:rsidRPr="00A83F0D">
        <w:rPr>
          <w:rFonts w:cstheme="minorHAnsi"/>
          <w:b w:val="0"/>
        </w:rPr>
        <w:t>play an integral leadership role in schools</w:t>
      </w:r>
      <w:r w:rsidR="000C16D9">
        <w:rPr>
          <w:rFonts w:cstheme="minorHAnsi"/>
          <w:b w:val="0"/>
          <w:bCs/>
        </w:rPr>
        <w:t xml:space="preserve"> and their role should be </w:t>
      </w:r>
      <w:r w:rsidR="00F23A9F">
        <w:rPr>
          <w:rFonts w:cstheme="minorHAnsi"/>
          <w:b w:val="0"/>
          <w:bCs/>
        </w:rPr>
        <w:t xml:space="preserve">better </w:t>
      </w:r>
      <w:r w:rsidR="00AF7030">
        <w:rPr>
          <w:rFonts w:cstheme="minorHAnsi"/>
          <w:b w:val="0"/>
          <w:bCs/>
        </w:rPr>
        <w:t>supported</w:t>
      </w:r>
      <w:r w:rsidR="00F23A9F">
        <w:rPr>
          <w:rFonts w:cstheme="minorHAnsi"/>
          <w:b w:val="0"/>
          <w:bCs/>
        </w:rPr>
        <w:t xml:space="preserve"> and recognised.</w:t>
      </w:r>
    </w:p>
    <w:p w14:paraId="14A224D2" w14:textId="30FF3DA8" w:rsidR="00AF7030" w:rsidRPr="000901FB" w:rsidRDefault="00C70A3B" w:rsidP="00F66D2A">
      <w:pPr>
        <w:pStyle w:val="Keypoints"/>
        <w:numPr>
          <w:ilvl w:val="0"/>
          <w:numId w:val="22"/>
        </w:numPr>
      </w:pPr>
      <w:r>
        <w:rPr>
          <w:b w:val="0"/>
          <w:bCs/>
        </w:rPr>
        <w:t>B</w:t>
      </w:r>
      <w:r w:rsidRPr="00A83F0D">
        <w:rPr>
          <w:b w:val="0"/>
        </w:rPr>
        <w:t xml:space="preserve">etter use of micro-credentials and short courses </w:t>
      </w:r>
      <w:r w:rsidR="000A13C3">
        <w:rPr>
          <w:b w:val="0"/>
          <w:bCs/>
        </w:rPr>
        <w:t>could support</w:t>
      </w:r>
      <w:r w:rsidRPr="00A83F0D">
        <w:rPr>
          <w:b w:val="0"/>
        </w:rPr>
        <w:t xml:space="preserve"> ongoing professional development or upskilling for teachers</w:t>
      </w:r>
      <w:r w:rsidR="000A13C3">
        <w:rPr>
          <w:b w:val="0"/>
          <w:bCs/>
        </w:rPr>
        <w:t>.</w:t>
      </w:r>
    </w:p>
    <w:p w14:paraId="50338413" w14:textId="7469257E" w:rsidR="009E5D98" w:rsidRDefault="009E5D98" w:rsidP="009E5D98">
      <w:pPr>
        <w:pStyle w:val="Heading3"/>
        <w:ind w:left="1021" w:hanging="1021"/>
      </w:pPr>
      <w:r>
        <w:t>Current Context</w:t>
      </w:r>
    </w:p>
    <w:p w14:paraId="00D04E69" w14:textId="6E750BF8" w:rsidR="009E5D98" w:rsidRPr="004F2FEE" w:rsidRDefault="009E5D98" w:rsidP="00CD1FEB">
      <w:pPr>
        <w:pStyle w:val="Quote"/>
        <w:framePr w:wrap="around"/>
      </w:pPr>
      <w:r>
        <w:t>‘</w:t>
      </w:r>
      <w:r w:rsidRPr="0072206E">
        <w:t>No other profession has as steep a learning curve as teaching with such high expectations from day 1. Doctors don’t perform heart surgery in their first year as a doctor, however, first-year teachers are expected to perform the same tasks that a teacher with 20 years</w:t>
      </w:r>
      <w:r w:rsidR="00A4002A">
        <w:t>’</w:t>
      </w:r>
      <w:r w:rsidRPr="0072206E">
        <w:t xml:space="preserve"> experience would</w:t>
      </w:r>
      <w:r w:rsidR="00A2466C">
        <w:t>.’</w:t>
      </w:r>
      <w:r w:rsidRPr="0072206E">
        <w:br/>
        <w:t>(Individual submission)</w:t>
      </w:r>
    </w:p>
    <w:p w14:paraId="04717452" w14:textId="77777777" w:rsidR="00CD1FEB" w:rsidRDefault="00CD1FEB" w:rsidP="00CD1FEB">
      <w:pPr>
        <w:spacing w:after="0"/>
      </w:pPr>
    </w:p>
    <w:p w14:paraId="6E41EE1F" w14:textId="2783C035" w:rsidR="009E5D98" w:rsidRDefault="009E5D98" w:rsidP="00CD1FEB">
      <w:r>
        <w:t xml:space="preserve">Once </w:t>
      </w:r>
      <w:r w:rsidR="00D604EF">
        <w:t>initial teacher education students</w:t>
      </w:r>
      <w:r>
        <w:t xml:space="preserve"> graduate and enter the classroom, induction processes, mentoring and professional development become primarily the responsibility of the employer. </w:t>
      </w:r>
    </w:p>
    <w:p w14:paraId="7DDC6158" w14:textId="0EBAB231" w:rsidR="009E5D98" w:rsidRDefault="005D1892" w:rsidP="009E5D98">
      <w:r>
        <w:t xml:space="preserve">Mentors are knowledgeable, experienced and highly effective teachers who work with or alongside a beginning teacher or less experienced colleague. </w:t>
      </w:r>
      <w:r w:rsidR="009E5D98">
        <w:t xml:space="preserve">The </w:t>
      </w:r>
      <w:r w:rsidR="009E5D98" w:rsidRPr="00C84860">
        <w:rPr>
          <w:i/>
        </w:rPr>
        <w:t>Graduate to Proficient: Australian guidelines for teacher induction into the profession</w:t>
      </w:r>
      <w:r w:rsidR="009E5D98">
        <w:t xml:space="preserve"> (the Guidelines) outline the importance of induction and mentoring </w:t>
      </w:r>
      <w:r w:rsidR="009E5D98" w:rsidDel="008436DB">
        <w:t xml:space="preserve">and </w:t>
      </w:r>
      <w:r w:rsidR="009E5D98">
        <w:t>their role in improving early</w:t>
      </w:r>
      <w:r w:rsidR="00885ECC">
        <w:t xml:space="preserve"> </w:t>
      </w:r>
      <w:r w:rsidR="009E5D98">
        <w:t>career teachers’ knowledge and skill</w:t>
      </w:r>
      <w:r w:rsidR="00A4002A">
        <w:t>s</w:t>
      </w:r>
      <w:r w:rsidR="009E5D98">
        <w:t>.</w:t>
      </w:r>
      <w:r w:rsidR="009E5D98" w:rsidRPr="00A840F1">
        <w:t xml:space="preserve"> </w:t>
      </w:r>
      <w:r w:rsidR="009E5D98">
        <w:t xml:space="preserve">The Guidelines provide direction on the foundations for high-quality induction and are designed to ‘assist in developing, managing, delivering and evaluating programs that enable graduates to take a major step towards belonging to and fully engaging in the </w:t>
      </w:r>
      <w:r w:rsidR="009E5D98" w:rsidRPr="001D2499">
        <w:t>profession’ (</w:t>
      </w:r>
      <w:r w:rsidR="00784729" w:rsidRPr="00C5198C">
        <w:t>AITSL 2016</w:t>
      </w:r>
      <w:r w:rsidR="00771ACD">
        <w:t>a</w:t>
      </w:r>
      <w:r w:rsidR="009E5D98" w:rsidRPr="001D2499">
        <w:t>).</w:t>
      </w:r>
    </w:p>
    <w:p w14:paraId="218D0197" w14:textId="143F1C3B" w:rsidR="009E5D98" w:rsidRDefault="009E5D98" w:rsidP="009E5D98">
      <w:r>
        <w:t xml:space="preserve">While most schools and school systems have processes for welcoming new teachers to the profession that would align with the Guidelines, there is no standardised or formal </w:t>
      </w:r>
      <w:r w:rsidR="00687CCA">
        <w:t xml:space="preserve">national </w:t>
      </w:r>
      <w:r>
        <w:t xml:space="preserve">approach to the delivery of induction or mentoring. The process for selecting and </w:t>
      </w:r>
      <w:r w:rsidR="00BB1541">
        <w:t>developing</w:t>
      </w:r>
      <w:r>
        <w:t xml:space="preserve"> mentors differs between jurisdictions and although the Guidelines provide direction as to what mentoring should cover, there are no specific rules about who should mentor or for how long mentoring should take place. </w:t>
      </w:r>
    </w:p>
    <w:p w14:paraId="1148FA30" w14:textId="79B7DA22" w:rsidR="009E5D98" w:rsidRDefault="009E5D98" w:rsidP="009E5D98">
      <w:r>
        <w:t xml:space="preserve">Certification at the Highly Accomplished and Lead Teacher (HALT) levels of the </w:t>
      </w:r>
      <w:r w:rsidR="00547DCB" w:rsidRPr="00A37130">
        <w:rPr>
          <w:i/>
          <w:iCs/>
        </w:rPr>
        <w:t>Australian Professional Standards for Teachers</w:t>
      </w:r>
      <w:r w:rsidR="00547DCB" w:rsidRPr="00547DCB">
        <w:t xml:space="preserve"> </w:t>
      </w:r>
      <w:r w:rsidR="00547DCB">
        <w:t>(</w:t>
      </w:r>
      <w:r>
        <w:t>Teacher Standards</w:t>
      </w:r>
      <w:r w:rsidR="00547DCB">
        <w:t>)</w:t>
      </w:r>
      <w:r>
        <w:t xml:space="preserve"> is a voluntary, rigorous evaluation process that recognises </w:t>
      </w:r>
      <w:r w:rsidR="00DE1E03">
        <w:t xml:space="preserve">highly </w:t>
      </w:r>
      <w:r>
        <w:t xml:space="preserve">skilled teachers and promotes </w:t>
      </w:r>
      <w:r w:rsidR="00C44DF2">
        <w:t>professional collaboration.</w:t>
      </w:r>
      <w:r>
        <w:t xml:space="preserve"> </w:t>
      </w:r>
      <w:r w:rsidR="002F008E">
        <w:t xml:space="preserve">HALTs are certified through a national process applied by certifying authorities in each participating state and territory. </w:t>
      </w:r>
      <w:r>
        <w:t xml:space="preserve">HALT certification began in 2012 and is currently offered in the Australian Capital Territory, New South Wales, the Northern Territory, South Australia, Queensland and to some extent in </w:t>
      </w:r>
      <w:r w:rsidR="008F1C68">
        <w:t>Western Australia</w:t>
      </w:r>
      <w:r>
        <w:t xml:space="preserve">. </w:t>
      </w:r>
    </w:p>
    <w:p w14:paraId="78CC6D52" w14:textId="3C61C8CD" w:rsidR="009E5D98" w:rsidRDefault="009E5D98" w:rsidP="009E5D98">
      <w:r>
        <w:lastRenderedPageBreak/>
        <w:t xml:space="preserve">As of </w:t>
      </w:r>
      <w:hyperlink r:id="rId53" w:history="1">
        <w:r w:rsidRPr="00E30774">
          <w:rPr>
            <w:rStyle w:val="Hyperlink"/>
          </w:rPr>
          <w:t>2021</w:t>
        </w:r>
      </w:hyperlink>
      <w:r>
        <w:t xml:space="preserve">, 891 teachers have been certified, 613 at the Highly Accomplished level and 278 </w:t>
      </w:r>
      <w:r w:rsidR="008F1C68">
        <w:t>as</w:t>
      </w:r>
      <w:r>
        <w:t xml:space="preserve"> Lead </w:t>
      </w:r>
      <w:r w:rsidR="00037B59">
        <w:t xml:space="preserve">level </w:t>
      </w:r>
      <w:r>
        <w:t xml:space="preserve">teachers. In 2021, pilots have commenced in </w:t>
      </w:r>
      <w:r w:rsidR="00CC09C4">
        <w:t>all school sectors in Tasmania</w:t>
      </w:r>
      <w:r>
        <w:t xml:space="preserve"> and in Melbourne Archdiocese Catholic Schools in Victoria. Some employers have specific salary levels for HALT</w:t>
      </w:r>
      <w:r w:rsidR="00037B59">
        <w:t>s</w:t>
      </w:r>
      <w:r>
        <w:t xml:space="preserve">, whereas others </w:t>
      </w:r>
      <w:r w:rsidR="00B7476B">
        <w:t>provide</w:t>
      </w:r>
      <w:r>
        <w:t xml:space="preserve"> additional allowances for teachers certified as HALT</w:t>
      </w:r>
      <w:r w:rsidR="00037B59">
        <w:t>s</w:t>
      </w:r>
      <w:r>
        <w:t>. For example, in the Northern Territory</w:t>
      </w:r>
      <w:r w:rsidR="00D56FC9">
        <w:t>,</w:t>
      </w:r>
      <w:r>
        <w:t xml:space="preserve"> as of October 2020</w:t>
      </w:r>
      <w:r w:rsidR="00D56FC9">
        <w:t>,</w:t>
      </w:r>
      <w:r>
        <w:t xml:space="preserve"> Highly Accomplished teachers receive an annual allowance of $11,725 and Lead teachers receive an annual allowance of $24,551. </w:t>
      </w:r>
    </w:p>
    <w:p w14:paraId="17C77107" w14:textId="0E612988" w:rsidR="009E5D98" w:rsidRDefault="009E5D98" w:rsidP="009E5D98">
      <w:r>
        <w:t xml:space="preserve">Professional learning </w:t>
      </w:r>
      <w:r w:rsidR="00017E43">
        <w:t>for teachers</w:t>
      </w:r>
      <w:r>
        <w:t xml:space="preserve"> is supported by the </w:t>
      </w:r>
      <w:r w:rsidR="0019240B">
        <w:t xml:space="preserve">Teacher Standards </w:t>
      </w:r>
      <w:r>
        <w:t xml:space="preserve">and the </w:t>
      </w:r>
      <w:r w:rsidRPr="0995B48D">
        <w:rPr>
          <w:i/>
          <w:iCs/>
        </w:rPr>
        <w:t>Australian Professional Standard for Principals</w:t>
      </w:r>
      <w:r>
        <w:t>.</w:t>
      </w:r>
      <w:r w:rsidR="00CC3A3D">
        <w:t xml:space="preserve"> </w:t>
      </w:r>
      <w:r w:rsidR="00FC603C">
        <w:t>While</w:t>
      </w:r>
      <w:r>
        <w:t xml:space="preserve"> </w:t>
      </w:r>
      <w:r w:rsidR="00FC603C">
        <w:t>s</w:t>
      </w:r>
      <w:r>
        <w:t>etting priorities for professional learning is primarily the responsibility of state and territory education authorities, schools and school systems</w:t>
      </w:r>
      <w:r w:rsidR="008F609E">
        <w:t>;</w:t>
      </w:r>
      <w:r w:rsidR="009E0BB5">
        <w:t xml:space="preserve"> h</w:t>
      </w:r>
      <w:r>
        <w:t>igher education providers also have an important role in developing professional learning.</w:t>
      </w:r>
      <w:r w:rsidR="004A53EB">
        <w:t xml:space="preserve"> There is no national standard </w:t>
      </w:r>
      <w:r w:rsidR="00B95262">
        <w:t>to determine</w:t>
      </w:r>
      <w:r w:rsidR="00D40FDB">
        <w:t xml:space="preserve"> </w:t>
      </w:r>
      <w:r w:rsidR="004A53EB">
        <w:t xml:space="preserve">what qualifies as professional development and the </w:t>
      </w:r>
      <w:r w:rsidR="00D403FA">
        <w:t>quality</w:t>
      </w:r>
      <w:r w:rsidR="004A53EB">
        <w:t xml:space="preserve"> of courses varies. </w:t>
      </w:r>
    </w:p>
    <w:p w14:paraId="5AFEC9E9" w14:textId="14959E2E" w:rsidR="009E5D98" w:rsidRPr="003417AE" w:rsidRDefault="009E5D98" w:rsidP="009E5D98">
      <w:pPr>
        <w:pStyle w:val="Heading3"/>
        <w:ind w:left="1021" w:hanging="1021"/>
      </w:pPr>
      <w:r>
        <w:t>Key Consultation Themes and Analysis</w:t>
      </w:r>
    </w:p>
    <w:p w14:paraId="394BC720" w14:textId="3DC04D81" w:rsidR="009E5D98" w:rsidRPr="004A01A2" w:rsidRDefault="009E5D98" w:rsidP="009E5D98">
      <w:pPr>
        <w:pStyle w:val="Heading6"/>
      </w:pPr>
      <w:r>
        <w:t xml:space="preserve">Induction </w:t>
      </w:r>
    </w:p>
    <w:p w14:paraId="79408685" w14:textId="2DB725C8" w:rsidR="009E5D98" w:rsidRPr="0072206E" w:rsidRDefault="009E5D98" w:rsidP="00CD1FEB">
      <w:pPr>
        <w:pStyle w:val="Quote"/>
        <w:framePr w:wrap="around"/>
      </w:pPr>
      <w:r w:rsidRPr="0072206E">
        <w:t xml:space="preserve">‘To be classroom ready, ITE graduates must demonstrate readiness to understand the context of their students and the broader community in which they teach […] While ITE providers cannot prepare a PST </w:t>
      </w:r>
      <w:r w:rsidR="00F12284">
        <w:t xml:space="preserve">[pre-service teacher] </w:t>
      </w:r>
      <w:r w:rsidRPr="0072206E">
        <w:t>for all contexts, they can provide them with the ability to apply their skills flexibly to meet the context. The role of schools is to provide a contextual induction that is fit-for-purpose and focuses on the whole learning environment, not just the classroom.’</w:t>
      </w:r>
    </w:p>
    <w:p w14:paraId="3B75A00A" w14:textId="413059A1" w:rsidR="009E5D98" w:rsidRPr="0072206E" w:rsidRDefault="009E5D98" w:rsidP="00CD1FEB">
      <w:pPr>
        <w:pStyle w:val="Quote"/>
        <w:framePr w:wrap="around"/>
      </w:pPr>
      <w:r w:rsidRPr="0072206E">
        <w:t>(AITSL submission)</w:t>
      </w:r>
    </w:p>
    <w:p w14:paraId="71F5BBF4" w14:textId="77777777" w:rsidR="00CD1FEB" w:rsidRPr="00CD1FEB" w:rsidRDefault="00CD1FEB" w:rsidP="00CD1FEB">
      <w:pPr>
        <w:spacing w:after="0"/>
      </w:pPr>
    </w:p>
    <w:p w14:paraId="674A45DA" w14:textId="0F8810B5" w:rsidR="009E5D98" w:rsidRDefault="009E5D98" w:rsidP="00CD1FEB">
      <w:r>
        <w:rPr>
          <w:i/>
          <w:iCs/>
        </w:rPr>
        <w:t xml:space="preserve">Through Growth to Achievement: </w:t>
      </w:r>
      <w:r w:rsidRPr="00C84860">
        <w:rPr>
          <w:i/>
        </w:rPr>
        <w:t>Report of the Review to Achieve Educational Excellence</w:t>
      </w:r>
      <w:r>
        <w:rPr>
          <w:i/>
          <w:iCs/>
        </w:rPr>
        <w:t xml:space="preserve"> </w:t>
      </w:r>
      <w:r w:rsidRPr="00C84860">
        <w:rPr>
          <w:i/>
        </w:rPr>
        <w:t>in Australian Schools</w:t>
      </w:r>
      <w:r>
        <w:rPr>
          <w:i/>
          <w:iCs/>
        </w:rPr>
        <w:t xml:space="preserve"> </w:t>
      </w:r>
      <w:r>
        <w:t xml:space="preserve">(2018) </w:t>
      </w:r>
      <w:r w:rsidR="00C23406">
        <w:t>recommended that</w:t>
      </w:r>
      <w:r>
        <w:t xml:space="preserve"> induction practices </w:t>
      </w:r>
      <w:r w:rsidR="00C23406">
        <w:t xml:space="preserve">should be </w:t>
      </w:r>
      <w:r>
        <w:t xml:space="preserve">aligned with the Guidelines and </w:t>
      </w:r>
      <w:r w:rsidR="007E458B">
        <w:t>called</w:t>
      </w:r>
      <w:r>
        <w:t xml:space="preserve"> </w:t>
      </w:r>
      <w:r w:rsidDel="007E458B">
        <w:t>for better</w:t>
      </w:r>
      <w:r>
        <w:t xml:space="preserve"> induction practices to support the transition from ITE into the profession. </w:t>
      </w:r>
    </w:p>
    <w:p w14:paraId="215CA4E3" w14:textId="54EA9357" w:rsidR="009E5D98" w:rsidRDefault="009E5D98" w:rsidP="00CD1FEB">
      <w:r>
        <w:t xml:space="preserve">Concerns about induction processes are long-standing. For the past decade, research from Australia and the United States has explored shortfalls </w:t>
      </w:r>
      <w:r w:rsidR="00DF4302">
        <w:t xml:space="preserve">in </w:t>
      </w:r>
      <w:r>
        <w:t xml:space="preserve">induction practices, citing inadequate mentoring and lack of support in </w:t>
      </w:r>
      <w:r w:rsidR="00812EC0">
        <w:t xml:space="preserve">classroom </w:t>
      </w:r>
      <w:r>
        <w:t xml:space="preserve">behaviour management as key factors </w:t>
      </w:r>
      <w:r w:rsidR="001301EA">
        <w:t>having an</w:t>
      </w:r>
      <w:r>
        <w:t xml:space="preserve"> impact</w:t>
      </w:r>
      <w:r w:rsidR="0025188A">
        <w:t xml:space="preserve"> </w:t>
      </w:r>
      <w:r w:rsidR="001301EA">
        <w:t>on</w:t>
      </w:r>
      <w:r>
        <w:t xml:space="preserve"> early career teachers </w:t>
      </w:r>
      <w:r w:rsidRPr="00E30774">
        <w:t>(Kearny 2017; Ingersoll and Strong 2011). Recent research has looked to the induction programs of countries such as Finland and Canada (Darling-Hammond 2017).</w:t>
      </w:r>
      <w:r>
        <w:t xml:space="preserve"> For example, in Canada, t</w:t>
      </w:r>
      <w:r w:rsidRPr="00A155A3">
        <w:t xml:space="preserve">he New Teacher Induction Program </w:t>
      </w:r>
      <w:r w:rsidRPr="00C07BD7">
        <w:t xml:space="preserve">provides professional support </w:t>
      </w:r>
      <w:r>
        <w:t xml:space="preserve">to early career teachers and provides first-year teachers extra release time to engage with induction material. Instead of induction being seen as a separate element to ITE, it is considered the next step in professional learning for early career teachers. </w:t>
      </w:r>
    </w:p>
    <w:p w14:paraId="55B45F35" w14:textId="0092B7B5" w:rsidR="009E5D98" w:rsidRDefault="009E5D98" w:rsidP="00CD1FEB">
      <w:r>
        <w:t>Stakeholders acknowledge the importance of induction into the profession, with research suggesting that supporting teachers well in their first few years of teaching may lead to higher retention rates (</w:t>
      </w:r>
      <w:r w:rsidRPr="00E30774">
        <w:t>Ingersoll and Strong 2011</w:t>
      </w:r>
      <w:r>
        <w:t xml:space="preserve">). </w:t>
      </w:r>
      <w:r w:rsidRPr="00C84860">
        <w:t>The development of national teacher induction guidelines was received favourably by most stakeholders and has assisted principals, in particular, to define the responsibilities of ITE graduates and schools in the completion and development of induction models (Association of Heads of Independent Schools of Australia submission).</w:t>
      </w:r>
    </w:p>
    <w:p w14:paraId="512FB8DC" w14:textId="1245326E" w:rsidR="009E5D98" w:rsidRDefault="009E5D98" w:rsidP="00CD1FEB">
      <w:r>
        <w:t xml:space="preserve">Induction begins when a graduate enters the school environment as an employee. The exact content </w:t>
      </w:r>
      <w:r w:rsidR="008C3E2A">
        <w:t>and duration</w:t>
      </w:r>
      <w:r>
        <w:t xml:space="preserve"> of a graduate’s induction varies. There are also differences between </w:t>
      </w:r>
      <w:r w:rsidR="008C3E2A">
        <w:t xml:space="preserve">induction processes in different state and territory </w:t>
      </w:r>
      <w:r w:rsidR="00C71DE6">
        <w:t>government</w:t>
      </w:r>
      <w:r w:rsidR="008C3E2A">
        <w:t xml:space="preserve"> systems and the</w:t>
      </w:r>
      <w:r>
        <w:t xml:space="preserve"> independent and Catholic sector</w:t>
      </w:r>
      <w:r w:rsidR="008C3E2A">
        <w:t>s</w:t>
      </w:r>
      <w:r>
        <w:t xml:space="preserve">, making it difficult to determine </w:t>
      </w:r>
      <w:r w:rsidR="008C3E2A">
        <w:t>which models</w:t>
      </w:r>
      <w:r w:rsidR="00CE415C">
        <w:t xml:space="preserve"> are most effective</w:t>
      </w:r>
      <w:r>
        <w:t xml:space="preserve">. </w:t>
      </w:r>
    </w:p>
    <w:p w14:paraId="22B6AF70" w14:textId="77777777" w:rsidR="00B014EC" w:rsidRDefault="00B014EC">
      <w:pPr>
        <w:spacing w:after="0" w:line="240" w:lineRule="auto"/>
      </w:pPr>
      <w:r>
        <w:br w:type="page"/>
      </w:r>
    </w:p>
    <w:p w14:paraId="60C8E553" w14:textId="01E7550E" w:rsidR="009E5D98" w:rsidRPr="00927857" w:rsidRDefault="009E5D98" w:rsidP="009E5D98">
      <w:r w:rsidRPr="00C84860">
        <w:lastRenderedPageBreak/>
        <w:t>C</w:t>
      </w:r>
      <w:r w:rsidRPr="00620BE3">
        <w:t>onsultations with early career teachers reveal that many feel their introduction to the profession could have been improved.</w:t>
      </w:r>
      <w:r>
        <w:t xml:space="preserve"> Respondents to the QITE </w:t>
      </w:r>
      <w:r w:rsidR="008B7E37">
        <w:t xml:space="preserve">general </w:t>
      </w:r>
      <w:r>
        <w:t xml:space="preserve">survey indicated that early career teachers could be better supported with structured induction programs. When asked how </w:t>
      </w:r>
      <w:r w:rsidR="00B8725B">
        <w:t>ITE students</w:t>
      </w:r>
      <w:r>
        <w:t xml:space="preserve"> and new teachers could be better supported at the start of their teaching career, 89 per cent selected ‘teacher mentors’ and 79</w:t>
      </w:r>
      <w:r w:rsidR="004B5B05">
        <w:t> </w:t>
      </w:r>
      <w:r>
        <w:t>per</w:t>
      </w:r>
      <w:r w:rsidR="004B5B05">
        <w:t> </w:t>
      </w:r>
      <w:r>
        <w:t>cent selected ‘i</w:t>
      </w:r>
      <w:r w:rsidRPr="008D7F04">
        <w:t>mprov</w:t>
      </w:r>
      <w:r>
        <w:t>ed</w:t>
      </w:r>
      <w:r w:rsidRPr="008D7F04">
        <w:t xml:space="preserve"> induction programs</w:t>
      </w:r>
      <w:r>
        <w:t>’.</w:t>
      </w:r>
    </w:p>
    <w:p w14:paraId="315216C9" w14:textId="71BC9DA2" w:rsidR="009E5D98" w:rsidRDefault="009E5D98" w:rsidP="009E5D98">
      <w:pPr>
        <w:rPr>
          <w:rFonts w:cstheme="minorHAnsi"/>
          <w:color w:val="auto"/>
        </w:rPr>
      </w:pPr>
      <w:r w:rsidRPr="00BB1CBB">
        <w:t xml:space="preserve">Despite induction falling outside the traditional responsibilities of higher education providers, stakeholders have indicated that </w:t>
      </w:r>
      <w:r>
        <w:t>greater</w:t>
      </w:r>
      <w:r w:rsidRPr="00C84860">
        <w:t xml:space="preserve"> involvement by </w:t>
      </w:r>
      <w:r w:rsidRPr="00BB1CBB">
        <w:t>higher education providers</w:t>
      </w:r>
      <w:r w:rsidRPr="00C84860">
        <w:t xml:space="preserve"> in </w:t>
      </w:r>
      <w:r w:rsidRPr="00485B77">
        <w:rPr>
          <w:rFonts w:cstheme="minorHAnsi"/>
          <w:color w:val="auto"/>
        </w:rPr>
        <w:t>providing supportive transitions from ITE to employment</w:t>
      </w:r>
      <w:r>
        <w:rPr>
          <w:rFonts w:cstheme="minorHAnsi"/>
          <w:color w:val="auto"/>
        </w:rPr>
        <w:t xml:space="preserve"> would be welcomed</w:t>
      </w:r>
      <w:r w:rsidRPr="00485B77">
        <w:rPr>
          <w:rFonts w:cstheme="minorHAnsi"/>
          <w:color w:val="auto"/>
        </w:rPr>
        <w:t xml:space="preserve"> (Macquarie School of Education submission; </w:t>
      </w:r>
      <w:r w:rsidRPr="00E20934">
        <w:rPr>
          <w:rFonts w:cstheme="minorHAnsi"/>
          <w:color w:val="auto"/>
        </w:rPr>
        <w:t>New South Wales</w:t>
      </w:r>
      <w:r w:rsidRPr="00485B77">
        <w:rPr>
          <w:rFonts w:cstheme="minorHAnsi"/>
          <w:color w:val="auto"/>
        </w:rPr>
        <w:t xml:space="preserve"> Council of Deans of Education</w:t>
      </w:r>
      <w:r>
        <w:rPr>
          <w:rFonts w:cstheme="minorHAnsi"/>
          <w:color w:val="auto"/>
        </w:rPr>
        <w:t xml:space="preserve"> submission</w:t>
      </w:r>
      <w:r w:rsidRPr="00485B77">
        <w:rPr>
          <w:rFonts w:cstheme="minorHAnsi"/>
          <w:color w:val="auto"/>
        </w:rPr>
        <w:t>).</w:t>
      </w:r>
    </w:p>
    <w:p w14:paraId="20C40E36" w14:textId="33B90591" w:rsidR="009E5D98" w:rsidRDefault="009E5D98" w:rsidP="009E5D98">
      <w:pPr>
        <w:rPr>
          <w:rFonts w:cstheme="minorHAnsi"/>
          <w:color w:val="000000"/>
        </w:rPr>
      </w:pPr>
      <w:r>
        <w:rPr>
          <w:rFonts w:cstheme="minorHAnsi"/>
          <w:color w:val="auto"/>
        </w:rPr>
        <w:t>As the most effective form of induction includes a combination of</w:t>
      </w:r>
      <w:r>
        <w:t xml:space="preserve"> practice-focused mentoring, collaboration, targeted professional learning, observation and reflection (AITSL 2016</w:t>
      </w:r>
      <w:r w:rsidR="00CE6BF9">
        <w:t>b</w:t>
      </w:r>
      <w:r>
        <w:t xml:space="preserve">), </w:t>
      </w:r>
      <w:r>
        <w:rPr>
          <w:rFonts w:cstheme="minorHAnsi"/>
          <w:color w:val="auto"/>
        </w:rPr>
        <w:t xml:space="preserve">developing programs that support early career teachers’ introduction to the profession by focusing on the factors that matter – mentoring, communities of practice and </w:t>
      </w:r>
      <w:r w:rsidRPr="007813ED">
        <w:rPr>
          <w:rFonts w:cstheme="minorHAnsi"/>
          <w:color w:val="000000"/>
        </w:rPr>
        <w:t>attention to the specific challenges of teaching</w:t>
      </w:r>
      <w:r>
        <w:rPr>
          <w:rFonts w:cstheme="minorHAnsi"/>
          <w:color w:val="000000"/>
        </w:rPr>
        <w:t xml:space="preserve"> </w:t>
      </w:r>
      <w:r w:rsidR="00187092">
        <w:rPr>
          <w:rFonts w:cstheme="minorHAnsi"/>
          <w:color w:val="000000"/>
        </w:rPr>
        <w:t>–</w:t>
      </w:r>
      <w:r>
        <w:rPr>
          <w:rFonts w:cstheme="minorHAnsi"/>
          <w:color w:val="000000"/>
        </w:rPr>
        <w:t xml:space="preserve"> is considered essential (La</w:t>
      </w:r>
      <w:r w:rsidR="004B5B05">
        <w:rPr>
          <w:rFonts w:cstheme="minorHAnsi"/>
          <w:color w:val="000000"/>
        </w:rPr>
        <w:t> </w:t>
      </w:r>
      <w:r>
        <w:rPr>
          <w:rFonts w:cstheme="minorHAnsi"/>
          <w:color w:val="000000"/>
        </w:rPr>
        <w:t>Trobe</w:t>
      </w:r>
      <w:r w:rsidR="004B5B05">
        <w:rPr>
          <w:rFonts w:cstheme="minorHAnsi"/>
          <w:color w:val="000000"/>
        </w:rPr>
        <w:t> </w:t>
      </w:r>
      <w:r>
        <w:rPr>
          <w:rFonts w:cstheme="minorHAnsi"/>
          <w:color w:val="000000"/>
        </w:rPr>
        <w:t xml:space="preserve">University submission). </w:t>
      </w:r>
    </w:p>
    <w:p w14:paraId="0FEC2280" w14:textId="78514A88" w:rsidR="009E5D98" w:rsidRDefault="009E5D98" w:rsidP="00CD1FEB">
      <w:pPr>
        <w:spacing w:before="200"/>
      </w:pPr>
      <w:r>
        <w:t>Some individual submissions put forward the idea of an internship model, citing the success of medical internships. Other stakeholders highlighted a range of approaches and options to strengthen induction for graduate teachers</w:t>
      </w:r>
      <w:r w:rsidR="001A48A7">
        <w:t xml:space="preserve"> (Table 4)</w:t>
      </w:r>
      <w:r>
        <w:t xml:space="preserve">. </w:t>
      </w:r>
    </w:p>
    <w:p w14:paraId="53C790B0" w14:textId="6B5676E8" w:rsidR="007A41F8" w:rsidRPr="00493066" w:rsidRDefault="007A41F8" w:rsidP="003F4876">
      <w:pPr>
        <w:pStyle w:val="Caption"/>
        <w:keepNext/>
        <w:spacing w:after="0"/>
        <w:rPr>
          <w:color w:val="auto"/>
        </w:rPr>
      </w:pPr>
      <w:r w:rsidRPr="00493066">
        <w:rPr>
          <w:i w:val="0"/>
          <w:color w:val="auto"/>
        </w:rPr>
        <w:t xml:space="preserve">Table </w:t>
      </w:r>
      <w:r w:rsidRPr="00493066">
        <w:rPr>
          <w:i w:val="0"/>
          <w:color w:val="auto"/>
        </w:rPr>
        <w:fldChar w:fldCharType="begin"/>
      </w:r>
      <w:r w:rsidRPr="0072206E">
        <w:rPr>
          <w:i w:val="0"/>
        </w:rPr>
        <w:instrText xml:space="preserve"> SEQ Table \* ARABIC </w:instrText>
      </w:r>
      <w:r w:rsidRPr="00493066">
        <w:rPr>
          <w:i w:val="0"/>
          <w:color w:val="auto"/>
        </w:rPr>
        <w:fldChar w:fldCharType="separate"/>
      </w:r>
      <w:r w:rsidR="00B454C1">
        <w:rPr>
          <w:i w:val="0"/>
          <w:noProof/>
        </w:rPr>
        <w:t>4</w:t>
      </w:r>
      <w:r w:rsidRPr="00493066">
        <w:rPr>
          <w:i w:val="0"/>
          <w:color w:val="auto"/>
        </w:rPr>
        <w:fldChar w:fldCharType="end"/>
      </w:r>
      <w:r w:rsidR="00493066">
        <w:rPr>
          <w:i w:val="0"/>
          <w:color w:val="auto"/>
        </w:rPr>
        <w:t>.</w:t>
      </w:r>
      <w:r w:rsidRPr="00493066">
        <w:rPr>
          <w:i w:val="0"/>
          <w:color w:val="auto"/>
        </w:rPr>
        <w:t xml:space="preserve"> Induction </w:t>
      </w:r>
      <w:r w:rsidR="003F4876">
        <w:rPr>
          <w:i w:val="0"/>
          <w:color w:val="auto"/>
        </w:rPr>
        <w:t>i</w:t>
      </w:r>
      <w:r w:rsidRPr="00493066">
        <w:rPr>
          <w:i w:val="0"/>
          <w:color w:val="auto"/>
        </w:rPr>
        <w:t>nitiatives</w:t>
      </w:r>
    </w:p>
    <w:tbl>
      <w:tblPr>
        <w:tblStyle w:val="TableGrid"/>
        <w:tblW w:w="0" w:type="auto"/>
        <w:tblLook w:val="04A0" w:firstRow="1" w:lastRow="0" w:firstColumn="1" w:lastColumn="0" w:noHBand="0" w:noVBand="1"/>
      </w:tblPr>
      <w:tblGrid>
        <w:gridCol w:w="2127"/>
        <w:gridCol w:w="6883"/>
      </w:tblGrid>
      <w:tr w:rsidR="009E5D98" w14:paraId="4BC1A364" w14:textId="77777777" w:rsidTr="003F4876">
        <w:tc>
          <w:tcPr>
            <w:tcW w:w="2127" w:type="dxa"/>
            <w:shd w:val="clear" w:color="auto" w:fill="B4C6E7" w:themeFill="accent1" w:themeFillTint="66"/>
          </w:tcPr>
          <w:p w14:paraId="73E0764C" w14:textId="77777777" w:rsidR="009E5D98" w:rsidRPr="003F4876" w:rsidRDefault="009E5D98" w:rsidP="00CD1FEB">
            <w:pPr>
              <w:spacing w:after="0"/>
              <w:jc w:val="center"/>
              <w:rPr>
                <w:b/>
                <w:color w:val="auto"/>
              </w:rPr>
            </w:pPr>
            <w:r w:rsidRPr="003F4876">
              <w:rPr>
                <w:b/>
                <w:color w:val="auto"/>
              </w:rPr>
              <w:t>Stakeholder(s)</w:t>
            </w:r>
          </w:p>
        </w:tc>
        <w:tc>
          <w:tcPr>
            <w:tcW w:w="6883" w:type="dxa"/>
            <w:shd w:val="clear" w:color="auto" w:fill="B4C6E7" w:themeFill="accent1" w:themeFillTint="66"/>
          </w:tcPr>
          <w:p w14:paraId="0527324F" w14:textId="387E67BA" w:rsidR="009E5D98" w:rsidRPr="003F4876" w:rsidRDefault="009E5D98" w:rsidP="00CD1FEB">
            <w:pPr>
              <w:spacing w:after="0"/>
              <w:jc w:val="center"/>
              <w:rPr>
                <w:b/>
                <w:color w:val="auto"/>
              </w:rPr>
            </w:pPr>
            <w:r w:rsidRPr="003F4876">
              <w:rPr>
                <w:b/>
                <w:color w:val="auto"/>
              </w:rPr>
              <w:t>Approach or Suggestion</w:t>
            </w:r>
          </w:p>
        </w:tc>
      </w:tr>
      <w:tr w:rsidR="009E5D98" w14:paraId="6009BB0F" w14:textId="77777777" w:rsidTr="00B014EC">
        <w:trPr>
          <w:trHeight w:val="1984"/>
        </w:trPr>
        <w:tc>
          <w:tcPr>
            <w:tcW w:w="2127" w:type="dxa"/>
          </w:tcPr>
          <w:p w14:paraId="5EA610FD" w14:textId="77777777" w:rsidR="009E5D98" w:rsidRDefault="009E5D98" w:rsidP="00CD1FEB">
            <w:pPr>
              <w:spacing w:after="0"/>
              <w:rPr>
                <w:highlight w:val="yellow"/>
              </w:rPr>
            </w:pPr>
            <w:r>
              <w:t>Deakin University submission</w:t>
            </w:r>
          </w:p>
        </w:tc>
        <w:tc>
          <w:tcPr>
            <w:tcW w:w="6883" w:type="dxa"/>
          </w:tcPr>
          <w:p w14:paraId="23E695B3" w14:textId="4A15546C" w:rsidR="009E5D98" w:rsidRPr="000C0CD5" w:rsidRDefault="009E5D98" w:rsidP="00F66D2A">
            <w:pPr>
              <w:pStyle w:val="ListParagraph"/>
              <w:numPr>
                <w:ilvl w:val="0"/>
                <w:numId w:val="11"/>
              </w:numPr>
              <w:spacing w:after="0"/>
              <w:ind w:left="357" w:hanging="357"/>
            </w:pPr>
            <w:r>
              <w:t>Consider different ways that higher education providers can support ITE</w:t>
            </w:r>
            <w:r w:rsidR="001739EB">
              <w:t> </w:t>
            </w:r>
            <w:r>
              <w:t xml:space="preserve">graduates, such as </w:t>
            </w:r>
            <w:r w:rsidRPr="00701E5F">
              <w:t xml:space="preserve">Deakin </w:t>
            </w:r>
            <w:r>
              <w:t>University’s</w:t>
            </w:r>
            <w:r w:rsidRPr="00701E5F">
              <w:t xml:space="preserve"> Graduate Teacher Conferences</w:t>
            </w:r>
            <w:r>
              <w:t xml:space="preserve">, which are </w:t>
            </w:r>
            <w:r w:rsidRPr="00701E5F">
              <w:t>designed to provide teachers in their first year of teaching with an opportunity to engage with other graduate teachers, to assist them in developing communities of practice, to focus on effective strategies designed to maintain their wellbeing and to build resilience within their identity as a professional</w:t>
            </w:r>
            <w:r>
              <w:t xml:space="preserve">. </w:t>
            </w:r>
          </w:p>
        </w:tc>
      </w:tr>
      <w:tr w:rsidR="009E5D98" w14:paraId="753C490F" w14:textId="77777777" w:rsidTr="00B014EC">
        <w:trPr>
          <w:trHeight w:val="1403"/>
        </w:trPr>
        <w:tc>
          <w:tcPr>
            <w:tcW w:w="2127" w:type="dxa"/>
          </w:tcPr>
          <w:p w14:paraId="705A0FC7" w14:textId="5990D362" w:rsidR="009E5D98" w:rsidRDefault="009E5D98" w:rsidP="00CD1FEB">
            <w:pPr>
              <w:spacing w:after="0"/>
              <w:rPr>
                <w:highlight w:val="yellow"/>
              </w:rPr>
            </w:pPr>
            <w:r>
              <w:t xml:space="preserve">New South Wales </w:t>
            </w:r>
            <w:r w:rsidRPr="00BD6800">
              <w:t>Council of Deans of Education</w:t>
            </w:r>
            <w:r>
              <w:t xml:space="preserve"> and </w:t>
            </w:r>
            <w:r w:rsidRPr="00BD6800">
              <w:t>Macquarie School of Education</w:t>
            </w:r>
            <w:r>
              <w:t xml:space="preserve"> submissions</w:t>
            </w:r>
          </w:p>
        </w:tc>
        <w:tc>
          <w:tcPr>
            <w:tcW w:w="6883" w:type="dxa"/>
          </w:tcPr>
          <w:p w14:paraId="395B0E31" w14:textId="37BE729A" w:rsidR="009E5D98" w:rsidRPr="000C0CD5" w:rsidRDefault="009E5D98" w:rsidP="00F66D2A">
            <w:pPr>
              <w:pStyle w:val="ListParagraph"/>
              <w:numPr>
                <w:ilvl w:val="0"/>
                <w:numId w:val="11"/>
              </w:numPr>
              <w:spacing w:after="0"/>
            </w:pPr>
            <w:r>
              <w:t xml:space="preserve">Expand school-university partnerships like the New South Wales </w:t>
            </w:r>
            <w:r w:rsidRPr="00BD6800">
              <w:t>Hub School Model</w:t>
            </w:r>
            <w:r>
              <w:t xml:space="preserve"> to </w:t>
            </w:r>
            <w:r w:rsidRPr="00BD6800">
              <w:t>support</w:t>
            </w:r>
            <w:r>
              <w:t xml:space="preserve"> the </w:t>
            </w:r>
            <w:r w:rsidRPr="00BD6800">
              <w:t xml:space="preserve">establishment of networks </w:t>
            </w:r>
            <w:r>
              <w:t xml:space="preserve">and encourage a </w:t>
            </w:r>
            <w:r w:rsidRPr="00BD6800">
              <w:t>standard approach to placements, induction</w:t>
            </w:r>
            <w:r>
              <w:t xml:space="preserve"> and </w:t>
            </w:r>
            <w:r w:rsidRPr="00BD6800">
              <w:t>mentoring</w:t>
            </w:r>
            <w:r>
              <w:t>.</w:t>
            </w:r>
          </w:p>
        </w:tc>
      </w:tr>
      <w:tr w:rsidR="009E5D98" w14:paraId="332B9587" w14:textId="77777777" w:rsidTr="003F4876">
        <w:tc>
          <w:tcPr>
            <w:tcW w:w="2127" w:type="dxa"/>
          </w:tcPr>
          <w:p w14:paraId="24CBCDCB" w14:textId="77777777" w:rsidR="009E5D98" w:rsidRPr="000C0CD5" w:rsidRDefault="009E5D98" w:rsidP="00CD1FEB">
            <w:pPr>
              <w:spacing w:after="0"/>
            </w:pPr>
            <w:r w:rsidRPr="000C0CD5">
              <w:rPr>
                <w:rFonts w:cstheme="minorHAnsi"/>
                <w:color w:val="auto"/>
              </w:rPr>
              <w:t>University of Wollongong submission</w:t>
            </w:r>
          </w:p>
        </w:tc>
        <w:tc>
          <w:tcPr>
            <w:tcW w:w="6883" w:type="dxa"/>
          </w:tcPr>
          <w:p w14:paraId="39A2BCA3" w14:textId="36E332DD" w:rsidR="009E5D98" w:rsidRPr="000C0CD5" w:rsidRDefault="009E5D98" w:rsidP="00F66D2A">
            <w:pPr>
              <w:pStyle w:val="ListParagraph"/>
              <w:numPr>
                <w:ilvl w:val="0"/>
                <w:numId w:val="12"/>
              </w:numPr>
              <w:spacing w:after="0"/>
              <w:ind w:left="357" w:hanging="357"/>
            </w:pPr>
            <w:r w:rsidRPr="00A87215">
              <w:rPr>
                <w:rFonts w:cstheme="minorHAnsi"/>
              </w:rPr>
              <w:t>Higher education</w:t>
            </w:r>
            <w:r w:rsidRPr="000C0CD5">
              <w:rPr>
                <w:rFonts w:cstheme="minorHAnsi"/>
                <w:color w:val="auto"/>
              </w:rPr>
              <w:t xml:space="preserve"> providers could </w:t>
            </w:r>
            <w:r>
              <w:rPr>
                <w:rFonts w:cstheme="minorHAnsi"/>
                <w:color w:val="auto"/>
              </w:rPr>
              <w:t>introduce</w:t>
            </w:r>
            <w:r w:rsidRPr="000C0CD5">
              <w:rPr>
                <w:rFonts w:cstheme="minorHAnsi"/>
                <w:color w:val="auto"/>
              </w:rPr>
              <w:t xml:space="preserve"> professional learning ‘top</w:t>
            </w:r>
            <w:r w:rsidR="00C979A0">
              <w:rPr>
                <w:rFonts w:cstheme="minorHAnsi"/>
                <w:color w:val="auto"/>
              </w:rPr>
              <w:t>-</w:t>
            </w:r>
            <w:r w:rsidRPr="000C0CD5">
              <w:rPr>
                <w:rFonts w:cstheme="minorHAnsi"/>
                <w:color w:val="auto"/>
              </w:rPr>
              <w:t xml:space="preserve">ups’ which could be used to reinforce or </w:t>
            </w:r>
            <w:r w:rsidR="00D64BC8">
              <w:rPr>
                <w:rFonts w:cstheme="minorHAnsi"/>
                <w:color w:val="auto"/>
              </w:rPr>
              <w:t xml:space="preserve">extend </w:t>
            </w:r>
            <w:r w:rsidRPr="000C0CD5">
              <w:rPr>
                <w:rFonts w:cstheme="minorHAnsi"/>
                <w:color w:val="auto"/>
              </w:rPr>
              <w:t>areas of learning from their ITE course, which could also complement local induction programs</w:t>
            </w:r>
            <w:r>
              <w:rPr>
                <w:rFonts w:cstheme="minorHAnsi"/>
                <w:color w:val="auto"/>
              </w:rPr>
              <w:t xml:space="preserve">. </w:t>
            </w:r>
          </w:p>
        </w:tc>
      </w:tr>
      <w:tr w:rsidR="009E5D98" w14:paraId="2A4A6191" w14:textId="77777777" w:rsidTr="003F4876">
        <w:tc>
          <w:tcPr>
            <w:tcW w:w="2127" w:type="dxa"/>
          </w:tcPr>
          <w:p w14:paraId="2A142D7E" w14:textId="77777777" w:rsidR="009E5D98" w:rsidRPr="000C0CD5" w:rsidRDefault="009E5D98" w:rsidP="00CD1FEB">
            <w:pPr>
              <w:spacing w:after="0"/>
            </w:pPr>
            <w:r>
              <w:t xml:space="preserve">National Catholic Education Commission submission </w:t>
            </w:r>
          </w:p>
        </w:tc>
        <w:tc>
          <w:tcPr>
            <w:tcW w:w="6883" w:type="dxa"/>
          </w:tcPr>
          <w:p w14:paraId="6321FF42" w14:textId="77777777" w:rsidR="009E5D98" w:rsidRPr="000C0CD5" w:rsidRDefault="009E5D98" w:rsidP="00F66D2A">
            <w:pPr>
              <w:pStyle w:val="ListParagraph"/>
              <w:numPr>
                <w:ilvl w:val="0"/>
                <w:numId w:val="13"/>
              </w:numPr>
              <w:spacing w:after="0"/>
            </w:pPr>
            <w:r>
              <w:t>There could be greater involvement of higher education providers in the professional lives of early career teachers. Provider programs could work collaboratively with and in support of the induction and mentoring developed and delivered by systems and schools.</w:t>
            </w:r>
          </w:p>
        </w:tc>
      </w:tr>
      <w:tr w:rsidR="009E5D98" w14:paraId="7E8289B5" w14:textId="77777777" w:rsidTr="003F4876">
        <w:tc>
          <w:tcPr>
            <w:tcW w:w="2127" w:type="dxa"/>
          </w:tcPr>
          <w:p w14:paraId="028DC24F" w14:textId="77777777" w:rsidR="009E5D98" w:rsidRPr="000C0CD5" w:rsidRDefault="009E5D98" w:rsidP="00CD1FEB">
            <w:pPr>
              <w:spacing w:after="0"/>
            </w:pPr>
            <w:r>
              <w:t>Flinders University submission</w:t>
            </w:r>
          </w:p>
        </w:tc>
        <w:tc>
          <w:tcPr>
            <w:tcW w:w="6883" w:type="dxa"/>
          </w:tcPr>
          <w:p w14:paraId="136400E2" w14:textId="041BC498" w:rsidR="009E5D98" w:rsidRPr="000C0CD5" w:rsidRDefault="009E5D98" w:rsidP="00F66D2A">
            <w:pPr>
              <w:pStyle w:val="ListParagraph"/>
              <w:numPr>
                <w:ilvl w:val="0"/>
                <w:numId w:val="13"/>
              </w:numPr>
              <w:spacing w:after="0"/>
            </w:pPr>
            <w:r>
              <w:t xml:space="preserve">As higher education </w:t>
            </w:r>
            <w:r w:rsidRPr="008910C5">
              <w:t>providers are engaged in research with graduate teachers</w:t>
            </w:r>
            <w:r>
              <w:t xml:space="preserve">, </w:t>
            </w:r>
            <w:r w:rsidRPr="008910C5">
              <w:t>it would be ideal to develop more structured collaborative programs with educational sectors to ensure successful transitions and support for retaining early career teachers in the profession</w:t>
            </w:r>
            <w:r>
              <w:t>.</w:t>
            </w:r>
          </w:p>
        </w:tc>
      </w:tr>
      <w:tr w:rsidR="009E5D98" w14:paraId="0E8C6F64" w14:textId="77777777" w:rsidTr="003F4876">
        <w:tc>
          <w:tcPr>
            <w:tcW w:w="2127" w:type="dxa"/>
          </w:tcPr>
          <w:p w14:paraId="5C4F5F22" w14:textId="22D46351" w:rsidR="009E5D98" w:rsidRDefault="009E5D98" w:rsidP="003A6E6E">
            <w:pPr>
              <w:keepNext/>
              <w:keepLines/>
              <w:spacing w:after="0"/>
            </w:pPr>
            <w:r>
              <w:lastRenderedPageBreak/>
              <w:t>Victorian Department of Education and Training submission</w:t>
            </w:r>
          </w:p>
        </w:tc>
        <w:tc>
          <w:tcPr>
            <w:tcW w:w="6883" w:type="dxa"/>
          </w:tcPr>
          <w:p w14:paraId="6C017257" w14:textId="2D0D5BB0" w:rsidR="009E5D98" w:rsidRDefault="009E5D98" w:rsidP="00F66D2A">
            <w:pPr>
              <w:pStyle w:val="ListParagraph"/>
              <w:keepNext/>
              <w:keepLines/>
              <w:numPr>
                <w:ilvl w:val="0"/>
                <w:numId w:val="13"/>
              </w:numPr>
              <w:spacing w:after="0"/>
            </w:pPr>
            <w:r>
              <w:t>The Transforming the First Years of the Teaching Career pilot will support up to 700 graduate primary teachers in their first years as a teacher. The pilot will run until 2023 as a structured two-year induction program, focusing on the transition from ITE to the classroom, establishing and developing professional identity, developing career pathways and building professional practice excellence.</w:t>
            </w:r>
          </w:p>
        </w:tc>
      </w:tr>
      <w:tr w:rsidR="000A7758" w14:paraId="7E913553" w14:textId="77777777" w:rsidTr="003F4876">
        <w:tc>
          <w:tcPr>
            <w:tcW w:w="2127" w:type="dxa"/>
          </w:tcPr>
          <w:p w14:paraId="314CBDD5" w14:textId="43940270" w:rsidR="000A7758" w:rsidRDefault="000A7758" w:rsidP="003A6E6E">
            <w:pPr>
              <w:keepNext/>
              <w:keepLines/>
              <w:spacing w:after="0"/>
            </w:pPr>
            <w:r>
              <w:t xml:space="preserve">Teachers and Teaching </w:t>
            </w:r>
            <w:r w:rsidR="00FB3AB8">
              <w:t>Research</w:t>
            </w:r>
            <w:r>
              <w:t xml:space="preserve"> Centre, </w:t>
            </w:r>
            <w:r w:rsidR="00154466">
              <w:t>University of Newcastle</w:t>
            </w:r>
            <w:r w:rsidR="00FC3E4D">
              <w:t xml:space="preserve"> submission</w:t>
            </w:r>
          </w:p>
        </w:tc>
        <w:tc>
          <w:tcPr>
            <w:tcW w:w="6883" w:type="dxa"/>
          </w:tcPr>
          <w:p w14:paraId="681B68D2" w14:textId="348E8587" w:rsidR="000A7758" w:rsidRDefault="00C55F63" w:rsidP="00F66D2A">
            <w:pPr>
              <w:pStyle w:val="ListParagraph"/>
              <w:keepNext/>
              <w:keepLines/>
              <w:numPr>
                <w:ilvl w:val="0"/>
                <w:numId w:val="13"/>
              </w:numPr>
              <w:spacing w:after="0"/>
            </w:pPr>
            <w:r>
              <w:t xml:space="preserve">Consider </w:t>
            </w:r>
            <w:r w:rsidR="009E3D0D">
              <w:t>supporting</w:t>
            </w:r>
            <w:r>
              <w:t xml:space="preserve"> all beginning teachers to participate in a set of Quality Teaching Rounds</w:t>
            </w:r>
            <w:r w:rsidR="00C54AA3">
              <w:t xml:space="preserve">, </w:t>
            </w:r>
            <w:r w:rsidR="00FB4B9B">
              <w:t>working with colleagues including leading teachers and principals where possible</w:t>
            </w:r>
            <w:r w:rsidR="00C54AA3">
              <w:t xml:space="preserve">, </w:t>
            </w:r>
            <w:r w:rsidR="00255499">
              <w:t>to provide</w:t>
            </w:r>
            <w:r w:rsidR="00C54AA3">
              <w:t xml:space="preserve"> safe and structured opportunities to observe their colleagues and engage in deep discussions of practice, including their own.</w:t>
            </w:r>
          </w:p>
        </w:tc>
      </w:tr>
    </w:tbl>
    <w:p w14:paraId="3FFDC51E" w14:textId="77777777" w:rsidR="00CD1FEB" w:rsidRPr="00CD1FEB" w:rsidRDefault="00CD1FEB" w:rsidP="00CD1FEB">
      <w:pPr>
        <w:spacing w:after="0"/>
      </w:pPr>
    </w:p>
    <w:p w14:paraId="5231B52B" w14:textId="7B38756D" w:rsidR="009E5D98" w:rsidRDefault="009E5D98" w:rsidP="00CD1FEB">
      <w:pPr>
        <w:pStyle w:val="Heading6"/>
        <w:spacing w:before="0"/>
      </w:pPr>
      <w:r>
        <w:t>Mentoring</w:t>
      </w:r>
    </w:p>
    <w:p w14:paraId="5EB2DFA9" w14:textId="57F7B22B" w:rsidR="009E5D98" w:rsidRPr="0072206E" w:rsidRDefault="009E5D98" w:rsidP="00CD1FEB">
      <w:pPr>
        <w:pStyle w:val="Quote"/>
        <w:framePr w:wrap="around"/>
      </w:pPr>
      <w:r w:rsidRPr="0072206E">
        <w:t>‘ITE providers should ensure pre-service teachers are partnered with an expert supervisor who is able to give them explicit, direct and personalised feedback. Some Catholic School Authorities highlighted that often an absence of sufficient expert supervising teachers results in pre-service teachers completing practicum placements with mentors who are inexperienced, who do not hold the required skills or interest in mentoring the pre-service teacher, or who do not demonstrate excellent teaching practices themselves in order to model them to the pre-service teacher.’</w:t>
      </w:r>
    </w:p>
    <w:p w14:paraId="5717DF98" w14:textId="556BF710" w:rsidR="009E5D98" w:rsidRPr="0072206E" w:rsidRDefault="009E5D98" w:rsidP="00CD1FEB">
      <w:pPr>
        <w:pStyle w:val="Quote"/>
        <w:framePr w:wrap="around"/>
      </w:pPr>
      <w:r w:rsidRPr="0072206E">
        <w:t>(Queensland Catholic Education Commission submission).</w:t>
      </w:r>
    </w:p>
    <w:p w14:paraId="69EAE37B" w14:textId="77777777" w:rsidR="00B014EC" w:rsidRDefault="00B014EC" w:rsidP="00B014EC">
      <w:pPr>
        <w:spacing w:after="0"/>
      </w:pPr>
    </w:p>
    <w:p w14:paraId="1D94A584" w14:textId="6B56543F" w:rsidR="009E5D98" w:rsidRDefault="009E5D98" w:rsidP="009E5D98">
      <w:r w:rsidDel="00892A3C">
        <w:t xml:space="preserve">Mentoring is a key element of early career teacher support. To best support </w:t>
      </w:r>
      <w:r w:rsidR="00D126EF">
        <w:t>ITE students</w:t>
      </w:r>
      <w:r w:rsidDel="00892A3C">
        <w:t xml:space="preserve"> and graduate teachers, the role of mentors should be </w:t>
      </w:r>
      <w:r w:rsidDel="00C81DCB">
        <w:t>valued</w:t>
      </w:r>
      <w:r w:rsidDel="00892A3C">
        <w:t xml:space="preserve">, with time and </w:t>
      </w:r>
      <w:r w:rsidR="00BB1541">
        <w:t>professional development</w:t>
      </w:r>
      <w:r w:rsidDel="00892A3C">
        <w:t xml:space="preserve"> provided to support teachers undertaking these roles. According to the 2018 </w:t>
      </w:r>
      <w:r w:rsidR="00230870" w:rsidRPr="00230870">
        <w:t xml:space="preserve">Organisation for Economic Co-operation and Development </w:t>
      </w:r>
      <w:r w:rsidR="00230870">
        <w:t>(</w:t>
      </w:r>
      <w:r w:rsidR="008C3E2A">
        <w:t>OECD</w:t>
      </w:r>
      <w:r w:rsidR="00230870">
        <w:t>)</w:t>
      </w:r>
      <w:r w:rsidR="008C3E2A">
        <w:t xml:space="preserve"> </w:t>
      </w:r>
      <w:r w:rsidR="0032374E">
        <w:t>Teaching and Learning International Survey</w:t>
      </w:r>
      <w:r w:rsidR="0032374E" w:rsidDel="00892A3C">
        <w:t xml:space="preserve"> </w:t>
      </w:r>
      <w:r w:rsidR="00ED0403">
        <w:t>(</w:t>
      </w:r>
      <w:r w:rsidDel="00892A3C">
        <w:t>TALIS</w:t>
      </w:r>
      <w:r w:rsidR="00ED0403">
        <w:t>)</w:t>
      </w:r>
      <w:r w:rsidDel="00892A3C">
        <w:t xml:space="preserve"> only 37</w:t>
      </w:r>
      <w:r w:rsidR="004B5B05">
        <w:t> </w:t>
      </w:r>
      <w:r w:rsidDel="00892A3C">
        <w:t>per</w:t>
      </w:r>
      <w:r w:rsidR="004B5B05">
        <w:t> </w:t>
      </w:r>
      <w:r w:rsidDel="00892A3C">
        <w:t xml:space="preserve">cent of </w:t>
      </w:r>
      <w:r>
        <w:t>g</w:t>
      </w:r>
      <w:r w:rsidDel="00892A3C">
        <w:t xml:space="preserve">raduate teachers </w:t>
      </w:r>
      <w:r w:rsidR="00847CCE">
        <w:t>in Australia</w:t>
      </w:r>
      <w:r w:rsidDel="00892A3C">
        <w:t xml:space="preserve"> (those with up to five years’ experience) report that they have a mentor.</w:t>
      </w:r>
      <w:r>
        <w:t xml:space="preserve"> </w:t>
      </w:r>
    </w:p>
    <w:p w14:paraId="299C104E" w14:textId="76E02D96" w:rsidR="009E5D98" w:rsidRDefault="009E5D98" w:rsidP="009E5D98">
      <w:pPr>
        <w:rPr>
          <w:b/>
          <w:bCs/>
          <w:sz w:val="23"/>
          <w:szCs w:val="23"/>
        </w:rPr>
      </w:pPr>
      <w:r>
        <w:t>Stakeholders acknowledged that m</w:t>
      </w:r>
      <w:r w:rsidDel="00892A3C">
        <w:t>entoring is not an inherent skill and</w:t>
      </w:r>
      <w:r w:rsidDel="00035788">
        <w:t xml:space="preserve"> </w:t>
      </w:r>
      <w:r w:rsidDel="00892A3C">
        <w:t xml:space="preserve">that it is important that </w:t>
      </w:r>
      <w:r w:rsidR="00B62514">
        <w:t>ITE students</w:t>
      </w:r>
      <w:r w:rsidDel="00892A3C">
        <w:t xml:space="preserve"> and graduate teachers are partnered with teachers who are trained and accredited</w:t>
      </w:r>
      <w:r w:rsidR="00037B59">
        <w:t xml:space="preserve">, </w:t>
      </w:r>
      <w:r w:rsidDel="00892A3C">
        <w:t>with the skills to support and guide them and provide explicit and personalised feedback (Central Queensland University submission; Queensland Catholic Education Commission submission; Australian Primary Principals Association submission</w:t>
      </w:r>
      <w:r>
        <w:t>; Monash University</w:t>
      </w:r>
      <w:r w:rsidR="00F515E7">
        <w:t xml:space="preserve"> submission</w:t>
      </w:r>
      <w:r w:rsidDel="00892A3C">
        <w:t>).</w:t>
      </w:r>
      <w:r w:rsidRPr="008247DE">
        <w:rPr>
          <w:b/>
          <w:bCs/>
          <w:sz w:val="23"/>
          <w:szCs w:val="23"/>
        </w:rPr>
        <w:t xml:space="preserve"> </w:t>
      </w:r>
    </w:p>
    <w:p w14:paraId="37EAB49A" w14:textId="04B97D55" w:rsidR="009E5D98" w:rsidRDefault="009E5D98" w:rsidP="009E5D98">
      <w:r w:rsidRPr="00C84860">
        <w:t xml:space="preserve">As mentoring programs typically rely on existing staff who have expert knowledge, </w:t>
      </w:r>
      <w:r>
        <w:t xml:space="preserve">a number of stakeholders highlighted that </w:t>
      </w:r>
      <w:r w:rsidRPr="00C84860">
        <w:t xml:space="preserve">taking on a mentoring role can also result in a </w:t>
      </w:r>
      <w:r w:rsidR="000904A8">
        <w:t>substantial</w:t>
      </w:r>
      <w:r w:rsidR="000904A8" w:rsidRPr="00C84860">
        <w:t xml:space="preserve"> </w:t>
      </w:r>
      <w:r w:rsidRPr="00C84860">
        <w:t xml:space="preserve">increase in </w:t>
      </w:r>
      <w:r>
        <w:t xml:space="preserve">the already significant </w:t>
      </w:r>
      <w:r w:rsidRPr="00C84860">
        <w:t>workload</w:t>
      </w:r>
      <w:r>
        <w:t xml:space="preserve"> of teachers. The Australian Teacher Education Association recommended e</w:t>
      </w:r>
      <w:r w:rsidRPr="00C639F0">
        <w:t xml:space="preserve">nsuring the </w:t>
      </w:r>
      <w:r>
        <w:t xml:space="preserve">teaching </w:t>
      </w:r>
      <w:r w:rsidRPr="00C639F0">
        <w:t xml:space="preserve">profession is structured in </w:t>
      </w:r>
      <w:r>
        <w:t xml:space="preserve">such </w:t>
      </w:r>
      <w:r w:rsidRPr="00C639F0">
        <w:t>a way that mentoring and teacher preparation is part of the core business of a teacher rather than an optional addition to their classroom responsibilities (Australian Teacher Education Association).</w:t>
      </w:r>
    </w:p>
    <w:p w14:paraId="5F12E542" w14:textId="0B7D64A9" w:rsidR="009E5D98" w:rsidRDefault="009E5D98" w:rsidP="009E5D98">
      <w:r>
        <w:t xml:space="preserve">Submissions stressed the need for access to quality mentoring </w:t>
      </w:r>
      <w:r w:rsidR="00112565">
        <w:t>and</w:t>
      </w:r>
      <w:r>
        <w:t xml:space="preserve"> </w:t>
      </w:r>
      <w:r w:rsidR="003B1912">
        <w:t>shared</w:t>
      </w:r>
      <w:r>
        <w:t xml:space="preserve"> personal experiences of </w:t>
      </w:r>
      <w:r w:rsidR="00610028">
        <w:t xml:space="preserve">effective and ineffective mentoring </w:t>
      </w:r>
      <w:r>
        <w:t xml:space="preserve">relationships. One submission suggested improving mentoring by </w:t>
      </w:r>
      <w:r w:rsidR="00270703">
        <w:t>adopting</w:t>
      </w:r>
      <w:r>
        <w:t xml:space="preserve"> a co</w:t>
      </w:r>
      <w:r w:rsidR="000904A8">
        <w:noBreakHyphen/>
      </w:r>
      <w:r>
        <w:t xml:space="preserve">teaching model, which would allow a new teacher to share the classroom with a more experienced teacher and learn from them, while also being able to </w:t>
      </w:r>
      <w:r w:rsidR="00270703">
        <w:t>relieve</w:t>
      </w:r>
      <w:r>
        <w:t xml:space="preserve"> some of the senior teacher’s administrative burden.</w:t>
      </w:r>
    </w:p>
    <w:p w14:paraId="077780C1" w14:textId="7867BC48" w:rsidR="00CD1FEB" w:rsidRDefault="009E5D98" w:rsidP="003A6E6E">
      <w:r>
        <w:t xml:space="preserve">Strengthening school-university partnerships is considered an effective way to deliver mentor </w:t>
      </w:r>
      <w:r w:rsidR="00BB1541">
        <w:t>professional development</w:t>
      </w:r>
      <w:r>
        <w:t xml:space="preserve"> and support ITE students from graduation through to employment. Exploring alternative models of mentoring, such as peer-group mentoring which involves teachers sharing and learning with others in a peer-group setting as opposed to a conventional teacher-mentor relationship </w:t>
      </w:r>
      <w:r w:rsidRPr="00E30774">
        <w:t xml:space="preserve">(Pennanen et al. 2020), </w:t>
      </w:r>
      <w:r w:rsidRPr="00C84860">
        <w:t>should also be considered and encouraged</w:t>
      </w:r>
      <w:r>
        <w:t xml:space="preserve">. </w:t>
      </w:r>
    </w:p>
    <w:p w14:paraId="6F4975DD" w14:textId="6C11F1D6" w:rsidR="009E5D98" w:rsidRDefault="009E5D98" w:rsidP="009E5D98">
      <w:pPr>
        <w:spacing w:before="240"/>
      </w:pPr>
      <w:r>
        <w:lastRenderedPageBreak/>
        <w:t>The Australian Secondary Principals Association advocates</w:t>
      </w:r>
      <w:r w:rsidR="00261694">
        <w:t xml:space="preserve"> that school leaders should be provided with</w:t>
      </w:r>
      <w:r>
        <w:t xml:space="preserve"> greater flexibility and support so that </w:t>
      </w:r>
      <w:r w:rsidR="00D725DF">
        <w:t>they can</w:t>
      </w:r>
      <w:r w:rsidR="00CC7443">
        <w:t xml:space="preserve"> devote </w:t>
      </w:r>
      <w:r>
        <w:t xml:space="preserve">greater attention to mentoring. </w:t>
      </w:r>
      <w:r w:rsidR="00F06F8B">
        <w:t>School c</w:t>
      </w:r>
      <w:r>
        <w:t xml:space="preserve">luster-based mentoring programs and effective communities of practice could support these aims (Australian Secondary Principals Association submission). It was also noted that the role of school leadership in influencing </w:t>
      </w:r>
      <w:r w:rsidR="000904A8">
        <w:t xml:space="preserve">teacher </w:t>
      </w:r>
      <w:r>
        <w:t xml:space="preserve">professional learning should be recognised (Queensland Department of Education submission). It is also acknowledged though, that school leaders face increasing pressures and workloads which may </w:t>
      </w:r>
      <w:r w:rsidR="00EF65D8">
        <w:t>affect</w:t>
      </w:r>
      <w:r>
        <w:t xml:space="preserve"> their ability to support and encourage teachers at the start of their careers (AITSL</w:t>
      </w:r>
      <w:r w:rsidR="00F515E7">
        <w:t xml:space="preserve"> submission</w:t>
      </w:r>
      <w:r>
        <w:t>).</w:t>
      </w:r>
    </w:p>
    <w:p w14:paraId="60851FCB" w14:textId="7D5B82B0" w:rsidR="009E5D98" w:rsidRDefault="009E5D98" w:rsidP="009E5D98">
      <w:r>
        <w:t xml:space="preserve">Programs such as Teach For Australia prioritise the selection of appropriate mentors, selected in partnership with participating schools. Mentors undertake the Mentor Development Program, which provides </w:t>
      </w:r>
      <w:r w:rsidR="00AE0850">
        <w:t>professional development</w:t>
      </w:r>
      <w:r>
        <w:t xml:space="preserve"> in instructional coaching</w:t>
      </w:r>
      <w:r w:rsidR="00273DC9">
        <w:t>,</w:t>
      </w:r>
      <w:r>
        <w:t xml:space="preserve"> and also receive regular funded time release to complete the program and meet weekly with their mentee (Teach For Australia submission). Models such as the Alphacrucis College School Hub </w:t>
      </w:r>
      <w:r w:rsidR="00162BEF">
        <w:t>schedule</w:t>
      </w:r>
      <w:r>
        <w:t xml:space="preserve"> timetable release</w:t>
      </w:r>
      <w:r w:rsidR="00162BEF">
        <w:t xml:space="preserve"> for mentor teachers</w:t>
      </w:r>
      <w:r>
        <w:t>, with mentoring and coaching formally structured as part of the program (Alphacrucis College submission).</w:t>
      </w:r>
    </w:p>
    <w:p w14:paraId="6E218865" w14:textId="1407DEBD" w:rsidR="009E5D98" w:rsidRDefault="000D7288" w:rsidP="00B014EC">
      <w:pPr>
        <w:spacing w:after="0"/>
      </w:pPr>
      <w:r>
        <w:t>O</w:t>
      </w:r>
      <w:r w:rsidR="009E5D98">
        <w:t>ther suggestions for tailoring professional learning for mentors to address the skills needed to most effectively support early career teachers include:</w:t>
      </w:r>
    </w:p>
    <w:p w14:paraId="177A8487" w14:textId="0CF8BCEC" w:rsidR="009E5D98" w:rsidRDefault="00CE7BAC" w:rsidP="00F66D2A">
      <w:pPr>
        <w:pStyle w:val="ListParagraph"/>
        <w:numPr>
          <w:ilvl w:val="0"/>
          <w:numId w:val="16"/>
        </w:numPr>
      </w:pPr>
      <w:r>
        <w:t>h</w:t>
      </w:r>
      <w:r w:rsidR="009E5D98">
        <w:t>igher education providers working with schools to develop and deliver professional learning focused on the required skills for successful mentoring</w:t>
      </w:r>
    </w:p>
    <w:p w14:paraId="523AF001" w14:textId="09A491B3" w:rsidR="009E5D98" w:rsidRDefault="009E5D98" w:rsidP="00F66D2A">
      <w:pPr>
        <w:pStyle w:val="ListParagraph"/>
        <w:numPr>
          <w:ilvl w:val="0"/>
          <w:numId w:val="16"/>
        </w:numPr>
      </w:pPr>
      <w:r w:rsidRPr="002C28A1">
        <w:t>explor</w:t>
      </w:r>
      <w:r>
        <w:t xml:space="preserve">ing </w:t>
      </w:r>
      <w:r w:rsidRPr="002C28A1">
        <w:t xml:space="preserve">programs and models </w:t>
      </w:r>
      <w:r>
        <w:t>that</w:t>
      </w:r>
      <w:r w:rsidRPr="002C28A1">
        <w:t xml:space="preserve"> increase support, such as using retired teachers to mentor supervising teachers and school leaders to improve their skills and effectiveness in supporting the next generation of teachers</w:t>
      </w:r>
      <w:r>
        <w:t xml:space="preserve"> (Queensland Department of Education</w:t>
      </w:r>
      <w:r w:rsidR="004463F7">
        <w:t xml:space="preserve"> submission</w:t>
      </w:r>
      <w:r>
        <w:t>)</w:t>
      </w:r>
    </w:p>
    <w:p w14:paraId="3A1642B6" w14:textId="0D948517" w:rsidR="009E5D98" w:rsidRDefault="009E5D98" w:rsidP="00F66D2A">
      <w:pPr>
        <w:pStyle w:val="ListParagraph"/>
        <w:numPr>
          <w:ilvl w:val="0"/>
          <w:numId w:val="16"/>
        </w:numPr>
      </w:pPr>
      <w:r>
        <w:t>developing a governing body to oversee mentoring and early career support.</w:t>
      </w:r>
    </w:p>
    <w:p w14:paraId="33CA3794" w14:textId="0E043963" w:rsidR="009E5D98" w:rsidRDefault="009E5D98" w:rsidP="009E5D98">
      <w:r>
        <w:t>Other stakeholders advocated for a standardised approach to mentoring (Victorian Council of Deans of Education</w:t>
      </w:r>
      <w:r w:rsidR="00F515E7">
        <w:t xml:space="preserve"> submission</w:t>
      </w:r>
      <w:r>
        <w:t>; AITSL</w:t>
      </w:r>
      <w:r w:rsidR="00F515E7">
        <w:t xml:space="preserve"> submission</w:t>
      </w:r>
      <w:r>
        <w:t xml:space="preserve">). </w:t>
      </w:r>
      <w:r w:rsidR="00A43427">
        <w:t xml:space="preserve">The Australian </w:t>
      </w:r>
      <w:r w:rsidR="00166B6D">
        <w:t xml:space="preserve">Institute for </w:t>
      </w:r>
      <w:r w:rsidR="00562AD6">
        <w:t>Teaching and School Leadership (</w:t>
      </w:r>
      <w:r>
        <w:t>AITSL</w:t>
      </w:r>
      <w:r w:rsidR="00562AD6">
        <w:t>)</w:t>
      </w:r>
      <w:r>
        <w:t xml:space="preserve"> suggested the development of a set of descriptors, linked to the Teacher Standards and similar to the </w:t>
      </w:r>
      <w:r w:rsidRPr="00E015E1">
        <w:rPr>
          <w:i/>
          <w:iCs/>
        </w:rPr>
        <w:t xml:space="preserve">National Standards for </w:t>
      </w:r>
      <w:r w:rsidR="00D4043D">
        <w:rPr>
          <w:i/>
          <w:iCs/>
        </w:rPr>
        <w:t>school-based initial teacher training (ITT) m</w:t>
      </w:r>
      <w:r w:rsidRPr="00E015E1">
        <w:rPr>
          <w:i/>
          <w:iCs/>
        </w:rPr>
        <w:t xml:space="preserve">entors </w:t>
      </w:r>
      <w:r>
        <w:t>developed in the U</w:t>
      </w:r>
      <w:r w:rsidR="000E673F">
        <w:t xml:space="preserve">nited </w:t>
      </w:r>
      <w:r>
        <w:t>K</w:t>
      </w:r>
      <w:r w:rsidR="000E673F">
        <w:t>ingdom</w:t>
      </w:r>
      <w:r w:rsidR="007E30B0">
        <w:t xml:space="preserve"> (the</w:t>
      </w:r>
      <w:r w:rsidR="00037B59">
        <w:t> </w:t>
      </w:r>
      <w:r w:rsidR="007E30B0">
        <w:t>U</w:t>
      </w:r>
      <w:r w:rsidR="000E673F">
        <w:t>nited</w:t>
      </w:r>
      <w:r w:rsidR="00037B59">
        <w:t> </w:t>
      </w:r>
      <w:r w:rsidR="007E30B0">
        <w:t>K</w:t>
      </w:r>
      <w:r w:rsidR="000E673F">
        <w:t>ingdom</w:t>
      </w:r>
      <w:r w:rsidR="004B5B05">
        <w:t> </w:t>
      </w:r>
      <w:r w:rsidR="00D4043D">
        <w:t xml:space="preserve">Mentor </w:t>
      </w:r>
      <w:r w:rsidR="007E30B0">
        <w:t>Standards)</w:t>
      </w:r>
      <w:r>
        <w:t xml:space="preserve">, which could assist teachers to better support </w:t>
      </w:r>
      <w:r w:rsidR="008976D5">
        <w:t>ITE students</w:t>
      </w:r>
      <w:r>
        <w:t xml:space="preserve"> and early career teachers.</w:t>
      </w:r>
    </w:p>
    <w:p w14:paraId="5DC8A617" w14:textId="322FFB86" w:rsidR="009E5D98" w:rsidRDefault="009E5D98" w:rsidP="009E5D98">
      <w:r w:rsidDel="00D41E3B">
        <w:t>The U</w:t>
      </w:r>
      <w:r w:rsidR="000E673F">
        <w:t xml:space="preserve">nited </w:t>
      </w:r>
      <w:r w:rsidDel="00D41E3B">
        <w:t>K</w:t>
      </w:r>
      <w:r w:rsidR="000E673F">
        <w:t>ingdom</w:t>
      </w:r>
      <w:r w:rsidDel="00D41E3B">
        <w:t xml:space="preserve"> </w:t>
      </w:r>
      <w:r w:rsidR="00D4043D">
        <w:t xml:space="preserve">Mentor </w:t>
      </w:r>
      <w:r w:rsidDel="00D41E3B">
        <w:t>Standards identify four key areas: personal qualities, teaching, professionalism and self-development and working in partnership. They also identify how the standards should be us</w:t>
      </w:r>
      <w:r w:rsidDel="003A1FEB">
        <w:t>ed</w:t>
      </w:r>
      <w:r w:rsidDel="00D74250">
        <w:t>.</w:t>
      </w:r>
    </w:p>
    <w:p w14:paraId="0117C056" w14:textId="5D546078" w:rsidR="008B19A3" w:rsidRDefault="008B19A3" w:rsidP="00B014EC">
      <w:pPr>
        <w:pStyle w:val="Breakoutbox1body"/>
        <w:rPr>
          <w:b/>
          <w:bCs w:val="0"/>
        </w:rPr>
      </w:pPr>
      <w:r w:rsidRPr="00B014EC">
        <w:rPr>
          <w:b/>
          <w:bCs w:val="0"/>
        </w:rPr>
        <w:lastRenderedPageBreak/>
        <w:t>U</w:t>
      </w:r>
      <w:r w:rsidR="000E673F">
        <w:rPr>
          <w:b/>
          <w:bCs w:val="0"/>
        </w:rPr>
        <w:t xml:space="preserve">nited </w:t>
      </w:r>
      <w:r w:rsidRPr="00B014EC">
        <w:rPr>
          <w:b/>
          <w:bCs w:val="0"/>
        </w:rPr>
        <w:t>K</w:t>
      </w:r>
      <w:r w:rsidR="000E673F">
        <w:rPr>
          <w:b/>
          <w:bCs w:val="0"/>
        </w:rPr>
        <w:t>ingdom</w:t>
      </w:r>
      <w:r w:rsidRPr="00B014EC">
        <w:rPr>
          <w:b/>
          <w:bCs w:val="0"/>
        </w:rPr>
        <w:t xml:space="preserve"> </w:t>
      </w:r>
      <w:r w:rsidR="00D4043D" w:rsidRPr="00D4043D">
        <w:rPr>
          <w:b/>
          <w:bCs w:val="0"/>
        </w:rPr>
        <w:t xml:space="preserve">National Standards for school-based initial teacher training (ITT) mentors </w:t>
      </w:r>
    </w:p>
    <w:p w14:paraId="27EE4775" w14:textId="6C3A1696" w:rsidR="009E5D98" w:rsidRPr="00B014EC" w:rsidRDefault="009E5D98" w:rsidP="00B014EC">
      <w:pPr>
        <w:pStyle w:val="Breakoutbox1body"/>
        <w:rPr>
          <w:u w:val="single"/>
        </w:rPr>
      </w:pPr>
      <w:r w:rsidRPr="00B014EC">
        <w:rPr>
          <w:u w:val="single"/>
        </w:rPr>
        <w:t xml:space="preserve">Mentors should use the standards to: </w:t>
      </w:r>
    </w:p>
    <w:p w14:paraId="3064F1DD" w14:textId="173501BC" w:rsidR="009E5D98" w:rsidRPr="00B014EC" w:rsidRDefault="009E5D98" w:rsidP="00B014EC">
      <w:pPr>
        <w:pStyle w:val="Breakoutbox1body"/>
      </w:pPr>
      <w:r w:rsidRPr="00B014EC">
        <w:t>• understand what is expected of them and see that it is a manageable role</w:t>
      </w:r>
    </w:p>
    <w:p w14:paraId="20F3F79C" w14:textId="085B9115" w:rsidR="009E5D98" w:rsidRPr="00B014EC" w:rsidRDefault="009E5D98" w:rsidP="00B014EC">
      <w:pPr>
        <w:pStyle w:val="Breakoutbox1body"/>
      </w:pPr>
      <w:r w:rsidRPr="00B014EC">
        <w:t>• enable self-evaluation of practice and help identify areas for further improvement</w:t>
      </w:r>
    </w:p>
    <w:p w14:paraId="1C3546A1" w14:textId="67903AF9" w:rsidR="009E5D98" w:rsidRPr="00B014EC" w:rsidRDefault="009E5D98" w:rsidP="00B014EC">
      <w:pPr>
        <w:pStyle w:val="Breakoutbox1body"/>
      </w:pPr>
      <w:r w:rsidRPr="00B014EC">
        <w:t xml:space="preserve">• support the delivery of the training plan </w:t>
      </w:r>
    </w:p>
    <w:p w14:paraId="24CAE25E" w14:textId="71329E70" w:rsidR="009E5D98" w:rsidRPr="00B014EC" w:rsidRDefault="009E5D98" w:rsidP="00CD1FEB">
      <w:pPr>
        <w:pStyle w:val="Breakoutbox1body"/>
        <w:spacing w:after="200"/>
      </w:pPr>
      <w:r w:rsidRPr="00B014EC">
        <w:t xml:space="preserve">• induct trainees into the school and the profession. </w:t>
      </w:r>
    </w:p>
    <w:p w14:paraId="3BB25691" w14:textId="6C3A1696" w:rsidR="009E5D98" w:rsidRPr="00B014EC" w:rsidRDefault="009E5D98" w:rsidP="00B014EC">
      <w:pPr>
        <w:pStyle w:val="Breakoutbox1body"/>
        <w:rPr>
          <w:u w:val="single"/>
        </w:rPr>
      </w:pPr>
      <w:r w:rsidRPr="00B014EC">
        <w:rPr>
          <w:u w:val="single"/>
        </w:rPr>
        <w:t xml:space="preserve">Aspiring mentors should use the standards to: </w:t>
      </w:r>
    </w:p>
    <w:p w14:paraId="3E72805C" w14:textId="77777777" w:rsidR="00B014EC" w:rsidRDefault="009E5D98" w:rsidP="00CD1FEB">
      <w:pPr>
        <w:pStyle w:val="Breakoutbox1body"/>
        <w:spacing w:after="200"/>
      </w:pPr>
      <w:r w:rsidRPr="00B014EC">
        <w:t>• identify and seek to develop the skills and experience needed to undertake the mentoring role effectively.</w:t>
      </w:r>
    </w:p>
    <w:p w14:paraId="5E079221" w14:textId="6C3A1696" w:rsidR="009E5D98" w:rsidRPr="00B014EC" w:rsidRDefault="009E5D98" w:rsidP="00B014EC">
      <w:pPr>
        <w:pStyle w:val="Breakoutbox1body"/>
        <w:rPr>
          <w:u w:val="single"/>
        </w:rPr>
      </w:pPr>
      <w:r w:rsidRPr="00B014EC">
        <w:rPr>
          <w:u w:val="single"/>
        </w:rPr>
        <w:t xml:space="preserve">Trainees should use the standards to: </w:t>
      </w:r>
    </w:p>
    <w:p w14:paraId="72943D3B" w14:textId="4A7BF4BF" w:rsidR="009E5D98" w:rsidRPr="00B014EC" w:rsidRDefault="009E5D98" w:rsidP="00B014EC">
      <w:pPr>
        <w:pStyle w:val="Breakoutbox1body"/>
      </w:pPr>
      <w:r w:rsidRPr="00B014EC">
        <w:t xml:space="preserve">• understand what support they can expect from their school-based mentor </w:t>
      </w:r>
    </w:p>
    <w:p w14:paraId="1729A478" w14:textId="49B30CA2" w:rsidR="009E5D98" w:rsidRDefault="009E5D98" w:rsidP="00CD1FEB">
      <w:pPr>
        <w:pStyle w:val="Breakoutbox1body"/>
        <w:spacing w:after="200"/>
      </w:pPr>
      <w:r w:rsidRPr="00B014EC">
        <w:t xml:space="preserve">• develop transferable skills, for example, in lesson observation and </w:t>
      </w:r>
      <w:r w:rsidR="00025231" w:rsidRPr="00B014EC">
        <w:t xml:space="preserve">delivering </w:t>
      </w:r>
      <w:r w:rsidRPr="00B014EC">
        <w:t xml:space="preserve">feedback. </w:t>
      </w:r>
    </w:p>
    <w:p w14:paraId="3AB098B1" w14:textId="239DC43B" w:rsidR="009E5D98" w:rsidRPr="00B014EC" w:rsidRDefault="005A370F" w:rsidP="00B014EC">
      <w:pPr>
        <w:pStyle w:val="Breakoutbox1body"/>
        <w:rPr>
          <w:u w:val="single"/>
        </w:rPr>
      </w:pPr>
      <w:r w:rsidRPr="00B014EC">
        <w:rPr>
          <w:u w:val="single"/>
        </w:rPr>
        <w:t>I</w:t>
      </w:r>
      <w:r w:rsidR="00037B59">
        <w:rPr>
          <w:u w:val="single"/>
        </w:rPr>
        <w:t>TT</w:t>
      </w:r>
      <w:r w:rsidR="009E5D98" w:rsidRPr="00B014EC">
        <w:rPr>
          <w:u w:val="single"/>
        </w:rPr>
        <w:t xml:space="preserve"> providers and school leaders should use the standards to: </w:t>
      </w:r>
    </w:p>
    <w:p w14:paraId="2D00F471" w14:textId="750FA2DA" w:rsidR="009E5D98" w:rsidRPr="00B014EC" w:rsidRDefault="009E5D98" w:rsidP="00B014EC">
      <w:pPr>
        <w:pStyle w:val="Breakoutbox1body"/>
      </w:pPr>
      <w:r w:rsidRPr="00B014EC">
        <w:t xml:space="preserve">• raise the status and recognition of the mentoring role </w:t>
      </w:r>
    </w:p>
    <w:p w14:paraId="74F08B61" w14:textId="79BEBE1C" w:rsidR="009E5D98" w:rsidRPr="00B014EC" w:rsidRDefault="009E5D98" w:rsidP="00B014EC">
      <w:pPr>
        <w:pStyle w:val="Breakoutbox1body"/>
      </w:pPr>
      <w:r w:rsidRPr="00B014EC">
        <w:t xml:space="preserve">• bring consistency in mentoring within any agreement made with schools in delivering ITT </w:t>
      </w:r>
    </w:p>
    <w:p w14:paraId="250DBE87" w14:textId="2BF1C497" w:rsidR="009E5D98" w:rsidRPr="00B014EC" w:rsidRDefault="009E5D98" w:rsidP="00B014EC">
      <w:pPr>
        <w:pStyle w:val="Breakoutbox1body"/>
      </w:pPr>
      <w:r w:rsidRPr="00B014EC">
        <w:t xml:space="preserve">• inform the training of mentors and monitoring of their support to trainees </w:t>
      </w:r>
    </w:p>
    <w:p w14:paraId="59BA75A2" w14:textId="25903D19" w:rsidR="009E5D98" w:rsidRPr="00B014EC" w:rsidRDefault="009E5D98" w:rsidP="00B014EC">
      <w:pPr>
        <w:pStyle w:val="Breakoutbox1body"/>
      </w:pPr>
      <w:r w:rsidRPr="00B014EC">
        <w:t>• establish rigorous mentor selection processes</w:t>
      </w:r>
    </w:p>
    <w:p w14:paraId="49B4E5CD" w14:textId="282137AA" w:rsidR="009E5D98" w:rsidRPr="00B014EC" w:rsidRDefault="009E5D98" w:rsidP="00CD1FEB">
      <w:pPr>
        <w:pStyle w:val="Breakoutbox1body"/>
        <w:spacing w:after="200"/>
      </w:pPr>
      <w:r w:rsidRPr="00B014EC">
        <w:t>• enhance the professional development of mentors including developing or identifying training needs.</w:t>
      </w:r>
    </w:p>
    <w:p w14:paraId="158BADEA" w14:textId="45A4428B" w:rsidR="009E5D98" w:rsidRPr="00B014EC" w:rsidRDefault="009E5D98" w:rsidP="00CD1FEB">
      <w:pPr>
        <w:pStyle w:val="Breakoutbox1body"/>
        <w:spacing w:after="200"/>
      </w:pPr>
      <w:r w:rsidRPr="00B014EC">
        <w:t xml:space="preserve">For more information see the </w:t>
      </w:r>
      <w:hyperlink r:id="rId54" w:history="1">
        <w:r w:rsidRPr="00037B59">
          <w:rPr>
            <w:rStyle w:val="Hyperlink"/>
            <w:b/>
            <w:bCs w:val="0"/>
            <w:color w:val="000000" w:themeColor="text1"/>
            <w:u w:val="none"/>
          </w:rPr>
          <w:t>Mentor Standards Final Report U</w:t>
        </w:r>
        <w:r w:rsidR="000E673F" w:rsidRPr="00037B59">
          <w:rPr>
            <w:rStyle w:val="Hyperlink"/>
            <w:b/>
            <w:bCs w:val="0"/>
            <w:color w:val="000000" w:themeColor="text1"/>
            <w:u w:val="none"/>
          </w:rPr>
          <w:t xml:space="preserve">nited </w:t>
        </w:r>
        <w:r w:rsidRPr="00037B59">
          <w:rPr>
            <w:rStyle w:val="Hyperlink"/>
            <w:b/>
            <w:bCs w:val="0"/>
            <w:color w:val="000000" w:themeColor="text1"/>
            <w:u w:val="none"/>
          </w:rPr>
          <w:t>K</w:t>
        </w:r>
      </w:hyperlink>
      <w:r w:rsidR="000E673F" w:rsidRPr="00037B59">
        <w:rPr>
          <w:rStyle w:val="Hyperlink"/>
          <w:b/>
          <w:bCs w:val="0"/>
          <w:color w:val="000000" w:themeColor="text1"/>
          <w:u w:val="none"/>
        </w:rPr>
        <w:t>ingdom</w:t>
      </w:r>
      <w:r w:rsidRPr="00B014EC">
        <w:t>.</w:t>
      </w:r>
    </w:p>
    <w:p w14:paraId="5E81AB0F" w14:textId="2CDA7FBA" w:rsidR="009E5D98" w:rsidRDefault="009E5D98" w:rsidP="009E5D98">
      <w:pPr>
        <w:pStyle w:val="Heading6"/>
      </w:pPr>
      <w:r>
        <w:t xml:space="preserve">Highly </w:t>
      </w:r>
      <w:r w:rsidR="00037B59">
        <w:t>A</w:t>
      </w:r>
      <w:r>
        <w:t xml:space="preserve">ccomplished and </w:t>
      </w:r>
      <w:r w:rsidR="00037B59">
        <w:t>L</w:t>
      </w:r>
      <w:r>
        <w:t xml:space="preserve">ead </w:t>
      </w:r>
      <w:r w:rsidR="00037B59">
        <w:t>T</w:t>
      </w:r>
      <w:r>
        <w:t>eachers</w:t>
      </w:r>
    </w:p>
    <w:p w14:paraId="2F8C59C8" w14:textId="6B4C48AB" w:rsidR="009E5D98" w:rsidRDefault="009E5D98" w:rsidP="009E5D98">
      <w:r>
        <w:t xml:space="preserve">Many stakeholders see there is potential for </w:t>
      </w:r>
      <w:r w:rsidR="00B10A28">
        <w:t xml:space="preserve">certified </w:t>
      </w:r>
      <w:r>
        <w:t>HALT</w:t>
      </w:r>
      <w:r w:rsidR="00037B59">
        <w:t xml:space="preserve">s </w:t>
      </w:r>
      <w:r>
        <w:t xml:space="preserve">to play a role in supporting </w:t>
      </w:r>
      <w:r w:rsidR="00037B59">
        <w:t xml:space="preserve">ITE </w:t>
      </w:r>
      <w:r w:rsidR="7DBECCD1">
        <w:t>students</w:t>
      </w:r>
      <w:r w:rsidR="6CF6674B">
        <w:t xml:space="preserve"> </w:t>
      </w:r>
      <w:r>
        <w:t xml:space="preserve">and early career teachers. HALTs have the necessary skills to provide mentoring and coaching and stakeholders highlighted that their expertise should be valued and </w:t>
      </w:r>
      <w:r w:rsidR="00853E38">
        <w:t>used in these roles</w:t>
      </w:r>
      <w:r>
        <w:t xml:space="preserve">. </w:t>
      </w:r>
    </w:p>
    <w:p w14:paraId="346F1D5E" w14:textId="032DE51E" w:rsidR="009E5D98" w:rsidRDefault="009E5D98" w:rsidP="009E5D98">
      <w:r>
        <w:t xml:space="preserve">It was also acknowledged, however, that there are currently not enough HALTs to play a significant role and that the workload of, and support for, HALTs would also need to be addressed to enable them to have an expanded role. </w:t>
      </w:r>
    </w:p>
    <w:p w14:paraId="3C5C0301" w14:textId="5053F964" w:rsidR="009E5D98" w:rsidRDefault="009E5D98" w:rsidP="009E5D98">
      <w:r>
        <w:t>HALT</w:t>
      </w:r>
      <w:r w:rsidR="00D75CB9">
        <w:t>s</w:t>
      </w:r>
      <w:r>
        <w:t xml:space="preserve"> make up less than one per cent of the teaching workforce (</w:t>
      </w:r>
      <w:r w:rsidR="00562AD6" w:rsidRPr="004048F4">
        <w:t xml:space="preserve">Australian Bureau of Statistics </w:t>
      </w:r>
      <w:r w:rsidRPr="005F4381">
        <w:t>2020</w:t>
      </w:r>
      <w:r>
        <w:t>). Queensland, for example, reports that HALTs work across only 99 of the 1250 state schools in Queensland (Queensland Department of Education submission).</w:t>
      </w:r>
      <w:r w:rsidRPr="0022208E">
        <w:t xml:space="preserve"> </w:t>
      </w:r>
    </w:p>
    <w:p w14:paraId="32798F53" w14:textId="497F2DE2" w:rsidR="009E5D98" w:rsidRDefault="009E5D98" w:rsidP="009E5D98">
      <w:r>
        <w:t xml:space="preserve">The Northern Territory reports that it has the highest proportion of </w:t>
      </w:r>
      <w:r w:rsidR="00B015B4">
        <w:t>HALTs</w:t>
      </w:r>
      <w:r>
        <w:t xml:space="preserve"> and that they are well positioned to undertake quality mentoring roles.</w:t>
      </w:r>
      <w:r w:rsidR="00B66A3F">
        <w:t xml:space="preserve"> </w:t>
      </w:r>
      <w:r>
        <w:t>Using Northern Territory HALTs to establish teaching</w:t>
      </w:r>
      <w:r w:rsidR="008C06B4">
        <w:t xml:space="preserve"> </w:t>
      </w:r>
      <w:r w:rsidR="000321DB">
        <w:t>–</w:t>
      </w:r>
      <w:r w:rsidR="00E24240">
        <w:t xml:space="preserve"> higher education</w:t>
      </w:r>
      <w:r w:rsidR="00CC21CC">
        <w:t xml:space="preserve"> </w:t>
      </w:r>
      <w:r>
        <w:t>provider fellowships to lead research and practice in high</w:t>
      </w:r>
      <w:r w:rsidR="00254786">
        <w:noBreakHyphen/>
      </w:r>
      <w:r>
        <w:t>impact ITE for regional, remote and N</w:t>
      </w:r>
      <w:r w:rsidR="00452DBE">
        <w:t>orthern</w:t>
      </w:r>
      <w:r w:rsidR="00037B59">
        <w:t> </w:t>
      </w:r>
      <w:r>
        <w:t>T</w:t>
      </w:r>
      <w:r w:rsidR="00452DBE">
        <w:t>erritory</w:t>
      </w:r>
      <w:r>
        <w:t xml:space="preserve"> schools may be worth exploring (Northern Territory Department of Education and Charles</w:t>
      </w:r>
      <w:r w:rsidR="00037B59">
        <w:t> D</w:t>
      </w:r>
      <w:r>
        <w:t>arwin University submission).</w:t>
      </w:r>
    </w:p>
    <w:p w14:paraId="6F222FAE" w14:textId="7FE7CEDE" w:rsidR="009E5D98" w:rsidRDefault="009E5D98" w:rsidP="009E5D98">
      <w:r>
        <w:t>The University of Queensland suggests that beginning teachers could be given a reduced teaching load in their first year and partnered with a mentor or more experienced teacher who could be a HALT (University of Queensland submission). It was also noted that graduate teachers could benefit from the support of HALTs in implementing the strategies and ideas they have learnt during their ITE program. At one New South Wales</w:t>
      </w:r>
      <w:r w:rsidR="007829CE">
        <w:t xml:space="preserve"> </w:t>
      </w:r>
      <w:r>
        <w:t xml:space="preserve">higher education provider, for example, </w:t>
      </w:r>
      <w:r w:rsidR="00921F6E">
        <w:t>ITE students</w:t>
      </w:r>
      <w:r>
        <w:t xml:space="preserve"> reported that they are enthusiastic about implementing classroom management and teaching strategies that meet the needs of students from diverse backgrounds, but need more experienced teachers such as HALTs to support and work with them.</w:t>
      </w:r>
    </w:p>
    <w:p w14:paraId="0D8C170E" w14:textId="70F2DE53" w:rsidR="009E5D98" w:rsidRDefault="009E5D98" w:rsidP="009E5D98">
      <w:r>
        <w:lastRenderedPageBreak/>
        <w:t xml:space="preserve">The Victorian Council of Deans of Education indicated that new models </w:t>
      </w:r>
      <w:r w:rsidR="00634E90">
        <w:t xml:space="preserve">of induction </w:t>
      </w:r>
      <w:r>
        <w:t xml:space="preserve">where HALTs work with higher education providers to plan, deliver content and then oversee </w:t>
      </w:r>
      <w:r w:rsidR="00287641">
        <w:t xml:space="preserve">ITE </w:t>
      </w:r>
      <w:r>
        <w:t xml:space="preserve">student placements in their school show promise (Victorian Council of Deans of Education submission). Other suggestions include HALTs working in </w:t>
      </w:r>
      <w:r w:rsidR="00DA6E48">
        <w:t xml:space="preserve">communities </w:t>
      </w:r>
      <w:r>
        <w:t xml:space="preserve">of </w:t>
      </w:r>
      <w:r w:rsidR="00DA6E48">
        <w:t>practice</w:t>
      </w:r>
      <w:r>
        <w:t xml:space="preserve"> to support </w:t>
      </w:r>
      <w:r w:rsidR="00BC50AF">
        <w:t>ITE students</w:t>
      </w:r>
      <w:r>
        <w:t xml:space="preserve"> and graduate teachers (Flinders University submission) or running school-based mentoring programs (Institute of Technology Education).</w:t>
      </w:r>
    </w:p>
    <w:p w14:paraId="5DF3EC41" w14:textId="2A6EC821" w:rsidR="009E5D98" w:rsidRDefault="00BC50AF" w:rsidP="009E5D98">
      <w:r>
        <w:t>E</w:t>
      </w:r>
      <w:r w:rsidR="009E5D98">
        <w:t>ffective mentoring requires time to observe other teachers, provide feedback and coaching. These are all time-intensive tasks that would require the structure of HALT roles to be examined (Teach For Australia submission). Like other experienced teachers taking on mentoring roles, HALTs should not be expected to fit these roles in a scheduled meal break or outside the school day. Rather, schools should be funded to provide release time (Catholic Education Diocese of Parramatta submission).</w:t>
      </w:r>
    </w:p>
    <w:p w14:paraId="71BB65E2" w14:textId="7700636A" w:rsidR="009E5D98" w:rsidRDefault="009E5D98" w:rsidP="009E5D98">
      <w:r>
        <w:t xml:space="preserve">The Queensland Department of Education notes that HALTs are not the only teachers who share their expertise with </w:t>
      </w:r>
      <w:r w:rsidR="00D11DC4">
        <w:t>ITE students</w:t>
      </w:r>
      <w:r>
        <w:t xml:space="preserve"> and that focusing on HALTs not only misconstrues the role and nature of certification but also underestimates the value of supervising teachers not certified as HALTs (Queensland Department of Education submission).</w:t>
      </w:r>
    </w:p>
    <w:p w14:paraId="3D407B00" w14:textId="0E33C566" w:rsidR="009E5D98" w:rsidRDefault="009E5D98" w:rsidP="009E5D98">
      <w:r>
        <w:t xml:space="preserve">AITSL suggests that the expertise of HALTs could be used to oversee the delivery of professional learning for proficient teachers in supervising and mentoring </w:t>
      </w:r>
      <w:r w:rsidR="00730BB3">
        <w:t>ITE students</w:t>
      </w:r>
      <w:r>
        <w:t xml:space="preserve"> and early career teachers. Evidence of this supervision and mentoring could form part of the application process for proficient teachers seeking HALT certification, which may be an incentive for more teachers to seek certification at these higher levels (AITSL</w:t>
      </w:r>
      <w:r w:rsidR="00486B47">
        <w:t> </w:t>
      </w:r>
      <w:r>
        <w:t>submission).</w:t>
      </w:r>
    </w:p>
    <w:p w14:paraId="629E41D4" w14:textId="77777777" w:rsidR="009D1FB2" w:rsidRDefault="009E5D98" w:rsidP="009D1FB2">
      <w:pPr>
        <w:pStyle w:val="Breakoutbox2"/>
        <w:spacing w:after="0"/>
        <w:rPr>
          <w:b/>
          <w:bCs/>
        </w:rPr>
      </w:pPr>
      <w:r w:rsidRPr="009E3242">
        <w:rPr>
          <w:b/>
          <w:bCs/>
        </w:rPr>
        <w:t>Finding</w:t>
      </w:r>
      <w:r w:rsidR="00082761">
        <w:rPr>
          <w:b/>
          <w:bCs/>
        </w:rPr>
        <w:t xml:space="preserve"> 5</w:t>
      </w:r>
    </w:p>
    <w:p w14:paraId="4F6C47D8" w14:textId="00E169A3" w:rsidR="00B13B3A" w:rsidRPr="009D1FB2" w:rsidDel="00892A3C" w:rsidRDefault="00B13B3A" w:rsidP="009D1FB2">
      <w:pPr>
        <w:pStyle w:val="Breakoutbox2"/>
        <w:rPr>
          <w:b/>
          <w:bCs/>
        </w:rPr>
      </w:pPr>
      <w:r w:rsidRPr="00F325BC">
        <w:t>H</w:t>
      </w:r>
      <w:r>
        <w:t xml:space="preserve">ighly </w:t>
      </w:r>
      <w:r w:rsidRPr="00F325BC">
        <w:t>A</w:t>
      </w:r>
      <w:r>
        <w:t xml:space="preserve">ccomplished and </w:t>
      </w:r>
      <w:r w:rsidRPr="00F325BC">
        <w:t>L</w:t>
      </w:r>
      <w:r>
        <w:t xml:space="preserve">ead </w:t>
      </w:r>
      <w:r w:rsidRPr="00F325BC">
        <w:t>T</w:t>
      </w:r>
      <w:r>
        <w:t>eacher</w:t>
      </w:r>
      <w:r w:rsidRPr="00F325BC">
        <w:t xml:space="preserve">s </w:t>
      </w:r>
      <w:r>
        <w:t xml:space="preserve">(HALTs) </w:t>
      </w:r>
      <w:r w:rsidRPr="00F325BC">
        <w:t>represent some of the most highly</w:t>
      </w:r>
      <w:r>
        <w:t xml:space="preserve"> </w:t>
      </w:r>
      <w:r w:rsidRPr="00F325BC">
        <w:t xml:space="preserve">skilled teachers in Australia. Consideration should be given to how best to increase the number of HALTs and how they can help support early career teachers through mentoring and professional development. </w:t>
      </w:r>
    </w:p>
    <w:p w14:paraId="722604B7" w14:textId="3CEA38C8" w:rsidR="009E5D98" w:rsidRDefault="009E5D98" w:rsidP="009E5D98">
      <w:pPr>
        <w:pStyle w:val="Heading6"/>
      </w:pPr>
      <w:r>
        <w:t>Support for Aboriginal and Torres Strait Islander teachers</w:t>
      </w:r>
    </w:p>
    <w:p w14:paraId="7821DD80" w14:textId="4397611C" w:rsidR="009E5D98" w:rsidRPr="00544FB2" w:rsidRDefault="00E350AA" w:rsidP="009E5D98">
      <w:r>
        <w:rPr>
          <w:rStyle w:val="normaltextrun"/>
          <w:rFonts w:ascii="Calibri" w:hAnsi="Calibri" w:cs="Calibri"/>
          <w:color w:val="000000"/>
          <w:shd w:val="clear" w:color="auto" w:fill="FFFFFF"/>
        </w:rPr>
        <w:t>In consultation with Children’s Ground</w:t>
      </w:r>
      <w:r w:rsidRPr="0098638B">
        <w:rPr>
          <w:rStyle w:val="normaltextrun"/>
          <w:rFonts w:ascii="Calibri" w:hAnsi="Calibri" w:cs="Calibri"/>
          <w:color w:val="000000"/>
          <w:shd w:val="clear" w:color="auto" w:fill="FFFFFF"/>
        </w:rPr>
        <w:t> and other</w:t>
      </w:r>
      <w:r w:rsidR="00F34185">
        <w:rPr>
          <w:rStyle w:val="normaltextrun"/>
          <w:rFonts w:ascii="Calibri" w:hAnsi="Calibri" w:cs="Calibri"/>
          <w:color w:val="000000"/>
          <w:shd w:val="clear" w:color="auto" w:fill="FFFFFF"/>
        </w:rPr>
        <w:t>s</w:t>
      </w:r>
      <w:r w:rsidRPr="0098638B">
        <w:rPr>
          <w:rStyle w:val="normaltextrun"/>
          <w:rFonts w:ascii="Calibri" w:hAnsi="Calibri" w:cs="Calibri"/>
          <w:color w:val="000000"/>
          <w:shd w:val="clear" w:color="auto" w:fill="FFFFFF"/>
        </w:rPr>
        <w:t xml:space="preserve"> involved in supporting Aboriginal and Torres Strait Islander people</w:t>
      </w:r>
      <w:r w:rsidR="00F46AFB" w:rsidRPr="0098638B">
        <w:rPr>
          <w:rStyle w:val="normaltextrun"/>
          <w:rFonts w:ascii="Calibri" w:hAnsi="Calibri" w:cs="Calibri"/>
          <w:color w:val="000000"/>
          <w:shd w:val="clear" w:color="auto" w:fill="FFFFFF"/>
        </w:rPr>
        <w:t>s</w:t>
      </w:r>
      <w:r w:rsidRPr="0098638B">
        <w:rPr>
          <w:rStyle w:val="normaltextrun"/>
          <w:rFonts w:ascii="Calibri" w:hAnsi="Calibri" w:cs="Calibri"/>
          <w:color w:val="000000"/>
          <w:shd w:val="clear" w:color="auto" w:fill="FFFFFF"/>
        </w:rPr>
        <w:t xml:space="preserve"> in</w:t>
      </w:r>
      <w:r w:rsidR="000C29DE">
        <w:rPr>
          <w:rStyle w:val="normaltextrun"/>
          <w:rFonts w:ascii="Calibri" w:hAnsi="Calibri" w:cs="Calibri"/>
          <w:color w:val="000000"/>
          <w:shd w:val="clear" w:color="auto" w:fill="FFFFFF"/>
        </w:rPr>
        <w:t xml:space="preserve"> </w:t>
      </w:r>
      <w:r w:rsidRPr="0098638B">
        <w:rPr>
          <w:rStyle w:val="normaltextrun"/>
          <w:rFonts w:ascii="Calibri" w:hAnsi="Calibri" w:cs="Calibri"/>
          <w:color w:val="000000"/>
          <w:shd w:val="clear" w:color="auto" w:fill="FFFFFF"/>
        </w:rPr>
        <w:t>ITE,</w:t>
      </w:r>
      <w:r>
        <w:rPr>
          <w:rStyle w:val="normaltextrun"/>
          <w:rFonts w:ascii="Calibri" w:hAnsi="Calibri" w:cs="Calibri"/>
          <w:color w:val="000000"/>
          <w:shd w:val="clear" w:color="auto" w:fill="FFFFFF"/>
        </w:rPr>
        <w:t> </w:t>
      </w:r>
      <w:r w:rsidR="00D40FDB">
        <w:rPr>
          <w:rStyle w:val="normaltextrun"/>
          <w:rFonts w:ascii="Calibri" w:hAnsi="Calibri" w:cs="Calibri"/>
          <w:color w:val="000000"/>
          <w:shd w:val="clear" w:color="auto" w:fill="FFFFFF"/>
        </w:rPr>
        <w:t xml:space="preserve">the Expert Panel </w:t>
      </w:r>
      <w:r>
        <w:rPr>
          <w:rStyle w:val="normaltextrun"/>
          <w:rFonts w:ascii="Calibri" w:hAnsi="Calibri" w:cs="Calibri"/>
          <w:color w:val="000000"/>
          <w:shd w:val="clear" w:color="auto" w:fill="FFFFFF"/>
        </w:rPr>
        <w:t xml:space="preserve">heard that there is no longer a strong pipeline of </w:t>
      </w:r>
      <w:r w:rsidR="003B35E8">
        <w:rPr>
          <w:rStyle w:val="normaltextrun"/>
          <w:rFonts w:ascii="Calibri" w:hAnsi="Calibri" w:cs="Calibri"/>
          <w:color w:val="000000"/>
          <w:shd w:val="clear" w:color="auto" w:fill="FFFFFF"/>
        </w:rPr>
        <w:t>Aboriginal and Torres Strait Islander</w:t>
      </w:r>
      <w:r>
        <w:rPr>
          <w:rStyle w:val="normaltextrun"/>
          <w:rFonts w:ascii="Calibri" w:hAnsi="Calibri" w:cs="Calibri"/>
          <w:color w:val="000000"/>
          <w:shd w:val="clear" w:color="auto" w:fill="FFFFFF"/>
        </w:rPr>
        <w:t xml:space="preserve"> teachers entering the profession.</w:t>
      </w:r>
      <w:r>
        <w:rPr>
          <w:rStyle w:val="eop"/>
          <w:rFonts w:ascii="Calibri" w:hAnsi="Calibri" w:cs="Calibri"/>
          <w:color w:val="000000"/>
          <w:shd w:val="clear" w:color="auto" w:fill="FFFFFF"/>
        </w:rPr>
        <w:t> </w:t>
      </w:r>
      <w:r w:rsidR="009E5D98" w:rsidRPr="00544FB2">
        <w:t>As Chapter 1 shows, at</w:t>
      </w:r>
      <w:r w:rsidR="009E5D98" w:rsidRPr="0095494D">
        <w:t>tracting more Aboriginal and Torres Strait Is</w:t>
      </w:r>
      <w:r w:rsidR="009E5D98" w:rsidRPr="00F960BD">
        <w:t>lander teachers to the profession is a priority</w:t>
      </w:r>
      <w:r w:rsidR="009E5D98" w:rsidRPr="00544FB2">
        <w:t xml:space="preserve"> and more could be done to support prospective teachers </w:t>
      </w:r>
      <w:r w:rsidR="00AA6D44">
        <w:t>in</w:t>
      </w:r>
      <w:r w:rsidR="009E5D98" w:rsidRPr="00544FB2">
        <w:t>to the profession.</w:t>
      </w:r>
    </w:p>
    <w:p w14:paraId="245A6087" w14:textId="3F8CF347" w:rsidR="009E5D98" w:rsidRPr="00544FB2" w:rsidRDefault="00B356FC" w:rsidP="009E5D98">
      <w:r>
        <w:t>I</w:t>
      </w:r>
      <w:r w:rsidR="009E5D98" w:rsidRPr="00544FB2">
        <w:t>t is important</w:t>
      </w:r>
      <w:r w:rsidR="00335009">
        <w:t>, in</w:t>
      </w:r>
      <w:r w:rsidR="009E5D98" w:rsidRPr="00544FB2">
        <w:t xml:space="preserve"> consider</w:t>
      </w:r>
      <w:r w:rsidR="00335009">
        <w:t>ing</w:t>
      </w:r>
      <w:r w:rsidR="009E5D98" w:rsidRPr="00544FB2">
        <w:t xml:space="preserve"> the pathways </w:t>
      </w:r>
      <w:r w:rsidR="00AB28A6">
        <w:t>to achieving this goal</w:t>
      </w:r>
      <w:r w:rsidR="009E5D98" w:rsidRPr="00544FB2">
        <w:t xml:space="preserve">, </w:t>
      </w:r>
      <w:r w:rsidR="00335009">
        <w:t>to</w:t>
      </w:r>
      <w:r w:rsidR="009E5D98" w:rsidRPr="00544FB2">
        <w:t xml:space="preserve"> not overlook those already working within the profession and how they can be </w:t>
      </w:r>
      <w:r w:rsidR="00AA6D44">
        <w:t>mobilised</w:t>
      </w:r>
      <w:r w:rsidR="00AA6D44" w:rsidRPr="00544FB2">
        <w:t xml:space="preserve"> </w:t>
      </w:r>
      <w:r w:rsidR="009E5D98" w:rsidRPr="00544FB2">
        <w:t>to support ITE students</w:t>
      </w:r>
      <w:r w:rsidR="002E11BF">
        <w:t xml:space="preserve"> and graduate teachers</w:t>
      </w:r>
      <w:r w:rsidR="009E5D98" w:rsidRPr="00544FB2">
        <w:t xml:space="preserve">. </w:t>
      </w:r>
    </w:p>
    <w:p w14:paraId="28E6080E" w14:textId="7DA13B40" w:rsidR="009E5D98" w:rsidRPr="00544FB2" w:rsidRDefault="009E5D98" w:rsidP="009E5D98">
      <w:r w:rsidRPr="00544FB2">
        <w:t>Like HALT</w:t>
      </w:r>
      <w:r w:rsidR="00646F9D">
        <w:t>s</w:t>
      </w:r>
      <w:r w:rsidRPr="00544FB2">
        <w:t xml:space="preserve">, </w:t>
      </w:r>
      <w:r w:rsidR="003B35E8">
        <w:t>Aboriginal and Torres Strait Islander</w:t>
      </w:r>
      <w:r w:rsidRPr="00544FB2">
        <w:t xml:space="preserve"> </w:t>
      </w:r>
      <w:r w:rsidR="005268BD" w:rsidRPr="00544FB2">
        <w:t xml:space="preserve">community </w:t>
      </w:r>
      <w:r w:rsidRPr="00544FB2">
        <w:t xml:space="preserve">educators </w:t>
      </w:r>
      <w:r w:rsidRPr="00544FB2">
        <w:rPr>
          <w:rFonts w:cstheme="minorHAnsi"/>
        </w:rPr>
        <w:t xml:space="preserve">play an integral leadership role in schools, especially those with high proportions of </w:t>
      </w:r>
      <w:r w:rsidR="003113EF">
        <w:rPr>
          <w:rFonts w:cstheme="minorHAnsi"/>
        </w:rPr>
        <w:t>Aboriginal and Torres Strait Islander</w:t>
      </w:r>
      <w:r w:rsidR="003113EF" w:rsidRPr="00544FB2">
        <w:rPr>
          <w:rFonts w:cstheme="minorHAnsi"/>
        </w:rPr>
        <w:t xml:space="preserve"> </w:t>
      </w:r>
      <w:r w:rsidRPr="00544FB2">
        <w:rPr>
          <w:rFonts w:cstheme="minorHAnsi"/>
        </w:rPr>
        <w:t>students</w:t>
      </w:r>
      <w:r w:rsidRPr="00544FB2">
        <w:rPr>
          <w:rFonts w:cstheme="minorHAnsi"/>
          <w:color w:val="333333"/>
          <w:shd w:val="clear" w:color="auto" w:fill="FFFFFF"/>
        </w:rPr>
        <w:t xml:space="preserve"> </w:t>
      </w:r>
      <w:r w:rsidR="00AB28A6">
        <w:rPr>
          <w:rFonts w:cstheme="minorHAnsi"/>
          <w:color w:val="333333"/>
          <w:shd w:val="clear" w:color="auto" w:fill="FFFFFF"/>
        </w:rPr>
        <w:t>and those</w:t>
      </w:r>
      <w:r w:rsidRPr="00544FB2">
        <w:rPr>
          <w:rFonts w:cstheme="minorHAnsi"/>
          <w:color w:val="333333"/>
          <w:shd w:val="clear" w:color="auto" w:fill="FFFFFF"/>
        </w:rPr>
        <w:t xml:space="preserve"> that have no Aboriginal or Torres Strait Islander teachers</w:t>
      </w:r>
      <w:r w:rsidR="00AB28A6">
        <w:rPr>
          <w:rFonts w:cstheme="minorHAnsi"/>
          <w:color w:val="333333"/>
          <w:shd w:val="clear" w:color="auto" w:fill="FFFFFF"/>
        </w:rPr>
        <w:t>.</w:t>
      </w:r>
      <w:r w:rsidRPr="00544FB2">
        <w:rPr>
          <w:rFonts w:cstheme="minorHAnsi"/>
          <w:color w:val="333333"/>
          <w:shd w:val="clear" w:color="auto" w:fill="FFFFFF"/>
        </w:rPr>
        <w:t xml:space="preserve"> </w:t>
      </w:r>
      <w:r w:rsidR="00AB28A6">
        <w:rPr>
          <w:rFonts w:cstheme="minorHAnsi"/>
          <w:color w:val="333333"/>
          <w:shd w:val="clear" w:color="auto" w:fill="FFFFFF"/>
        </w:rPr>
        <w:t>H</w:t>
      </w:r>
      <w:r w:rsidRPr="00544FB2">
        <w:rPr>
          <w:rFonts w:cstheme="minorHAnsi"/>
          <w:color w:val="333333"/>
          <w:shd w:val="clear" w:color="auto" w:fill="FFFFFF"/>
        </w:rPr>
        <w:t xml:space="preserve">owever, </w:t>
      </w:r>
      <w:r w:rsidR="00AB28A6">
        <w:t xml:space="preserve">these </w:t>
      </w:r>
      <w:r w:rsidR="00AB28A6">
        <w:rPr>
          <w:rFonts w:cstheme="minorHAnsi"/>
          <w:color w:val="333333"/>
          <w:shd w:val="clear" w:color="auto" w:fill="FFFFFF"/>
        </w:rPr>
        <w:t>community educators</w:t>
      </w:r>
      <w:r w:rsidRPr="00544FB2">
        <w:t xml:space="preserve"> are often paid as assistants, and have too often not received equal benefits, such as leave, superannuation and professional development support in comparison to </w:t>
      </w:r>
      <w:r w:rsidR="00113000">
        <w:t>other</w:t>
      </w:r>
      <w:r w:rsidRPr="00544FB2">
        <w:t xml:space="preserve"> educators (Children’s Ground submission). </w:t>
      </w:r>
    </w:p>
    <w:p w14:paraId="78C3957E" w14:textId="2D6B10A5" w:rsidR="009E5D98" w:rsidRPr="00544FB2" w:rsidRDefault="009E5D98" w:rsidP="009E5D98">
      <w:pPr>
        <w:rPr>
          <w:rFonts w:cstheme="minorHAnsi"/>
          <w:color w:val="333333"/>
          <w:shd w:val="clear" w:color="auto" w:fill="FFFFFF"/>
        </w:rPr>
      </w:pPr>
      <w:r w:rsidRPr="00544FB2">
        <w:rPr>
          <w:rFonts w:cstheme="minorHAnsi"/>
        </w:rPr>
        <w:t>These</w:t>
      </w:r>
      <w:r w:rsidR="008B7770">
        <w:rPr>
          <w:rFonts w:cstheme="minorHAnsi"/>
        </w:rPr>
        <w:t xml:space="preserve"> </w:t>
      </w:r>
      <w:r w:rsidR="00AB28A6">
        <w:rPr>
          <w:rFonts w:cstheme="minorHAnsi"/>
        </w:rPr>
        <w:t>community</w:t>
      </w:r>
      <w:r w:rsidRPr="00544FB2">
        <w:rPr>
          <w:rFonts w:cstheme="minorHAnsi"/>
        </w:rPr>
        <w:t xml:space="preserve"> educators work alongside classroom teachers, combining pedagogical knowledge and practice with specific community understanding. Community educators</w:t>
      </w:r>
      <w:r w:rsidRPr="00544FB2">
        <w:rPr>
          <w:rFonts w:cstheme="minorHAnsi"/>
          <w:color w:val="333333"/>
          <w:shd w:val="clear" w:color="auto" w:fill="FFFFFF"/>
        </w:rPr>
        <w:t xml:space="preserve"> can also provide guidance </w:t>
      </w:r>
      <w:r w:rsidR="00AB28A6">
        <w:rPr>
          <w:rFonts w:cstheme="minorHAnsi"/>
          <w:color w:val="333333"/>
          <w:shd w:val="clear" w:color="auto" w:fill="FFFFFF"/>
        </w:rPr>
        <w:t>on</w:t>
      </w:r>
      <w:r w:rsidRPr="00544FB2">
        <w:rPr>
          <w:rFonts w:cstheme="minorHAnsi"/>
          <w:color w:val="333333"/>
          <w:shd w:val="clear" w:color="auto" w:fill="FFFFFF"/>
        </w:rPr>
        <w:t xml:space="preserve"> how to best engage with and teach Aboriginal </w:t>
      </w:r>
      <w:r w:rsidR="00FE1556">
        <w:rPr>
          <w:rFonts w:cstheme="minorHAnsi"/>
          <w:color w:val="333333"/>
          <w:shd w:val="clear" w:color="auto" w:fill="FFFFFF"/>
        </w:rPr>
        <w:t>and</w:t>
      </w:r>
      <w:r w:rsidRPr="00544FB2">
        <w:rPr>
          <w:rFonts w:cstheme="minorHAnsi"/>
          <w:color w:val="333333"/>
          <w:shd w:val="clear" w:color="auto" w:fill="FFFFFF"/>
        </w:rPr>
        <w:t xml:space="preserve"> Torres Strait Islander students, in addition to providing valuable cultural and linguistic support (</w:t>
      </w:r>
      <w:r w:rsidR="000828B4" w:rsidRPr="004161D5">
        <w:t>AITSL 2021a</w:t>
      </w:r>
      <w:r w:rsidRPr="00544FB2">
        <w:rPr>
          <w:rFonts w:cstheme="minorHAnsi"/>
          <w:color w:val="333333"/>
          <w:shd w:val="clear" w:color="auto" w:fill="FFFFFF"/>
        </w:rPr>
        <w:t>).</w:t>
      </w:r>
    </w:p>
    <w:p w14:paraId="569230C4" w14:textId="77777777" w:rsidR="009D1FB2" w:rsidRDefault="009D1FB2">
      <w:pPr>
        <w:spacing w:after="0" w:line="240" w:lineRule="auto"/>
      </w:pPr>
      <w:r>
        <w:br w:type="page"/>
      </w:r>
    </w:p>
    <w:p w14:paraId="378FD43F" w14:textId="10382FE5" w:rsidR="009E5D98" w:rsidRPr="00544FB2" w:rsidRDefault="009E5D98" w:rsidP="0995B48D">
      <w:r>
        <w:lastRenderedPageBreak/>
        <w:t xml:space="preserve">Children’s Ground recommends recognising </w:t>
      </w:r>
      <w:r w:rsidR="005268BD">
        <w:t>Aboriginal and Torres Strait Islander</w:t>
      </w:r>
      <w:r>
        <w:t xml:space="preserve"> educational specialists and remunerating cultural educators for their expertise, which would demonstrate their value and provide the potential </w:t>
      </w:r>
      <w:r w:rsidRPr="0995B48D">
        <w:t xml:space="preserve">for community educators to play a role in ongoing support for Aboriginal and Torres Strait Islander </w:t>
      </w:r>
      <w:r w:rsidR="00EE67F4">
        <w:t>ITE students</w:t>
      </w:r>
      <w:r w:rsidR="00113000">
        <w:t xml:space="preserve"> and early career </w:t>
      </w:r>
      <w:r w:rsidR="00CA17E4">
        <w:t>teachers</w:t>
      </w:r>
      <w:r w:rsidRPr="0995B48D">
        <w:t>.</w:t>
      </w:r>
    </w:p>
    <w:p w14:paraId="35C76433" w14:textId="71B50225" w:rsidR="009E5D98" w:rsidRDefault="009E5D98" w:rsidP="009D1FB2">
      <w:pPr>
        <w:pStyle w:val="Breakoutbox2"/>
        <w:spacing w:after="0"/>
        <w:rPr>
          <w:b/>
          <w:bCs/>
        </w:rPr>
      </w:pPr>
      <w:r>
        <w:rPr>
          <w:b/>
          <w:bCs/>
        </w:rPr>
        <w:t>Finding</w:t>
      </w:r>
      <w:r w:rsidR="002E1EC0">
        <w:rPr>
          <w:b/>
          <w:bCs/>
        </w:rPr>
        <w:t xml:space="preserve"> 6</w:t>
      </w:r>
    </w:p>
    <w:p w14:paraId="33550B6A" w14:textId="77777777" w:rsidR="00B13B3A" w:rsidRPr="00F325BC" w:rsidRDefault="00B13B3A" w:rsidP="00CD1FEB">
      <w:pPr>
        <w:pStyle w:val="Breakoutbox2"/>
      </w:pPr>
      <w:r w:rsidRPr="00F325BC">
        <w:t xml:space="preserve">Teacher Regulatory Authorities should consider creating a new category of registration, Community Educators, which would recognise the work these educators already do and create a new pathway for Aboriginal and Torres Strait Islander </w:t>
      </w:r>
      <w:r>
        <w:t>initial teacher education</w:t>
      </w:r>
      <w:r w:rsidRPr="00F325BC">
        <w:t xml:space="preserve"> students to consider.</w:t>
      </w:r>
    </w:p>
    <w:p w14:paraId="00B0AC15" w14:textId="4BC16533" w:rsidR="009D1FB2" w:rsidRDefault="009E5D98" w:rsidP="009D1FB2">
      <w:pPr>
        <w:pStyle w:val="Heading7"/>
      </w:pPr>
      <w:r>
        <w:t>Micro-credentials and short courses</w:t>
      </w:r>
    </w:p>
    <w:p w14:paraId="3ABC233E" w14:textId="619733F2" w:rsidR="009E5D98" w:rsidRPr="00485B77" w:rsidRDefault="009E5D98" w:rsidP="009D1FB2">
      <w:r>
        <w:t>S</w:t>
      </w:r>
      <w:r w:rsidRPr="00485B77">
        <w:t xml:space="preserve">ome stakeholders </w:t>
      </w:r>
      <w:r>
        <w:t>suggested that</w:t>
      </w:r>
      <w:r w:rsidRPr="00485B77">
        <w:t xml:space="preserve"> employers and higher education providers could make better use of micro</w:t>
      </w:r>
      <w:r w:rsidR="00561416">
        <w:noBreakHyphen/>
      </w:r>
      <w:r w:rsidRPr="00485B77">
        <w:t>credentials</w:t>
      </w:r>
      <w:r>
        <w:t xml:space="preserve"> and short courses</w:t>
      </w:r>
      <w:r w:rsidRPr="00485B77">
        <w:t xml:space="preserve">, as a source of ongoing professional development </w:t>
      </w:r>
      <w:r>
        <w:t xml:space="preserve">or upskilling for teachers </w:t>
      </w:r>
      <w:r w:rsidRPr="00485B77">
        <w:t>(</w:t>
      </w:r>
      <w:r>
        <w:t>Queensland</w:t>
      </w:r>
      <w:r w:rsidRPr="00485B77">
        <w:t xml:space="preserve"> College of Teachers</w:t>
      </w:r>
      <w:r>
        <w:t xml:space="preserve"> submission</w:t>
      </w:r>
      <w:r w:rsidRPr="00485B77">
        <w:t xml:space="preserve">). </w:t>
      </w:r>
    </w:p>
    <w:p w14:paraId="5EA0D990" w14:textId="3DF9F7B7" w:rsidR="009E5D98" w:rsidRPr="00485B77" w:rsidRDefault="009E5D98" w:rsidP="009E5D98">
      <w:r>
        <w:t xml:space="preserve">The benefit of </w:t>
      </w:r>
      <w:r w:rsidR="00676535">
        <w:t>short courses</w:t>
      </w:r>
      <w:r w:rsidR="00676535" w:rsidRPr="00485B77">
        <w:t xml:space="preserve"> </w:t>
      </w:r>
      <w:r>
        <w:t>is that they can provide</w:t>
      </w:r>
      <w:r w:rsidRPr="00485B77">
        <w:t xml:space="preserve"> cost-effectiv</w:t>
      </w:r>
      <w:r>
        <w:t>e</w:t>
      </w:r>
      <w:r w:rsidRPr="00485B77">
        <w:t xml:space="preserve"> access to the most </w:t>
      </w:r>
      <w:r>
        <w:t>up</w:t>
      </w:r>
      <w:r w:rsidR="001F19CD">
        <w:t>-</w:t>
      </w:r>
      <w:r>
        <w:t>to</w:t>
      </w:r>
      <w:r w:rsidR="001F19CD">
        <w:t>-</w:t>
      </w:r>
      <w:r>
        <w:t>date</w:t>
      </w:r>
      <w:r w:rsidRPr="00485B77">
        <w:t xml:space="preserve"> research, </w:t>
      </w:r>
      <w:r>
        <w:t>and practical advice</w:t>
      </w:r>
      <w:r w:rsidRPr="00485B77">
        <w:t xml:space="preserve">, </w:t>
      </w:r>
      <w:r>
        <w:t>in a convenient format</w:t>
      </w:r>
      <w:r w:rsidRPr="00485B77">
        <w:t xml:space="preserve">. </w:t>
      </w:r>
      <w:r>
        <w:t xml:space="preserve">The Productivity Commission suggests that a greater uptake of </w:t>
      </w:r>
      <w:r w:rsidR="00924ABB">
        <w:t xml:space="preserve">short courses </w:t>
      </w:r>
      <w:r w:rsidRPr="00485B77">
        <w:t xml:space="preserve">within ITE courses would not </w:t>
      </w:r>
      <w:r>
        <w:t>replace</w:t>
      </w:r>
      <w:r w:rsidRPr="00485B77">
        <w:t xml:space="preserve"> the essential </w:t>
      </w:r>
      <w:r>
        <w:t>components</w:t>
      </w:r>
      <w:r w:rsidRPr="00485B77">
        <w:t xml:space="preserve"> of teacher </w:t>
      </w:r>
      <w:r w:rsidR="00FC7F1F">
        <w:t>preparation</w:t>
      </w:r>
      <w:r w:rsidRPr="004F2FEE">
        <w:t xml:space="preserve"> but</w:t>
      </w:r>
      <w:r w:rsidRPr="00485B77">
        <w:t xml:space="preserve"> could be integrated into </w:t>
      </w:r>
      <w:r w:rsidR="00544BF9">
        <w:t>ITE</w:t>
      </w:r>
      <w:r w:rsidRPr="00485B77">
        <w:t xml:space="preserve"> programs</w:t>
      </w:r>
      <w:r>
        <w:t xml:space="preserve"> </w:t>
      </w:r>
      <w:r w:rsidR="00715A23">
        <w:t>to offer</w:t>
      </w:r>
      <w:r>
        <w:t xml:space="preserve"> additional learning opportunities, as well as continual professional development. </w:t>
      </w:r>
    </w:p>
    <w:p w14:paraId="08DD8485" w14:textId="4DE7998D" w:rsidR="009E5D98" w:rsidRPr="00485B77" w:rsidRDefault="009E5D98" w:rsidP="009E5D98">
      <w:r>
        <w:t xml:space="preserve">In addition to providing professional development, </w:t>
      </w:r>
      <w:r w:rsidRPr="00485B77">
        <w:t>micro-credentials</w:t>
      </w:r>
      <w:r>
        <w:t xml:space="preserve"> could </w:t>
      </w:r>
      <w:r w:rsidRPr="00485B77">
        <w:t>prepare early career teachers teaching out-of-field (</w:t>
      </w:r>
      <w:r w:rsidR="00BE4413">
        <w:t>University of Tasmania</w:t>
      </w:r>
      <w:r w:rsidRPr="00485B77">
        <w:t xml:space="preserve"> and Department of Education Tasmania</w:t>
      </w:r>
      <w:r>
        <w:t xml:space="preserve"> submission; Queensland Department of Education submission</w:t>
      </w:r>
      <w:r w:rsidRPr="00485B77">
        <w:t>)</w:t>
      </w:r>
      <w:r>
        <w:rPr>
          <w:sz w:val="22"/>
          <w:szCs w:val="22"/>
        </w:rPr>
        <w:t xml:space="preserve">. </w:t>
      </w:r>
      <w:r>
        <w:t>In these instances, m</w:t>
      </w:r>
      <w:r w:rsidRPr="00485B77">
        <w:t xml:space="preserve">icro-credentials </w:t>
      </w:r>
      <w:r>
        <w:t xml:space="preserve">would not replace induction but would instead offer early career teachers the opportunity to develop or enhance skills in areas they feel underprepared. </w:t>
      </w:r>
    </w:p>
    <w:p w14:paraId="4B879CCC" w14:textId="26CA0CA0" w:rsidR="009E5D98" w:rsidRDefault="009E5D98" w:rsidP="009E5D98">
      <w:pPr>
        <w:pBdr>
          <w:top w:val="nil"/>
          <w:left w:val="nil"/>
          <w:bottom w:val="nil"/>
          <w:right w:val="nil"/>
          <w:between w:val="nil"/>
        </w:pBdr>
      </w:pPr>
      <w:r w:rsidRPr="00485B77">
        <w:rPr>
          <w:rFonts w:eastAsia="Times New Roman"/>
        </w:rPr>
        <w:t>Stakeholders identified areas where micro</w:t>
      </w:r>
      <w:r w:rsidR="0055062C">
        <w:rPr>
          <w:rFonts w:eastAsia="Times New Roman"/>
        </w:rPr>
        <w:t>-</w:t>
      </w:r>
      <w:r w:rsidRPr="00485B77">
        <w:rPr>
          <w:rFonts w:eastAsia="Times New Roman"/>
        </w:rPr>
        <w:t>credentials or short courses would be of benefit</w:t>
      </w:r>
      <w:r>
        <w:rPr>
          <w:rFonts w:eastAsia="Times New Roman"/>
        </w:rPr>
        <w:t xml:space="preserve">, including specific subject areas and </w:t>
      </w:r>
      <w:r w:rsidR="00566205">
        <w:rPr>
          <w:rFonts w:eastAsia="Times New Roman"/>
        </w:rPr>
        <w:t>teaching competencies</w:t>
      </w:r>
      <w:r>
        <w:rPr>
          <w:rFonts w:eastAsia="Times New Roman"/>
        </w:rPr>
        <w:t xml:space="preserve">. </w:t>
      </w:r>
      <w:r>
        <w:t>For example, I</w:t>
      </w:r>
      <w:r w:rsidRPr="00B61A80">
        <w:t xml:space="preserve">nformation and </w:t>
      </w:r>
      <w:r w:rsidRPr="00681AA0">
        <w:t>Communications Technology skills were identified by some teachers as an area which could be strengthened through micro-credentials (Swinburne University submission).</w:t>
      </w:r>
      <w:r>
        <w:t xml:space="preserve"> Math</w:t>
      </w:r>
      <w:r w:rsidR="00CA4843">
        <w:t>ematic</w:t>
      </w:r>
      <w:r>
        <w:t>s was also a subject identified as benefiting from refresher courses.</w:t>
      </w:r>
      <w:r w:rsidRPr="00A937C4">
        <w:t xml:space="preserve"> </w:t>
      </w:r>
      <w:r w:rsidRPr="00C84860">
        <w:t xml:space="preserve">The Teaching and Learning Resources to Support Mathematics (Maths in Schools) project, for example, will deliver a series of mathematics </w:t>
      </w:r>
      <w:r w:rsidR="00844EA1">
        <w:t>short courses</w:t>
      </w:r>
      <w:r w:rsidR="00844EA1" w:rsidRPr="00C84860">
        <w:t xml:space="preserve"> </w:t>
      </w:r>
      <w:r w:rsidRPr="00C84860">
        <w:t>for teachers supporting face-to-face professional learning and providing a repository of teaching and learning resources through an online Mathematics Hub and a Year</w:t>
      </w:r>
      <w:r w:rsidR="001F787E">
        <w:t> </w:t>
      </w:r>
      <w:r w:rsidRPr="00C84860">
        <w:t>1 online numeracy check (Education Services Australia submission). The Hub will provide high-quality resources to teachers and students from all backgrounds, including underrepresented cohorts in STEM fields (girls and women, those living in rural and remote locations and Aboriginal and Torres Strait Islander people</w:t>
      </w:r>
      <w:r w:rsidR="00126C50">
        <w:t>s</w:t>
      </w:r>
      <w:r w:rsidRPr="00C84860">
        <w:t>)</w:t>
      </w:r>
      <w:r w:rsidRPr="00B32A43">
        <w:t>.</w:t>
      </w:r>
      <w:r>
        <w:t xml:space="preserve"> </w:t>
      </w:r>
      <w:r w:rsidRPr="00B32A43">
        <w:t xml:space="preserve">The Hub is a product of a partnership </w:t>
      </w:r>
      <w:r w:rsidRPr="0074028A">
        <w:t xml:space="preserve">between </w:t>
      </w:r>
      <w:r w:rsidRPr="00E033A7">
        <w:t>Education Ser</w:t>
      </w:r>
      <w:r w:rsidRPr="00AE50F5">
        <w:t xml:space="preserve">vices Australia and the University of Adelaide </w:t>
      </w:r>
      <w:r w:rsidRPr="001B21A6">
        <w:t>and is</w:t>
      </w:r>
      <w:r w:rsidRPr="003F074E">
        <w:t xml:space="preserve"> funded by the Australian </w:t>
      </w:r>
      <w:r w:rsidRPr="00A937C4">
        <w:t>Go</w:t>
      </w:r>
      <w:r w:rsidRPr="00074EB8">
        <w:t>vernment</w:t>
      </w:r>
      <w:r>
        <w:t>.</w:t>
      </w:r>
    </w:p>
    <w:p w14:paraId="464E5BE2" w14:textId="11423DFF" w:rsidR="003067EE" w:rsidRPr="00C14FB1" w:rsidRDefault="009E5D98" w:rsidP="009E5D98">
      <w:pPr>
        <w:rPr>
          <w:rFonts w:eastAsia="Montserrat" w:cstheme="minorHAnsi"/>
        </w:rPr>
      </w:pPr>
      <w:r w:rsidRPr="00C14FB1" w:rsidDel="009E5D98">
        <w:rPr>
          <w:rFonts w:eastAsia="Times New Roman" w:cstheme="minorHAnsi"/>
        </w:rPr>
        <w:t xml:space="preserve">Another area identified </w:t>
      </w:r>
      <w:r w:rsidR="00266DC2" w:rsidRPr="00C14FB1">
        <w:rPr>
          <w:rFonts w:eastAsia="Times New Roman" w:cstheme="minorHAnsi"/>
        </w:rPr>
        <w:t xml:space="preserve">during consultation </w:t>
      </w:r>
      <w:r w:rsidRPr="00C14FB1" w:rsidDel="009E5D98">
        <w:rPr>
          <w:rFonts w:eastAsia="Times New Roman" w:cstheme="minorHAnsi"/>
        </w:rPr>
        <w:t xml:space="preserve">was consent education. Results from the </w:t>
      </w:r>
      <w:hyperlink r:id="rId55" w:history="1">
        <w:r w:rsidRPr="00C14FB1" w:rsidDel="009E5D98">
          <w:rPr>
            <w:rFonts w:cstheme="minorHAnsi"/>
            <w:color w:val="1155CC"/>
            <w:u w:val="single"/>
          </w:rPr>
          <w:t>Teach Us Consent petition</w:t>
        </w:r>
      </w:hyperlink>
      <w:r w:rsidRPr="00C14FB1" w:rsidDel="009E5D98">
        <w:rPr>
          <w:rFonts w:cstheme="minorHAnsi"/>
          <w:color w:val="1155CC"/>
          <w:u w:val="single"/>
        </w:rPr>
        <w:t xml:space="preserve"> </w:t>
      </w:r>
      <w:r w:rsidRPr="00C14FB1" w:rsidDel="009E5D98">
        <w:rPr>
          <w:rFonts w:cstheme="minorHAnsi"/>
        </w:rPr>
        <w:t xml:space="preserve">demonstrate the need for better understanding of consent and respectful relationships education. The Teach Us Consent </w:t>
      </w:r>
      <w:r w:rsidR="009E092F" w:rsidRPr="00C14FB1">
        <w:rPr>
          <w:rFonts w:cstheme="minorHAnsi"/>
        </w:rPr>
        <w:t>and Foundation</w:t>
      </w:r>
      <w:r w:rsidR="00E16B52" w:rsidRPr="00C14FB1">
        <w:rPr>
          <w:rFonts w:cstheme="minorHAnsi"/>
        </w:rPr>
        <w:t xml:space="preserve"> for Young Australians </w:t>
      </w:r>
      <w:r w:rsidRPr="00C14FB1" w:rsidDel="009E5D98">
        <w:rPr>
          <w:rFonts w:cstheme="minorHAnsi"/>
        </w:rPr>
        <w:t xml:space="preserve">submission highlighted the need for teachers to be better equipped with the ‘skills, knowledge and practical experience to effectively deliver this content’. </w:t>
      </w:r>
      <w:r w:rsidRPr="00C14FB1" w:rsidDel="009E5D98">
        <w:rPr>
          <w:rFonts w:eastAsia="Montserrat" w:cstheme="minorHAnsi"/>
        </w:rPr>
        <w:t xml:space="preserve">Supporting higher education providers to include consent education as an additional micro-credential could help </w:t>
      </w:r>
      <w:r w:rsidR="00FB2386" w:rsidRPr="00C14FB1">
        <w:rPr>
          <w:rFonts w:eastAsia="Montserrat" w:cstheme="minorHAnsi"/>
        </w:rPr>
        <w:t>to ensure</w:t>
      </w:r>
      <w:r w:rsidRPr="00C14FB1" w:rsidDel="009E5D98">
        <w:rPr>
          <w:rFonts w:eastAsia="Montserrat" w:cstheme="minorHAnsi"/>
        </w:rPr>
        <w:t xml:space="preserve"> teachers are </w:t>
      </w:r>
      <w:r w:rsidR="00EC0363" w:rsidRPr="00C14FB1">
        <w:rPr>
          <w:rFonts w:cstheme="minorHAnsi"/>
        </w:rPr>
        <w:t>confident in dealing with issues related to consent and respectful relationships</w:t>
      </w:r>
      <w:r w:rsidRPr="00C14FB1" w:rsidDel="009E5D98">
        <w:rPr>
          <w:rFonts w:eastAsia="Montserrat" w:cstheme="minorHAnsi"/>
        </w:rPr>
        <w:t>.</w:t>
      </w:r>
    </w:p>
    <w:p w14:paraId="0BFFE246" w14:textId="77777777" w:rsidR="00CD1FEB" w:rsidRDefault="00CD1FEB">
      <w:pPr>
        <w:spacing w:after="0" w:line="240" w:lineRule="auto"/>
      </w:pPr>
      <w:r>
        <w:br w:type="page"/>
      </w:r>
    </w:p>
    <w:p w14:paraId="4ADBA8E1" w14:textId="70C68C43" w:rsidR="009E5D98" w:rsidRDefault="009E5D98" w:rsidP="009E5D98">
      <w:r>
        <w:lastRenderedPageBreak/>
        <w:t xml:space="preserve">A number of higher education providers already offer short courses, such as La Trobe University’s Science of Language and Reading (SOLAR) Lab, Macquarie University’s </w:t>
      </w:r>
      <w:r w:rsidRPr="00877FD1">
        <w:t>Academy of Continuing Professional Development in Education (ACPDE)</w:t>
      </w:r>
      <w:r>
        <w:t xml:space="preserve"> and the Maths in Schools project noted above, which </w:t>
      </w:r>
      <w:r w:rsidR="00222B57">
        <w:t xml:space="preserve">suggests </w:t>
      </w:r>
      <w:r>
        <w:t>the</w:t>
      </w:r>
      <w:r w:rsidR="00222B57">
        <w:t>re is</w:t>
      </w:r>
      <w:r>
        <w:t xml:space="preserve"> demand for this kind of upskilling.</w:t>
      </w:r>
    </w:p>
    <w:p w14:paraId="13F8CD8D" w14:textId="0E88D763" w:rsidR="009E5D98" w:rsidRPr="009E3242" w:rsidRDefault="006F1467" w:rsidP="009D1FB2">
      <w:pPr>
        <w:pStyle w:val="Breakoutbox2"/>
        <w:spacing w:after="0"/>
        <w:rPr>
          <w:b/>
          <w:bCs/>
        </w:rPr>
      </w:pPr>
      <w:r w:rsidRPr="009E3242">
        <w:rPr>
          <w:b/>
          <w:bCs/>
        </w:rPr>
        <w:t>Finding</w:t>
      </w:r>
      <w:r w:rsidR="00830A61">
        <w:rPr>
          <w:b/>
          <w:bCs/>
        </w:rPr>
        <w:t xml:space="preserve"> 7</w:t>
      </w:r>
    </w:p>
    <w:p w14:paraId="38D1E4E6" w14:textId="77777777" w:rsidR="00B13B3A" w:rsidRDefault="00B13B3A" w:rsidP="00CD1FEB">
      <w:pPr>
        <w:pStyle w:val="Breakoutbox2"/>
      </w:pPr>
      <w:r>
        <w:t>Given the potential for micro-credentials and short courses to provide quality access to opportunities to enhance teacher capability in a short timeframe, higher education providers could consider ways to make the delivery of these programs more widespread in areas where teachers feel they need additional support, including classroom management, cultural competency, and teaching diverse learners.</w:t>
      </w:r>
    </w:p>
    <w:p w14:paraId="41C81CD2" w14:textId="696461DD" w:rsidR="009E5D98" w:rsidRDefault="009E5D98" w:rsidP="00203C69">
      <w:pPr>
        <w:pStyle w:val="Heading3"/>
        <w:keepNext/>
        <w:ind w:left="1021" w:hanging="1021"/>
      </w:pPr>
      <w:r>
        <w:t>Conclusions and Recommendations</w:t>
      </w:r>
    </w:p>
    <w:p w14:paraId="01D522FD" w14:textId="21F4C6D7" w:rsidR="009E5D98" w:rsidRDefault="00F0281B" w:rsidP="009E5D98">
      <w:r>
        <w:t xml:space="preserve">The Expert Panel </w:t>
      </w:r>
      <w:r w:rsidR="009E5D98">
        <w:t>agree</w:t>
      </w:r>
      <w:r>
        <w:t>s</w:t>
      </w:r>
      <w:r w:rsidR="009E5D98">
        <w:t xml:space="preserve"> that developing a set of descriptors, linked to the Teacher Standards and modelled on the U</w:t>
      </w:r>
      <w:r w:rsidR="000E673F">
        <w:t xml:space="preserve">nited </w:t>
      </w:r>
      <w:r w:rsidR="009E5D98">
        <w:t>K</w:t>
      </w:r>
      <w:r w:rsidR="000E673F">
        <w:t>ingdom</w:t>
      </w:r>
      <w:r w:rsidR="009E5D98">
        <w:t>’s</w:t>
      </w:r>
      <w:r w:rsidR="004403C6">
        <w:t xml:space="preserve"> </w:t>
      </w:r>
      <w:r w:rsidR="004403C6" w:rsidRPr="004403C6">
        <w:t>Mentor Standards</w:t>
      </w:r>
      <w:r w:rsidR="009E5D98">
        <w:t xml:space="preserve">, is an opportunity to clearly define the role of teacher mentors and better reflect the critical role teachers play in supporting </w:t>
      </w:r>
      <w:r w:rsidR="007D6B1A">
        <w:t>ITE students</w:t>
      </w:r>
      <w:r w:rsidR="009E5D98">
        <w:t xml:space="preserve"> and early career teachers. These mentor standards should identify the key elements of effective mentoring and should outline the key roles and responsibilities of all parties.</w:t>
      </w:r>
    </w:p>
    <w:p w14:paraId="37A7CE92" w14:textId="4752575B" w:rsidR="004F0B7F" w:rsidRDefault="009E5D98" w:rsidP="009D1FB2">
      <w:pPr>
        <w:pStyle w:val="Recommendation3"/>
        <w:spacing w:after="0"/>
        <w:rPr>
          <w:b/>
          <w:bCs/>
          <w:sz w:val="20"/>
        </w:rPr>
      </w:pPr>
      <w:r w:rsidRPr="004F0B7F">
        <w:rPr>
          <w:b/>
          <w:bCs/>
          <w:sz w:val="20"/>
        </w:rPr>
        <w:t xml:space="preserve">Recommendation </w:t>
      </w:r>
      <w:r w:rsidR="0074305E" w:rsidRPr="004F0B7F">
        <w:rPr>
          <w:b/>
          <w:bCs/>
          <w:sz w:val="20"/>
        </w:rPr>
        <w:t>1</w:t>
      </w:r>
      <w:r w:rsidR="005A7803" w:rsidRPr="004F0B7F">
        <w:rPr>
          <w:b/>
          <w:bCs/>
          <w:sz w:val="20"/>
        </w:rPr>
        <w:t>6</w:t>
      </w:r>
      <w:r w:rsidR="00A07D24" w:rsidRPr="004F0B7F">
        <w:rPr>
          <w:b/>
          <w:bCs/>
          <w:sz w:val="20"/>
        </w:rPr>
        <w:t>.</w:t>
      </w:r>
      <w:r w:rsidR="0074305E" w:rsidRPr="004F0B7F">
        <w:rPr>
          <w:b/>
          <w:bCs/>
          <w:sz w:val="20"/>
        </w:rPr>
        <w:t xml:space="preserve"> Develop national guidelines for mentors </w:t>
      </w:r>
    </w:p>
    <w:p w14:paraId="6300C5BA" w14:textId="2C9762F4" w:rsidR="00A04382" w:rsidRPr="004F0B7F" w:rsidRDefault="00674075" w:rsidP="004F0B7F">
      <w:pPr>
        <w:pStyle w:val="Recommendation3"/>
        <w:spacing w:after="0"/>
        <w:rPr>
          <w:sz w:val="20"/>
        </w:rPr>
      </w:pPr>
      <w:r w:rsidRPr="004F0B7F">
        <w:rPr>
          <w:sz w:val="20"/>
        </w:rPr>
        <w:t xml:space="preserve">Develop an agreed set of mentor standards </w:t>
      </w:r>
      <w:r w:rsidR="00625295" w:rsidRPr="004F0B7F">
        <w:rPr>
          <w:sz w:val="20"/>
        </w:rPr>
        <w:t xml:space="preserve">that </w:t>
      </w:r>
      <w:r w:rsidRPr="004F0B7F">
        <w:rPr>
          <w:sz w:val="20"/>
        </w:rPr>
        <w:t xml:space="preserve">could be used by jurisdictions and schools to support early </w:t>
      </w:r>
      <w:r w:rsidR="007900D8">
        <w:rPr>
          <w:sz w:val="20"/>
        </w:rPr>
        <w:t>career</w:t>
      </w:r>
      <w:r w:rsidR="007900D8" w:rsidRPr="004F0B7F">
        <w:rPr>
          <w:sz w:val="20"/>
        </w:rPr>
        <w:t xml:space="preserve"> </w:t>
      </w:r>
      <w:r w:rsidRPr="004F0B7F">
        <w:rPr>
          <w:sz w:val="20"/>
        </w:rPr>
        <w:t>teachers.</w:t>
      </w:r>
    </w:p>
    <w:p w14:paraId="64EE8950" w14:textId="77777777" w:rsidR="009D1FB2" w:rsidRDefault="009D1FB2">
      <w:pPr>
        <w:spacing w:after="0" w:line="240" w:lineRule="auto"/>
        <w:rPr>
          <w:bCs/>
          <w:color w:val="2F5496" w:themeColor="accent1" w:themeShade="BF"/>
          <w:sz w:val="24"/>
          <w:szCs w:val="24"/>
        </w:rPr>
      </w:pPr>
      <w:bookmarkStart w:id="54" w:name="_Toc86138412"/>
      <w:bookmarkStart w:id="55" w:name="_Toc86141316"/>
      <w:r>
        <w:br w:type="page"/>
      </w:r>
    </w:p>
    <w:p w14:paraId="685409CF" w14:textId="03A2E0FD" w:rsidR="009E5D98" w:rsidRDefault="009E5D98" w:rsidP="009E5D98">
      <w:pPr>
        <w:pStyle w:val="Heading2"/>
        <w:ind w:left="794" w:hanging="794"/>
      </w:pPr>
      <w:bookmarkStart w:id="56" w:name="_Toc91160207"/>
      <w:r>
        <w:lastRenderedPageBreak/>
        <w:t xml:space="preserve">Chapter 8: </w:t>
      </w:r>
      <w:r w:rsidR="003B5B95">
        <w:t xml:space="preserve">Understanding the </w:t>
      </w:r>
      <w:r w:rsidR="005D47D6">
        <w:t>T</w:t>
      </w:r>
      <w:r w:rsidR="003B5B95">
        <w:t xml:space="preserve">eacher </w:t>
      </w:r>
      <w:r w:rsidR="005D47D6">
        <w:t>W</w:t>
      </w:r>
      <w:r w:rsidR="003B5B95">
        <w:t>orkforce</w:t>
      </w:r>
      <w:bookmarkEnd w:id="54"/>
      <w:bookmarkEnd w:id="55"/>
      <w:bookmarkEnd w:id="56"/>
    </w:p>
    <w:p w14:paraId="6DDE9557" w14:textId="294C7420" w:rsidR="00082C82" w:rsidRPr="00577034" w:rsidRDefault="00082C82" w:rsidP="00082C82">
      <w:pPr>
        <w:pStyle w:val="Keypoints"/>
      </w:pPr>
      <w:r>
        <w:t>Key points</w:t>
      </w:r>
    </w:p>
    <w:p w14:paraId="69686C21" w14:textId="66092340" w:rsidR="00F23A9F" w:rsidRDefault="00F23A9F" w:rsidP="00F66D2A">
      <w:pPr>
        <w:pStyle w:val="Keypoints"/>
        <w:numPr>
          <w:ilvl w:val="0"/>
          <w:numId w:val="23"/>
        </w:numPr>
        <w:rPr>
          <w:b w:val="0"/>
          <w:bCs/>
        </w:rPr>
      </w:pPr>
      <w:r w:rsidRPr="001B2E2B">
        <w:rPr>
          <w:b w:val="0"/>
        </w:rPr>
        <w:t>Ensuring an adequate supply of teachers is a key concern for teacher employers and other education stakeholders.</w:t>
      </w:r>
    </w:p>
    <w:p w14:paraId="35D8C321" w14:textId="03191318" w:rsidR="00F23A9F" w:rsidRDefault="00F23A9F" w:rsidP="00F66D2A">
      <w:pPr>
        <w:pStyle w:val="Keypoints"/>
        <w:numPr>
          <w:ilvl w:val="0"/>
          <w:numId w:val="23"/>
        </w:numPr>
        <w:rPr>
          <w:b w:val="0"/>
          <w:bCs/>
        </w:rPr>
      </w:pPr>
      <w:r w:rsidRPr="001B2E2B">
        <w:rPr>
          <w:b w:val="0"/>
        </w:rPr>
        <w:t>Workforce planning is currently performed in varying ways and to different levels of maturity across jurisdictions.</w:t>
      </w:r>
      <w:r w:rsidR="00EF5404">
        <w:rPr>
          <w:b w:val="0"/>
          <w:bCs/>
        </w:rPr>
        <w:t xml:space="preserve"> It is </w:t>
      </w:r>
      <w:r w:rsidR="001E0B7E" w:rsidRPr="001B2E2B">
        <w:rPr>
          <w:b w:val="0"/>
        </w:rPr>
        <w:t>limited by an actual and perceived lack of quality and timely data</w:t>
      </w:r>
      <w:r w:rsidR="001E0B7E">
        <w:rPr>
          <w:b w:val="0"/>
          <w:bCs/>
        </w:rPr>
        <w:t>.</w:t>
      </w:r>
    </w:p>
    <w:p w14:paraId="0CBD39FE" w14:textId="0FE20075" w:rsidR="00484D68" w:rsidRDefault="008373DC" w:rsidP="00F66D2A">
      <w:pPr>
        <w:pStyle w:val="Keypoints"/>
        <w:numPr>
          <w:ilvl w:val="0"/>
          <w:numId w:val="23"/>
        </w:numPr>
        <w:rPr>
          <w:b w:val="0"/>
          <w:bCs/>
        </w:rPr>
      </w:pPr>
      <w:r>
        <w:rPr>
          <w:b w:val="0"/>
          <w:bCs/>
        </w:rPr>
        <w:t xml:space="preserve">The mechanism to facilitate </w:t>
      </w:r>
      <w:r w:rsidR="00165D45">
        <w:rPr>
          <w:b w:val="0"/>
          <w:bCs/>
        </w:rPr>
        <w:t xml:space="preserve">discussion between higher education providers and employers </w:t>
      </w:r>
      <w:r w:rsidR="003E7567">
        <w:rPr>
          <w:b w:val="0"/>
          <w:bCs/>
        </w:rPr>
        <w:t xml:space="preserve">on employer needs when designing </w:t>
      </w:r>
      <w:r w:rsidR="00AB6495">
        <w:rPr>
          <w:b w:val="0"/>
          <w:bCs/>
        </w:rPr>
        <w:t xml:space="preserve">initial teacher education </w:t>
      </w:r>
      <w:r w:rsidR="003E7567">
        <w:rPr>
          <w:b w:val="0"/>
          <w:bCs/>
        </w:rPr>
        <w:t>programs is not clear.</w:t>
      </w:r>
    </w:p>
    <w:p w14:paraId="37FDFE7C" w14:textId="46BC017C" w:rsidR="00F21380" w:rsidRPr="000901FB" w:rsidRDefault="003E7567" w:rsidP="00F66D2A">
      <w:pPr>
        <w:pStyle w:val="Keypoints"/>
        <w:numPr>
          <w:ilvl w:val="0"/>
          <w:numId w:val="23"/>
        </w:numPr>
      </w:pPr>
      <w:r w:rsidRPr="001B2E2B">
        <w:rPr>
          <w:b w:val="0"/>
        </w:rPr>
        <w:t>A national approach to projecting</w:t>
      </w:r>
      <w:r w:rsidR="0090710A">
        <w:rPr>
          <w:b w:val="0"/>
        </w:rPr>
        <w:t xml:space="preserve"> teacher</w:t>
      </w:r>
      <w:r w:rsidRPr="001B2E2B">
        <w:rPr>
          <w:b w:val="0"/>
        </w:rPr>
        <w:t xml:space="preserve"> supply and demand would be welcomed by teacher employers</w:t>
      </w:r>
      <w:r>
        <w:rPr>
          <w:b w:val="0"/>
          <w:bCs/>
        </w:rPr>
        <w:t>.</w:t>
      </w:r>
    </w:p>
    <w:p w14:paraId="3D0F7204" w14:textId="77777777" w:rsidR="009E5D98" w:rsidRDefault="009E5D98" w:rsidP="009E5D98">
      <w:pPr>
        <w:pStyle w:val="Heading3"/>
        <w:tabs>
          <w:tab w:val="left" w:pos="2236"/>
        </w:tabs>
        <w:ind w:left="1021" w:hanging="1021"/>
      </w:pPr>
      <w:r>
        <w:t>Current Context</w:t>
      </w:r>
    </w:p>
    <w:p w14:paraId="7BF67D79" w14:textId="2B69DA66" w:rsidR="0036056F" w:rsidRDefault="004E3E13" w:rsidP="009E5D98">
      <w:r>
        <w:t xml:space="preserve">The </w:t>
      </w:r>
      <w:r w:rsidR="007A21F4">
        <w:t>R</w:t>
      </w:r>
      <w:r>
        <w:t xml:space="preserve">eview was undertaken during a period of national discussion </w:t>
      </w:r>
      <w:r w:rsidR="0036056F">
        <w:t xml:space="preserve">on concerns about the immediate and future supply of Australia’s teacher workforce. ITE is a critical component of this discussion as it </w:t>
      </w:r>
      <w:r w:rsidR="00175BA9">
        <w:t xml:space="preserve">not only produces the future pipeline of teachers, but it </w:t>
      </w:r>
      <w:r w:rsidR="00BB1F43">
        <w:t xml:space="preserve">influences </w:t>
      </w:r>
      <w:r w:rsidR="00C3382A">
        <w:t>when they will be available</w:t>
      </w:r>
      <w:r w:rsidR="003A051C">
        <w:t>, how many will be available</w:t>
      </w:r>
      <w:r w:rsidR="00C3382A">
        <w:t xml:space="preserve"> and at what </w:t>
      </w:r>
      <w:r w:rsidR="00817027">
        <w:t xml:space="preserve">standard. </w:t>
      </w:r>
    </w:p>
    <w:p w14:paraId="1495E04B" w14:textId="198DB7B2" w:rsidR="009E5D98" w:rsidRDefault="009E5D98" w:rsidP="009E5D98">
      <w:r>
        <w:t xml:space="preserve">Australia does not have a national approach to workforce planning for the teaching profession. </w:t>
      </w:r>
      <w:r w:rsidRPr="007068D0">
        <w:t xml:space="preserve">A number of reviews, including </w:t>
      </w:r>
      <w:r w:rsidR="00851263">
        <w:t xml:space="preserve">the </w:t>
      </w:r>
      <w:r w:rsidRPr="007068D0">
        <w:t xml:space="preserve">TEMAG </w:t>
      </w:r>
      <w:r w:rsidR="00851263">
        <w:t>Review</w:t>
      </w:r>
      <w:r w:rsidRPr="007068D0">
        <w:t xml:space="preserve"> and the </w:t>
      </w:r>
      <w:r w:rsidR="00CA4843" w:rsidRPr="00CA4843">
        <w:rPr>
          <w:i/>
          <w:iCs/>
        </w:rPr>
        <w:t>Through Growth to Achievement: Report of the</w:t>
      </w:r>
      <w:r w:rsidR="00CA4843">
        <w:t xml:space="preserve"> </w:t>
      </w:r>
      <w:r w:rsidRPr="00655DE4">
        <w:rPr>
          <w:i/>
        </w:rPr>
        <w:t>Review to Achieve Educational Excellence in Australian Schools</w:t>
      </w:r>
      <w:r w:rsidRPr="007068D0">
        <w:t>, have recommended that national workforce planning capability needs to be improved.</w:t>
      </w:r>
      <w:r>
        <w:t xml:space="preserve"> Each jurisdiction, sector and school system </w:t>
      </w:r>
      <w:r w:rsidR="00203C69">
        <w:t>conduct</w:t>
      </w:r>
      <w:r w:rsidR="00972AF4">
        <w:t>s</w:t>
      </w:r>
      <w:r>
        <w:t xml:space="preserve"> its own workforce planning, with varying degrees of sophistication. This ranges from state-wide approaches, to individual schools managing their own workforce needs. </w:t>
      </w:r>
    </w:p>
    <w:p w14:paraId="54CA52BE" w14:textId="3591B988" w:rsidR="009E5D98" w:rsidRPr="006A57CB" w:rsidRDefault="009E5D98" w:rsidP="009E5D98">
      <w:r w:rsidRPr="006A57CB">
        <w:t>ITE plays a critical role in meeting the demand requirements of Australia’s schooling systems, through supplying teachers across geographical locations and subject specialisation. Under the Accreditation Standards, higher education providers are required to consider employer needs when designing ITE programs. It is up to providers to determine how these discussions take place and how they shape the</w:t>
      </w:r>
      <w:r w:rsidR="000A0BA7">
        <w:t>ir ITE</w:t>
      </w:r>
      <w:r w:rsidRPr="006A57CB">
        <w:t xml:space="preserve"> program</w:t>
      </w:r>
      <w:r w:rsidR="000A0BA7">
        <w:t>s</w:t>
      </w:r>
      <w:r w:rsidRPr="006A57CB">
        <w:t>.</w:t>
      </w:r>
    </w:p>
    <w:p w14:paraId="3EBAAE2D" w14:textId="70013E37" w:rsidR="009E5D98" w:rsidRDefault="009E5D98" w:rsidP="009E5D98">
      <w:r>
        <w:t xml:space="preserve">At the national level, as recommended by </w:t>
      </w:r>
      <w:r w:rsidR="00851263">
        <w:t>the</w:t>
      </w:r>
      <w:r>
        <w:t xml:space="preserve"> TEMAG</w:t>
      </w:r>
      <w:r w:rsidR="00851263">
        <w:t xml:space="preserve"> Review</w:t>
      </w:r>
      <w:r>
        <w:t>, work has been underway since 2016 to develop a national workforce data collection. The Australian Teacher Workforce Data (ATWD) collection is a major national initiative supported by all governments to develop, for the first time, a national data collection on the teacher workforce.</w:t>
      </w:r>
    </w:p>
    <w:p w14:paraId="1AB8CCB1" w14:textId="3D008934" w:rsidR="009E5D98" w:rsidRDefault="009E5D98" w:rsidP="009E5D98">
      <w:r>
        <w:t xml:space="preserve">The collection links ITE </w:t>
      </w:r>
      <w:r w:rsidR="00474D97">
        <w:t>student</w:t>
      </w:r>
      <w:r>
        <w:t xml:space="preserve"> data with teacher registration and survey data to provide a longitudinal picture of the national teacher workforce</w:t>
      </w:r>
      <w:r w:rsidRPr="006A57CB">
        <w:t>,</w:t>
      </w:r>
      <w:r>
        <w:t xml:space="preserve"> support current work to improve the quality of teaching and assist workforce planning to meet future workforce needs.</w:t>
      </w:r>
    </w:p>
    <w:p w14:paraId="3E915BB2" w14:textId="47D55C6B" w:rsidR="009E5D98" w:rsidRDefault="009E5D98" w:rsidP="009E5D98">
      <w:r>
        <w:t xml:space="preserve">AITSL is leading work in collaboration with the Australian Institute for Health and Welfare, all governments (state, territory and </w:t>
      </w:r>
      <w:r w:rsidR="007A18CB">
        <w:t>the Australian Government</w:t>
      </w:r>
      <w:r>
        <w:t>) and T</w:t>
      </w:r>
      <w:r w:rsidR="00CA4843">
        <w:t xml:space="preserve">eacher </w:t>
      </w:r>
      <w:r>
        <w:t>R</w:t>
      </w:r>
      <w:r w:rsidR="00CA4843">
        <w:t xml:space="preserve">egulatory </w:t>
      </w:r>
      <w:r>
        <w:t>A</w:t>
      </w:r>
      <w:r w:rsidR="00CA4843">
        <w:t>uthoritie</w:t>
      </w:r>
      <w:r>
        <w:t>s</w:t>
      </w:r>
      <w:r w:rsidR="00CA4843">
        <w:t xml:space="preserve"> (TRAs)</w:t>
      </w:r>
      <w:r>
        <w:t xml:space="preserve"> to </w:t>
      </w:r>
      <w:r w:rsidR="004F2E59">
        <w:t xml:space="preserve">leverage </w:t>
      </w:r>
      <w:r>
        <w:t xml:space="preserve">existing data sources. All states and territories have progressively contributed to the collection since 2018. Ongoing </w:t>
      </w:r>
      <w:r w:rsidR="00DD1E80">
        <w:t>Australian Government</w:t>
      </w:r>
      <w:r>
        <w:t xml:space="preserve"> funding was announced in the 2021–22 Budget to support the ATWD</w:t>
      </w:r>
      <w:r w:rsidR="00D4043D">
        <w:t xml:space="preserve"> collection</w:t>
      </w:r>
      <w:r>
        <w:t xml:space="preserve"> in becoming an enduring data collection.</w:t>
      </w:r>
    </w:p>
    <w:p w14:paraId="69779ABF" w14:textId="1E52DA80" w:rsidR="009E5D98" w:rsidRDefault="009E5D98" w:rsidP="00D4043D">
      <w:pPr>
        <w:pStyle w:val="Heading3"/>
        <w:keepNext/>
        <w:ind w:left="1021" w:hanging="1021"/>
      </w:pPr>
      <w:r>
        <w:lastRenderedPageBreak/>
        <w:t xml:space="preserve">Key Consultation Themes and Analysis </w:t>
      </w:r>
    </w:p>
    <w:p w14:paraId="2C787E7C" w14:textId="29F20152" w:rsidR="009E5D98" w:rsidRPr="001B2E2B" w:rsidRDefault="009E5D98" w:rsidP="00CD1FEB">
      <w:pPr>
        <w:pStyle w:val="Quote"/>
        <w:framePr w:wrap="around"/>
      </w:pPr>
      <w:r w:rsidRPr="001B2E2B">
        <w:t>‘Inadequate teacher supply can significantly affect student educational outcomes.’</w:t>
      </w:r>
    </w:p>
    <w:p w14:paraId="25992082" w14:textId="2D15A9BD" w:rsidR="009E5D98" w:rsidRPr="001B2E2B" w:rsidRDefault="009E5D98" w:rsidP="00CD1FEB">
      <w:pPr>
        <w:pStyle w:val="Quote"/>
        <w:framePr w:wrap="around"/>
      </w:pPr>
      <w:r w:rsidRPr="001B2E2B">
        <w:t>(Victorian Department of Education</w:t>
      </w:r>
      <w:r w:rsidR="00E575E1">
        <w:t xml:space="preserve"> submission</w:t>
      </w:r>
      <w:r w:rsidRPr="001B2E2B">
        <w:t>)</w:t>
      </w:r>
    </w:p>
    <w:p w14:paraId="4E332752" w14:textId="77777777" w:rsidR="00CA4843" w:rsidRDefault="00CA4843" w:rsidP="00CA4843">
      <w:pPr>
        <w:spacing w:after="0"/>
      </w:pPr>
    </w:p>
    <w:p w14:paraId="30B727D8" w14:textId="5F475274" w:rsidR="009E5D98" w:rsidRPr="006A57CB" w:rsidRDefault="009E5D98" w:rsidP="00CA4843">
      <w:pPr>
        <w:rPr>
          <w:b/>
        </w:rPr>
      </w:pPr>
      <w:r w:rsidRPr="006A57CB">
        <w:t xml:space="preserve">Ensuring an adequate supply of teachers is a key concern for teacher employers and other education stakeholders. </w:t>
      </w:r>
      <w:r w:rsidR="00E04008">
        <w:t>S</w:t>
      </w:r>
      <w:r w:rsidR="00E04008" w:rsidRPr="006A57CB">
        <w:t xml:space="preserve">hortages </w:t>
      </w:r>
      <w:r w:rsidRPr="006A57CB">
        <w:t xml:space="preserve">are considered to be acute in specific areas including special education, early childhood, science, maths, design and technology, and languages. Shortages are also more prevalent in regional, rural and remote locations. Often, </w:t>
      </w:r>
      <w:r w:rsidR="000A0BA7">
        <w:t xml:space="preserve">schools </w:t>
      </w:r>
      <w:r w:rsidRPr="006A57CB">
        <w:t xml:space="preserve">employ teachers </w:t>
      </w:r>
      <w:r w:rsidR="00BB6F2E">
        <w:t xml:space="preserve">to teach </w:t>
      </w:r>
      <w:r w:rsidRPr="006A57CB">
        <w:t>out of field to fill vacancies</w:t>
      </w:r>
      <w:r w:rsidRPr="006A57CB">
        <w:rPr>
          <w:b/>
        </w:rPr>
        <w:t>.</w:t>
      </w:r>
    </w:p>
    <w:p w14:paraId="079C29F0" w14:textId="515FCD5B" w:rsidR="006F39EB" w:rsidRDefault="009E5D98" w:rsidP="006F39EB">
      <w:r w:rsidRPr="006A57CB">
        <w:t xml:space="preserve">Despite longstanding reports of shortages facing the Australian schooling system, there is little systemic national data and modelling to assess the </w:t>
      </w:r>
      <w:r w:rsidR="000A0BA7">
        <w:t>volume</w:t>
      </w:r>
      <w:r w:rsidR="000A0BA7" w:rsidRPr="006A57CB">
        <w:t xml:space="preserve"> </w:t>
      </w:r>
      <w:r w:rsidRPr="006A57CB">
        <w:t xml:space="preserve">and nature of the supply and demand of teachers in Australia. </w:t>
      </w:r>
    </w:p>
    <w:p w14:paraId="7D8064F4" w14:textId="747C6213" w:rsidR="009E5D98" w:rsidRPr="006A57CB" w:rsidRDefault="009E5D98" w:rsidP="009E5D98">
      <w:r w:rsidRPr="006A57CB">
        <w:t>Deloitte Access Economics</w:t>
      </w:r>
      <w:r w:rsidR="00023BDE">
        <w:t xml:space="preserve"> </w:t>
      </w:r>
      <w:r w:rsidR="000A0BA7">
        <w:t>was</w:t>
      </w:r>
      <w:r w:rsidR="00023BDE">
        <w:t xml:space="preserve"> engaged</w:t>
      </w:r>
      <w:r w:rsidRPr="006A57CB">
        <w:t xml:space="preserve"> to better understand how teacher employers undertake workforce planning, and to consider options to assist higher education providers to better meet employers’ workforce needs. Deloitte</w:t>
      </w:r>
      <w:r>
        <w:t xml:space="preserve"> Access Economics</w:t>
      </w:r>
      <w:r w:rsidRPr="006A57CB" w:rsidDel="00280134">
        <w:t xml:space="preserve"> </w:t>
      </w:r>
      <w:r w:rsidRPr="006A57CB">
        <w:t>consulted with major teacher employers to understand their key workforce planning issues and to identify an approach that supports and builds on existing arrangements between employers and providers. The following discussion outlines the key findings from this work.</w:t>
      </w:r>
    </w:p>
    <w:p w14:paraId="41ADDC87" w14:textId="4F24C33B" w:rsidR="009E5D98" w:rsidRPr="006A57CB" w:rsidRDefault="009E5D98" w:rsidP="00F03763">
      <w:pPr>
        <w:pStyle w:val="Heading6"/>
        <w:spacing w:before="0"/>
      </w:pPr>
      <w:r w:rsidRPr="006A57CB">
        <w:t xml:space="preserve">Workforce </w:t>
      </w:r>
      <w:r w:rsidR="006E0DE7">
        <w:t>p</w:t>
      </w:r>
      <w:r w:rsidRPr="006A57CB">
        <w:t xml:space="preserve">lanning </w:t>
      </w:r>
      <w:r w:rsidR="006E0DE7">
        <w:t>a</w:t>
      </w:r>
      <w:r w:rsidRPr="006A57CB">
        <w:t>pproaches</w:t>
      </w:r>
    </w:p>
    <w:p w14:paraId="45F1F27F" w14:textId="30C699B8" w:rsidR="009E5D98" w:rsidRPr="006A57CB" w:rsidRDefault="009E5D98" w:rsidP="00F03763">
      <w:pPr>
        <w:spacing w:after="0"/>
      </w:pPr>
      <w:r w:rsidRPr="006A57CB">
        <w:t xml:space="preserve">Workforce planning is currently </w:t>
      </w:r>
      <w:r w:rsidR="001D03DF">
        <w:t>undertaken</w:t>
      </w:r>
      <w:r w:rsidRPr="006A57CB">
        <w:t xml:space="preserve"> in varying ways and to different levels of maturity across Australian schooling jurisdictions. More sophisticated workforce planning </w:t>
      </w:r>
      <w:r w:rsidR="000A0BA7">
        <w:t>is taking place</w:t>
      </w:r>
      <w:r w:rsidRPr="006A57CB">
        <w:t xml:space="preserve"> in larger state government schooling systems where data is being gathered directly from </w:t>
      </w:r>
      <w:r w:rsidR="00455465">
        <w:t>higher education</w:t>
      </w:r>
      <w:r w:rsidR="00455465" w:rsidRPr="006A57CB">
        <w:t xml:space="preserve"> </w:t>
      </w:r>
      <w:r w:rsidRPr="006A57CB">
        <w:t xml:space="preserve">providers and individual schools (within a jurisdiction) to inform subject level modelling and supply and demand forecasting. </w:t>
      </w:r>
    </w:p>
    <w:p w14:paraId="24B6485A" w14:textId="17535A20" w:rsidR="009E5D98" w:rsidRDefault="009E5D98" w:rsidP="00CD1FEB">
      <w:pPr>
        <w:spacing w:before="200" w:after="0"/>
      </w:pPr>
      <w:r>
        <w:t>Different approaches and methods are being adopted to inform different layers of workforce planning</w:t>
      </w:r>
      <w:r w:rsidR="001B37BF">
        <w:t>, including</w:t>
      </w:r>
      <w:r>
        <w:t xml:space="preserve">: </w:t>
      </w:r>
    </w:p>
    <w:p w14:paraId="00026C8E" w14:textId="4486AAFD" w:rsidR="009E5D98" w:rsidRPr="00E2258A" w:rsidRDefault="00583F1C" w:rsidP="00F66D2A">
      <w:pPr>
        <w:pStyle w:val="ListBullet"/>
        <w:numPr>
          <w:ilvl w:val="0"/>
          <w:numId w:val="18"/>
        </w:numPr>
        <w:spacing w:after="0"/>
      </w:pPr>
      <w:r>
        <w:t>s</w:t>
      </w:r>
      <w:r w:rsidR="009E5D98">
        <w:t>ome jurisdictions have adopted an aggregate level approach that models the total number of teachers needed across the state</w:t>
      </w:r>
    </w:p>
    <w:p w14:paraId="6268C5AE" w14:textId="7D5A92DC" w:rsidR="009E5D98" w:rsidRDefault="00583F1C" w:rsidP="00F66D2A">
      <w:pPr>
        <w:pStyle w:val="ListBullet"/>
        <w:numPr>
          <w:ilvl w:val="0"/>
          <w:numId w:val="18"/>
        </w:numPr>
        <w:spacing w:after="0"/>
      </w:pPr>
      <w:r>
        <w:t>e</w:t>
      </w:r>
      <w:r w:rsidR="009E5D98">
        <w:t>mployers and schools sector representatives indicated that their understanding of teacher shortages in the context of geographical locations is limited, with most of this evidence cited being anecdotal provided by individual contacts within schools</w:t>
      </w:r>
    </w:p>
    <w:p w14:paraId="68749979" w14:textId="4E03FA0A" w:rsidR="009E5D98" w:rsidRDefault="0010356C" w:rsidP="00F66D2A">
      <w:pPr>
        <w:pStyle w:val="ListBullet"/>
        <w:numPr>
          <w:ilvl w:val="0"/>
          <w:numId w:val="18"/>
        </w:numPr>
      </w:pPr>
      <w:r>
        <w:t>m</w:t>
      </w:r>
      <w:r w:rsidR="009E5D98">
        <w:t xml:space="preserve">any jurisdictions have found it challenging to capture qualification-based </w:t>
      </w:r>
      <w:r w:rsidR="00EE078F">
        <w:t>data</w:t>
      </w:r>
      <w:r w:rsidR="009E5D98">
        <w:t xml:space="preserve">, especially </w:t>
      </w:r>
      <w:r w:rsidR="005951F4">
        <w:t xml:space="preserve">jurisdictions </w:t>
      </w:r>
      <w:r w:rsidR="009E5D98">
        <w:t>lacking developed workforce planning tools.</w:t>
      </w:r>
      <w:r w:rsidR="009E5D98" w:rsidRPr="0040429A">
        <w:t xml:space="preserve"> </w:t>
      </w:r>
      <w:r w:rsidR="009E5D98">
        <w:t xml:space="preserve">One jurisdiction has developed a subject level model which employs a bottom-up approach based on timetabling information provided by schools and </w:t>
      </w:r>
      <w:r w:rsidR="00C11772">
        <w:t xml:space="preserve">higher education </w:t>
      </w:r>
      <w:r w:rsidR="009E5D98">
        <w:t>provider responses to the state-run custom survey.</w:t>
      </w:r>
    </w:p>
    <w:p w14:paraId="5C309B0F" w14:textId="528B4FE7" w:rsidR="009E5D98" w:rsidRPr="006A57CB" w:rsidRDefault="009E5D98" w:rsidP="00F03763">
      <w:pPr>
        <w:pStyle w:val="Heading7"/>
      </w:pPr>
      <w:r w:rsidRPr="006A57CB">
        <w:t>Data availability</w:t>
      </w:r>
    </w:p>
    <w:p w14:paraId="6252F0DC" w14:textId="03C721C3" w:rsidR="009E5D98" w:rsidRPr="001B2E2B" w:rsidRDefault="009E5D98" w:rsidP="00CD1FEB">
      <w:pPr>
        <w:pStyle w:val="Quote"/>
        <w:framePr w:wrap="around"/>
      </w:pPr>
      <w:r w:rsidRPr="001B2E2B">
        <w:t>‘The issue of divergent analysis of the current and future demand for teachers in Australia and the ability of schools to employ the teachers they require shows the need for better data to provide evidence on the actual situation.’</w:t>
      </w:r>
    </w:p>
    <w:p w14:paraId="22EF243B" w14:textId="6B8DBD0F" w:rsidR="009E5D98" w:rsidRPr="001B2E2B" w:rsidRDefault="009E5D98" w:rsidP="00CD1FEB">
      <w:pPr>
        <w:pStyle w:val="Quote"/>
        <w:framePr w:wrap="around"/>
      </w:pPr>
      <w:r w:rsidRPr="001B2E2B">
        <w:t>(National Catholic Education Commission submission)</w:t>
      </w:r>
    </w:p>
    <w:p w14:paraId="27694CB1" w14:textId="77777777" w:rsidR="00CD1FEB" w:rsidRDefault="00CD1FEB" w:rsidP="009E5D98">
      <w:pPr>
        <w:pStyle w:val="ListBullet"/>
        <w:numPr>
          <w:ilvl w:val="0"/>
          <w:numId w:val="0"/>
        </w:numPr>
      </w:pPr>
    </w:p>
    <w:p w14:paraId="4B4DAC05" w14:textId="5A025AFC" w:rsidR="009E5D98" w:rsidRPr="00EF760E" w:rsidRDefault="009E5D98" w:rsidP="009E5D98">
      <w:pPr>
        <w:pStyle w:val="ListBullet"/>
        <w:numPr>
          <w:ilvl w:val="0"/>
          <w:numId w:val="0"/>
        </w:numPr>
      </w:pPr>
      <w:r w:rsidRPr="006A57CB">
        <w:t>The approach to workforce planning is limited by a perceived lack of quality and timely data. Jurisdictions emphasised the</w:t>
      </w:r>
      <w:r w:rsidR="00542421">
        <w:t xml:space="preserve"> role</w:t>
      </w:r>
      <w:r w:rsidRPr="006A57CB">
        <w:t xml:space="preserve"> that better data and modelling of ITE needs could play in addressing specific supply shortages. At present, jurisdictions’ ability to understand and </w:t>
      </w:r>
      <w:r w:rsidR="00B17092">
        <w:t>ad</w:t>
      </w:r>
      <w:r w:rsidRPr="006A57CB">
        <w:t>dress these specific areas of shortage is limited by key data gaps. These gaps, outlined below, relate principally to the ability to obtain ITE data on subject specialisation and location, and to access data in a timely manner</w:t>
      </w:r>
      <w:r>
        <w:t>.</w:t>
      </w:r>
    </w:p>
    <w:p w14:paraId="7DCD2BAE" w14:textId="77777777" w:rsidR="009E5D98" w:rsidRDefault="009E5D98" w:rsidP="009E5D98">
      <w:pPr>
        <w:pStyle w:val="Heading7"/>
      </w:pPr>
      <w:r>
        <w:lastRenderedPageBreak/>
        <w:t>Qualification/subject specialisation</w:t>
      </w:r>
    </w:p>
    <w:p w14:paraId="4311B9AE" w14:textId="689DA144" w:rsidR="009E5D98" w:rsidRPr="006A57CB" w:rsidRDefault="009E5D98" w:rsidP="009E5D98">
      <w:r>
        <w:t xml:space="preserve">Across all jurisdictions, stakeholders highlighted data gaps relating to subject specialisation of ITE graduates. Overwhelmingly, it appears that each jurisdiction must make assumptions regarding the specialisation of their ITE graduates. </w:t>
      </w:r>
    </w:p>
    <w:p w14:paraId="1A0D31A3" w14:textId="3F441167" w:rsidR="009E5D98" w:rsidRPr="006A57CB" w:rsidRDefault="009E5D98" w:rsidP="009E5D98">
      <w:r w:rsidRPr="006A57CB">
        <w:t xml:space="preserve">Another gap relating to subject specialisation is the recognition of prior qualifications, particularly important for ITE graduates at the postgraduate level. For instance, a Master of </w:t>
      </w:r>
      <w:r w:rsidR="00952231">
        <w:t>Teaching</w:t>
      </w:r>
      <w:r w:rsidR="00952231" w:rsidRPr="006A57CB">
        <w:t xml:space="preserve"> </w:t>
      </w:r>
      <w:r w:rsidRPr="006A57CB">
        <w:t xml:space="preserve">graduate may also possess an undergraduate qualification in science. Data on their previous undergraduate qualification can show they are qualified to teach science. </w:t>
      </w:r>
    </w:p>
    <w:p w14:paraId="07360380" w14:textId="48BAE16E" w:rsidR="009E5D98" w:rsidRPr="006A57CB" w:rsidRDefault="009E5D98" w:rsidP="009E5D98">
      <w:r w:rsidRPr="006A57CB">
        <w:t xml:space="preserve">There is clear and widespread consensus that qualification and specialisation data will </w:t>
      </w:r>
      <w:r w:rsidR="00CA43DB">
        <w:t>contribute significantly</w:t>
      </w:r>
      <w:r w:rsidRPr="006A57CB">
        <w:t xml:space="preserve"> to workforce planning, in terms of understanding the current supply pool and supply pipeline. </w:t>
      </w:r>
      <w:r>
        <w:t>Where employers can provide input on demand by subject specialisation, i</w:t>
      </w:r>
      <w:r w:rsidRPr="006A57CB">
        <w:t xml:space="preserve">t also enables the development of courses </w:t>
      </w:r>
      <w:r w:rsidR="00934332">
        <w:t>by</w:t>
      </w:r>
      <w:r w:rsidRPr="006A57CB">
        <w:t xml:space="preserve"> higher education provider</w:t>
      </w:r>
      <w:r w:rsidR="00934332">
        <w:t>s</w:t>
      </w:r>
      <w:r w:rsidRPr="006A57CB">
        <w:t xml:space="preserve"> with sufficient lead time, so that there is a ready pool of teacher supply when needed. This is crucial as some stakeholders noted the lengthy time necessary to develop ITE courses. </w:t>
      </w:r>
    </w:p>
    <w:p w14:paraId="3E30EB57" w14:textId="77777777" w:rsidR="009E5D98" w:rsidRDefault="009E5D98" w:rsidP="009E5D98">
      <w:pPr>
        <w:pStyle w:val="Heading7"/>
      </w:pPr>
      <w:r w:rsidRPr="0DDFE6F1">
        <w:t>Location</w:t>
      </w:r>
      <w:r w:rsidRPr="60F88897">
        <w:t xml:space="preserve"> and </w:t>
      </w:r>
      <w:r w:rsidRPr="6EF41B37">
        <w:t xml:space="preserve">mobility (across </w:t>
      </w:r>
      <w:r w:rsidRPr="424FC119">
        <w:t>jurisdictions and systems)</w:t>
      </w:r>
    </w:p>
    <w:p w14:paraId="75C13807" w14:textId="12DA398E" w:rsidR="009E5D98" w:rsidRPr="006A57CB" w:rsidRDefault="009E5D98" w:rsidP="009E5D98">
      <w:r w:rsidRPr="006A57CB">
        <w:t xml:space="preserve">A key challenge faced by many jurisdictions is ensuring a sufficient number of teachers are available in metropolitan and </w:t>
      </w:r>
      <w:r>
        <w:t>in</w:t>
      </w:r>
      <w:r w:rsidRPr="006A57CB">
        <w:t xml:space="preserve"> </w:t>
      </w:r>
      <w:r w:rsidR="003A257E">
        <w:t>regional</w:t>
      </w:r>
      <w:r w:rsidRPr="006A57CB">
        <w:t xml:space="preserve">, </w:t>
      </w:r>
      <w:r w:rsidR="003A257E">
        <w:t>rural</w:t>
      </w:r>
      <w:r w:rsidRPr="006A57CB">
        <w:t xml:space="preserve">, and remote areas. Across the board, stakeholders noted a lack of reliable data relating to where ITE graduates intend to teach. Many jurisdictions indicated the need to make assumptions about where ITE graduates will teach using their residential address or location of </w:t>
      </w:r>
      <w:r w:rsidR="004632D7">
        <w:t>their</w:t>
      </w:r>
      <w:r w:rsidRPr="006A57CB">
        <w:t xml:space="preserve"> university. </w:t>
      </w:r>
    </w:p>
    <w:p w14:paraId="108F5311" w14:textId="44670756" w:rsidR="009E5D98" w:rsidRPr="006A57CB" w:rsidRDefault="009E5D98" w:rsidP="009E5D98">
      <w:r w:rsidRPr="006A57CB">
        <w:t xml:space="preserve">This issue has been further exacerbated as more students decide to undertake study online, especially prevalent for universities located in regional areas </w:t>
      </w:r>
      <w:r w:rsidR="000A0BA7">
        <w:t xml:space="preserve">that </w:t>
      </w:r>
      <w:r w:rsidR="00BE04CF">
        <w:t>have</w:t>
      </w:r>
      <w:r w:rsidRPr="006A57CB">
        <w:t xml:space="preserve"> a large number of online students. Even the jurisdiction </w:t>
      </w:r>
      <w:r w:rsidR="005550F9">
        <w:t>conducting</w:t>
      </w:r>
      <w:r w:rsidRPr="006A57CB">
        <w:t xml:space="preserve"> a state-wide custom survey of ITE students encounters limitations relating to location data, given 90 to 95 per cent of students indicate being willing to teach in the whole of state to keep their </w:t>
      </w:r>
      <w:r w:rsidR="002A1BC2">
        <w:t>employment</w:t>
      </w:r>
      <w:r w:rsidRPr="006A57CB">
        <w:t xml:space="preserve"> options open. </w:t>
      </w:r>
    </w:p>
    <w:p w14:paraId="657263A7" w14:textId="62146DC2" w:rsidR="009E5D98" w:rsidRPr="006A57CB" w:rsidRDefault="009E5D98" w:rsidP="009E5D98">
      <w:r w:rsidRPr="006A57CB">
        <w:t xml:space="preserve">Other stakeholders indicated that teacher migration across </w:t>
      </w:r>
      <w:r w:rsidR="009D5167">
        <w:t>jurisdictions</w:t>
      </w:r>
      <w:r w:rsidRPr="006A57CB">
        <w:t xml:space="preserve"> limits the data collected on ITE graduates from local universities, particularly for universities with a large number of interstate students. </w:t>
      </w:r>
    </w:p>
    <w:p w14:paraId="7065EB83" w14:textId="5BFA53EA" w:rsidR="009E5D98" w:rsidRDefault="009E5D98" w:rsidP="009E5D98">
      <w:pPr>
        <w:pStyle w:val="Heading7"/>
      </w:pPr>
      <w:r>
        <w:t xml:space="preserve">Transparency of the current </w:t>
      </w:r>
      <w:r w:rsidR="00CA4843">
        <w:t>initial teacher education</w:t>
      </w:r>
      <w:r>
        <w:t xml:space="preserve"> supply pipeline</w:t>
      </w:r>
    </w:p>
    <w:p w14:paraId="1108E55F" w14:textId="3F9147EF" w:rsidR="009E5D98" w:rsidRPr="006A57CB" w:rsidRDefault="009E5D98" w:rsidP="009E5D98">
      <w:r>
        <w:t xml:space="preserve">One jurisdiction noted the lack of transparency and timeliness of data with regard to the current supply pipeline from </w:t>
      </w:r>
      <w:r w:rsidR="00455465">
        <w:t xml:space="preserve">higher education </w:t>
      </w:r>
      <w:r>
        <w:t xml:space="preserve">providers, particularly in relation to both enrolments and applications for ITE programs. This is further complicated by the expanding number of non-traditional pathways into ITE. </w:t>
      </w:r>
      <w:r w:rsidR="00BC519B">
        <w:t>Greater oversight of</w:t>
      </w:r>
      <w:r>
        <w:t xml:space="preserve"> the ITE supply pipeline would provide valuable insight into the effectiveness of recent policy reforms aimed at </w:t>
      </w:r>
      <w:r w:rsidR="006652D9">
        <w:t>increasing</w:t>
      </w:r>
      <w:r w:rsidR="007B5CC8">
        <w:t xml:space="preserve"> </w:t>
      </w:r>
      <w:r>
        <w:t>both the quality and quantity of this supply pool.</w:t>
      </w:r>
    </w:p>
    <w:p w14:paraId="1D542CD4" w14:textId="77777777" w:rsidR="009E5D98" w:rsidRPr="006A57CB" w:rsidRDefault="009E5D98" w:rsidP="009E5D98">
      <w:pPr>
        <w:pStyle w:val="Heading7"/>
      </w:pPr>
      <w:r w:rsidRPr="006A57CB">
        <w:t>Timeliness of data</w:t>
      </w:r>
    </w:p>
    <w:p w14:paraId="41488726" w14:textId="28C36559" w:rsidR="009E5D98" w:rsidRPr="006A57CB" w:rsidRDefault="009E5D98" w:rsidP="009E5D98">
      <w:r>
        <w:t>The availability of linked datasets through the ATWD</w:t>
      </w:r>
      <w:r w:rsidR="004403C6">
        <w:t xml:space="preserve"> collection</w:t>
      </w:r>
      <w:r>
        <w:t xml:space="preserve"> provides opportunities for further research to deepen understanding </w:t>
      </w:r>
      <w:r w:rsidR="008924FA">
        <w:t xml:space="preserve">of the </w:t>
      </w:r>
      <w:r>
        <w:t xml:space="preserve">ITE pipeline. Many jurisdictions raised the need for </w:t>
      </w:r>
      <w:r w:rsidR="00ED56CA">
        <w:t xml:space="preserve">access to more timely </w:t>
      </w:r>
      <w:r>
        <w:t xml:space="preserve">data, </w:t>
      </w:r>
      <w:r w:rsidR="000E40A1">
        <w:t xml:space="preserve">attributing </w:t>
      </w:r>
      <w:r>
        <w:t xml:space="preserve">the lack of engagement with ATWD </w:t>
      </w:r>
      <w:r w:rsidR="004403C6">
        <w:t xml:space="preserve">collection </w:t>
      </w:r>
      <w:r>
        <w:t xml:space="preserve">outputs to </w:t>
      </w:r>
      <w:r w:rsidR="00ED56CA">
        <w:t xml:space="preserve">the time </w:t>
      </w:r>
      <w:r>
        <w:t>lag</w:t>
      </w:r>
      <w:r w:rsidR="00ED56CA">
        <w:t xml:space="preserve"> between data collection and reporting</w:t>
      </w:r>
      <w:r>
        <w:t xml:space="preserve">, which is </w:t>
      </w:r>
      <w:r w:rsidR="000E40A1">
        <w:t xml:space="preserve">predominantly </w:t>
      </w:r>
      <w:r>
        <w:t xml:space="preserve">driven by a lag in the availability of higher education enrolment data. The timeliness of </w:t>
      </w:r>
      <w:r w:rsidR="00900916">
        <w:t>these</w:t>
      </w:r>
      <w:r>
        <w:t xml:space="preserve"> data </w:t>
      </w:r>
      <w:r w:rsidR="002966E3">
        <w:t>affects</w:t>
      </w:r>
      <w:r>
        <w:t xml:space="preserve"> workforce planning and the ability to properly track the effectiveness of initiatives and policy changes. It has been noted that the transition from the Department of Education, Skills and Employment’s Higher Education Information Management System to the new Transforming the Collection of Student Information initiative should provide more timely higher education enrolment data to model ITE supply.</w:t>
      </w:r>
    </w:p>
    <w:p w14:paraId="1675973F" w14:textId="77777777" w:rsidR="009E5D98" w:rsidRPr="006A57CB" w:rsidRDefault="009E5D98" w:rsidP="009E5D98">
      <w:pPr>
        <w:pStyle w:val="Heading6"/>
      </w:pPr>
      <w:r w:rsidRPr="006A57CB">
        <w:lastRenderedPageBreak/>
        <w:t>Teacher workforce data</w:t>
      </w:r>
    </w:p>
    <w:p w14:paraId="38380894" w14:textId="77777777" w:rsidR="009E5D98" w:rsidRDefault="009E5D98" w:rsidP="009E5D98">
      <w:pPr>
        <w:pStyle w:val="Heading7"/>
      </w:pPr>
      <w:r w:rsidRPr="3B95E7AA">
        <w:t>Teacher registration data</w:t>
      </w:r>
    </w:p>
    <w:p w14:paraId="58ADF48C" w14:textId="3F553B07" w:rsidR="009E5D98" w:rsidRPr="006A57CB" w:rsidRDefault="009E5D98" w:rsidP="009E5D98">
      <w:r w:rsidRPr="006A57CB">
        <w:t xml:space="preserve">Teacher registration data provides information on </w:t>
      </w:r>
      <w:r w:rsidR="00443B32">
        <w:t xml:space="preserve">ITE </w:t>
      </w:r>
      <w:r w:rsidRPr="006A57CB">
        <w:t xml:space="preserve">students who successfully register with a TRA, not information about </w:t>
      </w:r>
      <w:r w:rsidR="000B4C09">
        <w:t>ITE</w:t>
      </w:r>
      <w:r w:rsidR="000B4C09" w:rsidRPr="006A57CB">
        <w:t xml:space="preserve"> </w:t>
      </w:r>
      <w:r w:rsidRPr="006A57CB">
        <w:t>graduates who never registered</w:t>
      </w:r>
      <w:r w:rsidR="000B4C09">
        <w:t xml:space="preserve"> as teachers</w:t>
      </w:r>
      <w:r w:rsidRPr="006A57CB">
        <w:t xml:space="preserve">. Some teachers also maintain their registration despite exiting the workforce. </w:t>
      </w:r>
    </w:p>
    <w:p w14:paraId="248B9672" w14:textId="5860C021" w:rsidR="009E5D98" w:rsidRPr="006A57CB" w:rsidRDefault="009E5D98" w:rsidP="009E5D98">
      <w:r w:rsidRPr="006A57CB">
        <w:t xml:space="preserve">Greater insight and visibility of teacher registration data would help </w:t>
      </w:r>
      <w:r w:rsidR="00ED56CA">
        <w:t>workforce planners</w:t>
      </w:r>
      <w:r w:rsidRPr="006A57CB">
        <w:t xml:space="preserve"> </w:t>
      </w:r>
      <w:r w:rsidR="00ED56CA">
        <w:t>understand</w:t>
      </w:r>
      <w:r w:rsidRPr="006A57CB">
        <w:t xml:space="preserve"> the current and latent teacher supply pool. AITSL defines the latent supply pool of teachers as the pool of inactive teachers who are registered with a TRA but are not presently teaching, in addition to those with an expired registration which may be recoverable and ITE graduates without registration (AITSL 2021</w:t>
      </w:r>
      <w:r w:rsidR="000828B4">
        <w:t>b</w:t>
      </w:r>
      <w:r w:rsidRPr="006A57CB">
        <w:t>).</w:t>
      </w:r>
    </w:p>
    <w:p w14:paraId="1A17695C" w14:textId="77777777" w:rsidR="009E5D98" w:rsidRPr="009B6573" w:rsidRDefault="009E5D98" w:rsidP="009E5D98">
      <w:pPr>
        <w:pStyle w:val="Heading7"/>
      </w:pPr>
      <w:r w:rsidRPr="009B6573">
        <w:t>Attrition rate</w:t>
      </w:r>
    </w:p>
    <w:p w14:paraId="0F31AF03" w14:textId="26BE32B7" w:rsidR="009E5D98" w:rsidRPr="006A57CB" w:rsidRDefault="009E5D98" w:rsidP="009E5D98">
      <w:r w:rsidRPr="006A57CB">
        <w:t xml:space="preserve">A recurring theme in many of the submissions to the Review was the need for greater insight </w:t>
      </w:r>
      <w:r w:rsidR="00755774">
        <w:t xml:space="preserve">into </w:t>
      </w:r>
      <w:r w:rsidRPr="006A57CB">
        <w:t>the factors that influence teachers' decision</w:t>
      </w:r>
      <w:r w:rsidR="00E10850">
        <w:t>s</w:t>
      </w:r>
      <w:r w:rsidRPr="006A57CB">
        <w:t xml:space="preserve"> to leave the profession for both </w:t>
      </w:r>
      <w:r w:rsidR="001A20FD">
        <w:t>early</w:t>
      </w:r>
      <w:r w:rsidR="000A4532">
        <w:t xml:space="preserve"> career teachers</w:t>
      </w:r>
      <w:r w:rsidR="001A20FD" w:rsidRPr="006A57CB">
        <w:t xml:space="preserve"> </w:t>
      </w:r>
      <w:r w:rsidRPr="006A57CB">
        <w:t>and other teachers. If supply</w:t>
      </w:r>
      <w:r w:rsidR="004E6828">
        <w:t xml:space="preserve"> and demand</w:t>
      </w:r>
      <w:r w:rsidRPr="006A57CB">
        <w:t xml:space="preserve"> is to be fully understood, greater insight into teacher attrition rates across the teaching lifecycle is needed to factor this into projections. </w:t>
      </w:r>
    </w:p>
    <w:p w14:paraId="0013CF99" w14:textId="77777777" w:rsidR="009E5D98" w:rsidRPr="006A57CB" w:rsidRDefault="009E5D98" w:rsidP="009B6573">
      <w:pPr>
        <w:pStyle w:val="Heading7"/>
      </w:pPr>
      <w:r w:rsidRPr="006A57CB">
        <w:t>T</w:t>
      </w:r>
      <w:r w:rsidRPr="00FD3825">
        <w:t xml:space="preserve">eacher demand </w:t>
      </w:r>
    </w:p>
    <w:p w14:paraId="130FDB54" w14:textId="1497CB68" w:rsidR="009E5D98" w:rsidRPr="006A57CB" w:rsidRDefault="009E5D98" w:rsidP="009E5D98">
      <w:r w:rsidRPr="006A57CB">
        <w:t xml:space="preserve">Some jurisdictions indicated that their schools </w:t>
      </w:r>
      <w:r w:rsidR="00ED56CA">
        <w:t>have</w:t>
      </w:r>
      <w:r w:rsidRPr="006A57CB">
        <w:t xml:space="preserve"> significant autonomy, especially in relation to staffing requirements. One jurisdiction noted that some school principals </w:t>
      </w:r>
      <w:r w:rsidR="00CA7960">
        <w:t>exercise</w:t>
      </w:r>
      <w:r w:rsidRPr="006A57CB">
        <w:t xml:space="preserve"> such independence </w:t>
      </w:r>
      <w:r w:rsidR="00CA7960">
        <w:t>in recruitment</w:t>
      </w:r>
      <w:r w:rsidRPr="006A57CB">
        <w:t xml:space="preserve"> that their immediate supervisor would not be aware of staffing shortages </w:t>
      </w:r>
      <w:r w:rsidR="002B2FD9">
        <w:t>at</w:t>
      </w:r>
      <w:r w:rsidR="002B2FD9" w:rsidRPr="006A57CB">
        <w:t xml:space="preserve"> </w:t>
      </w:r>
      <w:r w:rsidRPr="006A57CB">
        <w:t xml:space="preserve">the school. Even using recruitment portals </w:t>
      </w:r>
      <w:r w:rsidR="008A2915">
        <w:t>as indicators of</w:t>
      </w:r>
      <w:r w:rsidRPr="006A57CB">
        <w:t xml:space="preserve"> demand can often be misleading, as schools may advertise the same position multiple times using different key words. Therefore, in these jurisdictions there is no </w:t>
      </w:r>
      <w:r w:rsidR="00FD3825">
        <w:t>holistic</w:t>
      </w:r>
      <w:r w:rsidRPr="006A57CB">
        <w:t xml:space="preserve"> understanding </w:t>
      </w:r>
      <w:r w:rsidR="00FD3825">
        <w:t xml:space="preserve">of </w:t>
      </w:r>
      <w:r w:rsidRPr="006A57CB">
        <w:t xml:space="preserve">teacher demand. This presents a challenge to successful workforce planning. </w:t>
      </w:r>
    </w:p>
    <w:p w14:paraId="625DE893" w14:textId="77777777" w:rsidR="009E5D98" w:rsidRDefault="009E5D98" w:rsidP="009E5D98">
      <w:pPr>
        <w:pStyle w:val="Heading6"/>
      </w:pPr>
      <w:r>
        <w:t>Higher education provider engagement with teacher employers</w:t>
      </w:r>
    </w:p>
    <w:p w14:paraId="47B04CB3" w14:textId="77777777" w:rsidR="009E5D98" w:rsidRPr="006A57CB" w:rsidRDefault="009E5D98" w:rsidP="009E5D98">
      <w:r w:rsidRPr="006A57CB">
        <w:t xml:space="preserve">While there is a clear requirement in the Accreditation Standards for higher education providers to consider employer needs when designing ITE programs, the mechanism by which to facilitate this discussion between providers and employers is not clear. </w:t>
      </w:r>
    </w:p>
    <w:p w14:paraId="517B5BF9" w14:textId="43067597" w:rsidR="009E5D98" w:rsidRPr="006A57CB" w:rsidRDefault="009E5D98" w:rsidP="009E5D98">
      <w:r>
        <w:t xml:space="preserve">There is significant </w:t>
      </w:r>
      <w:r w:rsidR="00ED56CA">
        <w:t xml:space="preserve">variation </w:t>
      </w:r>
      <w:r>
        <w:t xml:space="preserve">in the way employers engage with higher education providers for the purpose of workforce planning. It was clearly noted through consultations that the size of a jurisdiction directly </w:t>
      </w:r>
      <w:r w:rsidR="004330BB">
        <w:t xml:space="preserve">affects </w:t>
      </w:r>
      <w:r>
        <w:t>the types of relationships they have with higher education providers, as well as the providers</w:t>
      </w:r>
      <w:r w:rsidR="006F1B01">
        <w:t>’</w:t>
      </w:r>
      <w:r>
        <w:t xml:space="preserve"> ability to meet their needs. Naturally, smaller jurisdictions have fewer requirements, and higher education providers can work more closely on a regular basis to meet those needs. While larger government systems can, and do have strong relationships with higher education providers, </w:t>
      </w:r>
      <w:r w:rsidR="00774FD8">
        <w:t>it</w:t>
      </w:r>
      <w:r w:rsidR="60317DB8">
        <w:t xml:space="preserve"> can be more challenging</w:t>
      </w:r>
      <w:r>
        <w:t xml:space="preserve"> to form strategic partnerships </w:t>
      </w:r>
      <w:r w:rsidR="00E91367">
        <w:t>when there are multiple providers in a jurisdiction</w:t>
      </w:r>
      <w:r>
        <w:t xml:space="preserve">, as they require graduates from all possible providers to meet their demand requirements. </w:t>
      </w:r>
    </w:p>
    <w:p w14:paraId="04843D59" w14:textId="238D9B08" w:rsidR="009E5D98" w:rsidRPr="006A57CB" w:rsidRDefault="00CA10B7" w:rsidP="009E5D98">
      <w:r>
        <w:t>High</w:t>
      </w:r>
      <w:r w:rsidR="009E5D98" w:rsidRPr="006A57CB">
        <w:t xml:space="preserve"> variability also exists between departments of education, independent systems, and Catholic systems in the level </w:t>
      </w:r>
      <w:r w:rsidR="00ED56CA">
        <w:t>of</w:t>
      </w:r>
      <w:r w:rsidR="009E5D98" w:rsidRPr="006A57CB">
        <w:t xml:space="preserve"> engagement with higher education providers. Given the independent schooling system has an autonomous structure, many conversations and engagement points are driven at the school level, while – depending on the jurisdiction – government systems have a more centralised model of engagement. It was also noted that the Catholic system has also prioritised relationships with Catholic universities. </w:t>
      </w:r>
    </w:p>
    <w:p w14:paraId="6032234C" w14:textId="4E5A098D" w:rsidR="009E5D98" w:rsidRPr="006A57CB" w:rsidRDefault="009E5D98" w:rsidP="009E5D98">
      <w:r w:rsidRPr="006A57CB">
        <w:t xml:space="preserve">There is a sense among some employers that </w:t>
      </w:r>
      <w:r w:rsidR="00BC0733">
        <w:t xml:space="preserve">the current system </w:t>
      </w:r>
      <w:r w:rsidR="00DA72FF">
        <w:t>encourages</w:t>
      </w:r>
      <w:r w:rsidR="00BC0733">
        <w:t xml:space="preserve"> </w:t>
      </w:r>
      <w:r w:rsidRPr="006A57CB">
        <w:t xml:space="preserve">higher education providers to ensure they are able to meet their obligations to students (to maximise their potential enrolment), </w:t>
      </w:r>
      <w:r w:rsidR="00F059F9">
        <w:t>more</w:t>
      </w:r>
      <w:r w:rsidR="000B2B57">
        <w:t xml:space="preserve"> </w:t>
      </w:r>
      <w:r w:rsidRPr="006A57CB">
        <w:t>than ensur</w:t>
      </w:r>
      <w:r w:rsidR="00F059F9">
        <w:t>ing</w:t>
      </w:r>
      <w:r w:rsidRPr="006A57CB">
        <w:t xml:space="preserve"> an appropriate and adequate supply of graduates with the right specialisation</w:t>
      </w:r>
      <w:r w:rsidR="00D36157">
        <w:t>s</w:t>
      </w:r>
      <w:r w:rsidRPr="006A57CB">
        <w:t>.</w:t>
      </w:r>
    </w:p>
    <w:p w14:paraId="2F16148B" w14:textId="4A32CBD0" w:rsidR="00CD1FEB" w:rsidRDefault="009E5D98" w:rsidP="004403C6">
      <w:r w:rsidRPr="006A57CB">
        <w:lastRenderedPageBreak/>
        <w:t xml:space="preserve">Given the variability between jurisdictions </w:t>
      </w:r>
      <w:r w:rsidR="00F11637">
        <w:t>and systems</w:t>
      </w:r>
      <w:r w:rsidRPr="006A57CB">
        <w:t xml:space="preserve"> in </w:t>
      </w:r>
      <w:r w:rsidR="00AB5A3B">
        <w:t>engaging with higher education providers</w:t>
      </w:r>
      <w:r w:rsidRPr="006A57CB">
        <w:t xml:space="preserve">, significant change to standardise or implement a set mechanism </w:t>
      </w:r>
      <w:r w:rsidR="00ED56CA">
        <w:t>f</w:t>
      </w:r>
      <w:r w:rsidRPr="006A57CB">
        <w:t xml:space="preserve">or engagement between employers </w:t>
      </w:r>
      <w:r w:rsidR="00ED56CA">
        <w:t>and</w:t>
      </w:r>
      <w:r w:rsidR="00ED56CA" w:rsidRPr="006A57CB">
        <w:t xml:space="preserve"> </w:t>
      </w:r>
      <w:r w:rsidRPr="006A57CB">
        <w:t>providers was not an aspiration</w:t>
      </w:r>
      <w:r>
        <w:t xml:space="preserve"> widely expressed by employers</w:t>
      </w:r>
      <w:r w:rsidRPr="006A57CB">
        <w:t>. It risks undermining or losing the benefits already being achieved.</w:t>
      </w:r>
    </w:p>
    <w:p w14:paraId="1CD9BAD4" w14:textId="774E467C" w:rsidR="009E5D98" w:rsidRPr="006A57CB" w:rsidRDefault="009E5D98" w:rsidP="009E5D98">
      <w:r w:rsidRPr="006A57CB">
        <w:t xml:space="preserve">Instead, a national approach and structured way of engaging with supply and demand data to assess ITE needs was thought to have the potential to allow for a significant improvement in collaboration, and ultimately </w:t>
      </w:r>
      <w:r w:rsidR="00096D92">
        <w:t xml:space="preserve">facilitate </w:t>
      </w:r>
      <w:r w:rsidRPr="006A57CB">
        <w:t>greater transparency. This transparency would also allow for a greater level of systemic accountability for higher education providers across jurisdictions, under the auspice</w:t>
      </w:r>
      <w:r w:rsidR="00F11637">
        <w:t>s</w:t>
      </w:r>
      <w:r w:rsidRPr="006A57CB">
        <w:t xml:space="preserve"> of the </w:t>
      </w:r>
      <w:r w:rsidR="00680439">
        <w:t>Australian Government</w:t>
      </w:r>
      <w:r w:rsidRPr="006A57CB">
        <w:t>, existing inter-jurisdictional governance bodies and other invested parties</w:t>
      </w:r>
      <w:r w:rsidR="00354541">
        <w:t xml:space="preserve">, </w:t>
      </w:r>
      <w:r w:rsidRPr="006A57CB">
        <w:t>such as AITSL.</w:t>
      </w:r>
    </w:p>
    <w:p w14:paraId="301ED147" w14:textId="77777777" w:rsidR="009E5D98" w:rsidRPr="006A57CB" w:rsidRDefault="009E5D98" w:rsidP="009E5D98">
      <w:pPr>
        <w:pStyle w:val="Heading3"/>
        <w:ind w:left="1021" w:hanging="1021"/>
      </w:pPr>
      <w:r w:rsidRPr="006A57CB">
        <w:t>Conclusions and Recommendations</w:t>
      </w:r>
    </w:p>
    <w:p w14:paraId="54E80A0E" w14:textId="63F59349" w:rsidR="00E319A7" w:rsidRDefault="009E5D98" w:rsidP="00E319A7">
      <w:r w:rsidRPr="006A57CB">
        <w:t>The</w:t>
      </w:r>
      <w:r w:rsidRPr="006A57CB" w:rsidDel="00426764">
        <w:t xml:space="preserve"> </w:t>
      </w:r>
      <w:r w:rsidR="00426764">
        <w:t>Australian Government</w:t>
      </w:r>
      <w:r w:rsidR="00E77EF6">
        <w:t xml:space="preserve"> </w:t>
      </w:r>
      <w:r w:rsidRPr="006A57CB">
        <w:t xml:space="preserve">and the states and territories </w:t>
      </w:r>
      <w:r w:rsidR="00136FC8">
        <w:t xml:space="preserve">are, respectively, the primary drivers of </w:t>
      </w:r>
      <w:r w:rsidR="007C7509">
        <w:t xml:space="preserve">supply </w:t>
      </w:r>
      <w:r w:rsidR="00136FC8">
        <w:t>and demand in the teacher workforce.</w:t>
      </w:r>
      <w:r w:rsidRPr="006A57CB">
        <w:t xml:space="preserve"> There is, however, insufficient data and modelling across jurisdictions to support an informed discussion between employers and </w:t>
      </w:r>
      <w:r w:rsidR="00455465">
        <w:t>higher education</w:t>
      </w:r>
      <w:r w:rsidR="00455465" w:rsidRPr="006A57CB">
        <w:t xml:space="preserve"> </w:t>
      </w:r>
      <w:r w:rsidRPr="006A57CB">
        <w:t xml:space="preserve">providers </w:t>
      </w:r>
      <w:r w:rsidR="00AB13E4">
        <w:t xml:space="preserve">about </w:t>
      </w:r>
      <w:r w:rsidRPr="006A57CB">
        <w:t xml:space="preserve">ITE needs. </w:t>
      </w:r>
      <w:r w:rsidR="00CC78DC">
        <w:t>There also needs to be a greater investment and focus on recruitment strategies used by teacher employers and jurisdictions to ensure they are employing the right people in the right jobs.</w:t>
      </w:r>
    </w:p>
    <w:p w14:paraId="63AF9D92" w14:textId="7C7F5885" w:rsidR="009E5D98" w:rsidRPr="006A57CB" w:rsidRDefault="009E5D98" w:rsidP="009E5D98">
      <w:r w:rsidRPr="006A57CB">
        <w:t xml:space="preserve">The ATWD </w:t>
      </w:r>
      <w:r w:rsidR="004403C6">
        <w:t xml:space="preserve">collection </w:t>
      </w:r>
      <w:r w:rsidRPr="006A57CB">
        <w:t xml:space="preserve">provides the foundation for understanding ITE supply. By itself, however, it cannot project ITE supply. To understand future needs, </w:t>
      </w:r>
      <w:r w:rsidR="003C032E">
        <w:t xml:space="preserve">teacher </w:t>
      </w:r>
      <w:r w:rsidR="00034FEF">
        <w:t>employers</w:t>
      </w:r>
      <w:r w:rsidR="00D53745" w:rsidRPr="006A57CB">
        <w:t xml:space="preserve"> </w:t>
      </w:r>
      <w:r w:rsidR="008634BB">
        <w:t>must</w:t>
      </w:r>
      <w:r w:rsidRPr="006A57CB">
        <w:t xml:space="preserve"> have the ability to project ITE supply and compare it to demand. </w:t>
      </w:r>
    </w:p>
    <w:p w14:paraId="09CC2C9F" w14:textId="14248FF5" w:rsidR="009E5D98" w:rsidRDefault="0079747D" w:rsidP="009E5D98">
      <w:pPr>
        <w:rPr>
          <w:rStyle w:val="eop"/>
          <w:rFonts w:ascii="Calibri" w:hAnsi="Calibri" w:cs="Segoe UI"/>
          <w:sz w:val="22"/>
          <w:szCs w:val="22"/>
        </w:rPr>
      </w:pPr>
      <w:r>
        <w:t>The Expert Panel</w:t>
      </w:r>
      <w:r w:rsidR="009E5D98" w:rsidRPr="006A57CB">
        <w:t xml:space="preserve"> consider</w:t>
      </w:r>
      <w:r>
        <w:t>s</w:t>
      </w:r>
      <w:r w:rsidR="009E5D98" w:rsidRPr="006A57CB">
        <w:t xml:space="preserve"> that the development of a nationally agreed supply and demand model that can inform the delivery of a sustainable pipeline of teachers with the right subject qualifications and in the right locations is </w:t>
      </w:r>
      <w:r w:rsidR="00BF6978">
        <w:t>needed</w:t>
      </w:r>
      <w:r w:rsidR="009E5D98" w:rsidRPr="006A57CB">
        <w:t xml:space="preserve">. Such a model would provide a mechanism to assess </w:t>
      </w:r>
      <w:r w:rsidR="00FE0570">
        <w:t>whether</w:t>
      </w:r>
      <w:r w:rsidR="009E5D98" w:rsidRPr="006A57CB" w:rsidDel="00FE0570">
        <w:t xml:space="preserve"> </w:t>
      </w:r>
      <w:r w:rsidR="009E5D98" w:rsidRPr="006A57CB">
        <w:t>higher education providers are delivering ITE programs to meet workforce needs. It would assist employer</w:t>
      </w:r>
      <w:r w:rsidR="00F2386B">
        <w:t>s to</w:t>
      </w:r>
      <w:r w:rsidR="009E5D98" w:rsidRPr="006A57CB">
        <w:t xml:space="preserve"> discuss with </w:t>
      </w:r>
      <w:r w:rsidR="004D28AA">
        <w:t xml:space="preserve">higher education </w:t>
      </w:r>
      <w:r w:rsidR="009E5D98" w:rsidRPr="006A57CB">
        <w:t>providers the number, specialisation and location of teachers they require in the future to meet demand, as required by the Accreditation Standards. This could not only help to alleviate an over or undersupply of teachers but also assist in identifying where there are data gaps in the ATWD collection and other workforce data sources.</w:t>
      </w:r>
      <w:r w:rsidR="009E5D98" w:rsidRPr="006A57CB">
        <w:rPr>
          <w:rStyle w:val="eop"/>
          <w:rFonts w:ascii="Calibri" w:hAnsi="Calibri" w:cs="Segoe UI"/>
          <w:sz w:val="22"/>
          <w:szCs w:val="22"/>
        </w:rPr>
        <w:t> </w:t>
      </w:r>
    </w:p>
    <w:p w14:paraId="78D88D89" w14:textId="5F2051F3" w:rsidR="009E5D98" w:rsidRPr="00123DC5" w:rsidRDefault="009E5D98" w:rsidP="009E5D98">
      <w:r w:rsidRPr="00123DC5">
        <w:t xml:space="preserve">For teacher employers across Australia, a national model would allow for the projection of supply and demand to </w:t>
      </w:r>
      <w:r w:rsidR="0016516E">
        <w:t>support</w:t>
      </w:r>
      <w:r w:rsidRPr="00123DC5">
        <w:t xml:space="preserve"> effective forward-looking workforce planning and engagement with </w:t>
      </w:r>
      <w:r w:rsidR="0016516E">
        <w:t>higher education</w:t>
      </w:r>
      <w:r w:rsidRPr="00123DC5">
        <w:t xml:space="preserve"> providers. Where current data gaps are remedied, such modelling would allow for a level of granularity that provides insights at a location and subject specialisation level. The results of this modelling could then </w:t>
      </w:r>
      <w:r w:rsidR="00652740">
        <w:t>inform</w:t>
      </w:r>
      <w:r w:rsidRPr="00123DC5">
        <w:t xml:space="preserve"> a nationally</w:t>
      </w:r>
      <w:r w:rsidR="00AA7301">
        <w:t xml:space="preserve"> </w:t>
      </w:r>
      <w:r w:rsidRPr="00123DC5">
        <w:t xml:space="preserve">consistent workforce planning tool that visualises key projections and allows for interaction and engagement </w:t>
      </w:r>
      <w:r w:rsidR="00E3540E">
        <w:t>with</w:t>
      </w:r>
      <w:r w:rsidR="00E3540E" w:rsidRPr="00123DC5">
        <w:t xml:space="preserve"> </w:t>
      </w:r>
      <w:r w:rsidRPr="00123DC5">
        <w:t xml:space="preserve">teacher employers. </w:t>
      </w:r>
    </w:p>
    <w:p w14:paraId="26BACB0D" w14:textId="75F4CFD6" w:rsidR="009E5D98" w:rsidRPr="00123DC5" w:rsidRDefault="009E5D98" w:rsidP="009E5D98">
      <w:pPr>
        <w:rPr>
          <w:rStyle w:val="eop"/>
          <w:rFonts w:ascii="Calibri" w:hAnsi="Calibri" w:cs="Segoe UI"/>
        </w:rPr>
      </w:pPr>
      <w:r w:rsidRPr="00123DC5">
        <w:rPr>
          <w:rStyle w:val="eop"/>
          <w:rFonts w:ascii="Calibri" w:hAnsi="Calibri" w:cs="Segoe UI"/>
        </w:rPr>
        <w:t xml:space="preserve">At a </w:t>
      </w:r>
      <w:r>
        <w:rPr>
          <w:rStyle w:val="eop"/>
          <w:rFonts w:ascii="Calibri" w:hAnsi="Calibri" w:cs="Segoe UI"/>
        </w:rPr>
        <w:t xml:space="preserve">more aggregate </w:t>
      </w:r>
      <w:r w:rsidRPr="00123DC5">
        <w:rPr>
          <w:rStyle w:val="eop"/>
          <w:rFonts w:ascii="Calibri" w:hAnsi="Calibri" w:cs="Segoe UI"/>
        </w:rPr>
        <w:t xml:space="preserve">level, supply and demand modelling </w:t>
      </w:r>
      <w:r w:rsidR="00633C39">
        <w:rPr>
          <w:rStyle w:val="eop"/>
          <w:rFonts w:ascii="Calibri" w:hAnsi="Calibri" w:cs="Segoe UI"/>
        </w:rPr>
        <w:t>offers</w:t>
      </w:r>
      <w:r w:rsidR="00633C39" w:rsidRPr="00123DC5">
        <w:rPr>
          <w:rStyle w:val="eop"/>
          <w:rFonts w:ascii="Calibri" w:hAnsi="Calibri" w:cs="Segoe UI"/>
        </w:rPr>
        <w:t xml:space="preserve"> </w:t>
      </w:r>
      <w:r w:rsidRPr="00123DC5">
        <w:rPr>
          <w:rStyle w:val="eop"/>
          <w:rFonts w:ascii="Calibri" w:hAnsi="Calibri" w:cs="Segoe UI"/>
        </w:rPr>
        <w:t>transparency on issues facing the sector</w:t>
      </w:r>
      <w:r>
        <w:rPr>
          <w:rStyle w:val="eop"/>
          <w:rFonts w:ascii="Calibri" w:hAnsi="Calibri" w:cs="Segoe UI"/>
        </w:rPr>
        <w:t xml:space="preserve">, including a more objective quantitative assessment of how well </w:t>
      </w:r>
      <w:r w:rsidR="00F76C9B">
        <w:rPr>
          <w:rStyle w:val="eop"/>
          <w:rFonts w:ascii="Calibri" w:hAnsi="Calibri" w:cs="Segoe UI"/>
        </w:rPr>
        <w:t>higher education</w:t>
      </w:r>
      <w:r>
        <w:rPr>
          <w:rStyle w:val="eop"/>
          <w:rFonts w:ascii="Calibri" w:hAnsi="Calibri" w:cs="Segoe UI"/>
        </w:rPr>
        <w:t xml:space="preserve"> providers are currently meeting system needs, while also helping </w:t>
      </w:r>
      <w:r w:rsidRPr="00123DC5">
        <w:rPr>
          <w:rStyle w:val="eop"/>
          <w:rFonts w:ascii="Calibri" w:hAnsi="Calibri" w:cs="Segoe UI"/>
        </w:rPr>
        <w:t>to inform necessary</w:t>
      </w:r>
      <w:r>
        <w:rPr>
          <w:rStyle w:val="eop"/>
          <w:rFonts w:ascii="Calibri" w:hAnsi="Calibri" w:cs="Segoe UI"/>
        </w:rPr>
        <w:t xml:space="preserve"> design and</w:t>
      </w:r>
      <w:r w:rsidRPr="00123DC5">
        <w:rPr>
          <w:rStyle w:val="eop"/>
          <w:rFonts w:ascii="Calibri" w:hAnsi="Calibri" w:cs="Segoe UI"/>
        </w:rPr>
        <w:t xml:space="preserve"> policy implementation</w:t>
      </w:r>
      <w:r>
        <w:rPr>
          <w:rStyle w:val="eop"/>
          <w:rFonts w:ascii="Calibri" w:hAnsi="Calibri" w:cs="Segoe UI"/>
        </w:rPr>
        <w:t xml:space="preserve"> (including for the </w:t>
      </w:r>
      <w:r w:rsidR="00F76C9B">
        <w:rPr>
          <w:rStyle w:val="eop"/>
          <w:rFonts w:ascii="Calibri" w:hAnsi="Calibri" w:cs="Segoe UI"/>
        </w:rPr>
        <w:t>Australian Government</w:t>
      </w:r>
      <w:r>
        <w:rPr>
          <w:rStyle w:val="eop"/>
          <w:rFonts w:ascii="Calibri" w:hAnsi="Calibri" w:cs="Segoe UI"/>
        </w:rPr>
        <w:t>)</w:t>
      </w:r>
      <w:r w:rsidRPr="00123DC5">
        <w:rPr>
          <w:rStyle w:val="eop"/>
          <w:rFonts w:ascii="Calibri" w:hAnsi="Calibri" w:cs="Segoe UI"/>
        </w:rPr>
        <w:t xml:space="preserve">. Modelling also enables a level of granularity regarding subject specialisation and location to inform more tailored policy and change initiatives. Importantly, a model enabled by timely data allows for assessment </w:t>
      </w:r>
      <w:r w:rsidR="00676513">
        <w:rPr>
          <w:rStyle w:val="eop"/>
          <w:rFonts w:ascii="Calibri" w:hAnsi="Calibri" w:cs="Segoe UI"/>
        </w:rPr>
        <w:t>of</w:t>
      </w:r>
      <w:r w:rsidR="00676513" w:rsidRPr="00123DC5">
        <w:rPr>
          <w:rStyle w:val="eop"/>
          <w:rFonts w:ascii="Calibri" w:hAnsi="Calibri" w:cs="Segoe UI"/>
        </w:rPr>
        <w:t xml:space="preserve"> </w:t>
      </w:r>
      <w:r w:rsidRPr="00123DC5">
        <w:rPr>
          <w:rStyle w:val="eop"/>
          <w:rFonts w:ascii="Calibri" w:hAnsi="Calibri" w:cs="Segoe UI"/>
        </w:rPr>
        <w:t xml:space="preserve">the efficacy of such initiatives. </w:t>
      </w:r>
    </w:p>
    <w:p w14:paraId="2DC5F9D1" w14:textId="64F7B367" w:rsidR="009E5D98" w:rsidRPr="006A57CB" w:rsidRDefault="009E5D98" w:rsidP="009E5D98">
      <w:r w:rsidRPr="006A57CB">
        <w:t xml:space="preserve">The work conducted through the ATWD </w:t>
      </w:r>
      <w:r w:rsidR="004403C6">
        <w:t xml:space="preserve">collection </w:t>
      </w:r>
      <w:r w:rsidRPr="006A57CB">
        <w:t>has established solid foundations on which a potential model can be built.</w:t>
      </w:r>
      <w:r w:rsidRPr="0004096B">
        <w:t xml:space="preserve"> </w:t>
      </w:r>
      <w:r w:rsidRPr="006A57CB">
        <w:t xml:space="preserve">Recognising that the supply and demand for </w:t>
      </w:r>
      <w:r w:rsidR="00653888">
        <w:t>graduate</w:t>
      </w:r>
      <w:r w:rsidR="00653888" w:rsidRPr="006A57CB">
        <w:t xml:space="preserve"> </w:t>
      </w:r>
      <w:r w:rsidRPr="006A57CB">
        <w:t xml:space="preserve">teachers are inherently linked with the dynamics of the broader teacher workforce, any model that is developed should be designed as </w:t>
      </w:r>
      <w:r w:rsidR="00E13659">
        <w:t xml:space="preserve">a </w:t>
      </w:r>
      <w:r w:rsidRPr="006A57CB">
        <w:t xml:space="preserve">subcomponent of a potential broader teacher workforce model. </w:t>
      </w:r>
    </w:p>
    <w:p w14:paraId="2380AA3E" w14:textId="5AC73AC9" w:rsidR="00CD1FEB" w:rsidRPr="004403C6" w:rsidRDefault="009E5D98" w:rsidP="004403C6">
      <w:r>
        <w:lastRenderedPageBreak/>
        <w:t>Development of a supply and demand model will contribute to improving teacher workforce planning and inform national policies, facilitate coordination across jurisdictions and establish a shared language and understanding among key stakeholders.</w:t>
      </w:r>
    </w:p>
    <w:p w14:paraId="27AB3399" w14:textId="7D1ED93B" w:rsidR="005A7803" w:rsidRDefault="005A7803" w:rsidP="00D741CC">
      <w:pPr>
        <w:pStyle w:val="Recommendation3"/>
        <w:spacing w:after="0"/>
        <w:rPr>
          <w:b/>
          <w:bCs/>
          <w:sz w:val="20"/>
        </w:rPr>
      </w:pPr>
      <w:r w:rsidRPr="00731C57">
        <w:rPr>
          <w:b/>
          <w:bCs/>
          <w:sz w:val="20"/>
        </w:rPr>
        <w:t xml:space="preserve">Recommendation </w:t>
      </w:r>
      <w:r w:rsidRPr="00731C57" w:rsidDel="00B02315">
        <w:rPr>
          <w:b/>
          <w:bCs/>
          <w:sz w:val="20"/>
        </w:rPr>
        <w:t>17</w:t>
      </w:r>
      <w:r w:rsidRPr="00731C57">
        <w:rPr>
          <w:b/>
          <w:bCs/>
          <w:sz w:val="20"/>
        </w:rPr>
        <w:t>: Develop a national approach to understanding teacher workforce supply and demand</w:t>
      </w:r>
    </w:p>
    <w:p w14:paraId="6DE73B29" w14:textId="3D7B5DB6" w:rsidR="005A7803" w:rsidRPr="00D741CC" w:rsidRDefault="005A7803" w:rsidP="00D741CC">
      <w:pPr>
        <w:pStyle w:val="Recommendation3"/>
        <w:spacing w:after="0"/>
        <w:rPr>
          <w:sz w:val="20"/>
        </w:rPr>
      </w:pPr>
      <w:r w:rsidRPr="00D741CC">
        <w:rPr>
          <w:sz w:val="20"/>
        </w:rPr>
        <w:t>Develop a national model of teacher supply and demand to support a sustainable pipeline of high-quality teachers in the right subject areas and locations. This should:</w:t>
      </w:r>
    </w:p>
    <w:p w14:paraId="5AD59824" w14:textId="79611001" w:rsidR="005A7803" w:rsidRPr="00D741CC" w:rsidRDefault="005A7803" w:rsidP="00430815">
      <w:pPr>
        <w:pStyle w:val="Recommendation3"/>
        <w:numPr>
          <w:ilvl w:val="0"/>
          <w:numId w:val="54"/>
        </w:numPr>
        <w:spacing w:after="0"/>
        <w:rPr>
          <w:sz w:val="20"/>
        </w:rPr>
      </w:pPr>
      <w:r w:rsidRPr="00D741CC">
        <w:rPr>
          <w:sz w:val="20"/>
        </w:rPr>
        <w:t xml:space="preserve">leverage the </w:t>
      </w:r>
      <w:r w:rsidR="00320C27">
        <w:rPr>
          <w:sz w:val="20"/>
        </w:rPr>
        <w:t xml:space="preserve">Australian Teacher Workforce Data </w:t>
      </w:r>
      <w:r w:rsidR="00CB6A90">
        <w:rPr>
          <w:sz w:val="20"/>
        </w:rPr>
        <w:t>collection</w:t>
      </w:r>
      <w:r w:rsidRPr="00D741CC">
        <w:rPr>
          <w:sz w:val="20"/>
        </w:rPr>
        <w:t xml:space="preserve"> as a basis for projecting supply and demand</w:t>
      </w:r>
    </w:p>
    <w:p w14:paraId="4F3A8DD8" w14:textId="1BAFDE5E" w:rsidR="005A7803" w:rsidRPr="00D741CC" w:rsidRDefault="005A7803" w:rsidP="00430815">
      <w:pPr>
        <w:pStyle w:val="Recommendation3"/>
        <w:numPr>
          <w:ilvl w:val="0"/>
          <w:numId w:val="54"/>
        </w:numPr>
        <w:spacing w:after="0"/>
        <w:rPr>
          <w:sz w:val="20"/>
        </w:rPr>
      </w:pPr>
      <w:r w:rsidRPr="00D741CC">
        <w:rPr>
          <w:sz w:val="20"/>
        </w:rPr>
        <w:t xml:space="preserve">address outstanding supply and demand </w:t>
      </w:r>
      <w:r w:rsidR="00676513" w:rsidRPr="00D741CC">
        <w:rPr>
          <w:sz w:val="20"/>
        </w:rPr>
        <w:t xml:space="preserve">data gaps </w:t>
      </w:r>
      <w:r w:rsidRPr="00D741CC">
        <w:rPr>
          <w:sz w:val="20"/>
        </w:rPr>
        <w:t>to enable timely projections disaggregated by key dimensions of interest (for example, by subject specialisation and location)</w:t>
      </w:r>
    </w:p>
    <w:p w14:paraId="14607F79" w14:textId="44F2741F" w:rsidR="005A7803" w:rsidRPr="00D741CC" w:rsidRDefault="005A7803" w:rsidP="00430815">
      <w:pPr>
        <w:pStyle w:val="Recommendation3"/>
        <w:numPr>
          <w:ilvl w:val="0"/>
          <w:numId w:val="54"/>
        </w:numPr>
        <w:spacing w:after="0"/>
        <w:rPr>
          <w:sz w:val="20"/>
        </w:rPr>
      </w:pPr>
      <w:r w:rsidRPr="00D741CC">
        <w:rPr>
          <w:sz w:val="20"/>
        </w:rPr>
        <w:t>model</w:t>
      </w:r>
      <w:r w:rsidR="007867AC">
        <w:rPr>
          <w:sz w:val="20"/>
        </w:rPr>
        <w:t xml:space="preserve"> i</w:t>
      </w:r>
      <w:r w:rsidR="00FF4996">
        <w:rPr>
          <w:sz w:val="20"/>
        </w:rPr>
        <w:t>nitial teacher education</w:t>
      </w:r>
      <w:r w:rsidRPr="00D741CC">
        <w:rPr>
          <w:sz w:val="20"/>
        </w:rPr>
        <w:t xml:space="preserve"> </w:t>
      </w:r>
      <w:r w:rsidR="00FF4996">
        <w:rPr>
          <w:sz w:val="20"/>
        </w:rPr>
        <w:t>(</w:t>
      </w:r>
      <w:r w:rsidRPr="00D741CC">
        <w:rPr>
          <w:sz w:val="20"/>
        </w:rPr>
        <w:t>ITE</w:t>
      </w:r>
      <w:r w:rsidR="00FF4996">
        <w:rPr>
          <w:sz w:val="20"/>
        </w:rPr>
        <w:t>)</w:t>
      </w:r>
      <w:r w:rsidRPr="00D741CC">
        <w:rPr>
          <w:sz w:val="20"/>
        </w:rPr>
        <w:t xml:space="preserve"> needs as a subcomponent of a broader teacher workforce model (for example incorporating latent supply and migration)</w:t>
      </w:r>
    </w:p>
    <w:p w14:paraId="5506FCED" w14:textId="245D970A" w:rsidR="005A7803" w:rsidRPr="00D741CC" w:rsidRDefault="005A7803" w:rsidP="00430815">
      <w:pPr>
        <w:pStyle w:val="Recommendation3"/>
        <w:numPr>
          <w:ilvl w:val="0"/>
          <w:numId w:val="54"/>
        </w:numPr>
        <w:spacing w:after="0"/>
        <w:rPr>
          <w:sz w:val="20"/>
        </w:rPr>
      </w:pPr>
      <w:r w:rsidRPr="00D741CC">
        <w:rPr>
          <w:sz w:val="20"/>
        </w:rPr>
        <w:t>include a workforce planning tool to assess ITE needs that can be accessed at a system, employer and provider level.</w:t>
      </w:r>
    </w:p>
    <w:p w14:paraId="4B989DFD" w14:textId="2F74BC46" w:rsidR="009E5D98" w:rsidRDefault="00E96E00">
      <w:pPr>
        <w:spacing w:after="0" w:line="240" w:lineRule="auto"/>
      </w:pPr>
      <w:r>
        <w:br w:type="page"/>
      </w:r>
    </w:p>
    <w:p w14:paraId="3B6A53FC" w14:textId="6660AB00" w:rsidR="009E5D98" w:rsidRDefault="009E5D98" w:rsidP="009E5D98">
      <w:pPr>
        <w:pStyle w:val="Heading2"/>
      </w:pPr>
      <w:bookmarkStart w:id="57" w:name="_Toc86138413"/>
      <w:bookmarkStart w:id="58" w:name="_Toc86141317"/>
      <w:bookmarkStart w:id="59" w:name="_Toc91160208"/>
      <w:r>
        <w:lastRenderedPageBreak/>
        <w:t>Appendices</w:t>
      </w:r>
      <w:bookmarkEnd w:id="57"/>
      <w:bookmarkEnd w:id="58"/>
      <w:bookmarkEnd w:id="59"/>
    </w:p>
    <w:p w14:paraId="75FB036A" w14:textId="2E252B68" w:rsidR="00BC561E" w:rsidRDefault="00BC561E" w:rsidP="00BC561E">
      <w:pPr>
        <w:pStyle w:val="Heading3"/>
      </w:pPr>
      <w:r>
        <w:t xml:space="preserve">Appendix A: Terms of Reference </w:t>
      </w:r>
    </w:p>
    <w:p w14:paraId="39BEEE79" w14:textId="77777777" w:rsidR="00BC561E" w:rsidRPr="006B0449" w:rsidRDefault="00BC561E" w:rsidP="00BC561E">
      <w:pPr>
        <w:rPr>
          <w:color w:val="auto"/>
        </w:rPr>
      </w:pPr>
      <w:r w:rsidRPr="006B0449">
        <w:rPr>
          <w:color w:val="auto"/>
        </w:rPr>
        <w:t xml:space="preserve">Teachers and school leaders are the largest in-school influence on student outcomes. </w:t>
      </w:r>
    </w:p>
    <w:p w14:paraId="6CCF6043" w14:textId="77777777" w:rsidR="00BC561E" w:rsidRPr="006B0449" w:rsidRDefault="00BC561E" w:rsidP="00BC561E">
      <w:pPr>
        <w:rPr>
          <w:rFonts w:cstheme="minorHAnsi"/>
          <w:color w:val="auto"/>
        </w:rPr>
      </w:pPr>
      <w:r w:rsidRPr="006B0449">
        <w:rPr>
          <w:rFonts w:cstheme="minorHAnsi"/>
          <w:color w:val="auto"/>
        </w:rPr>
        <w:t xml:space="preserve">With the development of the </w:t>
      </w:r>
      <w:r w:rsidRPr="00A37130">
        <w:rPr>
          <w:rFonts w:cstheme="minorHAnsi"/>
          <w:i/>
          <w:color w:val="auto"/>
        </w:rPr>
        <w:t>Australian Professional Standards for Teachers</w:t>
      </w:r>
      <w:r w:rsidRPr="006B0449">
        <w:rPr>
          <w:rFonts w:cstheme="minorHAnsi"/>
          <w:color w:val="auto"/>
        </w:rPr>
        <w:t xml:space="preserve">; the </w:t>
      </w:r>
      <w:hyperlink r:id="rId56" w:history="1">
        <w:r w:rsidRPr="00A37130">
          <w:rPr>
            <w:rFonts w:cstheme="minorHAnsi"/>
            <w:i/>
            <w:color w:val="auto"/>
          </w:rPr>
          <w:t>Accreditation of Initial Teacher Education Programs in Australia: Standards and Procedures</w:t>
        </w:r>
      </w:hyperlink>
      <w:r w:rsidRPr="006B0449">
        <w:rPr>
          <w:rFonts w:cstheme="minorHAnsi"/>
          <w:color w:val="auto"/>
        </w:rPr>
        <w:t>; and reforms arising from recommendations made by the Teacher Education Ministerial Advisory Group, the last decade has been a time of significant positive reform in initial teacher education (ITE).</w:t>
      </w:r>
    </w:p>
    <w:p w14:paraId="6AACCF0B" w14:textId="77777777" w:rsidR="00BC561E" w:rsidRPr="006B0449" w:rsidRDefault="00BC561E" w:rsidP="00BC561E">
      <w:pPr>
        <w:rPr>
          <w:rFonts w:cstheme="minorHAnsi"/>
          <w:color w:val="auto"/>
        </w:rPr>
      </w:pPr>
      <w:r w:rsidRPr="006B0449">
        <w:rPr>
          <w:rFonts w:cstheme="minorHAnsi"/>
          <w:color w:val="auto"/>
        </w:rPr>
        <w:t>A key goal of the reforms to ITE has been to ensure that graduate teachers start their teaching career with the necessary knowledge, skills and dispositions to be successful teachers in any Australian school.</w:t>
      </w:r>
    </w:p>
    <w:p w14:paraId="028FB7A2" w14:textId="3726DD3C" w:rsidR="00BC561E" w:rsidRPr="006B0449" w:rsidRDefault="00BC561E" w:rsidP="00BC561E">
      <w:pPr>
        <w:rPr>
          <w:rFonts w:cstheme="minorHAnsi"/>
          <w:color w:val="auto"/>
        </w:rPr>
      </w:pPr>
      <w:r w:rsidRPr="006B0449">
        <w:rPr>
          <w:color w:val="auto"/>
        </w:rPr>
        <w:t xml:space="preserve">This </w:t>
      </w:r>
      <w:r w:rsidR="0094281D">
        <w:rPr>
          <w:color w:val="auto"/>
        </w:rPr>
        <w:t>R</w:t>
      </w:r>
      <w:r w:rsidRPr="006B0449">
        <w:rPr>
          <w:color w:val="auto"/>
        </w:rPr>
        <w:t xml:space="preserve">eview will build on the significant progress to date and inform the next evolution of reforms to continue to improve </w:t>
      </w:r>
      <w:r>
        <w:rPr>
          <w:color w:val="auto"/>
        </w:rPr>
        <w:t>Australia’s</w:t>
      </w:r>
      <w:r w:rsidRPr="006B0449">
        <w:rPr>
          <w:color w:val="auto"/>
        </w:rPr>
        <w:t xml:space="preserve"> capacity to attract high-quality candidates into teaching and equip them to become highly effective teachers. </w:t>
      </w:r>
    </w:p>
    <w:p w14:paraId="5E848523" w14:textId="77777777" w:rsidR="00BC561E" w:rsidRPr="006B0449" w:rsidRDefault="00BC561E" w:rsidP="00BC561E">
      <w:pPr>
        <w:rPr>
          <w:rFonts w:cstheme="minorHAnsi"/>
          <w:color w:val="auto"/>
        </w:rPr>
      </w:pPr>
      <w:r w:rsidRPr="006B0449">
        <w:rPr>
          <w:rFonts w:cstheme="minorHAnsi"/>
          <w:color w:val="auto"/>
        </w:rPr>
        <w:t>The Review will consider the following questions and other important matters that may arise during the Expert Panel’s deliberations.</w:t>
      </w:r>
    </w:p>
    <w:p w14:paraId="1CF46DE8" w14:textId="77777777" w:rsidR="00BC561E" w:rsidRPr="007E638A" w:rsidRDefault="00BC561E" w:rsidP="00BC561E">
      <w:pPr>
        <w:pStyle w:val="Heading6"/>
        <w:rPr>
          <w:b w:val="0"/>
          <w:color w:val="4472C4" w:themeColor="accent1"/>
          <w14:textFill>
            <w14:solidFill>
              <w14:schemeClr w14:val="accent1">
                <w14:lumMod w14:val="50000"/>
                <w14:lumMod w14:val="75000"/>
                <w14:lumMod w14:val="50000"/>
                <w14:lumMod w14:val="75000"/>
                <w14:lumOff w14:val="25000"/>
              </w14:schemeClr>
            </w14:solidFill>
          </w14:textFill>
        </w:rPr>
      </w:pPr>
      <w:r w:rsidRPr="006B0449">
        <w:t>PART A</w:t>
      </w:r>
      <w:r w:rsidRPr="007E638A">
        <w:rPr>
          <w:b w:val="0"/>
          <w:color w:val="4472C4" w:themeColor="accent1"/>
          <w14:textFill>
            <w14:solidFill>
              <w14:schemeClr w14:val="accent1">
                <w14:lumMod w14:val="50000"/>
                <w14:lumMod w14:val="75000"/>
                <w14:lumMod w14:val="50000"/>
                <w14:lumMod w14:val="75000"/>
                <w14:lumOff w14:val="25000"/>
              </w14:schemeClr>
            </w14:solidFill>
          </w14:textFill>
        </w:rPr>
        <w:t xml:space="preserve"> </w:t>
      </w:r>
      <w:r w:rsidRPr="00D94253">
        <w:rPr>
          <w:bCs/>
        </w:rPr>
        <w:t>- Attracting and selecting high-quality candidates into the teaching profession</w:t>
      </w:r>
      <w:r w:rsidRPr="00D94253">
        <w:rPr>
          <w:b w:val="0"/>
        </w:rPr>
        <w:t xml:space="preserve"> </w:t>
      </w:r>
    </w:p>
    <w:p w14:paraId="68290DC2" w14:textId="58F35AD2" w:rsidR="00BC561E" w:rsidRPr="006B0449" w:rsidRDefault="00BC561E" w:rsidP="00F66D2A">
      <w:pPr>
        <w:pStyle w:val="ListParagraph"/>
        <w:numPr>
          <w:ilvl w:val="0"/>
          <w:numId w:val="32"/>
        </w:numPr>
        <w:spacing w:after="160" w:line="288" w:lineRule="auto"/>
        <w:contextualSpacing w:val="0"/>
        <w:rPr>
          <w:color w:val="auto"/>
        </w:rPr>
      </w:pPr>
      <w:r w:rsidRPr="006B0449">
        <w:rPr>
          <w:color w:val="auto"/>
        </w:rPr>
        <w:t>How can we further encourage high</w:t>
      </w:r>
      <w:r w:rsidR="00127645">
        <w:rPr>
          <w:color w:val="auto"/>
        </w:rPr>
        <w:noBreakHyphen/>
      </w:r>
      <w:r w:rsidRPr="006B0449">
        <w:rPr>
          <w:color w:val="auto"/>
        </w:rPr>
        <w:t xml:space="preserve">performing and highly motivated school leavers to enter ITE and choose teaching as a career? </w:t>
      </w:r>
    </w:p>
    <w:p w14:paraId="0A01B953" w14:textId="77777777" w:rsidR="00BC561E" w:rsidRPr="006B0449" w:rsidRDefault="00BC561E" w:rsidP="00F66D2A">
      <w:pPr>
        <w:pStyle w:val="ListParagraph"/>
        <w:numPr>
          <w:ilvl w:val="0"/>
          <w:numId w:val="32"/>
        </w:numPr>
        <w:spacing w:after="160" w:line="288" w:lineRule="auto"/>
        <w:contextualSpacing w:val="0"/>
        <w:rPr>
          <w:color w:val="auto"/>
        </w:rPr>
      </w:pPr>
      <w:r w:rsidRPr="006B0449">
        <w:rPr>
          <w:color w:val="auto"/>
        </w:rPr>
        <w:t>What changes to admissions and degree requirements, including recognition of prior experience, would better attract and support suitable mid- and late-career professionals from other fields transition into the profession and become quality teachers?</w:t>
      </w:r>
    </w:p>
    <w:p w14:paraId="7F2F6390" w14:textId="77777777" w:rsidR="00BC561E" w:rsidRPr="006B0449" w:rsidRDefault="00BC561E" w:rsidP="00F66D2A">
      <w:pPr>
        <w:pStyle w:val="ListParagraph"/>
        <w:numPr>
          <w:ilvl w:val="0"/>
          <w:numId w:val="32"/>
        </w:numPr>
        <w:spacing w:after="160" w:line="288" w:lineRule="auto"/>
        <w:contextualSpacing w:val="0"/>
        <w:rPr>
          <w:color w:val="auto"/>
        </w:rPr>
      </w:pPr>
      <w:r w:rsidRPr="006B0449">
        <w:rPr>
          <w:color w:val="auto"/>
        </w:rPr>
        <w:t>How can we increase ITE completion rates so that quality ITE students graduate and pursue careers as quality teachers?</w:t>
      </w:r>
    </w:p>
    <w:p w14:paraId="580B9747" w14:textId="77777777" w:rsidR="00BC561E" w:rsidRPr="006B0449" w:rsidRDefault="00BC561E" w:rsidP="00F66D2A">
      <w:pPr>
        <w:pStyle w:val="ListParagraph"/>
        <w:numPr>
          <w:ilvl w:val="0"/>
          <w:numId w:val="32"/>
        </w:numPr>
        <w:spacing w:after="160" w:line="288" w:lineRule="auto"/>
        <w:ind w:right="-143"/>
        <w:contextualSpacing w:val="0"/>
        <w:rPr>
          <w:color w:val="auto"/>
        </w:rPr>
      </w:pPr>
      <w:r w:rsidRPr="006B0449">
        <w:rPr>
          <w:color w:val="auto"/>
        </w:rPr>
        <w:t xml:space="preserve">What more can be done to address issues with workforce supply in some subject areas (particularly mathematics) and schools? </w:t>
      </w:r>
    </w:p>
    <w:p w14:paraId="4FB76452" w14:textId="77777777" w:rsidR="00BC561E" w:rsidRDefault="00BC561E" w:rsidP="00F66D2A">
      <w:pPr>
        <w:pStyle w:val="ListParagraph"/>
        <w:numPr>
          <w:ilvl w:val="0"/>
          <w:numId w:val="32"/>
        </w:numPr>
        <w:spacing w:line="288" w:lineRule="auto"/>
        <w:contextualSpacing w:val="0"/>
        <w:rPr>
          <w:color w:val="auto"/>
        </w:rPr>
      </w:pPr>
      <w:r w:rsidRPr="006B0449">
        <w:rPr>
          <w:color w:val="auto"/>
        </w:rPr>
        <w:t>How can we attract a more diverse cohort into ITE so that teachers better mirror the diversity in school students and society?</w:t>
      </w:r>
    </w:p>
    <w:p w14:paraId="49907C59" w14:textId="7CF3F1FC" w:rsidR="00BC561E" w:rsidRPr="0033601C" w:rsidRDefault="00BC561E" w:rsidP="00BC561E">
      <w:pPr>
        <w:pStyle w:val="Heading6"/>
      </w:pPr>
      <w:r w:rsidRPr="006B0449">
        <w:t xml:space="preserve">PART B </w:t>
      </w:r>
      <w:r w:rsidRPr="00D94253">
        <w:t xml:space="preserve">– Preparing </w:t>
      </w:r>
      <w:r w:rsidR="00751406">
        <w:t>initial teacher education</w:t>
      </w:r>
      <w:r w:rsidRPr="00D94253">
        <w:t xml:space="preserve"> students to be effective teachers</w:t>
      </w:r>
    </w:p>
    <w:p w14:paraId="46FF4503" w14:textId="77777777" w:rsidR="00BC561E" w:rsidRPr="006B0449" w:rsidRDefault="00BC561E" w:rsidP="00F66D2A">
      <w:pPr>
        <w:pStyle w:val="ListParagraph"/>
        <w:numPr>
          <w:ilvl w:val="0"/>
          <w:numId w:val="32"/>
        </w:numPr>
        <w:spacing w:after="160" w:line="288" w:lineRule="auto"/>
        <w:contextualSpacing w:val="0"/>
        <w:rPr>
          <w:color w:val="auto"/>
        </w:rPr>
      </w:pPr>
      <w:r w:rsidRPr="006B0449">
        <w:rPr>
          <w:color w:val="auto"/>
        </w:rPr>
        <w:t xml:space="preserve">What more can we do to ensure that ITE curriculum is evidence based and all future teachers are equipped to implement evidence-based teaching practices? </w:t>
      </w:r>
    </w:p>
    <w:p w14:paraId="4A076665" w14:textId="77777777" w:rsidR="00BC561E" w:rsidRPr="006B0449" w:rsidRDefault="00BC561E" w:rsidP="00F66D2A">
      <w:pPr>
        <w:pStyle w:val="CommentText"/>
        <w:numPr>
          <w:ilvl w:val="0"/>
          <w:numId w:val="32"/>
        </w:numPr>
        <w:spacing w:after="160"/>
        <w:rPr>
          <w:color w:val="auto"/>
        </w:rPr>
      </w:pPr>
      <w:r w:rsidRPr="006B0449">
        <w:rPr>
          <w:color w:val="auto"/>
        </w:rPr>
        <w:t xml:space="preserve">What more can ITE providers and employers do to ensure ITE students are getting the practical experience they need before they start their teaching careers? </w:t>
      </w:r>
    </w:p>
    <w:p w14:paraId="18F01686" w14:textId="77777777" w:rsidR="00BC561E" w:rsidRPr="006B0449" w:rsidRDefault="00BC561E" w:rsidP="00F66D2A">
      <w:pPr>
        <w:pStyle w:val="CommentText"/>
        <w:numPr>
          <w:ilvl w:val="0"/>
          <w:numId w:val="32"/>
        </w:numPr>
        <w:spacing w:after="160"/>
        <w:rPr>
          <w:rFonts w:eastAsiaTheme="minorEastAsia"/>
          <w:color w:val="auto"/>
        </w:rPr>
      </w:pPr>
      <w:r w:rsidRPr="006B0449">
        <w:rPr>
          <w:color w:val="auto"/>
        </w:rPr>
        <w:t xml:space="preserve">How can Teaching Performance Assessment arrangements be strengthened to ensure graduate teachers are well-prepared for the classroom? </w:t>
      </w:r>
    </w:p>
    <w:p w14:paraId="4D9CC063" w14:textId="77777777" w:rsidR="00BC561E" w:rsidRPr="006B0449" w:rsidRDefault="00BC561E" w:rsidP="00F66D2A">
      <w:pPr>
        <w:pStyle w:val="ListParagraph"/>
        <w:numPr>
          <w:ilvl w:val="0"/>
          <w:numId w:val="32"/>
        </w:numPr>
        <w:spacing w:after="160" w:line="288" w:lineRule="auto"/>
        <w:contextualSpacing w:val="0"/>
        <w:rPr>
          <w:color w:val="auto"/>
        </w:rPr>
      </w:pPr>
      <w:r w:rsidRPr="006B0449">
        <w:rPr>
          <w:color w:val="auto"/>
        </w:rPr>
        <w:t xml:space="preserve">How can leading teachers, principals and schools play a greater role in supporting the development of ITE students? </w:t>
      </w:r>
    </w:p>
    <w:p w14:paraId="118D682A" w14:textId="77777777" w:rsidR="00BC561E" w:rsidRPr="006B0449" w:rsidRDefault="00BC561E" w:rsidP="00F66D2A">
      <w:pPr>
        <w:pStyle w:val="ListParagraph"/>
        <w:numPr>
          <w:ilvl w:val="0"/>
          <w:numId w:val="32"/>
        </w:numPr>
        <w:spacing w:after="160" w:line="288" w:lineRule="auto"/>
        <w:contextualSpacing w:val="0"/>
        <w:rPr>
          <w:color w:val="auto"/>
        </w:rPr>
      </w:pPr>
      <w:r w:rsidRPr="006B0449">
        <w:rPr>
          <w:color w:val="auto"/>
        </w:rPr>
        <w:t>Can ITE providers play a stronger role in ongoing professional development and support of teachers?</w:t>
      </w:r>
    </w:p>
    <w:p w14:paraId="671F9430" w14:textId="7BA1FB73" w:rsidR="001F41ED" w:rsidRDefault="001F41ED">
      <w:pPr>
        <w:spacing w:after="0" w:line="240" w:lineRule="auto"/>
      </w:pPr>
    </w:p>
    <w:p w14:paraId="07559E27" w14:textId="429DA7DB" w:rsidR="00BC561E" w:rsidRPr="00F4160C" w:rsidRDefault="00BC561E" w:rsidP="00F4160C">
      <w:pPr>
        <w:pStyle w:val="Heading3"/>
      </w:pPr>
      <w:r>
        <w:lastRenderedPageBreak/>
        <w:t>Appendix B: Submissions List</w:t>
      </w:r>
    </w:p>
    <w:p w14:paraId="5F6ECA5D" w14:textId="32794F9C" w:rsidR="00F4160C" w:rsidRDefault="00BC561E" w:rsidP="00BC561E">
      <w:pPr>
        <w:spacing w:after="0" w:line="240" w:lineRule="auto"/>
        <w:rPr>
          <w:rFonts w:ascii="Calibri" w:eastAsia="Times New Roman" w:hAnsi="Calibri" w:cs="Times New Roman"/>
          <w:lang w:eastAsia="en-AU"/>
        </w:rPr>
        <w:sectPr w:rsidR="00F4160C" w:rsidSect="00F4160C">
          <w:type w:val="continuous"/>
          <w:pgSz w:w="11900" w:h="16840"/>
          <w:pgMar w:top="1552" w:right="1440" w:bottom="1440" w:left="1440" w:header="708" w:footer="708" w:gutter="0"/>
          <w:cols w:space="708"/>
          <w:docGrid w:linePitch="360"/>
        </w:sectPr>
      </w:pPr>
      <w:bookmarkStart w:id="60" w:name="_Hlk80697888"/>
      <w:r w:rsidRPr="00CB33AE">
        <w:rPr>
          <w:rFonts w:ascii="Calibri" w:eastAsia="Times New Roman" w:hAnsi="Calibri" w:cs="Times New Roman"/>
          <w:lang w:eastAsia="en-AU"/>
        </w:rPr>
        <w:t xml:space="preserve">The Quality Initial Teacher </w:t>
      </w:r>
      <w:r w:rsidR="0094281D">
        <w:rPr>
          <w:rFonts w:ascii="Calibri" w:eastAsia="Times New Roman" w:hAnsi="Calibri" w:cs="Times New Roman"/>
          <w:lang w:eastAsia="en-AU"/>
        </w:rPr>
        <w:t xml:space="preserve">Education </w:t>
      </w:r>
      <w:r w:rsidRPr="00CB33AE">
        <w:rPr>
          <w:rFonts w:ascii="Calibri" w:eastAsia="Times New Roman" w:hAnsi="Calibri" w:cs="Times New Roman"/>
          <w:lang w:eastAsia="en-AU"/>
        </w:rPr>
        <w:t>Review received a total of 242 written submissions. In addition to 53 anonymous submissions, those who gave permission for their submission to be published are listed below</w:t>
      </w:r>
      <w:r w:rsidR="00F4160C">
        <w:rPr>
          <w:rFonts w:ascii="Calibri" w:eastAsia="Times New Roman" w:hAnsi="Calibri" w:cs="Times New Roman"/>
          <w:lang w:eastAsia="en-AU"/>
        </w:rPr>
        <w:t>*</w:t>
      </w:r>
    </w:p>
    <w:p w14:paraId="32D22336" w14:textId="77777777" w:rsidR="00F4160C" w:rsidRDefault="00F4160C" w:rsidP="00BC561E">
      <w:pPr>
        <w:spacing w:after="0" w:line="240" w:lineRule="auto"/>
        <w:rPr>
          <w:rFonts w:ascii="Calibri" w:eastAsia="Times New Roman" w:hAnsi="Calibri" w:cs="Times New Roman"/>
          <w:lang w:eastAsia="en-AU"/>
        </w:rPr>
        <w:sectPr w:rsidR="00F4160C" w:rsidSect="00421320">
          <w:type w:val="continuous"/>
          <w:pgSz w:w="11900" w:h="16840"/>
          <w:pgMar w:top="1552" w:right="1440" w:bottom="1440" w:left="1440" w:header="708" w:footer="708" w:gutter="0"/>
          <w:cols w:num="3" w:space="708"/>
          <w:docGrid w:linePitch="360"/>
        </w:sectPr>
      </w:pPr>
    </w:p>
    <w:p w14:paraId="7C81A3F6" w14:textId="0DC5D2AC" w:rsidR="00BC561E" w:rsidRPr="004D3154" w:rsidRDefault="00BC561E" w:rsidP="00BC561E">
      <w:pPr>
        <w:spacing w:after="0" w:line="240" w:lineRule="auto"/>
        <w:rPr>
          <w:rFonts w:ascii="Calibri" w:eastAsia="Times New Roman" w:hAnsi="Calibri" w:cs="Times New Roman"/>
          <w:color w:val="000000"/>
          <w:lang w:eastAsia="en-AU"/>
        </w:rPr>
      </w:pPr>
      <w:r w:rsidRPr="004D3154">
        <w:rPr>
          <w:rFonts w:ascii="Calibri" w:eastAsia="Times New Roman" w:hAnsi="Calibri" w:cs="Times New Roman"/>
          <w:color w:val="000000"/>
          <w:lang w:eastAsia="en-AU"/>
        </w:rPr>
        <w:t>A</w:t>
      </w:r>
      <w:r w:rsidR="00354541">
        <w:rPr>
          <w:rFonts w:ascii="Calibri" w:eastAsia="Times New Roman" w:hAnsi="Calibri" w:cs="Times New Roman"/>
          <w:color w:val="000000"/>
          <w:lang w:eastAsia="en-AU"/>
        </w:rPr>
        <w:t>CT</w:t>
      </w:r>
      <w:r w:rsidRPr="004D3154">
        <w:rPr>
          <w:rFonts w:ascii="Calibri" w:eastAsia="Times New Roman" w:hAnsi="Calibri" w:cs="Times New Roman"/>
          <w:color w:val="000000"/>
          <w:lang w:eastAsia="en-AU"/>
        </w:rPr>
        <w:t xml:space="preserve"> Government</w:t>
      </w:r>
    </w:p>
    <w:p w14:paraId="147C1493" w14:textId="77777777" w:rsidR="00BC561E" w:rsidRPr="00604395" w:rsidRDefault="00BC561E" w:rsidP="00BC561E">
      <w:pPr>
        <w:spacing w:after="0" w:line="240" w:lineRule="auto"/>
        <w:rPr>
          <w:rFonts w:ascii="Calibri" w:eastAsia="Times New Roman" w:hAnsi="Calibri" w:cs="Times New Roman"/>
          <w:color w:val="000000"/>
          <w:lang w:eastAsia="en-AU"/>
        </w:rPr>
      </w:pPr>
      <w:r w:rsidRPr="009B172F">
        <w:rPr>
          <w:rFonts w:ascii="Calibri" w:hAnsi="Calibri" w:cs="Calibri"/>
          <w:color w:val="000000"/>
        </w:rPr>
        <w:t>Alberts I The Tony Foundation</w:t>
      </w:r>
    </w:p>
    <w:p w14:paraId="772DF6C8"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Alphacrucis College</w:t>
      </w:r>
    </w:p>
    <w:p w14:paraId="39615D61" w14:textId="77777777" w:rsidR="00BC561E"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Altman</w:t>
      </w:r>
      <w:r>
        <w:rPr>
          <w:rFonts w:ascii="Calibri" w:eastAsia="Times New Roman" w:hAnsi="Calibri" w:cs="Times New Roman"/>
          <w:color w:val="000000"/>
          <w:lang w:eastAsia="en-AU"/>
        </w:rPr>
        <w:t>, Sam</w:t>
      </w:r>
    </w:p>
    <w:p w14:paraId="67481C7D"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Arthur-Kelly</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Michael</w:t>
      </w:r>
    </w:p>
    <w:p w14:paraId="5479E7D6" w14:textId="77777777" w:rsidR="00BC561E" w:rsidRPr="0046552B"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Ashman, Greg</w:t>
      </w:r>
    </w:p>
    <w:p w14:paraId="63BFE351" w14:textId="77777777" w:rsidR="00BC561E" w:rsidRPr="00D35473"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Aspland, Tania</w:t>
      </w:r>
    </w:p>
    <w:p w14:paraId="53808DD1" w14:textId="77777777" w:rsidR="00BC561E" w:rsidRPr="00CB69A2"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Assessment for Graduate Teaching (AfGT) Consortium</w:t>
      </w:r>
    </w:p>
    <w:p w14:paraId="05CD5A47"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Association of Heads of Independent Schools of Australia</w:t>
      </w:r>
    </w:p>
    <w:p w14:paraId="320D16FB"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Australasian Science Education Research Organisation (ASERA)</w:t>
      </w:r>
    </w:p>
    <w:p w14:paraId="3B377612"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 xml:space="preserve">Australian Association for the Education of the Gifted and Talented </w:t>
      </w:r>
    </w:p>
    <w:p w14:paraId="59B9770A"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Association of Christian Schools</w:t>
      </w:r>
    </w:p>
    <w:p w14:paraId="3B18A70E" w14:textId="287AF747" w:rsidR="00BC561E" w:rsidRPr="00CB69A2"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Association of Special Education</w:t>
      </w:r>
      <w:r w:rsidRPr="00CB69A2">
        <w:rPr>
          <w:rFonts w:ascii="Calibri" w:eastAsia="Times New Roman" w:hAnsi="Calibri" w:cs="Times New Roman"/>
          <w:color w:val="000000"/>
          <w:lang w:eastAsia="en-AU"/>
        </w:rPr>
        <w:t xml:space="preserve"> </w:t>
      </w:r>
      <w:r w:rsidR="00DD7DC8">
        <w:rPr>
          <w:rFonts w:ascii="Calibri" w:eastAsia="Times New Roman" w:hAnsi="Calibri" w:cs="Times New Roman"/>
          <w:color w:val="000000"/>
          <w:lang w:eastAsia="en-AU"/>
        </w:rPr>
        <w:t>–</w:t>
      </w:r>
      <w:r w:rsidRPr="00CB69A2">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NSW Chapter</w:t>
      </w:r>
    </w:p>
    <w:p w14:paraId="3BCD978E"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Catholic University</w:t>
      </w:r>
    </w:p>
    <w:p w14:paraId="593C09C3"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Children's Education and Care Quality Authority (ACECQA)</w:t>
      </w:r>
    </w:p>
    <w:p w14:paraId="6F4F5C3F" w14:textId="77777777" w:rsidR="00BC561E" w:rsidRPr="009B172F"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Council of State School Organisations</w:t>
      </w:r>
    </w:p>
    <w:p w14:paraId="5292D7FE"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Early Childhood Teacher Education Network (AECTEN)</w:t>
      </w:r>
    </w:p>
    <w:p w14:paraId="667515E5" w14:textId="77777777" w:rsidR="00BC561E" w:rsidRPr="00604395"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Education Union</w:t>
      </w:r>
    </w:p>
    <w:p w14:paraId="34D5DE3D" w14:textId="77777777" w:rsidR="00BC561E" w:rsidRPr="00CB69A2"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Federation of SPELD Associations</w:t>
      </w:r>
      <w:r>
        <w:rPr>
          <w:rFonts w:ascii="Calibri" w:eastAsia="Times New Roman" w:hAnsi="Calibri" w:cs="Times New Roman"/>
          <w:color w:val="000000"/>
          <w:lang w:eastAsia="en-AU"/>
        </w:rPr>
        <w:t xml:space="preserve"> (AUSPELD)</w:t>
      </w:r>
    </w:p>
    <w:p w14:paraId="0BBBA128"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Institute for Teaching and School Leadership (AITSL)</w:t>
      </w:r>
    </w:p>
    <w:p w14:paraId="38222A96"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Primary Principals Association</w:t>
      </w:r>
    </w:p>
    <w:p w14:paraId="11C89908"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Secondary Principals' Association</w:t>
      </w:r>
    </w:p>
    <w:p w14:paraId="57A387E5"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Australian Teacher Education Association</w:t>
      </w:r>
    </w:p>
    <w:p w14:paraId="37A13AAD"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Autism Spectrum Australia</w:t>
      </w:r>
      <w:r w:rsidRPr="00C831C6">
        <w:rPr>
          <w:rFonts w:ascii="Calibri" w:eastAsia="Times New Roman" w:hAnsi="Calibri" w:cs="Times New Roman"/>
          <w:color w:val="000000"/>
          <w:lang w:eastAsia="en-AU"/>
        </w:rPr>
        <w:t xml:space="preserve"> (Aspect)</w:t>
      </w:r>
    </w:p>
    <w:p w14:paraId="3F54DA8F"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Baringa Early Learning Centre</w:t>
      </w:r>
    </w:p>
    <w:p w14:paraId="35518661"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Barnes</w:t>
      </w:r>
      <w:r>
        <w:rPr>
          <w:rFonts w:ascii="Calibri" w:eastAsia="Times New Roman" w:hAnsi="Calibri" w:cs="Times New Roman"/>
          <w:color w:val="000000"/>
          <w:lang w:eastAsia="en-AU"/>
        </w:rPr>
        <w:t>, Carol</w:t>
      </w:r>
    </w:p>
    <w:p w14:paraId="139CF655"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Baskin</w:t>
      </w:r>
      <w:r>
        <w:rPr>
          <w:rFonts w:ascii="Calibri" w:eastAsia="Times New Roman" w:hAnsi="Calibri" w:cs="Times New Roman"/>
          <w:color w:val="000000"/>
          <w:lang w:eastAsia="en-AU"/>
        </w:rPr>
        <w:t>, Brooke</w:t>
      </w:r>
    </w:p>
    <w:p w14:paraId="07A2CC1C"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Brookman</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 xml:space="preserve">Jullianne </w:t>
      </w:r>
    </w:p>
    <w:p w14:paraId="0B7D0E9D"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Brooks</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Tabin</w:t>
      </w:r>
    </w:p>
    <w:p w14:paraId="57A6589A" w14:textId="77777777" w:rsidR="00BC561E" w:rsidRPr="007F222C"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Catholic Education Diocese of Parramatta</w:t>
      </w:r>
    </w:p>
    <w:p w14:paraId="23A1F54C" w14:textId="77777777" w:rsidR="00BC561E" w:rsidRPr="00CB69A2"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Catholic School Parents Australia</w:t>
      </w:r>
    </w:p>
    <w:p w14:paraId="174C26EC" w14:textId="64AD7414"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Catholic Schools NSW</w:t>
      </w:r>
    </w:p>
    <w:p w14:paraId="5F7DFC0E"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Central Queensland University</w:t>
      </w:r>
    </w:p>
    <w:p w14:paraId="7F3B9A7F" w14:textId="77777777" w:rsidR="00BC561E" w:rsidRPr="00EF71B2" w:rsidRDefault="00BC561E" w:rsidP="00BC561E">
      <w:pPr>
        <w:spacing w:after="0" w:line="240" w:lineRule="auto"/>
      </w:pPr>
      <w:r w:rsidRPr="00EF71B2">
        <w:t xml:space="preserve">Centre for Educational Measurement and Assessment (CEMA) at the University of Sydney with input from Australian Curriculum, Assessment and Reporting Authority (ACARA) </w:t>
      </w:r>
    </w:p>
    <w:p w14:paraId="2CA2EC2E"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Centre for Sustainable Communities</w:t>
      </w:r>
    </w:p>
    <w:p w14:paraId="014B65E0"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Chesterfield</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Eilish</w:t>
      </w:r>
    </w:p>
    <w:p w14:paraId="448FE897" w14:textId="77777777" w:rsidR="00BC561E" w:rsidRPr="009B172F"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 xml:space="preserve">Children and Young People with Disability </w:t>
      </w:r>
      <w:r w:rsidRPr="00604395">
        <w:rPr>
          <w:rFonts w:ascii="Calibri" w:eastAsia="Times New Roman" w:hAnsi="Calibri" w:cs="Times New Roman"/>
          <w:color w:val="000000"/>
          <w:lang w:eastAsia="en-AU"/>
        </w:rPr>
        <w:t>Australia</w:t>
      </w:r>
    </w:p>
    <w:p w14:paraId="5FDAB4C2"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Chow</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Jonathan</w:t>
      </w:r>
    </w:p>
    <w:p w14:paraId="64555BDA"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Code Read Dyslexia Network</w:t>
      </w:r>
    </w:p>
    <w:p w14:paraId="39B1B12F"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Codrington</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Dr Stephen</w:t>
      </w:r>
    </w:p>
    <w:p w14:paraId="70E71CA2" w14:textId="77777777" w:rsidR="00BC561E" w:rsidRPr="002839E0"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Conner</w:t>
      </w:r>
      <w:r>
        <w:rPr>
          <w:rFonts w:ascii="Calibri" w:eastAsia="Times New Roman" w:hAnsi="Calibri" w:cs="Times New Roman"/>
          <w:color w:val="000000"/>
          <w:lang w:eastAsia="en-AU"/>
        </w:rPr>
        <w:t>, Professor Lindsey</w:t>
      </w:r>
    </w:p>
    <w:p w14:paraId="6D425468" w14:textId="77777777" w:rsidR="00BC561E" w:rsidRPr="0046552B" w:rsidRDefault="00BC561E" w:rsidP="00BC561E">
      <w:pPr>
        <w:spacing w:after="0" w:line="240" w:lineRule="auto"/>
        <w:rPr>
          <w:rFonts w:ascii="Calibri" w:eastAsia="Times New Roman" w:hAnsi="Calibri" w:cs="Times New Roman"/>
          <w:color w:val="000000"/>
          <w:highlight w:val="magenta"/>
          <w:lang w:eastAsia="en-AU"/>
        </w:rPr>
      </w:pPr>
      <w:r w:rsidRPr="00363448">
        <w:rPr>
          <w:rFonts w:ascii="Calibri" w:eastAsia="Times New Roman" w:hAnsi="Calibri" w:cs="Times New Roman"/>
          <w:color w:val="000000"/>
          <w:lang w:eastAsia="en-AU"/>
        </w:rPr>
        <w:t>Cuervo</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Assoc</w:t>
      </w:r>
      <w:r>
        <w:rPr>
          <w:rFonts w:ascii="Calibri" w:eastAsia="Times New Roman" w:hAnsi="Calibri" w:cs="Times New Roman"/>
          <w:color w:val="000000"/>
          <w:lang w:eastAsia="en-AU"/>
        </w:rPr>
        <w:t>.</w:t>
      </w:r>
      <w:r w:rsidRPr="00363448">
        <w:rPr>
          <w:rFonts w:ascii="Calibri" w:eastAsia="Times New Roman" w:hAnsi="Calibri" w:cs="Times New Roman"/>
          <w:color w:val="000000"/>
          <w:lang w:eastAsia="en-AU"/>
        </w:rPr>
        <w:t xml:space="preserve"> Prof</w:t>
      </w:r>
      <w:r>
        <w:rPr>
          <w:rFonts w:ascii="Calibri" w:eastAsia="Times New Roman" w:hAnsi="Calibri" w:cs="Times New Roman"/>
          <w:color w:val="000000"/>
          <w:lang w:eastAsia="en-AU"/>
        </w:rPr>
        <w:t>. Hernan</w:t>
      </w:r>
    </w:p>
    <w:p w14:paraId="24AD06CE"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Curtin University School of Education</w:t>
      </w:r>
    </w:p>
    <w:p w14:paraId="1CEACB67"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Deakin University School of Education</w:t>
      </w:r>
    </w:p>
    <w:p w14:paraId="7689FB97"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Design and Technologies Teacher Association</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DATTA</w:t>
      </w:r>
      <w:r>
        <w:rPr>
          <w:rFonts w:ascii="Calibri" w:eastAsia="Times New Roman" w:hAnsi="Calibri" w:cs="Times New Roman"/>
          <w:color w:val="000000"/>
          <w:lang w:eastAsia="en-AU"/>
        </w:rPr>
        <w:t>)</w:t>
      </w:r>
      <w:r w:rsidRPr="00363448">
        <w:rPr>
          <w:rFonts w:ascii="Calibri" w:eastAsia="Times New Roman" w:hAnsi="Calibri" w:cs="Times New Roman"/>
          <w:color w:val="000000"/>
          <w:lang w:eastAsia="en-AU"/>
        </w:rPr>
        <w:t xml:space="preserve"> Australia </w:t>
      </w:r>
    </w:p>
    <w:p w14:paraId="2685D382" w14:textId="77777777" w:rsidR="00BC561E" w:rsidRPr="00D3547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Design Institute of Australia</w:t>
      </w:r>
    </w:p>
    <w:p w14:paraId="770FDB3E"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Eady</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Dr Michelle</w:t>
      </w:r>
      <w:r>
        <w:rPr>
          <w:rFonts w:ascii="Calibri" w:eastAsia="Times New Roman" w:hAnsi="Calibri" w:cs="Times New Roman"/>
          <w:color w:val="000000"/>
          <w:lang w:eastAsia="en-AU"/>
        </w:rPr>
        <w:t xml:space="preserve"> </w:t>
      </w:r>
    </w:p>
    <w:p w14:paraId="365AE27E" w14:textId="77777777" w:rsidR="00BC561E" w:rsidRPr="00604395"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Early Learning and Care Council of Australia</w:t>
      </w:r>
    </w:p>
    <w:p w14:paraId="57AFD71C" w14:textId="77777777" w:rsidR="00BC561E" w:rsidRPr="007F222C"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Edith Cowan University</w:t>
      </w:r>
    </w:p>
    <w:p w14:paraId="0FDC3720" w14:textId="77777777" w:rsidR="00BC561E" w:rsidRPr="007F222C"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Education Services Australia</w:t>
      </w:r>
      <w:r w:rsidRPr="007F222C">
        <w:rPr>
          <w:rFonts w:ascii="Calibri" w:eastAsia="Times New Roman" w:hAnsi="Calibri" w:cs="Times New Roman"/>
          <w:color w:val="000000"/>
          <w:lang w:eastAsia="en-AU"/>
        </w:rPr>
        <w:t xml:space="preserve"> Ltd.</w:t>
      </w:r>
    </w:p>
    <w:p w14:paraId="0E3B73F6"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Elliott</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Camilla</w:t>
      </w:r>
    </w:p>
    <w:p w14:paraId="19DC53B9"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Faculty of Creative Industries, Education and Social Justice, Queensland University of Technology</w:t>
      </w:r>
    </w:p>
    <w:p w14:paraId="3484B241" w14:textId="77777777" w:rsidR="00BC561E" w:rsidRPr="00604395"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 xml:space="preserve">Family Advocacy </w:t>
      </w:r>
    </w:p>
    <w:p w14:paraId="61B73D7B"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Flinders University</w:t>
      </w:r>
    </w:p>
    <w:p w14:paraId="4DBE77AB"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Gallop Report Panel</w:t>
      </w:r>
    </w:p>
    <w:p w14:paraId="1F01A8C0" w14:textId="77777777" w:rsidR="00BC561E"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Gaskin, Kathy</w:t>
      </w:r>
    </w:p>
    <w:p w14:paraId="1DB3881F" w14:textId="77777777" w:rsidR="00BC561E" w:rsidRPr="00D540FA"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Good to Great Schools Australia</w:t>
      </w:r>
    </w:p>
    <w:p w14:paraId="0B79D3D9" w14:textId="77777777" w:rsidR="00BC561E" w:rsidRPr="00E20D9D"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Gordon, R</w:t>
      </w:r>
    </w:p>
    <w:p w14:paraId="5BC0E35A"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Gore</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Laureate Professor</w:t>
      </w:r>
      <w:r>
        <w:rPr>
          <w:rFonts w:ascii="Calibri" w:eastAsia="Times New Roman" w:hAnsi="Calibri" w:cs="Times New Roman"/>
          <w:color w:val="000000"/>
          <w:lang w:eastAsia="en-AU"/>
        </w:rPr>
        <w:t xml:space="preserve"> Jenny</w:t>
      </w:r>
    </w:p>
    <w:p w14:paraId="11DEE464" w14:textId="77777777" w:rsidR="00BC561E"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Graduate School of Education, University of Western Australia</w:t>
      </w:r>
    </w:p>
    <w:p w14:paraId="2EEC8B00" w14:textId="77777777" w:rsidR="00BC561E" w:rsidRPr="004D3154"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Group of Eight Australia</w:t>
      </w:r>
    </w:p>
    <w:p w14:paraId="439D3B18" w14:textId="77777777" w:rsidR="00BC561E" w:rsidRDefault="00BC561E" w:rsidP="00BC561E">
      <w:pPr>
        <w:spacing w:after="0" w:line="240" w:lineRule="auto"/>
      </w:pPr>
      <w:r>
        <w:t>Haskett, Melinda</w:t>
      </w:r>
    </w:p>
    <w:p w14:paraId="01F0D520" w14:textId="797FEB97" w:rsidR="00BC561E" w:rsidRPr="004F2866" w:rsidRDefault="00BC561E" w:rsidP="00BC561E">
      <w:pPr>
        <w:spacing w:after="0" w:line="240" w:lineRule="auto"/>
      </w:pPr>
      <w:r>
        <w:rPr>
          <w:rFonts w:ascii="Calibri" w:eastAsia="Times New Roman" w:hAnsi="Calibri" w:cs="Times New Roman"/>
          <w:color w:val="000000"/>
          <w:lang w:eastAsia="en-AU"/>
        </w:rPr>
        <w:t xml:space="preserve">Hayes, Professor Debra </w:t>
      </w:r>
      <w:r w:rsidR="00DD7DC8">
        <w:rPr>
          <w:rFonts w:ascii="Calibri" w:eastAsia="Times New Roman" w:hAnsi="Calibri" w:cs="Times New Roman"/>
          <w:color w:val="000000"/>
          <w:lang w:eastAsia="en-AU"/>
        </w:rPr>
        <w:t>–</w:t>
      </w:r>
      <w:r>
        <w:rPr>
          <w:rFonts w:ascii="Calibri" w:eastAsia="Times New Roman" w:hAnsi="Calibri" w:cs="Times New Roman"/>
          <w:color w:val="000000"/>
          <w:lang w:eastAsia="en-AU"/>
        </w:rPr>
        <w:t xml:space="preserve"> </w:t>
      </w:r>
      <w:r w:rsidRPr="00A70ED2">
        <w:rPr>
          <w:rFonts w:ascii="Calibri" w:eastAsia="Times New Roman" w:hAnsi="Calibri" w:cs="Times New Roman"/>
          <w:color w:val="000000"/>
          <w:lang w:eastAsia="en-AU"/>
        </w:rPr>
        <w:t>Head of School, Sydney School of Education and Social Work</w:t>
      </w:r>
    </w:p>
    <w:p w14:paraId="0F2CD218"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Hodge</w:t>
      </w:r>
      <w:r>
        <w:rPr>
          <w:rFonts w:ascii="Calibri" w:eastAsia="Times New Roman" w:hAnsi="Calibri" w:cs="Times New Roman"/>
          <w:color w:val="000000"/>
          <w:lang w:eastAsia="en-AU"/>
        </w:rPr>
        <w:t>, Kerry</w:t>
      </w:r>
    </w:p>
    <w:p w14:paraId="45848F4E"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Horn</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Andrew</w:t>
      </w:r>
    </w:p>
    <w:p w14:paraId="097A70BE" w14:textId="77777777" w:rsidR="00BC561E" w:rsidRPr="00E20D9D" w:rsidRDefault="00BC561E" w:rsidP="00BC561E">
      <w:pPr>
        <w:spacing w:after="0" w:line="240" w:lineRule="auto"/>
        <w:rPr>
          <w:rFonts w:ascii="Calibri" w:eastAsia="Times New Roman" w:hAnsi="Calibri" w:cs="Times New Roman"/>
          <w:color w:val="000000"/>
          <w:highlight w:val="magenta"/>
          <w:lang w:eastAsia="en-AU"/>
        </w:rPr>
      </w:pPr>
      <w:r w:rsidRPr="00363448">
        <w:rPr>
          <w:rFonts w:ascii="Calibri" w:eastAsia="Times New Roman" w:hAnsi="Calibri" w:cs="Times New Roman"/>
          <w:color w:val="000000"/>
          <w:lang w:eastAsia="en-AU"/>
        </w:rPr>
        <w:t>Howard</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Dr Judith</w:t>
      </w:r>
    </w:p>
    <w:p w14:paraId="3943CE7D" w14:textId="77777777" w:rsidR="00BC561E"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Howie</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Kimberly</w:t>
      </w:r>
    </w:p>
    <w:p w14:paraId="7955645A" w14:textId="77777777" w:rsidR="00BC561E" w:rsidRPr="00E20D9D"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Hunter, Jordana</w:t>
      </w:r>
      <w:r w:rsidRPr="0059267C">
        <w:rPr>
          <w:rFonts w:ascii="Calibri" w:eastAsia="Times New Roman" w:hAnsi="Calibri" w:cs="Times New Roman"/>
          <w:color w:val="000000"/>
          <w:lang w:eastAsia="en-AU"/>
        </w:rPr>
        <w:t xml:space="preserve"> (Education Program Director, Grattan Institute) and Sonnemann</w:t>
      </w:r>
      <w:r>
        <w:rPr>
          <w:rFonts w:ascii="Calibri" w:eastAsia="Times New Roman" w:hAnsi="Calibri" w:cs="Times New Roman"/>
          <w:color w:val="000000"/>
          <w:lang w:eastAsia="en-AU"/>
        </w:rPr>
        <w:t xml:space="preserve">, Julie </w:t>
      </w:r>
      <w:r w:rsidRPr="0059267C">
        <w:rPr>
          <w:rFonts w:ascii="Calibri" w:eastAsia="Times New Roman" w:hAnsi="Calibri" w:cs="Times New Roman"/>
          <w:color w:val="000000"/>
          <w:lang w:eastAsia="en-AU"/>
        </w:rPr>
        <w:t>(Education Program Fellow, Grattan Institute)</w:t>
      </w:r>
    </w:p>
    <w:p w14:paraId="5BF7D3D2"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Independent Education Union</w:t>
      </w:r>
      <w:r w:rsidRPr="00D35473">
        <w:rPr>
          <w:rFonts w:ascii="Calibri" w:eastAsia="Times New Roman" w:hAnsi="Calibri" w:cs="Times New Roman"/>
          <w:color w:val="000000"/>
          <w:lang w:eastAsia="en-AU"/>
        </w:rPr>
        <w:t xml:space="preserve"> of Australia</w:t>
      </w:r>
    </w:p>
    <w:p w14:paraId="4D85F455"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Independent Schools Queensland</w:t>
      </w:r>
    </w:p>
    <w:p w14:paraId="26FB40F0" w14:textId="77777777" w:rsidR="00BC561E" w:rsidRPr="00D3547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Institute of Technology Education</w:t>
      </w:r>
    </w:p>
    <w:p w14:paraId="0FF70BC9"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Jarratt</w:t>
      </w:r>
      <w:r>
        <w:rPr>
          <w:rFonts w:ascii="Calibri" w:eastAsia="Times New Roman" w:hAnsi="Calibri" w:cs="Times New Roman"/>
          <w:color w:val="000000"/>
          <w:lang w:eastAsia="en-AU"/>
        </w:rPr>
        <w:t>, Ray</w:t>
      </w:r>
    </w:p>
    <w:p w14:paraId="138BD445"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J</w:t>
      </w:r>
      <w:r w:rsidRPr="00E20D9D">
        <w:rPr>
          <w:rFonts w:ascii="Calibri" w:eastAsia="Times New Roman" w:hAnsi="Calibri" w:cs="Times New Roman"/>
          <w:color w:val="000000"/>
          <w:lang w:eastAsia="en-AU"/>
        </w:rPr>
        <w:t>ones</w:t>
      </w:r>
      <w:r>
        <w:rPr>
          <w:rFonts w:ascii="Calibri" w:eastAsia="Times New Roman" w:hAnsi="Calibri" w:cs="Times New Roman"/>
          <w:color w:val="000000"/>
          <w:lang w:eastAsia="en-AU"/>
        </w:rPr>
        <w:t>, A L</w:t>
      </w:r>
    </w:p>
    <w:p w14:paraId="765B2205" w14:textId="77777777" w:rsidR="00BC561E" w:rsidRPr="009B172F"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Jung</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Assoc</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Prof</w:t>
      </w:r>
      <w:r>
        <w:rPr>
          <w:rFonts w:ascii="Calibri" w:eastAsia="Times New Roman" w:hAnsi="Calibri" w:cs="Times New Roman"/>
          <w:color w:val="000000"/>
          <w:lang w:eastAsia="en-AU"/>
        </w:rPr>
        <w:t>.</w:t>
      </w:r>
      <w:r w:rsidRPr="00363448">
        <w:rPr>
          <w:rFonts w:ascii="Calibri" w:eastAsia="Times New Roman" w:hAnsi="Calibri" w:cs="Times New Roman"/>
          <w:color w:val="000000"/>
          <w:lang w:eastAsia="en-AU"/>
        </w:rPr>
        <w:t xml:space="preserve"> Jae Yup </w:t>
      </w:r>
    </w:p>
    <w:p w14:paraId="21351A8C"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Kirk</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Robert</w:t>
      </w:r>
    </w:p>
    <w:p w14:paraId="0D4822BC"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 xml:space="preserve">Kodály Australia </w:t>
      </w:r>
    </w:p>
    <w:p w14:paraId="236950C7"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Kodály Queensland</w:t>
      </w:r>
    </w:p>
    <w:p w14:paraId="1A4CAAE7" w14:textId="77777777" w:rsidR="00BC561E" w:rsidRPr="007F222C"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La Trobe University</w:t>
      </w:r>
    </w:p>
    <w:p w14:paraId="0A4513C6" w14:textId="77777777" w:rsidR="00BC561E"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Lam</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Hanford</w:t>
      </w:r>
    </w:p>
    <w:p w14:paraId="17143AB8" w14:textId="77777777" w:rsidR="00BC561E" w:rsidRPr="00E20D9D"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Lang, Josephine</w:t>
      </w:r>
    </w:p>
    <w:p w14:paraId="7E1D69A0"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Lewis</w:t>
      </w:r>
      <w:r>
        <w:rPr>
          <w:rFonts w:ascii="Calibri" w:eastAsia="Times New Roman" w:hAnsi="Calibri" w:cs="Times New Roman"/>
          <w:color w:val="000000"/>
          <w:lang w:eastAsia="en-AU"/>
        </w:rPr>
        <w:t>, Robert</w:t>
      </w:r>
    </w:p>
    <w:p w14:paraId="496A1596"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Logan</w:t>
      </w:r>
      <w:r>
        <w:rPr>
          <w:rFonts w:ascii="Calibri" w:eastAsia="Times New Roman" w:hAnsi="Calibri" w:cs="Times New Roman"/>
          <w:color w:val="000000"/>
          <w:lang w:eastAsia="en-AU"/>
        </w:rPr>
        <w:t>, Jessica</w:t>
      </w:r>
    </w:p>
    <w:p w14:paraId="05CAFC14"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Macquarie School of Education</w:t>
      </w:r>
    </w:p>
    <w:p w14:paraId="573543E9"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Mansell</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William</w:t>
      </w:r>
    </w:p>
    <w:p w14:paraId="317B27C6"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Melbourne Graduate School of Education</w:t>
      </w:r>
    </w:p>
    <w:p w14:paraId="5CB1A082"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Melissa McIntosh MP</w:t>
      </w:r>
    </w:p>
    <w:p w14:paraId="2567834E" w14:textId="77777777" w:rsidR="00BC561E" w:rsidRPr="002839E0"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Mills</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Terence</w:t>
      </w:r>
    </w:p>
    <w:p w14:paraId="0F250647"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Monash University, Faculty of Education</w:t>
      </w:r>
    </w:p>
    <w:p w14:paraId="1A6E9B73"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Monk</w:t>
      </w:r>
      <w:r>
        <w:rPr>
          <w:rFonts w:ascii="Calibri" w:eastAsia="Times New Roman" w:hAnsi="Calibri" w:cs="Times New Roman"/>
          <w:color w:val="000000"/>
          <w:lang w:eastAsia="en-AU"/>
        </w:rPr>
        <w:t>, Rob</w:t>
      </w:r>
    </w:p>
    <w:p w14:paraId="204E5376"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Mosca</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Jessica</w:t>
      </w:r>
    </w:p>
    <w:p w14:paraId="77E490AF" w14:textId="77777777" w:rsidR="00BC561E" w:rsidRPr="00366272"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Murphy</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 xml:space="preserve">Montana </w:t>
      </w:r>
    </w:p>
    <w:p w14:paraId="168F79F8"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Murray</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Eleanor</w:t>
      </w:r>
    </w:p>
    <w:p w14:paraId="1946E441"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Myers</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Bianca</w:t>
      </w:r>
    </w:p>
    <w:p w14:paraId="4FAF5E30"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lastRenderedPageBreak/>
        <w:t>National Advocates for Arts Education (NAAE)</w:t>
      </w:r>
    </w:p>
    <w:p w14:paraId="15BD49B5" w14:textId="77777777" w:rsidR="00BC561E" w:rsidRPr="009B172F"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National Catholic Education Commission</w:t>
      </w:r>
    </w:p>
    <w:p w14:paraId="19C1584F" w14:textId="77777777" w:rsidR="00BC561E" w:rsidRPr="009333EA"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National Indigenous Australians Agency (NIAA)</w:t>
      </w:r>
    </w:p>
    <w:p w14:paraId="296580FA"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Nicoll</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Sandy</w:t>
      </w:r>
    </w:p>
    <w:p w14:paraId="3611CC17" w14:textId="77777777" w:rsidR="00BC561E" w:rsidRPr="00FA5553" w:rsidRDefault="00BC561E" w:rsidP="00BC561E">
      <w:pPr>
        <w:spacing w:after="0" w:line="240" w:lineRule="auto"/>
        <w:rPr>
          <w:rFonts w:ascii="Calibri" w:eastAsia="Times New Roman" w:hAnsi="Calibri" w:cs="Times New Roman"/>
          <w:color w:val="000000"/>
          <w:lang w:eastAsia="en-AU"/>
        </w:rPr>
      </w:pPr>
      <w:r w:rsidRPr="00FA5553">
        <w:rPr>
          <w:rFonts w:ascii="Calibri" w:eastAsia="Times New Roman" w:hAnsi="Calibri" w:cs="Times New Roman"/>
          <w:color w:val="000000"/>
          <w:lang w:eastAsia="en-AU"/>
        </w:rPr>
        <w:t>N</w:t>
      </w:r>
      <w:r w:rsidRPr="00363448">
        <w:rPr>
          <w:rFonts w:ascii="Calibri" w:eastAsia="Times New Roman" w:hAnsi="Calibri" w:cs="Times New Roman"/>
          <w:color w:val="000000"/>
          <w:lang w:eastAsia="en-AU"/>
        </w:rPr>
        <w:t>ovak</w:t>
      </w:r>
      <w:r>
        <w:rPr>
          <w:rFonts w:ascii="Calibri" w:eastAsia="Times New Roman" w:hAnsi="Calibri" w:cs="Times New Roman"/>
          <w:color w:val="000000"/>
          <w:lang w:eastAsia="en-AU"/>
        </w:rPr>
        <w:t>, Sally</w:t>
      </w:r>
    </w:p>
    <w:p w14:paraId="63CF5CF4" w14:textId="77777777" w:rsidR="00BC561E" w:rsidRPr="00D540FA"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NSW Aboriginal Education Consultative Group</w:t>
      </w:r>
    </w:p>
    <w:p w14:paraId="252DEB3D"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NSW Council of Deans of Education</w:t>
      </w:r>
    </w:p>
    <w:p w14:paraId="6DA63A88" w14:textId="77777777" w:rsidR="00BC561E" w:rsidRPr="00D540FA"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NSW Department of Education</w:t>
      </w:r>
    </w:p>
    <w:p w14:paraId="1D20562A" w14:textId="77777777" w:rsidR="00BC561E" w:rsidRPr="00EF71B2"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NSW Productivity Commission</w:t>
      </w:r>
    </w:p>
    <w:p w14:paraId="7C964C51" w14:textId="77777777" w:rsidR="00BC561E"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 xml:space="preserve">NT Department of Education and Charles Darwin University </w:t>
      </w:r>
    </w:p>
    <w:p w14:paraId="2CFAAF12" w14:textId="77777777" w:rsidR="00BC561E" w:rsidRPr="00E85F1F"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Penman</w:t>
      </w:r>
      <w:r>
        <w:rPr>
          <w:rFonts w:ascii="Calibri" w:eastAsia="Times New Roman" w:hAnsi="Calibri" w:cs="Times New Roman"/>
          <w:color w:val="000000"/>
          <w:lang w:eastAsia="en-AU"/>
        </w:rPr>
        <w:t>, Meredith</w:t>
      </w:r>
    </w:p>
    <w:p w14:paraId="281B11E5" w14:textId="4D574A34" w:rsidR="00BC561E" w:rsidRPr="00FA5553"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Prior, Sue </w:t>
      </w:r>
      <w:r w:rsidR="006E2EF5">
        <w:rPr>
          <w:rFonts w:ascii="Calibri" w:eastAsia="Times New Roman" w:hAnsi="Calibri" w:cs="Times New Roman"/>
          <w:color w:val="000000"/>
          <w:lang w:eastAsia="en-AU"/>
        </w:rPr>
        <w:t>–</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Prior Learning</w:t>
      </w:r>
    </w:p>
    <w:p w14:paraId="318A3531"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Productivity Commission</w:t>
      </w:r>
    </w:p>
    <w:p w14:paraId="1E2758B8" w14:textId="77777777" w:rsidR="00BC561E" w:rsidRPr="004D3154"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QLD Government</w:t>
      </w:r>
    </w:p>
    <w:p w14:paraId="66833BFF"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Queensland Association of Special Education Leaders (QASEL)</w:t>
      </w:r>
    </w:p>
    <w:p w14:paraId="53A18578"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 xml:space="preserve">Queensland Catholic Education </w:t>
      </w:r>
      <w:r>
        <w:rPr>
          <w:rFonts w:ascii="Calibri" w:eastAsia="Times New Roman" w:hAnsi="Calibri" w:cs="Times New Roman"/>
          <w:color w:val="000000"/>
          <w:lang w:eastAsia="en-AU"/>
        </w:rPr>
        <w:t>C</w:t>
      </w:r>
      <w:r w:rsidRPr="00363448">
        <w:rPr>
          <w:rFonts w:ascii="Calibri" w:eastAsia="Times New Roman" w:hAnsi="Calibri" w:cs="Times New Roman"/>
          <w:color w:val="000000"/>
          <w:lang w:eastAsia="en-AU"/>
        </w:rPr>
        <w:t>ommission</w:t>
      </w:r>
    </w:p>
    <w:p w14:paraId="768A32A5"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Queensland College of Teachers</w:t>
      </w:r>
    </w:p>
    <w:p w14:paraId="2EC5CCEB"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Queensland Council of Deans of Education</w:t>
      </w:r>
    </w:p>
    <w:p w14:paraId="75531947"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Rankine</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Andrew</w:t>
      </w:r>
    </w:p>
    <w:p w14:paraId="0FFDA4B1"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Rankine</w:t>
      </w:r>
      <w:r>
        <w:rPr>
          <w:rFonts w:ascii="Calibri" w:eastAsia="Times New Roman" w:hAnsi="Calibri" w:cs="Times New Roman"/>
          <w:color w:val="000000"/>
          <w:lang w:eastAsia="en-AU"/>
        </w:rPr>
        <w:t>, Tegan</w:t>
      </w:r>
    </w:p>
    <w:p w14:paraId="10A3E35C"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Reconciliation Australia</w:t>
      </w:r>
    </w:p>
    <w:p w14:paraId="7A55F7B7"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Regional Universities Network</w:t>
      </w:r>
    </w:p>
    <w:p w14:paraId="4F0D29A1"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Rogers</w:t>
      </w:r>
      <w:r>
        <w:rPr>
          <w:rFonts w:ascii="Calibri" w:eastAsia="Times New Roman" w:hAnsi="Calibri" w:cs="Times New Roman"/>
          <w:color w:val="000000"/>
          <w:lang w:eastAsia="en-AU"/>
        </w:rPr>
        <w:t>, Jo</w:t>
      </w:r>
    </w:p>
    <w:p w14:paraId="4702F2F5" w14:textId="77777777" w:rsidR="00BC561E" w:rsidRPr="007B59A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Ronksley-Pavia</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Dr Michelle</w:t>
      </w:r>
    </w:p>
    <w:p w14:paraId="572F894E"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Ross</w:t>
      </w:r>
      <w:r>
        <w:rPr>
          <w:rFonts w:ascii="Calibri" w:eastAsia="Times New Roman" w:hAnsi="Calibri" w:cs="Times New Roman"/>
          <w:color w:val="000000"/>
          <w:lang w:eastAsia="en-AU"/>
        </w:rPr>
        <w:t>, Dr Marty</w:t>
      </w:r>
    </w:p>
    <w:p w14:paraId="55B3492E"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Rowe &amp; Rowe Thinkmap Pty Ltd</w:t>
      </w:r>
    </w:p>
    <w:p w14:paraId="5A0B4D5D"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Ryan</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Margaret</w:t>
      </w:r>
    </w:p>
    <w:p w14:paraId="7EA3D8F3"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Sankey</w:t>
      </w:r>
      <w:r>
        <w:rPr>
          <w:rFonts w:ascii="Calibri" w:eastAsia="Times New Roman" w:hAnsi="Calibri" w:cs="Times New Roman"/>
          <w:color w:val="000000"/>
          <w:lang w:eastAsia="en-AU"/>
        </w:rPr>
        <w:t>, Dr Derek</w:t>
      </w:r>
    </w:p>
    <w:p w14:paraId="6EC6DF41"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Schinckel</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Matthem</w:t>
      </w:r>
    </w:p>
    <w:p w14:paraId="5E6FBFEA"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Scholefield</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Emma</w:t>
      </w:r>
    </w:p>
    <w:p w14:paraId="0022653B" w14:textId="77777777" w:rsidR="00BC561E" w:rsidRPr="00604395"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School of Education, University of Adelaide</w:t>
      </w:r>
    </w:p>
    <w:p w14:paraId="42922728"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Schools Plus</w:t>
      </w:r>
    </w:p>
    <w:p w14:paraId="7BF4EF23" w14:textId="77777777" w:rsidR="00BC561E" w:rsidRPr="007F222C"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 xml:space="preserve">Science and Technology Australia </w:t>
      </w:r>
    </w:p>
    <w:p w14:paraId="7E87167C" w14:textId="77777777" w:rsidR="00BC561E"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Sheedy</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Bernadette</w:t>
      </w:r>
    </w:p>
    <w:p w14:paraId="1F768E28" w14:textId="03D69343"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Sjoquist</w:t>
      </w:r>
      <w:r>
        <w:rPr>
          <w:rFonts w:ascii="Calibri" w:eastAsia="Times New Roman" w:hAnsi="Calibri" w:cs="Times New Roman"/>
          <w:color w:val="000000"/>
          <w:lang w:eastAsia="en-AU"/>
        </w:rPr>
        <w:t xml:space="preserve"> AM, Peter</w:t>
      </w:r>
      <w:r w:rsidRPr="00363448">
        <w:rPr>
          <w:rFonts w:ascii="Calibri" w:eastAsia="Times New Roman" w:hAnsi="Calibri" w:cs="Times New Roman"/>
          <w:color w:val="000000"/>
          <w:lang w:eastAsia="en-AU"/>
        </w:rPr>
        <w:t xml:space="preserve"> </w:t>
      </w:r>
      <w:r w:rsidR="00082B1D">
        <w:rPr>
          <w:rFonts w:ascii="Calibri" w:eastAsia="Times New Roman" w:hAnsi="Calibri" w:cs="Times New Roman"/>
          <w:color w:val="000000"/>
          <w:lang w:eastAsia="en-AU"/>
        </w:rPr>
        <w:t>–</w:t>
      </w:r>
      <w:r w:rsidRPr="00363448">
        <w:rPr>
          <w:rFonts w:ascii="Calibri" w:eastAsia="Times New Roman" w:hAnsi="Calibri" w:cs="Times New Roman"/>
          <w:color w:val="000000"/>
          <w:lang w:eastAsia="en-AU"/>
        </w:rPr>
        <w:t xml:space="preserve"> Teachers TV Foundation</w:t>
      </w:r>
    </w:p>
    <w:p w14:paraId="223858CB"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Smith</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Kyle</w:t>
      </w:r>
    </w:p>
    <w:p w14:paraId="66B3296D"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Smith</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 xml:space="preserve">Nicola </w:t>
      </w:r>
    </w:p>
    <w:p w14:paraId="024937F5" w14:textId="77777777" w:rsidR="00BC561E" w:rsidRPr="00FA555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Somasundaram</w:t>
      </w:r>
      <w:r>
        <w:rPr>
          <w:rFonts w:ascii="Calibri" w:eastAsia="Times New Roman" w:hAnsi="Calibri" w:cs="Times New Roman"/>
          <w:color w:val="000000"/>
          <w:lang w:eastAsia="en-AU"/>
        </w:rPr>
        <w:t>, Jay</w:t>
      </w:r>
      <w:r w:rsidRPr="00363448">
        <w:rPr>
          <w:rFonts w:ascii="Calibri" w:eastAsia="Times New Roman" w:hAnsi="Calibri" w:cs="Times New Roman"/>
          <w:color w:val="000000"/>
          <w:lang w:eastAsia="en-AU"/>
        </w:rPr>
        <w:t xml:space="preserve"> and Rasul</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Mohammad G</w:t>
      </w:r>
      <w:r>
        <w:rPr>
          <w:rFonts w:ascii="Calibri" w:eastAsia="Times New Roman" w:hAnsi="Calibri" w:cs="Times New Roman"/>
          <w:color w:val="000000"/>
          <w:lang w:eastAsia="en-AU"/>
        </w:rPr>
        <w:t>.</w:t>
      </w:r>
    </w:p>
    <w:p w14:paraId="4DF4610F"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Southern Cross University</w:t>
      </w:r>
    </w:p>
    <w:p w14:paraId="333C58FD"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St Philip's Teaching School</w:t>
      </w:r>
    </w:p>
    <w:p w14:paraId="2D2EB8E7"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Stagg</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Maxine</w:t>
      </w:r>
    </w:p>
    <w:p w14:paraId="74784B55"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Stevenson</w:t>
      </w:r>
      <w:r>
        <w:rPr>
          <w:rFonts w:ascii="Calibri" w:eastAsia="Times New Roman" w:hAnsi="Calibri" w:cs="Times New Roman"/>
          <w:color w:val="000000"/>
          <w:lang w:eastAsia="en-AU"/>
        </w:rPr>
        <w:t>, Bradley</w:t>
      </w:r>
      <w:r w:rsidRPr="00363448">
        <w:rPr>
          <w:rFonts w:ascii="Calibri" w:eastAsia="Times New Roman" w:hAnsi="Calibri" w:cs="Times New Roman"/>
          <w:color w:val="000000"/>
          <w:lang w:eastAsia="en-AU"/>
        </w:rPr>
        <w:t xml:space="preserve"> </w:t>
      </w:r>
    </w:p>
    <w:p w14:paraId="45EEFEC7"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Student Advisory Group for Education (SAGE), Southern Cross University</w:t>
      </w:r>
    </w:p>
    <w:p w14:paraId="7CB0FEB7" w14:textId="77777777" w:rsidR="00BC561E" w:rsidRPr="00D35473"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Swinburne University of Technology</w:t>
      </w:r>
    </w:p>
    <w:p w14:paraId="2D28BE4C"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Tasmanian Association for the Gifted</w:t>
      </w:r>
    </w:p>
    <w:p w14:paraId="0F19415B"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Teach For Australia</w:t>
      </w:r>
    </w:p>
    <w:p w14:paraId="56ECE812" w14:textId="77777777" w:rsidR="00BC561E" w:rsidRPr="007B59AD" w:rsidRDefault="00BC561E" w:rsidP="00BC561E">
      <w:pPr>
        <w:spacing w:after="0" w:line="240" w:lineRule="auto"/>
        <w:rPr>
          <w:rFonts w:ascii="Calibri" w:eastAsia="Times New Roman" w:hAnsi="Calibri" w:cs="Times New Roman"/>
          <w:color w:val="000000"/>
          <w:lang w:eastAsia="en-AU"/>
        </w:rPr>
      </w:pPr>
      <w:r w:rsidRPr="007B59AD">
        <w:rPr>
          <w:rFonts w:ascii="Calibri" w:eastAsia="Times New Roman" w:hAnsi="Calibri" w:cs="Times New Roman"/>
          <w:color w:val="000000"/>
          <w:lang w:eastAsia="en-AU"/>
        </w:rPr>
        <w:t xml:space="preserve">Teach </w:t>
      </w:r>
      <w:r>
        <w:rPr>
          <w:rFonts w:ascii="Calibri" w:eastAsia="Times New Roman" w:hAnsi="Calibri" w:cs="Times New Roman"/>
          <w:color w:val="000000"/>
          <w:lang w:eastAsia="en-AU"/>
        </w:rPr>
        <w:t>U</w:t>
      </w:r>
      <w:r w:rsidRPr="007B59AD">
        <w:rPr>
          <w:rFonts w:ascii="Calibri" w:eastAsia="Times New Roman" w:hAnsi="Calibri" w:cs="Times New Roman"/>
          <w:color w:val="000000"/>
          <w:lang w:eastAsia="en-AU"/>
        </w:rPr>
        <w:t>s Consent</w:t>
      </w:r>
      <w:r>
        <w:rPr>
          <w:rFonts w:ascii="Calibri" w:eastAsia="Times New Roman" w:hAnsi="Calibri" w:cs="Times New Roman"/>
          <w:color w:val="000000"/>
          <w:lang w:eastAsia="en-AU"/>
        </w:rPr>
        <w:t xml:space="preserve"> and the Foundation for Young Australians</w:t>
      </w:r>
    </w:p>
    <w:p w14:paraId="598FD43A"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Teaching Schools Alliance Sydney</w:t>
      </w:r>
    </w:p>
    <w:p w14:paraId="7DCD9F2A"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The Australian Academy of Science</w:t>
      </w:r>
    </w:p>
    <w:p w14:paraId="54601640" w14:textId="77777777" w:rsidR="00BC561E" w:rsidRPr="007B59A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The Australian Council of TESOL Associations</w:t>
      </w:r>
    </w:p>
    <w:p w14:paraId="0542892B"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The Isolated Children's Parents' Association of Australia, ICPA (Aust)</w:t>
      </w:r>
    </w:p>
    <w:p w14:paraId="6494EA05" w14:textId="77777777" w:rsidR="00BC561E" w:rsidRPr="00D35473" w:rsidRDefault="00BC561E" w:rsidP="00BC561E">
      <w:pPr>
        <w:spacing w:after="0" w:line="240" w:lineRule="auto"/>
        <w:rPr>
          <w:rFonts w:ascii="Calibri" w:eastAsia="Times New Roman" w:hAnsi="Calibri" w:cs="Times New Roman"/>
          <w:color w:val="000000"/>
          <w:lang w:eastAsia="en-AU"/>
        </w:rPr>
      </w:pPr>
      <w:r w:rsidRPr="00D35473">
        <w:rPr>
          <w:rFonts w:ascii="Calibri" w:eastAsia="Times New Roman" w:hAnsi="Calibri" w:cs="Times New Roman"/>
          <w:color w:val="000000"/>
          <w:lang w:eastAsia="en-AU"/>
        </w:rPr>
        <w:t>The University of Newcastle School of Education</w:t>
      </w:r>
    </w:p>
    <w:p w14:paraId="3FE2B2E2"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The University of Queensland</w:t>
      </w:r>
    </w:p>
    <w:p w14:paraId="76F5659C"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Tomolowicz</w:t>
      </w:r>
      <w:r>
        <w:rPr>
          <w:rFonts w:ascii="Calibri" w:eastAsia="Times New Roman" w:hAnsi="Calibri" w:cs="Times New Roman"/>
          <w:color w:val="000000"/>
          <w:lang w:eastAsia="en-AU"/>
        </w:rPr>
        <w:t>, R</w:t>
      </w:r>
    </w:p>
    <w:p w14:paraId="3F4805E3" w14:textId="77777777" w:rsidR="00BC561E"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Treeby, Dr David</w:t>
      </w:r>
    </w:p>
    <w:p w14:paraId="4916A4D0" w14:textId="45786F37" w:rsidR="00BC561E" w:rsidRPr="00D35473"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Turner, Kristina (et al</w:t>
      </w:r>
      <w:r w:rsidR="00C86ED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p w14:paraId="04BDA71E" w14:textId="77777777" w:rsidR="00BC561E" w:rsidRPr="00604395"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Universities Australia</w:t>
      </w:r>
    </w:p>
    <w:p w14:paraId="7AC0DE6B"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University of Canberra</w:t>
      </w:r>
    </w:p>
    <w:p w14:paraId="5421BBBC" w14:textId="77777777" w:rsidR="00BC561E" w:rsidRPr="009B172F"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U</w:t>
      </w:r>
      <w:r w:rsidRPr="009B172F">
        <w:rPr>
          <w:rFonts w:ascii="Calibri" w:eastAsia="Times New Roman" w:hAnsi="Calibri" w:cs="Times New Roman"/>
          <w:color w:val="000000"/>
          <w:lang w:eastAsia="en-AU"/>
        </w:rPr>
        <w:t>niversity of New South Wales</w:t>
      </w:r>
      <w:r w:rsidRPr="00363448">
        <w:rPr>
          <w:rFonts w:ascii="Calibri" w:eastAsia="Times New Roman" w:hAnsi="Calibri" w:cs="Times New Roman"/>
          <w:color w:val="000000"/>
          <w:lang w:eastAsia="en-AU"/>
        </w:rPr>
        <w:t xml:space="preserve"> School of Education</w:t>
      </w:r>
    </w:p>
    <w:p w14:paraId="2D2C07B8" w14:textId="77777777" w:rsidR="00BC561E" w:rsidRPr="00C831C6"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University of Southern Queensland</w:t>
      </w:r>
    </w:p>
    <w:p w14:paraId="0D30F151" w14:textId="77777777" w:rsidR="00BC561E" w:rsidRPr="00E85F1F"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University of Tasmania and Department of Education Tasmania</w:t>
      </w:r>
    </w:p>
    <w:p w14:paraId="29A6713E" w14:textId="77777777" w:rsidR="00BC561E" w:rsidRPr="009B172F" w:rsidRDefault="00BC561E" w:rsidP="00BC561E">
      <w:pPr>
        <w:spacing w:after="0" w:line="240" w:lineRule="auto"/>
        <w:rPr>
          <w:rFonts w:ascii="Calibri" w:eastAsia="Times New Roman" w:hAnsi="Calibri" w:cs="Times New Roman"/>
          <w:color w:val="000000"/>
          <w:lang w:eastAsia="en-AU"/>
        </w:rPr>
      </w:pPr>
      <w:r w:rsidRPr="009B172F">
        <w:rPr>
          <w:rFonts w:ascii="Calibri" w:eastAsia="Times New Roman" w:hAnsi="Calibri" w:cs="Times New Roman"/>
          <w:color w:val="000000"/>
          <w:lang w:eastAsia="en-AU"/>
        </w:rPr>
        <w:t xml:space="preserve">University of Technology Sydney </w:t>
      </w:r>
      <w:r w:rsidRPr="00363448">
        <w:rPr>
          <w:rFonts w:ascii="Calibri" w:eastAsia="Times New Roman" w:hAnsi="Calibri" w:cs="Times New Roman"/>
          <w:color w:val="000000"/>
          <w:lang w:eastAsia="en-AU"/>
        </w:rPr>
        <w:t>School of International Studies and Education</w:t>
      </w:r>
    </w:p>
    <w:p w14:paraId="71530F91" w14:textId="77777777" w:rsidR="00BC561E" w:rsidRPr="007F222C"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University of Wollongong</w:t>
      </w:r>
    </w:p>
    <w:p w14:paraId="1A8928C9" w14:textId="77777777" w:rsidR="00BC561E" w:rsidRPr="00A70ED2" w:rsidRDefault="00BC561E" w:rsidP="00BC561E">
      <w:pPr>
        <w:spacing w:after="0" w:line="240" w:lineRule="auto"/>
        <w:rPr>
          <w:rFonts w:ascii="Calibri" w:eastAsia="Times New Roman" w:hAnsi="Calibri" w:cs="Times New Roman"/>
          <w:color w:val="000000"/>
          <w:lang w:eastAsia="en-AU"/>
        </w:rPr>
      </w:pPr>
      <w:r w:rsidRPr="00A70ED2">
        <w:rPr>
          <w:rFonts w:ascii="Calibri" w:eastAsia="Times New Roman" w:hAnsi="Calibri" w:cs="Times New Roman"/>
          <w:color w:val="000000"/>
          <w:lang w:eastAsia="en-AU"/>
        </w:rPr>
        <w:t>Varadharajan, Dr Meera</w:t>
      </w:r>
    </w:p>
    <w:p w14:paraId="1AEE6B48" w14:textId="77777777" w:rsidR="00BC561E" w:rsidRPr="0046552B"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Victorian Council of Deans of Education</w:t>
      </w:r>
    </w:p>
    <w:p w14:paraId="47966ED7" w14:textId="77777777" w:rsidR="00BC561E" w:rsidRPr="00363448"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Victorian Council of Social Service</w:t>
      </w:r>
    </w:p>
    <w:p w14:paraId="71270518" w14:textId="77777777" w:rsidR="00BC561E" w:rsidRPr="004D3154"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Victorian Department of Education and Training (DET)</w:t>
      </w:r>
    </w:p>
    <w:p w14:paraId="00FB6581" w14:textId="77777777" w:rsidR="00BC561E" w:rsidRPr="00E20D9D"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Wadey</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Jessica</w:t>
      </w:r>
    </w:p>
    <w:p w14:paraId="4771BC09" w14:textId="77777777" w:rsidR="00BC561E" w:rsidRPr="00363448" w:rsidRDefault="00BC561E" w:rsidP="00BC561E">
      <w:pPr>
        <w:spacing w:after="0" w:line="240" w:lineRule="auto"/>
        <w:rPr>
          <w:rFonts w:ascii="Calibri" w:eastAsia="Times New Roman" w:hAnsi="Calibri" w:cs="Times New Roman"/>
          <w:color w:val="000000"/>
          <w:highlight w:val="yellow"/>
          <w:lang w:eastAsia="en-AU"/>
        </w:rPr>
      </w:pPr>
      <w:r w:rsidRPr="00363448">
        <w:rPr>
          <w:rFonts w:ascii="Calibri" w:eastAsia="Times New Roman" w:hAnsi="Calibri" w:cs="Times New Roman"/>
          <w:color w:val="000000"/>
          <w:lang w:eastAsia="en-AU"/>
        </w:rPr>
        <w:t>Weir</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Allan</w:t>
      </w:r>
    </w:p>
    <w:p w14:paraId="71478B9F" w14:textId="16E8A8C6" w:rsidR="00BC561E" w:rsidRPr="00B8099F"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Williamson-Kefu</w:t>
      </w:r>
      <w:r w:rsidRPr="00E85F1F">
        <w:rPr>
          <w:rFonts w:ascii="Calibri" w:eastAsia="Times New Roman" w:hAnsi="Calibri" w:cs="Times New Roman"/>
          <w:color w:val="000000"/>
          <w:lang w:eastAsia="en-AU"/>
        </w:rPr>
        <w:t xml:space="preserve"> PhD,</w:t>
      </w:r>
      <w:r w:rsidRPr="00363448">
        <w:rPr>
          <w:rFonts w:ascii="Calibri" w:eastAsia="Times New Roman" w:hAnsi="Calibri" w:cs="Times New Roman"/>
          <w:color w:val="000000"/>
          <w:lang w:eastAsia="en-AU"/>
        </w:rPr>
        <w:t xml:space="preserve"> </w:t>
      </w:r>
      <w:r>
        <w:rPr>
          <w:rFonts w:ascii="Calibri" w:eastAsia="Times New Roman" w:hAnsi="Calibri" w:cs="Times New Roman"/>
          <w:color w:val="000000"/>
          <w:lang w:eastAsia="en-AU"/>
        </w:rPr>
        <w:t xml:space="preserve">Majon </w:t>
      </w:r>
      <w:r w:rsidR="006E2EF5">
        <w:rPr>
          <w:rFonts w:ascii="Calibri" w:eastAsia="Times New Roman" w:hAnsi="Calibri" w:cs="Times New Roman"/>
          <w:color w:val="000000"/>
          <w:lang w:eastAsia="en-AU"/>
        </w:rPr>
        <w:t>–</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Australians Together</w:t>
      </w:r>
    </w:p>
    <w:p w14:paraId="60C43CB5" w14:textId="7CB07D2A" w:rsidR="00BC561E" w:rsidRPr="00EF71B2" w:rsidRDefault="00BC561E" w:rsidP="00BC561E">
      <w:pPr>
        <w:spacing w:after="0" w:line="240" w:lineRule="auto"/>
        <w:rPr>
          <w:rFonts w:ascii="Calibri" w:eastAsia="Times New Roman" w:hAnsi="Calibri" w:cs="Times New Roman"/>
          <w:color w:val="000000"/>
          <w:lang w:eastAsia="en-AU"/>
        </w:rPr>
      </w:pPr>
      <w:r w:rsidRPr="00363448">
        <w:rPr>
          <w:rFonts w:ascii="Calibri" w:eastAsia="Times New Roman" w:hAnsi="Calibri" w:cs="Times New Roman"/>
          <w:color w:val="000000"/>
          <w:lang w:eastAsia="en-AU"/>
        </w:rPr>
        <w:t>Wilso</w:t>
      </w:r>
      <w:r w:rsidRPr="00EF71B2">
        <w:rPr>
          <w:rFonts w:ascii="Calibri" w:eastAsia="Times New Roman" w:hAnsi="Calibri" w:cs="Times New Roman"/>
          <w:color w:val="000000"/>
          <w:lang w:eastAsia="en-AU"/>
        </w:rPr>
        <w:t>n</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Assoc. Prof. Rachel</w:t>
      </w:r>
    </w:p>
    <w:p w14:paraId="6359E5F6" w14:textId="40ED97FB" w:rsidR="00BC561E" w:rsidRPr="00A70ED2" w:rsidRDefault="00BC561E" w:rsidP="00BC561E">
      <w:pPr>
        <w:spacing w:after="0" w:line="240" w:lineRule="auto"/>
        <w:rPr>
          <w:rFonts w:ascii="Calibri" w:eastAsia="Times New Roman" w:hAnsi="Calibri" w:cs="Times New Roman"/>
          <w:color w:val="000000"/>
          <w:lang w:eastAsia="en-AU"/>
        </w:rPr>
      </w:pPr>
      <w:r w:rsidRPr="00A70ED2">
        <w:rPr>
          <w:rFonts w:ascii="Calibri" w:eastAsia="Times New Roman" w:hAnsi="Calibri" w:cs="Times New Roman"/>
          <w:color w:val="000000"/>
          <w:lang w:eastAsia="en-AU"/>
        </w:rPr>
        <w:t>Wyatt-Smith,</w:t>
      </w:r>
      <w:r>
        <w:rPr>
          <w:rFonts w:ascii="Calibri" w:eastAsia="Times New Roman" w:hAnsi="Calibri" w:cs="Times New Roman"/>
          <w:color w:val="000000"/>
          <w:lang w:eastAsia="en-AU"/>
        </w:rPr>
        <w:t xml:space="preserve"> Professor Claire </w:t>
      </w:r>
      <w:r w:rsidR="006E2EF5">
        <w:rPr>
          <w:rFonts w:ascii="Calibri" w:eastAsia="Times New Roman" w:hAnsi="Calibri" w:cs="Times New Roman"/>
          <w:color w:val="000000"/>
          <w:lang w:eastAsia="en-AU"/>
        </w:rPr>
        <w:t>–</w:t>
      </w:r>
      <w:r w:rsidRPr="00A70ED2">
        <w:rPr>
          <w:rFonts w:ascii="Calibri" w:eastAsia="Times New Roman" w:hAnsi="Calibri" w:cs="Times New Roman"/>
          <w:color w:val="000000"/>
          <w:lang w:eastAsia="en-AU"/>
        </w:rPr>
        <w:t xml:space="preserve"> Institute for Learning Sciences and Teacher Education, Australian Catholic University</w:t>
      </w:r>
    </w:p>
    <w:p w14:paraId="0A431F4E" w14:textId="77777777" w:rsidR="00FA2D51" w:rsidRDefault="00BC561E" w:rsidP="00BC561E">
      <w:pPr>
        <w:spacing w:after="0" w:line="240" w:lineRule="auto"/>
        <w:rPr>
          <w:rFonts w:ascii="Calibri" w:eastAsia="Times New Roman" w:hAnsi="Calibri" w:cs="Times New Roman"/>
          <w:color w:val="000000"/>
          <w:lang w:eastAsia="en-AU"/>
        </w:rPr>
        <w:sectPr w:rsidR="00FA2D51" w:rsidSect="00421320">
          <w:type w:val="continuous"/>
          <w:pgSz w:w="11900" w:h="16840"/>
          <w:pgMar w:top="1552" w:right="1440" w:bottom="1440" w:left="1440" w:header="708" w:footer="708" w:gutter="0"/>
          <w:cols w:num="3" w:space="708"/>
          <w:docGrid w:linePitch="360"/>
        </w:sectPr>
      </w:pPr>
      <w:r w:rsidRPr="00363448">
        <w:rPr>
          <w:rFonts w:ascii="Calibri" w:eastAsia="Times New Roman" w:hAnsi="Calibri" w:cs="Times New Roman"/>
          <w:color w:val="000000"/>
          <w:lang w:eastAsia="en-AU"/>
        </w:rPr>
        <w:t>Zarzour</w:t>
      </w:r>
      <w:r>
        <w:rPr>
          <w:rFonts w:ascii="Calibri" w:eastAsia="Times New Roman" w:hAnsi="Calibri" w:cs="Times New Roman"/>
          <w:color w:val="000000"/>
          <w:lang w:eastAsia="en-AU"/>
        </w:rPr>
        <w:t xml:space="preserve">, </w:t>
      </w:r>
      <w:r w:rsidRPr="00363448">
        <w:rPr>
          <w:rFonts w:ascii="Calibri" w:eastAsia="Times New Roman" w:hAnsi="Calibri" w:cs="Times New Roman"/>
          <w:color w:val="000000"/>
          <w:lang w:eastAsia="en-AU"/>
        </w:rPr>
        <w:t>Elianor</w:t>
      </w:r>
    </w:p>
    <w:p w14:paraId="0AD7F206" w14:textId="29DFD034" w:rsidR="00BC561E" w:rsidRDefault="00BC561E" w:rsidP="00BC561E">
      <w:pPr>
        <w:spacing w:after="0" w:line="240" w:lineRule="auto"/>
        <w:rPr>
          <w:rFonts w:ascii="Calibri" w:eastAsia="Times New Roman" w:hAnsi="Calibri" w:cs="Times New Roman"/>
          <w:color w:val="000000"/>
          <w:lang w:eastAsia="en-AU"/>
        </w:rPr>
      </w:pPr>
    </w:p>
    <w:p w14:paraId="196C99FD" w14:textId="77777777" w:rsidR="00BC561E" w:rsidRDefault="00BC561E" w:rsidP="00BC561E">
      <w:pPr>
        <w:spacing w:after="0" w:line="240" w:lineRule="auto"/>
        <w:rPr>
          <w:rFonts w:ascii="Calibri" w:eastAsia="Times New Roman" w:hAnsi="Calibri" w:cs="Times New Roman"/>
          <w:color w:val="000000"/>
          <w:lang w:eastAsia="en-AU"/>
        </w:rPr>
      </w:pPr>
    </w:p>
    <w:p w14:paraId="4E61B5F8" w14:textId="77777777" w:rsidR="00FA2D51" w:rsidRDefault="00FA2D51" w:rsidP="00BC561E">
      <w:pPr>
        <w:spacing w:after="0" w:line="240" w:lineRule="auto"/>
        <w:rPr>
          <w:rFonts w:ascii="Calibri" w:eastAsia="Times New Roman" w:hAnsi="Calibri" w:cs="Times New Roman"/>
          <w:color w:val="000000"/>
          <w:lang w:eastAsia="en-AU"/>
        </w:rPr>
        <w:sectPr w:rsidR="00FA2D51" w:rsidSect="00421320">
          <w:type w:val="continuous"/>
          <w:pgSz w:w="11900" w:h="16840"/>
          <w:pgMar w:top="1552" w:right="1440" w:bottom="1440" w:left="1440" w:header="708" w:footer="708" w:gutter="0"/>
          <w:cols w:num="3" w:space="708"/>
          <w:docGrid w:linePitch="360"/>
        </w:sectPr>
      </w:pPr>
    </w:p>
    <w:p w14:paraId="765C2F29" w14:textId="4C14A098" w:rsidR="00BC561E" w:rsidRPr="00E20D9D" w:rsidRDefault="00BC561E" w:rsidP="00BC561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*Where an individual or organisation has made more than one submission they are only listed once.</w:t>
      </w:r>
    </w:p>
    <w:p w14:paraId="2098FCD6" w14:textId="77777777" w:rsidR="00FA2D51" w:rsidRDefault="00FA2D51" w:rsidP="00BC561E">
      <w:pPr>
        <w:spacing w:after="0" w:line="240" w:lineRule="auto"/>
        <w:rPr>
          <w:rFonts w:ascii="Calibri" w:eastAsia="Times New Roman" w:hAnsi="Calibri" w:cs="Times New Roman"/>
          <w:color w:val="000000"/>
          <w:lang w:eastAsia="en-AU"/>
        </w:rPr>
        <w:sectPr w:rsidR="00FA2D51" w:rsidSect="00FA2D51">
          <w:type w:val="continuous"/>
          <w:pgSz w:w="11900" w:h="16840"/>
          <w:pgMar w:top="1552" w:right="1440" w:bottom="1440" w:left="1440" w:header="708" w:footer="708" w:gutter="0"/>
          <w:cols w:space="708"/>
          <w:docGrid w:linePitch="360"/>
        </w:sectPr>
      </w:pPr>
    </w:p>
    <w:p w14:paraId="7101838B" w14:textId="77777777" w:rsidR="00BC561E" w:rsidRDefault="00BC561E" w:rsidP="00BC561E">
      <w:pPr>
        <w:spacing w:after="0" w:line="240" w:lineRule="auto"/>
        <w:rPr>
          <w:b/>
          <w:bCs/>
          <w:sz w:val="22"/>
          <w:szCs w:val="21"/>
        </w:rPr>
      </w:pPr>
      <w:r>
        <w:br w:type="page"/>
      </w:r>
    </w:p>
    <w:p w14:paraId="6F28D257" w14:textId="72AC67A3" w:rsidR="0094389D" w:rsidRDefault="001F41ED" w:rsidP="001F41ED">
      <w:pPr>
        <w:pStyle w:val="Heading3"/>
      </w:pPr>
      <w:r>
        <w:lastRenderedPageBreak/>
        <w:t xml:space="preserve">Appendix </w:t>
      </w:r>
      <w:r w:rsidR="00BC561E">
        <w:t>C</w:t>
      </w:r>
      <w:r>
        <w:t>: Stakeholder Meetings</w:t>
      </w:r>
    </w:p>
    <w:p w14:paraId="0F116825" w14:textId="77777777" w:rsidR="00B00746" w:rsidRDefault="00B00746" w:rsidP="00B0074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The Expert Panel held meetings with 83 stakeholders listed below.</w:t>
      </w:r>
    </w:p>
    <w:p w14:paraId="3FAB3BB2" w14:textId="77777777" w:rsidR="00B00746" w:rsidRDefault="00B00746" w:rsidP="00B00746">
      <w:pPr>
        <w:spacing w:after="0" w:line="240" w:lineRule="auto"/>
        <w:rPr>
          <w:rFonts w:ascii="Calibri" w:eastAsia="Times New Roman" w:hAnsi="Calibri" w:cs="Calibri"/>
          <w:color w:val="000000"/>
          <w:lang w:eastAsia="en-AU"/>
        </w:rPr>
      </w:pPr>
    </w:p>
    <w:p w14:paraId="4D6D5096" w14:textId="5DAFE32E" w:rsidR="00C26078" w:rsidRDefault="00C26078" w:rsidP="00B00746">
      <w:pPr>
        <w:spacing w:after="0" w:line="240" w:lineRule="auto"/>
        <w:rPr>
          <w:rFonts w:ascii="Calibri" w:eastAsia="Times New Roman" w:hAnsi="Calibri" w:cs="Calibri"/>
          <w:color w:val="000000"/>
          <w:lang w:eastAsia="en-AU"/>
        </w:rPr>
        <w:sectPr w:rsidR="00C26078" w:rsidSect="005D19A8">
          <w:type w:val="continuous"/>
          <w:pgSz w:w="11900" w:h="16840"/>
          <w:pgMar w:top="1552" w:right="1440" w:bottom="1440" w:left="1440" w:header="708" w:footer="708" w:gutter="0"/>
          <w:cols w:space="708"/>
          <w:docGrid w:linePitch="360"/>
        </w:sectPr>
      </w:pPr>
    </w:p>
    <w:p w14:paraId="6AB9AB16"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ACT Education Directorate</w:t>
      </w:r>
    </w:p>
    <w:p w14:paraId="6FE55D55"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ACT Teacher Quality Institute</w:t>
      </w:r>
    </w:p>
    <w:p w14:paraId="4D3A66C3"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AITSL Board</w:t>
      </w:r>
    </w:p>
    <w:p w14:paraId="54851B6F"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Alphacrucis College</w:t>
      </w:r>
    </w:p>
    <w:p w14:paraId="117A4DF0"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Asia Education Foundation</w:t>
      </w:r>
    </w:p>
    <w:p w14:paraId="1C0CB726"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Association of Heads of Independent Schools of Australia</w:t>
      </w:r>
    </w:p>
    <w:p w14:paraId="2EDAE0CE"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Association of Mathematics Teachers</w:t>
      </w:r>
    </w:p>
    <w:p w14:paraId="1DEF1AED"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Catholic Primary Principals Association</w:t>
      </w:r>
    </w:p>
    <w:p w14:paraId="78E8B2A3"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Council of Deans of Education</w:t>
      </w:r>
    </w:p>
    <w:p w14:paraId="121A0E6E"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Council of State School Organisations</w:t>
      </w:r>
    </w:p>
    <w:p w14:paraId="0CA84524"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Australian Curriculum, Assessment and Reporting Authority </w:t>
      </w:r>
    </w:p>
    <w:p w14:paraId="2E712BE1"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Education Union</w:t>
      </w:r>
    </w:p>
    <w:p w14:paraId="46AD1A40"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Educational Research Organisation</w:t>
      </w:r>
    </w:p>
    <w:p w14:paraId="79D4D5F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Institute for Teaching and School Leadership</w:t>
      </w:r>
    </w:p>
    <w:p w14:paraId="7521B1A8" w14:textId="77777777" w:rsidR="00B00746" w:rsidRPr="004122F2" w:rsidRDefault="00B00746" w:rsidP="00B00746">
      <w:pPr>
        <w:spacing w:after="0" w:line="240" w:lineRule="auto"/>
        <w:rPr>
          <w:rFonts w:ascii="Calibri" w:eastAsia="Times New Roman" w:hAnsi="Calibri" w:cs="Calibri"/>
          <w:color w:val="000000"/>
          <w:lang w:eastAsia="en-AU"/>
        </w:rPr>
      </w:pPr>
      <w:r w:rsidRPr="00E84830">
        <w:rPr>
          <w:rFonts w:ascii="Calibri" w:eastAsia="Times New Roman" w:hAnsi="Calibri" w:cs="Calibri"/>
          <w:color w:val="000000"/>
          <w:lang w:eastAsia="en-AU"/>
        </w:rPr>
        <w:t>Australian Institute of Aboriginal and Torres Strait Islander Studies</w:t>
      </w:r>
    </w:p>
    <w:p w14:paraId="28A97225"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Parents Council</w:t>
      </w:r>
    </w:p>
    <w:p w14:paraId="078CAF84"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Primary Principals Association</w:t>
      </w:r>
    </w:p>
    <w:p w14:paraId="3B3605AA"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Science Teachers Association</w:t>
      </w:r>
    </w:p>
    <w:p w14:paraId="228412C4"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Secondary Principals Association</w:t>
      </w:r>
    </w:p>
    <w:p w14:paraId="3FD0B20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Special Education Principals Association</w:t>
      </w:r>
    </w:p>
    <w:p w14:paraId="444ACC06"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Australian Teacher Education Association</w:t>
      </w:r>
    </w:p>
    <w:p w14:paraId="0481EA55"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Behavioural Economics Team of the Australian Government (BETA)</w:t>
      </w:r>
    </w:p>
    <w:p w14:paraId="070784CA"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Catholic School Parents Australia</w:t>
      </w:r>
    </w:p>
    <w:p w14:paraId="467DFEEB"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Catholic Secondary Principals Australia</w:t>
      </w:r>
    </w:p>
    <w:p w14:paraId="6AA9466D"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Centre for Program Evaluation, University of Melbourne </w:t>
      </w:r>
    </w:p>
    <w:p w14:paraId="7AFFA141"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Children's Ground</w:t>
      </w:r>
    </w:p>
    <w:p w14:paraId="3BDA3CC4" w14:textId="21437F84"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Deloitte</w:t>
      </w:r>
      <w:r w:rsidR="002E4253">
        <w:rPr>
          <w:rFonts w:ascii="Calibri" w:eastAsia="Times New Roman" w:hAnsi="Calibri" w:cs="Calibri"/>
          <w:color w:val="000000"/>
          <w:lang w:eastAsia="en-AU"/>
        </w:rPr>
        <w:t xml:space="preserve"> Access Economics </w:t>
      </w:r>
    </w:p>
    <w:p w14:paraId="3E59F24F"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Department for Education, South Australia</w:t>
      </w:r>
    </w:p>
    <w:p w14:paraId="1BB1A900"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Department of Education and Training Victoria</w:t>
      </w:r>
    </w:p>
    <w:p w14:paraId="09AD38D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Department of Education Northern Territory</w:t>
      </w:r>
    </w:p>
    <w:p w14:paraId="556A9A1F"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Department of Education, Tasmania</w:t>
      </w:r>
    </w:p>
    <w:p w14:paraId="75A7876D"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Department of Education, Western Australia</w:t>
      </w:r>
    </w:p>
    <w:p w14:paraId="37035D94" w14:textId="77777777" w:rsidR="00B00746" w:rsidRPr="004122F2" w:rsidRDefault="00B00746" w:rsidP="00B0074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The Hon </w:t>
      </w:r>
      <w:r w:rsidRPr="004122F2">
        <w:rPr>
          <w:rFonts w:ascii="Calibri" w:eastAsia="Times New Roman" w:hAnsi="Calibri" w:cs="Calibri"/>
          <w:color w:val="000000"/>
          <w:lang w:eastAsia="en-AU"/>
        </w:rPr>
        <w:t>Dr Andrew Leigh</w:t>
      </w:r>
      <w:r>
        <w:rPr>
          <w:rFonts w:ascii="Calibri" w:eastAsia="Times New Roman" w:hAnsi="Calibri" w:cs="Calibri"/>
          <w:color w:val="000000"/>
          <w:lang w:eastAsia="en-AU"/>
        </w:rPr>
        <w:t xml:space="preserve"> MP</w:t>
      </w:r>
    </w:p>
    <w:p w14:paraId="1729CFB5"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Dr Jennifer Buckingham</w:t>
      </w:r>
    </w:p>
    <w:p w14:paraId="3A121D88"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Dr Leanne Holt</w:t>
      </w:r>
    </w:p>
    <w:p w14:paraId="6403CEE2"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Education Services Australia </w:t>
      </w:r>
    </w:p>
    <w:p w14:paraId="0124A433"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H</w:t>
      </w:r>
      <w:r>
        <w:rPr>
          <w:rFonts w:ascii="Calibri" w:eastAsia="Times New Roman" w:hAnsi="Calibri" w:cs="Calibri"/>
          <w:color w:val="000000"/>
          <w:lang w:eastAsia="en-AU"/>
        </w:rPr>
        <w:t xml:space="preserve">ighly Accomplished and Lead Teachers Network </w:t>
      </w:r>
    </w:p>
    <w:p w14:paraId="75BBE1CF"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Independent Education Union</w:t>
      </w:r>
    </w:p>
    <w:p w14:paraId="43D2C5A0"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Independent Primary School Heads of Australia</w:t>
      </w:r>
    </w:p>
    <w:p w14:paraId="07F46112"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Independent Schools A</w:t>
      </w:r>
      <w:r>
        <w:rPr>
          <w:rFonts w:ascii="Calibri" w:eastAsia="Times New Roman" w:hAnsi="Calibri" w:cs="Calibri"/>
          <w:color w:val="000000"/>
          <w:lang w:eastAsia="en-AU"/>
        </w:rPr>
        <w:t>ustralia</w:t>
      </w:r>
    </w:p>
    <w:p w14:paraId="7AA892BC" w14:textId="77777777" w:rsidR="00C26078" w:rsidRDefault="00C26078" w:rsidP="00B00746">
      <w:pPr>
        <w:spacing w:after="0" w:line="240" w:lineRule="auto"/>
        <w:rPr>
          <w:rFonts w:ascii="Calibri" w:eastAsia="Times New Roman" w:hAnsi="Calibri" w:cs="Calibri"/>
          <w:color w:val="000000"/>
          <w:lang w:eastAsia="en-AU"/>
        </w:rPr>
      </w:pPr>
    </w:p>
    <w:p w14:paraId="468235A8" w14:textId="77777777" w:rsidR="00C26078" w:rsidRDefault="00C26078" w:rsidP="00B00746">
      <w:pPr>
        <w:spacing w:after="0" w:line="240" w:lineRule="auto"/>
        <w:rPr>
          <w:rFonts w:ascii="Calibri" w:eastAsia="Times New Roman" w:hAnsi="Calibri" w:cs="Calibri"/>
          <w:color w:val="000000"/>
          <w:lang w:eastAsia="en-AU"/>
        </w:rPr>
      </w:pPr>
    </w:p>
    <w:p w14:paraId="453CB021"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Institute for Learning, Sciences and Teacher Education (Australian Catholic University)</w:t>
      </w:r>
    </w:p>
    <w:p w14:paraId="443DAB7E" w14:textId="62570712"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Institute of Education, University College London (U</w:t>
      </w:r>
      <w:r w:rsidR="000E673F">
        <w:rPr>
          <w:rFonts w:ascii="Calibri" w:eastAsia="Times New Roman" w:hAnsi="Calibri" w:cs="Calibri"/>
          <w:color w:val="000000"/>
          <w:lang w:eastAsia="en-AU"/>
        </w:rPr>
        <w:t xml:space="preserve">nited </w:t>
      </w:r>
      <w:r w:rsidRPr="004122F2">
        <w:rPr>
          <w:rFonts w:ascii="Calibri" w:eastAsia="Times New Roman" w:hAnsi="Calibri" w:cs="Calibri"/>
          <w:color w:val="000000"/>
          <w:lang w:eastAsia="en-AU"/>
        </w:rPr>
        <w:t>K</w:t>
      </w:r>
      <w:r w:rsidR="000E673F">
        <w:rPr>
          <w:rFonts w:ascii="Calibri" w:eastAsia="Times New Roman" w:hAnsi="Calibri" w:cs="Calibri"/>
          <w:color w:val="000000"/>
          <w:lang w:eastAsia="en-AU"/>
        </w:rPr>
        <w:t>ingdom</w:t>
      </w:r>
      <w:r w:rsidRPr="004122F2">
        <w:rPr>
          <w:rFonts w:ascii="Calibri" w:eastAsia="Times New Roman" w:hAnsi="Calibri" w:cs="Calibri"/>
          <w:color w:val="000000"/>
          <w:lang w:eastAsia="en-AU"/>
        </w:rPr>
        <w:t xml:space="preserve">) </w:t>
      </w:r>
    </w:p>
    <w:p w14:paraId="0CE8E1E2"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Isolated Children's Parents' Association</w:t>
      </w:r>
    </w:p>
    <w:p w14:paraId="5D2E5E2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La Trobe University </w:t>
      </w:r>
    </w:p>
    <w:p w14:paraId="56DF3A8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Laureate Professor Jenny Gore </w:t>
      </w:r>
    </w:p>
    <w:p w14:paraId="4CD58C56"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Lutheran Education Australia</w:t>
      </w:r>
    </w:p>
    <w:p w14:paraId="37758EAB"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Mr David Gonski AC</w:t>
      </w:r>
    </w:p>
    <w:p w14:paraId="33EEFE47"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Mr Leon Epong </w:t>
      </w:r>
    </w:p>
    <w:p w14:paraId="729DC08F"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Mr Mark Scott AO</w:t>
      </w:r>
    </w:p>
    <w:p w14:paraId="28F114D4"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Ms Chanel Contos</w:t>
      </w:r>
    </w:p>
    <w:p w14:paraId="43B8CBA1" w14:textId="77777777" w:rsidR="00B00746"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National Aboriginal and Torres Strait Islander Principals Association</w:t>
      </w:r>
    </w:p>
    <w:p w14:paraId="2368A553"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National Catholic Education Commission</w:t>
      </w:r>
    </w:p>
    <w:p w14:paraId="009B1FB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National Skills Commission</w:t>
      </w:r>
    </w:p>
    <w:p w14:paraId="5A1CA305"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NSW Department of Education</w:t>
      </w:r>
    </w:p>
    <w:p w14:paraId="17A6D41B"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NSW Educational Standards Authority</w:t>
      </w:r>
    </w:p>
    <w:p w14:paraId="7623D437"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Paul Ramsay Foundation (Roundtable)</w:t>
      </w:r>
    </w:p>
    <w:p w14:paraId="57913BF6"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Productivity Commission</w:t>
      </w:r>
    </w:p>
    <w:p w14:paraId="79B6417A"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Professor Field Rickards</w:t>
      </w:r>
    </w:p>
    <w:p w14:paraId="5FFAE1D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Professor James Tognolini</w:t>
      </w:r>
    </w:p>
    <w:p w14:paraId="36B73DD7"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Professor Janet Clinton</w:t>
      </w:r>
    </w:p>
    <w:p w14:paraId="2ECC2C2F"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Professor Mark Rose </w:t>
      </w:r>
    </w:p>
    <w:p w14:paraId="69C7E110"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Professor Peter Anderson </w:t>
      </w:r>
    </w:p>
    <w:p w14:paraId="3412026C"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Professor Phil Riley</w:t>
      </w:r>
    </w:p>
    <w:p w14:paraId="31F3BA62"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Professor Ruth Wallace </w:t>
      </w:r>
    </w:p>
    <w:p w14:paraId="6E421093"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Professor Tania Aspland</w:t>
      </w:r>
    </w:p>
    <w:p w14:paraId="7782C27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Professor Zane Diamond </w:t>
      </w:r>
    </w:p>
    <w:p w14:paraId="6E6B8B86"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Queensland College of Teachers</w:t>
      </w:r>
    </w:p>
    <w:p w14:paraId="2ED47F5A"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Queensland Department of Education</w:t>
      </w:r>
    </w:p>
    <w:p w14:paraId="29267A4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Regional Universities Network</w:t>
      </w:r>
    </w:p>
    <w:p w14:paraId="442E0D26"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Schools Plus</w:t>
      </w:r>
    </w:p>
    <w:p w14:paraId="35BB415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Senator the Hon Bridget McKenzie</w:t>
      </w:r>
    </w:p>
    <w:p w14:paraId="6BC6C54D" w14:textId="637F7940"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Sheffield Institute of Education (U</w:t>
      </w:r>
      <w:r w:rsidR="000E673F">
        <w:rPr>
          <w:rFonts w:ascii="Calibri" w:eastAsia="Times New Roman" w:hAnsi="Calibri" w:cs="Calibri"/>
          <w:color w:val="000000"/>
          <w:lang w:eastAsia="en-AU"/>
        </w:rPr>
        <w:t xml:space="preserve">nited </w:t>
      </w:r>
      <w:r w:rsidRPr="004122F2">
        <w:rPr>
          <w:rFonts w:ascii="Calibri" w:eastAsia="Times New Roman" w:hAnsi="Calibri" w:cs="Calibri"/>
          <w:color w:val="000000"/>
          <w:lang w:eastAsia="en-AU"/>
        </w:rPr>
        <w:t>K</w:t>
      </w:r>
      <w:r w:rsidR="000E673F">
        <w:rPr>
          <w:rFonts w:ascii="Calibri" w:eastAsia="Times New Roman" w:hAnsi="Calibri" w:cs="Calibri"/>
          <w:color w:val="000000"/>
          <w:lang w:eastAsia="en-AU"/>
        </w:rPr>
        <w:t>ingdom</w:t>
      </w:r>
      <w:r w:rsidRPr="004122F2">
        <w:rPr>
          <w:rFonts w:ascii="Calibri" w:eastAsia="Times New Roman" w:hAnsi="Calibri" w:cs="Calibri"/>
          <w:color w:val="000000"/>
          <w:lang w:eastAsia="en-AU"/>
        </w:rPr>
        <w:t xml:space="preserve">) </w:t>
      </w:r>
    </w:p>
    <w:p w14:paraId="438C103C"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Teach For Australia</w:t>
      </w:r>
    </w:p>
    <w:p w14:paraId="6F57B1F9"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Teacher Registration Board of the Northern Territory</w:t>
      </w:r>
    </w:p>
    <w:p w14:paraId="1253980B"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Teacher Registration Board of Western Australia</w:t>
      </w:r>
    </w:p>
    <w:p w14:paraId="2BFC97C4"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Teachers Registration Board of South Australia</w:t>
      </w:r>
    </w:p>
    <w:p w14:paraId="145715C5"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Teachers Registration Board of Tasmania</w:t>
      </w:r>
    </w:p>
    <w:p w14:paraId="6BEAD8B1"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The Hon Adrian Piccoli</w:t>
      </w:r>
    </w:p>
    <w:p w14:paraId="2B87EBFF"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The Hon Dr Brendan Nelson AO</w:t>
      </w:r>
    </w:p>
    <w:p w14:paraId="18756C7B"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The Hon Ken Wyatt AM, MP</w:t>
      </w:r>
    </w:p>
    <w:p w14:paraId="6BCF722A"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Universities Australia</w:t>
      </w:r>
    </w:p>
    <w:p w14:paraId="105B9A0A"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 xml:space="preserve">University of Tasmania </w:t>
      </w:r>
    </w:p>
    <w:p w14:paraId="253130F3" w14:textId="77777777" w:rsidR="00B00746" w:rsidRPr="004122F2" w:rsidRDefault="00B00746" w:rsidP="00B00746">
      <w:pPr>
        <w:spacing w:after="0" w:line="240" w:lineRule="auto"/>
        <w:rPr>
          <w:rFonts w:ascii="Calibri" w:eastAsia="Times New Roman" w:hAnsi="Calibri" w:cs="Calibri"/>
          <w:color w:val="000000"/>
          <w:lang w:eastAsia="en-AU"/>
        </w:rPr>
      </w:pPr>
      <w:r w:rsidRPr="004122F2">
        <w:rPr>
          <w:rFonts w:ascii="Calibri" w:eastAsia="Times New Roman" w:hAnsi="Calibri" w:cs="Calibri"/>
          <w:color w:val="000000"/>
          <w:lang w:eastAsia="en-AU"/>
        </w:rPr>
        <w:t>Victorian Institute of Teaching</w:t>
      </w:r>
    </w:p>
    <w:p w14:paraId="258D0E92" w14:textId="01C35883" w:rsidR="001F41ED" w:rsidRDefault="00E96E00" w:rsidP="0094389D">
      <w:r>
        <w:br w:type="page"/>
      </w:r>
    </w:p>
    <w:p w14:paraId="65BAD1FF" w14:textId="77777777" w:rsidR="00B00746" w:rsidRDefault="00B00746" w:rsidP="001F41ED">
      <w:pPr>
        <w:pStyle w:val="Heading3"/>
        <w:sectPr w:rsidR="00B00746" w:rsidSect="00B00746">
          <w:type w:val="continuous"/>
          <w:pgSz w:w="11900" w:h="16840"/>
          <w:pgMar w:top="1552" w:right="1440" w:bottom="1440" w:left="1440" w:header="708" w:footer="708" w:gutter="0"/>
          <w:cols w:num="2" w:space="708"/>
          <w:docGrid w:linePitch="360"/>
        </w:sectPr>
      </w:pPr>
    </w:p>
    <w:p w14:paraId="6EDA35BF" w14:textId="3E391B77" w:rsidR="00BC561E" w:rsidRPr="0068045E" w:rsidRDefault="00BC561E" w:rsidP="00BC561E">
      <w:pPr>
        <w:pStyle w:val="Heading3"/>
      </w:pPr>
      <w:r>
        <w:lastRenderedPageBreak/>
        <w:t>Appendix D:</w:t>
      </w:r>
      <w:r w:rsidRPr="00EC4B9B">
        <w:t xml:space="preserve"> </w:t>
      </w:r>
      <w:r w:rsidRPr="0068045E">
        <w:t>Consultation and Engagement</w:t>
      </w:r>
      <w:r>
        <w:t xml:space="preserve"> and Summary </w:t>
      </w:r>
    </w:p>
    <w:p w14:paraId="444CDCD8" w14:textId="77777777" w:rsidR="00BC561E" w:rsidRDefault="00BC561E" w:rsidP="00BC561E">
      <w:r>
        <w:t>Stakeholder mapping identified three broad stakeholder categories:</w:t>
      </w:r>
    </w:p>
    <w:tbl>
      <w:tblPr>
        <w:tblStyle w:val="TableGrid"/>
        <w:tblW w:w="0" w:type="auto"/>
        <w:tblLook w:val="04A0" w:firstRow="1" w:lastRow="0" w:firstColumn="1" w:lastColumn="0" w:noHBand="0" w:noVBand="1"/>
      </w:tblPr>
      <w:tblGrid>
        <w:gridCol w:w="2121"/>
        <w:gridCol w:w="6889"/>
      </w:tblGrid>
      <w:tr w:rsidR="00BC561E" w:rsidRPr="0068045E" w14:paraId="34F7564D" w14:textId="77777777" w:rsidTr="002C04F8">
        <w:tc>
          <w:tcPr>
            <w:tcW w:w="2122" w:type="dxa"/>
            <w:shd w:val="clear" w:color="auto" w:fill="B4C6E7" w:themeFill="accent1" w:themeFillTint="66"/>
            <w:vAlign w:val="center"/>
          </w:tcPr>
          <w:p w14:paraId="53C11911" w14:textId="77777777" w:rsidR="00BC561E" w:rsidRPr="0068045E" w:rsidRDefault="00BC561E" w:rsidP="002C04F8">
            <w:pPr>
              <w:jc w:val="center"/>
              <w:rPr>
                <w:b/>
                <w:bCs/>
              </w:rPr>
            </w:pPr>
            <w:r w:rsidRPr="0068045E">
              <w:rPr>
                <w:b/>
                <w:bCs/>
              </w:rPr>
              <w:t>Education sector stakeholders</w:t>
            </w:r>
          </w:p>
        </w:tc>
        <w:tc>
          <w:tcPr>
            <w:tcW w:w="6894" w:type="dxa"/>
          </w:tcPr>
          <w:p w14:paraId="31EB8FC5" w14:textId="3D0F2501" w:rsidR="00BC561E" w:rsidRPr="0068045E" w:rsidRDefault="00BC561E" w:rsidP="00FA2D51">
            <w:pPr>
              <w:spacing w:after="0"/>
            </w:pPr>
            <w:r w:rsidRPr="0068045E">
              <w:t xml:space="preserve">State and territory education departments and </w:t>
            </w:r>
            <w:r w:rsidR="00767D21">
              <w:t>T</w:t>
            </w:r>
            <w:r w:rsidR="00767D21" w:rsidRPr="0068045E">
              <w:t xml:space="preserve">eacher </w:t>
            </w:r>
            <w:r w:rsidR="00767D21">
              <w:t>R</w:t>
            </w:r>
            <w:r w:rsidR="00767D21" w:rsidRPr="0068045E">
              <w:t xml:space="preserve">egulatory </w:t>
            </w:r>
            <w:r w:rsidR="00767D21">
              <w:t>A</w:t>
            </w:r>
            <w:r w:rsidR="00767D21" w:rsidRPr="0068045E">
              <w:t>uthorities</w:t>
            </w:r>
            <w:r w:rsidRPr="0068045E">
              <w:t>, independent and Catholic school sectors, higher education providers, education peak bodies and associations, professional associations, unions</w:t>
            </w:r>
            <w:r w:rsidR="00FA2D51">
              <w:t>.</w:t>
            </w:r>
          </w:p>
        </w:tc>
      </w:tr>
      <w:tr w:rsidR="00BC561E" w:rsidRPr="0068045E" w14:paraId="0E9B622E" w14:textId="77777777" w:rsidTr="002C04F8">
        <w:tc>
          <w:tcPr>
            <w:tcW w:w="2122" w:type="dxa"/>
            <w:shd w:val="clear" w:color="auto" w:fill="B4C6E7" w:themeFill="accent1" w:themeFillTint="66"/>
            <w:vAlign w:val="center"/>
          </w:tcPr>
          <w:p w14:paraId="0FB6AABB" w14:textId="77777777" w:rsidR="00BC561E" w:rsidRPr="0068045E" w:rsidRDefault="00BC561E" w:rsidP="002C04F8">
            <w:pPr>
              <w:jc w:val="center"/>
              <w:rPr>
                <w:b/>
                <w:bCs/>
              </w:rPr>
            </w:pPr>
            <w:r w:rsidRPr="0068045E">
              <w:rPr>
                <w:b/>
                <w:bCs/>
              </w:rPr>
              <w:t>System users</w:t>
            </w:r>
          </w:p>
        </w:tc>
        <w:tc>
          <w:tcPr>
            <w:tcW w:w="6894" w:type="dxa"/>
          </w:tcPr>
          <w:p w14:paraId="6DC08AD8" w14:textId="090B6584" w:rsidR="00BC561E" w:rsidRPr="0068045E" w:rsidRDefault="00BC561E" w:rsidP="00FA2D51">
            <w:pPr>
              <w:spacing w:after="0"/>
            </w:pPr>
            <w:r w:rsidRPr="0068045E">
              <w:t>Teachers and principals, I</w:t>
            </w:r>
            <w:r w:rsidR="00643053">
              <w:t xml:space="preserve">nitial </w:t>
            </w:r>
            <w:r w:rsidRPr="0068045E">
              <w:t>T</w:t>
            </w:r>
            <w:r w:rsidR="00643053">
              <w:t xml:space="preserve">eacher </w:t>
            </w:r>
            <w:r w:rsidRPr="0068045E">
              <w:t>E</w:t>
            </w:r>
            <w:r w:rsidR="00643053">
              <w:t>ducation (</w:t>
            </w:r>
            <w:r w:rsidRPr="0068045E">
              <w:t>ITE</w:t>
            </w:r>
            <w:r w:rsidR="00643053">
              <w:t>)</w:t>
            </w:r>
            <w:r w:rsidRPr="0068045E">
              <w:t xml:space="preserve"> students, ITE student pipeline (senior secondary students and mid-career professionals), school students and their parents</w:t>
            </w:r>
            <w:r w:rsidR="00FA2D51">
              <w:t>.</w:t>
            </w:r>
          </w:p>
        </w:tc>
      </w:tr>
      <w:tr w:rsidR="00BC561E" w:rsidRPr="0068045E" w14:paraId="7B2D9C95" w14:textId="77777777" w:rsidTr="002C04F8">
        <w:tc>
          <w:tcPr>
            <w:tcW w:w="2122" w:type="dxa"/>
            <w:shd w:val="clear" w:color="auto" w:fill="B4C6E7" w:themeFill="accent1" w:themeFillTint="66"/>
            <w:vAlign w:val="center"/>
          </w:tcPr>
          <w:p w14:paraId="7A122CCA" w14:textId="77777777" w:rsidR="00BC561E" w:rsidRPr="0068045E" w:rsidRDefault="00BC561E" w:rsidP="002C04F8">
            <w:pPr>
              <w:jc w:val="center"/>
              <w:rPr>
                <w:b/>
                <w:bCs/>
              </w:rPr>
            </w:pPr>
            <w:r w:rsidRPr="0068045E">
              <w:rPr>
                <w:b/>
                <w:bCs/>
              </w:rPr>
              <w:t>Experts and insights</w:t>
            </w:r>
          </w:p>
        </w:tc>
        <w:tc>
          <w:tcPr>
            <w:tcW w:w="6894" w:type="dxa"/>
          </w:tcPr>
          <w:p w14:paraId="264D366C" w14:textId="15423DBD" w:rsidR="00BC561E" w:rsidRPr="0068045E" w:rsidRDefault="00BC561E" w:rsidP="00FA2D51">
            <w:pPr>
              <w:spacing w:after="0"/>
            </w:pPr>
            <w:r w:rsidRPr="0068045E">
              <w:t>Academics and researchers, data specialists, non-government organisations</w:t>
            </w:r>
            <w:r>
              <w:t xml:space="preserve">, </w:t>
            </w:r>
            <w:r w:rsidR="00B66A3F">
              <w:t>Aboriginal and Torres Strait Islander</w:t>
            </w:r>
            <w:r>
              <w:t xml:space="preserve"> education experts and other stakeholders from a variety of relevant fields</w:t>
            </w:r>
            <w:r w:rsidR="00FA2D51">
              <w:t>.</w:t>
            </w:r>
          </w:p>
        </w:tc>
      </w:tr>
    </w:tbl>
    <w:p w14:paraId="1FDCE7AF" w14:textId="77777777" w:rsidR="00BC561E" w:rsidRDefault="00BC561E" w:rsidP="00FA2D51">
      <w:pPr>
        <w:spacing w:after="0"/>
      </w:pPr>
      <w:r w:rsidRPr="0068045E">
        <w:t> </w:t>
      </w:r>
    </w:p>
    <w:p w14:paraId="78B0D93F" w14:textId="77777777" w:rsidR="00BC561E" w:rsidRPr="0068045E" w:rsidRDefault="00BC561E" w:rsidP="00FA2D51">
      <w:pPr>
        <w:spacing w:after="0"/>
      </w:pPr>
      <w:r w:rsidRPr="0068045E">
        <w:t>Public consultation was structured around two key objectives:</w:t>
      </w:r>
    </w:p>
    <w:p w14:paraId="338B3A54" w14:textId="07D9AD6C" w:rsidR="00BC561E" w:rsidRPr="0068045E" w:rsidRDefault="00BC561E" w:rsidP="00F66D2A">
      <w:pPr>
        <w:pStyle w:val="ListParagraph"/>
        <w:numPr>
          <w:ilvl w:val="0"/>
          <w:numId w:val="30"/>
        </w:numPr>
        <w:spacing w:after="160" w:line="259" w:lineRule="auto"/>
      </w:pPr>
      <w:r w:rsidRPr="0068045E">
        <w:t>Information</w:t>
      </w:r>
      <w:r w:rsidR="006E2EF5">
        <w:t xml:space="preserve"> </w:t>
      </w:r>
      <w:r w:rsidRPr="0068045E">
        <w:t>gathering and defining the issues</w:t>
      </w:r>
    </w:p>
    <w:p w14:paraId="7F49667A" w14:textId="29474BC3" w:rsidR="00BC561E" w:rsidRPr="0068045E" w:rsidRDefault="00BC561E" w:rsidP="00F66D2A">
      <w:pPr>
        <w:pStyle w:val="ListParagraph"/>
        <w:numPr>
          <w:ilvl w:val="0"/>
          <w:numId w:val="30"/>
        </w:numPr>
        <w:spacing w:after="160" w:line="259" w:lineRule="auto"/>
      </w:pPr>
      <w:r w:rsidRPr="0068045E">
        <w:t xml:space="preserve">Problem solving and </w:t>
      </w:r>
      <w:r>
        <w:t>developing solutions</w:t>
      </w:r>
      <w:r w:rsidR="00FA2D51">
        <w:t>.</w:t>
      </w:r>
      <w:r>
        <w:t xml:space="preserve"> </w:t>
      </w:r>
    </w:p>
    <w:p w14:paraId="3DED5ED7" w14:textId="77777777" w:rsidR="00BC561E" w:rsidRDefault="00BC561E" w:rsidP="00CD1FEB">
      <w:pPr>
        <w:spacing w:after="0"/>
        <w:rPr>
          <w:b/>
          <w:bCs/>
        </w:rPr>
      </w:pPr>
      <w:r>
        <w:rPr>
          <w:b/>
          <w:bCs/>
        </w:rPr>
        <w:t>Submission Process</w:t>
      </w:r>
    </w:p>
    <w:p w14:paraId="565C3625" w14:textId="62A51891" w:rsidR="00BC561E" w:rsidRPr="00E04E54" w:rsidRDefault="00BC561E" w:rsidP="00BC561E">
      <w:r>
        <w:t xml:space="preserve">Following the release of the Discussion Paper, the submissions process ran from 19 June to 18 July 2021. 242 written submissions were received from organisations and individuals. The submissions process sought to explore and </w:t>
      </w:r>
      <w:r w:rsidRPr="0068045E">
        <w:t xml:space="preserve">understand the experiences and perspectives of a wide range of stakeholders in response to questions identified in the Discussion Paper. </w:t>
      </w:r>
    </w:p>
    <w:p w14:paraId="2A9613B1" w14:textId="77777777" w:rsidR="00BC561E" w:rsidRDefault="00BC561E" w:rsidP="00CD1FEB">
      <w:pPr>
        <w:spacing w:after="0"/>
        <w:rPr>
          <w:b/>
          <w:bCs/>
        </w:rPr>
      </w:pPr>
      <w:r>
        <w:rPr>
          <w:b/>
          <w:bCs/>
        </w:rPr>
        <w:t xml:space="preserve">Public consultation activities </w:t>
      </w:r>
    </w:p>
    <w:p w14:paraId="5A7E3681" w14:textId="77777777" w:rsidR="00BC561E" w:rsidRDefault="00BC561E" w:rsidP="00CD1FEB">
      <w:bookmarkStart w:id="61" w:name="_Hlk83647131"/>
      <w:r>
        <w:t xml:space="preserve">In addition to the submission process, the Expert Panel engaged in a number of public consultation activities from May to August 2021 to ensure the views of teachers and principals, ITE students, people considering making a change to a career in teaching and other interested parties were represented. </w:t>
      </w:r>
    </w:p>
    <w:p w14:paraId="36FDDE76" w14:textId="77777777" w:rsidR="00BC561E" w:rsidRPr="003D434D" w:rsidRDefault="00BC561E" w:rsidP="00CD1FEB">
      <w:pPr>
        <w:spacing w:after="0"/>
        <w:rPr>
          <w:i/>
          <w:iCs/>
          <w:color w:val="1F3864" w:themeColor="accent1" w:themeShade="80"/>
        </w:rPr>
      </w:pPr>
      <w:r w:rsidRPr="003D434D">
        <w:rPr>
          <w:i/>
          <w:iCs/>
          <w:color w:val="1F3864" w:themeColor="accent1" w:themeShade="80"/>
        </w:rPr>
        <w:t>Webinars</w:t>
      </w:r>
    </w:p>
    <w:p w14:paraId="444C286A" w14:textId="77777777" w:rsidR="00BC561E" w:rsidRDefault="00BC561E" w:rsidP="00CD1FEB">
      <w:r w:rsidRPr="00374B29">
        <w:t>Two live webinars were conducted via Zoom</w:t>
      </w:r>
      <w:r>
        <w:t xml:space="preserve"> using the</w:t>
      </w:r>
      <w:r w:rsidRPr="00374B29">
        <w:t xml:space="preserve"> interactive engagement tool Mentimeter</w:t>
      </w:r>
      <w:r>
        <w:t xml:space="preserve"> to allow participants to comment on the Review’s key focus areas. </w:t>
      </w:r>
    </w:p>
    <w:p w14:paraId="38B7324A" w14:textId="77777777" w:rsidR="00BC561E" w:rsidRPr="00374B29" w:rsidRDefault="00BC561E" w:rsidP="00CD1FEB">
      <w:r w:rsidRPr="00374B29">
        <w:t>In response to audience feedback from the first webinar, the second webinar included the opportunity for participants to ask questions via the Zoom Q&amp;A function to be answered by the Expert Panel.</w:t>
      </w:r>
    </w:p>
    <w:p w14:paraId="67111B2B" w14:textId="77777777" w:rsidR="00BC561E" w:rsidRPr="003D434D" w:rsidRDefault="00BC561E" w:rsidP="00CD1FEB">
      <w:pPr>
        <w:spacing w:after="0"/>
        <w:rPr>
          <w:i/>
          <w:iCs/>
          <w:color w:val="1F3864" w:themeColor="accent1" w:themeShade="80"/>
        </w:rPr>
      </w:pPr>
      <w:r w:rsidRPr="003D434D">
        <w:rPr>
          <w:i/>
          <w:iCs/>
          <w:color w:val="1F3864" w:themeColor="accent1" w:themeShade="80"/>
        </w:rPr>
        <w:t>Focus Groups</w:t>
      </w:r>
    </w:p>
    <w:p w14:paraId="164C3C1B" w14:textId="77777777" w:rsidR="00BC561E" w:rsidRDefault="00BC561E" w:rsidP="00CD1FEB">
      <w:pPr>
        <w:rPr>
          <w:i/>
          <w:iCs/>
        </w:rPr>
      </w:pPr>
      <w:r>
        <w:t>Small focus groups were conducted to facilitate targeted discussion with key audiences. Focus groups explored issues such as</w:t>
      </w:r>
      <w:r w:rsidRPr="0068045E">
        <w:t xml:space="preserve"> barriers and motivat</w:t>
      </w:r>
      <w:r>
        <w:t>ors</w:t>
      </w:r>
      <w:r w:rsidRPr="0068045E">
        <w:t xml:space="preserve"> </w:t>
      </w:r>
      <w:r>
        <w:t>to becoming a</w:t>
      </w:r>
      <w:r w:rsidRPr="0068045E">
        <w:t xml:space="preserve"> teacher</w:t>
      </w:r>
      <w:r>
        <w:t xml:space="preserve"> and what a</w:t>
      </w:r>
      <w:r w:rsidRPr="0068045E">
        <w:t xml:space="preserve"> highly effective ITE experience might look like</w:t>
      </w:r>
      <w:r>
        <w:t xml:space="preserve">. </w:t>
      </w:r>
    </w:p>
    <w:p w14:paraId="05AA987A" w14:textId="77777777" w:rsidR="00BC561E" w:rsidRDefault="00BC561E" w:rsidP="00CD1FEB">
      <w:pPr>
        <w:keepNext/>
        <w:spacing w:after="0"/>
        <w:rPr>
          <w:i/>
          <w:iCs/>
        </w:rPr>
      </w:pPr>
      <w:r w:rsidRPr="003D434D">
        <w:rPr>
          <w:i/>
          <w:iCs/>
          <w:color w:val="1F3864" w:themeColor="accent1" w:themeShade="80"/>
        </w:rPr>
        <w:t>Surveys</w:t>
      </w:r>
    </w:p>
    <w:p w14:paraId="7CA82A6D" w14:textId="46F75439" w:rsidR="00BC561E" w:rsidRDefault="00BC561E" w:rsidP="00CD1FEB">
      <w:r>
        <w:t xml:space="preserve">Online surveys were conducted to capture insights from senior secondary students (survey 1) and key audience groups including graduates of </w:t>
      </w:r>
      <w:r w:rsidR="00B9587F">
        <w:t>ITE</w:t>
      </w:r>
      <w:r>
        <w:t xml:space="preserve">, teachers and school leaders, teacher educators and people considering pursuing a career as a teacher (survey 2). </w:t>
      </w:r>
    </w:p>
    <w:p w14:paraId="5A709AF2" w14:textId="2FEB05C1" w:rsidR="00BC561E" w:rsidRPr="00374B29" w:rsidRDefault="00BC561E" w:rsidP="00CD1FEB">
      <w:r>
        <w:t>Surveys addressed a range of topics, including incentives to attract high-achieving young people and mid</w:t>
      </w:r>
      <w:r w:rsidR="006E2EF5">
        <w:noBreakHyphen/>
      </w:r>
      <w:r>
        <w:t xml:space="preserve">career professionals, ITE course content and delivery and </w:t>
      </w:r>
      <w:r w:rsidRPr="00374B29">
        <w:t>support for early career teachers</w:t>
      </w:r>
      <w:r>
        <w:t xml:space="preserve">. </w:t>
      </w:r>
    </w:p>
    <w:p w14:paraId="69231339" w14:textId="77777777" w:rsidR="00CD1FEB" w:rsidRDefault="00CD1FEB">
      <w:pPr>
        <w:spacing w:after="0" w:line="240" w:lineRule="auto"/>
        <w:rPr>
          <w:i/>
          <w:iCs/>
          <w:color w:val="1F3864" w:themeColor="accent1" w:themeShade="80"/>
        </w:rPr>
      </w:pPr>
      <w:r>
        <w:rPr>
          <w:i/>
          <w:iCs/>
          <w:color w:val="1F3864" w:themeColor="accent1" w:themeShade="80"/>
        </w:rPr>
        <w:br w:type="page"/>
      </w:r>
    </w:p>
    <w:p w14:paraId="2CF51FCA" w14:textId="1A0FBF1A" w:rsidR="00BC561E" w:rsidRPr="003D434D" w:rsidRDefault="00BC561E" w:rsidP="00CD1FEB">
      <w:pPr>
        <w:spacing w:after="0"/>
        <w:rPr>
          <w:i/>
          <w:iCs/>
          <w:color w:val="1F3864" w:themeColor="accent1" w:themeShade="80"/>
        </w:rPr>
      </w:pPr>
      <w:r w:rsidRPr="003D434D">
        <w:rPr>
          <w:i/>
          <w:iCs/>
          <w:color w:val="1F3864" w:themeColor="accent1" w:themeShade="80"/>
        </w:rPr>
        <w:lastRenderedPageBreak/>
        <w:t>Workshop</w:t>
      </w:r>
    </w:p>
    <w:p w14:paraId="52D1551C" w14:textId="77777777" w:rsidR="00BC561E" w:rsidRDefault="00BC561E" w:rsidP="00BC561E">
      <w:r w:rsidRPr="00374B29">
        <w:t xml:space="preserve">A collaborative workshop was </w:t>
      </w:r>
      <w:r>
        <w:t>held to</w:t>
      </w:r>
      <w:r w:rsidRPr="00374B29">
        <w:t xml:space="preserve"> consult with teachers and ITE students on common system-level issues and generate ideas for how these barriers could be overcome. Participants </w:t>
      </w:r>
      <w:r>
        <w:t>discussed how to raise the status of the teaching profession, optimal models of ITE course delivery and effective ITE course content.</w:t>
      </w:r>
    </w:p>
    <w:bookmarkEnd w:id="61"/>
    <w:p w14:paraId="43BAED03" w14:textId="77777777" w:rsidR="00BC561E" w:rsidRPr="003D434D" w:rsidRDefault="00BC561E" w:rsidP="00FA2D51">
      <w:pPr>
        <w:spacing w:after="0"/>
        <w:rPr>
          <w:i/>
          <w:iCs/>
          <w:color w:val="1F3864" w:themeColor="accent1" w:themeShade="80"/>
        </w:rPr>
      </w:pPr>
      <w:r w:rsidRPr="003D434D">
        <w:rPr>
          <w:i/>
          <w:iCs/>
          <w:color w:val="1F3864" w:themeColor="accent1" w:themeShade="80"/>
        </w:rPr>
        <w:t>Consultation outcomes</w:t>
      </w:r>
    </w:p>
    <w:p w14:paraId="75235DC2" w14:textId="2ED18E25" w:rsidR="00BC561E" w:rsidRDefault="00BC561E" w:rsidP="00BC561E">
      <w:r>
        <w:t>The consultation process was promoted through a variety of channels including social media, the Review Engagement Hub and the Department</w:t>
      </w:r>
      <w:r w:rsidR="00501648">
        <w:t xml:space="preserve"> of Education, Skills and Employment</w:t>
      </w:r>
      <w:r>
        <w:t xml:space="preserve">’s website, media release and direct emails to key stakeholders. </w:t>
      </w:r>
    </w:p>
    <w:p w14:paraId="68D0DB3A" w14:textId="77777777" w:rsidR="00BC561E" w:rsidRDefault="00BC561E" w:rsidP="00FA2D51">
      <w:pPr>
        <w:spacing w:after="0"/>
      </w:pPr>
      <w:r>
        <w:t xml:space="preserve">Consultation activities are detailed in the table below. </w:t>
      </w:r>
    </w:p>
    <w:tbl>
      <w:tblPr>
        <w:tblStyle w:val="TableGrid"/>
        <w:tblW w:w="0" w:type="auto"/>
        <w:tblLook w:val="04A0" w:firstRow="1" w:lastRow="0" w:firstColumn="1" w:lastColumn="0" w:noHBand="0" w:noVBand="1"/>
      </w:tblPr>
      <w:tblGrid>
        <w:gridCol w:w="1477"/>
        <w:gridCol w:w="1352"/>
        <w:gridCol w:w="4875"/>
        <w:gridCol w:w="1306"/>
      </w:tblGrid>
      <w:tr w:rsidR="00BC561E" w14:paraId="1A8A6306" w14:textId="77777777" w:rsidTr="002C04F8">
        <w:tc>
          <w:tcPr>
            <w:tcW w:w="1477" w:type="dxa"/>
            <w:shd w:val="clear" w:color="auto" w:fill="B4C6E7" w:themeFill="accent1" w:themeFillTint="66"/>
          </w:tcPr>
          <w:p w14:paraId="2F7734BC" w14:textId="77777777" w:rsidR="00BC561E" w:rsidRPr="001211E8" w:rsidRDefault="00BC561E" w:rsidP="00CD1FEB">
            <w:pPr>
              <w:spacing w:after="0"/>
              <w:rPr>
                <w:b/>
                <w:bCs/>
              </w:rPr>
            </w:pPr>
            <w:bookmarkStart w:id="62" w:name="_Hlk82425334"/>
            <w:r>
              <w:rPr>
                <w:b/>
                <w:bCs/>
              </w:rPr>
              <w:t>Activity</w:t>
            </w:r>
          </w:p>
        </w:tc>
        <w:tc>
          <w:tcPr>
            <w:tcW w:w="1353" w:type="dxa"/>
            <w:shd w:val="clear" w:color="auto" w:fill="B4C6E7" w:themeFill="accent1" w:themeFillTint="66"/>
          </w:tcPr>
          <w:p w14:paraId="0B2EE305" w14:textId="77777777" w:rsidR="00BC561E" w:rsidRPr="001211E8" w:rsidRDefault="00BC561E" w:rsidP="00CD1FEB">
            <w:pPr>
              <w:spacing w:after="0"/>
              <w:rPr>
                <w:b/>
                <w:bCs/>
              </w:rPr>
            </w:pPr>
            <w:r w:rsidRPr="001211E8">
              <w:rPr>
                <w:b/>
                <w:bCs/>
              </w:rPr>
              <w:t>Date</w:t>
            </w:r>
          </w:p>
        </w:tc>
        <w:tc>
          <w:tcPr>
            <w:tcW w:w="4880" w:type="dxa"/>
            <w:shd w:val="clear" w:color="auto" w:fill="B4C6E7" w:themeFill="accent1" w:themeFillTint="66"/>
          </w:tcPr>
          <w:p w14:paraId="20C7FEAD" w14:textId="77777777" w:rsidR="00BC561E" w:rsidRPr="001211E8" w:rsidRDefault="00BC561E" w:rsidP="00CD1FEB">
            <w:pPr>
              <w:spacing w:after="0"/>
              <w:rPr>
                <w:b/>
                <w:bCs/>
              </w:rPr>
            </w:pPr>
            <w:r w:rsidRPr="001211E8">
              <w:rPr>
                <w:b/>
                <w:bCs/>
              </w:rPr>
              <w:t>Audience</w:t>
            </w:r>
          </w:p>
        </w:tc>
        <w:tc>
          <w:tcPr>
            <w:tcW w:w="1306" w:type="dxa"/>
            <w:shd w:val="clear" w:color="auto" w:fill="B4C6E7" w:themeFill="accent1" w:themeFillTint="66"/>
          </w:tcPr>
          <w:p w14:paraId="3381EDBE" w14:textId="77777777" w:rsidR="00BC561E" w:rsidRPr="001211E8" w:rsidRDefault="00BC561E" w:rsidP="00CD1FEB">
            <w:pPr>
              <w:spacing w:after="0"/>
              <w:rPr>
                <w:b/>
                <w:bCs/>
              </w:rPr>
            </w:pPr>
            <w:r w:rsidRPr="001211E8">
              <w:rPr>
                <w:b/>
                <w:bCs/>
              </w:rPr>
              <w:t>Participants</w:t>
            </w:r>
          </w:p>
        </w:tc>
      </w:tr>
      <w:tr w:rsidR="00BC561E" w14:paraId="24CB45A5" w14:textId="77777777" w:rsidTr="002C04F8">
        <w:tc>
          <w:tcPr>
            <w:tcW w:w="1477" w:type="dxa"/>
          </w:tcPr>
          <w:p w14:paraId="4A059E38" w14:textId="77777777" w:rsidR="00BC561E" w:rsidRDefault="00BC561E" w:rsidP="00CD1FEB">
            <w:pPr>
              <w:spacing w:after="0"/>
            </w:pPr>
            <w:r>
              <w:t>Webinar</w:t>
            </w:r>
          </w:p>
        </w:tc>
        <w:tc>
          <w:tcPr>
            <w:tcW w:w="1353" w:type="dxa"/>
          </w:tcPr>
          <w:p w14:paraId="5493974B" w14:textId="77777777" w:rsidR="00BC561E" w:rsidRDefault="00BC561E" w:rsidP="00CD1FEB">
            <w:pPr>
              <w:spacing w:after="0"/>
            </w:pPr>
            <w:r>
              <w:t>13 July 2021</w:t>
            </w:r>
          </w:p>
        </w:tc>
        <w:tc>
          <w:tcPr>
            <w:tcW w:w="4880" w:type="dxa"/>
          </w:tcPr>
          <w:p w14:paraId="3D2006FE" w14:textId="2B1D2CBE" w:rsidR="00BC561E" w:rsidRDefault="00BC561E" w:rsidP="00CD1FEB">
            <w:pPr>
              <w:spacing w:after="0"/>
            </w:pPr>
            <w:r>
              <w:t>Education sector stakeholders, teachers and principals, ITE students and other interested parties</w:t>
            </w:r>
            <w:r w:rsidR="00FA2D51">
              <w:t>.</w:t>
            </w:r>
          </w:p>
        </w:tc>
        <w:tc>
          <w:tcPr>
            <w:tcW w:w="1306" w:type="dxa"/>
            <w:vAlign w:val="center"/>
          </w:tcPr>
          <w:p w14:paraId="10B90396" w14:textId="1D69C3B9" w:rsidR="00BC561E" w:rsidRDefault="00BC561E" w:rsidP="00CD1FEB">
            <w:pPr>
              <w:spacing w:after="0"/>
              <w:jc w:val="center"/>
            </w:pPr>
            <w:r w:rsidRPr="00C169A5">
              <w:t>68</w:t>
            </w:r>
            <w:r w:rsidR="002C04F8">
              <w:t>*</w:t>
            </w:r>
          </w:p>
        </w:tc>
      </w:tr>
      <w:tr w:rsidR="00BC561E" w14:paraId="185C28B4" w14:textId="77777777" w:rsidTr="002C04F8">
        <w:tc>
          <w:tcPr>
            <w:tcW w:w="1477" w:type="dxa"/>
          </w:tcPr>
          <w:p w14:paraId="253B8E9B" w14:textId="77777777" w:rsidR="00BC561E" w:rsidRDefault="00BC561E" w:rsidP="00CD1FEB">
            <w:pPr>
              <w:spacing w:after="0"/>
            </w:pPr>
            <w:r>
              <w:t>Webinar</w:t>
            </w:r>
          </w:p>
        </w:tc>
        <w:tc>
          <w:tcPr>
            <w:tcW w:w="1353" w:type="dxa"/>
          </w:tcPr>
          <w:p w14:paraId="78DA849B" w14:textId="77777777" w:rsidR="00BC561E" w:rsidRDefault="00BC561E" w:rsidP="00CD1FEB">
            <w:pPr>
              <w:spacing w:after="0"/>
            </w:pPr>
            <w:r>
              <w:t>21 July 2021</w:t>
            </w:r>
          </w:p>
        </w:tc>
        <w:tc>
          <w:tcPr>
            <w:tcW w:w="4880" w:type="dxa"/>
          </w:tcPr>
          <w:p w14:paraId="721E2644" w14:textId="194A3E3B" w:rsidR="00BC561E" w:rsidRDefault="00BC561E" w:rsidP="00CD1FEB">
            <w:pPr>
              <w:spacing w:after="0"/>
            </w:pPr>
            <w:r>
              <w:t>Education sector stakeholders, teachers and principals, ITE students and other interested parties</w:t>
            </w:r>
            <w:r w:rsidR="00FA2D51">
              <w:t>.</w:t>
            </w:r>
          </w:p>
        </w:tc>
        <w:tc>
          <w:tcPr>
            <w:tcW w:w="1306" w:type="dxa"/>
            <w:vAlign w:val="center"/>
          </w:tcPr>
          <w:p w14:paraId="09AEF791" w14:textId="7D864494" w:rsidR="00BC561E" w:rsidRDefault="00BC561E" w:rsidP="00CD1FEB">
            <w:pPr>
              <w:spacing w:after="0"/>
              <w:jc w:val="center"/>
            </w:pPr>
            <w:r w:rsidRPr="00C169A5">
              <w:t>98</w:t>
            </w:r>
            <w:r w:rsidR="00E4044B">
              <w:t>*</w:t>
            </w:r>
          </w:p>
        </w:tc>
      </w:tr>
      <w:tr w:rsidR="00BC561E" w14:paraId="460320BF" w14:textId="77777777" w:rsidTr="002C04F8">
        <w:tc>
          <w:tcPr>
            <w:tcW w:w="1477" w:type="dxa"/>
          </w:tcPr>
          <w:p w14:paraId="22924F9E" w14:textId="77777777" w:rsidR="00BC561E" w:rsidRDefault="00BC561E" w:rsidP="00CD1FEB">
            <w:pPr>
              <w:spacing w:after="0"/>
            </w:pPr>
            <w:r>
              <w:t>Survey</w:t>
            </w:r>
          </w:p>
        </w:tc>
        <w:tc>
          <w:tcPr>
            <w:tcW w:w="1353" w:type="dxa"/>
          </w:tcPr>
          <w:p w14:paraId="62052C26" w14:textId="541B7CB3" w:rsidR="00BC561E" w:rsidRDefault="00BC561E" w:rsidP="00CD1FEB">
            <w:pPr>
              <w:spacing w:after="0"/>
            </w:pPr>
            <w:r>
              <w:t>15 July</w:t>
            </w:r>
            <w:r w:rsidR="00193452">
              <w:rPr>
                <w:rFonts w:cstheme="minorHAnsi"/>
              </w:rPr>
              <w:t>–</w:t>
            </w:r>
            <w:r>
              <w:t>15 August 2021</w:t>
            </w:r>
          </w:p>
        </w:tc>
        <w:tc>
          <w:tcPr>
            <w:tcW w:w="4880" w:type="dxa"/>
          </w:tcPr>
          <w:p w14:paraId="7B7BA024" w14:textId="47993E5F" w:rsidR="00BC561E" w:rsidRDefault="00BC561E" w:rsidP="00CD1FEB">
            <w:pPr>
              <w:spacing w:after="0"/>
            </w:pPr>
            <w:r>
              <w:t>Senior secondary students</w:t>
            </w:r>
            <w:r w:rsidR="00FA2D51">
              <w:t>.</w:t>
            </w:r>
          </w:p>
        </w:tc>
        <w:tc>
          <w:tcPr>
            <w:tcW w:w="1306" w:type="dxa"/>
            <w:vAlign w:val="center"/>
          </w:tcPr>
          <w:p w14:paraId="50BB8C53" w14:textId="77777777" w:rsidR="00BC561E" w:rsidRDefault="00BC561E" w:rsidP="00CD1FEB">
            <w:pPr>
              <w:spacing w:after="0"/>
              <w:jc w:val="center"/>
            </w:pPr>
            <w:r>
              <w:t>161</w:t>
            </w:r>
          </w:p>
        </w:tc>
      </w:tr>
      <w:tr w:rsidR="00BC561E" w14:paraId="04922A12" w14:textId="77777777" w:rsidTr="002C04F8">
        <w:tc>
          <w:tcPr>
            <w:tcW w:w="1477" w:type="dxa"/>
          </w:tcPr>
          <w:p w14:paraId="010C1C01" w14:textId="77777777" w:rsidR="00BC561E" w:rsidRDefault="00BC561E" w:rsidP="00CD1FEB">
            <w:pPr>
              <w:spacing w:after="0"/>
            </w:pPr>
            <w:r>
              <w:t>Survey</w:t>
            </w:r>
          </w:p>
        </w:tc>
        <w:tc>
          <w:tcPr>
            <w:tcW w:w="1353" w:type="dxa"/>
          </w:tcPr>
          <w:p w14:paraId="489AF2F5" w14:textId="27737E8D" w:rsidR="00BC561E" w:rsidRDefault="00BC561E" w:rsidP="00CD1FEB">
            <w:pPr>
              <w:spacing w:after="0"/>
            </w:pPr>
            <w:r>
              <w:t>15 July–15 August 2021</w:t>
            </w:r>
          </w:p>
        </w:tc>
        <w:tc>
          <w:tcPr>
            <w:tcW w:w="4880" w:type="dxa"/>
          </w:tcPr>
          <w:p w14:paraId="7B677B5E" w14:textId="5CFAA989" w:rsidR="00BC561E" w:rsidRDefault="00BC561E" w:rsidP="00CD1FEB">
            <w:pPr>
              <w:spacing w:after="0"/>
            </w:pPr>
            <w:r>
              <w:t>Teachers and principals, ITE students, people considering a career in teaching and interested members of the public</w:t>
            </w:r>
            <w:r w:rsidR="00FA2D51">
              <w:t>.</w:t>
            </w:r>
          </w:p>
        </w:tc>
        <w:tc>
          <w:tcPr>
            <w:tcW w:w="1306" w:type="dxa"/>
            <w:vAlign w:val="center"/>
          </w:tcPr>
          <w:p w14:paraId="4BF4ACB3" w14:textId="77777777" w:rsidR="00BC561E" w:rsidRDefault="00BC561E" w:rsidP="00CD1FEB">
            <w:pPr>
              <w:spacing w:after="0"/>
              <w:jc w:val="center"/>
            </w:pPr>
            <w:r>
              <w:t>339</w:t>
            </w:r>
          </w:p>
        </w:tc>
      </w:tr>
      <w:tr w:rsidR="00BC561E" w14:paraId="083D6AED" w14:textId="77777777" w:rsidTr="002C04F8">
        <w:tc>
          <w:tcPr>
            <w:tcW w:w="1477" w:type="dxa"/>
          </w:tcPr>
          <w:p w14:paraId="76649C40" w14:textId="77777777" w:rsidR="00BC561E" w:rsidRDefault="00BC561E" w:rsidP="00CD1FEB">
            <w:pPr>
              <w:spacing w:after="0"/>
            </w:pPr>
            <w:r>
              <w:t>Focus Group</w:t>
            </w:r>
          </w:p>
        </w:tc>
        <w:tc>
          <w:tcPr>
            <w:tcW w:w="1353" w:type="dxa"/>
          </w:tcPr>
          <w:p w14:paraId="0CCB276F" w14:textId="77777777" w:rsidR="00BC561E" w:rsidRDefault="00BC561E" w:rsidP="00CD1FEB">
            <w:pPr>
              <w:spacing w:after="0"/>
            </w:pPr>
            <w:r>
              <w:t xml:space="preserve">22 July 2021 </w:t>
            </w:r>
          </w:p>
        </w:tc>
        <w:tc>
          <w:tcPr>
            <w:tcW w:w="4880" w:type="dxa"/>
          </w:tcPr>
          <w:p w14:paraId="68B47B41" w14:textId="61AACBDB" w:rsidR="00BC561E" w:rsidRDefault="00BC561E" w:rsidP="00CD1FEB">
            <w:pPr>
              <w:spacing w:after="0"/>
            </w:pPr>
            <w:r>
              <w:t>ITE students</w:t>
            </w:r>
            <w:r w:rsidR="00FA2D51">
              <w:t>.</w:t>
            </w:r>
          </w:p>
        </w:tc>
        <w:tc>
          <w:tcPr>
            <w:tcW w:w="1306" w:type="dxa"/>
            <w:vAlign w:val="center"/>
          </w:tcPr>
          <w:p w14:paraId="6EE953B6" w14:textId="77777777" w:rsidR="00BC561E" w:rsidRDefault="00BC561E" w:rsidP="00CD1FEB">
            <w:pPr>
              <w:spacing w:after="0"/>
              <w:jc w:val="center"/>
            </w:pPr>
            <w:r>
              <w:t>8</w:t>
            </w:r>
          </w:p>
        </w:tc>
      </w:tr>
      <w:tr w:rsidR="00BC561E" w14:paraId="3416DC48" w14:textId="77777777" w:rsidTr="002C04F8">
        <w:tc>
          <w:tcPr>
            <w:tcW w:w="1477" w:type="dxa"/>
          </w:tcPr>
          <w:p w14:paraId="373BB8AD" w14:textId="77777777" w:rsidR="00BC561E" w:rsidRDefault="00BC561E" w:rsidP="00CD1FEB">
            <w:pPr>
              <w:spacing w:after="0"/>
            </w:pPr>
            <w:r>
              <w:t>Focus Group</w:t>
            </w:r>
          </w:p>
        </w:tc>
        <w:tc>
          <w:tcPr>
            <w:tcW w:w="1353" w:type="dxa"/>
          </w:tcPr>
          <w:p w14:paraId="09288FA1" w14:textId="77777777" w:rsidR="00BC561E" w:rsidRDefault="00BC561E" w:rsidP="00CD1FEB">
            <w:pPr>
              <w:spacing w:after="0"/>
            </w:pPr>
            <w:r>
              <w:t xml:space="preserve">22 July 2021 </w:t>
            </w:r>
          </w:p>
        </w:tc>
        <w:tc>
          <w:tcPr>
            <w:tcW w:w="4880" w:type="dxa"/>
          </w:tcPr>
          <w:p w14:paraId="741AD19A" w14:textId="705B8837" w:rsidR="00BC561E" w:rsidRDefault="00BC561E" w:rsidP="00CD1FEB">
            <w:pPr>
              <w:spacing w:after="0"/>
            </w:pPr>
            <w:r>
              <w:t>Teachers and principals</w:t>
            </w:r>
            <w:r w:rsidR="00FA2D51">
              <w:t>.</w:t>
            </w:r>
          </w:p>
        </w:tc>
        <w:tc>
          <w:tcPr>
            <w:tcW w:w="1306" w:type="dxa"/>
            <w:vAlign w:val="center"/>
          </w:tcPr>
          <w:p w14:paraId="43E7F10A" w14:textId="77777777" w:rsidR="00BC561E" w:rsidRDefault="00BC561E" w:rsidP="00CD1FEB">
            <w:pPr>
              <w:spacing w:after="0"/>
              <w:jc w:val="center"/>
            </w:pPr>
            <w:r>
              <w:t>5</w:t>
            </w:r>
          </w:p>
        </w:tc>
      </w:tr>
      <w:tr w:rsidR="00BC561E" w14:paraId="3F010DA4" w14:textId="77777777" w:rsidTr="002C04F8">
        <w:tc>
          <w:tcPr>
            <w:tcW w:w="1477" w:type="dxa"/>
          </w:tcPr>
          <w:p w14:paraId="6C0D9337" w14:textId="77777777" w:rsidR="00BC561E" w:rsidRDefault="00BC561E" w:rsidP="00CD1FEB">
            <w:pPr>
              <w:spacing w:after="0"/>
            </w:pPr>
            <w:r>
              <w:t>Focus Group</w:t>
            </w:r>
          </w:p>
        </w:tc>
        <w:tc>
          <w:tcPr>
            <w:tcW w:w="1353" w:type="dxa"/>
          </w:tcPr>
          <w:p w14:paraId="5FD595BF" w14:textId="77777777" w:rsidR="00BC561E" w:rsidRDefault="00BC561E" w:rsidP="00CD1FEB">
            <w:pPr>
              <w:spacing w:after="0"/>
            </w:pPr>
            <w:r>
              <w:t xml:space="preserve">22 July 2021 </w:t>
            </w:r>
          </w:p>
        </w:tc>
        <w:tc>
          <w:tcPr>
            <w:tcW w:w="4880" w:type="dxa"/>
          </w:tcPr>
          <w:p w14:paraId="1FDEA877" w14:textId="0285A942" w:rsidR="00BC561E" w:rsidRDefault="00BC561E" w:rsidP="00CD1FEB">
            <w:pPr>
              <w:spacing w:after="0"/>
            </w:pPr>
            <w:r>
              <w:t>Mid-career changers</w:t>
            </w:r>
            <w:r w:rsidR="00FA2D51">
              <w:t>.</w:t>
            </w:r>
          </w:p>
        </w:tc>
        <w:tc>
          <w:tcPr>
            <w:tcW w:w="1306" w:type="dxa"/>
            <w:vAlign w:val="center"/>
          </w:tcPr>
          <w:p w14:paraId="3BF19C2C" w14:textId="77777777" w:rsidR="00BC561E" w:rsidRDefault="00BC561E" w:rsidP="00CD1FEB">
            <w:pPr>
              <w:spacing w:after="0"/>
              <w:jc w:val="center"/>
            </w:pPr>
            <w:r>
              <w:t>3</w:t>
            </w:r>
          </w:p>
        </w:tc>
      </w:tr>
      <w:tr w:rsidR="00BC561E" w14:paraId="456D118E" w14:textId="77777777" w:rsidTr="002C04F8">
        <w:tc>
          <w:tcPr>
            <w:tcW w:w="1477" w:type="dxa"/>
          </w:tcPr>
          <w:p w14:paraId="26751543" w14:textId="3E513725" w:rsidR="00BC561E" w:rsidRDefault="00BC561E" w:rsidP="00CD1FEB">
            <w:pPr>
              <w:spacing w:after="0"/>
            </w:pPr>
            <w:r>
              <w:t>Interview*</w:t>
            </w:r>
            <w:r w:rsidR="002C04F8">
              <w:t>*</w:t>
            </w:r>
          </w:p>
        </w:tc>
        <w:tc>
          <w:tcPr>
            <w:tcW w:w="1353" w:type="dxa"/>
          </w:tcPr>
          <w:p w14:paraId="74BD6628" w14:textId="77777777" w:rsidR="00BC561E" w:rsidRDefault="00BC561E" w:rsidP="00CD1FEB">
            <w:pPr>
              <w:spacing w:after="0"/>
            </w:pPr>
            <w:r>
              <w:t>22 July 2021</w:t>
            </w:r>
          </w:p>
        </w:tc>
        <w:tc>
          <w:tcPr>
            <w:tcW w:w="4880" w:type="dxa"/>
          </w:tcPr>
          <w:p w14:paraId="2104FCED" w14:textId="5CBB0571" w:rsidR="00BC561E" w:rsidRDefault="00BC561E" w:rsidP="00CD1FEB">
            <w:pPr>
              <w:spacing w:after="0"/>
            </w:pPr>
            <w:r>
              <w:t>Early career teacher</w:t>
            </w:r>
            <w:r w:rsidR="00FA2D51">
              <w:t>.</w:t>
            </w:r>
          </w:p>
        </w:tc>
        <w:tc>
          <w:tcPr>
            <w:tcW w:w="1306" w:type="dxa"/>
            <w:vAlign w:val="center"/>
          </w:tcPr>
          <w:p w14:paraId="5767D541" w14:textId="77777777" w:rsidR="00BC561E" w:rsidRDefault="00BC561E" w:rsidP="00CD1FEB">
            <w:pPr>
              <w:spacing w:after="0"/>
              <w:jc w:val="center"/>
            </w:pPr>
            <w:r>
              <w:t>1</w:t>
            </w:r>
          </w:p>
        </w:tc>
      </w:tr>
      <w:tr w:rsidR="00BC561E" w14:paraId="3A5CB60E" w14:textId="77777777" w:rsidTr="002C04F8">
        <w:tc>
          <w:tcPr>
            <w:tcW w:w="1477" w:type="dxa"/>
          </w:tcPr>
          <w:p w14:paraId="0447407E" w14:textId="77777777" w:rsidR="00BC561E" w:rsidRDefault="00BC561E" w:rsidP="00CD1FEB">
            <w:pPr>
              <w:spacing w:after="0"/>
            </w:pPr>
            <w:r>
              <w:t>Workshop</w:t>
            </w:r>
          </w:p>
        </w:tc>
        <w:tc>
          <w:tcPr>
            <w:tcW w:w="1353" w:type="dxa"/>
          </w:tcPr>
          <w:p w14:paraId="3C81D553" w14:textId="77777777" w:rsidR="00BC561E" w:rsidRDefault="00BC561E" w:rsidP="00CD1FEB">
            <w:pPr>
              <w:spacing w:after="0"/>
            </w:pPr>
            <w:r>
              <w:t>21 August 2021</w:t>
            </w:r>
          </w:p>
        </w:tc>
        <w:tc>
          <w:tcPr>
            <w:tcW w:w="4880" w:type="dxa"/>
          </w:tcPr>
          <w:p w14:paraId="5BE1A9CB" w14:textId="77777777" w:rsidR="00BC561E" w:rsidRDefault="00BC561E" w:rsidP="00CD1FEB">
            <w:pPr>
              <w:spacing w:after="0"/>
            </w:pPr>
            <w:r>
              <w:t xml:space="preserve">ITE students, teachers and principals and people considering a career as a teacher. </w:t>
            </w:r>
          </w:p>
        </w:tc>
        <w:tc>
          <w:tcPr>
            <w:tcW w:w="1306" w:type="dxa"/>
            <w:vAlign w:val="center"/>
          </w:tcPr>
          <w:p w14:paraId="7B3BA603" w14:textId="77777777" w:rsidR="00BC561E" w:rsidRDefault="00BC561E" w:rsidP="00CD1FEB">
            <w:pPr>
              <w:spacing w:after="0"/>
              <w:jc w:val="center"/>
            </w:pPr>
            <w:r>
              <w:t>21</w:t>
            </w:r>
          </w:p>
        </w:tc>
      </w:tr>
    </w:tbl>
    <w:p w14:paraId="79ACF029" w14:textId="01A55631" w:rsidR="002C1F60" w:rsidRDefault="002C04F8" w:rsidP="00CD1FEB">
      <w:r>
        <w:t>*</w:t>
      </w:r>
      <w:r w:rsidRPr="002C04F8">
        <w:t xml:space="preserve"> </w:t>
      </w:r>
      <w:r>
        <w:t xml:space="preserve">The total number of participants who logged into </w:t>
      </w:r>
      <w:r w:rsidR="00E4044B">
        <w:t xml:space="preserve">the </w:t>
      </w:r>
      <w:r w:rsidR="007F056F">
        <w:t xml:space="preserve">two </w:t>
      </w:r>
      <w:r>
        <w:t>webinar</w:t>
      </w:r>
      <w:r w:rsidR="00E4044B">
        <w:t>s</w:t>
      </w:r>
      <w:r>
        <w:t xml:space="preserve"> was </w:t>
      </w:r>
      <w:r w:rsidRPr="002C04F8">
        <w:t>112</w:t>
      </w:r>
      <w:r w:rsidR="00E4044B">
        <w:t xml:space="preserve"> and 150</w:t>
      </w:r>
      <w:r>
        <w:t xml:space="preserve">; however, </w:t>
      </w:r>
      <w:r w:rsidRPr="002C04F8">
        <w:t xml:space="preserve">68 </w:t>
      </w:r>
      <w:r w:rsidR="00E4044B">
        <w:t>and 98</w:t>
      </w:r>
      <w:r w:rsidRPr="002C04F8">
        <w:t xml:space="preserve"> </w:t>
      </w:r>
      <w:r>
        <w:t xml:space="preserve">refers to the number who actively participated in the </w:t>
      </w:r>
      <w:r w:rsidR="00D94253">
        <w:t>M</w:t>
      </w:r>
      <w:r>
        <w:t>entimeter surveys. *</w:t>
      </w:r>
      <w:r w:rsidR="00BC561E">
        <w:t>*Due to low attendance rates, an interview with an early career teacher was conducted in lieu of a focus group.</w:t>
      </w:r>
    </w:p>
    <w:bookmarkEnd w:id="62"/>
    <w:p w14:paraId="34128408" w14:textId="683064FF" w:rsidR="00BC561E" w:rsidRPr="0019717E" w:rsidRDefault="00BC561E" w:rsidP="00FA2D51">
      <w:pPr>
        <w:spacing w:after="0"/>
        <w:rPr>
          <w:i/>
          <w:iCs/>
          <w:color w:val="1F3864" w:themeColor="accent1" w:themeShade="80"/>
        </w:rPr>
      </w:pPr>
      <w:r w:rsidRPr="0019717E">
        <w:rPr>
          <w:i/>
          <w:iCs/>
          <w:color w:val="1F3864" w:themeColor="accent1" w:themeShade="80"/>
        </w:rPr>
        <w:t>Who we consulted</w:t>
      </w:r>
    </w:p>
    <w:p w14:paraId="0FC168C9" w14:textId="12E5061E" w:rsidR="00BC561E" w:rsidRPr="00FA2D51" w:rsidRDefault="00BC561E" w:rsidP="00BC561E">
      <w:r>
        <w:t xml:space="preserve">Over </w:t>
      </w:r>
      <w:r w:rsidRPr="00946C1B">
        <w:t>800</w:t>
      </w:r>
      <w:r>
        <w:t xml:space="preserve"> people participated in the Review’s consultation activities. Participants were asked to self-select their role in the education sector and/or interest in the Review. Please note, some participants may have selected more than one role.</w:t>
      </w:r>
      <w:r>
        <w:rPr>
          <w:i/>
          <w:iCs/>
        </w:rPr>
        <w:t xml:space="preserve"> </w:t>
      </w:r>
    </w:p>
    <w:tbl>
      <w:tblPr>
        <w:tblpPr w:leftFromText="180" w:rightFromText="180" w:vertAnchor="text" w:tblpY="1"/>
        <w:tblOverlap w:val="never"/>
        <w:tblW w:w="4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040"/>
      </w:tblGrid>
      <w:tr w:rsidR="00BC561E" w:rsidRPr="00105F6C" w14:paraId="6B979B3F" w14:textId="77777777" w:rsidTr="00CD1FEB">
        <w:trPr>
          <w:trHeight w:val="320"/>
        </w:trPr>
        <w:tc>
          <w:tcPr>
            <w:tcW w:w="3197" w:type="dxa"/>
            <w:shd w:val="clear" w:color="auto" w:fill="B4C6E7" w:themeFill="accent1" w:themeFillTint="66"/>
            <w:noWrap/>
            <w:vAlign w:val="center"/>
          </w:tcPr>
          <w:p w14:paraId="09DD9ED8" w14:textId="7BC2E57C" w:rsidR="00BC561E" w:rsidRPr="00E04125" w:rsidRDefault="00BC561E" w:rsidP="00CD1FEB">
            <w:pPr>
              <w:spacing w:after="0" w:line="240" w:lineRule="auto"/>
              <w:jc w:val="center"/>
              <w:rPr>
                <w:rFonts w:ascii="Calibri" w:eastAsia="Times New Roman" w:hAnsi="Calibri" w:cs="Times New Roman"/>
                <w:b/>
                <w:bCs/>
                <w:color w:val="000000"/>
                <w:lang w:eastAsia="en-AU"/>
              </w:rPr>
            </w:pPr>
            <w:r w:rsidRPr="00E04125">
              <w:rPr>
                <w:rFonts w:ascii="Calibri" w:eastAsia="Times New Roman" w:hAnsi="Calibri" w:cs="Times New Roman"/>
                <w:b/>
                <w:bCs/>
                <w:color w:val="000000"/>
                <w:lang w:eastAsia="en-AU"/>
              </w:rPr>
              <w:t>Category</w:t>
            </w:r>
          </w:p>
        </w:tc>
        <w:tc>
          <w:tcPr>
            <w:tcW w:w="1040" w:type="dxa"/>
            <w:shd w:val="clear" w:color="auto" w:fill="B4C6E7" w:themeFill="accent1" w:themeFillTint="66"/>
            <w:noWrap/>
            <w:vAlign w:val="center"/>
          </w:tcPr>
          <w:p w14:paraId="1623844F" w14:textId="77777777" w:rsidR="00BC561E" w:rsidRPr="00E04125" w:rsidRDefault="00BC561E" w:rsidP="00CD1FEB">
            <w:pPr>
              <w:spacing w:after="0" w:line="240" w:lineRule="auto"/>
              <w:jc w:val="center"/>
              <w:rPr>
                <w:rFonts w:ascii="Calibri" w:eastAsia="Times New Roman" w:hAnsi="Calibri" w:cs="Times New Roman"/>
                <w:b/>
                <w:bCs/>
                <w:color w:val="000000"/>
                <w:lang w:eastAsia="en-AU"/>
              </w:rPr>
            </w:pPr>
            <w:r w:rsidRPr="00E04125">
              <w:rPr>
                <w:rFonts w:ascii="Calibri" w:eastAsia="Times New Roman" w:hAnsi="Calibri" w:cs="Times New Roman"/>
                <w:b/>
                <w:bCs/>
                <w:color w:val="000000"/>
                <w:lang w:eastAsia="en-AU"/>
              </w:rPr>
              <w:t>%</w:t>
            </w:r>
          </w:p>
        </w:tc>
      </w:tr>
      <w:tr w:rsidR="00BC561E" w:rsidRPr="00105F6C" w14:paraId="657C28E4" w14:textId="77777777" w:rsidTr="00CD1FEB">
        <w:trPr>
          <w:trHeight w:val="320"/>
        </w:trPr>
        <w:tc>
          <w:tcPr>
            <w:tcW w:w="3197" w:type="dxa"/>
            <w:shd w:val="clear" w:color="auto" w:fill="auto"/>
            <w:noWrap/>
            <w:vAlign w:val="center"/>
            <w:hideMark/>
          </w:tcPr>
          <w:p w14:paraId="322BA3D8" w14:textId="77777777" w:rsidR="00BC561E" w:rsidRPr="00105F6C" w:rsidRDefault="00BC561E" w:rsidP="00CD1FEB">
            <w:pPr>
              <w:spacing w:after="0" w:line="240" w:lineRule="auto"/>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Current ITE student</w:t>
            </w:r>
          </w:p>
        </w:tc>
        <w:tc>
          <w:tcPr>
            <w:tcW w:w="1040" w:type="dxa"/>
            <w:shd w:val="clear" w:color="auto" w:fill="auto"/>
            <w:noWrap/>
            <w:vAlign w:val="center"/>
            <w:hideMark/>
          </w:tcPr>
          <w:p w14:paraId="4F3954EF" w14:textId="77777777" w:rsidR="00BC561E" w:rsidRPr="00105F6C" w:rsidRDefault="00BC561E" w:rsidP="00CD1FEB">
            <w:pPr>
              <w:spacing w:after="0" w:line="240" w:lineRule="auto"/>
              <w:jc w:val="right"/>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12.9</w:t>
            </w:r>
          </w:p>
        </w:tc>
      </w:tr>
      <w:tr w:rsidR="00BC561E" w:rsidRPr="00105F6C" w14:paraId="4638D54F" w14:textId="77777777" w:rsidTr="00CD1FEB">
        <w:trPr>
          <w:trHeight w:val="320"/>
        </w:trPr>
        <w:tc>
          <w:tcPr>
            <w:tcW w:w="3197" w:type="dxa"/>
            <w:shd w:val="clear" w:color="auto" w:fill="auto"/>
            <w:noWrap/>
            <w:vAlign w:val="center"/>
            <w:hideMark/>
          </w:tcPr>
          <w:p w14:paraId="6739AB63" w14:textId="77777777" w:rsidR="00BC561E" w:rsidRPr="00105F6C" w:rsidRDefault="00BC561E" w:rsidP="00CD1FEB">
            <w:pPr>
              <w:spacing w:after="0" w:line="240" w:lineRule="auto"/>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Current principal/teacher</w:t>
            </w:r>
          </w:p>
        </w:tc>
        <w:tc>
          <w:tcPr>
            <w:tcW w:w="1040" w:type="dxa"/>
            <w:shd w:val="clear" w:color="auto" w:fill="auto"/>
            <w:noWrap/>
            <w:vAlign w:val="center"/>
            <w:hideMark/>
          </w:tcPr>
          <w:p w14:paraId="2A70D8C5" w14:textId="77777777" w:rsidR="00BC561E" w:rsidRPr="00105F6C" w:rsidRDefault="00BC561E" w:rsidP="00CD1FEB">
            <w:pPr>
              <w:spacing w:after="0" w:line="240" w:lineRule="auto"/>
              <w:jc w:val="right"/>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22.7</w:t>
            </w:r>
          </w:p>
        </w:tc>
      </w:tr>
      <w:tr w:rsidR="00BC561E" w:rsidRPr="00105F6C" w14:paraId="2BF1EAF5" w14:textId="77777777" w:rsidTr="00CD1FEB">
        <w:trPr>
          <w:trHeight w:val="320"/>
        </w:trPr>
        <w:tc>
          <w:tcPr>
            <w:tcW w:w="3197" w:type="dxa"/>
            <w:shd w:val="clear" w:color="auto" w:fill="auto"/>
            <w:noWrap/>
            <w:vAlign w:val="center"/>
            <w:hideMark/>
          </w:tcPr>
          <w:p w14:paraId="0D5C0614" w14:textId="77777777" w:rsidR="00BC561E" w:rsidRPr="00105F6C" w:rsidRDefault="00BC561E" w:rsidP="00CD1FEB">
            <w:pPr>
              <w:spacing w:after="0" w:line="240" w:lineRule="auto"/>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Former teacher/principal</w:t>
            </w:r>
          </w:p>
        </w:tc>
        <w:tc>
          <w:tcPr>
            <w:tcW w:w="1040" w:type="dxa"/>
            <w:shd w:val="clear" w:color="auto" w:fill="auto"/>
            <w:noWrap/>
            <w:vAlign w:val="center"/>
            <w:hideMark/>
          </w:tcPr>
          <w:p w14:paraId="1E61E098" w14:textId="77777777" w:rsidR="00BC561E" w:rsidRPr="00105F6C" w:rsidRDefault="00BC561E" w:rsidP="00CD1FEB">
            <w:pPr>
              <w:spacing w:after="0" w:line="240" w:lineRule="auto"/>
              <w:jc w:val="right"/>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9.4</w:t>
            </w:r>
          </w:p>
        </w:tc>
      </w:tr>
      <w:tr w:rsidR="00BC561E" w:rsidRPr="00105F6C" w14:paraId="09278D3B" w14:textId="77777777" w:rsidTr="00CD1FEB">
        <w:trPr>
          <w:trHeight w:val="320"/>
        </w:trPr>
        <w:tc>
          <w:tcPr>
            <w:tcW w:w="3197" w:type="dxa"/>
            <w:shd w:val="clear" w:color="auto" w:fill="auto"/>
            <w:noWrap/>
            <w:vAlign w:val="center"/>
            <w:hideMark/>
          </w:tcPr>
          <w:p w14:paraId="7ACF7445" w14:textId="77777777" w:rsidR="00BC561E" w:rsidRPr="00105F6C" w:rsidRDefault="00BC561E" w:rsidP="00CD1FEB">
            <w:pPr>
              <w:spacing w:after="0" w:line="240" w:lineRule="auto"/>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University educator</w:t>
            </w:r>
          </w:p>
        </w:tc>
        <w:tc>
          <w:tcPr>
            <w:tcW w:w="1040" w:type="dxa"/>
            <w:shd w:val="clear" w:color="auto" w:fill="auto"/>
            <w:noWrap/>
            <w:vAlign w:val="center"/>
            <w:hideMark/>
          </w:tcPr>
          <w:p w14:paraId="03AC6EE9" w14:textId="77777777" w:rsidR="00BC561E" w:rsidRPr="00105F6C" w:rsidRDefault="00BC561E" w:rsidP="00CD1FEB">
            <w:pPr>
              <w:spacing w:after="0" w:line="240" w:lineRule="auto"/>
              <w:jc w:val="right"/>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10.9</w:t>
            </w:r>
          </w:p>
        </w:tc>
      </w:tr>
      <w:tr w:rsidR="00BC561E" w:rsidRPr="00105F6C" w14:paraId="49CB858D" w14:textId="77777777" w:rsidTr="00CD1FEB">
        <w:trPr>
          <w:trHeight w:val="320"/>
        </w:trPr>
        <w:tc>
          <w:tcPr>
            <w:tcW w:w="3197" w:type="dxa"/>
            <w:shd w:val="clear" w:color="auto" w:fill="auto"/>
            <w:noWrap/>
            <w:vAlign w:val="center"/>
            <w:hideMark/>
          </w:tcPr>
          <w:p w14:paraId="4D61C6D5" w14:textId="77777777" w:rsidR="00BC561E" w:rsidRPr="00105F6C" w:rsidRDefault="00BC561E" w:rsidP="00CD1FEB">
            <w:pPr>
              <w:spacing w:after="0" w:line="240" w:lineRule="auto"/>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Work for peak body/association</w:t>
            </w:r>
          </w:p>
        </w:tc>
        <w:tc>
          <w:tcPr>
            <w:tcW w:w="1040" w:type="dxa"/>
            <w:shd w:val="clear" w:color="auto" w:fill="auto"/>
            <w:noWrap/>
            <w:vAlign w:val="center"/>
            <w:hideMark/>
          </w:tcPr>
          <w:p w14:paraId="3B15AE46" w14:textId="77777777" w:rsidR="00BC561E" w:rsidRPr="00105F6C" w:rsidRDefault="00BC561E" w:rsidP="00CD1FEB">
            <w:pPr>
              <w:spacing w:after="0" w:line="240" w:lineRule="auto"/>
              <w:jc w:val="right"/>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4.1</w:t>
            </w:r>
          </w:p>
        </w:tc>
      </w:tr>
      <w:tr w:rsidR="00BC561E" w:rsidRPr="00105F6C" w14:paraId="25AFA111" w14:textId="77777777" w:rsidTr="00CD1FEB">
        <w:trPr>
          <w:trHeight w:val="320"/>
        </w:trPr>
        <w:tc>
          <w:tcPr>
            <w:tcW w:w="3197" w:type="dxa"/>
            <w:shd w:val="clear" w:color="auto" w:fill="auto"/>
            <w:noWrap/>
            <w:vAlign w:val="center"/>
            <w:hideMark/>
          </w:tcPr>
          <w:p w14:paraId="1FCF4F10" w14:textId="77777777" w:rsidR="00BC561E" w:rsidRPr="00105F6C" w:rsidRDefault="00BC561E" w:rsidP="00CD1FEB">
            <w:pPr>
              <w:spacing w:after="0" w:line="240" w:lineRule="auto"/>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Mid-career professional</w:t>
            </w:r>
          </w:p>
        </w:tc>
        <w:tc>
          <w:tcPr>
            <w:tcW w:w="1040" w:type="dxa"/>
            <w:shd w:val="clear" w:color="auto" w:fill="auto"/>
            <w:noWrap/>
            <w:vAlign w:val="center"/>
            <w:hideMark/>
          </w:tcPr>
          <w:p w14:paraId="6F18CE4F" w14:textId="77777777" w:rsidR="00BC561E" w:rsidRPr="00105F6C" w:rsidRDefault="00BC561E" w:rsidP="00CD1FEB">
            <w:pPr>
              <w:spacing w:after="0" w:line="240" w:lineRule="auto"/>
              <w:jc w:val="right"/>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4</w:t>
            </w:r>
          </w:p>
        </w:tc>
      </w:tr>
      <w:tr w:rsidR="00BC561E" w:rsidRPr="00105F6C" w14:paraId="0D41FDF8" w14:textId="77777777" w:rsidTr="00CD1FEB">
        <w:trPr>
          <w:trHeight w:val="320"/>
        </w:trPr>
        <w:tc>
          <w:tcPr>
            <w:tcW w:w="3197" w:type="dxa"/>
            <w:shd w:val="clear" w:color="auto" w:fill="auto"/>
            <w:noWrap/>
            <w:vAlign w:val="center"/>
            <w:hideMark/>
          </w:tcPr>
          <w:p w14:paraId="5DC2C019" w14:textId="77777777" w:rsidR="00BC561E" w:rsidRPr="00105F6C" w:rsidRDefault="00BC561E" w:rsidP="00CD1FEB">
            <w:pPr>
              <w:spacing w:after="0" w:line="240" w:lineRule="auto"/>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Senior secondary school student</w:t>
            </w:r>
          </w:p>
        </w:tc>
        <w:tc>
          <w:tcPr>
            <w:tcW w:w="1040" w:type="dxa"/>
            <w:shd w:val="clear" w:color="auto" w:fill="auto"/>
            <w:noWrap/>
            <w:vAlign w:val="center"/>
            <w:hideMark/>
          </w:tcPr>
          <w:p w14:paraId="13505E65" w14:textId="77777777" w:rsidR="00BC561E" w:rsidRPr="00105F6C" w:rsidRDefault="00BC561E" w:rsidP="00CD1FEB">
            <w:pPr>
              <w:spacing w:after="0" w:line="240" w:lineRule="auto"/>
              <w:jc w:val="right"/>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17.4</w:t>
            </w:r>
          </w:p>
        </w:tc>
      </w:tr>
      <w:tr w:rsidR="00BC561E" w:rsidRPr="00105F6C" w14:paraId="5011454E" w14:textId="77777777" w:rsidTr="00CD1FEB">
        <w:trPr>
          <w:trHeight w:val="320"/>
        </w:trPr>
        <w:tc>
          <w:tcPr>
            <w:tcW w:w="3197" w:type="dxa"/>
            <w:shd w:val="clear" w:color="auto" w:fill="auto"/>
            <w:noWrap/>
            <w:vAlign w:val="center"/>
            <w:hideMark/>
          </w:tcPr>
          <w:p w14:paraId="37B8CC31" w14:textId="77777777" w:rsidR="00BC561E" w:rsidRPr="00105F6C" w:rsidRDefault="00BC561E" w:rsidP="00CD1FEB">
            <w:pPr>
              <w:spacing w:after="0" w:line="240" w:lineRule="auto"/>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Other</w:t>
            </w:r>
          </w:p>
        </w:tc>
        <w:tc>
          <w:tcPr>
            <w:tcW w:w="1040" w:type="dxa"/>
            <w:shd w:val="clear" w:color="auto" w:fill="auto"/>
            <w:noWrap/>
            <w:vAlign w:val="center"/>
            <w:hideMark/>
          </w:tcPr>
          <w:p w14:paraId="477E3703" w14:textId="77777777" w:rsidR="00BC561E" w:rsidRPr="00105F6C" w:rsidRDefault="00BC561E" w:rsidP="00CD1FEB">
            <w:pPr>
              <w:spacing w:after="0" w:line="240" w:lineRule="auto"/>
              <w:jc w:val="right"/>
              <w:rPr>
                <w:rFonts w:ascii="Calibri" w:eastAsia="Times New Roman" w:hAnsi="Calibri" w:cs="Times New Roman"/>
                <w:color w:val="000000"/>
                <w:lang w:eastAsia="en-AU"/>
              </w:rPr>
            </w:pPr>
            <w:r w:rsidRPr="00105F6C">
              <w:rPr>
                <w:rFonts w:ascii="Calibri" w:eastAsia="Times New Roman" w:hAnsi="Calibri" w:cs="Times New Roman"/>
                <w:color w:val="000000"/>
                <w:lang w:eastAsia="en-AU"/>
              </w:rPr>
              <w:t>18.6</w:t>
            </w:r>
          </w:p>
        </w:tc>
      </w:tr>
    </w:tbl>
    <w:p w14:paraId="001B92AF" w14:textId="77777777" w:rsidR="00CD1FEB" w:rsidRDefault="00BC561E" w:rsidP="00BC561E">
      <w:pPr>
        <w:rPr>
          <w:b/>
          <w:bCs/>
        </w:rPr>
      </w:pPr>
      <w:r>
        <w:br w:type="textWrapping" w:clear="all"/>
      </w:r>
    </w:p>
    <w:p w14:paraId="1E7A17C5" w14:textId="77777777" w:rsidR="00CD1FEB" w:rsidRDefault="00CD1FEB">
      <w:pPr>
        <w:spacing w:after="0" w:line="240" w:lineRule="auto"/>
        <w:rPr>
          <w:b/>
          <w:bCs/>
        </w:rPr>
      </w:pPr>
      <w:r>
        <w:rPr>
          <w:b/>
          <w:bCs/>
        </w:rPr>
        <w:br w:type="page"/>
      </w:r>
    </w:p>
    <w:p w14:paraId="32724292" w14:textId="3CD6FB79" w:rsidR="00BC561E" w:rsidRPr="008F6C42" w:rsidRDefault="00BC561E" w:rsidP="00CD1FEB">
      <w:pPr>
        <w:spacing w:after="0"/>
        <w:rPr>
          <w:b/>
          <w:bCs/>
        </w:rPr>
      </w:pPr>
      <w:r w:rsidRPr="008F6C42">
        <w:rPr>
          <w:b/>
          <w:bCs/>
        </w:rPr>
        <w:lastRenderedPageBreak/>
        <w:t>Stakeholder meetings</w:t>
      </w:r>
    </w:p>
    <w:p w14:paraId="64709C26" w14:textId="3C67F06C" w:rsidR="00BC561E" w:rsidRDefault="00BC561E" w:rsidP="00BC561E">
      <w:r>
        <w:t xml:space="preserve">The Expert Panel also met virtually with </w:t>
      </w:r>
      <w:r w:rsidRPr="00D94253">
        <w:t>83</w:t>
      </w:r>
      <w:r>
        <w:t xml:space="preserve"> education stakeholders and organisations during this phase of the Review, who are listed at </w:t>
      </w:r>
      <w:r w:rsidRPr="00D94253">
        <w:t xml:space="preserve">Attachment </w:t>
      </w:r>
      <w:r w:rsidR="005E1B99">
        <w:t>C</w:t>
      </w:r>
      <w:r>
        <w:t>. These meetings</w:t>
      </w:r>
      <w:r w:rsidRPr="0068045E">
        <w:t xml:space="preserve"> helped the Expert Panel to understand the key issues in ITE</w:t>
      </w:r>
      <w:r>
        <w:t xml:space="preserve"> and propose effective solutions</w:t>
      </w:r>
      <w:r w:rsidRPr="0068045E">
        <w:t>.</w:t>
      </w:r>
    </w:p>
    <w:p w14:paraId="4F235816" w14:textId="77777777" w:rsidR="00BC561E" w:rsidRPr="00FA2D51" w:rsidRDefault="00BC561E" w:rsidP="00CD1FEB">
      <w:pPr>
        <w:spacing w:after="0"/>
        <w:rPr>
          <w:b/>
          <w:bCs/>
        </w:rPr>
      </w:pPr>
      <w:bookmarkStart w:id="63" w:name="_Hlk83134037"/>
      <w:r w:rsidRPr="00FA2D51">
        <w:rPr>
          <w:b/>
          <w:bCs/>
        </w:rPr>
        <w:t>Research</w:t>
      </w:r>
    </w:p>
    <w:p w14:paraId="19F72E9E" w14:textId="77777777" w:rsidR="00BC561E" w:rsidRDefault="00BC561E" w:rsidP="00FA2D51">
      <w:pPr>
        <w:spacing w:after="0"/>
      </w:pPr>
      <w:r>
        <w:t xml:space="preserve">In addition to research undertaken by the Secretariat, the Expert Panel also commissioned two research projects: </w:t>
      </w:r>
    </w:p>
    <w:p w14:paraId="3AC42915" w14:textId="0C3D2951" w:rsidR="00BC561E" w:rsidRDefault="00BC561E" w:rsidP="00F66D2A">
      <w:pPr>
        <w:pStyle w:val="ListParagraph"/>
        <w:numPr>
          <w:ilvl w:val="0"/>
          <w:numId w:val="29"/>
        </w:numPr>
        <w:rPr>
          <w:rStyle w:val="normaltextrun"/>
        </w:rPr>
      </w:pPr>
      <w:r>
        <w:rPr>
          <w:rStyle w:val="normaltextrun"/>
        </w:rPr>
        <w:t>The Behavioural Economics Team of the Australian Government (BETA) was engaged to analyse which incentives might be most effective at attracting young high</w:t>
      </w:r>
      <w:r w:rsidR="000524ED">
        <w:rPr>
          <w:rStyle w:val="normaltextrun"/>
        </w:rPr>
        <w:t xml:space="preserve"> </w:t>
      </w:r>
      <w:r>
        <w:rPr>
          <w:rStyle w:val="normaltextrun"/>
        </w:rPr>
        <w:t>achievers and mid-career professionals to teaching. To do this, BETA surveyed 501 young high achievers (aged 18</w:t>
      </w:r>
      <w:r w:rsidR="00402FE3">
        <w:rPr>
          <w:rStyle w:val="normaltextrun"/>
        </w:rPr>
        <w:t>–</w:t>
      </w:r>
      <w:r>
        <w:rPr>
          <w:rStyle w:val="normaltextrun"/>
        </w:rPr>
        <w:t>25 with an ATAR or equivalent over 80) and 1432 mid-career professionals (aged 26</w:t>
      </w:r>
      <w:r w:rsidR="00402FE3">
        <w:rPr>
          <w:rStyle w:val="normaltextrun"/>
        </w:rPr>
        <w:t>–</w:t>
      </w:r>
      <w:r>
        <w:rPr>
          <w:rStyle w:val="normaltextrun"/>
        </w:rPr>
        <w:t>60 with an undergraduate degree or higher) using a discrete choice experiment, in which survey responders were presented with different packages of incentives (such as scholarship, salary or employment based incentives). This allowed BETA to quantify the relative importance of teaching-related incentives.</w:t>
      </w:r>
    </w:p>
    <w:p w14:paraId="1268E1A0" w14:textId="2301E0B2" w:rsidR="00BC561E" w:rsidRPr="000D6B98" w:rsidRDefault="00BC561E" w:rsidP="00F66D2A">
      <w:pPr>
        <w:pStyle w:val="ECPoint"/>
        <w:numPr>
          <w:ilvl w:val="0"/>
          <w:numId w:val="29"/>
        </w:numPr>
        <w:spacing w:after="200" w:line="276" w:lineRule="auto"/>
        <w:rPr>
          <w:rStyle w:val="normaltextrun"/>
          <w:sz w:val="20"/>
          <w:szCs w:val="20"/>
        </w:rPr>
      </w:pPr>
      <w:r w:rsidRPr="000D6B98">
        <w:rPr>
          <w:rStyle w:val="normaltextrun"/>
          <w:color w:val="000000" w:themeColor="text1"/>
          <w:sz w:val="20"/>
          <w:szCs w:val="20"/>
          <w:lang w:val="de-DE"/>
        </w:rPr>
        <w:t xml:space="preserve">Deloitte Access Economics was engaged to undertake scoping work in the area of teacher supply and demand. Deloitte Access Economics consulted with various state and territory education departments and representatives of the Catholic and </w:t>
      </w:r>
      <w:r w:rsidR="00C90DDB">
        <w:rPr>
          <w:rStyle w:val="normaltextrun"/>
          <w:color w:val="000000" w:themeColor="text1"/>
          <w:sz w:val="20"/>
          <w:szCs w:val="20"/>
          <w:lang w:val="de-DE"/>
        </w:rPr>
        <w:t>i</w:t>
      </w:r>
      <w:r w:rsidRPr="000D6B98">
        <w:rPr>
          <w:rStyle w:val="normaltextrun"/>
          <w:color w:val="000000" w:themeColor="text1"/>
          <w:sz w:val="20"/>
          <w:szCs w:val="20"/>
          <w:lang w:val="de-DE"/>
        </w:rPr>
        <w:t xml:space="preserve">ndependent school sectors to consider how to ensure the supply of high-quality graduate teachers sufficiently meets employer’s workforce demands. </w:t>
      </w:r>
    </w:p>
    <w:bookmarkEnd w:id="63"/>
    <w:p w14:paraId="5CA4662E" w14:textId="35830AE0" w:rsidR="00BC561E" w:rsidRPr="00FA2D51" w:rsidRDefault="00BC561E" w:rsidP="00CD1FEB">
      <w:pPr>
        <w:pStyle w:val="ECPoint"/>
        <w:numPr>
          <w:ilvl w:val="0"/>
          <w:numId w:val="0"/>
        </w:numPr>
        <w:spacing w:after="0"/>
        <w:rPr>
          <w:b/>
          <w:sz w:val="20"/>
          <w:szCs w:val="20"/>
        </w:rPr>
      </w:pPr>
      <w:r w:rsidRPr="00FA2D51">
        <w:rPr>
          <w:b/>
          <w:sz w:val="20"/>
          <w:szCs w:val="20"/>
        </w:rPr>
        <w:t xml:space="preserve">Secretariat </w:t>
      </w:r>
    </w:p>
    <w:p w14:paraId="29F0CF40" w14:textId="77777777" w:rsidR="00BC561E" w:rsidRDefault="00BC561E" w:rsidP="00BC561E">
      <w:r>
        <w:t xml:space="preserve">The Australian Government Department of Education, Skills and Employment provided a secretariat to support the Expert Panel to conduct the Review. </w:t>
      </w:r>
    </w:p>
    <w:p w14:paraId="581FAD28" w14:textId="77777777" w:rsidR="00FA2D51" w:rsidRDefault="00FA2D51">
      <w:pPr>
        <w:spacing w:after="0" w:line="240" w:lineRule="auto"/>
        <w:rPr>
          <w:bCs/>
          <w:color w:val="2F5496" w:themeColor="accent1" w:themeShade="BF"/>
          <w:sz w:val="24"/>
          <w:szCs w:val="24"/>
        </w:rPr>
      </w:pPr>
      <w:bookmarkStart w:id="64" w:name="_Toc86138414"/>
      <w:bookmarkStart w:id="65" w:name="_Toc86141318"/>
      <w:r>
        <w:br w:type="page"/>
      </w:r>
    </w:p>
    <w:p w14:paraId="6180912F" w14:textId="7258EA41" w:rsidR="009E5D98" w:rsidRDefault="009E5D98" w:rsidP="009E5D98">
      <w:pPr>
        <w:pStyle w:val="Heading2"/>
      </w:pPr>
      <w:bookmarkStart w:id="66" w:name="_Toc91160209"/>
      <w:r>
        <w:lastRenderedPageBreak/>
        <w:t>References</w:t>
      </w:r>
      <w:bookmarkEnd w:id="64"/>
      <w:bookmarkEnd w:id="65"/>
      <w:bookmarkEnd w:id="66"/>
    </w:p>
    <w:p w14:paraId="4144DEEB" w14:textId="653B2E3E" w:rsidR="00EE691C" w:rsidRPr="00E52ACC" w:rsidRDefault="00EE691C" w:rsidP="00E52ACC">
      <w:pPr>
        <w:spacing w:line="240" w:lineRule="auto"/>
        <w:ind w:left="720" w:hanging="720"/>
        <w:rPr>
          <w:rFonts w:cstheme="minorHAnsi"/>
        </w:rPr>
      </w:pPr>
      <w:r>
        <w:t>A</w:t>
      </w:r>
      <w:r w:rsidR="00F42500">
        <w:t>ustralian Bureau of Statistics</w:t>
      </w:r>
      <w:r w:rsidR="008A7DFF">
        <w:t xml:space="preserve"> (ABS)</w:t>
      </w:r>
      <w:r w:rsidR="00703810">
        <w:t xml:space="preserve"> (2020)</w:t>
      </w:r>
      <w:r>
        <w:t xml:space="preserve"> </w:t>
      </w:r>
      <w:r w:rsidRPr="008D1C90">
        <w:rPr>
          <w:i/>
          <w:iCs/>
        </w:rPr>
        <w:t xml:space="preserve">Schools, </w:t>
      </w:r>
      <w:r w:rsidR="008D1C90" w:rsidRPr="00507849">
        <w:t>Cat. No. 4221.0</w:t>
      </w:r>
      <w:r>
        <w:t xml:space="preserve">, </w:t>
      </w:r>
      <w:r w:rsidR="00692766">
        <w:t xml:space="preserve">ABS website, accessed </w:t>
      </w:r>
      <w:r w:rsidR="00A10479" w:rsidRPr="00A10479">
        <w:t>21</w:t>
      </w:r>
      <w:r w:rsidR="00692766" w:rsidRPr="00A10479">
        <w:t xml:space="preserve"> </w:t>
      </w:r>
      <w:r w:rsidR="00E050EA">
        <w:t>October</w:t>
      </w:r>
      <w:r w:rsidR="00692766">
        <w:t xml:space="preserve"> 2021</w:t>
      </w:r>
      <w:r w:rsidR="0039576E">
        <w:t>.</w:t>
      </w:r>
      <w:r w:rsidR="00692766">
        <w:t xml:space="preserve"> </w:t>
      </w:r>
      <w:hyperlink r:id="rId57" w:history="1">
        <w:r w:rsidR="009C26E1" w:rsidRPr="00D244C5">
          <w:rPr>
            <w:rStyle w:val="Hyperlink"/>
          </w:rPr>
          <w:t>https://www.abs.gov.au/statistics/people/education/schools/latest-release</w:t>
        </w:r>
      </w:hyperlink>
      <w:r w:rsidR="009C26E1">
        <w:t xml:space="preserve"> </w:t>
      </w:r>
    </w:p>
    <w:p w14:paraId="4727CBEF" w14:textId="2BF52EFE" w:rsidR="00103770" w:rsidRDefault="009E5D98" w:rsidP="009E5D98">
      <w:pPr>
        <w:spacing w:line="240" w:lineRule="auto"/>
        <w:ind w:left="720" w:hanging="720"/>
        <w:rPr>
          <w:rFonts w:cstheme="minorHAnsi"/>
        </w:rPr>
      </w:pPr>
      <w:r>
        <w:rPr>
          <w:rFonts w:cstheme="minorHAnsi"/>
        </w:rPr>
        <w:t>ACU (</w:t>
      </w:r>
      <w:r w:rsidRPr="004C5164">
        <w:rPr>
          <w:rFonts w:cstheme="minorHAnsi"/>
        </w:rPr>
        <w:t>Australian Catholic University</w:t>
      </w:r>
      <w:r>
        <w:rPr>
          <w:rFonts w:cstheme="minorHAnsi"/>
        </w:rPr>
        <w:t>)</w:t>
      </w:r>
      <w:r w:rsidRPr="004C5164">
        <w:rPr>
          <w:rFonts w:cstheme="minorHAnsi"/>
        </w:rPr>
        <w:t xml:space="preserve"> (2021</w:t>
      </w:r>
      <w:r w:rsidR="00BB291C">
        <w:rPr>
          <w:rFonts w:cstheme="minorHAnsi"/>
        </w:rPr>
        <w:t>a</w:t>
      </w:r>
      <w:r w:rsidRPr="004C5164">
        <w:rPr>
          <w:rFonts w:cstheme="minorHAnsi"/>
        </w:rPr>
        <w:t xml:space="preserve">) </w:t>
      </w:r>
      <w:r w:rsidR="00E9008B" w:rsidRPr="00C4041F">
        <w:rPr>
          <w:i/>
          <w:iCs/>
        </w:rPr>
        <w:t>Quality of Initial Teacher Education Through Longitudinal Analysis of Linked Datasets: Workforce Study Series: Study 1: Examining performance trajectories from admission to graduation: Executive Summary</w:t>
      </w:r>
      <w:r>
        <w:rPr>
          <w:rFonts w:cstheme="minorHAnsi"/>
        </w:rPr>
        <w:t>, Brisbane</w:t>
      </w:r>
      <w:r w:rsidR="00E9008B">
        <w:rPr>
          <w:rFonts w:cstheme="minorHAnsi"/>
        </w:rPr>
        <w:t xml:space="preserve">. </w:t>
      </w:r>
      <w:hyperlink r:id="rId58" w:history="1">
        <w:r w:rsidR="00E9008B" w:rsidRPr="00C545CE">
          <w:rPr>
            <w:rStyle w:val="Hyperlink"/>
            <w:rFonts w:cstheme="minorHAnsi"/>
          </w:rPr>
          <w:t>https://www.dese.gov.au/teaching-and-school-leadership/resources/quality-initial-teacher-education</w:t>
        </w:r>
      </w:hyperlink>
      <w:r w:rsidR="00E9008B">
        <w:rPr>
          <w:rFonts w:cstheme="minorHAnsi"/>
        </w:rPr>
        <w:t xml:space="preserve"> </w:t>
      </w:r>
    </w:p>
    <w:p w14:paraId="6BD6B1C7" w14:textId="0DCB45EF" w:rsidR="00103770" w:rsidRDefault="00103770" w:rsidP="009E5D98">
      <w:pPr>
        <w:spacing w:line="240" w:lineRule="auto"/>
        <w:ind w:left="720" w:hanging="720"/>
        <w:rPr>
          <w:rFonts w:cstheme="minorHAnsi"/>
        </w:rPr>
      </w:pPr>
      <w:r>
        <w:rPr>
          <w:rFonts w:cstheme="minorHAnsi"/>
        </w:rPr>
        <w:t>ACU (Australian Catholic University)</w:t>
      </w:r>
      <w:r w:rsidR="00012DB4">
        <w:rPr>
          <w:rFonts w:cstheme="minorHAnsi"/>
        </w:rPr>
        <w:t xml:space="preserve"> (2021b</w:t>
      </w:r>
      <w:r w:rsidR="00DE2F68">
        <w:rPr>
          <w:rFonts w:cstheme="minorHAnsi"/>
        </w:rPr>
        <w:t xml:space="preserve">) </w:t>
      </w:r>
      <w:r w:rsidR="00DE2F68" w:rsidRPr="00C4041F">
        <w:rPr>
          <w:rFonts w:cstheme="minorHAnsi"/>
          <w:i/>
          <w:iCs/>
        </w:rPr>
        <w:t>Profiling Progress in the Graduate Teach</w:t>
      </w:r>
      <w:r w:rsidR="00B826E6" w:rsidRPr="00C4041F">
        <w:rPr>
          <w:rFonts w:cstheme="minorHAnsi"/>
          <w:i/>
          <w:iCs/>
        </w:rPr>
        <w:t>er</w:t>
      </w:r>
      <w:r w:rsidR="00DE2F68" w:rsidRPr="00C4041F">
        <w:rPr>
          <w:rFonts w:cstheme="minorHAnsi"/>
          <w:i/>
          <w:iCs/>
        </w:rPr>
        <w:t xml:space="preserve"> Performance</w:t>
      </w:r>
      <w:r w:rsidR="00B826E6" w:rsidRPr="00C4041F">
        <w:rPr>
          <w:rFonts w:cstheme="minorHAnsi"/>
          <w:i/>
          <w:iCs/>
        </w:rPr>
        <w:t xml:space="preserve"> Assessment</w:t>
      </w:r>
      <w:r w:rsidR="00A75628" w:rsidRPr="00C4041F">
        <w:rPr>
          <w:rFonts w:cstheme="minorHAnsi"/>
          <w:i/>
          <w:iCs/>
        </w:rPr>
        <w:t xml:space="preserve"> Collective</w:t>
      </w:r>
      <w:r w:rsidR="00052510" w:rsidRPr="00C4041F">
        <w:rPr>
          <w:rFonts w:cstheme="minorHAnsi"/>
          <w:i/>
          <w:iCs/>
        </w:rPr>
        <w:t>: Implementing an Established Standard</w:t>
      </w:r>
      <w:r w:rsidR="0091359C">
        <w:rPr>
          <w:rFonts w:cstheme="minorHAnsi"/>
        </w:rPr>
        <w:t xml:space="preserve">, </w:t>
      </w:r>
      <w:r w:rsidR="003A0B24">
        <w:rPr>
          <w:rFonts w:cstheme="minorHAnsi"/>
        </w:rPr>
        <w:t>Brisbane</w:t>
      </w:r>
      <w:r w:rsidR="00914EA3">
        <w:rPr>
          <w:rFonts w:cstheme="minorHAnsi"/>
        </w:rPr>
        <w:t>.</w:t>
      </w:r>
    </w:p>
    <w:p w14:paraId="4A42F0E9" w14:textId="38ED5F82" w:rsidR="00311A3D" w:rsidRPr="004C5164" w:rsidRDefault="009E5D98" w:rsidP="00D045C1">
      <w:pPr>
        <w:spacing w:line="240" w:lineRule="auto"/>
        <w:ind w:left="720" w:hanging="720"/>
        <w:rPr>
          <w:rFonts w:cstheme="minorHAnsi"/>
        </w:rPr>
      </w:pPr>
      <w:r w:rsidRPr="004C5164">
        <w:rPr>
          <w:rFonts w:cstheme="minorHAnsi"/>
        </w:rPr>
        <w:t xml:space="preserve">AITSL </w:t>
      </w:r>
      <w:r>
        <w:rPr>
          <w:rFonts w:cstheme="minorHAnsi"/>
        </w:rPr>
        <w:t xml:space="preserve">(Australian Institute for Teaching and School Leadership) </w:t>
      </w:r>
      <w:r w:rsidRPr="004C5164">
        <w:rPr>
          <w:rFonts w:cstheme="minorHAnsi"/>
        </w:rPr>
        <w:t>(</w:t>
      </w:r>
      <w:r w:rsidR="00311A3D">
        <w:rPr>
          <w:rFonts w:cstheme="minorHAnsi"/>
        </w:rPr>
        <w:t>2016a)</w:t>
      </w:r>
      <w:r w:rsidR="00311A3D" w:rsidRPr="00A016FA">
        <w:rPr>
          <w:rFonts w:cstheme="minorHAnsi"/>
          <w:i/>
          <w:iCs/>
        </w:rPr>
        <w:t xml:space="preserve"> </w:t>
      </w:r>
      <w:r w:rsidR="008671E8" w:rsidRPr="00802E2E">
        <w:rPr>
          <w:i/>
          <w:iCs/>
        </w:rPr>
        <w:t>Graduate to Proficient: Australian guidelines for teacher induction into the profession</w:t>
      </w:r>
      <w:r w:rsidR="00311A3D">
        <w:rPr>
          <w:rFonts w:cstheme="minorHAnsi"/>
        </w:rPr>
        <w:t>, Melbourne</w:t>
      </w:r>
      <w:r w:rsidR="00E9008B">
        <w:rPr>
          <w:rFonts w:cstheme="minorHAnsi"/>
        </w:rPr>
        <w:t xml:space="preserve">. </w:t>
      </w:r>
      <w:hyperlink r:id="rId59" w:history="1">
        <w:r w:rsidR="008671E8" w:rsidRPr="00C545CE">
          <w:rPr>
            <w:rStyle w:val="Hyperlink"/>
            <w:rFonts w:cstheme="minorHAnsi"/>
          </w:rPr>
          <w:t>https://www.aitsl.edu.au/docs/default-source/national-policy-framework/graduate-to-proficient.pdf?sfvrsn=e27fff3c_6</w:t>
        </w:r>
      </w:hyperlink>
      <w:r w:rsidR="008671E8">
        <w:rPr>
          <w:rFonts w:cstheme="minorHAnsi"/>
        </w:rPr>
        <w:t xml:space="preserve"> </w:t>
      </w:r>
    </w:p>
    <w:p w14:paraId="70D8DA7D" w14:textId="38807578" w:rsidR="00311A3D" w:rsidRPr="00C20A05" w:rsidRDefault="00311A3D" w:rsidP="00C20A05">
      <w:pPr>
        <w:spacing w:line="240" w:lineRule="auto"/>
        <w:ind w:left="720" w:hanging="720"/>
        <w:rPr>
          <w:rFonts w:cstheme="minorHAnsi"/>
          <w:color w:val="0563C1" w:themeColor="hyperlink"/>
          <w:u w:val="single"/>
        </w:rPr>
      </w:pPr>
      <w:r w:rsidRPr="004C5164">
        <w:rPr>
          <w:rFonts w:cstheme="minorHAnsi"/>
        </w:rPr>
        <w:t>AITSL (2016</w:t>
      </w:r>
      <w:r>
        <w:rPr>
          <w:rFonts w:cstheme="minorHAnsi"/>
        </w:rPr>
        <w:t>b</w:t>
      </w:r>
      <w:r w:rsidRPr="004C5164">
        <w:rPr>
          <w:rFonts w:cstheme="minorHAnsi"/>
        </w:rPr>
        <w:t xml:space="preserve">) </w:t>
      </w:r>
      <w:r w:rsidR="008671E8" w:rsidRPr="002269A2">
        <w:rPr>
          <w:i/>
          <w:iCs/>
        </w:rPr>
        <w:t>Spotlight: What do we know about early career teacher attrition rates in Australia?</w:t>
      </w:r>
      <w:r w:rsidR="008671E8">
        <w:rPr>
          <w:rStyle w:val="Hyperlink"/>
          <w:rFonts w:cstheme="minorHAnsi"/>
          <w:i/>
          <w:iCs/>
        </w:rPr>
        <w:t>,</w:t>
      </w:r>
      <w:r w:rsidRPr="00BE6902">
        <w:rPr>
          <w:rStyle w:val="Hyperlink"/>
          <w:rFonts w:cstheme="minorHAnsi"/>
          <w:color w:val="000000" w:themeColor="text1"/>
          <w:u w:val="none"/>
        </w:rPr>
        <w:t xml:space="preserve"> Melbourne.</w:t>
      </w:r>
      <w:r w:rsidR="008671E8">
        <w:rPr>
          <w:rStyle w:val="Hyperlink"/>
          <w:rFonts w:cstheme="minorHAnsi"/>
          <w:color w:val="000000" w:themeColor="text1"/>
          <w:u w:val="none"/>
        </w:rPr>
        <w:t xml:space="preserve"> </w:t>
      </w:r>
      <w:hyperlink r:id="rId60" w:history="1">
        <w:r w:rsidR="008671E8" w:rsidRPr="00C545CE">
          <w:rPr>
            <w:rStyle w:val="Hyperlink"/>
            <w:rFonts w:cstheme="minorHAnsi"/>
          </w:rPr>
          <w:t>https://www.aitsl.edu.au/docs/default-source/research-evidence/spotlight/spotlight---attrition.pdf?sfvrsn=40d1ed3c_0</w:t>
        </w:r>
      </w:hyperlink>
      <w:r w:rsidR="008671E8">
        <w:rPr>
          <w:rStyle w:val="Hyperlink"/>
          <w:rFonts w:cstheme="minorHAnsi"/>
          <w:color w:val="000000" w:themeColor="text1"/>
          <w:u w:val="none"/>
        </w:rPr>
        <w:t xml:space="preserve"> </w:t>
      </w:r>
    </w:p>
    <w:p w14:paraId="1A54F760" w14:textId="05824524" w:rsidR="00F322C0" w:rsidRDefault="00F322C0" w:rsidP="00C20A05">
      <w:pPr>
        <w:spacing w:line="240" w:lineRule="auto"/>
        <w:ind w:left="720" w:hanging="720"/>
        <w:rPr>
          <w:rFonts w:cstheme="minorHAnsi"/>
        </w:rPr>
      </w:pPr>
      <w:r>
        <w:rPr>
          <w:rFonts w:cstheme="minorHAnsi"/>
        </w:rPr>
        <w:t xml:space="preserve">AITSL (2018) </w:t>
      </w:r>
      <w:r w:rsidR="008671E8" w:rsidRPr="002269A2">
        <w:rPr>
          <w:i/>
          <w:iCs/>
        </w:rPr>
        <w:t>Australian Professional Standards for Teachers</w:t>
      </w:r>
      <w:r>
        <w:rPr>
          <w:rFonts w:cstheme="minorHAnsi"/>
        </w:rPr>
        <w:t>, Melbourne</w:t>
      </w:r>
      <w:r w:rsidR="008671E8">
        <w:rPr>
          <w:rFonts w:cstheme="minorHAnsi"/>
        </w:rPr>
        <w:t xml:space="preserve">. </w:t>
      </w:r>
      <w:hyperlink r:id="rId61" w:history="1">
        <w:r w:rsidR="008671E8" w:rsidRPr="00C545CE">
          <w:rPr>
            <w:rStyle w:val="Hyperlink"/>
            <w:rFonts w:cstheme="minorHAnsi"/>
          </w:rPr>
          <w:t>https://www.aitsl.edu.au/docs/default-source/national-policy-framework/australian-professional-standards-for-teachers.pdf</w:t>
        </w:r>
      </w:hyperlink>
      <w:r w:rsidR="008671E8">
        <w:rPr>
          <w:rFonts w:cstheme="minorHAnsi"/>
        </w:rPr>
        <w:t xml:space="preserve"> </w:t>
      </w:r>
    </w:p>
    <w:p w14:paraId="7ED567A1" w14:textId="33D4121A" w:rsidR="00A86C84" w:rsidRDefault="00A86C84" w:rsidP="009E5D98">
      <w:pPr>
        <w:spacing w:line="240" w:lineRule="auto"/>
        <w:ind w:left="720" w:hanging="720"/>
        <w:rPr>
          <w:rFonts w:cstheme="minorHAnsi"/>
        </w:rPr>
      </w:pPr>
      <w:r>
        <w:rPr>
          <w:rFonts w:cstheme="minorHAnsi"/>
        </w:rPr>
        <w:t xml:space="preserve">AITSL (2021a) </w:t>
      </w:r>
      <w:r w:rsidR="00FF0F6F" w:rsidRPr="002269A2">
        <w:rPr>
          <w:i/>
          <w:iCs/>
        </w:rPr>
        <w:t>Spotlight: The impact of Aboriginal and Torres Strait Islander Educators</w:t>
      </w:r>
      <w:r w:rsidR="005875C3">
        <w:rPr>
          <w:rFonts w:cstheme="minorHAnsi"/>
        </w:rPr>
        <w:t>, Melbourne</w:t>
      </w:r>
      <w:r w:rsidR="00FF0F6F">
        <w:rPr>
          <w:rFonts w:cstheme="minorHAnsi"/>
        </w:rPr>
        <w:t xml:space="preserve">. </w:t>
      </w:r>
      <w:hyperlink r:id="rId62" w:history="1">
        <w:r w:rsidR="00BC152E" w:rsidRPr="00D244C5">
          <w:rPr>
            <w:rStyle w:val="Hyperlink"/>
            <w:rFonts w:cstheme="minorHAnsi"/>
          </w:rPr>
          <w:t>https://www.aitsl.edu.au/research/spotlight/the-impact-of-aboriginal-and-torres-strait-islander-educators</w:t>
        </w:r>
      </w:hyperlink>
      <w:r w:rsidR="00BC152E">
        <w:rPr>
          <w:rFonts w:cstheme="minorHAnsi"/>
        </w:rPr>
        <w:t xml:space="preserve"> </w:t>
      </w:r>
    </w:p>
    <w:p w14:paraId="20ABE803" w14:textId="457D8678" w:rsidR="009E5D98" w:rsidRPr="004C5164" w:rsidRDefault="009E5D98" w:rsidP="009E5D98">
      <w:pPr>
        <w:spacing w:line="240" w:lineRule="auto"/>
        <w:ind w:left="720" w:hanging="720"/>
        <w:rPr>
          <w:rFonts w:cstheme="minorHAnsi"/>
        </w:rPr>
      </w:pPr>
      <w:r w:rsidRPr="004C5164">
        <w:rPr>
          <w:rFonts w:cstheme="minorHAnsi"/>
        </w:rPr>
        <w:t>AITSL (2021</w:t>
      </w:r>
      <w:r w:rsidR="00A86C84">
        <w:rPr>
          <w:rFonts w:cstheme="minorHAnsi"/>
        </w:rPr>
        <w:t>b</w:t>
      </w:r>
      <w:r w:rsidRPr="004C5164">
        <w:rPr>
          <w:rFonts w:cstheme="minorHAnsi"/>
        </w:rPr>
        <w:t xml:space="preserve">) </w:t>
      </w:r>
      <w:r w:rsidR="00FF0F6F" w:rsidRPr="009C2C64">
        <w:rPr>
          <w:i/>
          <w:iCs/>
        </w:rPr>
        <w:t>Teaching Futures Background Paper</w:t>
      </w:r>
      <w:r>
        <w:rPr>
          <w:rFonts w:cstheme="minorHAnsi"/>
        </w:rPr>
        <w:t xml:space="preserve">, Melbourne. </w:t>
      </w:r>
      <w:hyperlink r:id="rId63" w:history="1">
        <w:r w:rsidR="000D19A1" w:rsidRPr="008477BF">
          <w:rPr>
            <w:rStyle w:val="Hyperlink"/>
            <w:rFonts w:cstheme="minorHAnsi"/>
          </w:rPr>
          <w:t>https://www.aitsl.edu.au/teachingfutures</w:t>
        </w:r>
      </w:hyperlink>
      <w:r w:rsidR="000D19A1">
        <w:rPr>
          <w:rFonts w:cstheme="minorHAnsi"/>
        </w:rPr>
        <w:t xml:space="preserve"> </w:t>
      </w:r>
      <w:r w:rsidRPr="004C5164">
        <w:rPr>
          <w:rFonts w:cstheme="minorHAnsi"/>
        </w:rPr>
        <w:t xml:space="preserve"> </w:t>
      </w:r>
    </w:p>
    <w:p w14:paraId="0ED69F6F" w14:textId="3298526A" w:rsidR="009E5D98" w:rsidRPr="00FA4CC3" w:rsidRDefault="009E5D98" w:rsidP="009E5D98">
      <w:pPr>
        <w:spacing w:line="240" w:lineRule="auto"/>
        <w:ind w:left="720" w:hanging="720"/>
        <w:rPr>
          <w:rFonts w:cstheme="minorHAnsi"/>
          <w:i/>
          <w:iCs/>
          <w:color w:val="222222"/>
          <w:shd w:val="clear" w:color="auto" w:fill="FFFFFF"/>
        </w:rPr>
      </w:pPr>
      <w:r w:rsidRPr="004C5164">
        <w:rPr>
          <w:rFonts w:cstheme="minorHAnsi"/>
          <w:color w:val="222222"/>
          <w:shd w:val="clear" w:color="auto" w:fill="FFFFFF"/>
        </w:rPr>
        <w:t>Australian Government Productivity Commission</w:t>
      </w:r>
      <w:r>
        <w:rPr>
          <w:rFonts w:cstheme="minorHAnsi"/>
          <w:color w:val="222222"/>
          <w:shd w:val="clear" w:color="auto" w:fill="FFFFFF"/>
        </w:rPr>
        <w:t xml:space="preserve"> (2017) </w:t>
      </w:r>
      <w:r w:rsidR="00FF0F6F" w:rsidRPr="004A4F7B">
        <w:rPr>
          <w:i/>
          <w:iCs/>
        </w:rPr>
        <w:t>Shifting the Dial: 5 Year Productivity Review</w:t>
      </w:r>
      <w:r>
        <w:rPr>
          <w:rFonts w:cstheme="minorHAnsi"/>
          <w:color w:val="222222"/>
          <w:shd w:val="clear" w:color="auto" w:fill="FFFFFF"/>
        </w:rPr>
        <w:t>,</w:t>
      </w:r>
      <w:r w:rsidRPr="008A526C">
        <w:t xml:space="preserve"> </w:t>
      </w:r>
      <w:r w:rsidRPr="008A526C">
        <w:rPr>
          <w:rFonts w:cstheme="minorHAnsi"/>
          <w:color w:val="222222"/>
          <w:shd w:val="clear" w:color="auto" w:fill="FFFFFF"/>
        </w:rPr>
        <w:t>Report No. 84, Canberra</w:t>
      </w:r>
      <w:r>
        <w:rPr>
          <w:rFonts w:cstheme="minorHAnsi"/>
          <w:color w:val="222222"/>
          <w:shd w:val="clear" w:color="auto" w:fill="FFFFFF"/>
        </w:rPr>
        <w:t xml:space="preserve">. </w:t>
      </w:r>
      <w:hyperlink r:id="rId64" w:history="1">
        <w:r w:rsidR="00004068" w:rsidRPr="008477BF">
          <w:rPr>
            <w:rStyle w:val="Hyperlink"/>
          </w:rPr>
          <w:t>https://www.pc.gov.au/inquiries/completed/productivity-review/report</w:t>
        </w:r>
      </w:hyperlink>
      <w:r w:rsidR="00004068">
        <w:t xml:space="preserve"> </w:t>
      </w:r>
    </w:p>
    <w:p w14:paraId="44EAB9F9" w14:textId="7D195CA6" w:rsidR="00DE2064" w:rsidRPr="00DE2064" w:rsidRDefault="009E5D98" w:rsidP="009E5D98">
      <w:pPr>
        <w:spacing w:line="240" w:lineRule="auto"/>
        <w:ind w:left="720" w:hanging="720"/>
        <w:rPr>
          <w:rFonts w:cstheme="minorHAnsi"/>
          <w:color w:val="222222"/>
          <w:shd w:val="clear" w:color="auto" w:fill="FFFFFF"/>
        </w:rPr>
      </w:pPr>
      <w:r w:rsidRPr="004C5164">
        <w:rPr>
          <w:rFonts w:cstheme="minorHAnsi"/>
          <w:color w:val="222222"/>
          <w:shd w:val="clear" w:color="auto" w:fill="FFFFFF"/>
        </w:rPr>
        <w:t>Buckingham</w:t>
      </w:r>
      <w:r w:rsidR="00216321">
        <w:rPr>
          <w:rFonts w:cstheme="minorHAnsi"/>
          <w:color w:val="222222"/>
          <w:shd w:val="clear" w:color="auto" w:fill="FFFFFF"/>
        </w:rPr>
        <w:t xml:space="preserve"> </w:t>
      </w:r>
      <w:r w:rsidRPr="004C5164">
        <w:rPr>
          <w:rFonts w:cstheme="minorHAnsi"/>
          <w:color w:val="222222"/>
          <w:shd w:val="clear" w:color="auto" w:fill="FFFFFF"/>
        </w:rPr>
        <w:t>J</w:t>
      </w:r>
      <w:r w:rsidR="00216321">
        <w:rPr>
          <w:rFonts w:cstheme="minorHAnsi"/>
          <w:color w:val="222222"/>
          <w:shd w:val="clear" w:color="auto" w:fill="FFFFFF"/>
        </w:rPr>
        <w:t xml:space="preserve"> and</w:t>
      </w:r>
      <w:r w:rsidRPr="004C5164">
        <w:rPr>
          <w:rFonts w:cstheme="minorHAnsi"/>
          <w:color w:val="222222"/>
          <w:shd w:val="clear" w:color="auto" w:fill="FFFFFF"/>
        </w:rPr>
        <w:t xml:space="preserve"> Meeks </w:t>
      </w:r>
      <w:r w:rsidRPr="00DE2064">
        <w:rPr>
          <w:rFonts w:cstheme="minorHAnsi"/>
          <w:color w:val="222222"/>
          <w:shd w:val="clear" w:color="auto" w:fill="FFFFFF"/>
        </w:rPr>
        <w:t xml:space="preserve">L (2019) </w:t>
      </w:r>
      <w:r w:rsidR="00FF0F6F" w:rsidRPr="000136C8">
        <w:rPr>
          <w:rFonts w:cstheme="minorHAnsi"/>
          <w:i/>
          <w:iCs/>
        </w:rPr>
        <w:t>Short-Changed: Preparation To Teach Reading In Initial Teacher Education Final Report</w:t>
      </w:r>
      <w:r w:rsidRPr="00DE2064">
        <w:rPr>
          <w:rFonts w:cstheme="minorHAnsi"/>
          <w:color w:val="222222"/>
          <w:shd w:val="clear" w:color="auto" w:fill="FFFFFF"/>
        </w:rPr>
        <w:t xml:space="preserve">, MultiLit, </w:t>
      </w:r>
      <w:r w:rsidRPr="00914EA3">
        <w:rPr>
          <w:rFonts w:cstheme="minorHAnsi"/>
          <w:color w:val="auto"/>
          <w:shd w:val="clear" w:color="auto" w:fill="FFFFFF"/>
        </w:rPr>
        <w:t>Sydney</w:t>
      </w:r>
      <w:r w:rsidR="00914EA3" w:rsidRPr="00914EA3">
        <w:rPr>
          <w:rFonts w:cstheme="minorHAnsi"/>
          <w:color w:val="auto"/>
          <w:shd w:val="clear" w:color="auto" w:fill="FFFFFF"/>
        </w:rPr>
        <w:t>,</w:t>
      </w:r>
      <w:r w:rsidRPr="00914EA3">
        <w:rPr>
          <w:rFonts w:cstheme="minorHAnsi"/>
          <w:color w:val="auto"/>
          <w:shd w:val="clear" w:color="auto" w:fill="FFFFFF"/>
        </w:rPr>
        <w:t xml:space="preserve"> </w:t>
      </w:r>
      <w:r w:rsidR="00914EA3" w:rsidRPr="00914EA3">
        <w:rPr>
          <w:rFonts w:cstheme="minorHAnsi"/>
          <w:color w:val="auto"/>
          <w:shd w:val="clear" w:color="auto" w:fill="FFFFFF"/>
        </w:rPr>
        <w:t>doi</w:t>
      </w:r>
      <w:r w:rsidR="00DE2064" w:rsidRPr="00914EA3">
        <w:rPr>
          <w:rFonts w:cstheme="minorHAnsi"/>
          <w:color w:val="auto"/>
          <w:shd w:val="clear" w:color="auto" w:fill="FFFFFF"/>
        </w:rPr>
        <w:t>:</w:t>
      </w:r>
      <w:hyperlink r:id="rId65" w:tgtFrame="_blank" w:history="1">
        <w:r w:rsidR="00DE2064" w:rsidRPr="00DE2064">
          <w:rPr>
            <w:rStyle w:val="Hyperlink"/>
            <w:rFonts w:cstheme="minorHAnsi"/>
            <w:bdr w:val="none" w:sz="0" w:space="0" w:color="auto" w:frame="1"/>
            <w:shd w:val="clear" w:color="auto" w:fill="FFFFFF"/>
          </w:rPr>
          <w:t>10.13140/RG.2.2.29582.72001</w:t>
        </w:r>
      </w:hyperlink>
      <w:r w:rsidR="00DE2064" w:rsidRPr="00DE2064">
        <w:rPr>
          <w:rFonts w:cstheme="minorHAnsi"/>
          <w:color w:val="222222"/>
          <w:shd w:val="clear" w:color="auto" w:fill="FFFFFF"/>
        </w:rPr>
        <w:t xml:space="preserve"> </w:t>
      </w:r>
    </w:p>
    <w:p w14:paraId="50636872" w14:textId="5083A708" w:rsidR="00A465DF" w:rsidRPr="004C5164" w:rsidRDefault="00A465DF" w:rsidP="009E5D98">
      <w:pPr>
        <w:spacing w:line="240" w:lineRule="auto"/>
        <w:ind w:left="720" w:hanging="720"/>
        <w:rPr>
          <w:rFonts w:cstheme="minorHAnsi"/>
          <w:color w:val="222222"/>
          <w:shd w:val="clear" w:color="auto" w:fill="FFFFFF"/>
        </w:rPr>
      </w:pPr>
      <w:r>
        <w:rPr>
          <w:rFonts w:cstheme="minorHAnsi"/>
          <w:color w:val="222222"/>
          <w:shd w:val="clear" w:color="auto" w:fill="FFFFFF"/>
        </w:rPr>
        <w:t>Buckskin P (201</w:t>
      </w:r>
      <w:r w:rsidR="00870A66">
        <w:rPr>
          <w:rFonts w:cstheme="minorHAnsi"/>
          <w:color w:val="222222"/>
          <w:shd w:val="clear" w:color="auto" w:fill="FFFFFF"/>
        </w:rPr>
        <w:t>7</w:t>
      </w:r>
      <w:r>
        <w:rPr>
          <w:rFonts w:cstheme="minorHAnsi"/>
          <w:color w:val="222222"/>
          <w:shd w:val="clear" w:color="auto" w:fill="FFFFFF"/>
        </w:rPr>
        <w:t xml:space="preserve">) </w:t>
      </w:r>
      <w:r w:rsidR="00FF0F6F" w:rsidRPr="00455C55">
        <w:rPr>
          <w:i/>
          <w:iCs/>
        </w:rPr>
        <w:t>More Aboriginal and Torres Strait Islander Teachers Initiative</w:t>
      </w:r>
      <w:r w:rsidR="00870A66">
        <w:rPr>
          <w:i/>
          <w:iCs/>
        </w:rPr>
        <w:t xml:space="preserve"> (MATSITI)</w:t>
      </w:r>
      <w:r w:rsidR="00FF0F6F" w:rsidRPr="00455C55">
        <w:rPr>
          <w:i/>
          <w:iCs/>
        </w:rPr>
        <w:t>: Final Report</w:t>
      </w:r>
      <w:r w:rsidR="00E462D3">
        <w:rPr>
          <w:rFonts w:cstheme="minorHAnsi"/>
          <w:color w:val="222222"/>
          <w:shd w:val="clear" w:color="auto" w:fill="FFFFFF"/>
        </w:rPr>
        <w:t xml:space="preserve">, </w:t>
      </w:r>
      <w:r w:rsidR="00D40285">
        <w:rPr>
          <w:rFonts w:cstheme="minorHAnsi"/>
          <w:color w:val="222222"/>
          <w:shd w:val="clear" w:color="auto" w:fill="FFFFFF"/>
        </w:rPr>
        <w:t>University of South Australia.</w:t>
      </w:r>
      <w:r w:rsidR="00FF0F6F">
        <w:rPr>
          <w:rFonts w:cstheme="minorHAnsi"/>
          <w:color w:val="222222"/>
          <w:shd w:val="clear" w:color="auto" w:fill="FFFFFF"/>
        </w:rPr>
        <w:t xml:space="preserve"> </w:t>
      </w:r>
    </w:p>
    <w:p w14:paraId="0A40432F" w14:textId="5C6D8B48" w:rsidR="009E5D98" w:rsidRPr="00775681" w:rsidRDefault="009E5D98" w:rsidP="009E5D98">
      <w:pPr>
        <w:spacing w:line="240" w:lineRule="auto"/>
        <w:ind w:left="720" w:hanging="720"/>
        <w:rPr>
          <w:rFonts w:cstheme="minorHAnsi"/>
          <w:i/>
          <w:iCs/>
          <w:color w:val="222222"/>
          <w:shd w:val="clear" w:color="auto" w:fill="FFFFFF"/>
        </w:rPr>
      </w:pPr>
      <w:r>
        <w:rPr>
          <w:rFonts w:cstheme="minorHAnsi"/>
          <w:color w:val="222222"/>
          <w:shd w:val="clear" w:color="auto" w:fill="FFFFFF"/>
        </w:rPr>
        <w:t>CAA (</w:t>
      </w:r>
      <w:r w:rsidRPr="004C5164">
        <w:rPr>
          <w:rFonts w:cstheme="minorHAnsi"/>
          <w:color w:val="222222"/>
          <w:shd w:val="clear" w:color="auto" w:fill="FFFFFF"/>
        </w:rPr>
        <w:t>Career Advisers Association</w:t>
      </w:r>
      <w:r>
        <w:rPr>
          <w:rFonts w:cstheme="minorHAnsi"/>
          <w:color w:val="222222"/>
          <w:shd w:val="clear" w:color="auto" w:fill="FFFFFF"/>
        </w:rPr>
        <w:t>)</w:t>
      </w:r>
      <w:r w:rsidRPr="004C5164">
        <w:rPr>
          <w:rFonts w:cstheme="minorHAnsi"/>
          <w:color w:val="222222"/>
          <w:shd w:val="clear" w:color="auto" w:fill="FFFFFF"/>
        </w:rPr>
        <w:t xml:space="preserve"> (2020) </w:t>
      </w:r>
      <w:r w:rsidR="00FF0F6F" w:rsidRPr="005139C2">
        <w:rPr>
          <w:i/>
          <w:iCs/>
        </w:rPr>
        <w:t>The Role of Careers Advisers in High Schools, Careers Advisers Association NSW &amp; ACT</w:t>
      </w:r>
      <w:r w:rsidR="00563E91">
        <w:t xml:space="preserve"> [PDF 4.75MB]</w:t>
      </w:r>
      <w:r w:rsidRPr="00563E91">
        <w:rPr>
          <w:rFonts w:cstheme="minorHAnsi"/>
          <w:color w:val="222222"/>
          <w:shd w:val="clear" w:color="auto" w:fill="FFFFFF"/>
        </w:rPr>
        <w:t>.</w:t>
      </w:r>
      <w:r>
        <w:rPr>
          <w:rFonts w:cstheme="minorHAnsi"/>
          <w:color w:val="222222"/>
          <w:shd w:val="clear" w:color="auto" w:fill="FFFFFF"/>
        </w:rPr>
        <w:t xml:space="preserve"> </w:t>
      </w:r>
      <w:hyperlink r:id="rId66" w:history="1">
        <w:r w:rsidR="00FF0F6F" w:rsidRPr="00C545CE">
          <w:rPr>
            <w:rStyle w:val="Hyperlink"/>
            <w:rFonts w:cstheme="minorHAnsi"/>
            <w:shd w:val="clear" w:color="auto" w:fill="FFFFFF"/>
          </w:rPr>
          <w:t>https://www.caa.edu.au/client_images/2245321.</w:t>
        </w:r>
        <w:r w:rsidR="00FF0F6F" w:rsidRPr="00563E91">
          <w:rPr>
            <w:rStyle w:val="Hyperlink"/>
            <w:rFonts w:cstheme="minorHAnsi"/>
            <w:shd w:val="clear" w:color="auto" w:fill="FFFFFF"/>
          </w:rPr>
          <w:t>pdf</w:t>
        </w:r>
      </w:hyperlink>
      <w:r w:rsidR="00FF0F6F">
        <w:rPr>
          <w:rFonts w:cstheme="minorHAnsi"/>
          <w:color w:val="222222"/>
          <w:shd w:val="clear" w:color="auto" w:fill="FFFFFF"/>
        </w:rPr>
        <w:t xml:space="preserve"> </w:t>
      </w:r>
    </w:p>
    <w:p w14:paraId="5E5E0FB4" w14:textId="526E04C2" w:rsidR="009E5D98" w:rsidRDefault="009E5D98" w:rsidP="009E5D98">
      <w:pPr>
        <w:spacing w:line="240" w:lineRule="auto"/>
        <w:ind w:left="720" w:hanging="720"/>
        <w:rPr>
          <w:rFonts w:cstheme="minorHAnsi"/>
        </w:rPr>
      </w:pPr>
      <w:r w:rsidRPr="00F23514">
        <w:rPr>
          <w:rFonts w:cstheme="minorHAnsi"/>
        </w:rPr>
        <w:t xml:space="preserve">Castles A, Rastle K </w:t>
      </w:r>
      <w:r w:rsidR="00814F73" w:rsidRPr="00F23514">
        <w:rPr>
          <w:rFonts w:cstheme="minorHAnsi"/>
        </w:rPr>
        <w:t>and</w:t>
      </w:r>
      <w:r w:rsidRPr="00F23514">
        <w:rPr>
          <w:rFonts w:cstheme="minorHAnsi"/>
        </w:rPr>
        <w:t xml:space="preserve"> Nation K (2018) </w:t>
      </w:r>
      <w:r w:rsidR="008D2128" w:rsidRPr="00F23514">
        <w:rPr>
          <w:rFonts w:cstheme="minorHAnsi"/>
        </w:rPr>
        <w:t>‘</w:t>
      </w:r>
      <w:r w:rsidRPr="00F23514">
        <w:rPr>
          <w:rFonts w:cstheme="minorHAnsi"/>
        </w:rPr>
        <w:t>Ending the Reading Wars: Reading Acquisition From Novice to Expert</w:t>
      </w:r>
      <w:r w:rsidR="009E6C3A" w:rsidRPr="00F23514">
        <w:rPr>
          <w:rFonts w:cstheme="minorHAnsi"/>
        </w:rPr>
        <w:t>’</w:t>
      </w:r>
      <w:r w:rsidRPr="00F23514">
        <w:rPr>
          <w:rFonts w:cstheme="minorHAnsi"/>
        </w:rPr>
        <w:t xml:space="preserve">, </w:t>
      </w:r>
      <w:r w:rsidRPr="00F23514">
        <w:rPr>
          <w:rFonts w:cstheme="minorHAnsi"/>
          <w:i/>
          <w:iCs/>
        </w:rPr>
        <w:t>Psychological Science in the Public Interest</w:t>
      </w:r>
      <w:r w:rsidRPr="00F23514">
        <w:rPr>
          <w:rFonts w:cstheme="minorHAnsi"/>
        </w:rPr>
        <w:t>, 19(1)</w:t>
      </w:r>
      <w:r w:rsidR="002E5036" w:rsidRPr="00F23514">
        <w:rPr>
          <w:rFonts w:cstheme="minorHAnsi"/>
        </w:rPr>
        <w:t>:</w:t>
      </w:r>
      <w:r w:rsidRPr="00F23514">
        <w:rPr>
          <w:rFonts w:cstheme="minorHAnsi"/>
        </w:rPr>
        <w:t>5–51</w:t>
      </w:r>
      <w:r w:rsidR="00EB0AD0">
        <w:rPr>
          <w:rFonts w:cstheme="minorHAnsi"/>
        </w:rPr>
        <w:t>,</w:t>
      </w:r>
      <w:r w:rsidRPr="00F23514">
        <w:rPr>
          <w:rFonts w:cstheme="minorHAnsi"/>
        </w:rPr>
        <w:t xml:space="preserve"> </w:t>
      </w:r>
      <w:r w:rsidR="001F0FE6">
        <w:rPr>
          <w:rFonts w:cstheme="minorHAnsi"/>
          <w:color w:val="333333"/>
          <w:shd w:val="clear" w:color="auto" w:fill="FFFFFF"/>
        </w:rPr>
        <w:t>doi</w:t>
      </w:r>
      <w:r w:rsidR="00F23514" w:rsidRPr="00F23514">
        <w:rPr>
          <w:rFonts w:cstheme="minorHAnsi"/>
          <w:color w:val="333333"/>
          <w:shd w:val="clear" w:color="auto" w:fill="FFFFFF"/>
        </w:rPr>
        <w:t>:</w:t>
      </w:r>
      <w:hyperlink r:id="rId67" w:history="1">
        <w:r w:rsidR="00F23514" w:rsidRPr="00F23514">
          <w:rPr>
            <w:rStyle w:val="Hyperlink"/>
            <w:rFonts w:cstheme="minorHAnsi"/>
            <w:color w:val="006ACC"/>
            <w:shd w:val="clear" w:color="auto" w:fill="FFFFFF"/>
          </w:rPr>
          <w:t>10.1177/1529100618772271</w:t>
        </w:r>
      </w:hyperlink>
    </w:p>
    <w:p w14:paraId="598D5DFB" w14:textId="1A15DB1E" w:rsidR="009E5D98" w:rsidRPr="004C5164" w:rsidRDefault="004B5B4E" w:rsidP="009E5D98">
      <w:pPr>
        <w:spacing w:line="240" w:lineRule="auto"/>
        <w:ind w:left="720" w:hanging="720"/>
        <w:rPr>
          <w:rFonts w:cstheme="minorHAnsi"/>
        </w:rPr>
      </w:pPr>
      <w:r>
        <w:rPr>
          <w:rFonts w:cstheme="minorHAnsi"/>
        </w:rPr>
        <w:t>dandolopartners</w:t>
      </w:r>
      <w:r w:rsidR="009E5D98" w:rsidRPr="004C5164">
        <w:rPr>
          <w:rFonts w:cstheme="minorHAnsi"/>
        </w:rPr>
        <w:t xml:space="preserve"> (2017) </w:t>
      </w:r>
      <w:r w:rsidR="00B1775C" w:rsidRPr="002269A2">
        <w:rPr>
          <w:i/>
          <w:iCs/>
        </w:rPr>
        <w:t xml:space="preserve">Teach </w:t>
      </w:r>
      <w:r w:rsidR="00732F8F">
        <w:rPr>
          <w:i/>
          <w:iCs/>
        </w:rPr>
        <w:t>F</w:t>
      </w:r>
      <w:r w:rsidR="00B1775C" w:rsidRPr="002269A2">
        <w:rPr>
          <w:i/>
          <w:iCs/>
        </w:rPr>
        <w:t>or Australia Program Evaluation Report</w:t>
      </w:r>
      <w:r w:rsidR="009E5D98">
        <w:rPr>
          <w:rFonts w:cstheme="minorHAnsi"/>
        </w:rPr>
        <w:t>, Canberra.</w:t>
      </w:r>
      <w:r w:rsidR="00B1775C">
        <w:rPr>
          <w:rFonts w:cstheme="minorHAnsi"/>
        </w:rPr>
        <w:t xml:space="preserve"> </w:t>
      </w:r>
      <w:hyperlink r:id="rId68" w:history="1">
        <w:r w:rsidR="00EC3017" w:rsidRPr="008477BF">
          <w:rPr>
            <w:rStyle w:val="Hyperlink"/>
          </w:rPr>
          <w:t>https://www.dese.gov.au/teaching-and-school-leadership/resources/teach-australia-program-evaluation-report</w:t>
        </w:r>
      </w:hyperlink>
      <w:r w:rsidR="00EC3017">
        <w:t xml:space="preserve"> </w:t>
      </w:r>
    </w:p>
    <w:p w14:paraId="1F5B4E1D" w14:textId="61B97033" w:rsidR="009E5D98" w:rsidRPr="004C5164" w:rsidRDefault="009E5D98" w:rsidP="009E5D98">
      <w:pPr>
        <w:spacing w:line="240" w:lineRule="auto"/>
        <w:ind w:left="720" w:hanging="720"/>
        <w:rPr>
          <w:rFonts w:cstheme="minorHAnsi"/>
          <w:color w:val="222222"/>
          <w:shd w:val="clear" w:color="auto" w:fill="FFFFFF"/>
        </w:rPr>
      </w:pPr>
      <w:r w:rsidRPr="00613CAD">
        <w:rPr>
          <w:rFonts w:cstheme="minorHAnsi"/>
        </w:rPr>
        <w:t xml:space="preserve">Darling-Hammond L (2017) </w:t>
      </w:r>
      <w:r w:rsidR="00AD016C" w:rsidRPr="00613CAD">
        <w:rPr>
          <w:rFonts w:cstheme="minorHAnsi"/>
        </w:rPr>
        <w:t>‘</w:t>
      </w:r>
      <w:r w:rsidRPr="00613CAD">
        <w:rPr>
          <w:rFonts w:cstheme="minorHAnsi"/>
        </w:rPr>
        <w:t>Teacher education around the world: What can we learn from international practice?</w:t>
      </w:r>
      <w:r w:rsidR="009E7898" w:rsidRPr="00BD24A6">
        <w:rPr>
          <w:rStyle w:val="Hyperlink"/>
          <w:rFonts w:cstheme="minorHAnsi"/>
          <w:u w:val="none"/>
        </w:rPr>
        <w:t>’,</w:t>
      </w:r>
      <w:r w:rsidRPr="00613CAD">
        <w:rPr>
          <w:rFonts w:cstheme="minorHAnsi"/>
        </w:rPr>
        <w:t xml:space="preserve"> </w:t>
      </w:r>
      <w:r w:rsidRPr="00613CAD">
        <w:rPr>
          <w:rFonts w:cstheme="minorHAnsi"/>
          <w:i/>
          <w:iCs/>
        </w:rPr>
        <w:t xml:space="preserve">European Journal of Teacher Education, </w:t>
      </w:r>
      <w:r w:rsidRPr="00613CAD">
        <w:rPr>
          <w:rFonts w:cstheme="minorHAnsi"/>
          <w:color w:val="222222"/>
          <w:shd w:val="clear" w:color="auto" w:fill="FFFFFF"/>
        </w:rPr>
        <w:t>40(3)</w:t>
      </w:r>
      <w:r w:rsidR="00703FAC" w:rsidRPr="00613CAD">
        <w:rPr>
          <w:rFonts w:cstheme="minorHAnsi"/>
          <w:color w:val="222222"/>
          <w:shd w:val="clear" w:color="auto" w:fill="FFFFFF"/>
        </w:rPr>
        <w:t>:</w:t>
      </w:r>
      <w:r w:rsidRPr="00613CAD">
        <w:rPr>
          <w:rFonts w:cstheme="minorHAnsi"/>
          <w:color w:val="222222"/>
          <w:shd w:val="clear" w:color="auto" w:fill="FFFFFF"/>
        </w:rPr>
        <w:t>291</w:t>
      </w:r>
      <w:r w:rsidR="00EC6FA5">
        <w:rPr>
          <w:rFonts w:cstheme="minorHAnsi"/>
        </w:rPr>
        <w:t>–</w:t>
      </w:r>
      <w:r w:rsidRPr="00613CAD">
        <w:rPr>
          <w:rFonts w:cstheme="minorHAnsi"/>
          <w:color w:val="222222"/>
          <w:shd w:val="clear" w:color="auto" w:fill="FFFFFF"/>
        </w:rPr>
        <w:t>309</w:t>
      </w:r>
      <w:r w:rsidR="00EB0AD0">
        <w:rPr>
          <w:rFonts w:cstheme="minorHAnsi"/>
          <w:color w:val="222222"/>
          <w:shd w:val="clear" w:color="auto" w:fill="FFFFFF"/>
        </w:rPr>
        <w:t>,</w:t>
      </w:r>
      <w:r w:rsidRPr="00613CAD">
        <w:rPr>
          <w:rFonts w:cstheme="minorHAnsi"/>
          <w:color w:val="222222"/>
          <w:shd w:val="clear" w:color="auto" w:fill="FFFFFF"/>
        </w:rPr>
        <w:t xml:space="preserve"> </w:t>
      </w:r>
      <w:r w:rsidR="001F0FE6">
        <w:rPr>
          <w:rFonts w:cstheme="minorHAnsi"/>
          <w:color w:val="333333"/>
          <w:shd w:val="clear" w:color="auto" w:fill="FFFFFF"/>
        </w:rPr>
        <w:t>doi</w:t>
      </w:r>
      <w:r w:rsidR="00613CAD" w:rsidRPr="00613CAD">
        <w:rPr>
          <w:rFonts w:cstheme="minorHAnsi"/>
          <w:color w:val="333333"/>
          <w:shd w:val="clear" w:color="auto" w:fill="FFFFFF"/>
        </w:rPr>
        <w:t>:</w:t>
      </w:r>
      <w:hyperlink r:id="rId69" w:history="1">
        <w:r w:rsidR="00613CAD" w:rsidRPr="00BB07C1">
          <w:rPr>
            <w:rStyle w:val="Hyperlink"/>
            <w:rFonts w:cstheme="minorHAnsi"/>
            <w:color w:val="4472C4" w:themeColor="accent1"/>
            <w:shd w:val="clear" w:color="auto" w:fill="FFFFFF"/>
          </w:rPr>
          <w:t>10.1080/02619768.2017.1315399</w:t>
        </w:r>
      </w:hyperlink>
      <w:r w:rsidR="000A3FC3">
        <w:rPr>
          <w:rFonts w:cstheme="minorHAnsi"/>
        </w:rPr>
        <w:t xml:space="preserve"> </w:t>
      </w:r>
    </w:p>
    <w:p w14:paraId="0CD05F8B" w14:textId="773FEBAF" w:rsidR="009E5D98" w:rsidRPr="004C5164" w:rsidRDefault="009E5D98" w:rsidP="009E5D98">
      <w:pPr>
        <w:spacing w:line="240" w:lineRule="auto"/>
        <w:ind w:left="720" w:hanging="720"/>
        <w:rPr>
          <w:rFonts w:eastAsia="Times New Roman" w:cstheme="minorHAnsi"/>
        </w:rPr>
      </w:pPr>
      <w:r w:rsidRPr="004C5164">
        <w:rPr>
          <w:rFonts w:eastAsia="Times New Roman" w:cstheme="minorHAnsi"/>
        </w:rPr>
        <w:t>De Voto C, Olson JD</w:t>
      </w:r>
      <w:r w:rsidR="00BF03B9">
        <w:rPr>
          <w:rFonts w:eastAsia="Times New Roman" w:cstheme="minorHAnsi"/>
        </w:rPr>
        <w:t xml:space="preserve"> </w:t>
      </w:r>
      <w:r w:rsidR="00AA31E3">
        <w:rPr>
          <w:rFonts w:eastAsia="Times New Roman" w:cstheme="minorHAnsi"/>
        </w:rPr>
        <w:t>and</w:t>
      </w:r>
      <w:r w:rsidRPr="004C5164">
        <w:rPr>
          <w:rFonts w:eastAsia="Times New Roman" w:cstheme="minorHAnsi"/>
        </w:rPr>
        <w:t xml:space="preserve"> </w:t>
      </w:r>
      <w:r w:rsidRPr="00EB0AD0">
        <w:rPr>
          <w:rFonts w:eastAsia="Times New Roman" w:cstheme="minorHAnsi"/>
        </w:rPr>
        <w:t xml:space="preserve">Gottlieb JJ (2021) </w:t>
      </w:r>
      <w:r w:rsidR="00BB07C1" w:rsidRPr="00EB0AD0">
        <w:rPr>
          <w:rFonts w:eastAsia="Times New Roman" w:cstheme="minorHAnsi"/>
        </w:rPr>
        <w:t>‘</w:t>
      </w:r>
      <w:r w:rsidRPr="00EB0AD0">
        <w:rPr>
          <w:rFonts w:eastAsia="Times New Roman" w:cstheme="minorHAnsi"/>
        </w:rPr>
        <w:t>Examining Diverse Perspectives of edTPA Policy Implementation Across States: The Good, the Bad, and the Ugly</w:t>
      </w:r>
      <w:r w:rsidR="0006671F" w:rsidRPr="00EB0AD0">
        <w:rPr>
          <w:rFonts w:eastAsia="Times New Roman" w:cstheme="minorHAnsi"/>
        </w:rPr>
        <w:t>’,</w:t>
      </w:r>
      <w:r w:rsidRPr="00EB0AD0">
        <w:rPr>
          <w:rFonts w:eastAsia="Times New Roman" w:cstheme="minorHAnsi"/>
        </w:rPr>
        <w:t xml:space="preserve"> </w:t>
      </w:r>
      <w:r w:rsidRPr="00EB0AD0">
        <w:rPr>
          <w:rFonts w:eastAsia="Times New Roman" w:cstheme="minorHAnsi"/>
          <w:i/>
          <w:iCs/>
        </w:rPr>
        <w:t>Journal of Teacher Education</w:t>
      </w:r>
      <w:r w:rsidRPr="00EB0AD0">
        <w:rPr>
          <w:rFonts w:eastAsia="Times New Roman" w:cstheme="minorHAnsi"/>
        </w:rPr>
        <w:t>, 72(1)</w:t>
      </w:r>
      <w:r w:rsidR="00162CF3" w:rsidRPr="00EB0AD0">
        <w:rPr>
          <w:rFonts w:eastAsia="Times New Roman" w:cstheme="minorHAnsi"/>
        </w:rPr>
        <w:t>:</w:t>
      </w:r>
      <w:r w:rsidRPr="00EB0AD0">
        <w:rPr>
          <w:rFonts w:eastAsia="Times New Roman" w:cstheme="minorHAnsi"/>
        </w:rPr>
        <w:t>42–55</w:t>
      </w:r>
      <w:r w:rsidR="00162CF3" w:rsidRPr="00EB0AD0">
        <w:rPr>
          <w:rFonts w:eastAsia="Times New Roman" w:cstheme="minorHAnsi"/>
        </w:rPr>
        <w:t xml:space="preserve">, </w:t>
      </w:r>
      <w:r w:rsidR="001F0FE6">
        <w:rPr>
          <w:rFonts w:cstheme="minorHAnsi"/>
          <w:color w:val="333333"/>
          <w:shd w:val="clear" w:color="auto" w:fill="FFFFFF"/>
        </w:rPr>
        <w:t>doi</w:t>
      </w:r>
      <w:r w:rsidR="00286329" w:rsidRPr="00EB0AD0">
        <w:rPr>
          <w:rFonts w:cstheme="minorHAnsi"/>
          <w:color w:val="333333"/>
          <w:shd w:val="clear" w:color="auto" w:fill="FFFFFF"/>
        </w:rPr>
        <w:t>:</w:t>
      </w:r>
      <w:hyperlink r:id="rId70" w:history="1">
        <w:r w:rsidR="00286329" w:rsidRPr="00EB0AD0">
          <w:rPr>
            <w:rStyle w:val="Hyperlink"/>
            <w:rFonts w:cstheme="minorHAnsi"/>
            <w:color w:val="006ACC"/>
            <w:shd w:val="clear" w:color="auto" w:fill="FFFFFF"/>
          </w:rPr>
          <w:t>10.1177/0022487120909390</w:t>
        </w:r>
      </w:hyperlink>
      <w:r w:rsidRPr="00EB0AD0">
        <w:rPr>
          <w:rFonts w:eastAsia="Times New Roman" w:cstheme="minorHAnsi"/>
        </w:rPr>
        <w:t xml:space="preserve"> </w:t>
      </w:r>
    </w:p>
    <w:p w14:paraId="30EE0308" w14:textId="77B10E5F" w:rsidR="009E5D98" w:rsidRPr="004C5164" w:rsidRDefault="009E5D98" w:rsidP="009E5D98">
      <w:pPr>
        <w:spacing w:line="240" w:lineRule="auto"/>
        <w:ind w:left="720" w:hanging="720"/>
        <w:rPr>
          <w:rFonts w:eastAsia="Times New Roman" w:cstheme="minorHAnsi"/>
        </w:rPr>
      </w:pPr>
      <w:r w:rsidRPr="004C5164">
        <w:rPr>
          <w:rFonts w:eastAsia="Times New Roman" w:cstheme="minorHAnsi"/>
        </w:rPr>
        <w:lastRenderedPageBreak/>
        <w:t>Gore J</w:t>
      </w:r>
      <w:r w:rsidR="00244C27">
        <w:rPr>
          <w:rFonts w:eastAsia="Times New Roman" w:cstheme="minorHAnsi"/>
        </w:rPr>
        <w:t>,</w:t>
      </w:r>
      <w:r>
        <w:rPr>
          <w:rFonts w:eastAsia="Times New Roman" w:cstheme="minorHAnsi"/>
        </w:rPr>
        <w:t xml:space="preserve"> Holmes K, Smith M, Lyell A, Ellis H </w:t>
      </w:r>
      <w:r w:rsidR="0085200E">
        <w:rPr>
          <w:rFonts w:eastAsia="Times New Roman" w:cstheme="minorHAnsi"/>
        </w:rPr>
        <w:t>and</w:t>
      </w:r>
      <w:r>
        <w:rPr>
          <w:rFonts w:eastAsia="Times New Roman" w:cstheme="minorHAnsi"/>
        </w:rPr>
        <w:t xml:space="preserve"> Fray L </w:t>
      </w:r>
      <w:r w:rsidRPr="004C5164">
        <w:rPr>
          <w:rFonts w:eastAsia="Times New Roman" w:cstheme="minorHAnsi"/>
        </w:rPr>
        <w:t xml:space="preserve">(2015) </w:t>
      </w:r>
      <w:r w:rsidR="00CE6915" w:rsidRPr="00861B73">
        <w:rPr>
          <w:i/>
          <w:iCs/>
        </w:rPr>
        <w:t>Choosing university: The impact of schools and schooling</w:t>
      </w:r>
      <w:r w:rsidRPr="00861B73">
        <w:rPr>
          <w:rFonts w:eastAsia="Times New Roman" w:cstheme="minorHAnsi"/>
          <w:i/>
          <w:iCs/>
        </w:rPr>
        <w:t>, Final Report to the National Centre for Student Equity in Higher Education</w:t>
      </w:r>
      <w:r>
        <w:rPr>
          <w:rFonts w:eastAsia="Times New Roman" w:cstheme="minorHAnsi"/>
        </w:rPr>
        <w:t xml:space="preserve">. </w:t>
      </w:r>
      <w:hyperlink r:id="rId71" w:history="1">
        <w:r w:rsidR="00CF5FB8" w:rsidRPr="008477BF">
          <w:rPr>
            <w:rStyle w:val="Hyperlink"/>
          </w:rPr>
          <w:t>https://www.ncsehe.edu.au/publications/choosing-university-the-impact-of-schools-and-schooling/</w:t>
        </w:r>
      </w:hyperlink>
      <w:r w:rsidR="00CF5FB8">
        <w:t xml:space="preserve"> </w:t>
      </w:r>
    </w:p>
    <w:p w14:paraId="35F711D7" w14:textId="49C0E0BC" w:rsidR="009E5D98" w:rsidRPr="00FC31C1" w:rsidRDefault="00E15FA5" w:rsidP="009E5D98">
      <w:pPr>
        <w:spacing w:line="240" w:lineRule="auto"/>
        <w:ind w:left="720" w:hanging="720"/>
        <w:rPr>
          <w:rFonts w:eastAsia="Times New Roman" w:cstheme="minorHAnsi"/>
        </w:rPr>
      </w:pPr>
      <w:r>
        <w:rPr>
          <w:rFonts w:eastAsia="Times New Roman" w:cstheme="minorHAnsi"/>
        </w:rPr>
        <w:t>Goss P</w:t>
      </w:r>
      <w:r w:rsidR="0085200E">
        <w:rPr>
          <w:rFonts w:eastAsia="Times New Roman" w:cstheme="minorHAnsi"/>
        </w:rPr>
        <w:t xml:space="preserve"> and</w:t>
      </w:r>
      <w:r w:rsidR="00051F47">
        <w:rPr>
          <w:rFonts w:eastAsia="Times New Roman" w:cstheme="minorHAnsi"/>
        </w:rPr>
        <w:t xml:space="preserve"> Sonnemann J</w:t>
      </w:r>
      <w:r w:rsidR="009E5D98" w:rsidRPr="00FC31C1">
        <w:rPr>
          <w:rFonts w:eastAsia="Times New Roman" w:cstheme="minorHAnsi"/>
        </w:rPr>
        <w:t xml:space="preserve"> (2019a) </w:t>
      </w:r>
      <w:r w:rsidR="00CE6915" w:rsidRPr="0065098B">
        <w:rPr>
          <w:i/>
          <w:iCs/>
        </w:rPr>
        <w:t>Attracting high achievers to teaching</w:t>
      </w:r>
      <w:r w:rsidR="009E5D98" w:rsidRPr="00FC31C1">
        <w:rPr>
          <w:rFonts w:eastAsia="Times New Roman" w:cstheme="minorHAnsi"/>
        </w:rPr>
        <w:t xml:space="preserve">, </w:t>
      </w:r>
      <w:r w:rsidR="006D2F00">
        <w:rPr>
          <w:rFonts w:eastAsia="Times New Roman" w:cstheme="minorHAnsi"/>
        </w:rPr>
        <w:t xml:space="preserve">Grattan Institute, </w:t>
      </w:r>
      <w:r w:rsidR="009E5D98" w:rsidRPr="00FC31C1">
        <w:rPr>
          <w:rFonts w:eastAsia="Times New Roman" w:cstheme="minorHAnsi"/>
        </w:rPr>
        <w:t xml:space="preserve">Melbourne. </w:t>
      </w:r>
      <w:hyperlink r:id="rId72" w:history="1">
        <w:r w:rsidR="0065098B" w:rsidRPr="008477BF">
          <w:rPr>
            <w:rStyle w:val="Hyperlink"/>
          </w:rPr>
          <w:t>https://grattan.edu.au/report/attracting-high-achievers-to-teaching/</w:t>
        </w:r>
      </w:hyperlink>
      <w:r w:rsidR="0065098B">
        <w:t xml:space="preserve"> </w:t>
      </w:r>
    </w:p>
    <w:p w14:paraId="1D07C4F9" w14:textId="3CCA8E0C" w:rsidR="009E5D98" w:rsidRPr="00FC31C1" w:rsidRDefault="007B1A3E" w:rsidP="009E5D98">
      <w:pPr>
        <w:spacing w:line="240" w:lineRule="auto"/>
        <w:ind w:left="720" w:hanging="720"/>
        <w:rPr>
          <w:rFonts w:cstheme="minorHAnsi"/>
        </w:rPr>
      </w:pPr>
      <w:r>
        <w:rPr>
          <w:rFonts w:cstheme="minorHAnsi"/>
        </w:rPr>
        <w:t xml:space="preserve">Goss P </w:t>
      </w:r>
      <w:r w:rsidR="0085200E">
        <w:rPr>
          <w:rFonts w:cstheme="minorHAnsi"/>
        </w:rPr>
        <w:t>and</w:t>
      </w:r>
      <w:r>
        <w:rPr>
          <w:rFonts w:cstheme="minorHAnsi"/>
        </w:rPr>
        <w:t xml:space="preserve"> Sonnemann J</w:t>
      </w:r>
      <w:r w:rsidR="009E5D98" w:rsidRPr="00FC31C1">
        <w:rPr>
          <w:rFonts w:cstheme="minorHAnsi"/>
        </w:rPr>
        <w:t xml:space="preserve"> (2019b)</w:t>
      </w:r>
      <w:r w:rsidR="0085200E">
        <w:rPr>
          <w:rFonts w:cstheme="minorHAnsi"/>
        </w:rPr>
        <w:t xml:space="preserve"> </w:t>
      </w:r>
      <w:r w:rsidR="00CE6915" w:rsidRPr="008B2D76">
        <w:rPr>
          <w:i/>
          <w:iCs/>
        </w:rPr>
        <w:t>Raising the Status of Teaching: Submission to the House of Representatives Standing Committee on Education and Employment</w:t>
      </w:r>
      <w:r w:rsidR="009E5D98" w:rsidRPr="00FC31C1">
        <w:rPr>
          <w:rFonts w:cstheme="minorHAnsi"/>
        </w:rPr>
        <w:t xml:space="preserve">, </w:t>
      </w:r>
      <w:r w:rsidR="006D2F00">
        <w:rPr>
          <w:rFonts w:cstheme="minorHAnsi"/>
        </w:rPr>
        <w:t xml:space="preserve">Grattan Institute, </w:t>
      </w:r>
      <w:r w:rsidR="009E5D98" w:rsidRPr="00FC31C1">
        <w:rPr>
          <w:rFonts w:cstheme="minorHAnsi"/>
        </w:rPr>
        <w:t xml:space="preserve">Melbourne. </w:t>
      </w:r>
      <w:hyperlink r:id="rId73" w:history="1">
        <w:r w:rsidR="00E31A72" w:rsidRPr="008477BF">
          <w:rPr>
            <w:rStyle w:val="Hyperlink"/>
          </w:rPr>
          <w:t>https://grattan.edu.au/report/raising-the-status-of-teaching/</w:t>
        </w:r>
      </w:hyperlink>
      <w:r w:rsidR="00E31A72">
        <w:t xml:space="preserve"> </w:t>
      </w:r>
    </w:p>
    <w:p w14:paraId="68619D12" w14:textId="105A5AC1" w:rsidR="009E5D98" w:rsidRPr="00121410" w:rsidRDefault="00054B57" w:rsidP="009E5D98">
      <w:pPr>
        <w:spacing w:line="240" w:lineRule="auto"/>
        <w:ind w:left="720" w:hanging="720"/>
        <w:rPr>
          <w:rFonts w:cstheme="minorHAnsi"/>
        </w:rPr>
      </w:pPr>
      <w:r>
        <w:rPr>
          <w:rFonts w:cstheme="minorHAnsi"/>
        </w:rPr>
        <w:t xml:space="preserve">Goss P </w:t>
      </w:r>
      <w:r w:rsidR="0085200E">
        <w:rPr>
          <w:rFonts w:cstheme="minorHAnsi"/>
        </w:rPr>
        <w:t>and</w:t>
      </w:r>
      <w:r>
        <w:rPr>
          <w:rFonts w:cstheme="minorHAnsi"/>
        </w:rPr>
        <w:t xml:space="preserve"> Sonnemann J</w:t>
      </w:r>
      <w:r w:rsidR="009E5D98" w:rsidRPr="00FC31C1">
        <w:rPr>
          <w:rFonts w:cstheme="minorHAnsi"/>
        </w:rPr>
        <w:t xml:space="preserve"> (2020) </w:t>
      </w:r>
      <w:r w:rsidR="00CE6915" w:rsidRPr="008B2D76">
        <w:rPr>
          <w:i/>
          <w:iCs/>
        </w:rPr>
        <w:t>Top teachers: sharing expertise to improve teaching</w:t>
      </w:r>
      <w:r w:rsidR="009E5D98" w:rsidRPr="00FC31C1">
        <w:rPr>
          <w:rFonts w:cstheme="minorHAnsi"/>
        </w:rPr>
        <w:t xml:space="preserve">, </w:t>
      </w:r>
      <w:r w:rsidR="006D2F00">
        <w:rPr>
          <w:rFonts w:cstheme="minorHAnsi"/>
        </w:rPr>
        <w:t xml:space="preserve">Grattan Institute, </w:t>
      </w:r>
      <w:r w:rsidR="009E5D98" w:rsidRPr="00FC31C1">
        <w:rPr>
          <w:rFonts w:cstheme="minorHAnsi"/>
        </w:rPr>
        <w:t>Melbourne.</w:t>
      </w:r>
      <w:r w:rsidR="009E5D98">
        <w:rPr>
          <w:rFonts w:cstheme="minorHAnsi"/>
        </w:rPr>
        <w:t xml:space="preserve"> </w:t>
      </w:r>
      <w:hyperlink r:id="rId74" w:history="1">
        <w:r w:rsidR="008B2D76" w:rsidRPr="008477BF">
          <w:rPr>
            <w:rStyle w:val="Hyperlink"/>
          </w:rPr>
          <w:t>https://grattan.edu.au/report/top-teachers/</w:t>
        </w:r>
      </w:hyperlink>
      <w:r w:rsidR="008B2D76">
        <w:t xml:space="preserve"> </w:t>
      </w:r>
    </w:p>
    <w:p w14:paraId="4E1C45DE" w14:textId="38070303" w:rsidR="009E5D98" w:rsidRPr="004C5164" w:rsidRDefault="009E5D98" w:rsidP="009E5D98">
      <w:pPr>
        <w:spacing w:line="240" w:lineRule="auto"/>
        <w:ind w:left="720" w:hanging="720"/>
        <w:rPr>
          <w:rFonts w:cstheme="minorHAnsi"/>
        </w:rPr>
      </w:pPr>
      <w:r w:rsidRPr="004C5164">
        <w:rPr>
          <w:rFonts w:cstheme="minorHAnsi"/>
        </w:rPr>
        <w:t xml:space="preserve">Greany T </w:t>
      </w:r>
      <w:r w:rsidR="0085200E">
        <w:rPr>
          <w:rFonts w:cstheme="minorHAnsi"/>
        </w:rPr>
        <w:t>and</w:t>
      </w:r>
      <w:r w:rsidRPr="004C5164">
        <w:rPr>
          <w:rFonts w:cstheme="minorHAnsi"/>
        </w:rPr>
        <w:t xml:space="preserve"> Brown C (2015) </w:t>
      </w:r>
      <w:r w:rsidRPr="006C5847">
        <w:rPr>
          <w:rFonts w:cstheme="minorHAnsi"/>
          <w:i/>
          <w:iCs/>
        </w:rPr>
        <w:t>Partnerships between teaching schools and universities: research report, London Centre for Leadership in Learning</w:t>
      </w:r>
      <w:r w:rsidR="007D25DB">
        <w:rPr>
          <w:rFonts w:cstheme="minorHAnsi"/>
        </w:rPr>
        <w:t xml:space="preserve"> [</w:t>
      </w:r>
      <w:r w:rsidR="007D25DB" w:rsidRPr="00186358">
        <w:rPr>
          <w:rFonts w:cstheme="minorHAnsi"/>
        </w:rPr>
        <w:t xml:space="preserve">PDF </w:t>
      </w:r>
      <w:r w:rsidR="00AD3E2A" w:rsidRPr="00186358">
        <w:rPr>
          <w:rFonts w:cstheme="minorHAnsi"/>
        </w:rPr>
        <w:t>1.17</w:t>
      </w:r>
      <w:r w:rsidR="007D25DB" w:rsidRPr="00186358">
        <w:rPr>
          <w:rFonts w:cstheme="minorHAnsi"/>
        </w:rPr>
        <w:t>MB</w:t>
      </w:r>
      <w:r w:rsidR="007D25DB">
        <w:rPr>
          <w:rFonts w:cstheme="minorHAnsi"/>
        </w:rPr>
        <w:t>]</w:t>
      </w:r>
      <w:r>
        <w:rPr>
          <w:rFonts w:cstheme="minorHAnsi"/>
        </w:rPr>
        <w:t>,</w:t>
      </w:r>
      <w:r w:rsidRPr="004C5164">
        <w:rPr>
          <w:rFonts w:cstheme="minorHAnsi"/>
        </w:rPr>
        <w:t xml:space="preserve"> UCL Institute of Education</w:t>
      </w:r>
      <w:r>
        <w:rPr>
          <w:rFonts w:cstheme="minorHAnsi"/>
        </w:rPr>
        <w:t>, London.</w:t>
      </w:r>
      <w:r w:rsidR="006C5847">
        <w:rPr>
          <w:rFonts w:cstheme="minorHAnsi"/>
        </w:rPr>
        <w:t xml:space="preserve"> </w:t>
      </w:r>
      <w:hyperlink r:id="rId75" w:history="1">
        <w:r w:rsidR="006C5847" w:rsidRPr="008477BF">
          <w:rPr>
            <w:rStyle w:val="Hyperlink"/>
            <w:rFonts w:cstheme="minorHAnsi"/>
          </w:rPr>
          <w:t>https://citeseerx.ist.psu.edu/viewdoc/download?doi=10.1.1.719.3418&amp;rep=rep1&amp;type=pdf</w:t>
        </w:r>
      </w:hyperlink>
      <w:r w:rsidR="006C5847">
        <w:rPr>
          <w:rFonts w:cstheme="minorHAnsi"/>
        </w:rPr>
        <w:t xml:space="preserve"> </w:t>
      </w:r>
    </w:p>
    <w:p w14:paraId="2DB14571" w14:textId="4DBCF6DE" w:rsidR="009E5D98" w:rsidRDefault="009E5D98" w:rsidP="009E5D98">
      <w:pPr>
        <w:spacing w:line="240" w:lineRule="auto"/>
        <w:ind w:left="720" w:hanging="720"/>
        <w:rPr>
          <w:rFonts w:cstheme="minorHAnsi"/>
        </w:rPr>
      </w:pPr>
      <w:r w:rsidRPr="004C5164">
        <w:rPr>
          <w:rFonts w:cstheme="minorHAnsi"/>
        </w:rPr>
        <w:t xml:space="preserve">Green C, Tindall-Ford SK </w:t>
      </w:r>
      <w:r w:rsidR="00E92953">
        <w:rPr>
          <w:rFonts w:cstheme="minorHAnsi"/>
        </w:rPr>
        <w:t>and</w:t>
      </w:r>
      <w:r w:rsidRPr="004C5164">
        <w:rPr>
          <w:rFonts w:cstheme="minorHAnsi"/>
        </w:rPr>
        <w:t xml:space="preserve"> Eady MJ (</w:t>
      </w:r>
      <w:r w:rsidRPr="00E71112">
        <w:rPr>
          <w:rFonts w:cstheme="minorHAnsi"/>
        </w:rPr>
        <w:t xml:space="preserve">2019) </w:t>
      </w:r>
      <w:r w:rsidR="00457CEF" w:rsidRPr="00E71112">
        <w:rPr>
          <w:rFonts w:cstheme="minorHAnsi"/>
        </w:rPr>
        <w:t>‘</w:t>
      </w:r>
      <w:r w:rsidRPr="00E71112">
        <w:rPr>
          <w:rFonts w:cstheme="minorHAnsi"/>
        </w:rPr>
        <w:t>School-university partnerships in Australia: a systemic literature review</w:t>
      </w:r>
      <w:r w:rsidR="00457CEF" w:rsidRPr="00E71112">
        <w:rPr>
          <w:rStyle w:val="Hyperlink"/>
          <w:rFonts w:cstheme="minorHAnsi"/>
        </w:rPr>
        <w:t>’</w:t>
      </w:r>
      <w:r w:rsidRPr="00E71112">
        <w:rPr>
          <w:rFonts w:cstheme="minorHAnsi"/>
        </w:rPr>
        <w:t xml:space="preserve">, </w:t>
      </w:r>
      <w:r w:rsidRPr="00E71112">
        <w:rPr>
          <w:rFonts w:cstheme="minorHAnsi"/>
          <w:i/>
          <w:iCs/>
        </w:rPr>
        <w:t>Asia-Pacific Journal of Teacher Education</w:t>
      </w:r>
      <w:r w:rsidRPr="00E71112">
        <w:rPr>
          <w:rFonts w:cstheme="minorHAnsi"/>
        </w:rPr>
        <w:t>, 48(4)</w:t>
      </w:r>
      <w:r w:rsidR="00457CEF" w:rsidRPr="00E71112">
        <w:rPr>
          <w:rFonts w:cstheme="minorHAnsi"/>
        </w:rPr>
        <w:t>:</w:t>
      </w:r>
      <w:r w:rsidRPr="00E71112">
        <w:rPr>
          <w:rFonts w:cstheme="minorHAnsi"/>
        </w:rPr>
        <w:t>403</w:t>
      </w:r>
      <w:r w:rsidR="00EC6FA5">
        <w:rPr>
          <w:rFonts w:cstheme="minorHAnsi"/>
        </w:rPr>
        <w:t>–</w:t>
      </w:r>
      <w:r w:rsidRPr="00E71112">
        <w:rPr>
          <w:rFonts w:cstheme="minorHAnsi"/>
        </w:rPr>
        <w:t>435</w:t>
      </w:r>
      <w:r w:rsidR="00457CEF" w:rsidRPr="00E71112">
        <w:rPr>
          <w:rFonts w:cstheme="minorHAnsi"/>
        </w:rPr>
        <w:t>,</w:t>
      </w:r>
      <w:r w:rsidR="00E71112">
        <w:rPr>
          <w:rFonts w:cstheme="minorHAnsi"/>
        </w:rPr>
        <w:t xml:space="preserve"> </w:t>
      </w:r>
      <w:r w:rsidR="00396F92">
        <w:rPr>
          <w:rFonts w:cstheme="minorHAnsi"/>
          <w:color w:val="333333"/>
          <w:shd w:val="clear" w:color="auto" w:fill="FFFFFF"/>
        </w:rPr>
        <w:t>doi</w:t>
      </w:r>
      <w:r w:rsidR="00457CEF" w:rsidRPr="00E71112">
        <w:rPr>
          <w:rFonts w:cstheme="minorHAnsi"/>
          <w:color w:val="333333"/>
          <w:shd w:val="clear" w:color="auto" w:fill="FFFFFF"/>
        </w:rPr>
        <w:t>:</w:t>
      </w:r>
      <w:hyperlink r:id="rId76" w:history="1">
        <w:r w:rsidR="00457CEF" w:rsidRPr="00E71112">
          <w:rPr>
            <w:rStyle w:val="Hyperlink"/>
            <w:rFonts w:cstheme="minorHAnsi"/>
            <w:color w:val="4472C4" w:themeColor="accent1"/>
            <w:shd w:val="clear" w:color="auto" w:fill="FFFFFF"/>
          </w:rPr>
          <w:t>10.1080/1359866X.2019.1651822</w:t>
        </w:r>
      </w:hyperlink>
      <w:r w:rsidR="00457CEF">
        <w:t xml:space="preserve"> </w:t>
      </w:r>
    </w:p>
    <w:p w14:paraId="2404DFE2" w14:textId="53329B7F" w:rsidR="00423D13" w:rsidRPr="007065AC" w:rsidRDefault="00423D13" w:rsidP="00423D13">
      <w:pPr>
        <w:spacing w:line="240" w:lineRule="auto"/>
        <w:ind w:left="720" w:hanging="720"/>
        <w:rPr>
          <w:rFonts w:cstheme="minorHAnsi"/>
          <w:color w:val="222222"/>
          <w:shd w:val="clear" w:color="auto" w:fill="FFFFFF"/>
        </w:rPr>
      </w:pPr>
      <w:r w:rsidRPr="00FB2061">
        <w:rPr>
          <w:rFonts w:cstheme="minorHAnsi"/>
          <w:color w:val="222222"/>
          <w:shd w:val="clear" w:color="auto" w:fill="FFFFFF"/>
        </w:rPr>
        <w:t xml:space="preserve">Hanushek EA, Piopiunik M </w:t>
      </w:r>
      <w:r w:rsidR="00DC2F5D">
        <w:rPr>
          <w:rFonts w:cstheme="minorHAnsi"/>
          <w:color w:val="222222"/>
          <w:shd w:val="clear" w:color="auto" w:fill="FFFFFF"/>
        </w:rPr>
        <w:t>and</w:t>
      </w:r>
      <w:r w:rsidRPr="00FB2061">
        <w:rPr>
          <w:rFonts w:cstheme="minorHAnsi"/>
          <w:color w:val="222222"/>
          <w:shd w:val="clear" w:color="auto" w:fill="FFFFFF"/>
        </w:rPr>
        <w:t xml:space="preserve"> Wiederhold S (2019) </w:t>
      </w:r>
      <w:r w:rsidR="00460D28" w:rsidRPr="00EE18ED">
        <w:rPr>
          <w:rFonts w:cstheme="minorHAnsi"/>
          <w:color w:val="222222"/>
          <w:shd w:val="clear" w:color="auto" w:fill="FFFFFF"/>
        </w:rPr>
        <w:t>‘</w:t>
      </w:r>
      <w:r w:rsidRPr="00EE18ED">
        <w:rPr>
          <w:rFonts w:cstheme="minorHAnsi"/>
          <w:shd w:val="clear" w:color="auto" w:fill="FFFFFF"/>
        </w:rPr>
        <w:t>The value of smarter teachers: International evidence on teacher cognitive skills and student performance</w:t>
      </w:r>
      <w:r w:rsidR="00460D28" w:rsidRPr="00EE18ED">
        <w:rPr>
          <w:rFonts w:cstheme="minorHAnsi"/>
          <w:color w:val="222222"/>
          <w:shd w:val="clear" w:color="auto" w:fill="FFFFFF"/>
        </w:rPr>
        <w:t>’,</w:t>
      </w:r>
      <w:r w:rsidRPr="00FB2061">
        <w:rPr>
          <w:rFonts w:cstheme="minorHAnsi"/>
          <w:color w:val="222222"/>
          <w:shd w:val="clear" w:color="auto" w:fill="FFFFFF"/>
        </w:rPr>
        <w:t xml:space="preserve"> </w:t>
      </w:r>
      <w:r w:rsidRPr="00FB2061">
        <w:rPr>
          <w:rFonts w:cstheme="minorHAnsi"/>
          <w:i/>
          <w:iCs/>
          <w:color w:val="222222"/>
          <w:shd w:val="clear" w:color="auto" w:fill="FFFFFF"/>
        </w:rPr>
        <w:t>Journal of Human Resources</w:t>
      </w:r>
      <w:r w:rsidRPr="007065AC">
        <w:rPr>
          <w:rFonts w:cstheme="minorHAnsi"/>
          <w:color w:val="222222"/>
          <w:shd w:val="clear" w:color="auto" w:fill="FFFFFF"/>
        </w:rPr>
        <w:t>, 54(4</w:t>
      </w:r>
      <w:r w:rsidRPr="00EE18ED">
        <w:rPr>
          <w:rFonts w:cstheme="minorHAnsi"/>
          <w:color w:val="222222"/>
          <w:shd w:val="clear" w:color="auto" w:fill="FFFFFF"/>
        </w:rPr>
        <w:t>)</w:t>
      </w:r>
      <w:r w:rsidR="00460D28" w:rsidRPr="00EE18ED">
        <w:rPr>
          <w:rFonts w:cstheme="minorHAnsi"/>
          <w:color w:val="222222"/>
          <w:shd w:val="clear" w:color="auto" w:fill="FFFFFF"/>
        </w:rPr>
        <w:t>:</w:t>
      </w:r>
      <w:r w:rsidRPr="007065AC">
        <w:rPr>
          <w:rFonts w:cstheme="minorHAnsi"/>
          <w:color w:val="222222"/>
          <w:shd w:val="clear" w:color="auto" w:fill="FFFFFF"/>
        </w:rPr>
        <w:t>857</w:t>
      </w:r>
      <w:r w:rsidR="00EC6FA5">
        <w:rPr>
          <w:rFonts w:cstheme="minorHAnsi"/>
        </w:rPr>
        <w:t>–</w:t>
      </w:r>
      <w:r w:rsidRPr="007065AC">
        <w:rPr>
          <w:rFonts w:cstheme="minorHAnsi"/>
          <w:color w:val="222222"/>
          <w:shd w:val="clear" w:color="auto" w:fill="FFFFFF"/>
        </w:rPr>
        <w:t>899</w:t>
      </w:r>
      <w:r w:rsidR="00460D28" w:rsidRPr="00EE18ED">
        <w:rPr>
          <w:rFonts w:cstheme="minorHAnsi"/>
          <w:color w:val="222222"/>
          <w:shd w:val="clear" w:color="auto" w:fill="FFFFFF"/>
        </w:rPr>
        <w:t>,</w:t>
      </w:r>
      <w:r w:rsidR="006A7668">
        <w:rPr>
          <w:rFonts w:cstheme="minorHAnsi"/>
          <w:color w:val="222222"/>
          <w:shd w:val="clear" w:color="auto" w:fill="FFFFFF"/>
        </w:rPr>
        <w:t xml:space="preserve"> doi:</w:t>
      </w:r>
      <w:r w:rsidR="00460D28" w:rsidRPr="00EE18ED">
        <w:rPr>
          <w:rFonts w:cstheme="minorHAnsi"/>
          <w:color w:val="000000"/>
          <w:shd w:val="clear" w:color="auto" w:fill="FFFFFF"/>
        </w:rPr>
        <w:t>10.3386/w20727</w:t>
      </w:r>
      <w:r w:rsidR="004452C5">
        <w:rPr>
          <w:rFonts w:cstheme="minorHAnsi"/>
          <w:color w:val="000000"/>
          <w:shd w:val="clear" w:color="auto" w:fill="FFFFFF"/>
        </w:rPr>
        <w:t xml:space="preserve"> </w:t>
      </w:r>
      <w:r w:rsidR="00460D28" w:rsidRPr="00EE18ED">
        <w:rPr>
          <w:rFonts w:cstheme="minorHAnsi"/>
          <w:color w:val="000000"/>
          <w:shd w:val="clear" w:color="auto" w:fill="FFFFFF"/>
        </w:rPr>
        <w:t xml:space="preserve"> </w:t>
      </w:r>
    </w:p>
    <w:p w14:paraId="5936013E" w14:textId="76D3D2DD" w:rsidR="00FB2061" w:rsidRPr="00FB2061" w:rsidRDefault="00FB2061" w:rsidP="00423D13">
      <w:pPr>
        <w:spacing w:line="240" w:lineRule="auto"/>
        <w:ind w:left="720" w:hanging="720"/>
        <w:rPr>
          <w:rFonts w:cstheme="minorHAnsi"/>
          <w:color w:val="222222"/>
          <w:shd w:val="clear" w:color="auto" w:fill="FFFFFF"/>
        </w:rPr>
      </w:pPr>
      <w:r w:rsidRPr="00FB2061">
        <w:rPr>
          <w:rFonts w:cstheme="minorHAnsi"/>
        </w:rPr>
        <w:t>Hattie JAC (</w:t>
      </w:r>
      <w:r w:rsidR="00651E2C">
        <w:rPr>
          <w:rFonts w:cstheme="minorHAnsi"/>
        </w:rPr>
        <w:t xml:space="preserve">October </w:t>
      </w:r>
      <w:r w:rsidRPr="00FB2061">
        <w:rPr>
          <w:rFonts w:cstheme="minorHAnsi"/>
        </w:rPr>
        <w:t xml:space="preserve">2003) </w:t>
      </w:r>
      <w:r w:rsidR="00CD7F09">
        <w:rPr>
          <w:rFonts w:cstheme="minorHAnsi"/>
        </w:rPr>
        <w:t>‘</w:t>
      </w:r>
      <w:r w:rsidR="0035444A" w:rsidRPr="00C71CBB">
        <w:t>Teachers make a difference: What is the research evidence?</w:t>
      </w:r>
      <w:r w:rsidR="0071391F">
        <w:t>’</w:t>
      </w:r>
      <w:r w:rsidRPr="00FB2061">
        <w:rPr>
          <w:rFonts w:cstheme="minorHAnsi"/>
        </w:rPr>
        <w:t xml:space="preserve"> </w:t>
      </w:r>
      <w:r w:rsidR="0071391F">
        <w:rPr>
          <w:rFonts w:cstheme="minorHAnsi"/>
        </w:rPr>
        <w:t>[conference presentation</w:t>
      </w:r>
      <w:r w:rsidR="00FB724E">
        <w:rPr>
          <w:rFonts w:cstheme="minorHAnsi"/>
        </w:rPr>
        <w:t>],</w:t>
      </w:r>
      <w:r w:rsidRPr="00FB2061">
        <w:rPr>
          <w:rFonts w:cstheme="minorHAnsi"/>
        </w:rPr>
        <w:t xml:space="preserve"> </w:t>
      </w:r>
      <w:r w:rsidRPr="00126D8C">
        <w:rPr>
          <w:rFonts w:cstheme="minorHAnsi"/>
          <w:i/>
          <w:iCs/>
        </w:rPr>
        <w:t>Building Teacher Quality: What does the research tell us</w:t>
      </w:r>
      <w:r w:rsidR="00126D8C">
        <w:rPr>
          <w:rFonts w:cstheme="minorHAnsi"/>
          <w:i/>
          <w:iCs/>
        </w:rPr>
        <w:t>.</w:t>
      </w:r>
      <w:r w:rsidRPr="00126D8C">
        <w:rPr>
          <w:rFonts w:cstheme="minorHAnsi"/>
          <w:i/>
          <w:iCs/>
        </w:rPr>
        <w:t xml:space="preserve"> ACER Research Conference</w:t>
      </w:r>
      <w:r w:rsidRPr="00FB2061">
        <w:rPr>
          <w:rFonts w:cstheme="minorHAnsi"/>
        </w:rPr>
        <w:t xml:space="preserve">, Melbourne, </w:t>
      </w:r>
      <w:r w:rsidR="00071A8C">
        <w:rPr>
          <w:rFonts w:cstheme="minorHAnsi"/>
        </w:rPr>
        <w:t xml:space="preserve">accessed </w:t>
      </w:r>
      <w:r w:rsidR="00C94705">
        <w:rPr>
          <w:rFonts w:cstheme="minorHAnsi"/>
        </w:rPr>
        <w:t>September 2021</w:t>
      </w:r>
      <w:r w:rsidRPr="00FB2061">
        <w:rPr>
          <w:rFonts w:cstheme="minorHAnsi"/>
        </w:rPr>
        <w:t>.</w:t>
      </w:r>
      <w:r w:rsidR="0035444A">
        <w:rPr>
          <w:rFonts w:cstheme="minorHAnsi"/>
        </w:rPr>
        <w:t xml:space="preserve"> </w:t>
      </w:r>
      <w:hyperlink r:id="rId77" w:history="1">
        <w:r w:rsidR="0035444A" w:rsidRPr="00C545CE">
          <w:rPr>
            <w:rStyle w:val="Hyperlink"/>
            <w:rFonts w:cstheme="minorHAnsi"/>
          </w:rPr>
          <w:t>http://research.acer.edu.au/research_conference_2003/4/</w:t>
        </w:r>
      </w:hyperlink>
      <w:r w:rsidR="0035444A">
        <w:rPr>
          <w:rFonts w:cstheme="minorHAnsi"/>
        </w:rPr>
        <w:t xml:space="preserve"> </w:t>
      </w:r>
    </w:p>
    <w:p w14:paraId="6DD5E903" w14:textId="0F7F3796" w:rsidR="007D2D5F" w:rsidRPr="007065AC" w:rsidRDefault="007D2D5F" w:rsidP="007D2D5F">
      <w:pPr>
        <w:spacing w:line="240" w:lineRule="auto"/>
        <w:ind w:left="720" w:hanging="720"/>
        <w:rPr>
          <w:rFonts w:cstheme="minorHAnsi"/>
        </w:rPr>
      </w:pPr>
      <w:r w:rsidRPr="00FB2061">
        <w:rPr>
          <w:rFonts w:cstheme="minorHAnsi"/>
        </w:rPr>
        <w:t>Hearn S</w:t>
      </w:r>
      <w:r w:rsidR="00BD2657">
        <w:rPr>
          <w:rFonts w:cstheme="minorHAnsi"/>
        </w:rPr>
        <w:t xml:space="preserve"> and</w:t>
      </w:r>
      <w:r w:rsidRPr="00FB2061">
        <w:rPr>
          <w:rFonts w:cstheme="minorHAnsi"/>
        </w:rPr>
        <w:t xml:space="preserve"> Funnell S (2020) </w:t>
      </w:r>
      <w:r w:rsidR="00BF1EC1">
        <w:rPr>
          <w:rFonts w:cstheme="minorHAnsi"/>
        </w:rPr>
        <w:t>‘</w:t>
      </w:r>
      <w:r w:rsidRPr="00BF1EC1">
        <w:rPr>
          <w:rFonts w:cstheme="minorHAnsi"/>
        </w:rPr>
        <w:t xml:space="preserve">Evaluation of the pilot phase of a Student Support Strategy to improve retention and completion rates of Aboriginal and Torres Strait Islander </w:t>
      </w:r>
      <w:r w:rsidRPr="006E7D20">
        <w:rPr>
          <w:rFonts w:cstheme="minorHAnsi"/>
          <w:color w:val="auto"/>
        </w:rPr>
        <w:t>students</w:t>
      </w:r>
      <w:r w:rsidR="00BF1EC1" w:rsidRPr="006E7D20">
        <w:rPr>
          <w:rStyle w:val="Hyperlink"/>
          <w:rFonts w:cstheme="minorHAnsi"/>
          <w:color w:val="auto"/>
          <w:u w:val="none"/>
        </w:rPr>
        <w:t>’</w:t>
      </w:r>
      <w:r w:rsidR="00C33817" w:rsidRPr="006E7D20">
        <w:rPr>
          <w:rFonts w:cstheme="minorHAnsi"/>
          <w:color w:val="auto"/>
        </w:rPr>
        <w:t>,</w:t>
      </w:r>
      <w:r w:rsidRPr="006E7D20">
        <w:rPr>
          <w:rFonts w:cstheme="minorHAnsi"/>
          <w:color w:val="auto"/>
        </w:rPr>
        <w:t xml:space="preserve"> </w:t>
      </w:r>
      <w:r w:rsidRPr="006E7D20">
        <w:rPr>
          <w:rFonts w:cstheme="minorHAnsi"/>
          <w:i/>
          <w:color w:val="auto"/>
        </w:rPr>
        <w:t xml:space="preserve">The Australian </w:t>
      </w:r>
      <w:r w:rsidRPr="007065AC">
        <w:rPr>
          <w:rFonts w:cstheme="minorHAnsi"/>
          <w:i/>
        </w:rPr>
        <w:t>Journal of Indigenous Education</w:t>
      </w:r>
      <w:r w:rsidRPr="007065AC">
        <w:rPr>
          <w:rFonts w:cstheme="minorHAnsi"/>
        </w:rPr>
        <w:t>, 1</w:t>
      </w:r>
      <w:r w:rsidR="009E593F">
        <w:rPr>
          <w:rFonts w:cstheme="minorHAnsi"/>
        </w:rPr>
        <w:t>–</w:t>
      </w:r>
      <w:r w:rsidRPr="007065AC">
        <w:rPr>
          <w:rFonts w:cstheme="minorHAnsi"/>
        </w:rPr>
        <w:t>9</w:t>
      </w:r>
      <w:r w:rsidR="00BF1EC1" w:rsidRPr="00BF1EC1">
        <w:rPr>
          <w:rFonts w:cstheme="minorHAnsi"/>
        </w:rPr>
        <w:t>,</w:t>
      </w:r>
      <w:r w:rsidR="00BF1EC1">
        <w:rPr>
          <w:rFonts w:cstheme="minorHAnsi"/>
        </w:rPr>
        <w:t xml:space="preserve"> </w:t>
      </w:r>
      <w:r w:rsidR="00ED7D72">
        <w:rPr>
          <w:rFonts w:cstheme="minorHAnsi"/>
        </w:rPr>
        <w:t>doi:</w:t>
      </w:r>
      <w:hyperlink r:id="rId78" w:history="1">
        <w:r w:rsidR="00BF1EC1" w:rsidRPr="0099569C">
          <w:rPr>
            <w:rStyle w:val="Hyperlink"/>
            <w:rFonts w:cstheme="minorHAnsi"/>
          </w:rPr>
          <w:t>10.1017/jie.2020.29</w:t>
        </w:r>
      </w:hyperlink>
    </w:p>
    <w:p w14:paraId="6DFFB81A" w14:textId="7ABF4C42" w:rsidR="00AD3EB8" w:rsidRPr="007065AC" w:rsidRDefault="00AD3EB8" w:rsidP="007D2D5F">
      <w:pPr>
        <w:spacing w:line="240" w:lineRule="auto"/>
        <w:ind w:left="720" w:hanging="720"/>
        <w:rPr>
          <w:rFonts w:cstheme="minorHAnsi"/>
        </w:rPr>
      </w:pPr>
      <w:r>
        <w:rPr>
          <w:rFonts w:cstheme="minorHAnsi"/>
        </w:rPr>
        <w:t>Heffernan</w:t>
      </w:r>
      <w:r w:rsidR="00DE503D">
        <w:rPr>
          <w:rFonts w:cstheme="minorHAnsi"/>
        </w:rPr>
        <w:t xml:space="preserve"> A, Longmuir F</w:t>
      </w:r>
      <w:r w:rsidR="00B35C6C">
        <w:rPr>
          <w:rFonts w:cstheme="minorHAnsi"/>
        </w:rPr>
        <w:t>, Bright D</w:t>
      </w:r>
      <w:r w:rsidR="00DA07D5">
        <w:rPr>
          <w:rFonts w:cstheme="minorHAnsi"/>
        </w:rPr>
        <w:t xml:space="preserve"> </w:t>
      </w:r>
      <w:r w:rsidR="006B1562">
        <w:rPr>
          <w:rFonts w:cstheme="minorHAnsi"/>
        </w:rPr>
        <w:t>and</w:t>
      </w:r>
      <w:r w:rsidR="008F18A0">
        <w:rPr>
          <w:rFonts w:cstheme="minorHAnsi"/>
        </w:rPr>
        <w:t xml:space="preserve"> Kim M (2019)</w:t>
      </w:r>
      <w:r w:rsidR="004B7F5C">
        <w:rPr>
          <w:rFonts w:cstheme="minorHAnsi"/>
        </w:rPr>
        <w:t xml:space="preserve"> </w:t>
      </w:r>
      <w:r w:rsidR="004B7F5C" w:rsidRPr="00C71CBB">
        <w:rPr>
          <w:rFonts w:cstheme="minorHAnsi"/>
          <w:i/>
        </w:rPr>
        <w:t>Perceptions of teachers and teaching in Australia</w:t>
      </w:r>
      <w:r w:rsidR="001A1549">
        <w:rPr>
          <w:rFonts w:cstheme="minorHAnsi"/>
        </w:rPr>
        <w:t>, Monash University</w:t>
      </w:r>
      <w:r w:rsidR="00781C1D">
        <w:rPr>
          <w:rFonts w:cstheme="minorHAnsi"/>
        </w:rPr>
        <w:t>, Melbourne</w:t>
      </w:r>
      <w:r w:rsidR="00D61849">
        <w:rPr>
          <w:rFonts w:cstheme="minorHAnsi"/>
        </w:rPr>
        <w:t>.</w:t>
      </w:r>
      <w:r w:rsidR="008669B0">
        <w:rPr>
          <w:rFonts w:cstheme="minorHAnsi"/>
        </w:rPr>
        <w:t xml:space="preserve"> </w:t>
      </w:r>
      <w:hyperlink r:id="rId79" w:history="1">
        <w:r w:rsidR="00E80BEC" w:rsidRPr="0002571E">
          <w:rPr>
            <w:rStyle w:val="Hyperlink"/>
            <w:rFonts w:cstheme="minorHAnsi"/>
          </w:rPr>
          <w:t>https://research.monash.edu/en/publications/perceptions-of-teachers-and-teaching-in-australia</w:t>
        </w:r>
      </w:hyperlink>
      <w:r w:rsidR="00E80BEC">
        <w:rPr>
          <w:rFonts w:cstheme="minorHAnsi"/>
        </w:rPr>
        <w:t xml:space="preserve"> </w:t>
      </w:r>
    </w:p>
    <w:p w14:paraId="6A0DB41F" w14:textId="48B0432C" w:rsidR="00423D13" w:rsidRPr="004C5164" w:rsidRDefault="00423D13" w:rsidP="00423D13">
      <w:pPr>
        <w:spacing w:line="240" w:lineRule="auto"/>
        <w:ind w:left="720" w:hanging="720"/>
        <w:rPr>
          <w:rFonts w:cstheme="minorHAnsi"/>
          <w:color w:val="222222"/>
          <w:shd w:val="clear" w:color="auto" w:fill="FFFFFF"/>
        </w:rPr>
      </w:pPr>
      <w:r>
        <w:rPr>
          <w:rFonts w:cstheme="minorHAnsi"/>
          <w:color w:val="222222"/>
          <w:shd w:val="clear" w:color="auto" w:fill="FFFFFF"/>
        </w:rPr>
        <w:t>Hunt V, Dixon-Fyle S, Prince S</w:t>
      </w:r>
      <w:r w:rsidR="00C33817">
        <w:rPr>
          <w:rFonts w:cstheme="minorHAnsi"/>
          <w:color w:val="222222"/>
          <w:shd w:val="clear" w:color="auto" w:fill="FFFFFF"/>
        </w:rPr>
        <w:t xml:space="preserve"> and</w:t>
      </w:r>
      <w:r>
        <w:rPr>
          <w:rFonts w:cstheme="minorHAnsi"/>
          <w:color w:val="222222"/>
          <w:shd w:val="clear" w:color="auto" w:fill="FFFFFF"/>
        </w:rPr>
        <w:t xml:space="preserve"> Dolan K (2020) </w:t>
      </w:r>
      <w:r w:rsidR="0007568F" w:rsidRPr="00936E37">
        <w:rPr>
          <w:i/>
          <w:iCs/>
        </w:rPr>
        <w:t>Diversity Wins: How inclusion matters</w:t>
      </w:r>
      <w:r>
        <w:rPr>
          <w:rFonts w:cstheme="minorHAnsi"/>
          <w:color w:val="222222"/>
          <w:shd w:val="clear" w:color="auto" w:fill="FFFFFF"/>
        </w:rPr>
        <w:t>, McKinsey &amp; Company.</w:t>
      </w:r>
      <w:r w:rsidR="00942E19">
        <w:rPr>
          <w:rFonts w:cstheme="minorHAnsi"/>
          <w:color w:val="222222"/>
          <w:shd w:val="clear" w:color="auto" w:fill="FFFFFF"/>
        </w:rPr>
        <w:t xml:space="preserve"> </w:t>
      </w:r>
      <w:hyperlink r:id="rId80" w:history="1">
        <w:r w:rsidR="0045034E" w:rsidRPr="008477BF">
          <w:rPr>
            <w:rStyle w:val="Hyperlink"/>
            <w:rFonts w:cstheme="minorHAnsi"/>
            <w:shd w:val="clear" w:color="auto" w:fill="FFFFFF"/>
          </w:rPr>
          <w:t>https://www.mckinsey.com/featured-insights/diversity-and-inclusion/diversity-wins-how-inclusion-matters</w:t>
        </w:r>
      </w:hyperlink>
      <w:r w:rsidR="0045034E">
        <w:rPr>
          <w:rFonts w:cstheme="minorHAnsi"/>
          <w:color w:val="222222"/>
          <w:shd w:val="clear" w:color="auto" w:fill="FFFFFF"/>
        </w:rPr>
        <w:t xml:space="preserve"> </w:t>
      </w:r>
    </w:p>
    <w:p w14:paraId="04C1DA32" w14:textId="0F69BA60" w:rsidR="009E5D98" w:rsidRPr="004C5164" w:rsidRDefault="009E5D98" w:rsidP="009E5D98">
      <w:pPr>
        <w:spacing w:line="240" w:lineRule="auto"/>
        <w:ind w:left="720" w:hanging="720"/>
        <w:rPr>
          <w:rFonts w:cstheme="minorHAnsi"/>
          <w:color w:val="222222"/>
          <w:shd w:val="clear" w:color="auto" w:fill="FFFFFF"/>
        </w:rPr>
      </w:pPr>
      <w:r w:rsidRPr="004C5164">
        <w:rPr>
          <w:rFonts w:cstheme="minorHAnsi"/>
          <w:color w:val="222222"/>
          <w:shd w:val="clear" w:color="auto" w:fill="FFFFFF"/>
        </w:rPr>
        <w:t>Ingersoll RM</w:t>
      </w:r>
      <w:r w:rsidR="000C19D6">
        <w:rPr>
          <w:rFonts w:cstheme="minorHAnsi"/>
          <w:color w:val="222222"/>
          <w:shd w:val="clear" w:color="auto" w:fill="FFFFFF"/>
        </w:rPr>
        <w:t xml:space="preserve"> </w:t>
      </w:r>
      <w:r w:rsidR="00C1263E">
        <w:rPr>
          <w:rFonts w:cstheme="minorHAnsi"/>
          <w:color w:val="222222"/>
          <w:shd w:val="clear" w:color="auto" w:fill="FFFFFF"/>
        </w:rPr>
        <w:t>and</w:t>
      </w:r>
      <w:r w:rsidRPr="004C5164">
        <w:rPr>
          <w:rFonts w:cstheme="minorHAnsi"/>
          <w:color w:val="222222"/>
          <w:shd w:val="clear" w:color="auto" w:fill="FFFFFF"/>
        </w:rPr>
        <w:t xml:space="preserve"> Strong M (2011) </w:t>
      </w:r>
      <w:r w:rsidR="00F75E38" w:rsidRPr="007F1E48">
        <w:rPr>
          <w:rFonts w:cstheme="minorHAnsi"/>
        </w:rPr>
        <w:t>The impact of induction and mentoring programs for beginning teachers: A critical review of the research</w:t>
      </w:r>
      <w:r w:rsidR="00C1263E">
        <w:rPr>
          <w:rFonts w:cstheme="minorHAnsi"/>
          <w:color w:val="222222"/>
          <w:shd w:val="clear" w:color="auto" w:fill="FFFFFF"/>
        </w:rPr>
        <w:t>,</w:t>
      </w:r>
      <w:r w:rsidRPr="004C5164">
        <w:rPr>
          <w:rFonts w:cstheme="minorHAnsi"/>
          <w:color w:val="222222"/>
          <w:shd w:val="clear" w:color="auto" w:fill="FFFFFF"/>
        </w:rPr>
        <w:t> </w:t>
      </w:r>
      <w:r w:rsidRPr="004C5164">
        <w:rPr>
          <w:rFonts w:cstheme="minorHAnsi"/>
          <w:i/>
          <w:iCs/>
          <w:color w:val="222222"/>
          <w:shd w:val="clear" w:color="auto" w:fill="FFFFFF"/>
        </w:rPr>
        <w:t>Review of educational research</w:t>
      </w:r>
      <w:r w:rsidRPr="004C5164">
        <w:rPr>
          <w:rFonts w:cstheme="minorHAnsi"/>
          <w:color w:val="222222"/>
          <w:shd w:val="clear" w:color="auto" w:fill="FFFFFF"/>
        </w:rPr>
        <w:t>, </w:t>
      </w:r>
      <w:r w:rsidRPr="00F360E7">
        <w:rPr>
          <w:rFonts w:cstheme="minorHAnsi"/>
          <w:color w:val="222222"/>
          <w:shd w:val="clear" w:color="auto" w:fill="FFFFFF"/>
        </w:rPr>
        <w:t>81(2</w:t>
      </w:r>
      <w:r w:rsidRPr="007F1E48">
        <w:rPr>
          <w:rFonts w:cstheme="minorHAnsi"/>
          <w:color w:val="222222"/>
          <w:shd w:val="clear" w:color="auto" w:fill="FFFFFF"/>
        </w:rPr>
        <w:t>)</w:t>
      </w:r>
      <w:r w:rsidR="00223A71">
        <w:rPr>
          <w:rFonts w:cstheme="minorHAnsi"/>
          <w:color w:val="222222"/>
          <w:shd w:val="clear" w:color="auto" w:fill="FFFFFF"/>
        </w:rPr>
        <w:t>:</w:t>
      </w:r>
      <w:r w:rsidRPr="004C5164">
        <w:rPr>
          <w:rFonts w:cstheme="minorHAnsi"/>
          <w:color w:val="222222"/>
          <w:shd w:val="clear" w:color="auto" w:fill="FFFFFF"/>
        </w:rPr>
        <w:t>201</w:t>
      </w:r>
      <w:r w:rsidR="00146358" w:rsidRPr="007F1E48">
        <w:rPr>
          <w:rFonts w:cstheme="minorHAnsi"/>
        </w:rPr>
        <w:t>–</w:t>
      </w:r>
      <w:r w:rsidRPr="004C5164">
        <w:rPr>
          <w:rFonts w:cstheme="minorHAnsi"/>
          <w:color w:val="222222"/>
          <w:shd w:val="clear" w:color="auto" w:fill="FFFFFF"/>
        </w:rPr>
        <w:t>233</w:t>
      </w:r>
      <w:r w:rsidR="00353937">
        <w:rPr>
          <w:rFonts w:cstheme="minorHAnsi"/>
          <w:color w:val="222222"/>
          <w:shd w:val="clear" w:color="auto" w:fill="FFFFFF"/>
        </w:rPr>
        <w:t>,</w:t>
      </w:r>
      <w:r w:rsidR="00F75E38">
        <w:rPr>
          <w:rFonts w:cstheme="minorHAnsi"/>
          <w:color w:val="222222"/>
          <w:shd w:val="clear" w:color="auto" w:fill="FFFFFF"/>
        </w:rPr>
        <w:t xml:space="preserve"> </w:t>
      </w:r>
      <w:r w:rsidR="007F1E48" w:rsidRPr="007F1E48">
        <w:rPr>
          <w:rFonts w:cstheme="minorHAnsi"/>
          <w:color w:val="333333"/>
          <w:shd w:val="clear" w:color="auto" w:fill="FFFFFF"/>
        </w:rPr>
        <w:t>doi:</w:t>
      </w:r>
      <w:hyperlink r:id="rId81" w:history="1">
        <w:r w:rsidR="007F1E48" w:rsidRPr="007F1E48">
          <w:rPr>
            <w:rStyle w:val="Hyperlink"/>
            <w:rFonts w:cstheme="minorHAnsi"/>
            <w:color w:val="006ACC"/>
            <w:shd w:val="clear" w:color="auto" w:fill="FFFFFF"/>
          </w:rPr>
          <w:t>10.3102/0034654311403323</w:t>
        </w:r>
      </w:hyperlink>
    </w:p>
    <w:p w14:paraId="1BDC50FC" w14:textId="58C988C9" w:rsidR="009E5D98" w:rsidRPr="004C5164" w:rsidRDefault="009E5D98" w:rsidP="009E5D98">
      <w:pPr>
        <w:spacing w:line="240" w:lineRule="auto"/>
        <w:ind w:left="720" w:hanging="720"/>
        <w:rPr>
          <w:rFonts w:cstheme="minorHAnsi"/>
          <w:color w:val="222222"/>
          <w:shd w:val="clear" w:color="auto" w:fill="FFFFFF"/>
        </w:rPr>
      </w:pPr>
      <w:r w:rsidRPr="004C5164">
        <w:rPr>
          <w:rFonts w:cstheme="minorHAnsi"/>
          <w:color w:val="222222"/>
          <w:shd w:val="clear" w:color="auto" w:fill="FFFFFF"/>
        </w:rPr>
        <w:t xml:space="preserve">Ingvarson L, Reid K, Buckley S, Kleinhenz E, Masters GN </w:t>
      </w:r>
      <w:r w:rsidR="00C1263E">
        <w:rPr>
          <w:rFonts w:cstheme="minorHAnsi"/>
          <w:color w:val="222222"/>
          <w:shd w:val="clear" w:color="auto" w:fill="FFFFFF"/>
        </w:rPr>
        <w:t>and</w:t>
      </w:r>
      <w:r w:rsidRPr="004C5164">
        <w:rPr>
          <w:rFonts w:cstheme="minorHAnsi"/>
          <w:color w:val="222222"/>
          <w:shd w:val="clear" w:color="auto" w:fill="FFFFFF"/>
        </w:rPr>
        <w:t xml:space="preserve"> Rowley G (2014) </w:t>
      </w:r>
      <w:r w:rsidR="00F75E38" w:rsidRPr="001709DF">
        <w:rPr>
          <w:i/>
          <w:iCs/>
        </w:rPr>
        <w:t>Best practice teacher education programs and Australia’s own programs</w:t>
      </w:r>
      <w:r>
        <w:rPr>
          <w:rFonts w:cstheme="minorHAnsi"/>
          <w:color w:val="222222"/>
          <w:shd w:val="clear" w:color="auto" w:fill="FFFFFF"/>
        </w:rPr>
        <w:t xml:space="preserve">, ACER. </w:t>
      </w:r>
      <w:hyperlink r:id="rId82" w:history="1">
        <w:r w:rsidR="00F75E38" w:rsidRPr="00C545CE">
          <w:rPr>
            <w:rStyle w:val="Hyperlink"/>
            <w:rFonts w:cstheme="minorHAnsi"/>
            <w:shd w:val="clear" w:color="auto" w:fill="FFFFFF"/>
          </w:rPr>
          <w:t>https://research.acer.edu.au/cgi/viewcontent.cgi?article=1014&amp;context=teacher_education</w:t>
        </w:r>
      </w:hyperlink>
      <w:r w:rsidR="00F75E38">
        <w:rPr>
          <w:rFonts w:cstheme="minorHAnsi"/>
          <w:color w:val="222222"/>
          <w:shd w:val="clear" w:color="auto" w:fill="FFFFFF"/>
        </w:rPr>
        <w:t xml:space="preserve"> </w:t>
      </w:r>
    </w:p>
    <w:p w14:paraId="7662471D" w14:textId="09AF2FD4" w:rsidR="00D80FEB" w:rsidRDefault="009E5D98" w:rsidP="009E5D98">
      <w:pPr>
        <w:spacing w:line="240" w:lineRule="auto"/>
        <w:ind w:left="720" w:hanging="720"/>
        <w:rPr>
          <w:rFonts w:cstheme="minorHAnsi"/>
          <w:color w:val="222222"/>
          <w:shd w:val="clear" w:color="auto" w:fill="FFFFFF"/>
        </w:rPr>
      </w:pPr>
      <w:r w:rsidRPr="004C5164">
        <w:rPr>
          <w:rFonts w:cstheme="minorHAnsi"/>
          <w:color w:val="222222"/>
          <w:shd w:val="clear" w:color="auto" w:fill="FFFFFF"/>
        </w:rPr>
        <w:t xml:space="preserve">Kearny S (2017) </w:t>
      </w:r>
      <w:r w:rsidR="00A27802">
        <w:rPr>
          <w:rFonts w:cstheme="minorHAnsi"/>
          <w:color w:val="222222"/>
          <w:shd w:val="clear" w:color="auto" w:fill="FFFFFF"/>
        </w:rPr>
        <w:t>‘</w:t>
      </w:r>
      <w:r w:rsidR="00F75E38" w:rsidRPr="00C71CBB">
        <w:t>Beginning teacher induction in secondary schools: A best practice case study</w:t>
      </w:r>
      <w:r w:rsidR="00A27802">
        <w:t>’ [PDF 275KB]</w:t>
      </w:r>
      <w:r>
        <w:rPr>
          <w:rFonts w:cstheme="minorHAnsi"/>
          <w:color w:val="222222"/>
          <w:shd w:val="clear" w:color="auto" w:fill="FFFFFF"/>
        </w:rPr>
        <w:t>,</w:t>
      </w:r>
      <w:r w:rsidRPr="004C5164">
        <w:rPr>
          <w:rFonts w:cstheme="minorHAnsi"/>
          <w:color w:val="222222"/>
          <w:shd w:val="clear" w:color="auto" w:fill="FFFFFF"/>
        </w:rPr>
        <w:t> </w:t>
      </w:r>
      <w:r w:rsidRPr="004C5164">
        <w:rPr>
          <w:rFonts w:cstheme="minorHAnsi"/>
          <w:i/>
          <w:iCs/>
          <w:color w:val="222222"/>
          <w:shd w:val="clear" w:color="auto" w:fill="FFFFFF"/>
        </w:rPr>
        <w:t>Issues in Educational Research</w:t>
      </w:r>
      <w:r w:rsidRPr="004C5164">
        <w:rPr>
          <w:rFonts w:cstheme="minorHAnsi"/>
          <w:color w:val="222222"/>
          <w:shd w:val="clear" w:color="auto" w:fill="FFFFFF"/>
        </w:rPr>
        <w:t>, 27(4)</w:t>
      </w:r>
      <w:r w:rsidR="00223A71">
        <w:rPr>
          <w:rFonts w:cstheme="minorHAnsi"/>
          <w:color w:val="222222"/>
          <w:shd w:val="clear" w:color="auto" w:fill="FFFFFF"/>
        </w:rPr>
        <w:t>:</w:t>
      </w:r>
      <w:r w:rsidRPr="004C5164">
        <w:rPr>
          <w:rFonts w:cstheme="minorHAnsi"/>
          <w:color w:val="222222"/>
          <w:shd w:val="clear" w:color="auto" w:fill="FFFFFF"/>
        </w:rPr>
        <w:t>784</w:t>
      </w:r>
      <w:r w:rsidR="00146358">
        <w:rPr>
          <w:rFonts w:cstheme="minorHAnsi"/>
        </w:rPr>
        <w:t>–</w:t>
      </w:r>
      <w:r w:rsidRPr="004C5164">
        <w:rPr>
          <w:rFonts w:cstheme="minorHAnsi"/>
          <w:color w:val="222222"/>
          <w:shd w:val="clear" w:color="auto" w:fill="FFFFFF"/>
        </w:rPr>
        <w:t xml:space="preserve">802. </w:t>
      </w:r>
      <w:hyperlink r:id="rId83" w:history="1">
        <w:r w:rsidR="00F75E38" w:rsidRPr="00C545CE">
          <w:rPr>
            <w:rStyle w:val="Hyperlink"/>
            <w:rFonts w:cstheme="minorHAnsi"/>
            <w:shd w:val="clear" w:color="auto" w:fill="FFFFFF"/>
          </w:rPr>
          <w:t>https://www.iier.org.au/iier27/kearney.</w:t>
        </w:r>
        <w:r w:rsidR="00F75E38" w:rsidRPr="00A27802">
          <w:rPr>
            <w:rStyle w:val="Hyperlink"/>
            <w:rFonts w:cstheme="minorHAnsi"/>
            <w:shd w:val="clear" w:color="auto" w:fill="FFFFFF"/>
          </w:rPr>
          <w:t>pdf</w:t>
        </w:r>
      </w:hyperlink>
      <w:r w:rsidR="00F75E38">
        <w:rPr>
          <w:rFonts w:cstheme="minorHAnsi"/>
          <w:color w:val="222222"/>
          <w:shd w:val="clear" w:color="auto" w:fill="FFFFFF"/>
        </w:rPr>
        <w:t xml:space="preserve"> </w:t>
      </w:r>
    </w:p>
    <w:p w14:paraId="2F6B45B8" w14:textId="68F2E022" w:rsidR="003072C8" w:rsidRPr="00073728" w:rsidRDefault="003072C8" w:rsidP="009E5D98">
      <w:pPr>
        <w:spacing w:line="240" w:lineRule="auto"/>
        <w:ind w:left="720" w:hanging="720"/>
        <w:rPr>
          <w:rFonts w:cstheme="minorHAnsi"/>
          <w:color w:val="222222"/>
          <w:shd w:val="clear" w:color="auto" w:fill="FFFFFF"/>
        </w:rPr>
      </w:pPr>
      <w:r>
        <w:rPr>
          <w:rFonts w:cstheme="minorHAnsi"/>
          <w:color w:val="222222"/>
          <w:shd w:val="clear" w:color="auto" w:fill="FFFFFF"/>
        </w:rPr>
        <w:t xml:space="preserve">Keele </w:t>
      </w:r>
      <w:r w:rsidR="00DD1953">
        <w:rPr>
          <w:rFonts w:cstheme="minorHAnsi"/>
          <w:color w:val="222222"/>
          <w:shd w:val="clear" w:color="auto" w:fill="FFFFFF"/>
        </w:rPr>
        <w:t>SM</w:t>
      </w:r>
      <w:r w:rsidR="007038BF">
        <w:rPr>
          <w:rFonts w:cstheme="minorHAnsi"/>
          <w:color w:val="222222"/>
          <w:shd w:val="clear" w:color="auto" w:fill="FFFFFF"/>
        </w:rPr>
        <w:t xml:space="preserve">, </w:t>
      </w:r>
      <w:r w:rsidR="007B0FE1">
        <w:rPr>
          <w:rFonts w:cstheme="minorHAnsi"/>
          <w:color w:val="222222"/>
          <w:shd w:val="clear" w:color="auto" w:fill="FFFFFF"/>
        </w:rPr>
        <w:t xml:space="preserve">Swann R </w:t>
      </w:r>
      <w:r w:rsidR="00BB2EC9">
        <w:rPr>
          <w:rFonts w:cstheme="minorHAnsi"/>
          <w:color w:val="222222"/>
          <w:shd w:val="clear" w:color="auto" w:fill="FFFFFF"/>
        </w:rPr>
        <w:t xml:space="preserve">and </w:t>
      </w:r>
      <w:r w:rsidR="00256B24">
        <w:rPr>
          <w:rFonts w:cstheme="minorHAnsi"/>
          <w:color w:val="222222"/>
          <w:shd w:val="clear" w:color="auto" w:fill="FFFFFF"/>
        </w:rPr>
        <w:t>Davie-Smythe A</w:t>
      </w:r>
      <w:r w:rsidR="003056FC">
        <w:rPr>
          <w:rFonts w:cstheme="minorHAnsi"/>
          <w:color w:val="222222"/>
          <w:shd w:val="clear" w:color="auto" w:fill="FFFFFF"/>
        </w:rPr>
        <w:t xml:space="preserve"> (2020)</w:t>
      </w:r>
      <w:r w:rsidR="00293244">
        <w:rPr>
          <w:rFonts w:cstheme="minorHAnsi"/>
          <w:color w:val="222222"/>
          <w:shd w:val="clear" w:color="auto" w:fill="FFFFFF"/>
        </w:rPr>
        <w:t xml:space="preserve"> ‘</w:t>
      </w:r>
      <w:r w:rsidR="00293244" w:rsidRPr="0094093F">
        <w:rPr>
          <w:rFonts w:cstheme="minorHAnsi"/>
          <w:shd w:val="clear" w:color="auto" w:fill="FFFFFF"/>
        </w:rPr>
        <w:t>Identifying best practice in career education and development in Australian secondary schools</w:t>
      </w:r>
      <w:r w:rsidR="00293244" w:rsidRPr="0094093F">
        <w:rPr>
          <w:rFonts w:cstheme="minorHAnsi"/>
          <w:color w:val="222222"/>
          <w:shd w:val="clear" w:color="auto" w:fill="FFFFFF"/>
        </w:rPr>
        <w:t>’</w:t>
      </w:r>
      <w:r w:rsidR="00627C4D" w:rsidRPr="0094093F">
        <w:rPr>
          <w:rFonts w:cstheme="minorHAnsi"/>
          <w:color w:val="222222"/>
          <w:shd w:val="clear" w:color="auto" w:fill="FFFFFF"/>
        </w:rPr>
        <w:t xml:space="preserve">, </w:t>
      </w:r>
      <w:r w:rsidR="00627C4D" w:rsidRPr="0094093F">
        <w:rPr>
          <w:rFonts w:cstheme="minorHAnsi"/>
          <w:i/>
          <w:iCs/>
          <w:color w:val="222222"/>
          <w:shd w:val="clear" w:color="auto" w:fill="FFFFFF"/>
        </w:rPr>
        <w:t>Australian Journal of Career Development</w:t>
      </w:r>
      <w:r w:rsidR="00073728" w:rsidRPr="0094093F">
        <w:rPr>
          <w:rFonts w:cstheme="minorHAnsi"/>
          <w:i/>
          <w:iCs/>
          <w:color w:val="222222"/>
          <w:shd w:val="clear" w:color="auto" w:fill="FFFFFF"/>
        </w:rPr>
        <w:t xml:space="preserve">, </w:t>
      </w:r>
      <w:r w:rsidR="007201E8" w:rsidRPr="0094093F">
        <w:rPr>
          <w:rFonts w:cstheme="minorHAnsi"/>
          <w:color w:val="222222"/>
          <w:shd w:val="clear" w:color="auto" w:fill="FFFFFF"/>
        </w:rPr>
        <w:t>29(</w:t>
      </w:r>
      <w:r w:rsidR="00BB3FF7" w:rsidRPr="0094093F">
        <w:rPr>
          <w:rFonts w:cstheme="minorHAnsi"/>
          <w:color w:val="222222"/>
          <w:shd w:val="clear" w:color="auto" w:fill="FFFFFF"/>
        </w:rPr>
        <w:t>1):</w:t>
      </w:r>
      <w:r w:rsidR="003B70C9" w:rsidRPr="0094093F">
        <w:rPr>
          <w:rFonts w:cstheme="minorHAnsi"/>
          <w:color w:val="222222"/>
          <w:shd w:val="clear" w:color="auto" w:fill="FFFFFF"/>
        </w:rPr>
        <w:t>54–66</w:t>
      </w:r>
      <w:r w:rsidR="00345E12">
        <w:rPr>
          <w:rFonts w:cstheme="minorHAnsi"/>
          <w:color w:val="222222"/>
          <w:shd w:val="clear" w:color="auto" w:fill="FFFFFF"/>
        </w:rPr>
        <w:t>,</w:t>
      </w:r>
      <w:r w:rsidR="00C16FC3" w:rsidRPr="0094093F">
        <w:rPr>
          <w:rFonts w:cstheme="minorHAnsi"/>
          <w:color w:val="222222"/>
          <w:shd w:val="clear" w:color="auto" w:fill="FFFFFF"/>
        </w:rPr>
        <w:t xml:space="preserve"> </w:t>
      </w:r>
      <w:r w:rsidR="00C16FC3" w:rsidRPr="0094093F">
        <w:rPr>
          <w:rFonts w:cstheme="minorHAnsi"/>
          <w:color w:val="333333"/>
          <w:shd w:val="clear" w:color="auto" w:fill="FFFFFF"/>
        </w:rPr>
        <w:t>doi:</w:t>
      </w:r>
      <w:hyperlink r:id="rId84" w:history="1">
        <w:r w:rsidR="00C16FC3" w:rsidRPr="0094093F">
          <w:rPr>
            <w:rStyle w:val="Hyperlink"/>
            <w:rFonts w:cstheme="minorHAnsi"/>
            <w:color w:val="006ACC"/>
            <w:shd w:val="clear" w:color="auto" w:fill="FFFFFF"/>
          </w:rPr>
          <w:t>10.1177/1038416219886116</w:t>
        </w:r>
      </w:hyperlink>
    </w:p>
    <w:p w14:paraId="2A36A949" w14:textId="5DCD141D" w:rsidR="00CB3E2B" w:rsidRDefault="00CB3E2B" w:rsidP="003F7ABE">
      <w:pPr>
        <w:spacing w:line="240" w:lineRule="auto"/>
        <w:ind w:left="720" w:hanging="720"/>
        <w:rPr>
          <w:rFonts w:cstheme="minorHAnsi"/>
          <w:color w:val="222222"/>
          <w:shd w:val="clear" w:color="auto" w:fill="FFFFFF"/>
        </w:rPr>
      </w:pPr>
      <w:r w:rsidRPr="00CB3E2B">
        <w:rPr>
          <w:rFonts w:cstheme="minorHAnsi"/>
          <w:color w:val="222222"/>
          <w:shd w:val="clear" w:color="auto" w:fill="FFFFFF"/>
        </w:rPr>
        <w:lastRenderedPageBreak/>
        <w:t xml:space="preserve">Mayer D, Allard A, Bates R, Dixon M, Doecke B, Kline J, Kostogriz A, Moss J, Rowan L, Walker-Gibbs B, White S </w:t>
      </w:r>
      <w:r w:rsidR="008D4305">
        <w:rPr>
          <w:rFonts w:cstheme="minorHAnsi"/>
          <w:color w:val="222222"/>
          <w:shd w:val="clear" w:color="auto" w:fill="FFFFFF"/>
        </w:rPr>
        <w:t>and</w:t>
      </w:r>
      <w:r w:rsidRPr="00CB3E2B">
        <w:rPr>
          <w:rFonts w:cstheme="minorHAnsi"/>
          <w:color w:val="222222"/>
          <w:shd w:val="clear" w:color="auto" w:fill="FFFFFF"/>
        </w:rPr>
        <w:t xml:space="preserve"> Hodder R </w:t>
      </w:r>
      <w:r>
        <w:rPr>
          <w:rFonts w:cstheme="minorHAnsi"/>
          <w:color w:val="222222"/>
          <w:shd w:val="clear" w:color="auto" w:fill="FFFFFF"/>
        </w:rPr>
        <w:t>(</w:t>
      </w:r>
      <w:r w:rsidRPr="00CB3E2B">
        <w:rPr>
          <w:rFonts w:cstheme="minorHAnsi"/>
          <w:color w:val="222222"/>
          <w:shd w:val="clear" w:color="auto" w:fill="FFFFFF"/>
        </w:rPr>
        <w:t>2015</w:t>
      </w:r>
      <w:r>
        <w:rPr>
          <w:rFonts w:cstheme="minorHAnsi"/>
          <w:color w:val="222222"/>
          <w:shd w:val="clear" w:color="auto" w:fill="FFFFFF"/>
        </w:rPr>
        <w:t>)</w:t>
      </w:r>
      <w:r w:rsidRPr="00CB3E2B">
        <w:rPr>
          <w:rFonts w:cstheme="minorHAnsi"/>
          <w:color w:val="222222"/>
          <w:shd w:val="clear" w:color="auto" w:fill="FFFFFF"/>
        </w:rPr>
        <w:t xml:space="preserve"> </w:t>
      </w:r>
      <w:r w:rsidR="007C318C" w:rsidRPr="00E86267">
        <w:rPr>
          <w:i/>
          <w:iCs/>
        </w:rPr>
        <w:t>Studying the effectiveness of teacher education - Final report</w:t>
      </w:r>
      <w:r w:rsidRPr="00CB3E2B">
        <w:rPr>
          <w:rFonts w:cstheme="minorHAnsi"/>
          <w:color w:val="222222"/>
          <w:shd w:val="clear" w:color="auto" w:fill="FFFFFF"/>
        </w:rPr>
        <w:t>, Deakin University, Geelong.</w:t>
      </w:r>
      <w:r w:rsidR="007C318C">
        <w:rPr>
          <w:rFonts w:cstheme="minorHAnsi"/>
          <w:color w:val="222222"/>
          <w:shd w:val="clear" w:color="auto" w:fill="FFFFFF"/>
        </w:rPr>
        <w:t xml:space="preserve"> </w:t>
      </w:r>
      <w:hyperlink r:id="rId85" w:history="1">
        <w:r w:rsidR="00E86267" w:rsidRPr="008477BF">
          <w:rPr>
            <w:rStyle w:val="Hyperlink"/>
          </w:rPr>
          <w:t>https://research.monash.edu/en/publications/studying-the-effectiveness-of-teacher-education-final-report</w:t>
        </w:r>
      </w:hyperlink>
      <w:r w:rsidR="00E86267">
        <w:t xml:space="preserve"> </w:t>
      </w:r>
    </w:p>
    <w:p w14:paraId="2A454B51" w14:textId="7AC7EF99" w:rsidR="009E5D98" w:rsidRPr="004C5164" w:rsidRDefault="009E5D98" w:rsidP="009E5D98">
      <w:pPr>
        <w:spacing w:line="240" w:lineRule="auto"/>
        <w:ind w:left="720" w:hanging="720"/>
        <w:rPr>
          <w:rFonts w:cstheme="minorHAnsi"/>
          <w:color w:val="222222"/>
          <w:shd w:val="clear" w:color="auto" w:fill="FFFFFF"/>
        </w:rPr>
      </w:pPr>
      <w:r w:rsidRPr="001C2AFA">
        <w:rPr>
          <w:rFonts w:cstheme="minorHAnsi"/>
          <w:color w:val="222222"/>
          <w:shd w:val="clear" w:color="auto" w:fill="FFFFFF"/>
        </w:rPr>
        <w:t xml:space="preserve">Meeks L, Madelaine A </w:t>
      </w:r>
      <w:r w:rsidR="007A2809">
        <w:rPr>
          <w:rFonts w:cstheme="minorHAnsi"/>
          <w:color w:val="222222"/>
          <w:shd w:val="clear" w:color="auto" w:fill="FFFFFF"/>
        </w:rPr>
        <w:t>and</w:t>
      </w:r>
      <w:r w:rsidRPr="001C2AFA">
        <w:rPr>
          <w:rFonts w:cstheme="minorHAnsi"/>
          <w:color w:val="222222"/>
          <w:shd w:val="clear" w:color="auto" w:fill="FFFFFF"/>
        </w:rPr>
        <w:t xml:space="preserve"> Kemp C (</w:t>
      </w:r>
      <w:r w:rsidRPr="002A445A">
        <w:rPr>
          <w:rFonts w:cstheme="minorHAnsi"/>
          <w:color w:val="222222"/>
          <w:shd w:val="clear" w:color="auto" w:fill="FFFFFF"/>
        </w:rPr>
        <w:t xml:space="preserve">2020) </w:t>
      </w:r>
      <w:r w:rsidR="00B56EED">
        <w:rPr>
          <w:rFonts w:cstheme="minorHAnsi"/>
          <w:color w:val="222222"/>
          <w:shd w:val="clear" w:color="auto" w:fill="FFFFFF"/>
        </w:rPr>
        <w:t>‘</w:t>
      </w:r>
      <w:r w:rsidRPr="002A445A">
        <w:rPr>
          <w:rFonts w:cstheme="minorHAnsi"/>
          <w:shd w:val="clear" w:color="auto" w:fill="FFFFFF"/>
        </w:rPr>
        <w:t>Research and theory into practice: Australian preservice teachers’ knowledge of evidence-based early literacy instruction</w:t>
      </w:r>
      <w:r w:rsidRPr="002A445A">
        <w:rPr>
          <w:rFonts w:cstheme="minorHAnsi"/>
          <w:color w:val="222222"/>
          <w:shd w:val="clear" w:color="auto" w:fill="FFFFFF"/>
        </w:rPr>
        <w:t xml:space="preserve">, </w:t>
      </w:r>
      <w:r w:rsidRPr="002A445A">
        <w:rPr>
          <w:rFonts w:cstheme="minorHAnsi"/>
          <w:i/>
          <w:iCs/>
          <w:color w:val="222222"/>
          <w:shd w:val="clear" w:color="auto" w:fill="FFFFFF"/>
        </w:rPr>
        <w:t>Australian Journal of Learning Difficulties</w:t>
      </w:r>
      <w:r w:rsidRPr="002A445A">
        <w:rPr>
          <w:rFonts w:cstheme="minorHAnsi"/>
          <w:color w:val="222222"/>
          <w:shd w:val="clear" w:color="auto" w:fill="FFFFFF"/>
        </w:rPr>
        <w:t>, 25(2)</w:t>
      </w:r>
      <w:r w:rsidR="00E33C60">
        <w:rPr>
          <w:rFonts w:cstheme="minorHAnsi"/>
          <w:color w:val="222222"/>
          <w:shd w:val="clear" w:color="auto" w:fill="FFFFFF"/>
        </w:rPr>
        <w:t>:</w:t>
      </w:r>
      <w:r w:rsidRPr="002A445A">
        <w:rPr>
          <w:rFonts w:cstheme="minorHAnsi"/>
          <w:color w:val="222222"/>
          <w:shd w:val="clear" w:color="auto" w:fill="FFFFFF"/>
        </w:rPr>
        <w:t>215</w:t>
      </w:r>
      <w:r w:rsidR="00146358" w:rsidRPr="002A445A">
        <w:rPr>
          <w:rFonts w:cstheme="minorHAnsi"/>
        </w:rPr>
        <w:t>–</w:t>
      </w:r>
      <w:r w:rsidRPr="002A445A">
        <w:rPr>
          <w:rFonts w:cstheme="minorHAnsi"/>
          <w:color w:val="222222"/>
          <w:shd w:val="clear" w:color="auto" w:fill="FFFFFF"/>
        </w:rPr>
        <w:t>233</w:t>
      </w:r>
      <w:r w:rsidR="00345E12">
        <w:rPr>
          <w:rFonts w:cstheme="minorHAnsi"/>
          <w:color w:val="222222"/>
          <w:shd w:val="clear" w:color="auto" w:fill="FFFFFF"/>
        </w:rPr>
        <w:t>,</w:t>
      </w:r>
      <w:r w:rsidRPr="002A445A">
        <w:rPr>
          <w:rFonts w:cstheme="minorHAnsi"/>
          <w:color w:val="222222"/>
          <w:shd w:val="clear" w:color="auto" w:fill="FFFFFF"/>
        </w:rPr>
        <w:t xml:space="preserve"> </w:t>
      </w:r>
      <w:r w:rsidR="002A445A">
        <w:rPr>
          <w:rFonts w:cstheme="minorHAnsi"/>
          <w:color w:val="333333"/>
          <w:shd w:val="clear" w:color="auto" w:fill="FFFFFF"/>
        </w:rPr>
        <w:t>doi</w:t>
      </w:r>
      <w:r w:rsidR="002A445A" w:rsidRPr="002A445A">
        <w:rPr>
          <w:rFonts w:cstheme="minorHAnsi"/>
          <w:color w:val="333333"/>
          <w:shd w:val="clear" w:color="auto" w:fill="FFFFFF"/>
        </w:rPr>
        <w:t>:</w:t>
      </w:r>
      <w:hyperlink r:id="rId86" w:history="1">
        <w:r w:rsidR="002A445A" w:rsidRPr="002A445A">
          <w:rPr>
            <w:rStyle w:val="Hyperlink"/>
            <w:rFonts w:cstheme="minorHAnsi"/>
            <w:color w:val="0070C0"/>
            <w:shd w:val="clear" w:color="auto" w:fill="FFFFFF"/>
          </w:rPr>
          <w:t>10.1080/19404158.2020.1832128</w:t>
        </w:r>
      </w:hyperlink>
      <w:r w:rsidR="002A445A" w:rsidRPr="002A445A">
        <w:rPr>
          <w:rFonts w:cstheme="minorHAnsi"/>
          <w:color w:val="0070C0"/>
        </w:rPr>
        <w:t xml:space="preserve"> </w:t>
      </w:r>
    </w:p>
    <w:p w14:paraId="204A20DE" w14:textId="662F8CAE" w:rsidR="00F64490" w:rsidRDefault="00F64490" w:rsidP="009E5D98">
      <w:pPr>
        <w:spacing w:line="240" w:lineRule="auto"/>
        <w:ind w:left="720" w:hanging="720"/>
        <w:rPr>
          <w:rFonts w:cstheme="minorHAnsi"/>
          <w:color w:val="3A3A3A"/>
          <w:shd w:val="clear" w:color="auto" w:fill="FFFFFF"/>
        </w:rPr>
      </w:pPr>
      <w:r w:rsidRPr="00345E12">
        <w:rPr>
          <w:rFonts w:cstheme="minorHAnsi"/>
          <w:color w:val="auto"/>
          <w:shd w:val="clear" w:color="auto" w:fill="FFFFFF"/>
        </w:rPr>
        <w:t>Moats LC</w:t>
      </w:r>
      <w:r w:rsidR="00323BB3" w:rsidRPr="00345E12">
        <w:rPr>
          <w:rFonts w:cstheme="minorHAnsi"/>
          <w:color w:val="auto"/>
          <w:shd w:val="clear" w:color="auto" w:fill="FFFFFF"/>
        </w:rPr>
        <w:t xml:space="preserve"> </w:t>
      </w:r>
      <w:r w:rsidR="007A2809" w:rsidRPr="00345E12">
        <w:rPr>
          <w:rFonts w:cstheme="minorHAnsi"/>
          <w:color w:val="auto"/>
          <w:shd w:val="clear" w:color="auto" w:fill="FFFFFF"/>
        </w:rPr>
        <w:t>and</w:t>
      </w:r>
      <w:r w:rsidRPr="00345E12">
        <w:rPr>
          <w:rFonts w:cstheme="minorHAnsi"/>
          <w:color w:val="auto"/>
          <w:shd w:val="clear" w:color="auto" w:fill="FFFFFF"/>
        </w:rPr>
        <w:t xml:space="preserve"> Foorman BR (2003) </w:t>
      </w:r>
      <w:r w:rsidR="00B56EED" w:rsidRPr="00345E12">
        <w:rPr>
          <w:rFonts w:cstheme="minorHAnsi"/>
          <w:color w:val="auto"/>
          <w:shd w:val="clear" w:color="auto" w:fill="FFFFFF"/>
        </w:rPr>
        <w:t>‘</w:t>
      </w:r>
      <w:r w:rsidRPr="00345E12">
        <w:rPr>
          <w:rFonts w:cstheme="minorHAnsi"/>
          <w:color w:val="auto"/>
        </w:rPr>
        <w:t>Measuring Teachers’ Content Knowledge of Language and Reading</w:t>
      </w:r>
      <w:r w:rsidR="00B56EED" w:rsidRPr="00345E12">
        <w:rPr>
          <w:rFonts w:cstheme="minorHAnsi"/>
          <w:color w:val="auto"/>
        </w:rPr>
        <w:t>’</w:t>
      </w:r>
      <w:r w:rsidRPr="00345E12">
        <w:rPr>
          <w:rFonts w:cstheme="minorHAnsi"/>
          <w:color w:val="auto"/>
          <w:shd w:val="clear" w:color="auto" w:fill="FFFFFF"/>
        </w:rPr>
        <w:t>. </w:t>
      </w:r>
      <w:r w:rsidRPr="00345E12">
        <w:rPr>
          <w:rFonts w:cstheme="minorHAnsi"/>
          <w:i/>
          <w:color w:val="auto"/>
          <w:shd w:val="clear" w:color="auto" w:fill="FFFFFF"/>
        </w:rPr>
        <w:t>Annals of Dyslexia</w:t>
      </w:r>
      <w:r w:rsidRPr="00345E12">
        <w:rPr>
          <w:rFonts w:cstheme="minorHAnsi"/>
          <w:color w:val="auto"/>
          <w:shd w:val="clear" w:color="auto" w:fill="FFFFFF"/>
        </w:rPr>
        <w:t>, 53(1)</w:t>
      </w:r>
      <w:r w:rsidR="00E33C60">
        <w:rPr>
          <w:rFonts w:cstheme="minorHAnsi"/>
          <w:color w:val="auto"/>
          <w:shd w:val="clear" w:color="auto" w:fill="FFFFFF"/>
        </w:rPr>
        <w:t>:</w:t>
      </w:r>
      <w:r w:rsidRPr="00345E12">
        <w:rPr>
          <w:rFonts w:cstheme="minorHAnsi"/>
          <w:color w:val="auto"/>
          <w:shd w:val="clear" w:color="auto" w:fill="FFFFFF"/>
        </w:rPr>
        <w:t>23</w:t>
      </w:r>
      <w:r w:rsidRPr="00345E12">
        <w:rPr>
          <w:rFonts w:cstheme="minorHAnsi"/>
          <w:color w:val="auto"/>
        </w:rPr>
        <w:t>–</w:t>
      </w:r>
      <w:r w:rsidRPr="00345E12">
        <w:rPr>
          <w:rFonts w:cstheme="minorHAnsi"/>
          <w:color w:val="auto"/>
          <w:shd w:val="clear" w:color="auto" w:fill="FFFFFF"/>
        </w:rPr>
        <w:t>45</w:t>
      </w:r>
      <w:r w:rsidR="00345E12" w:rsidRPr="00345E12">
        <w:rPr>
          <w:rFonts w:cstheme="minorHAnsi"/>
          <w:color w:val="auto"/>
          <w:shd w:val="clear" w:color="auto" w:fill="FFFFFF"/>
        </w:rPr>
        <w:t>,</w:t>
      </w:r>
      <w:r w:rsidRPr="00345E12">
        <w:rPr>
          <w:rFonts w:cstheme="minorHAnsi"/>
          <w:color w:val="auto"/>
          <w:shd w:val="clear" w:color="auto" w:fill="FFFFFF"/>
        </w:rPr>
        <w:t xml:space="preserve"> </w:t>
      </w:r>
      <w:r w:rsidR="00B56EED" w:rsidRPr="00345E12">
        <w:rPr>
          <w:rFonts w:cstheme="minorHAnsi"/>
          <w:color w:val="auto"/>
          <w:shd w:val="clear" w:color="auto" w:fill="FFFFFF"/>
        </w:rPr>
        <w:t>doi:</w:t>
      </w:r>
      <w:hyperlink r:id="rId87" w:tgtFrame="_blank" w:history="1">
        <w:r w:rsidR="00B56EED" w:rsidRPr="00B56EED">
          <w:rPr>
            <w:rStyle w:val="Hyperlink"/>
            <w:rFonts w:cstheme="minorHAnsi"/>
            <w:bdr w:val="none" w:sz="0" w:space="0" w:color="auto" w:frame="1"/>
            <w:shd w:val="clear" w:color="auto" w:fill="FFFFFF"/>
          </w:rPr>
          <w:t>10.1007/s11881-003-0003-7</w:t>
        </w:r>
      </w:hyperlink>
    </w:p>
    <w:p w14:paraId="73919020" w14:textId="08109DC0" w:rsidR="009E5D98" w:rsidRDefault="009E5D98" w:rsidP="009E5D98">
      <w:pPr>
        <w:spacing w:line="240" w:lineRule="auto"/>
        <w:ind w:left="720" w:hanging="720"/>
        <w:rPr>
          <w:rFonts w:cstheme="minorHAnsi"/>
          <w:color w:val="222222"/>
          <w:shd w:val="clear" w:color="auto" w:fill="FFFFFF"/>
        </w:rPr>
      </w:pPr>
      <w:r w:rsidRPr="001F4EF6">
        <w:rPr>
          <w:rFonts w:cstheme="minorHAnsi"/>
          <w:color w:val="222222"/>
          <w:shd w:val="clear" w:color="auto" w:fill="FFFFFF"/>
        </w:rPr>
        <w:t xml:space="preserve">National Reading Panel </w:t>
      </w:r>
      <w:r w:rsidR="008D52E6" w:rsidRPr="008D52E6">
        <w:rPr>
          <w:rFonts w:cstheme="minorHAnsi"/>
          <w:color w:val="222222"/>
          <w:shd w:val="clear" w:color="auto" w:fill="FFFFFF"/>
        </w:rPr>
        <w:t xml:space="preserve">(U.S.) </w:t>
      </w:r>
      <w:r w:rsidR="006B0706" w:rsidRPr="001F4EF6">
        <w:rPr>
          <w:rFonts w:cstheme="minorHAnsi"/>
          <w:color w:val="222222"/>
          <w:shd w:val="clear" w:color="auto" w:fill="FFFFFF"/>
        </w:rPr>
        <w:t>and</w:t>
      </w:r>
      <w:r w:rsidRPr="001F4EF6">
        <w:rPr>
          <w:rFonts w:cstheme="minorHAnsi"/>
          <w:color w:val="222222"/>
          <w:shd w:val="clear" w:color="auto" w:fill="FFFFFF"/>
        </w:rPr>
        <w:t xml:space="preserve"> National Institute of Child Health</w:t>
      </w:r>
      <w:r w:rsidR="00113FC6" w:rsidRPr="001F4EF6">
        <w:rPr>
          <w:rFonts w:cstheme="minorHAnsi"/>
          <w:color w:val="222222"/>
          <w:shd w:val="clear" w:color="auto" w:fill="FFFFFF"/>
        </w:rPr>
        <w:t xml:space="preserve"> and</w:t>
      </w:r>
      <w:r w:rsidRPr="001F4EF6">
        <w:rPr>
          <w:rFonts w:cstheme="minorHAnsi"/>
          <w:color w:val="222222"/>
          <w:shd w:val="clear" w:color="auto" w:fill="FFFFFF"/>
        </w:rPr>
        <w:t xml:space="preserve"> Human Development (</w:t>
      </w:r>
      <w:r w:rsidR="008D52E6" w:rsidRPr="008D52E6">
        <w:rPr>
          <w:rFonts w:cstheme="minorHAnsi"/>
          <w:color w:val="222222"/>
          <w:shd w:val="clear" w:color="auto" w:fill="FFFFFF"/>
        </w:rPr>
        <w:t>U.S.) (</w:t>
      </w:r>
      <w:r w:rsidRPr="001F4EF6">
        <w:rPr>
          <w:rFonts w:cstheme="minorHAnsi"/>
          <w:color w:val="222222"/>
          <w:shd w:val="clear" w:color="auto" w:fill="FFFFFF"/>
        </w:rPr>
        <w:t>2000)</w:t>
      </w:r>
      <w:r w:rsidRPr="00DE496B">
        <w:rPr>
          <w:rFonts w:cstheme="minorHAnsi"/>
          <w:color w:val="222222"/>
          <w:shd w:val="clear" w:color="auto" w:fill="FFFFFF"/>
        </w:rPr>
        <w:t xml:space="preserve"> </w:t>
      </w:r>
      <w:r w:rsidR="00FC64B0" w:rsidRPr="001F4EF6">
        <w:rPr>
          <w:rFonts w:cstheme="minorHAnsi"/>
          <w:i/>
          <w:color w:val="222222"/>
          <w:shd w:val="clear" w:color="auto" w:fill="FFFFFF"/>
        </w:rPr>
        <w:t xml:space="preserve">Report of the National Reading Panel: </w:t>
      </w:r>
      <w:r w:rsidR="002B1727" w:rsidRPr="008D52E6">
        <w:rPr>
          <w:rFonts w:cstheme="minorHAnsi"/>
          <w:i/>
          <w:color w:val="222222"/>
          <w:shd w:val="clear" w:color="auto" w:fill="FFFFFF"/>
        </w:rPr>
        <w:t>Teaching children to read</w:t>
      </w:r>
      <w:r w:rsidR="008D52E6" w:rsidRPr="008D52E6">
        <w:rPr>
          <w:rFonts w:cstheme="minorHAnsi"/>
          <w:i/>
          <w:iCs/>
          <w:color w:val="222222"/>
          <w:shd w:val="clear" w:color="auto" w:fill="FFFFFF"/>
        </w:rPr>
        <w:t xml:space="preserve"> : an</w:t>
      </w:r>
      <w:r w:rsidR="002B1727" w:rsidRPr="008D52E6">
        <w:rPr>
          <w:rFonts w:cstheme="minorHAnsi"/>
          <w:i/>
          <w:color w:val="222222"/>
          <w:shd w:val="clear" w:color="auto" w:fill="FFFFFF"/>
        </w:rPr>
        <w:t xml:space="preserve"> evidence-based assessment of the scientific research literature on reading and its implications for reading instruction</w:t>
      </w:r>
      <w:r w:rsidR="00E663F9">
        <w:rPr>
          <w:rFonts w:cstheme="minorHAnsi"/>
          <w:i/>
          <w:iCs/>
          <w:color w:val="222222"/>
          <w:shd w:val="clear" w:color="auto" w:fill="FFFFFF"/>
        </w:rPr>
        <w:t xml:space="preserve"> </w:t>
      </w:r>
      <w:r w:rsidR="00E663F9" w:rsidRPr="00E663F9">
        <w:rPr>
          <w:rFonts w:cstheme="minorHAnsi"/>
          <w:color w:val="222222"/>
          <w:shd w:val="clear" w:color="auto" w:fill="FFFFFF"/>
        </w:rPr>
        <w:t>[PDF 3.56MB]</w:t>
      </w:r>
      <w:r w:rsidR="008D52E6" w:rsidRPr="00E663F9">
        <w:rPr>
          <w:rFonts w:cstheme="minorHAnsi"/>
          <w:color w:val="222222"/>
          <w:shd w:val="clear" w:color="auto" w:fill="FFFFFF"/>
        </w:rPr>
        <w:t xml:space="preserve">, </w:t>
      </w:r>
      <w:r w:rsidR="008D52E6" w:rsidRPr="008D52E6">
        <w:rPr>
          <w:rFonts w:cstheme="minorHAnsi"/>
          <w:color w:val="222222"/>
          <w:shd w:val="clear" w:color="auto" w:fill="FFFFFF"/>
        </w:rPr>
        <w:t>U.S. Dept. of Health and Human Services, Public Health Service, National Institutes of Health, National Institute of Child Health and Human Development.</w:t>
      </w:r>
      <w:r>
        <w:rPr>
          <w:rFonts w:cstheme="minorHAnsi"/>
          <w:color w:val="222222"/>
          <w:shd w:val="clear" w:color="auto" w:fill="FFFFFF"/>
        </w:rPr>
        <w:t xml:space="preserve"> </w:t>
      </w:r>
      <w:hyperlink r:id="rId88" w:history="1">
        <w:r w:rsidR="002B1727" w:rsidRPr="00C545CE">
          <w:rPr>
            <w:rStyle w:val="Hyperlink"/>
            <w:rFonts w:cstheme="minorHAnsi"/>
            <w:shd w:val="clear" w:color="auto" w:fill="FFFFFF"/>
          </w:rPr>
          <w:t>https://www.nichd.nih.gov/sites/default/files/publications/pubs/nrp/Documents/report.</w:t>
        </w:r>
        <w:r w:rsidR="002B1727" w:rsidRPr="00E663F9">
          <w:rPr>
            <w:rStyle w:val="Hyperlink"/>
            <w:rFonts w:cstheme="minorHAnsi"/>
            <w:shd w:val="clear" w:color="auto" w:fill="FFFFFF"/>
          </w:rPr>
          <w:t>pdf</w:t>
        </w:r>
      </w:hyperlink>
      <w:r w:rsidR="002B1727">
        <w:rPr>
          <w:rFonts w:cstheme="minorHAnsi"/>
          <w:color w:val="222222"/>
          <w:shd w:val="clear" w:color="auto" w:fill="FFFFFF"/>
        </w:rPr>
        <w:t xml:space="preserve"> </w:t>
      </w:r>
    </w:p>
    <w:p w14:paraId="32531CCD" w14:textId="663E1F56" w:rsidR="009E5D98" w:rsidRPr="004C5164" w:rsidRDefault="009E5D98" w:rsidP="009E5D98">
      <w:pPr>
        <w:spacing w:line="240" w:lineRule="auto"/>
        <w:ind w:left="720" w:hanging="720"/>
        <w:rPr>
          <w:rFonts w:cstheme="minorHAnsi"/>
          <w:color w:val="222222"/>
          <w:shd w:val="clear" w:color="auto" w:fill="FFFFFF"/>
        </w:rPr>
      </w:pPr>
      <w:r>
        <w:rPr>
          <w:rFonts w:cstheme="minorHAnsi"/>
          <w:color w:val="222222"/>
          <w:shd w:val="clear" w:color="auto" w:fill="FFFFFF"/>
        </w:rPr>
        <w:t>NCSEHE (</w:t>
      </w:r>
      <w:r w:rsidRPr="004C5164">
        <w:rPr>
          <w:rFonts w:cstheme="minorHAnsi"/>
          <w:color w:val="222222"/>
          <w:shd w:val="clear" w:color="auto" w:fill="FFFFFF"/>
        </w:rPr>
        <w:t>National Centre for Student Equity in Higher Education</w:t>
      </w:r>
      <w:r>
        <w:rPr>
          <w:rFonts w:cstheme="minorHAnsi"/>
          <w:color w:val="222222"/>
          <w:shd w:val="clear" w:color="auto" w:fill="FFFFFF"/>
        </w:rPr>
        <w:t>)</w:t>
      </w:r>
      <w:r w:rsidRPr="004C5164">
        <w:rPr>
          <w:rFonts w:cstheme="minorHAnsi"/>
          <w:color w:val="222222"/>
          <w:shd w:val="clear" w:color="auto" w:fill="FFFFFF"/>
        </w:rPr>
        <w:t xml:space="preserve"> (2015) </w:t>
      </w:r>
      <w:r w:rsidR="00F2070F" w:rsidRPr="00F83832">
        <w:rPr>
          <w:i/>
          <w:iCs/>
        </w:rPr>
        <w:t>Facilitating Student Equity in Australian Higher Education</w:t>
      </w:r>
      <w:r w:rsidRPr="004C5164">
        <w:rPr>
          <w:rFonts w:cstheme="minorHAnsi"/>
          <w:color w:val="222222"/>
          <w:shd w:val="clear" w:color="auto" w:fill="FFFFFF"/>
        </w:rPr>
        <w:t xml:space="preserve">, Curtin University, </w:t>
      </w:r>
      <w:r>
        <w:rPr>
          <w:rFonts w:cstheme="minorHAnsi"/>
          <w:color w:val="222222"/>
          <w:shd w:val="clear" w:color="auto" w:fill="FFFFFF"/>
        </w:rPr>
        <w:t xml:space="preserve">Perth. </w:t>
      </w:r>
      <w:hyperlink r:id="rId89" w:history="1">
        <w:r w:rsidR="002C2208" w:rsidRPr="008477BF">
          <w:rPr>
            <w:rStyle w:val="Hyperlink"/>
          </w:rPr>
          <w:t>https://www.ncsehe.edu.au/publications/facilitating-student-equity-in-australian-higher-education/</w:t>
        </w:r>
      </w:hyperlink>
      <w:r w:rsidR="002C2208">
        <w:t xml:space="preserve"> </w:t>
      </w:r>
    </w:p>
    <w:p w14:paraId="35604AE8" w14:textId="64CFADDC" w:rsidR="009E5D98" w:rsidRPr="004C5164" w:rsidRDefault="009E5D98" w:rsidP="009E5D98">
      <w:pPr>
        <w:spacing w:line="240" w:lineRule="auto"/>
        <w:ind w:left="720" w:hanging="720"/>
        <w:rPr>
          <w:rFonts w:cstheme="minorHAnsi"/>
          <w:color w:val="222222"/>
          <w:shd w:val="clear" w:color="auto" w:fill="FFFFFF"/>
        </w:rPr>
      </w:pPr>
      <w:r w:rsidRPr="004C5164">
        <w:rPr>
          <w:rFonts w:cstheme="minorHAnsi"/>
          <w:color w:val="222222"/>
          <w:shd w:val="clear" w:color="auto" w:fill="FFFFFF"/>
        </w:rPr>
        <w:t xml:space="preserve">OECD </w:t>
      </w:r>
      <w:r w:rsidR="001D4EE9">
        <w:rPr>
          <w:rFonts w:cstheme="minorHAnsi"/>
          <w:color w:val="222222"/>
          <w:shd w:val="clear" w:color="auto" w:fill="FFFFFF"/>
        </w:rPr>
        <w:t>(</w:t>
      </w:r>
      <w:r w:rsidR="001D4EE9" w:rsidRPr="001D4EE9">
        <w:rPr>
          <w:rFonts w:cstheme="minorHAnsi"/>
          <w:color w:val="222222"/>
          <w:shd w:val="clear" w:color="auto" w:fill="FFFFFF"/>
        </w:rPr>
        <w:t>Organisation for Economic Co-operation and Development</w:t>
      </w:r>
      <w:r w:rsidR="001D4EE9">
        <w:rPr>
          <w:rFonts w:cstheme="minorHAnsi"/>
          <w:color w:val="222222"/>
          <w:shd w:val="clear" w:color="auto" w:fill="FFFFFF"/>
        </w:rPr>
        <w:t xml:space="preserve">) </w:t>
      </w:r>
      <w:r w:rsidRPr="004C5164">
        <w:rPr>
          <w:rFonts w:cstheme="minorHAnsi"/>
          <w:color w:val="222222"/>
          <w:shd w:val="clear" w:color="auto" w:fill="FFFFFF"/>
        </w:rPr>
        <w:t>(2018</w:t>
      </w:r>
      <w:r w:rsidR="001A00BB">
        <w:rPr>
          <w:rFonts w:cstheme="minorHAnsi"/>
          <w:color w:val="222222"/>
          <w:shd w:val="clear" w:color="auto" w:fill="FFFFFF"/>
        </w:rPr>
        <w:t>a</w:t>
      </w:r>
      <w:r w:rsidRPr="004C5164">
        <w:rPr>
          <w:rFonts w:cstheme="minorHAnsi"/>
          <w:color w:val="222222"/>
          <w:shd w:val="clear" w:color="auto" w:fill="FFFFFF"/>
        </w:rPr>
        <w:t xml:space="preserve">) </w:t>
      </w:r>
      <w:r w:rsidR="00F2070F" w:rsidRPr="004107DE">
        <w:rPr>
          <w:i/>
          <w:iCs/>
        </w:rPr>
        <w:t>TALIS 2018 Results (Volume I): Teachers and School Leaders as Valued Professionals</w:t>
      </w:r>
      <w:r w:rsidRPr="004C5164">
        <w:rPr>
          <w:rFonts w:cstheme="minorHAnsi"/>
          <w:color w:val="222222"/>
          <w:shd w:val="clear" w:color="auto" w:fill="FFFFFF"/>
        </w:rPr>
        <w:t>, TALIS, OECD Publishing, Paris</w:t>
      </w:r>
      <w:r>
        <w:rPr>
          <w:rFonts w:cstheme="minorHAnsi"/>
          <w:color w:val="222222"/>
          <w:shd w:val="clear" w:color="auto" w:fill="FFFFFF"/>
        </w:rPr>
        <w:t xml:space="preserve">. </w:t>
      </w:r>
      <w:hyperlink r:id="rId90" w:history="1">
        <w:r w:rsidR="00DD0400" w:rsidRPr="00DF48FF">
          <w:rPr>
            <w:rStyle w:val="Hyperlink"/>
          </w:rPr>
          <w:t>https://doi.org/10.1787/1d0bc92a-en</w:t>
        </w:r>
      </w:hyperlink>
      <w:r w:rsidR="00DD0400">
        <w:t xml:space="preserve"> </w:t>
      </w:r>
      <w:r w:rsidR="00F2070F">
        <w:rPr>
          <w:rFonts w:cstheme="minorHAnsi"/>
          <w:color w:val="222222"/>
          <w:shd w:val="clear" w:color="auto" w:fill="FFFFFF"/>
        </w:rPr>
        <w:t xml:space="preserve"> </w:t>
      </w:r>
    </w:p>
    <w:p w14:paraId="4A267960" w14:textId="68C6E038" w:rsidR="009E5D98" w:rsidRDefault="009E5D98" w:rsidP="009E5D98">
      <w:pPr>
        <w:spacing w:line="240" w:lineRule="auto"/>
        <w:ind w:left="720" w:hanging="720"/>
        <w:rPr>
          <w:rFonts w:cstheme="minorHAnsi"/>
          <w:color w:val="222222"/>
          <w:shd w:val="clear" w:color="auto" w:fill="FFFFFF"/>
        </w:rPr>
      </w:pPr>
      <w:r w:rsidRPr="00AB2C28">
        <w:rPr>
          <w:rFonts w:cstheme="minorHAnsi"/>
          <w:color w:val="222222"/>
          <w:shd w:val="clear" w:color="auto" w:fill="FFFFFF"/>
        </w:rPr>
        <w:t>OECD (2018</w:t>
      </w:r>
      <w:r w:rsidR="001A00BB" w:rsidRPr="00AB2C28">
        <w:rPr>
          <w:rFonts w:cstheme="minorHAnsi"/>
          <w:color w:val="222222"/>
          <w:shd w:val="clear" w:color="auto" w:fill="FFFFFF"/>
        </w:rPr>
        <w:t>b</w:t>
      </w:r>
      <w:r w:rsidRPr="00AB2C28">
        <w:rPr>
          <w:rFonts w:cstheme="minorHAnsi"/>
          <w:color w:val="222222"/>
          <w:shd w:val="clear" w:color="auto" w:fill="FFFFFF"/>
        </w:rPr>
        <w:t xml:space="preserve">) </w:t>
      </w:r>
      <w:r w:rsidRPr="00AB2C28">
        <w:rPr>
          <w:rFonts w:cstheme="minorHAnsi"/>
          <w:i/>
          <w:iCs/>
          <w:shd w:val="clear" w:color="auto" w:fill="FFFFFF"/>
        </w:rPr>
        <w:t>TALIS 2018 Results (Volume II): Teachers and School Leaders as Valued Professionals</w:t>
      </w:r>
      <w:r w:rsidRPr="00AB2C28">
        <w:rPr>
          <w:rFonts w:cstheme="minorHAnsi"/>
          <w:color w:val="222222"/>
          <w:shd w:val="clear" w:color="auto" w:fill="FFFFFF"/>
        </w:rPr>
        <w:t xml:space="preserve">, TALIS, OECD Publishing, Paris. </w:t>
      </w:r>
      <w:hyperlink r:id="rId91" w:history="1">
        <w:r w:rsidR="00AB2C28" w:rsidRPr="00AB2C28">
          <w:rPr>
            <w:rStyle w:val="Hyperlink"/>
            <w:rFonts w:cstheme="minorHAnsi"/>
            <w:shd w:val="clear" w:color="auto" w:fill="FFFFFF"/>
          </w:rPr>
          <w:t>https://doi.org/10.1787/19cf08df-en</w:t>
        </w:r>
      </w:hyperlink>
      <w:r w:rsidR="00AB2C28">
        <w:rPr>
          <w:rFonts w:cstheme="minorHAnsi"/>
          <w:color w:val="222222"/>
          <w:shd w:val="clear" w:color="auto" w:fill="FFFFFF"/>
        </w:rPr>
        <w:t xml:space="preserve"> </w:t>
      </w:r>
    </w:p>
    <w:p w14:paraId="2C39302A" w14:textId="5AD26D0E" w:rsidR="0075367C" w:rsidRPr="004C5164" w:rsidRDefault="0075367C" w:rsidP="009E5D98">
      <w:pPr>
        <w:spacing w:line="240" w:lineRule="auto"/>
        <w:ind w:left="720" w:hanging="720"/>
        <w:rPr>
          <w:rFonts w:cstheme="minorHAnsi"/>
          <w:color w:val="222222"/>
          <w:shd w:val="clear" w:color="auto" w:fill="FFFFFF"/>
        </w:rPr>
      </w:pPr>
      <w:r>
        <w:rPr>
          <w:rFonts w:cstheme="minorHAnsi"/>
          <w:color w:val="222222"/>
          <w:shd w:val="clear" w:color="auto" w:fill="FFFFFF"/>
        </w:rPr>
        <w:t xml:space="preserve">OECD (2019) </w:t>
      </w:r>
      <w:r w:rsidR="00177479">
        <w:rPr>
          <w:rFonts w:cstheme="minorHAnsi"/>
          <w:color w:val="222222"/>
          <w:shd w:val="clear" w:color="auto" w:fill="FFFFFF"/>
        </w:rPr>
        <w:t>‘</w:t>
      </w:r>
      <w:r w:rsidR="0043773A" w:rsidRPr="00C71CBB">
        <w:t>Raising the attractiveness of a career in schools</w:t>
      </w:r>
      <w:r w:rsidR="00177479">
        <w:rPr>
          <w:rFonts w:cstheme="minorHAnsi"/>
          <w:color w:val="222222"/>
          <w:shd w:val="clear" w:color="auto" w:fill="FFFFFF"/>
        </w:rPr>
        <w:t>’</w:t>
      </w:r>
      <w:r w:rsidR="00F224B1" w:rsidRPr="00F224B1">
        <w:rPr>
          <w:rFonts w:cstheme="minorHAnsi"/>
          <w:color w:val="222222"/>
          <w:shd w:val="clear" w:color="auto" w:fill="FFFFFF"/>
        </w:rPr>
        <w:t xml:space="preserve">, in </w:t>
      </w:r>
      <w:r w:rsidR="00F224B1" w:rsidRPr="003819E2">
        <w:rPr>
          <w:rFonts w:cstheme="minorHAnsi"/>
          <w:i/>
          <w:color w:val="222222"/>
          <w:shd w:val="clear" w:color="auto" w:fill="FFFFFF"/>
        </w:rPr>
        <w:t>Working and Learning Together: Rethinking Human Resource Policies for Schools</w:t>
      </w:r>
      <w:r w:rsidR="00F224B1" w:rsidRPr="00F224B1">
        <w:rPr>
          <w:rFonts w:cstheme="minorHAnsi"/>
          <w:color w:val="222222"/>
          <w:shd w:val="clear" w:color="auto" w:fill="FFFFFF"/>
        </w:rPr>
        <w:t>, OECD Publishing, Paris</w:t>
      </w:r>
      <w:r w:rsidR="00F2070F">
        <w:rPr>
          <w:rFonts w:cstheme="minorHAnsi"/>
          <w:color w:val="222222"/>
          <w:shd w:val="clear" w:color="auto" w:fill="FFFFFF"/>
        </w:rPr>
        <w:t>.</w:t>
      </w:r>
      <w:r w:rsidR="0043773A">
        <w:rPr>
          <w:rFonts w:cstheme="minorHAnsi"/>
          <w:color w:val="222222"/>
          <w:shd w:val="clear" w:color="auto" w:fill="FFFFFF"/>
        </w:rPr>
        <w:t xml:space="preserve"> </w:t>
      </w:r>
      <w:hyperlink r:id="rId92" w:history="1">
        <w:r w:rsidR="0043773A" w:rsidRPr="00C545CE">
          <w:rPr>
            <w:rStyle w:val="Hyperlink"/>
            <w:rFonts w:cstheme="minorHAnsi"/>
            <w:shd w:val="clear" w:color="auto" w:fill="FFFFFF"/>
          </w:rPr>
          <w:t>https://www.oecd-ilibrary.org/education/working-and-learning-together_8ccea428-en</w:t>
        </w:r>
      </w:hyperlink>
      <w:r w:rsidR="0043773A">
        <w:rPr>
          <w:rFonts w:cstheme="minorHAnsi"/>
          <w:color w:val="222222"/>
          <w:shd w:val="clear" w:color="auto" w:fill="FFFFFF"/>
        </w:rPr>
        <w:t xml:space="preserve"> </w:t>
      </w:r>
    </w:p>
    <w:p w14:paraId="79BD53CE" w14:textId="4F3609E2" w:rsidR="00A231DA" w:rsidRPr="000B4FB9" w:rsidRDefault="00A231DA" w:rsidP="009E5D98">
      <w:pPr>
        <w:spacing w:line="240" w:lineRule="auto"/>
        <w:ind w:left="720" w:hanging="720"/>
        <w:rPr>
          <w:rFonts w:cstheme="minorHAnsi"/>
          <w:color w:val="222222"/>
          <w:shd w:val="clear" w:color="auto" w:fill="FFFFFF"/>
        </w:rPr>
      </w:pPr>
      <w:r>
        <w:rPr>
          <w:rFonts w:cstheme="minorHAnsi"/>
          <w:color w:val="222222"/>
          <w:shd w:val="clear" w:color="auto" w:fill="FFFFFF"/>
        </w:rPr>
        <w:t>Parliament of Victoria</w:t>
      </w:r>
      <w:r w:rsidR="00DB03A8">
        <w:rPr>
          <w:rFonts w:cstheme="minorHAnsi"/>
          <w:color w:val="222222"/>
          <w:shd w:val="clear" w:color="auto" w:fill="FFFFFF"/>
        </w:rPr>
        <w:t>:</w:t>
      </w:r>
      <w:r w:rsidR="00DB03A8" w:rsidRPr="00DB03A8">
        <w:t xml:space="preserve"> </w:t>
      </w:r>
      <w:r w:rsidR="00DB03A8">
        <w:t>The Economic, Education, Jobs and Skills Committee</w:t>
      </w:r>
      <w:r>
        <w:rPr>
          <w:rFonts w:cstheme="minorHAnsi"/>
          <w:color w:val="222222"/>
          <w:shd w:val="clear" w:color="auto" w:fill="FFFFFF"/>
        </w:rPr>
        <w:t xml:space="preserve"> (2018) </w:t>
      </w:r>
      <w:r w:rsidR="00082E5E" w:rsidRPr="005E4AF5">
        <w:rPr>
          <w:i/>
        </w:rPr>
        <w:t>Inquiry into career advice activities in Victorian schools</w:t>
      </w:r>
      <w:r w:rsidR="000B4FB9">
        <w:rPr>
          <w:i/>
          <w:iCs/>
        </w:rPr>
        <w:t>,</w:t>
      </w:r>
      <w:r w:rsidR="00CD5934">
        <w:rPr>
          <w:i/>
          <w:iCs/>
        </w:rPr>
        <w:t xml:space="preserve"> </w:t>
      </w:r>
      <w:r w:rsidR="00CD5934">
        <w:t xml:space="preserve">Parl Paper </w:t>
      </w:r>
      <w:r w:rsidR="008422AB">
        <w:t>430,</w:t>
      </w:r>
      <w:r w:rsidR="000B4FB9">
        <w:rPr>
          <w:i/>
          <w:iCs/>
        </w:rPr>
        <w:t xml:space="preserve"> </w:t>
      </w:r>
      <w:r w:rsidR="000B4FB9">
        <w:t xml:space="preserve">Victorian Government. </w:t>
      </w:r>
      <w:hyperlink r:id="rId93" w:history="1">
        <w:r w:rsidR="00082E5E" w:rsidRPr="006B04C6">
          <w:rPr>
            <w:rStyle w:val="Hyperlink"/>
          </w:rPr>
          <w:t>https://www.parliament.vic.gov.au/925-eejsc/inquiry-into-career-advice-activities-in-victorian-schools/3883-report</w:t>
        </w:r>
      </w:hyperlink>
      <w:r w:rsidR="00082E5E">
        <w:t xml:space="preserve"> </w:t>
      </w:r>
    </w:p>
    <w:p w14:paraId="410B4293" w14:textId="5A7721B5" w:rsidR="009E5D98" w:rsidRPr="004C5164" w:rsidRDefault="009E5D98" w:rsidP="009E5D98">
      <w:pPr>
        <w:spacing w:line="240" w:lineRule="auto"/>
        <w:ind w:left="720" w:hanging="720"/>
        <w:rPr>
          <w:rFonts w:cstheme="minorHAnsi"/>
          <w:color w:val="222222"/>
          <w:shd w:val="clear" w:color="auto" w:fill="FFFFFF"/>
        </w:rPr>
      </w:pPr>
      <w:r w:rsidRPr="004C5164">
        <w:rPr>
          <w:rFonts w:cstheme="minorHAnsi"/>
          <w:color w:val="222222"/>
          <w:shd w:val="clear" w:color="auto" w:fill="FFFFFF"/>
        </w:rPr>
        <w:t>Pennanen M, Heikkinen HL</w:t>
      </w:r>
      <w:r w:rsidR="007E2E25">
        <w:rPr>
          <w:rFonts w:cstheme="minorHAnsi"/>
          <w:color w:val="222222"/>
          <w:shd w:val="clear" w:color="auto" w:fill="FFFFFF"/>
        </w:rPr>
        <w:t xml:space="preserve"> and</w:t>
      </w:r>
      <w:r w:rsidRPr="004C5164">
        <w:rPr>
          <w:rFonts w:cstheme="minorHAnsi"/>
          <w:color w:val="222222"/>
          <w:shd w:val="clear" w:color="auto" w:fill="FFFFFF"/>
        </w:rPr>
        <w:t xml:space="preserve"> Tynjälä P (2020) </w:t>
      </w:r>
      <w:r w:rsidR="00713FAD">
        <w:rPr>
          <w:rFonts w:cstheme="minorHAnsi"/>
          <w:color w:val="222222"/>
          <w:shd w:val="clear" w:color="auto" w:fill="FFFFFF"/>
        </w:rPr>
        <w:t>‘</w:t>
      </w:r>
      <w:r w:rsidRPr="00713FAD">
        <w:rPr>
          <w:rFonts w:cstheme="minorHAnsi"/>
          <w:shd w:val="clear" w:color="auto" w:fill="FFFFFF"/>
        </w:rPr>
        <w:t>Virtues of mentors and mentees in the Finnish model of teachers’ peer-group mentoring</w:t>
      </w:r>
      <w:r w:rsidR="004E0BE4">
        <w:rPr>
          <w:rFonts w:cstheme="minorHAnsi"/>
          <w:shd w:val="clear" w:color="auto" w:fill="FFFFFF"/>
        </w:rPr>
        <w:t>’</w:t>
      </w:r>
      <w:r w:rsidR="008A1E96">
        <w:rPr>
          <w:rFonts w:cstheme="minorHAnsi"/>
          <w:color w:val="222222"/>
          <w:shd w:val="clear" w:color="auto" w:fill="FFFFFF"/>
        </w:rPr>
        <w:t>,</w:t>
      </w:r>
      <w:r w:rsidRPr="004C5164">
        <w:rPr>
          <w:rFonts w:cstheme="minorHAnsi"/>
          <w:color w:val="222222"/>
          <w:shd w:val="clear" w:color="auto" w:fill="FFFFFF"/>
        </w:rPr>
        <w:t xml:space="preserve"> </w:t>
      </w:r>
      <w:r w:rsidRPr="004C5164">
        <w:rPr>
          <w:rFonts w:cstheme="minorHAnsi"/>
          <w:i/>
          <w:iCs/>
          <w:color w:val="222222"/>
          <w:shd w:val="clear" w:color="auto" w:fill="FFFFFF"/>
        </w:rPr>
        <w:t>Scandinavian journal of educational research</w:t>
      </w:r>
      <w:r w:rsidRPr="004C5164">
        <w:rPr>
          <w:rFonts w:cstheme="minorHAnsi"/>
          <w:color w:val="222222"/>
          <w:shd w:val="clear" w:color="auto" w:fill="FFFFFF"/>
        </w:rPr>
        <w:t>, 64(3)</w:t>
      </w:r>
      <w:r w:rsidR="002164CE">
        <w:rPr>
          <w:rFonts w:cstheme="minorHAnsi"/>
          <w:color w:val="222222"/>
          <w:shd w:val="clear" w:color="auto" w:fill="FFFFFF"/>
        </w:rPr>
        <w:t>:</w:t>
      </w:r>
      <w:r w:rsidRPr="004C5164">
        <w:rPr>
          <w:rFonts w:cstheme="minorHAnsi"/>
          <w:color w:val="222222"/>
          <w:shd w:val="clear" w:color="auto" w:fill="FFFFFF"/>
        </w:rPr>
        <w:t>355</w:t>
      </w:r>
      <w:r w:rsidR="00146358">
        <w:rPr>
          <w:rFonts w:cstheme="minorHAnsi"/>
        </w:rPr>
        <w:t>–</w:t>
      </w:r>
      <w:r w:rsidRPr="004C5164">
        <w:rPr>
          <w:rFonts w:cstheme="minorHAnsi"/>
          <w:color w:val="222222"/>
          <w:shd w:val="clear" w:color="auto" w:fill="FFFFFF"/>
        </w:rPr>
        <w:t>371</w:t>
      </w:r>
      <w:r w:rsidR="00C02146">
        <w:rPr>
          <w:rFonts w:cstheme="minorHAnsi"/>
          <w:color w:val="222222"/>
          <w:shd w:val="clear" w:color="auto" w:fill="FFFFFF"/>
        </w:rPr>
        <w:t>,</w:t>
      </w:r>
      <w:r w:rsidRPr="004C5164">
        <w:rPr>
          <w:rFonts w:cstheme="minorHAnsi"/>
          <w:color w:val="222222"/>
          <w:shd w:val="clear" w:color="auto" w:fill="FFFFFF"/>
        </w:rPr>
        <w:t xml:space="preserve"> </w:t>
      </w:r>
      <w:r w:rsidR="00713FAD">
        <w:rPr>
          <w:rFonts w:cstheme="minorHAnsi"/>
          <w:color w:val="333333"/>
          <w:shd w:val="clear" w:color="auto" w:fill="FFFFFF"/>
        </w:rPr>
        <w:t>doi</w:t>
      </w:r>
      <w:r w:rsidR="00713FAD" w:rsidRPr="00713FAD">
        <w:rPr>
          <w:rFonts w:cstheme="minorHAnsi"/>
          <w:color w:val="333333"/>
          <w:shd w:val="clear" w:color="auto" w:fill="FFFFFF"/>
        </w:rPr>
        <w:t>:</w:t>
      </w:r>
      <w:hyperlink r:id="rId94" w:history="1">
        <w:r w:rsidR="00713FAD" w:rsidRPr="00F1409C">
          <w:rPr>
            <w:rStyle w:val="Hyperlink"/>
            <w:rFonts w:cstheme="minorHAnsi"/>
            <w:color w:val="0070C0"/>
            <w:shd w:val="clear" w:color="auto" w:fill="FFFFFF"/>
          </w:rPr>
          <w:t>10.1080/00313831.2018.1554601</w:t>
        </w:r>
      </w:hyperlink>
    </w:p>
    <w:p w14:paraId="6805CE0D" w14:textId="5DD8DB3E" w:rsidR="009E5D98" w:rsidRPr="004C5164" w:rsidRDefault="009E5D98" w:rsidP="009E5D98">
      <w:pPr>
        <w:spacing w:line="240" w:lineRule="auto"/>
        <w:ind w:left="720" w:hanging="720"/>
        <w:rPr>
          <w:rStyle w:val="Hyperlink"/>
          <w:rFonts w:cstheme="minorHAnsi"/>
        </w:rPr>
      </w:pPr>
      <w:r w:rsidRPr="004C5164">
        <w:rPr>
          <w:rFonts w:cstheme="minorHAnsi"/>
        </w:rPr>
        <w:t xml:space="preserve">Productivity Commission (2017) </w:t>
      </w:r>
      <w:r w:rsidR="00083657" w:rsidRPr="00F1409C">
        <w:rPr>
          <w:i/>
          <w:iCs/>
        </w:rPr>
        <w:t>National Education Evidence Base report</w:t>
      </w:r>
      <w:r>
        <w:rPr>
          <w:rFonts w:cstheme="minorHAnsi"/>
        </w:rPr>
        <w:t xml:space="preserve">, Melbourne. </w:t>
      </w:r>
      <w:hyperlink r:id="rId95" w:history="1">
        <w:r w:rsidR="00083657" w:rsidRPr="00C545CE">
          <w:rPr>
            <w:rStyle w:val="Hyperlink"/>
            <w:rFonts w:cstheme="minorHAnsi"/>
          </w:rPr>
          <w:t>https://www.pc.gov.au/inquiries/completed/education-evidence/report</w:t>
        </w:r>
      </w:hyperlink>
      <w:r w:rsidR="00083657">
        <w:rPr>
          <w:rFonts w:cstheme="minorHAnsi"/>
        </w:rPr>
        <w:t xml:space="preserve"> </w:t>
      </w:r>
    </w:p>
    <w:p w14:paraId="41BEC1F5" w14:textId="6654F93C" w:rsidR="009E5D98" w:rsidRPr="004C5164" w:rsidRDefault="009E5D98" w:rsidP="009E5D98">
      <w:pPr>
        <w:spacing w:line="240" w:lineRule="auto"/>
        <w:ind w:left="720" w:hanging="720"/>
        <w:rPr>
          <w:rFonts w:cstheme="minorHAnsi"/>
          <w:color w:val="222222"/>
          <w:shd w:val="clear" w:color="auto" w:fill="FFFFFF"/>
        </w:rPr>
      </w:pPr>
      <w:r>
        <w:rPr>
          <w:rFonts w:cstheme="minorHAnsi"/>
          <w:color w:val="222222"/>
          <w:shd w:val="clear" w:color="auto" w:fill="FFFFFF"/>
        </w:rPr>
        <w:t>QCT (</w:t>
      </w:r>
      <w:r w:rsidRPr="004C5164">
        <w:rPr>
          <w:rFonts w:cstheme="minorHAnsi"/>
          <w:color w:val="222222"/>
          <w:shd w:val="clear" w:color="auto" w:fill="FFFFFF"/>
        </w:rPr>
        <w:t>Queensland College of Teachers</w:t>
      </w:r>
      <w:r>
        <w:rPr>
          <w:rFonts w:cstheme="minorHAnsi"/>
          <w:color w:val="222222"/>
          <w:shd w:val="clear" w:color="auto" w:fill="FFFFFF"/>
        </w:rPr>
        <w:t xml:space="preserve">) </w:t>
      </w:r>
      <w:r w:rsidRPr="004C5164">
        <w:rPr>
          <w:rFonts w:cstheme="minorHAnsi"/>
          <w:color w:val="222222"/>
          <w:shd w:val="clear" w:color="auto" w:fill="FFFFFF"/>
        </w:rPr>
        <w:t>(2016)</w:t>
      </w:r>
      <w:r>
        <w:rPr>
          <w:rFonts w:cstheme="minorHAnsi"/>
          <w:color w:val="222222"/>
          <w:shd w:val="clear" w:color="auto" w:fill="FFFFFF"/>
        </w:rPr>
        <w:t xml:space="preserve"> </w:t>
      </w:r>
      <w:r w:rsidR="00083657" w:rsidRPr="00994951">
        <w:rPr>
          <w:i/>
          <w:iCs/>
        </w:rPr>
        <w:t>2016 Teacher Profile</w:t>
      </w:r>
      <w:r w:rsidR="00994951">
        <w:t xml:space="preserve"> [PDF 4.5MB]</w:t>
      </w:r>
      <w:r w:rsidRPr="004C5164">
        <w:rPr>
          <w:rFonts w:cstheme="minorHAnsi"/>
          <w:color w:val="222222"/>
          <w:shd w:val="clear" w:color="auto" w:fill="FFFFFF"/>
        </w:rPr>
        <w:t xml:space="preserve">, </w:t>
      </w:r>
      <w:r>
        <w:rPr>
          <w:rFonts w:cstheme="minorHAnsi"/>
          <w:color w:val="222222"/>
          <w:shd w:val="clear" w:color="auto" w:fill="FFFFFF"/>
        </w:rPr>
        <w:t xml:space="preserve">Brisbane. </w:t>
      </w:r>
      <w:hyperlink r:id="rId96" w:history="1">
        <w:r w:rsidR="00083657" w:rsidRPr="00C545CE">
          <w:rPr>
            <w:rStyle w:val="Hyperlink"/>
            <w:rFonts w:cstheme="minorHAnsi"/>
            <w:shd w:val="clear" w:color="auto" w:fill="FFFFFF"/>
          </w:rPr>
          <w:t>https://cdn.qct.edu.au/pdf/2016TeacherProfileReport.</w:t>
        </w:r>
        <w:r w:rsidR="00083657" w:rsidRPr="00994951">
          <w:rPr>
            <w:rStyle w:val="Hyperlink"/>
            <w:rFonts w:cstheme="minorHAnsi"/>
            <w:shd w:val="clear" w:color="auto" w:fill="FFFFFF"/>
          </w:rPr>
          <w:t>pdf</w:t>
        </w:r>
      </w:hyperlink>
      <w:r w:rsidR="00083657">
        <w:rPr>
          <w:rFonts w:cstheme="minorHAnsi"/>
          <w:color w:val="222222"/>
          <w:shd w:val="clear" w:color="auto" w:fill="FFFFFF"/>
        </w:rPr>
        <w:t xml:space="preserve"> </w:t>
      </w:r>
    </w:p>
    <w:p w14:paraId="4E23A9CC" w14:textId="01A3E5C8" w:rsidR="009E5D98" w:rsidRDefault="009E5D98" w:rsidP="009E5D98">
      <w:pPr>
        <w:spacing w:line="240" w:lineRule="auto"/>
        <w:ind w:left="720" w:hanging="720"/>
        <w:rPr>
          <w:rFonts w:cstheme="minorHAnsi"/>
          <w:color w:val="222222"/>
          <w:shd w:val="clear" w:color="auto" w:fill="FFFFFF"/>
        </w:rPr>
      </w:pPr>
      <w:r>
        <w:rPr>
          <w:rFonts w:cstheme="minorHAnsi"/>
          <w:color w:val="222222"/>
          <w:shd w:val="clear" w:color="auto" w:fill="FFFFFF"/>
        </w:rPr>
        <w:t xml:space="preserve">QCT </w:t>
      </w:r>
      <w:r w:rsidR="00B155E1">
        <w:rPr>
          <w:rFonts w:cstheme="minorHAnsi"/>
          <w:color w:val="222222"/>
          <w:shd w:val="clear" w:color="auto" w:fill="FFFFFF"/>
        </w:rPr>
        <w:t>(</w:t>
      </w:r>
      <w:r w:rsidRPr="004C5164">
        <w:rPr>
          <w:rFonts w:cstheme="minorHAnsi"/>
          <w:color w:val="222222"/>
          <w:shd w:val="clear" w:color="auto" w:fill="FFFFFF"/>
        </w:rPr>
        <w:t>Queensland College of Teachers</w:t>
      </w:r>
      <w:r w:rsidR="006C1FAA">
        <w:rPr>
          <w:rFonts w:cstheme="minorHAnsi"/>
          <w:color w:val="222222"/>
          <w:shd w:val="clear" w:color="auto" w:fill="FFFFFF"/>
        </w:rPr>
        <w:t>)</w:t>
      </w:r>
      <w:r w:rsidR="00B155E1">
        <w:rPr>
          <w:rFonts w:cstheme="minorHAnsi"/>
          <w:color w:val="222222"/>
          <w:shd w:val="clear" w:color="auto" w:fill="FFFFFF"/>
        </w:rPr>
        <w:t xml:space="preserve"> (2019)</w:t>
      </w:r>
      <w:r w:rsidRPr="004C5164">
        <w:rPr>
          <w:rFonts w:cstheme="minorHAnsi"/>
          <w:color w:val="222222"/>
          <w:shd w:val="clear" w:color="auto" w:fill="FFFFFF"/>
        </w:rPr>
        <w:t xml:space="preserve">, </w:t>
      </w:r>
      <w:r w:rsidR="00083657" w:rsidRPr="00F03878">
        <w:rPr>
          <w:i/>
          <w:iCs/>
        </w:rPr>
        <w:t>Queensland Graduate Attrition Report</w:t>
      </w:r>
      <w:r w:rsidR="00F03878">
        <w:t xml:space="preserve"> [PDF 1.34MB]</w:t>
      </w:r>
      <w:r w:rsidRPr="004C5164">
        <w:rPr>
          <w:rFonts w:cstheme="minorHAnsi"/>
          <w:color w:val="222222"/>
          <w:shd w:val="clear" w:color="auto" w:fill="FFFFFF"/>
        </w:rPr>
        <w:t xml:space="preserve">, </w:t>
      </w:r>
      <w:r>
        <w:rPr>
          <w:rFonts w:cstheme="minorHAnsi"/>
          <w:color w:val="222222"/>
          <w:shd w:val="clear" w:color="auto" w:fill="FFFFFF"/>
        </w:rPr>
        <w:t xml:space="preserve">Brisbane. </w:t>
      </w:r>
      <w:hyperlink r:id="rId97" w:history="1">
        <w:r w:rsidR="00083657" w:rsidRPr="00C545CE">
          <w:rPr>
            <w:rStyle w:val="Hyperlink"/>
            <w:rFonts w:cstheme="minorHAnsi"/>
            <w:shd w:val="clear" w:color="auto" w:fill="FFFFFF"/>
          </w:rPr>
          <w:t>https://cdn.qct.edu.au/pdf/QCT_Qld_Graduate_Attrition_Report_2019.pdf?_ga=2.52253033.1736576470.1629679814-918164078.1628147426</w:t>
        </w:r>
      </w:hyperlink>
    </w:p>
    <w:p w14:paraId="4935D020" w14:textId="32D2D72B" w:rsidR="009E5D98" w:rsidRDefault="009E5D98" w:rsidP="009E5D98">
      <w:pPr>
        <w:spacing w:line="240" w:lineRule="auto"/>
        <w:ind w:left="720" w:hanging="720"/>
        <w:rPr>
          <w:rFonts w:cstheme="minorHAnsi"/>
        </w:rPr>
      </w:pPr>
      <w:r w:rsidRPr="002974C6">
        <w:rPr>
          <w:rFonts w:cstheme="minorHAnsi"/>
        </w:rPr>
        <w:t>Rastle K, Lally C, Davis MH</w:t>
      </w:r>
      <w:r w:rsidR="008A1E96">
        <w:rPr>
          <w:rFonts w:cstheme="minorHAnsi"/>
        </w:rPr>
        <w:t xml:space="preserve"> and</w:t>
      </w:r>
      <w:r w:rsidRPr="002974C6">
        <w:rPr>
          <w:rFonts w:cstheme="minorHAnsi"/>
        </w:rPr>
        <w:t xml:space="preserve"> Taylor JSH (2021) </w:t>
      </w:r>
      <w:r w:rsidR="00DC7EDE">
        <w:rPr>
          <w:rFonts w:cstheme="minorHAnsi"/>
        </w:rPr>
        <w:t>‘</w:t>
      </w:r>
      <w:r w:rsidRPr="00C43850">
        <w:rPr>
          <w:rFonts w:cstheme="minorHAnsi"/>
        </w:rPr>
        <w:t>The dramatic impact of explicit instruction on learning to read in a new writing system</w:t>
      </w:r>
      <w:r w:rsidR="00DC7EDE">
        <w:rPr>
          <w:rFonts w:cstheme="minorHAnsi"/>
        </w:rPr>
        <w:t>’</w:t>
      </w:r>
      <w:r>
        <w:rPr>
          <w:rFonts w:cstheme="minorHAnsi"/>
        </w:rPr>
        <w:t>,</w:t>
      </w:r>
      <w:r w:rsidRPr="002974C6">
        <w:rPr>
          <w:rFonts w:cstheme="minorHAnsi"/>
        </w:rPr>
        <w:t xml:space="preserve"> </w:t>
      </w:r>
      <w:r w:rsidRPr="002972CE">
        <w:rPr>
          <w:rFonts w:cstheme="minorHAnsi"/>
          <w:i/>
          <w:iCs/>
        </w:rPr>
        <w:t>Psychological Science</w:t>
      </w:r>
      <w:r w:rsidRPr="002974C6">
        <w:rPr>
          <w:rFonts w:cstheme="minorHAnsi"/>
        </w:rPr>
        <w:t>, 32(4)</w:t>
      </w:r>
      <w:r w:rsidR="002164CE">
        <w:rPr>
          <w:rFonts w:cstheme="minorHAnsi"/>
        </w:rPr>
        <w:t>:</w:t>
      </w:r>
      <w:r w:rsidRPr="002974C6">
        <w:rPr>
          <w:rFonts w:cstheme="minorHAnsi"/>
        </w:rPr>
        <w:t>471</w:t>
      </w:r>
      <w:r w:rsidR="00146358">
        <w:rPr>
          <w:rFonts w:cstheme="minorHAnsi"/>
        </w:rPr>
        <w:t>–</w:t>
      </w:r>
      <w:r w:rsidRPr="002974C6">
        <w:rPr>
          <w:rFonts w:cstheme="minorHAnsi"/>
        </w:rPr>
        <w:t>484</w:t>
      </w:r>
      <w:r w:rsidR="00C02146">
        <w:rPr>
          <w:rFonts w:cstheme="minorHAnsi"/>
        </w:rPr>
        <w:t>,</w:t>
      </w:r>
      <w:r w:rsidR="00C43850">
        <w:rPr>
          <w:rFonts w:cstheme="minorHAnsi"/>
        </w:rPr>
        <w:t xml:space="preserve"> </w:t>
      </w:r>
      <w:r w:rsidR="00C43850" w:rsidRPr="00C43850">
        <w:rPr>
          <w:rFonts w:ascii="Calibri" w:hAnsi="Calibri" w:cs="Calibri"/>
          <w:color w:val="333333"/>
          <w:shd w:val="clear" w:color="auto" w:fill="FFFFFF"/>
        </w:rPr>
        <w:t>doi:</w:t>
      </w:r>
      <w:hyperlink r:id="rId98" w:history="1">
        <w:r w:rsidR="00C43850" w:rsidRPr="00C43850">
          <w:rPr>
            <w:rStyle w:val="Hyperlink"/>
            <w:rFonts w:ascii="Calibri" w:hAnsi="Calibri" w:cs="Calibri"/>
            <w:color w:val="006ACC"/>
            <w:shd w:val="clear" w:color="auto" w:fill="FFFFFF"/>
          </w:rPr>
          <w:t>10.1177/0956797620968790</w:t>
        </w:r>
      </w:hyperlink>
    </w:p>
    <w:p w14:paraId="307E2D5F" w14:textId="43B9FB7A" w:rsidR="009E5D98" w:rsidRPr="004C5164" w:rsidRDefault="009E5D98" w:rsidP="009E5D98">
      <w:pPr>
        <w:spacing w:line="240" w:lineRule="auto"/>
        <w:ind w:left="720" w:hanging="720"/>
        <w:rPr>
          <w:rFonts w:cstheme="minorHAnsi"/>
          <w:color w:val="222222"/>
          <w:shd w:val="clear" w:color="auto" w:fill="FFFFFF"/>
        </w:rPr>
      </w:pPr>
      <w:r w:rsidRPr="00911DAA">
        <w:rPr>
          <w:rFonts w:cstheme="minorHAnsi"/>
          <w:color w:val="222222"/>
          <w:shd w:val="clear" w:color="auto" w:fill="FFFFFF"/>
        </w:rPr>
        <w:t xml:space="preserve">Rose J (2006) </w:t>
      </w:r>
      <w:r w:rsidR="00F128E4" w:rsidRPr="004E1FB5">
        <w:rPr>
          <w:i/>
          <w:iCs/>
        </w:rPr>
        <w:t>Independent review of the teaching of early reading</w:t>
      </w:r>
      <w:r w:rsidR="004E1FB5">
        <w:t xml:space="preserve"> [PDF 431KB]</w:t>
      </w:r>
      <w:r>
        <w:rPr>
          <w:rFonts w:cstheme="minorHAnsi"/>
          <w:color w:val="222222"/>
          <w:shd w:val="clear" w:color="auto" w:fill="FFFFFF"/>
        </w:rPr>
        <w:t xml:space="preserve">, </w:t>
      </w:r>
      <w:r w:rsidRPr="00911DAA">
        <w:rPr>
          <w:rFonts w:cstheme="minorHAnsi"/>
          <w:color w:val="222222"/>
          <w:shd w:val="clear" w:color="auto" w:fill="FFFFFF"/>
        </w:rPr>
        <w:t>Nottingham</w:t>
      </w:r>
      <w:r w:rsidR="00F41E99">
        <w:rPr>
          <w:rFonts w:cstheme="minorHAnsi"/>
          <w:color w:val="222222"/>
          <w:shd w:val="clear" w:color="auto" w:fill="FFFFFF"/>
        </w:rPr>
        <w:t>, DfES Publications</w:t>
      </w:r>
      <w:r>
        <w:rPr>
          <w:rFonts w:cstheme="minorHAnsi"/>
          <w:color w:val="222222"/>
          <w:shd w:val="clear" w:color="auto" w:fill="FFFFFF"/>
        </w:rPr>
        <w:t xml:space="preserve">. </w:t>
      </w:r>
      <w:hyperlink r:id="rId99" w:history="1">
        <w:r w:rsidR="00F128E4" w:rsidRPr="00C545CE">
          <w:rPr>
            <w:rStyle w:val="Hyperlink"/>
            <w:rFonts w:cstheme="minorHAnsi"/>
            <w:shd w:val="clear" w:color="auto" w:fill="FFFFFF"/>
          </w:rPr>
          <w:t>https://dera.ioe.ac.uk/5551/2/report.</w:t>
        </w:r>
        <w:r w:rsidR="00F128E4" w:rsidRPr="004E1FB5">
          <w:rPr>
            <w:rStyle w:val="Hyperlink"/>
            <w:rFonts w:cstheme="minorHAnsi"/>
            <w:shd w:val="clear" w:color="auto" w:fill="FFFFFF"/>
          </w:rPr>
          <w:t>pdf</w:t>
        </w:r>
      </w:hyperlink>
      <w:r w:rsidR="00F128E4">
        <w:rPr>
          <w:rFonts w:cstheme="minorHAnsi"/>
          <w:color w:val="222222"/>
          <w:shd w:val="clear" w:color="auto" w:fill="FFFFFF"/>
        </w:rPr>
        <w:t xml:space="preserve"> </w:t>
      </w:r>
    </w:p>
    <w:p w14:paraId="739F75DE" w14:textId="5FA4D56A" w:rsidR="009E5D98" w:rsidRPr="004C5164" w:rsidRDefault="009E5D98" w:rsidP="009E5D98">
      <w:pPr>
        <w:spacing w:line="240" w:lineRule="auto"/>
        <w:ind w:left="720" w:hanging="720"/>
        <w:rPr>
          <w:rFonts w:cstheme="minorHAnsi"/>
          <w:color w:val="222222"/>
          <w:shd w:val="clear" w:color="auto" w:fill="FFFFFF"/>
        </w:rPr>
      </w:pPr>
      <w:r w:rsidRPr="00441C59">
        <w:rPr>
          <w:rFonts w:cstheme="minorHAnsi"/>
          <w:color w:val="222222"/>
          <w:shd w:val="clear" w:color="auto" w:fill="FFFFFF"/>
        </w:rPr>
        <w:lastRenderedPageBreak/>
        <w:t xml:space="preserve">Rowe K (2005) </w:t>
      </w:r>
      <w:r w:rsidR="00F128E4" w:rsidRPr="00E22086">
        <w:rPr>
          <w:i/>
          <w:iCs/>
        </w:rPr>
        <w:t>Teaching reading: national inquiry into the teaching of literacy</w:t>
      </w:r>
      <w:r w:rsidR="00F128E4" w:rsidRPr="00C71CBB">
        <w:t>. Department of Education, Science and Training</w:t>
      </w:r>
      <w:r w:rsidRPr="00441C59">
        <w:rPr>
          <w:rFonts w:cstheme="minorHAnsi"/>
          <w:color w:val="222222"/>
          <w:shd w:val="clear" w:color="auto" w:fill="FFFFFF"/>
        </w:rPr>
        <w:t xml:space="preserve">, </w:t>
      </w:r>
      <w:r>
        <w:rPr>
          <w:rFonts w:cstheme="minorHAnsi"/>
          <w:color w:val="222222"/>
          <w:shd w:val="clear" w:color="auto" w:fill="FFFFFF"/>
        </w:rPr>
        <w:t xml:space="preserve">ACER. </w:t>
      </w:r>
      <w:hyperlink r:id="rId100" w:history="1">
        <w:r w:rsidR="00F128E4" w:rsidRPr="00C545CE">
          <w:rPr>
            <w:rStyle w:val="Hyperlink"/>
            <w:rFonts w:cstheme="minorHAnsi"/>
            <w:shd w:val="clear" w:color="auto" w:fill="FFFFFF"/>
          </w:rPr>
          <w:t>https://research.acer.edu.au/tll_misc/5/</w:t>
        </w:r>
      </w:hyperlink>
      <w:r w:rsidR="00F128E4">
        <w:rPr>
          <w:rFonts w:cstheme="minorHAnsi"/>
          <w:color w:val="222222"/>
          <w:shd w:val="clear" w:color="auto" w:fill="FFFFFF"/>
        </w:rPr>
        <w:t xml:space="preserve"> </w:t>
      </w:r>
    </w:p>
    <w:p w14:paraId="4779B61E" w14:textId="7817E86D" w:rsidR="009E5D98" w:rsidRPr="004C5164" w:rsidRDefault="009E5D98" w:rsidP="009E5D98">
      <w:pPr>
        <w:spacing w:line="240" w:lineRule="auto"/>
        <w:ind w:left="720" w:hanging="720"/>
        <w:rPr>
          <w:rFonts w:cstheme="minorHAnsi"/>
        </w:rPr>
      </w:pPr>
      <w:r w:rsidRPr="004C5164">
        <w:rPr>
          <w:rFonts w:cstheme="minorHAnsi"/>
        </w:rPr>
        <w:t xml:space="preserve">Schleicher A (2018) </w:t>
      </w:r>
      <w:r w:rsidR="00562851">
        <w:rPr>
          <w:rFonts w:cstheme="minorHAnsi"/>
        </w:rPr>
        <w:t>‘</w:t>
      </w:r>
      <w:r w:rsidRPr="00562851">
        <w:rPr>
          <w:rFonts w:cstheme="minorHAnsi"/>
        </w:rPr>
        <w:t>What makes high-performing school systems different</w:t>
      </w:r>
      <w:r w:rsidR="00562851">
        <w:rPr>
          <w:rFonts w:cstheme="minorHAnsi"/>
        </w:rPr>
        <w:t>’</w:t>
      </w:r>
      <w:r w:rsidRPr="004C5164">
        <w:rPr>
          <w:rFonts w:cstheme="minorHAnsi"/>
        </w:rPr>
        <w:t xml:space="preserve">, </w:t>
      </w:r>
      <w:r w:rsidRPr="00325964">
        <w:rPr>
          <w:rFonts w:cstheme="minorHAnsi"/>
          <w:i/>
          <w:iCs/>
        </w:rPr>
        <w:t>World Class: How to Build a 21st-Century School System</w:t>
      </w:r>
      <w:r w:rsidRPr="004C5164">
        <w:rPr>
          <w:rFonts w:cstheme="minorHAnsi"/>
        </w:rPr>
        <w:t>, OECD Publishing, Paris</w:t>
      </w:r>
      <w:r>
        <w:rPr>
          <w:rFonts w:cstheme="minorHAnsi"/>
        </w:rPr>
        <w:t>.</w:t>
      </w:r>
      <w:r w:rsidR="00562851" w:rsidRPr="00562851">
        <w:rPr>
          <w:rFonts w:cstheme="minorHAnsi"/>
          <w:color w:val="7F7F7F"/>
          <w:shd w:val="clear" w:color="auto" w:fill="FFFFFF"/>
        </w:rPr>
        <w:t> </w:t>
      </w:r>
      <w:hyperlink r:id="rId101" w:history="1">
        <w:r w:rsidR="00562851" w:rsidRPr="00562851">
          <w:rPr>
            <w:rStyle w:val="Hyperlink"/>
            <w:rFonts w:cstheme="minorHAnsi"/>
            <w:color w:val="0068B6"/>
            <w:shd w:val="clear" w:color="auto" w:fill="FFFFFF"/>
          </w:rPr>
          <w:t>https://doi.org/10.1787/9789264300002-3-en</w:t>
        </w:r>
      </w:hyperlink>
    </w:p>
    <w:p w14:paraId="234C691A" w14:textId="64B97609" w:rsidR="009E5D98" w:rsidRPr="008E36A4" w:rsidRDefault="009E5D98" w:rsidP="009E5D98">
      <w:pPr>
        <w:spacing w:line="240" w:lineRule="auto"/>
        <w:ind w:left="720" w:hanging="720"/>
        <w:rPr>
          <w:rFonts w:cstheme="minorHAnsi"/>
        </w:rPr>
      </w:pPr>
      <w:r w:rsidRPr="004C5164">
        <w:rPr>
          <w:rFonts w:cstheme="minorHAnsi"/>
        </w:rPr>
        <w:t>Shine</w:t>
      </w:r>
      <w:r>
        <w:rPr>
          <w:rFonts w:cstheme="minorHAnsi"/>
        </w:rPr>
        <w:t xml:space="preserve"> K</w:t>
      </w:r>
      <w:r w:rsidRPr="004C5164">
        <w:rPr>
          <w:rFonts w:cstheme="minorHAnsi"/>
        </w:rPr>
        <w:t xml:space="preserve"> (2015) </w:t>
      </w:r>
      <w:r w:rsidR="00F0422B">
        <w:rPr>
          <w:rFonts w:cstheme="minorHAnsi"/>
        </w:rPr>
        <w:t>‘</w:t>
      </w:r>
      <w:r w:rsidR="00C5330D" w:rsidRPr="00C71CBB">
        <w:t>Reporting the ‘exodus’: News coverage of teacher shortage in Australia newspapers</w:t>
      </w:r>
      <w:r w:rsidR="00F0422B">
        <w:t>’</w:t>
      </w:r>
      <w:r>
        <w:rPr>
          <w:rFonts w:cstheme="minorHAnsi"/>
        </w:rPr>
        <w:t xml:space="preserve">, </w:t>
      </w:r>
      <w:r>
        <w:rPr>
          <w:rFonts w:cstheme="minorHAnsi"/>
          <w:i/>
          <w:iCs/>
        </w:rPr>
        <w:t xml:space="preserve">Issues in Educational Research, </w:t>
      </w:r>
      <w:r>
        <w:rPr>
          <w:rFonts w:cstheme="minorHAnsi"/>
        </w:rPr>
        <w:t>25(4)</w:t>
      </w:r>
      <w:r w:rsidR="00C477DE">
        <w:rPr>
          <w:rFonts w:cstheme="minorHAnsi"/>
        </w:rPr>
        <w:t>:</w:t>
      </w:r>
      <w:r>
        <w:rPr>
          <w:rFonts w:cstheme="minorHAnsi"/>
        </w:rPr>
        <w:t>501</w:t>
      </w:r>
      <w:r w:rsidR="00146358">
        <w:rPr>
          <w:rFonts w:cstheme="minorHAnsi"/>
        </w:rPr>
        <w:t>–</w:t>
      </w:r>
      <w:r>
        <w:rPr>
          <w:rFonts w:cstheme="minorHAnsi"/>
        </w:rPr>
        <w:t xml:space="preserve">516. </w:t>
      </w:r>
      <w:hyperlink r:id="rId102" w:history="1">
        <w:r w:rsidR="00C5330D" w:rsidRPr="00C545CE">
          <w:rPr>
            <w:rStyle w:val="Hyperlink"/>
            <w:rFonts w:cstheme="minorHAnsi"/>
          </w:rPr>
          <w:t>https://www.iier.org.au/iier25/shine.html</w:t>
        </w:r>
      </w:hyperlink>
      <w:r w:rsidR="00C5330D">
        <w:rPr>
          <w:rFonts w:cstheme="minorHAnsi"/>
        </w:rPr>
        <w:t xml:space="preserve"> </w:t>
      </w:r>
    </w:p>
    <w:p w14:paraId="43B6F27D" w14:textId="2E81770B" w:rsidR="009E5D98" w:rsidRPr="004C5164" w:rsidRDefault="009E5D98" w:rsidP="009E5D98">
      <w:pPr>
        <w:spacing w:line="240" w:lineRule="auto"/>
        <w:ind w:left="720" w:hanging="720"/>
        <w:rPr>
          <w:rFonts w:cstheme="minorHAnsi"/>
        </w:rPr>
      </w:pPr>
      <w:r w:rsidRPr="004C5164">
        <w:rPr>
          <w:rFonts w:cstheme="minorHAnsi"/>
        </w:rPr>
        <w:t>TEMAG</w:t>
      </w:r>
      <w:r>
        <w:rPr>
          <w:rFonts w:cstheme="minorHAnsi"/>
        </w:rPr>
        <w:t xml:space="preserve"> (Teacher Education Ministerial Advisory Group)</w:t>
      </w:r>
      <w:r w:rsidRPr="004C5164">
        <w:rPr>
          <w:rFonts w:cstheme="minorHAnsi"/>
        </w:rPr>
        <w:t xml:space="preserve"> (2014) </w:t>
      </w:r>
      <w:r w:rsidR="00C5330D" w:rsidRPr="00F0422B">
        <w:rPr>
          <w:i/>
          <w:iCs/>
        </w:rPr>
        <w:t>Action Now: Classroom Ready Teachers</w:t>
      </w:r>
      <w:r w:rsidRPr="004C5164">
        <w:rPr>
          <w:rFonts w:cstheme="minorHAnsi"/>
        </w:rPr>
        <w:t xml:space="preserve">, </w:t>
      </w:r>
      <w:r>
        <w:rPr>
          <w:rFonts w:cstheme="minorHAnsi"/>
        </w:rPr>
        <w:t xml:space="preserve">Canberra. </w:t>
      </w:r>
      <w:hyperlink r:id="rId103" w:history="1">
        <w:r w:rsidR="00C5330D" w:rsidRPr="00C545CE">
          <w:rPr>
            <w:rStyle w:val="Hyperlink"/>
            <w:rFonts w:cstheme="minorHAnsi"/>
          </w:rPr>
          <w:t>https://www.dese.gov.au/teaching-and-school-leadership/resources/action-now-classroom-ready-teachers-report-0</w:t>
        </w:r>
      </w:hyperlink>
      <w:r w:rsidR="00C5330D">
        <w:rPr>
          <w:rFonts w:cstheme="minorHAnsi"/>
        </w:rPr>
        <w:t xml:space="preserve"> </w:t>
      </w:r>
    </w:p>
    <w:p w14:paraId="4568D9DF" w14:textId="39F22770" w:rsidR="009E5D98" w:rsidRPr="004C5164" w:rsidRDefault="009E5D98" w:rsidP="009E5D98">
      <w:pPr>
        <w:spacing w:line="240" w:lineRule="auto"/>
        <w:ind w:left="720" w:hanging="720"/>
        <w:rPr>
          <w:rFonts w:cstheme="minorHAnsi"/>
        </w:rPr>
      </w:pPr>
      <w:r w:rsidRPr="004462AE">
        <w:rPr>
          <w:rFonts w:cstheme="minorHAnsi"/>
        </w:rPr>
        <w:t>Thompson P, Kriewaldt J</w:t>
      </w:r>
      <w:r w:rsidR="008A1E96" w:rsidRPr="004462AE">
        <w:rPr>
          <w:rFonts w:cstheme="minorHAnsi"/>
        </w:rPr>
        <w:t xml:space="preserve"> and</w:t>
      </w:r>
      <w:r w:rsidRPr="004462AE">
        <w:rPr>
          <w:rFonts w:cstheme="minorHAnsi"/>
        </w:rPr>
        <w:t xml:space="preserve"> Redman C (2020) </w:t>
      </w:r>
      <w:r w:rsidR="00911C75">
        <w:rPr>
          <w:rFonts w:cstheme="minorHAnsi"/>
        </w:rPr>
        <w:t>‘</w:t>
      </w:r>
      <w:r w:rsidRPr="00911C75">
        <w:rPr>
          <w:rFonts w:cstheme="minorHAnsi"/>
        </w:rPr>
        <w:t xml:space="preserve">Elaborating a Model for Teacher </w:t>
      </w:r>
      <w:r w:rsidRPr="004E7F5B">
        <w:rPr>
          <w:rFonts w:cstheme="minorHAnsi"/>
          <w:color w:val="auto"/>
        </w:rPr>
        <w:t>Professional Learning to Sustain Improvement in Teaching Practice</w:t>
      </w:r>
      <w:r w:rsidR="00911C75" w:rsidRPr="004E7F5B">
        <w:rPr>
          <w:rFonts w:cstheme="minorHAnsi"/>
          <w:color w:val="auto"/>
        </w:rPr>
        <w:t>’</w:t>
      </w:r>
      <w:r w:rsidR="008A1E96" w:rsidRPr="004E7F5B">
        <w:rPr>
          <w:rFonts w:cstheme="minorHAnsi"/>
          <w:color w:val="auto"/>
        </w:rPr>
        <w:t>,</w:t>
      </w:r>
      <w:r w:rsidRPr="004E7F5B">
        <w:rPr>
          <w:rFonts w:cstheme="minorHAnsi"/>
          <w:color w:val="auto"/>
        </w:rPr>
        <w:t xml:space="preserve"> </w:t>
      </w:r>
      <w:r w:rsidRPr="004E7F5B">
        <w:rPr>
          <w:rFonts w:cstheme="minorHAnsi"/>
          <w:i/>
          <w:color w:val="auto"/>
        </w:rPr>
        <w:t>Australian Journal of Teacher Education</w:t>
      </w:r>
      <w:r w:rsidRPr="004E7F5B">
        <w:rPr>
          <w:rFonts w:cstheme="minorHAnsi"/>
          <w:color w:val="auto"/>
        </w:rPr>
        <w:t>, 45(2)</w:t>
      </w:r>
      <w:r w:rsidR="00C477DE">
        <w:rPr>
          <w:rFonts w:cstheme="minorHAnsi"/>
          <w:color w:val="auto"/>
        </w:rPr>
        <w:t>:</w:t>
      </w:r>
      <w:r w:rsidRPr="004E7F5B">
        <w:rPr>
          <w:rFonts w:cstheme="minorHAnsi"/>
          <w:color w:val="auto"/>
        </w:rPr>
        <w:t>81</w:t>
      </w:r>
      <w:r w:rsidR="00146358" w:rsidRPr="004E7F5B">
        <w:rPr>
          <w:rFonts w:cstheme="minorHAnsi"/>
          <w:color w:val="auto"/>
        </w:rPr>
        <w:t>–</w:t>
      </w:r>
      <w:r w:rsidRPr="004E7F5B">
        <w:rPr>
          <w:rFonts w:cstheme="minorHAnsi"/>
          <w:color w:val="auto"/>
        </w:rPr>
        <w:t>103</w:t>
      </w:r>
      <w:r w:rsidR="004E7F5B" w:rsidRPr="004E7F5B">
        <w:rPr>
          <w:rFonts w:cstheme="minorHAnsi"/>
          <w:color w:val="auto"/>
        </w:rPr>
        <w:t>,</w:t>
      </w:r>
      <w:r w:rsidR="00911C75" w:rsidRPr="004E7F5B">
        <w:rPr>
          <w:rFonts w:cstheme="minorHAnsi"/>
          <w:color w:val="auto"/>
        </w:rPr>
        <w:t xml:space="preserve"> </w:t>
      </w:r>
      <w:r w:rsidR="00911C75" w:rsidRPr="004E7F5B">
        <w:rPr>
          <w:rFonts w:cstheme="minorHAnsi"/>
          <w:color w:val="auto"/>
          <w:shd w:val="clear" w:color="auto" w:fill="FFFFFF"/>
        </w:rPr>
        <w:t>doi:</w:t>
      </w:r>
      <w:hyperlink r:id="rId104" w:tgtFrame="_blank" w:history="1">
        <w:r w:rsidR="00911C75" w:rsidRPr="00911C75">
          <w:rPr>
            <w:rStyle w:val="Hyperlink"/>
            <w:rFonts w:cstheme="minorHAnsi"/>
            <w:bdr w:val="none" w:sz="0" w:space="0" w:color="auto" w:frame="1"/>
            <w:shd w:val="clear" w:color="auto" w:fill="FFFFFF"/>
          </w:rPr>
          <w:t>10.14221/ajte.2020v45n2.5</w:t>
        </w:r>
      </w:hyperlink>
    </w:p>
    <w:p w14:paraId="3E51F881" w14:textId="717B9C3F" w:rsidR="009E5D98" w:rsidRPr="00C477DE" w:rsidRDefault="009E5D98" w:rsidP="00EE41DF">
      <w:pPr>
        <w:spacing w:line="240" w:lineRule="auto"/>
        <w:ind w:left="720" w:hanging="720"/>
        <w:rPr>
          <w:rFonts w:cstheme="minorHAnsi"/>
        </w:rPr>
      </w:pPr>
      <w:r w:rsidRPr="004C5164">
        <w:rPr>
          <w:rFonts w:cstheme="minorHAnsi"/>
        </w:rPr>
        <w:t>Walker R</w:t>
      </w:r>
      <w:r>
        <w:rPr>
          <w:rFonts w:cstheme="minorHAnsi"/>
        </w:rPr>
        <w:t>, Morrison C</w:t>
      </w:r>
      <w:r w:rsidR="008A1E96">
        <w:rPr>
          <w:rFonts w:cstheme="minorHAnsi"/>
        </w:rPr>
        <w:t xml:space="preserve"> and</w:t>
      </w:r>
      <w:r>
        <w:rPr>
          <w:rFonts w:cstheme="minorHAnsi"/>
        </w:rPr>
        <w:t xml:space="preserve"> Hay I (2019) </w:t>
      </w:r>
      <w:r w:rsidR="003B011F">
        <w:rPr>
          <w:rFonts w:cstheme="minorHAnsi"/>
        </w:rPr>
        <w:t>‘</w:t>
      </w:r>
      <w:r w:rsidR="00512A8A" w:rsidRPr="00994C4A">
        <w:rPr>
          <w:rFonts w:cstheme="minorHAnsi"/>
        </w:rPr>
        <w:t xml:space="preserve">Evaluating quality in </w:t>
      </w:r>
      <w:r w:rsidR="00512A8A" w:rsidRPr="00C477DE">
        <w:rPr>
          <w:rFonts w:cstheme="minorHAnsi"/>
        </w:rPr>
        <w:t>professional experience partnerships for graduate teacher employability</w:t>
      </w:r>
      <w:r w:rsidR="003B011F" w:rsidRPr="00C477DE">
        <w:rPr>
          <w:rFonts w:cstheme="minorHAnsi"/>
        </w:rPr>
        <w:t>’</w:t>
      </w:r>
      <w:r>
        <w:rPr>
          <w:rFonts w:cstheme="minorHAnsi"/>
        </w:rPr>
        <w:t xml:space="preserve">, </w:t>
      </w:r>
      <w:r>
        <w:rPr>
          <w:rFonts w:cstheme="minorHAnsi"/>
          <w:i/>
          <w:iCs/>
        </w:rPr>
        <w:t>Journal of teaching and learning for Graduate Employability</w:t>
      </w:r>
      <w:r w:rsidR="00C477DE" w:rsidRPr="00C477DE">
        <w:rPr>
          <w:rFonts w:cstheme="minorHAnsi"/>
          <w:i/>
          <w:iCs/>
        </w:rPr>
        <w:t xml:space="preserve">, </w:t>
      </w:r>
      <w:r w:rsidR="00C477DE" w:rsidRPr="00C477DE">
        <w:rPr>
          <w:rFonts w:cstheme="minorHAnsi"/>
        </w:rPr>
        <w:t>10(1):118-37</w:t>
      </w:r>
      <w:r w:rsidRPr="00C477DE">
        <w:rPr>
          <w:rFonts w:cstheme="minorHAnsi"/>
          <w:i/>
          <w:iCs/>
        </w:rPr>
        <w:t>.</w:t>
      </w:r>
      <w:r>
        <w:rPr>
          <w:rFonts w:cstheme="minorHAnsi"/>
          <w:i/>
          <w:iCs/>
        </w:rPr>
        <w:t xml:space="preserve"> </w:t>
      </w:r>
      <w:hyperlink r:id="rId105" w:history="1">
        <w:r w:rsidR="00994C4A" w:rsidRPr="00C477DE">
          <w:rPr>
            <w:rStyle w:val="Hyperlink"/>
            <w:rFonts w:cstheme="minorHAnsi"/>
          </w:rPr>
          <w:t>https://doi.org/10.21153/jtlge2019vol10no1art791</w:t>
        </w:r>
      </w:hyperlink>
      <w:r w:rsidR="00994C4A" w:rsidRPr="00C477DE">
        <w:rPr>
          <w:rFonts w:cstheme="minorHAnsi"/>
        </w:rPr>
        <w:t xml:space="preserve"> </w:t>
      </w:r>
    </w:p>
    <w:p w14:paraId="34BBF49C" w14:textId="29A3D97E" w:rsidR="009E5D98" w:rsidRDefault="009E5D98" w:rsidP="009E5D98"/>
    <w:p w14:paraId="0DDB81EE" w14:textId="3914420E" w:rsidR="009E5D98" w:rsidRDefault="009E5D98" w:rsidP="009E5D98"/>
    <w:p w14:paraId="5936EE92" w14:textId="2F18D165" w:rsidR="009E5D98" w:rsidRDefault="009E5D98" w:rsidP="009E5D98"/>
    <w:p w14:paraId="4EBFA58D" w14:textId="293EE8B1" w:rsidR="009E5D98" w:rsidRDefault="009E5D98" w:rsidP="009E5D98"/>
    <w:p w14:paraId="6D71994D" w14:textId="3A13185B" w:rsidR="009E5D98" w:rsidRDefault="009E5D98" w:rsidP="009E5D98"/>
    <w:bookmarkEnd w:id="60"/>
    <w:p w14:paraId="245A774D" w14:textId="3D9F7F7E" w:rsidR="00A75006" w:rsidRDefault="00A75006" w:rsidP="004B5D3D"/>
    <w:sectPr w:rsidR="00A75006" w:rsidSect="005D19A8">
      <w:type w:val="continuous"/>
      <w:pgSz w:w="11900" w:h="16840"/>
      <w:pgMar w:top="1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5CD25" w14:textId="77777777" w:rsidR="002972CE" w:rsidRDefault="002972CE" w:rsidP="00E946AC">
      <w:r>
        <w:separator/>
      </w:r>
    </w:p>
  </w:endnote>
  <w:endnote w:type="continuationSeparator" w:id="0">
    <w:p w14:paraId="165DF1F1" w14:textId="77777777" w:rsidR="002972CE" w:rsidRDefault="002972CE" w:rsidP="00E946AC">
      <w:r>
        <w:continuationSeparator/>
      </w:r>
    </w:p>
  </w:endnote>
  <w:endnote w:type="continuationNotice" w:id="1">
    <w:p w14:paraId="74344793" w14:textId="77777777" w:rsidR="002972CE" w:rsidRDefault="002972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auto"/>
    <w:pitch w:val="variable"/>
    <w:sig w:usb0="60000287" w:usb1="00000001" w:usb2="00000000" w:usb3="00000000" w:csb0="0000019F" w:csb1="00000000"/>
  </w:font>
  <w:font w:name="Source Sans Pro Light">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25331941"/>
      <w:docPartObj>
        <w:docPartGallery w:val="Page Numbers (Bottom of Page)"/>
        <w:docPartUnique/>
      </w:docPartObj>
    </w:sdtPr>
    <w:sdtEndPr>
      <w:rPr>
        <w:rStyle w:val="PageNumber"/>
      </w:rPr>
    </w:sdtEndPr>
    <w:sdtContent>
      <w:p w14:paraId="7CDB7EA5" w14:textId="75903023" w:rsidR="002972CE" w:rsidRDefault="002972CE" w:rsidP="00C45D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274DAC" w14:textId="77777777" w:rsidR="002972CE" w:rsidRDefault="002972CE" w:rsidP="00C411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6513419"/>
      <w:docPartObj>
        <w:docPartGallery w:val="Page Numbers (Bottom of Page)"/>
        <w:docPartUnique/>
      </w:docPartObj>
    </w:sdtPr>
    <w:sdtEndPr>
      <w:rPr>
        <w:noProof/>
      </w:rPr>
    </w:sdtEndPr>
    <w:sdtContent>
      <w:p w14:paraId="6BF8D3B5" w14:textId="54B174AE" w:rsidR="002972CE" w:rsidRDefault="002972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5DE919" w14:textId="77777777" w:rsidR="002972CE" w:rsidRDefault="002972CE" w:rsidP="00C4119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E6C5B" w14:textId="77777777" w:rsidR="00FB3AB8" w:rsidRDefault="00FB3A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49562"/>
      <w:docPartObj>
        <w:docPartGallery w:val="Page Numbers (Bottom of Page)"/>
        <w:docPartUnique/>
      </w:docPartObj>
    </w:sdtPr>
    <w:sdtEndPr>
      <w:rPr>
        <w:noProof/>
      </w:rPr>
    </w:sdtEndPr>
    <w:sdtContent>
      <w:p w14:paraId="2A98637A" w14:textId="77777777" w:rsidR="002972CE" w:rsidRDefault="002972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D0B99" w14:textId="77777777" w:rsidR="002972CE" w:rsidRDefault="002972CE" w:rsidP="00C411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F26FA" w14:textId="77777777" w:rsidR="002972CE" w:rsidRDefault="002972CE" w:rsidP="00E946AC">
      <w:r>
        <w:separator/>
      </w:r>
    </w:p>
  </w:footnote>
  <w:footnote w:type="continuationSeparator" w:id="0">
    <w:p w14:paraId="27528FAB" w14:textId="77777777" w:rsidR="002972CE" w:rsidRDefault="002972CE" w:rsidP="00E946AC">
      <w:r>
        <w:continuationSeparator/>
      </w:r>
    </w:p>
  </w:footnote>
  <w:footnote w:type="continuationNotice" w:id="1">
    <w:p w14:paraId="2F061364" w14:textId="77777777" w:rsidR="002972CE" w:rsidRDefault="002972CE">
      <w:pPr>
        <w:spacing w:after="0" w:line="240" w:lineRule="auto"/>
      </w:pPr>
    </w:p>
  </w:footnote>
  <w:footnote w:id="2">
    <w:p w14:paraId="09C2A3F8" w14:textId="11C9C25B" w:rsidR="002972CE" w:rsidRDefault="002972CE">
      <w:pPr>
        <w:pStyle w:val="FootnoteText"/>
      </w:pPr>
      <w:r>
        <w:rPr>
          <w:rStyle w:val="FootnoteReference"/>
        </w:rPr>
        <w:footnoteRef/>
      </w:r>
      <w:r>
        <w:t xml:space="preserve"> Young high achievers refer to 18-25 years old who have received an Australian Tertiary Admissions Rank (ATAR) </w:t>
      </w:r>
      <w:r w:rsidRPr="00B24C5F">
        <w:t>≥</w:t>
      </w:r>
      <w:r>
        <w:t xml:space="preserve">80, Overall Position (OP) &lt; 10, or IB (International Baccalaureate) </w:t>
      </w:r>
      <w:r w:rsidRPr="008128E4">
        <w:t>&gt;28,</w:t>
      </w:r>
      <w:r>
        <w:t xml:space="preserve"> and never studied Teacher Education. M</w:t>
      </w:r>
      <w:r w:rsidRPr="007929C5">
        <w:t xml:space="preserve">id-career professionals </w:t>
      </w:r>
      <w:r>
        <w:t>refer to 26-60 years old who have completed an undergraduate degree or above, never studied Teacher Education and never been employed as a teacher.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D1C77" w14:textId="77777777" w:rsidR="00FB3AB8" w:rsidRDefault="00FB3A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D8E7" w14:textId="3CF0C957" w:rsidR="002972CE" w:rsidRDefault="002972CE" w:rsidP="00C109A1">
    <w:pPr>
      <w:pStyle w:val="Header"/>
      <w:numPr>
        <w:ilvl w:val="0"/>
        <w:numId w:val="0"/>
      </w:numPr>
      <w:tabs>
        <w:tab w:val="clear" w:pos="4513"/>
      </w:tabs>
      <w:ind w:left="36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0EE2B" w14:textId="275405D9" w:rsidR="002972CE" w:rsidRDefault="002972CE">
    <w:pPr>
      <w:pStyle w:val="Header"/>
    </w:pPr>
    <w:r>
      <w:rPr>
        <w:noProof/>
      </w:rPr>
      <w:drawing>
        <wp:anchor distT="0" distB="0" distL="114300" distR="114300" simplePos="0" relativeHeight="251657216" behindDoc="1" locked="0" layoutInCell="1" allowOverlap="1" wp14:anchorId="5C3BD88D" wp14:editId="1E773DE4">
          <wp:simplePos x="0" y="0"/>
          <wp:positionH relativeFrom="page">
            <wp:posOffset>19050</wp:posOffset>
          </wp:positionH>
          <wp:positionV relativeFrom="paragraph">
            <wp:posOffset>-424580</wp:posOffset>
          </wp:positionV>
          <wp:extent cx="7561580" cy="10682618"/>
          <wp:effectExtent l="0" t="0" r="1270" b="444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580" cy="106826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B8AC02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0CA57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A67248"/>
    <w:multiLevelType w:val="hybridMultilevel"/>
    <w:tmpl w:val="F52E8D5A"/>
    <w:lvl w:ilvl="0" w:tplc="FF0C36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63199"/>
    <w:multiLevelType w:val="hybridMultilevel"/>
    <w:tmpl w:val="13503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853D5"/>
    <w:multiLevelType w:val="hybridMultilevel"/>
    <w:tmpl w:val="9BCC81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9B173FE"/>
    <w:multiLevelType w:val="hybridMultilevel"/>
    <w:tmpl w:val="2DBE6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3C4DB1"/>
    <w:multiLevelType w:val="hybridMultilevel"/>
    <w:tmpl w:val="712C3424"/>
    <w:lvl w:ilvl="0" w:tplc="FF0C36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82F8F"/>
    <w:multiLevelType w:val="hybridMultilevel"/>
    <w:tmpl w:val="84704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12230"/>
    <w:multiLevelType w:val="hybridMultilevel"/>
    <w:tmpl w:val="A400FE2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E393158"/>
    <w:multiLevelType w:val="hybridMultilevel"/>
    <w:tmpl w:val="4E101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353D07"/>
    <w:multiLevelType w:val="hybridMultilevel"/>
    <w:tmpl w:val="7514F0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0030D9"/>
    <w:multiLevelType w:val="hybridMultilevel"/>
    <w:tmpl w:val="89AE5A0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19D333F"/>
    <w:multiLevelType w:val="hybridMultilevel"/>
    <w:tmpl w:val="5DBA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A54F76"/>
    <w:multiLevelType w:val="hybridMultilevel"/>
    <w:tmpl w:val="391A2448"/>
    <w:lvl w:ilvl="0" w:tplc="0C090001">
      <w:start w:val="1"/>
      <w:numFmt w:val="bullet"/>
      <w:lvlText w:val=""/>
      <w:lvlJc w:val="left"/>
      <w:pPr>
        <w:ind w:left="400" w:hanging="360"/>
      </w:pPr>
      <w:rPr>
        <w:rFonts w:ascii="Symbol" w:hAnsi="Symbol" w:hint="default"/>
      </w:rPr>
    </w:lvl>
    <w:lvl w:ilvl="1" w:tplc="0C090003" w:tentative="1">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14" w15:restartNumberingAfterBreak="0">
    <w:nsid w:val="28672D1A"/>
    <w:multiLevelType w:val="hybridMultilevel"/>
    <w:tmpl w:val="FCEC7EDC"/>
    <w:lvl w:ilvl="0" w:tplc="FF0C36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7B3B41"/>
    <w:multiLevelType w:val="multilevel"/>
    <w:tmpl w:val="F538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532C91"/>
    <w:multiLevelType w:val="hybridMultilevel"/>
    <w:tmpl w:val="E282422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DC62E5F"/>
    <w:multiLevelType w:val="hybridMultilevel"/>
    <w:tmpl w:val="731A3DF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6C2286"/>
    <w:multiLevelType w:val="hybridMultilevel"/>
    <w:tmpl w:val="4FD03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F071DF"/>
    <w:multiLevelType w:val="hybridMultilevel"/>
    <w:tmpl w:val="A78EA1C8"/>
    <w:lvl w:ilvl="0" w:tplc="DB2A9C0E">
      <w:start w:val="1"/>
      <w:numFmt w:val="decimal"/>
      <w:pStyle w:val="Head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1E53D5"/>
    <w:multiLevelType w:val="hybridMultilevel"/>
    <w:tmpl w:val="95BA64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A267DC"/>
    <w:multiLevelType w:val="hybridMultilevel"/>
    <w:tmpl w:val="5134B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51B79BC"/>
    <w:multiLevelType w:val="hybridMultilevel"/>
    <w:tmpl w:val="EE26A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CB5526"/>
    <w:multiLevelType w:val="hybridMultilevel"/>
    <w:tmpl w:val="CA5CC1B2"/>
    <w:lvl w:ilvl="0" w:tplc="0C090001">
      <w:start w:val="1"/>
      <w:numFmt w:val="bullet"/>
      <w:lvlText w:val=""/>
      <w:lvlJc w:val="left"/>
      <w:pPr>
        <w:ind w:left="400" w:hanging="360"/>
      </w:pPr>
      <w:rPr>
        <w:rFonts w:ascii="Symbol" w:hAnsi="Symbol" w:hint="default"/>
      </w:rPr>
    </w:lvl>
    <w:lvl w:ilvl="1" w:tplc="0C090003" w:tentative="1">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24" w15:restartNumberingAfterBreak="0">
    <w:nsid w:val="379C158C"/>
    <w:multiLevelType w:val="hybridMultilevel"/>
    <w:tmpl w:val="9B4069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AD73E9"/>
    <w:multiLevelType w:val="hybridMultilevel"/>
    <w:tmpl w:val="1F7A0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2C5972"/>
    <w:multiLevelType w:val="hybridMultilevel"/>
    <w:tmpl w:val="76761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B11E9F"/>
    <w:multiLevelType w:val="hybridMultilevel"/>
    <w:tmpl w:val="FD24013C"/>
    <w:lvl w:ilvl="0" w:tplc="DBD411C2">
      <w:start w:val="1"/>
      <w:numFmt w:val="bullet"/>
      <w:lvlText w:val=""/>
      <w:lvlJc w:val="left"/>
      <w:pPr>
        <w:ind w:left="4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E42DCA"/>
    <w:multiLevelType w:val="hybridMultilevel"/>
    <w:tmpl w:val="B008D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F1677D4"/>
    <w:multiLevelType w:val="hybridMultilevel"/>
    <w:tmpl w:val="BF722230"/>
    <w:lvl w:ilvl="0" w:tplc="DBD411C2">
      <w:start w:val="1"/>
      <w:numFmt w:val="bullet"/>
      <w:lvlText w:val=""/>
      <w:lvlJc w:val="left"/>
      <w:pPr>
        <w:ind w:left="4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AD01D2"/>
    <w:multiLevelType w:val="multilevel"/>
    <w:tmpl w:val="3CA4B512"/>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lvlText w:val="%1.%2.%3.%4.%5.%6"/>
      <w:lvlJc w:val="left"/>
      <w:pPr>
        <w:ind w:left="1247" w:hanging="1247"/>
      </w:pPr>
      <w:rPr>
        <w:rFonts w:hint="default"/>
      </w:rPr>
    </w:lvl>
    <w:lvl w:ilvl="6">
      <w:start w:val="1"/>
      <w:numFmt w:val="decimal"/>
      <w:lvlRestart w:val="1"/>
      <w:suff w:val="nothing"/>
      <w:lvlText w:val="Table %1.%7"/>
      <w:lvlJc w:val="left"/>
      <w:pPr>
        <w:ind w:left="142"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31" w15:restartNumberingAfterBreak="0">
    <w:nsid w:val="40DC6AF9"/>
    <w:multiLevelType w:val="hybridMultilevel"/>
    <w:tmpl w:val="7096AC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77E692E"/>
    <w:multiLevelType w:val="hybridMultilevel"/>
    <w:tmpl w:val="8D185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BCA53BD"/>
    <w:multiLevelType w:val="hybridMultilevel"/>
    <w:tmpl w:val="8070B4B8"/>
    <w:lvl w:ilvl="0" w:tplc="CD781F54">
      <w:start w:val="1"/>
      <w:numFmt w:val="decimal"/>
      <w:lvlText w:val="%1."/>
      <w:lvlJc w:val="left"/>
      <w:pPr>
        <w:ind w:left="360" w:hanging="360"/>
      </w:pPr>
      <w:rPr>
        <w:color w:val="44546A" w:themeColor="text2"/>
      </w:rPr>
    </w:lvl>
    <w:lvl w:ilvl="1" w:tplc="0C090017">
      <w:start w:val="1"/>
      <w:numFmt w:val="lowerLetter"/>
      <w:lvlText w:val="%2)"/>
      <w:lvlJc w:val="left"/>
      <w:pPr>
        <w:ind w:left="1440" w:hanging="720"/>
      </w:pPr>
      <w:rPr>
        <w:rFonts w:hint="default"/>
        <w:color w:val="44546A" w:themeColor="text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DCF4E65"/>
    <w:multiLevelType w:val="hybridMultilevel"/>
    <w:tmpl w:val="E8FE0CE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02034AC"/>
    <w:multiLevelType w:val="hybridMultilevel"/>
    <w:tmpl w:val="BF2C9DF2"/>
    <w:lvl w:ilvl="0" w:tplc="0C090001">
      <w:start w:val="1"/>
      <w:numFmt w:val="bullet"/>
      <w:lvlText w:val=""/>
      <w:lvlJc w:val="left"/>
      <w:pPr>
        <w:ind w:left="400" w:hanging="360"/>
      </w:pPr>
      <w:rPr>
        <w:rFonts w:ascii="Symbol" w:hAnsi="Symbol" w:hint="default"/>
      </w:rPr>
    </w:lvl>
    <w:lvl w:ilvl="1" w:tplc="0C090003" w:tentative="1">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36" w15:restartNumberingAfterBreak="0">
    <w:nsid w:val="52B5242A"/>
    <w:multiLevelType w:val="hybridMultilevel"/>
    <w:tmpl w:val="07A21C28"/>
    <w:lvl w:ilvl="0" w:tplc="0C090001">
      <w:start w:val="1"/>
      <w:numFmt w:val="bullet"/>
      <w:pStyle w:val="ECPoint"/>
      <w:lvlText w:val=""/>
      <w:lvlJc w:val="left"/>
      <w:pPr>
        <w:ind w:left="417" w:hanging="360"/>
      </w:pPr>
      <w:rPr>
        <w:rFonts w:ascii="Symbol" w:hAnsi="Symbol"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D02E015A">
      <w:start w:val="1"/>
      <w:numFmt w:val="bullet"/>
      <w:lvlText w:val=""/>
      <w:lvlJc w:val="left"/>
      <w:pPr>
        <w:ind w:left="1137" w:hanging="360"/>
      </w:pPr>
      <w:rPr>
        <w:rFonts w:ascii="Symbol" w:hAnsi="Symbol" w:hint="default"/>
      </w:rPr>
    </w:lvl>
    <w:lvl w:ilvl="2" w:tplc="44E466E2" w:tentative="1">
      <w:start w:val="1"/>
      <w:numFmt w:val="lowerRoman"/>
      <w:lvlText w:val="%3."/>
      <w:lvlJc w:val="right"/>
      <w:pPr>
        <w:ind w:left="1857" w:hanging="180"/>
      </w:pPr>
    </w:lvl>
    <w:lvl w:ilvl="3" w:tplc="713815DE" w:tentative="1">
      <w:start w:val="1"/>
      <w:numFmt w:val="decimal"/>
      <w:lvlText w:val="%4."/>
      <w:lvlJc w:val="left"/>
      <w:pPr>
        <w:ind w:left="2577" w:hanging="360"/>
      </w:pPr>
    </w:lvl>
    <w:lvl w:ilvl="4" w:tplc="49C2EE00" w:tentative="1">
      <w:start w:val="1"/>
      <w:numFmt w:val="lowerLetter"/>
      <w:lvlText w:val="%5."/>
      <w:lvlJc w:val="left"/>
      <w:pPr>
        <w:ind w:left="3297" w:hanging="360"/>
      </w:pPr>
    </w:lvl>
    <w:lvl w:ilvl="5" w:tplc="155CBC7A" w:tentative="1">
      <w:start w:val="1"/>
      <w:numFmt w:val="lowerRoman"/>
      <w:lvlText w:val="%6."/>
      <w:lvlJc w:val="right"/>
      <w:pPr>
        <w:ind w:left="4017" w:hanging="180"/>
      </w:pPr>
    </w:lvl>
    <w:lvl w:ilvl="6" w:tplc="2C3660DE" w:tentative="1">
      <w:start w:val="1"/>
      <w:numFmt w:val="decimal"/>
      <w:lvlText w:val="%7."/>
      <w:lvlJc w:val="left"/>
      <w:pPr>
        <w:ind w:left="4737" w:hanging="360"/>
      </w:pPr>
    </w:lvl>
    <w:lvl w:ilvl="7" w:tplc="A260C976" w:tentative="1">
      <w:start w:val="1"/>
      <w:numFmt w:val="lowerLetter"/>
      <w:lvlText w:val="%8."/>
      <w:lvlJc w:val="left"/>
      <w:pPr>
        <w:ind w:left="5457" w:hanging="360"/>
      </w:pPr>
    </w:lvl>
    <w:lvl w:ilvl="8" w:tplc="6608C7D8" w:tentative="1">
      <w:start w:val="1"/>
      <w:numFmt w:val="lowerRoman"/>
      <w:lvlText w:val="%9."/>
      <w:lvlJc w:val="right"/>
      <w:pPr>
        <w:ind w:left="6177" w:hanging="180"/>
      </w:pPr>
    </w:lvl>
  </w:abstractNum>
  <w:abstractNum w:abstractNumId="37" w15:restartNumberingAfterBreak="0">
    <w:nsid w:val="53703A7C"/>
    <w:multiLevelType w:val="hybridMultilevel"/>
    <w:tmpl w:val="E914274A"/>
    <w:lvl w:ilvl="0" w:tplc="DBD411C2">
      <w:start w:val="1"/>
      <w:numFmt w:val="bullet"/>
      <w:lvlText w:val=""/>
      <w:lvlJc w:val="left"/>
      <w:pPr>
        <w:ind w:left="4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7E7A48"/>
    <w:multiLevelType w:val="hybridMultilevel"/>
    <w:tmpl w:val="E4669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9640FBD"/>
    <w:multiLevelType w:val="hybridMultilevel"/>
    <w:tmpl w:val="DF66EA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AE541B8"/>
    <w:multiLevelType w:val="hybridMultilevel"/>
    <w:tmpl w:val="ED7A1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3A1910"/>
    <w:multiLevelType w:val="hybridMultilevel"/>
    <w:tmpl w:val="632877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DB40952"/>
    <w:multiLevelType w:val="hybridMultilevel"/>
    <w:tmpl w:val="84C4B1D2"/>
    <w:lvl w:ilvl="0" w:tplc="FF0C36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8E7CAF"/>
    <w:multiLevelType w:val="hybridMultilevel"/>
    <w:tmpl w:val="50F63D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1A32BA"/>
    <w:multiLevelType w:val="hybridMultilevel"/>
    <w:tmpl w:val="FD589EFC"/>
    <w:lvl w:ilvl="0" w:tplc="0C090001">
      <w:start w:val="1"/>
      <w:numFmt w:val="bullet"/>
      <w:lvlText w:val=""/>
      <w:lvlJc w:val="left"/>
      <w:pPr>
        <w:ind w:left="360" w:hanging="360"/>
      </w:pPr>
      <w:rPr>
        <w:rFonts w:ascii="Symbol" w:hAnsi="Symbol" w:hint="default"/>
      </w:rPr>
    </w:lvl>
    <w:lvl w:ilvl="1" w:tplc="906E7024">
      <w:numFmt w:val="bullet"/>
      <w:lvlText w:val="•"/>
      <w:lvlJc w:val="left"/>
      <w:pPr>
        <w:ind w:left="1440" w:hanging="72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BEB6614"/>
    <w:multiLevelType w:val="hybridMultilevel"/>
    <w:tmpl w:val="A8C40406"/>
    <w:lvl w:ilvl="0" w:tplc="FF0C36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246156"/>
    <w:multiLevelType w:val="hybridMultilevel"/>
    <w:tmpl w:val="12B64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D081D23"/>
    <w:multiLevelType w:val="hybridMultilevel"/>
    <w:tmpl w:val="05DC4AA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1E11EC7"/>
    <w:multiLevelType w:val="hybridMultilevel"/>
    <w:tmpl w:val="EA462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6FC7031"/>
    <w:multiLevelType w:val="hybridMultilevel"/>
    <w:tmpl w:val="C6FC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727701"/>
    <w:multiLevelType w:val="hybridMultilevel"/>
    <w:tmpl w:val="419C6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6C55A2"/>
    <w:multiLevelType w:val="hybridMultilevel"/>
    <w:tmpl w:val="ED6E4D1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FE65EFF"/>
    <w:multiLevelType w:val="hybridMultilevel"/>
    <w:tmpl w:val="384064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FE82DBE"/>
    <w:multiLevelType w:val="multilevel"/>
    <w:tmpl w:val="552846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2"/>
  </w:num>
  <w:num w:numId="3">
    <w:abstractNumId w:val="25"/>
  </w:num>
  <w:num w:numId="4">
    <w:abstractNumId w:val="7"/>
  </w:num>
  <w:num w:numId="5">
    <w:abstractNumId w:val="26"/>
  </w:num>
  <w:num w:numId="6">
    <w:abstractNumId w:val="1"/>
  </w:num>
  <w:num w:numId="7">
    <w:abstractNumId w:val="5"/>
  </w:num>
  <w:num w:numId="8">
    <w:abstractNumId w:val="37"/>
  </w:num>
  <w:num w:numId="9">
    <w:abstractNumId w:val="27"/>
  </w:num>
  <w:num w:numId="10">
    <w:abstractNumId w:val="21"/>
  </w:num>
  <w:num w:numId="11">
    <w:abstractNumId w:val="38"/>
  </w:num>
  <w:num w:numId="12">
    <w:abstractNumId w:val="44"/>
  </w:num>
  <w:num w:numId="13">
    <w:abstractNumId w:val="46"/>
  </w:num>
  <w:num w:numId="14">
    <w:abstractNumId w:val="0"/>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40"/>
  </w:num>
  <w:num w:numId="18">
    <w:abstractNumId w:val="3"/>
  </w:num>
  <w:num w:numId="19">
    <w:abstractNumId w:val="29"/>
  </w:num>
  <w:num w:numId="20">
    <w:abstractNumId w:val="32"/>
  </w:num>
  <w:num w:numId="21">
    <w:abstractNumId w:val="10"/>
  </w:num>
  <w:num w:numId="22">
    <w:abstractNumId w:val="9"/>
  </w:num>
  <w:num w:numId="23">
    <w:abstractNumId w:val="48"/>
  </w:num>
  <w:num w:numId="24">
    <w:abstractNumId w:val="28"/>
  </w:num>
  <w:num w:numId="25">
    <w:abstractNumId w:val="24"/>
  </w:num>
  <w:num w:numId="26">
    <w:abstractNumId w:val="15"/>
  </w:num>
  <w:num w:numId="27">
    <w:abstractNumId w:val="53"/>
  </w:num>
  <w:num w:numId="28">
    <w:abstractNumId w:val="36"/>
  </w:num>
  <w:num w:numId="29">
    <w:abstractNumId w:val="50"/>
  </w:num>
  <w:num w:numId="30">
    <w:abstractNumId w:val="31"/>
  </w:num>
  <w:num w:numId="31">
    <w:abstractNumId w:val="19"/>
  </w:num>
  <w:num w:numId="32">
    <w:abstractNumId w:val="33"/>
  </w:num>
  <w:num w:numId="33">
    <w:abstractNumId w:val="2"/>
  </w:num>
  <w:num w:numId="34">
    <w:abstractNumId w:val="42"/>
  </w:num>
  <w:num w:numId="35">
    <w:abstractNumId w:val="14"/>
  </w:num>
  <w:num w:numId="36">
    <w:abstractNumId w:val="6"/>
  </w:num>
  <w:num w:numId="37">
    <w:abstractNumId w:val="45"/>
  </w:num>
  <w:num w:numId="38">
    <w:abstractNumId w:val="18"/>
  </w:num>
  <w:num w:numId="39">
    <w:abstractNumId w:val="35"/>
  </w:num>
  <w:num w:numId="40">
    <w:abstractNumId w:val="43"/>
  </w:num>
  <w:num w:numId="41">
    <w:abstractNumId w:val="23"/>
  </w:num>
  <w:num w:numId="42">
    <w:abstractNumId w:val="13"/>
  </w:num>
  <w:num w:numId="43">
    <w:abstractNumId w:val="34"/>
  </w:num>
  <w:num w:numId="44">
    <w:abstractNumId w:val="11"/>
  </w:num>
  <w:num w:numId="45">
    <w:abstractNumId w:val="4"/>
  </w:num>
  <w:num w:numId="46">
    <w:abstractNumId w:val="20"/>
  </w:num>
  <w:num w:numId="47">
    <w:abstractNumId w:val="39"/>
  </w:num>
  <w:num w:numId="48">
    <w:abstractNumId w:val="47"/>
  </w:num>
  <w:num w:numId="49">
    <w:abstractNumId w:val="41"/>
  </w:num>
  <w:num w:numId="50">
    <w:abstractNumId w:val="51"/>
  </w:num>
  <w:num w:numId="51">
    <w:abstractNumId w:val="52"/>
  </w:num>
  <w:num w:numId="52">
    <w:abstractNumId w:val="17"/>
  </w:num>
  <w:num w:numId="53">
    <w:abstractNumId w:val="8"/>
  </w:num>
  <w:num w:numId="54">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0DD"/>
    <w:rsid w:val="000000CA"/>
    <w:rsid w:val="000000D5"/>
    <w:rsid w:val="00000207"/>
    <w:rsid w:val="0000035E"/>
    <w:rsid w:val="00000493"/>
    <w:rsid w:val="00000553"/>
    <w:rsid w:val="000005E5"/>
    <w:rsid w:val="000008B8"/>
    <w:rsid w:val="000009A3"/>
    <w:rsid w:val="000009B5"/>
    <w:rsid w:val="00000C61"/>
    <w:rsid w:val="00000D03"/>
    <w:rsid w:val="00000D5E"/>
    <w:rsid w:val="00000DC9"/>
    <w:rsid w:val="00001056"/>
    <w:rsid w:val="000010E1"/>
    <w:rsid w:val="0000141E"/>
    <w:rsid w:val="00001439"/>
    <w:rsid w:val="00001441"/>
    <w:rsid w:val="00001474"/>
    <w:rsid w:val="000015C8"/>
    <w:rsid w:val="00001601"/>
    <w:rsid w:val="000016A8"/>
    <w:rsid w:val="000016B6"/>
    <w:rsid w:val="00001753"/>
    <w:rsid w:val="0000179C"/>
    <w:rsid w:val="00001814"/>
    <w:rsid w:val="000019BF"/>
    <w:rsid w:val="00001A6F"/>
    <w:rsid w:val="00001B10"/>
    <w:rsid w:val="00001B63"/>
    <w:rsid w:val="00001B94"/>
    <w:rsid w:val="00001D80"/>
    <w:rsid w:val="00001DA9"/>
    <w:rsid w:val="00001DD7"/>
    <w:rsid w:val="00001F3C"/>
    <w:rsid w:val="00001F6A"/>
    <w:rsid w:val="00001FF2"/>
    <w:rsid w:val="00002043"/>
    <w:rsid w:val="00002201"/>
    <w:rsid w:val="00002264"/>
    <w:rsid w:val="00002434"/>
    <w:rsid w:val="000026C3"/>
    <w:rsid w:val="000026D8"/>
    <w:rsid w:val="00002743"/>
    <w:rsid w:val="000028C9"/>
    <w:rsid w:val="000029C0"/>
    <w:rsid w:val="00002B55"/>
    <w:rsid w:val="00002B88"/>
    <w:rsid w:val="00002BDD"/>
    <w:rsid w:val="00002C18"/>
    <w:rsid w:val="00002F1A"/>
    <w:rsid w:val="00003106"/>
    <w:rsid w:val="000031F8"/>
    <w:rsid w:val="00003322"/>
    <w:rsid w:val="00003365"/>
    <w:rsid w:val="0000341A"/>
    <w:rsid w:val="0000346A"/>
    <w:rsid w:val="00003473"/>
    <w:rsid w:val="000035B5"/>
    <w:rsid w:val="000035FF"/>
    <w:rsid w:val="000036D2"/>
    <w:rsid w:val="0000370E"/>
    <w:rsid w:val="0000394F"/>
    <w:rsid w:val="000039B8"/>
    <w:rsid w:val="00003B46"/>
    <w:rsid w:val="00003B8C"/>
    <w:rsid w:val="00003B8F"/>
    <w:rsid w:val="00003C5D"/>
    <w:rsid w:val="00003D08"/>
    <w:rsid w:val="00003E65"/>
    <w:rsid w:val="00003EA0"/>
    <w:rsid w:val="00003FB2"/>
    <w:rsid w:val="00004068"/>
    <w:rsid w:val="0000413B"/>
    <w:rsid w:val="000041A6"/>
    <w:rsid w:val="0000462F"/>
    <w:rsid w:val="000047A9"/>
    <w:rsid w:val="000049B6"/>
    <w:rsid w:val="000049BE"/>
    <w:rsid w:val="00004A3B"/>
    <w:rsid w:val="00004ADB"/>
    <w:rsid w:val="00004AFB"/>
    <w:rsid w:val="00004E15"/>
    <w:rsid w:val="00004E8A"/>
    <w:rsid w:val="00005043"/>
    <w:rsid w:val="000050C5"/>
    <w:rsid w:val="000050C6"/>
    <w:rsid w:val="00005340"/>
    <w:rsid w:val="0000543B"/>
    <w:rsid w:val="000054CF"/>
    <w:rsid w:val="0000561A"/>
    <w:rsid w:val="0000566A"/>
    <w:rsid w:val="000056F9"/>
    <w:rsid w:val="00005763"/>
    <w:rsid w:val="00005840"/>
    <w:rsid w:val="0000591D"/>
    <w:rsid w:val="00005B20"/>
    <w:rsid w:val="00005B5A"/>
    <w:rsid w:val="00005B8A"/>
    <w:rsid w:val="00005CE2"/>
    <w:rsid w:val="00005CED"/>
    <w:rsid w:val="00005D42"/>
    <w:rsid w:val="00005E70"/>
    <w:rsid w:val="00005EB8"/>
    <w:rsid w:val="000061C7"/>
    <w:rsid w:val="000061EA"/>
    <w:rsid w:val="000061EC"/>
    <w:rsid w:val="0000626D"/>
    <w:rsid w:val="00006308"/>
    <w:rsid w:val="00006448"/>
    <w:rsid w:val="000064E1"/>
    <w:rsid w:val="0000651A"/>
    <w:rsid w:val="0000657C"/>
    <w:rsid w:val="000066DF"/>
    <w:rsid w:val="0000681A"/>
    <w:rsid w:val="00006861"/>
    <w:rsid w:val="00006975"/>
    <w:rsid w:val="000069BB"/>
    <w:rsid w:val="00006A34"/>
    <w:rsid w:val="00006C06"/>
    <w:rsid w:val="00006CA2"/>
    <w:rsid w:val="00006D24"/>
    <w:rsid w:val="00006DC5"/>
    <w:rsid w:val="00006E29"/>
    <w:rsid w:val="00006F9A"/>
    <w:rsid w:val="0000702E"/>
    <w:rsid w:val="00007030"/>
    <w:rsid w:val="00007081"/>
    <w:rsid w:val="000070CB"/>
    <w:rsid w:val="00007155"/>
    <w:rsid w:val="00007178"/>
    <w:rsid w:val="00007194"/>
    <w:rsid w:val="000071D7"/>
    <w:rsid w:val="00007216"/>
    <w:rsid w:val="00007291"/>
    <w:rsid w:val="000073CB"/>
    <w:rsid w:val="0000740E"/>
    <w:rsid w:val="0000743C"/>
    <w:rsid w:val="0000744E"/>
    <w:rsid w:val="00007468"/>
    <w:rsid w:val="000077B2"/>
    <w:rsid w:val="00007808"/>
    <w:rsid w:val="0000781F"/>
    <w:rsid w:val="000078B5"/>
    <w:rsid w:val="00007A1B"/>
    <w:rsid w:val="00007B79"/>
    <w:rsid w:val="00007DD8"/>
    <w:rsid w:val="00007DE1"/>
    <w:rsid w:val="000100D5"/>
    <w:rsid w:val="000100E3"/>
    <w:rsid w:val="00010140"/>
    <w:rsid w:val="0001018C"/>
    <w:rsid w:val="00010276"/>
    <w:rsid w:val="000106A7"/>
    <w:rsid w:val="00010815"/>
    <w:rsid w:val="0001091F"/>
    <w:rsid w:val="00010AF1"/>
    <w:rsid w:val="00010B3E"/>
    <w:rsid w:val="00010B43"/>
    <w:rsid w:val="00010B86"/>
    <w:rsid w:val="00010C62"/>
    <w:rsid w:val="00010C8A"/>
    <w:rsid w:val="00010DAF"/>
    <w:rsid w:val="00010E87"/>
    <w:rsid w:val="00010F37"/>
    <w:rsid w:val="0001110A"/>
    <w:rsid w:val="000111DC"/>
    <w:rsid w:val="000112D3"/>
    <w:rsid w:val="00011347"/>
    <w:rsid w:val="00011405"/>
    <w:rsid w:val="0001148C"/>
    <w:rsid w:val="000115A7"/>
    <w:rsid w:val="00011661"/>
    <w:rsid w:val="0001168C"/>
    <w:rsid w:val="000116D5"/>
    <w:rsid w:val="000116E5"/>
    <w:rsid w:val="0001182F"/>
    <w:rsid w:val="00011A60"/>
    <w:rsid w:val="00011B27"/>
    <w:rsid w:val="00011ECC"/>
    <w:rsid w:val="00011F91"/>
    <w:rsid w:val="00012027"/>
    <w:rsid w:val="0001208F"/>
    <w:rsid w:val="000120B6"/>
    <w:rsid w:val="00012173"/>
    <w:rsid w:val="000122A9"/>
    <w:rsid w:val="0001237C"/>
    <w:rsid w:val="000123A6"/>
    <w:rsid w:val="0001246A"/>
    <w:rsid w:val="000124DE"/>
    <w:rsid w:val="000125AB"/>
    <w:rsid w:val="00012729"/>
    <w:rsid w:val="00012740"/>
    <w:rsid w:val="0001281F"/>
    <w:rsid w:val="00012838"/>
    <w:rsid w:val="00012847"/>
    <w:rsid w:val="0001295D"/>
    <w:rsid w:val="00012CEC"/>
    <w:rsid w:val="00012D2C"/>
    <w:rsid w:val="00012D74"/>
    <w:rsid w:val="00012DB4"/>
    <w:rsid w:val="00012E36"/>
    <w:rsid w:val="00012EC1"/>
    <w:rsid w:val="00012F47"/>
    <w:rsid w:val="00013007"/>
    <w:rsid w:val="00013124"/>
    <w:rsid w:val="000131CA"/>
    <w:rsid w:val="0001323D"/>
    <w:rsid w:val="000133B2"/>
    <w:rsid w:val="0001341F"/>
    <w:rsid w:val="0001350A"/>
    <w:rsid w:val="00013649"/>
    <w:rsid w:val="000136C8"/>
    <w:rsid w:val="00013942"/>
    <w:rsid w:val="00013A2E"/>
    <w:rsid w:val="00013A38"/>
    <w:rsid w:val="00013C06"/>
    <w:rsid w:val="00013C41"/>
    <w:rsid w:val="00013D10"/>
    <w:rsid w:val="00013D35"/>
    <w:rsid w:val="00013E13"/>
    <w:rsid w:val="00013F0B"/>
    <w:rsid w:val="0001400A"/>
    <w:rsid w:val="0001409A"/>
    <w:rsid w:val="000140D1"/>
    <w:rsid w:val="0001413B"/>
    <w:rsid w:val="00014190"/>
    <w:rsid w:val="000141C0"/>
    <w:rsid w:val="0001425D"/>
    <w:rsid w:val="0001427C"/>
    <w:rsid w:val="00014393"/>
    <w:rsid w:val="00014549"/>
    <w:rsid w:val="000146F9"/>
    <w:rsid w:val="00014BBB"/>
    <w:rsid w:val="00014CDB"/>
    <w:rsid w:val="00014D7B"/>
    <w:rsid w:val="00014F25"/>
    <w:rsid w:val="00014FA6"/>
    <w:rsid w:val="00014FCA"/>
    <w:rsid w:val="000150CF"/>
    <w:rsid w:val="00015116"/>
    <w:rsid w:val="000154A1"/>
    <w:rsid w:val="000154A7"/>
    <w:rsid w:val="00015768"/>
    <w:rsid w:val="00015800"/>
    <w:rsid w:val="000159E7"/>
    <w:rsid w:val="000159F4"/>
    <w:rsid w:val="00015BA7"/>
    <w:rsid w:val="00015BE0"/>
    <w:rsid w:val="00015C8F"/>
    <w:rsid w:val="00015D22"/>
    <w:rsid w:val="00015E67"/>
    <w:rsid w:val="00015EA5"/>
    <w:rsid w:val="00015FA4"/>
    <w:rsid w:val="000164BC"/>
    <w:rsid w:val="000167E5"/>
    <w:rsid w:val="00016A56"/>
    <w:rsid w:val="00016B8E"/>
    <w:rsid w:val="00016C5B"/>
    <w:rsid w:val="00016D34"/>
    <w:rsid w:val="00016E28"/>
    <w:rsid w:val="00016EBB"/>
    <w:rsid w:val="00016F33"/>
    <w:rsid w:val="00016FE8"/>
    <w:rsid w:val="0001715D"/>
    <w:rsid w:val="000175D8"/>
    <w:rsid w:val="0001763F"/>
    <w:rsid w:val="00017690"/>
    <w:rsid w:val="00017769"/>
    <w:rsid w:val="000177B8"/>
    <w:rsid w:val="00017980"/>
    <w:rsid w:val="00017A1F"/>
    <w:rsid w:val="00017AED"/>
    <w:rsid w:val="00017B1C"/>
    <w:rsid w:val="00017D24"/>
    <w:rsid w:val="00017DA5"/>
    <w:rsid w:val="00017E35"/>
    <w:rsid w:val="00017E43"/>
    <w:rsid w:val="00017E4B"/>
    <w:rsid w:val="000200E3"/>
    <w:rsid w:val="000201D9"/>
    <w:rsid w:val="00020233"/>
    <w:rsid w:val="0002030C"/>
    <w:rsid w:val="00020320"/>
    <w:rsid w:val="0002056A"/>
    <w:rsid w:val="00020594"/>
    <w:rsid w:val="000205F8"/>
    <w:rsid w:val="00020763"/>
    <w:rsid w:val="00020777"/>
    <w:rsid w:val="0002078F"/>
    <w:rsid w:val="000207F6"/>
    <w:rsid w:val="0002082A"/>
    <w:rsid w:val="00020893"/>
    <w:rsid w:val="0002092F"/>
    <w:rsid w:val="00020C28"/>
    <w:rsid w:val="00020ED2"/>
    <w:rsid w:val="00020FDD"/>
    <w:rsid w:val="0002118D"/>
    <w:rsid w:val="00021262"/>
    <w:rsid w:val="00021491"/>
    <w:rsid w:val="000215AA"/>
    <w:rsid w:val="0002173E"/>
    <w:rsid w:val="00021817"/>
    <w:rsid w:val="00021943"/>
    <w:rsid w:val="00021A5C"/>
    <w:rsid w:val="00021AFD"/>
    <w:rsid w:val="00021C0E"/>
    <w:rsid w:val="00021CBA"/>
    <w:rsid w:val="00021D16"/>
    <w:rsid w:val="00021F16"/>
    <w:rsid w:val="00021FF8"/>
    <w:rsid w:val="000220BD"/>
    <w:rsid w:val="000220C0"/>
    <w:rsid w:val="00022139"/>
    <w:rsid w:val="0002238F"/>
    <w:rsid w:val="000223BD"/>
    <w:rsid w:val="0002245C"/>
    <w:rsid w:val="00022533"/>
    <w:rsid w:val="000225F3"/>
    <w:rsid w:val="0002272A"/>
    <w:rsid w:val="00022737"/>
    <w:rsid w:val="00022833"/>
    <w:rsid w:val="00022857"/>
    <w:rsid w:val="00022868"/>
    <w:rsid w:val="00022927"/>
    <w:rsid w:val="00022A82"/>
    <w:rsid w:val="00022AD9"/>
    <w:rsid w:val="00022B23"/>
    <w:rsid w:val="00022B88"/>
    <w:rsid w:val="00022C63"/>
    <w:rsid w:val="00022CA0"/>
    <w:rsid w:val="00022E58"/>
    <w:rsid w:val="00022E62"/>
    <w:rsid w:val="00022EC5"/>
    <w:rsid w:val="00022F44"/>
    <w:rsid w:val="00022F67"/>
    <w:rsid w:val="00023011"/>
    <w:rsid w:val="00023021"/>
    <w:rsid w:val="00023102"/>
    <w:rsid w:val="0002314E"/>
    <w:rsid w:val="00023423"/>
    <w:rsid w:val="000234B0"/>
    <w:rsid w:val="00023659"/>
    <w:rsid w:val="000236C7"/>
    <w:rsid w:val="00023942"/>
    <w:rsid w:val="00023A0B"/>
    <w:rsid w:val="00023A61"/>
    <w:rsid w:val="00023AA8"/>
    <w:rsid w:val="00023AB0"/>
    <w:rsid w:val="00023B44"/>
    <w:rsid w:val="00023BDE"/>
    <w:rsid w:val="00023C50"/>
    <w:rsid w:val="00023D7F"/>
    <w:rsid w:val="00023FC7"/>
    <w:rsid w:val="000240CC"/>
    <w:rsid w:val="00024105"/>
    <w:rsid w:val="0002423F"/>
    <w:rsid w:val="000245C2"/>
    <w:rsid w:val="00024823"/>
    <w:rsid w:val="0002482C"/>
    <w:rsid w:val="00024BB1"/>
    <w:rsid w:val="00024C4A"/>
    <w:rsid w:val="00024C75"/>
    <w:rsid w:val="00024D27"/>
    <w:rsid w:val="00024E47"/>
    <w:rsid w:val="00024F48"/>
    <w:rsid w:val="0002508A"/>
    <w:rsid w:val="00025226"/>
    <w:rsid w:val="00025231"/>
    <w:rsid w:val="0002526C"/>
    <w:rsid w:val="0002534C"/>
    <w:rsid w:val="000254B3"/>
    <w:rsid w:val="0002568A"/>
    <w:rsid w:val="00025756"/>
    <w:rsid w:val="00025782"/>
    <w:rsid w:val="00025798"/>
    <w:rsid w:val="00025804"/>
    <w:rsid w:val="00025811"/>
    <w:rsid w:val="00025887"/>
    <w:rsid w:val="000258C5"/>
    <w:rsid w:val="000258D3"/>
    <w:rsid w:val="00025A31"/>
    <w:rsid w:val="00025A80"/>
    <w:rsid w:val="00025C99"/>
    <w:rsid w:val="00025D45"/>
    <w:rsid w:val="00025FAF"/>
    <w:rsid w:val="000261F7"/>
    <w:rsid w:val="00026230"/>
    <w:rsid w:val="000262C8"/>
    <w:rsid w:val="000262D7"/>
    <w:rsid w:val="000262E4"/>
    <w:rsid w:val="000262F1"/>
    <w:rsid w:val="0002643C"/>
    <w:rsid w:val="0002658E"/>
    <w:rsid w:val="00026683"/>
    <w:rsid w:val="0002682E"/>
    <w:rsid w:val="0002693E"/>
    <w:rsid w:val="00026AD5"/>
    <w:rsid w:val="00026C5B"/>
    <w:rsid w:val="00026F28"/>
    <w:rsid w:val="00026F52"/>
    <w:rsid w:val="00027009"/>
    <w:rsid w:val="000270B9"/>
    <w:rsid w:val="0002734B"/>
    <w:rsid w:val="0002740E"/>
    <w:rsid w:val="0002745A"/>
    <w:rsid w:val="00027500"/>
    <w:rsid w:val="000275DE"/>
    <w:rsid w:val="0002775C"/>
    <w:rsid w:val="00027A2A"/>
    <w:rsid w:val="00027A44"/>
    <w:rsid w:val="00027CAF"/>
    <w:rsid w:val="00027D0D"/>
    <w:rsid w:val="00027E70"/>
    <w:rsid w:val="00027F32"/>
    <w:rsid w:val="0003003E"/>
    <w:rsid w:val="0003017A"/>
    <w:rsid w:val="000301B6"/>
    <w:rsid w:val="00030655"/>
    <w:rsid w:val="000306A3"/>
    <w:rsid w:val="00030792"/>
    <w:rsid w:val="00030811"/>
    <w:rsid w:val="000308DC"/>
    <w:rsid w:val="00030949"/>
    <w:rsid w:val="00030F2E"/>
    <w:rsid w:val="00030F9B"/>
    <w:rsid w:val="00030FED"/>
    <w:rsid w:val="00031003"/>
    <w:rsid w:val="0003107C"/>
    <w:rsid w:val="000310C1"/>
    <w:rsid w:val="00031388"/>
    <w:rsid w:val="000313DA"/>
    <w:rsid w:val="00031506"/>
    <w:rsid w:val="0003162E"/>
    <w:rsid w:val="00031661"/>
    <w:rsid w:val="00031751"/>
    <w:rsid w:val="0003181E"/>
    <w:rsid w:val="00031850"/>
    <w:rsid w:val="000319F9"/>
    <w:rsid w:val="00031A6F"/>
    <w:rsid w:val="00031AE7"/>
    <w:rsid w:val="00031B72"/>
    <w:rsid w:val="00031CD2"/>
    <w:rsid w:val="00031F97"/>
    <w:rsid w:val="000321DB"/>
    <w:rsid w:val="00032342"/>
    <w:rsid w:val="000323A7"/>
    <w:rsid w:val="000323F4"/>
    <w:rsid w:val="00032410"/>
    <w:rsid w:val="0003248C"/>
    <w:rsid w:val="00032633"/>
    <w:rsid w:val="000326DA"/>
    <w:rsid w:val="000327EB"/>
    <w:rsid w:val="0003284C"/>
    <w:rsid w:val="00032932"/>
    <w:rsid w:val="00032973"/>
    <w:rsid w:val="00032B5F"/>
    <w:rsid w:val="00032BFF"/>
    <w:rsid w:val="0003306B"/>
    <w:rsid w:val="000331E2"/>
    <w:rsid w:val="000332FB"/>
    <w:rsid w:val="000335C3"/>
    <w:rsid w:val="000335E6"/>
    <w:rsid w:val="000339EB"/>
    <w:rsid w:val="00033A25"/>
    <w:rsid w:val="00033A90"/>
    <w:rsid w:val="00033C03"/>
    <w:rsid w:val="00033D16"/>
    <w:rsid w:val="00033D6E"/>
    <w:rsid w:val="00033DCD"/>
    <w:rsid w:val="00033F73"/>
    <w:rsid w:val="00034005"/>
    <w:rsid w:val="000340B7"/>
    <w:rsid w:val="00034144"/>
    <w:rsid w:val="000343D8"/>
    <w:rsid w:val="000343E6"/>
    <w:rsid w:val="00034510"/>
    <w:rsid w:val="000345C3"/>
    <w:rsid w:val="0003484A"/>
    <w:rsid w:val="00034908"/>
    <w:rsid w:val="00034993"/>
    <w:rsid w:val="00034A13"/>
    <w:rsid w:val="00034A2B"/>
    <w:rsid w:val="00034C81"/>
    <w:rsid w:val="00034F66"/>
    <w:rsid w:val="00034F82"/>
    <w:rsid w:val="00034FEF"/>
    <w:rsid w:val="00034FF3"/>
    <w:rsid w:val="00035068"/>
    <w:rsid w:val="000350BD"/>
    <w:rsid w:val="0003514E"/>
    <w:rsid w:val="0003515F"/>
    <w:rsid w:val="000351F3"/>
    <w:rsid w:val="000352B7"/>
    <w:rsid w:val="00035385"/>
    <w:rsid w:val="000353DC"/>
    <w:rsid w:val="0003549B"/>
    <w:rsid w:val="00035634"/>
    <w:rsid w:val="00035788"/>
    <w:rsid w:val="00035838"/>
    <w:rsid w:val="00035869"/>
    <w:rsid w:val="0003593E"/>
    <w:rsid w:val="000359DC"/>
    <w:rsid w:val="00035A2E"/>
    <w:rsid w:val="00035AA3"/>
    <w:rsid w:val="00035AB5"/>
    <w:rsid w:val="00035C5F"/>
    <w:rsid w:val="00035C8F"/>
    <w:rsid w:val="00035D84"/>
    <w:rsid w:val="000360E5"/>
    <w:rsid w:val="0003613C"/>
    <w:rsid w:val="00036363"/>
    <w:rsid w:val="00036419"/>
    <w:rsid w:val="000364A2"/>
    <w:rsid w:val="0003650E"/>
    <w:rsid w:val="00036545"/>
    <w:rsid w:val="0003661D"/>
    <w:rsid w:val="00036716"/>
    <w:rsid w:val="00036853"/>
    <w:rsid w:val="00036904"/>
    <w:rsid w:val="0003694D"/>
    <w:rsid w:val="00036A16"/>
    <w:rsid w:val="00036B48"/>
    <w:rsid w:val="00036BF6"/>
    <w:rsid w:val="00036C54"/>
    <w:rsid w:val="00036D02"/>
    <w:rsid w:val="0003705F"/>
    <w:rsid w:val="000373CD"/>
    <w:rsid w:val="00037689"/>
    <w:rsid w:val="00037702"/>
    <w:rsid w:val="00037773"/>
    <w:rsid w:val="0003779A"/>
    <w:rsid w:val="00037926"/>
    <w:rsid w:val="00037977"/>
    <w:rsid w:val="00037B59"/>
    <w:rsid w:val="00037B7A"/>
    <w:rsid w:val="00037BCB"/>
    <w:rsid w:val="00037DCC"/>
    <w:rsid w:val="00037E49"/>
    <w:rsid w:val="00037EAB"/>
    <w:rsid w:val="00037EC9"/>
    <w:rsid w:val="00037F63"/>
    <w:rsid w:val="00037F79"/>
    <w:rsid w:val="00040218"/>
    <w:rsid w:val="000404F7"/>
    <w:rsid w:val="0004054D"/>
    <w:rsid w:val="0004088D"/>
    <w:rsid w:val="00040898"/>
    <w:rsid w:val="000408EB"/>
    <w:rsid w:val="00040A84"/>
    <w:rsid w:val="00040B9A"/>
    <w:rsid w:val="00040D65"/>
    <w:rsid w:val="00040EED"/>
    <w:rsid w:val="00041179"/>
    <w:rsid w:val="00041270"/>
    <w:rsid w:val="000412A3"/>
    <w:rsid w:val="000415A1"/>
    <w:rsid w:val="000416C3"/>
    <w:rsid w:val="00041863"/>
    <w:rsid w:val="000418DF"/>
    <w:rsid w:val="0004193F"/>
    <w:rsid w:val="00041AE5"/>
    <w:rsid w:val="00041B23"/>
    <w:rsid w:val="00041B44"/>
    <w:rsid w:val="00041B63"/>
    <w:rsid w:val="00041C64"/>
    <w:rsid w:val="00041E5C"/>
    <w:rsid w:val="00041F30"/>
    <w:rsid w:val="00041FDA"/>
    <w:rsid w:val="0004208C"/>
    <w:rsid w:val="000420DB"/>
    <w:rsid w:val="0004215B"/>
    <w:rsid w:val="00042198"/>
    <w:rsid w:val="00042246"/>
    <w:rsid w:val="00042286"/>
    <w:rsid w:val="00042365"/>
    <w:rsid w:val="0004256A"/>
    <w:rsid w:val="0004258B"/>
    <w:rsid w:val="000425D6"/>
    <w:rsid w:val="000425F8"/>
    <w:rsid w:val="00042765"/>
    <w:rsid w:val="00042770"/>
    <w:rsid w:val="000428E8"/>
    <w:rsid w:val="00042A0D"/>
    <w:rsid w:val="00042A6A"/>
    <w:rsid w:val="00042B53"/>
    <w:rsid w:val="00042D29"/>
    <w:rsid w:val="00042D3B"/>
    <w:rsid w:val="000430E7"/>
    <w:rsid w:val="000431E5"/>
    <w:rsid w:val="00043254"/>
    <w:rsid w:val="000432C7"/>
    <w:rsid w:val="0004344F"/>
    <w:rsid w:val="0004346E"/>
    <w:rsid w:val="000435BF"/>
    <w:rsid w:val="00043630"/>
    <w:rsid w:val="000437FA"/>
    <w:rsid w:val="00043815"/>
    <w:rsid w:val="000439EE"/>
    <w:rsid w:val="00043A0E"/>
    <w:rsid w:val="00043A83"/>
    <w:rsid w:val="00043C73"/>
    <w:rsid w:val="000440B9"/>
    <w:rsid w:val="0004413E"/>
    <w:rsid w:val="000441CF"/>
    <w:rsid w:val="0004432D"/>
    <w:rsid w:val="000445A5"/>
    <w:rsid w:val="000446BE"/>
    <w:rsid w:val="00044886"/>
    <w:rsid w:val="000448C5"/>
    <w:rsid w:val="00044909"/>
    <w:rsid w:val="00044930"/>
    <w:rsid w:val="00044945"/>
    <w:rsid w:val="00044954"/>
    <w:rsid w:val="00044A09"/>
    <w:rsid w:val="00044AD6"/>
    <w:rsid w:val="00044C09"/>
    <w:rsid w:val="00044C41"/>
    <w:rsid w:val="00044E9B"/>
    <w:rsid w:val="00044F44"/>
    <w:rsid w:val="000450E4"/>
    <w:rsid w:val="00045154"/>
    <w:rsid w:val="00045283"/>
    <w:rsid w:val="00045303"/>
    <w:rsid w:val="0004531A"/>
    <w:rsid w:val="00045565"/>
    <w:rsid w:val="000455B9"/>
    <w:rsid w:val="00045605"/>
    <w:rsid w:val="00045636"/>
    <w:rsid w:val="000456A6"/>
    <w:rsid w:val="00045884"/>
    <w:rsid w:val="000459F3"/>
    <w:rsid w:val="00045B22"/>
    <w:rsid w:val="00045C4B"/>
    <w:rsid w:val="00045CC6"/>
    <w:rsid w:val="00045D49"/>
    <w:rsid w:val="00045DAA"/>
    <w:rsid w:val="00045E7D"/>
    <w:rsid w:val="00045E89"/>
    <w:rsid w:val="00045EB9"/>
    <w:rsid w:val="00045EF3"/>
    <w:rsid w:val="00045F2F"/>
    <w:rsid w:val="00046053"/>
    <w:rsid w:val="000460C3"/>
    <w:rsid w:val="0004610F"/>
    <w:rsid w:val="00046224"/>
    <w:rsid w:val="00046259"/>
    <w:rsid w:val="00046344"/>
    <w:rsid w:val="00046394"/>
    <w:rsid w:val="00046571"/>
    <w:rsid w:val="00046817"/>
    <w:rsid w:val="0004698C"/>
    <w:rsid w:val="00046A88"/>
    <w:rsid w:val="00046AA0"/>
    <w:rsid w:val="00046D8F"/>
    <w:rsid w:val="00046EF2"/>
    <w:rsid w:val="00046F0C"/>
    <w:rsid w:val="00046FEF"/>
    <w:rsid w:val="000470B2"/>
    <w:rsid w:val="000470DA"/>
    <w:rsid w:val="000471B0"/>
    <w:rsid w:val="000471C5"/>
    <w:rsid w:val="00047291"/>
    <w:rsid w:val="00047358"/>
    <w:rsid w:val="0004741C"/>
    <w:rsid w:val="000474E3"/>
    <w:rsid w:val="0004751A"/>
    <w:rsid w:val="00047690"/>
    <w:rsid w:val="000477BD"/>
    <w:rsid w:val="000477E7"/>
    <w:rsid w:val="00047807"/>
    <w:rsid w:val="00047B50"/>
    <w:rsid w:val="00047B6E"/>
    <w:rsid w:val="00047D03"/>
    <w:rsid w:val="00047E5D"/>
    <w:rsid w:val="00047E86"/>
    <w:rsid w:val="0004E685"/>
    <w:rsid w:val="0005004F"/>
    <w:rsid w:val="0005017F"/>
    <w:rsid w:val="000501D9"/>
    <w:rsid w:val="0005024F"/>
    <w:rsid w:val="000502EE"/>
    <w:rsid w:val="00050585"/>
    <w:rsid w:val="0005067A"/>
    <w:rsid w:val="00050687"/>
    <w:rsid w:val="000507CD"/>
    <w:rsid w:val="00050B9E"/>
    <w:rsid w:val="00050C4D"/>
    <w:rsid w:val="00050D59"/>
    <w:rsid w:val="0005128E"/>
    <w:rsid w:val="00051593"/>
    <w:rsid w:val="000515CD"/>
    <w:rsid w:val="000516A0"/>
    <w:rsid w:val="00051A5B"/>
    <w:rsid w:val="00051A78"/>
    <w:rsid w:val="00051B56"/>
    <w:rsid w:val="00051C12"/>
    <w:rsid w:val="00051D8D"/>
    <w:rsid w:val="00051EBA"/>
    <w:rsid w:val="00051F47"/>
    <w:rsid w:val="000520AC"/>
    <w:rsid w:val="000522C2"/>
    <w:rsid w:val="000524ED"/>
    <w:rsid w:val="00052510"/>
    <w:rsid w:val="00052699"/>
    <w:rsid w:val="00052758"/>
    <w:rsid w:val="000528A6"/>
    <w:rsid w:val="00052CF8"/>
    <w:rsid w:val="00052D18"/>
    <w:rsid w:val="00052D6D"/>
    <w:rsid w:val="00052D78"/>
    <w:rsid w:val="00052E02"/>
    <w:rsid w:val="00052F4E"/>
    <w:rsid w:val="00052F9B"/>
    <w:rsid w:val="00053088"/>
    <w:rsid w:val="0005331C"/>
    <w:rsid w:val="000534A2"/>
    <w:rsid w:val="00053516"/>
    <w:rsid w:val="0005369E"/>
    <w:rsid w:val="000536DD"/>
    <w:rsid w:val="00053A8C"/>
    <w:rsid w:val="00053C01"/>
    <w:rsid w:val="00053CA2"/>
    <w:rsid w:val="00053D28"/>
    <w:rsid w:val="00053E06"/>
    <w:rsid w:val="00053E08"/>
    <w:rsid w:val="00053E41"/>
    <w:rsid w:val="000540D2"/>
    <w:rsid w:val="000540F3"/>
    <w:rsid w:val="000541A6"/>
    <w:rsid w:val="0005431D"/>
    <w:rsid w:val="00054382"/>
    <w:rsid w:val="0005448D"/>
    <w:rsid w:val="0005454E"/>
    <w:rsid w:val="00054569"/>
    <w:rsid w:val="00054785"/>
    <w:rsid w:val="0005496E"/>
    <w:rsid w:val="00054B57"/>
    <w:rsid w:val="00054B6C"/>
    <w:rsid w:val="00054D93"/>
    <w:rsid w:val="00054E48"/>
    <w:rsid w:val="00054E94"/>
    <w:rsid w:val="00055013"/>
    <w:rsid w:val="00055051"/>
    <w:rsid w:val="0005513D"/>
    <w:rsid w:val="0005528A"/>
    <w:rsid w:val="0005548F"/>
    <w:rsid w:val="00055520"/>
    <w:rsid w:val="00055741"/>
    <w:rsid w:val="00055780"/>
    <w:rsid w:val="00055833"/>
    <w:rsid w:val="00055846"/>
    <w:rsid w:val="00055871"/>
    <w:rsid w:val="0005591D"/>
    <w:rsid w:val="0005597F"/>
    <w:rsid w:val="000559B6"/>
    <w:rsid w:val="000559C9"/>
    <w:rsid w:val="000559D1"/>
    <w:rsid w:val="00055A3E"/>
    <w:rsid w:val="00055AB4"/>
    <w:rsid w:val="00055B70"/>
    <w:rsid w:val="00055BBA"/>
    <w:rsid w:val="00055C8B"/>
    <w:rsid w:val="00055D45"/>
    <w:rsid w:val="00055DA3"/>
    <w:rsid w:val="00055ED3"/>
    <w:rsid w:val="00055F09"/>
    <w:rsid w:val="00055FF9"/>
    <w:rsid w:val="0005600F"/>
    <w:rsid w:val="00056029"/>
    <w:rsid w:val="00056120"/>
    <w:rsid w:val="00056182"/>
    <w:rsid w:val="000561D7"/>
    <w:rsid w:val="00056330"/>
    <w:rsid w:val="0005635F"/>
    <w:rsid w:val="000563A7"/>
    <w:rsid w:val="00056420"/>
    <w:rsid w:val="000564BE"/>
    <w:rsid w:val="00056A50"/>
    <w:rsid w:val="00056A7F"/>
    <w:rsid w:val="00056B0E"/>
    <w:rsid w:val="00056B4A"/>
    <w:rsid w:val="00056B5A"/>
    <w:rsid w:val="00056B61"/>
    <w:rsid w:val="00056BCC"/>
    <w:rsid w:val="00056CEB"/>
    <w:rsid w:val="00056E5A"/>
    <w:rsid w:val="00056E5E"/>
    <w:rsid w:val="00056EFA"/>
    <w:rsid w:val="00056F29"/>
    <w:rsid w:val="00056FA1"/>
    <w:rsid w:val="000572E6"/>
    <w:rsid w:val="0005735F"/>
    <w:rsid w:val="000573E7"/>
    <w:rsid w:val="000574E4"/>
    <w:rsid w:val="00057552"/>
    <w:rsid w:val="0005760E"/>
    <w:rsid w:val="00057646"/>
    <w:rsid w:val="000576C8"/>
    <w:rsid w:val="000577F7"/>
    <w:rsid w:val="000578FB"/>
    <w:rsid w:val="00057924"/>
    <w:rsid w:val="00057B35"/>
    <w:rsid w:val="00057B83"/>
    <w:rsid w:val="00057C6A"/>
    <w:rsid w:val="00057E4B"/>
    <w:rsid w:val="00057F02"/>
    <w:rsid w:val="00057F09"/>
    <w:rsid w:val="00060024"/>
    <w:rsid w:val="000600E8"/>
    <w:rsid w:val="00060120"/>
    <w:rsid w:val="00060156"/>
    <w:rsid w:val="0006019E"/>
    <w:rsid w:val="00060277"/>
    <w:rsid w:val="00060305"/>
    <w:rsid w:val="00060339"/>
    <w:rsid w:val="0006038B"/>
    <w:rsid w:val="000603D3"/>
    <w:rsid w:val="000603FC"/>
    <w:rsid w:val="0006040A"/>
    <w:rsid w:val="00060463"/>
    <w:rsid w:val="00060475"/>
    <w:rsid w:val="00060577"/>
    <w:rsid w:val="00060588"/>
    <w:rsid w:val="0006061A"/>
    <w:rsid w:val="00060705"/>
    <w:rsid w:val="000607D3"/>
    <w:rsid w:val="000608A7"/>
    <w:rsid w:val="000608A9"/>
    <w:rsid w:val="000609E1"/>
    <w:rsid w:val="00060A56"/>
    <w:rsid w:val="00060B3E"/>
    <w:rsid w:val="00060F11"/>
    <w:rsid w:val="00060F35"/>
    <w:rsid w:val="00061316"/>
    <w:rsid w:val="0006133F"/>
    <w:rsid w:val="00061346"/>
    <w:rsid w:val="00061476"/>
    <w:rsid w:val="000618EE"/>
    <w:rsid w:val="0006198A"/>
    <w:rsid w:val="00061A0A"/>
    <w:rsid w:val="00061A13"/>
    <w:rsid w:val="00061C39"/>
    <w:rsid w:val="00061CFF"/>
    <w:rsid w:val="00061E8C"/>
    <w:rsid w:val="00061F59"/>
    <w:rsid w:val="000621EC"/>
    <w:rsid w:val="00062214"/>
    <w:rsid w:val="00062285"/>
    <w:rsid w:val="000624A7"/>
    <w:rsid w:val="000625A6"/>
    <w:rsid w:val="000625C0"/>
    <w:rsid w:val="000626E1"/>
    <w:rsid w:val="0006294C"/>
    <w:rsid w:val="00062A32"/>
    <w:rsid w:val="00062AC0"/>
    <w:rsid w:val="00062C40"/>
    <w:rsid w:val="00062C77"/>
    <w:rsid w:val="00062D16"/>
    <w:rsid w:val="00062D2D"/>
    <w:rsid w:val="00062E1E"/>
    <w:rsid w:val="00062E5B"/>
    <w:rsid w:val="00062F76"/>
    <w:rsid w:val="00062FC4"/>
    <w:rsid w:val="00063015"/>
    <w:rsid w:val="0006307B"/>
    <w:rsid w:val="000633B7"/>
    <w:rsid w:val="00063409"/>
    <w:rsid w:val="00063412"/>
    <w:rsid w:val="000634ED"/>
    <w:rsid w:val="00063729"/>
    <w:rsid w:val="00063923"/>
    <w:rsid w:val="00063967"/>
    <w:rsid w:val="00063A0B"/>
    <w:rsid w:val="00063A64"/>
    <w:rsid w:val="00063B7D"/>
    <w:rsid w:val="00063C53"/>
    <w:rsid w:val="00063C89"/>
    <w:rsid w:val="00064006"/>
    <w:rsid w:val="00064142"/>
    <w:rsid w:val="00064150"/>
    <w:rsid w:val="0006416F"/>
    <w:rsid w:val="000641DE"/>
    <w:rsid w:val="000641FD"/>
    <w:rsid w:val="0006455D"/>
    <w:rsid w:val="0006457C"/>
    <w:rsid w:val="0006465B"/>
    <w:rsid w:val="00064780"/>
    <w:rsid w:val="000647AD"/>
    <w:rsid w:val="000649D8"/>
    <w:rsid w:val="00064A6C"/>
    <w:rsid w:val="00064B81"/>
    <w:rsid w:val="00064DD2"/>
    <w:rsid w:val="00064FDA"/>
    <w:rsid w:val="0006505F"/>
    <w:rsid w:val="00065093"/>
    <w:rsid w:val="00065299"/>
    <w:rsid w:val="0006537D"/>
    <w:rsid w:val="00065389"/>
    <w:rsid w:val="000653E9"/>
    <w:rsid w:val="000653F3"/>
    <w:rsid w:val="00065521"/>
    <w:rsid w:val="00065544"/>
    <w:rsid w:val="00065670"/>
    <w:rsid w:val="000656FD"/>
    <w:rsid w:val="00065C67"/>
    <w:rsid w:val="00065CF3"/>
    <w:rsid w:val="00065D05"/>
    <w:rsid w:val="00065D6D"/>
    <w:rsid w:val="00065F3B"/>
    <w:rsid w:val="0006627F"/>
    <w:rsid w:val="00066468"/>
    <w:rsid w:val="000664EC"/>
    <w:rsid w:val="00066544"/>
    <w:rsid w:val="000666C2"/>
    <w:rsid w:val="0006671F"/>
    <w:rsid w:val="00066841"/>
    <w:rsid w:val="00066853"/>
    <w:rsid w:val="0006685F"/>
    <w:rsid w:val="000668CC"/>
    <w:rsid w:val="00066909"/>
    <w:rsid w:val="000669ED"/>
    <w:rsid w:val="00066B3F"/>
    <w:rsid w:val="00066D02"/>
    <w:rsid w:val="00066E1F"/>
    <w:rsid w:val="00066F8C"/>
    <w:rsid w:val="000671D5"/>
    <w:rsid w:val="00067483"/>
    <w:rsid w:val="000674D8"/>
    <w:rsid w:val="000674F6"/>
    <w:rsid w:val="00067808"/>
    <w:rsid w:val="00067839"/>
    <w:rsid w:val="0006794B"/>
    <w:rsid w:val="0006796C"/>
    <w:rsid w:val="000679D1"/>
    <w:rsid w:val="00067A66"/>
    <w:rsid w:val="00067A6D"/>
    <w:rsid w:val="00067AAE"/>
    <w:rsid w:val="00067AF7"/>
    <w:rsid w:val="00067BA0"/>
    <w:rsid w:val="00067D01"/>
    <w:rsid w:val="00067E0B"/>
    <w:rsid w:val="00067F79"/>
    <w:rsid w:val="00070146"/>
    <w:rsid w:val="000702D8"/>
    <w:rsid w:val="00070318"/>
    <w:rsid w:val="00070434"/>
    <w:rsid w:val="0007043C"/>
    <w:rsid w:val="000704EF"/>
    <w:rsid w:val="0007054B"/>
    <w:rsid w:val="0007055C"/>
    <w:rsid w:val="0007057E"/>
    <w:rsid w:val="00070972"/>
    <w:rsid w:val="00070AF5"/>
    <w:rsid w:val="00070C9B"/>
    <w:rsid w:val="00070ED5"/>
    <w:rsid w:val="00070EDB"/>
    <w:rsid w:val="00071172"/>
    <w:rsid w:val="00071247"/>
    <w:rsid w:val="000712DE"/>
    <w:rsid w:val="00071393"/>
    <w:rsid w:val="000718E5"/>
    <w:rsid w:val="00071A3B"/>
    <w:rsid w:val="00071A8C"/>
    <w:rsid w:val="00071DBF"/>
    <w:rsid w:val="00071E60"/>
    <w:rsid w:val="00071F65"/>
    <w:rsid w:val="00071F6E"/>
    <w:rsid w:val="0007216A"/>
    <w:rsid w:val="000721A3"/>
    <w:rsid w:val="0007227A"/>
    <w:rsid w:val="00072289"/>
    <w:rsid w:val="000722D4"/>
    <w:rsid w:val="000722FA"/>
    <w:rsid w:val="0007238C"/>
    <w:rsid w:val="00072447"/>
    <w:rsid w:val="00072856"/>
    <w:rsid w:val="00072A09"/>
    <w:rsid w:val="00072B8D"/>
    <w:rsid w:val="00072CBE"/>
    <w:rsid w:val="00072D47"/>
    <w:rsid w:val="00072E4D"/>
    <w:rsid w:val="00072F43"/>
    <w:rsid w:val="00072FE3"/>
    <w:rsid w:val="000730BF"/>
    <w:rsid w:val="0007312C"/>
    <w:rsid w:val="00073378"/>
    <w:rsid w:val="0007339D"/>
    <w:rsid w:val="00073688"/>
    <w:rsid w:val="000736CA"/>
    <w:rsid w:val="00073728"/>
    <w:rsid w:val="00073732"/>
    <w:rsid w:val="00073984"/>
    <w:rsid w:val="00073A7C"/>
    <w:rsid w:val="00073B14"/>
    <w:rsid w:val="00073C5A"/>
    <w:rsid w:val="00073D06"/>
    <w:rsid w:val="00073D60"/>
    <w:rsid w:val="00073D8D"/>
    <w:rsid w:val="00073D96"/>
    <w:rsid w:val="00073DD8"/>
    <w:rsid w:val="00073E7B"/>
    <w:rsid w:val="00073F16"/>
    <w:rsid w:val="00074048"/>
    <w:rsid w:val="0007416E"/>
    <w:rsid w:val="000741A2"/>
    <w:rsid w:val="000741C8"/>
    <w:rsid w:val="00074213"/>
    <w:rsid w:val="00074222"/>
    <w:rsid w:val="000742B6"/>
    <w:rsid w:val="000743EA"/>
    <w:rsid w:val="00074517"/>
    <w:rsid w:val="0007454F"/>
    <w:rsid w:val="000745DF"/>
    <w:rsid w:val="00074992"/>
    <w:rsid w:val="0007499C"/>
    <w:rsid w:val="00074C4B"/>
    <w:rsid w:val="00074D3B"/>
    <w:rsid w:val="00074D4F"/>
    <w:rsid w:val="00074DC0"/>
    <w:rsid w:val="00074EB8"/>
    <w:rsid w:val="00074EFD"/>
    <w:rsid w:val="00075069"/>
    <w:rsid w:val="000750E5"/>
    <w:rsid w:val="000751ED"/>
    <w:rsid w:val="000752B2"/>
    <w:rsid w:val="000752E1"/>
    <w:rsid w:val="00075317"/>
    <w:rsid w:val="00075517"/>
    <w:rsid w:val="0007561A"/>
    <w:rsid w:val="0007562C"/>
    <w:rsid w:val="0007568F"/>
    <w:rsid w:val="00075817"/>
    <w:rsid w:val="0007592A"/>
    <w:rsid w:val="00075BBE"/>
    <w:rsid w:val="00075BE1"/>
    <w:rsid w:val="00075C58"/>
    <w:rsid w:val="00075CB4"/>
    <w:rsid w:val="00075F48"/>
    <w:rsid w:val="000760A4"/>
    <w:rsid w:val="00076327"/>
    <w:rsid w:val="000764E1"/>
    <w:rsid w:val="0007668E"/>
    <w:rsid w:val="0007678F"/>
    <w:rsid w:val="000767EC"/>
    <w:rsid w:val="000768A1"/>
    <w:rsid w:val="00076A6E"/>
    <w:rsid w:val="00076B69"/>
    <w:rsid w:val="00076B8D"/>
    <w:rsid w:val="00076CFB"/>
    <w:rsid w:val="00076D49"/>
    <w:rsid w:val="00076F4F"/>
    <w:rsid w:val="00076F9A"/>
    <w:rsid w:val="00077035"/>
    <w:rsid w:val="0007711B"/>
    <w:rsid w:val="00077138"/>
    <w:rsid w:val="00077245"/>
    <w:rsid w:val="00077291"/>
    <w:rsid w:val="000772E0"/>
    <w:rsid w:val="000772F8"/>
    <w:rsid w:val="00077396"/>
    <w:rsid w:val="000773C1"/>
    <w:rsid w:val="00077792"/>
    <w:rsid w:val="000777BA"/>
    <w:rsid w:val="000777CB"/>
    <w:rsid w:val="0007786A"/>
    <w:rsid w:val="000778D8"/>
    <w:rsid w:val="00077934"/>
    <w:rsid w:val="00077941"/>
    <w:rsid w:val="000779DC"/>
    <w:rsid w:val="00077A8E"/>
    <w:rsid w:val="00077B48"/>
    <w:rsid w:val="00077D2F"/>
    <w:rsid w:val="00077D81"/>
    <w:rsid w:val="00077F3B"/>
    <w:rsid w:val="00077FD0"/>
    <w:rsid w:val="0008011D"/>
    <w:rsid w:val="0008012B"/>
    <w:rsid w:val="0008036C"/>
    <w:rsid w:val="00080382"/>
    <w:rsid w:val="0008048D"/>
    <w:rsid w:val="000804A7"/>
    <w:rsid w:val="000804FE"/>
    <w:rsid w:val="0008070E"/>
    <w:rsid w:val="00080760"/>
    <w:rsid w:val="00080963"/>
    <w:rsid w:val="000809F7"/>
    <w:rsid w:val="00080A2D"/>
    <w:rsid w:val="000810CA"/>
    <w:rsid w:val="000812FA"/>
    <w:rsid w:val="0008135F"/>
    <w:rsid w:val="0008139E"/>
    <w:rsid w:val="0008142A"/>
    <w:rsid w:val="00081438"/>
    <w:rsid w:val="000815BC"/>
    <w:rsid w:val="00081715"/>
    <w:rsid w:val="0008177C"/>
    <w:rsid w:val="00081829"/>
    <w:rsid w:val="0008198B"/>
    <w:rsid w:val="000819A6"/>
    <w:rsid w:val="00081A63"/>
    <w:rsid w:val="00081E4B"/>
    <w:rsid w:val="00081F70"/>
    <w:rsid w:val="00081FFE"/>
    <w:rsid w:val="00082065"/>
    <w:rsid w:val="0008236F"/>
    <w:rsid w:val="0008242C"/>
    <w:rsid w:val="000825FC"/>
    <w:rsid w:val="000826BE"/>
    <w:rsid w:val="00082761"/>
    <w:rsid w:val="00082823"/>
    <w:rsid w:val="00082860"/>
    <w:rsid w:val="000828B4"/>
    <w:rsid w:val="00082990"/>
    <w:rsid w:val="00082AF1"/>
    <w:rsid w:val="00082B1D"/>
    <w:rsid w:val="00082B70"/>
    <w:rsid w:val="00082BB4"/>
    <w:rsid w:val="00082BC9"/>
    <w:rsid w:val="00082C82"/>
    <w:rsid w:val="00082DD6"/>
    <w:rsid w:val="00082E5E"/>
    <w:rsid w:val="00082F15"/>
    <w:rsid w:val="00082F36"/>
    <w:rsid w:val="000832A0"/>
    <w:rsid w:val="000832F7"/>
    <w:rsid w:val="00083311"/>
    <w:rsid w:val="00083324"/>
    <w:rsid w:val="00083366"/>
    <w:rsid w:val="00083441"/>
    <w:rsid w:val="0008352E"/>
    <w:rsid w:val="00083576"/>
    <w:rsid w:val="00083594"/>
    <w:rsid w:val="00083657"/>
    <w:rsid w:val="0008365B"/>
    <w:rsid w:val="000837E8"/>
    <w:rsid w:val="000837EE"/>
    <w:rsid w:val="000837F7"/>
    <w:rsid w:val="00083911"/>
    <w:rsid w:val="000839EB"/>
    <w:rsid w:val="00083DF7"/>
    <w:rsid w:val="00083E7D"/>
    <w:rsid w:val="00083F31"/>
    <w:rsid w:val="00083F52"/>
    <w:rsid w:val="00084174"/>
    <w:rsid w:val="000842CE"/>
    <w:rsid w:val="0008453B"/>
    <w:rsid w:val="0008454E"/>
    <w:rsid w:val="00084795"/>
    <w:rsid w:val="000847F1"/>
    <w:rsid w:val="0008482E"/>
    <w:rsid w:val="0008483F"/>
    <w:rsid w:val="00084899"/>
    <w:rsid w:val="00084975"/>
    <w:rsid w:val="00084A53"/>
    <w:rsid w:val="00084D64"/>
    <w:rsid w:val="00084D79"/>
    <w:rsid w:val="00084E57"/>
    <w:rsid w:val="00084F1C"/>
    <w:rsid w:val="00084FF1"/>
    <w:rsid w:val="000850AF"/>
    <w:rsid w:val="000850D7"/>
    <w:rsid w:val="0008511A"/>
    <w:rsid w:val="00085127"/>
    <w:rsid w:val="0008530D"/>
    <w:rsid w:val="00085356"/>
    <w:rsid w:val="0008538B"/>
    <w:rsid w:val="000854A5"/>
    <w:rsid w:val="00085500"/>
    <w:rsid w:val="0008553C"/>
    <w:rsid w:val="00085559"/>
    <w:rsid w:val="000856D6"/>
    <w:rsid w:val="000856E2"/>
    <w:rsid w:val="000856E3"/>
    <w:rsid w:val="000857DD"/>
    <w:rsid w:val="00085B34"/>
    <w:rsid w:val="00085C91"/>
    <w:rsid w:val="00085CCC"/>
    <w:rsid w:val="00085F2B"/>
    <w:rsid w:val="00085F78"/>
    <w:rsid w:val="00086166"/>
    <w:rsid w:val="00086169"/>
    <w:rsid w:val="00086192"/>
    <w:rsid w:val="00086407"/>
    <w:rsid w:val="00086496"/>
    <w:rsid w:val="000865FB"/>
    <w:rsid w:val="00086790"/>
    <w:rsid w:val="00086804"/>
    <w:rsid w:val="000869D0"/>
    <w:rsid w:val="000869D4"/>
    <w:rsid w:val="00086AE9"/>
    <w:rsid w:val="00086B70"/>
    <w:rsid w:val="00086F60"/>
    <w:rsid w:val="0008701A"/>
    <w:rsid w:val="0008712F"/>
    <w:rsid w:val="00087245"/>
    <w:rsid w:val="0008730E"/>
    <w:rsid w:val="00087589"/>
    <w:rsid w:val="00087698"/>
    <w:rsid w:val="00087877"/>
    <w:rsid w:val="00087A3B"/>
    <w:rsid w:val="00087A69"/>
    <w:rsid w:val="00087AA8"/>
    <w:rsid w:val="00087AAD"/>
    <w:rsid w:val="00087BF8"/>
    <w:rsid w:val="00087CFD"/>
    <w:rsid w:val="00087E5B"/>
    <w:rsid w:val="00087E75"/>
    <w:rsid w:val="00087FDF"/>
    <w:rsid w:val="0009008B"/>
    <w:rsid w:val="00090188"/>
    <w:rsid w:val="000901B4"/>
    <w:rsid w:val="000901FB"/>
    <w:rsid w:val="00090234"/>
    <w:rsid w:val="000903D0"/>
    <w:rsid w:val="000904A8"/>
    <w:rsid w:val="00090578"/>
    <w:rsid w:val="00090588"/>
    <w:rsid w:val="0009063F"/>
    <w:rsid w:val="000906EC"/>
    <w:rsid w:val="000906F3"/>
    <w:rsid w:val="0009079A"/>
    <w:rsid w:val="00090A85"/>
    <w:rsid w:val="00090A9D"/>
    <w:rsid w:val="00090B7D"/>
    <w:rsid w:val="00090B8C"/>
    <w:rsid w:val="00090C07"/>
    <w:rsid w:val="00090C6D"/>
    <w:rsid w:val="00090D18"/>
    <w:rsid w:val="00090EAC"/>
    <w:rsid w:val="00090FE2"/>
    <w:rsid w:val="000910A0"/>
    <w:rsid w:val="000910DB"/>
    <w:rsid w:val="0009122E"/>
    <w:rsid w:val="00091236"/>
    <w:rsid w:val="0009125F"/>
    <w:rsid w:val="000912DE"/>
    <w:rsid w:val="000917AA"/>
    <w:rsid w:val="000917D4"/>
    <w:rsid w:val="000919E0"/>
    <w:rsid w:val="00091B7C"/>
    <w:rsid w:val="00091C6D"/>
    <w:rsid w:val="00091C73"/>
    <w:rsid w:val="0009226F"/>
    <w:rsid w:val="000925F1"/>
    <w:rsid w:val="000928A8"/>
    <w:rsid w:val="000929E1"/>
    <w:rsid w:val="00092B2A"/>
    <w:rsid w:val="00092CAF"/>
    <w:rsid w:val="00092CD2"/>
    <w:rsid w:val="00092D36"/>
    <w:rsid w:val="00092D70"/>
    <w:rsid w:val="000932C4"/>
    <w:rsid w:val="00093444"/>
    <w:rsid w:val="0009355F"/>
    <w:rsid w:val="00093641"/>
    <w:rsid w:val="000936FF"/>
    <w:rsid w:val="000938CA"/>
    <w:rsid w:val="000938E6"/>
    <w:rsid w:val="00093938"/>
    <w:rsid w:val="00093960"/>
    <w:rsid w:val="00093A01"/>
    <w:rsid w:val="00093A52"/>
    <w:rsid w:val="00093A8C"/>
    <w:rsid w:val="00093A9E"/>
    <w:rsid w:val="00093ACF"/>
    <w:rsid w:val="00093C0A"/>
    <w:rsid w:val="00093CAF"/>
    <w:rsid w:val="00093D00"/>
    <w:rsid w:val="00093E2E"/>
    <w:rsid w:val="00093E9E"/>
    <w:rsid w:val="0009405C"/>
    <w:rsid w:val="000941E6"/>
    <w:rsid w:val="00094296"/>
    <w:rsid w:val="00094469"/>
    <w:rsid w:val="0009450E"/>
    <w:rsid w:val="000946CC"/>
    <w:rsid w:val="00094764"/>
    <w:rsid w:val="0009476A"/>
    <w:rsid w:val="0009478B"/>
    <w:rsid w:val="00094864"/>
    <w:rsid w:val="0009488B"/>
    <w:rsid w:val="00094BA8"/>
    <w:rsid w:val="00094C2F"/>
    <w:rsid w:val="00094DA2"/>
    <w:rsid w:val="00094E25"/>
    <w:rsid w:val="00094EA5"/>
    <w:rsid w:val="00094F07"/>
    <w:rsid w:val="000950BF"/>
    <w:rsid w:val="000952F2"/>
    <w:rsid w:val="00095312"/>
    <w:rsid w:val="000953CF"/>
    <w:rsid w:val="00095581"/>
    <w:rsid w:val="000955E4"/>
    <w:rsid w:val="00095AD2"/>
    <w:rsid w:val="00095BF4"/>
    <w:rsid w:val="00095BFB"/>
    <w:rsid w:val="00095CE9"/>
    <w:rsid w:val="00095D2C"/>
    <w:rsid w:val="00095E38"/>
    <w:rsid w:val="00095F03"/>
    <w:rsid w:val="000960CF"/>
    <w:rsid w:val="00096165"/>
    <w:rsid w:val="00096186"/>
    <w:rsid w:val="000961F3"/>
    <w:rsid w:val="000962D4"/>
    <w:rsid w:val="00096302"/>
    <w:rsid w:val="0009630D"/>
    <w:rsid w:val="0009635A"/>
    <w:rsid w:val="000963A3"/>
    <w:rsid w:val="000963F2"/>
    <w:rsid w:val="00096462"/>
    <w:rsid w:val="00096463"/>
    <w:rsid w:val="00096642"/>
    <w:rsid w:val="00096692"/>
    <w:rsid w:val="0009673D"/>
    <w:rsid w:val="00096750"/>
    <w:rsid w:val="0009684E"/>
    <w:rsid w:val="0009690C"/>
    <w:rsid w:val="00096940"/>
    <w:rsid w:val="00096A7C"/>
    <w:rsid w:val="00096ADF"/>
    <w:rsid w:val="00096B3A"/>
    <w:rsid w:val="00096C17"/>
    <w:rsid w:val="00096C7D"/>
    <w:rsid w:val="00096C8F"/>
    <w:rsid w:val="00096CA6"/>
    <w:rsid w:val="00096D92"/>
    <w:rsid w:val="00096DF9"/>
    <w:rsid w:val="00097073"/>
    <w:rsid w:val="0009708D"/>
    <w:rsid w:val="00097101"/>
    <w:rsid w:val="00097109"/>
    <w:rsid w:val="00097132"/>
    <w:rsid w:val="00097390"/>
    <w:rsid w:val="0009763E"/>
    <w:rsid w:val="00097687"/>
    <w:rsid w:val="00097776"/>
    <w:rsid w:val="000977FC"/>
    <w:rsid w:val="00097893"/>
    <w:rsid w:val="000978DC"/>
    <w:rsid w:val="0009790B"/>
    <w:rsid w:val="00097980"/>
    <w:rsid w:val="000979B8"/>
    <w:rsid w:val="00097A08"/>
    <w:rsid w:val="00097AF7"/>
    <w:rsid w:val="00097C8E"/>
    <w:rsid w:val="00097F3B"/>
    <w:rsid w:val="00097F4B"/>
    <w:rsid w:val="000A00C2"/>
    <w:rsid w:val="000A0294"/>
    <w:rsid w:val="000A0306"/>
    <w:rsid w:val="000A04A0"/>
    <w:rsid w:val="000A04E9"/>
    <w:rsid w:val="000A04FB"/>
    <w:rsid w:val="000A06CE"/>
    <w:rsid w:val="000A070A"/>
    <w:rsid w:val="000A07B2"/>
    <w:rsid w:val="000A07DB"/>
    <w:rsid w:val="000A08C6"/>
    <w:rsid w:val="000A0932"/>
    <w:rsid w:val="000A0B6C"/>
    <w:rsid w:val="000A0B7F"/>
    <w:rsid w:val="000A0B93"/>
    <w:rsid w:val="000A0BA7"/>
    <w:rsid w:val="000A0C60"/>
    <w:rsid w:val="000A0C7B"/>
    <w:rsid w:val="000A0CCF"/>
    <w:rsid w:val="000A0F70"/>
    <w:rsid w:val="000A0F88"/>
    <w:rsid w:val="000A106E"/>
    <w:rsid w:val="000A10C7"/>
    <w:rsid w:val="000A11EC"/>
    <w:rsid w:val="000A13C3"/>
    <w:rsid w:val="000A1519"/>
    <w:rsid w:val="000A19DB"/>
    <w:rsid w:val="000A19F2"/>
    <w:rsid w:val="000A1ABE"/>
    <w:rsid w:val="000A1AEE"/>
    <w:rsid w:val="000A1BCC"/>
    <w:rsid w:val="000A1BD3"/>
    <w:rsid w:val="000A1BD6"/>
    <w:rsid w:val="000A1C01"/>
    <w:rsid w:val="000A1E09"/>
    <w:rsid w:val="000A205E"/>
    <w:rsid w:val="000A212F"/>
    <w:rsid w:val="000A2172"/>
    <w:rsid w:val="000A225C"/>
    <w:rsid w:val="000A229F"/>
    <w:rsid w:val="000A24CB"/>
    <w:rsid w:val="000A2522"/>
    <w:rsid w:val="000A25A6"/>
    <w:rsid w:val="000A2690"/>
    <w:rsid w:val="000A2789"/>
    <w:rsid w:val="000A29B0"/>
    <w:rsid w:val="000A2A5B"/>
    <w:rsid w:val="000A2AB9"/>
    <w:rsid w:val="000A2B8C"/>
    <w:rsid w:val="000A2B8E"/>
    <w:rsid w:val="000A2F07"/>
    <w:rsid w:val="000A32B6"/>
    <w:rsid w:val="000A32DB"/>
    <w:rsid w:val="000A338B"/>
    <w:rsid w:val="000A33CF"/>
    <w:rsid w:val="000A350D"/>
    <w:rsid w:val="000A3A70"/>
    <w:rsid w:val="000A3B53"/>
    <w:rsid w:val="000A3B7A"/>
    <w:rsid w:val="000A3C0A"/>
    <w:rsid w:val="000A3DF2"/>
    <w:rsid w:val="000A3E49"/>
    <w:rsid w:val="000A3E7E"/>
    <w:rsid w:val="000A3F1D"/>
    <w:rsid w:val="000A3FC3"/>
    <w:rsid w:val="000A40BA"/>
    <w:rsid w:val="000A41C8"/>
    <w:rsid w:val="000A4227"/>
    <w:rsid w:val="000A4256"/>
    <w:rsid w:val="000A4348"/>
    <w:rsid w:val="000A4364"/>
    <w:rsid w:val="000A43FC"/>
    <w:rsid w:val="000A44CA"/>
    <w:rsid w:val="000A4532"/>
    <w:rsid w:val="000A4A44"/>
    <w:rsid w:val="000A4A7F"/>
    <w:rsid w:val="000A4AB2"/>
    <w:rsid w:val="000A4B39"/>
    <w:rsid w:val="000A4C24"/>
    <w:rsid w:val="000A4CA6"/>
    <w:rsid w:val="000A4D10"/>
    <w:rsid w:val="000A4D9E"/>
    <w:rsid w:val="000A4E02"/>
    <w:rsid w:val="000A4F14"/>
    <w:rsid w:val="000A4F60"/>
    <w:rsid w:val="000A4F84"/>
    <w:rsid w:val="000A4F89"/>
    <w:rsid w:val="000A5043"/>
    <w:rsid w:val="000A5089"/>
    <w:rsid w:val="000A5186"/>
    <w:rsid w:val="000A51FF"/>
    <w:rsid w:val="000A520E"/>
    <w:rsid w:val="000A5221"/>
    <w:rsid w:val="000A5224"/>
    <w:rsid w:val="000A5876"/>
    <w:rsid w:val="000A59C2"/>
    <w:rsid w:val="000A5CA2"/>
    <w:rsid w:val="000A5D31"/>
    <w:rsid w:val="000A5D3D"/>
    <w:rsid w:val="000A5E7C"/>
    <w:rsid w:val="000A5F91"/>
    <w:rsid w:val="000A6076"/>
    <w:rsid w:val="000A615C"/>
    <w:rsid w:val="000A642A"/>
    <w:rsid w:val="000A66F5"/>
    <w:rsid w:val="000A683B"/>
    <w:rsid w:val="000A6971"/>
    <w:rsid w:val="000A69A2"/>
    <w:rsid w:val="000A69C4"/>
    <w:rsid w:val="000A6B43"/>
    <w:rsid w:val="000A6C44"/>
    <w:rsid w:val="000A6D0E"/>
    <w:rsid w:val="000A6DDA"/>
    <w:rsid w:val="000A6DE5"/>
    <w:rsid w:val="000A6F34"/>
    <w:rsid w:val="000A6F46"/>
    <w:rsid w:val="000A6F77"/>
    <w:rsid w:val="000A7069"/>
    <w:rsid w:val="000A71B5"/>
    <w:rsid w:val="000A726D"/>
    <w:rsid w:val="000A7327"/>
    <w:rsid w:val="000A733B"/>
    <w:rsid w:val="000A7445"/>
    <w:rsid w:val="000A7451"/>
    <w:rsid w:val="000A74F6"/>
    <w:rsid w:val="000A753B"/>
    <w:rsid w:val="000A76DC"/>
    <w:rsid w:val="000A7758"/>
    <w:rsid w:val="000A78FB"/>
    <w:rsid w:val="000A795C"/>
    <w:rsid w:val="000A7A1F"/>
    <w:rsid w:val="000A7A55"/>
    <w:rsid w:val="000A7AD6"/>
    <w:rsid w:val="000A7AD8"/>
    <w:rsid w:val="000A7B8E"/>
    <w:rsid w:val="000A7B9F"/>
    <w:rsid w:val="000A7BBB"/>
    <w:rsid w:val="000A7D02"/>
    <w:rsid w:val="000A7DE7"/>
    <w:rsid w:val="000A7F12"/>
    <w:rsid w:val="000A7F20"/>
    <w:rsid w:val="000B0240"/>
    <w:rsid w:val="000B0278"/>
    <w:rsid w:val="000B0297"/>
    <w:rsid w:val="000B032E"/>
    <w:rsid w:val="000B040D"/>
    <w:rsid w:val="000B0434"/>
    <w:rsid w:val="000B04FC"/>
    <w:rsid w:val="000B05CA"/>
    <w:rsid w:val="000B0639"/>
    <w:rsid w:val="000B06D3"/>
    <w:rsid w:val="000B080D"/>
    <w:rsid w:val="000B0883"/>
    <w:rsid w:val="000B093C"/>
    <w:rsid w:val="000B09BD"/>
    <w:rsid w:val="000B0B18"/>
    <w:rsid w:val="000B0C50"/>
    <w:rsid w:val="000B0C86"/>
    <w:rsid w:val="000B0D41"/>
    <w:rsid w:val="000B0E42"/>
    <w:rsid w:val="000B0FA4"/>
    <w:rsid w:val="000B10DF"/>
    <w:rsid w:val="000B1192"/>
    <w:rsid w:val="000B1282"/>
    <w:rsid w:val="000B1525"/>
    <w:rsid w:val="000B1559"/>
    <w:rsid w:val="000B1637"/>
    <w:rsid w:val="000B1698"/>
    <w:rsid w:val="000B16BB"/>
    <w:rsid w:val="000B1783"/>
    <w:rsid w:val="000B1A00"/>
    <w:rsid w:val="000B1AAD"/>
    <w:rsid w:val="000B1AD5"/>
    <w:rsid w:val="000B1D33"/>
    <w:rsid w:val="000B1EF7"/>
    <w:rsid w:val="000B2052"/>
    <w:rsid w:val="000B2128"/>
    <w:rsid w:val="000B2387"/>
    <w:rsid w:val="000B238F"/>
    <w:rsid w:val="000B2419"/>
    <w:rsid w:val="000B2531"/>
    <w:rsid w:val="000B25B8"/>
    <w:rsid w:val="000B2634"/>
    <w:rsid w:val="000B2696"/>
    <w:rsid w:val="000B27E4"/>
    <w:rsid w:val="000B2812"/>
    <w:rsid w:val="000B2905"/>
    <w:rsid w:val="000B2981"/>
    <w:rsid w:val="000B2A2E"/>
    <w:rsid w:val="000B2A85"/>
    <w:rsid w:val="000B2AE6"/>
    <w:rsid w:val="000B2B57"/>
    <w:rsid w:val="000B2B8C"/>
    <w:rsid w:val="000B2BFA"/>
    <w:rsid w:val="000B2C45"/>
    <w:rsid w:val="000B2CCB"/>
    <w:rsid w:val="000B2D44"/>
    <w:rsid w:val="000B301D"/>
    <w:rsid w:val="000B30D8"/>
    <w:rsid w:val="000B3121"/>
    <w:rsid w:val="000B3162"/>
    <w:rsid w:val="000B31D2"/>
    <w:rsid w:val="000B320D"/>
    <w:rsid w:val="000B3246"/>
    <w:rsid w:val="000B33C1"/>
    <w:rsid w:val="000B3536"/>
    <w:rsid w:val="000B3713"/>
    <w:rsid w:val="000B3764"/>
    <w:rsid w:val="000B37A0"/>
    <w:rsid w:val="000B3877"/>
    <w:rsid w:val="000B3A1C"/>
    <w:rsid w:val="000B3A6A"/>
    <w:rsid w:val="000B3AD9"/>
    <w:rsid w:val="000B3B8E"/>
    <w:rsid w:val="000B3E01"/>
    <w:rsid w:val="000B4023"/>
    <w:rsid w:val="000B4240"/>
    <w:rsid w:val="000B426D"/>
    <w:rsid w:val="000B42B8"/>
    <w:rsid w:val="000B42D4"/>
    <w:rsid w:val="000B43C6"/>
    <w:rsid w:val="000B43D2"/>
    <w:rsid w:val="000B4426"/>
    <w:rsid w:val="000B456A"/>
    <w:rsid w:val="000B459C"/>
    <w:rsid w:val="000B463E"/>
    <w:rsid w:val="000B4655"/>
    <w:rsid w:val="000B4795"/>
    <w:rsid w:val="000B47E8"/>
    <w:rsid w:val="000B48C9"/>
    <w:rsid w:val="000B4A06"/>
    <w:rsid w:val="000B4B64"/>
    <w:rsid w:val="000B4B9B"/>
    <w:rsid w:val="000B4BAC"/>
    <w:rsid w:val="000B4C09"/>
    <w:rsid w:val="000B4CE8"/>
    <w:rsid w:val="000B4CF5"/>
    <w:rsid w:val="000B4E45"/>
    <w:rsid w:val="000B4ED3"/>
    <w:rsid w:val="000B4FB9"/>
    <w:rsid w:val="000B4FDC"/>
    <w:rsid w:val="000B5150"/>
    <w:rsid w:val="000B5176"/>
    <w:rsid w:val="000B5203"/>
    <w:rsid w:val="000B5377"/>
    <w:rsid w:val="000B5480"/>
    <w:rsid w:val="000B54B0"/>
    <w:rsid w:val="000B54C8"/>
    <w:rsid w:val="000B555B"/>
    <w:rsid w:val="000B5809"/>
    <w:rsid w:val="000B5824"/>
    <w:rsid w:val="000B58CA"/>
    <w:rsid w:val="000B598B"/>
    <w:rsid w:val="000B599C"/>
    <w:rsid w:val="000B5B51"/>
    <w:rsid w:val="000B5B67"/>
    <w:rsid w:val="000B5B73"/>
    <w:rsid w:val="000B5B85"/>
    <w:rsid w:val="000B5C20"/>
    <w:rsid w:val="000B5C52"/>
    <w:rsid w:val="000B5CEE"/>
    <w:rsid w:val="000B5ED5"/>
    <w:rsid w:val="000B5EF0"/>
    <w:rsid w:val="000B5F17"/>
    <w:rsid w:val="000B5F7A"/>
    <w:rsid w:val="000B6037"/>
    <w:rsid w:val="000B61A4"/>
    <w:rsid w:val="000B6238"/>
    <w:rsid w:val="000B6442"/>
    <w:rsid w:val="000B64A3"/>
    <w:rsid w:val="000B64BD"/>
    <w:rsid w:val="000B65E3"/>
    <w:rsid w:val="000B6606"/>
    <w:rsid w:val="000B662B"/>
    <w:rsid w:val="000B6715"/>
    <w:rsid w:val="000B6AE1"/>
    <w:rsid w:val="000B6B13"/>
    <w:rsid w:val="000B6D62"/>
    <w:rsid w:val="000B6E19"/>
    <w:rsid w:val="000B6EB2"/>
    <w:rsid w:val="000B6F27"/>
    <w:rsid w:val="000B6F36"/>
    <w:rsid w:val="000B70AD"/>
    <w:rsid w:val="000B70BA"/>
    <w:rsid w:val="000B728E"/>
    <w:rsid w:val="000B74D8"/>
    <w:rsid w:val="000B773B"/>
    <w:rsid w:val="000B7758"/>
    <w:rsid w:val="000B77BA"/>
    <w:rsid w:val="000B7876"/>
    <w:rsid w:val="000B79DF"/>
    <w:rsid w:val="000B7BA3"/>
    <w:rsid w:val="000B7C04"/>
    <w:rsid w:val="000B7CDF"/>
    <w:rsid w:val="000B7D1B"/>
    <w:rsid w:val="000B7D35"/>
    <w:rsid w:val="000B7FE2"/>
    <w:rsid w:val="000C01DC"/>
    <w:rsid w:val="000C02E7"/>
    <w:rsid w:val="000C0422"/>
    <w:rsid w:val="000C0473"/>
    <w:rsid w:val="000C049C"/>
    <w:rsid w:val="000C04A7"/>
    <w:rsid w:val="000C0528"/>
    <w:rsid w:val="000C0532"/>
    <w:rsid w:val="000C05E7"/>
    <w:rsid w:val="000C0688"/>
    <w:rsid w:val="000C0754"/>
    <w:rsid w:val="000C07AF"/>
    <w:rsid w:val="000C07C6"/>
    <w:rsid w:val="000C0CD8"/>
    <w:rsid w:val="000C0ED3"/>
    <w:rsid w:val="000C0F76"/>
    <w:rsid w:val="000C103C"/>
    <w:rsid w:val="000C1149"/>
    <w:rsid w:val="000C1205"/>
    <w:rsid w:val="000C14EC"/>
    <w:rsid w:val="000C154F"/>
    <w:rsid w:val="000C1636"/>
    <w:rsid w:val="000C1645"/>
    <w:rsid w:val="000C1665"/>
    <w:rsid w:val="000C1669"/>
    <w:rsid w:val="000C16D9"/>
    <w:rsid w:val="000C18CA"/>
    <w:rsid w:val="000C1966"/>
    <w:rsid w:val="000C19D6"/>
    <w:rsid w:val="000C1A26"/>
    <w:rsid w:val="000C1ADB"/>
    <w:rsid w:val="000C1B07"/>
    <w:rsid w:val="000C1ED3"/>
    <w:rsid w:val="000C1F32"/>
    <w:rsid w:val="000C2046"/>
    <w:rsid w:val="000C2152"/>
    <w:rsid w:val="000C2156"/>
    <w:rsid w:val="000C2190"/>
    <w:rsid w:val="000C2446"/>
    <w:rsid w:val="000C251B"/>
    <w:rsid w:val="000C2596"/>
    <w:rsid w:val="000C2990"/>
    <w:rsid w:val="000C29DE"/>
    <w:rsid w:val="000C2A26"/>
    <w:rsid w:val="000C2A59"/>
    <w:rsid w:val="000C2B52"/>
    <w:rsid w:val="000C2D0D"/>
    <w:rsid w:val="000C2DE2"/>
    <w:rsid w:val="000C2E14"/>
    <w:rsid w:val="000C326F"/>
    <w:rsid w:val="000C32DB"/>
    <w:rsid w:val="000C3394"/>
    <w:rsid w:val="000C341B"/>
    <w:rsid w:val="000C345F"/>
    <w:rsid w:val="000C34F1"/>
    <w:rsid w:val="000C354D"/>
    <w:rsid w:val="000C3658"/>
    <w:rsid w:val="000C374D"/>
    <w:rsid w:val="000C3809"/>
    <w:rsid w:val="000C38B8"/>
    <w:rsid w:val="000C3BF0"/>
    <w:rsid w:val="000C3DEA"/>
    <w:rsid w:val="000C3EB2"/>
    <w:rsid w:val="000C3FBC"/>
    <w:rsid w:val="000C410A"/>
    <w:rsid w:val="000C41BD"/>
    <w:rsid w:val="000C4285"/>
    <w:rsid w:val="000C42FC"/>
    <w:rsid w:val="000C43B2"/>
    <w:rsid w:val="000C445D"/>
    <w:rsid w:val="000C4568"/>
    <w:rsid w:val="000C46BC"/>
    <w:rsid w:val="000C4704"/>
    <w:rsid w:val="000C4AE1"/>
    <w:rsid w:val="000C4B0C"/>
    <w:rsid w:val="000C4B5B"/>
    <w:rsid w:val="000C4C76"/>
    <w:rsid w:val="000C4F6A"/>
    <w:rsid w:val="000C4F76"/>
    <w:rsid w:val="000C50AE"/>
    <w:rsid w:val="000C5100"/>
    <w:rsid w:val="000C544F"/>
    <w:rsid w:val="000C5491"/>
    <w:rsid w:val="000C550B"/>
    <w:rsid w:val="000C55AF"/>
    <w:rsid w:val="000C56E3"/>
    <w:rsid w:val="000C598B"/>
    <w:rsid w:val="000C5C1C"/>
    <w:rsid w:val="000C5D34"/>
    <w:rsid w:val="000C5F86"/>
    <w:rsid w:val="000C6007"/>
    <w:rsid w:val="000C614F"/>
    <w:rsid w:val="000C617D"/>
    <w:rsid w:val="000C61D2"/>
    <w:rsid w:val="000C6244"/>
    <w:rsid w:val="000C62F6"/>
    <w:rsid w:val="000C6349"/>
    <w:rsid w:val="000C63CF"/>
    <w:rsid w:val="000C6462"/>
    <w:rsid w:val="000C6498"/>
    <w:rsid w:val="000C65FF"/>
    <w:rsid w:val="000C6753"/>
    <w:rsid w:val="000C676E"/>
    <w:rsid w:val="000C680B"/>
    <w:rsid w:val="000C693D"/>
    <w:rsid w:val="000C695C"/>
    <w:rsid w:val="000C6A2C"/>
    <w:rsid w:val="000C6B57"/>
    <w:rsid w:val="000C6BE9"/>
    <w:rsid w:val="000C6C0C"/>
    <w:rsid w:val="000C6EC3"/>
    <w:rsid w:val="000C6F34"/>
    <w:rsid w:val="000C6F8A"/>
    <w:rsid w:val="000C708B"/>
    <w:rsid w:val="000C7106"/>
    <w:rsid w:val="000C717D"/>
    <w:rsid w:val="000C71CF"/>
    <w:rsid w:val="000C71F7"/>
    <w:rsid w:val="000C7258"/>
    <w:rsid w:val="000C734F"/>
    <w:rsid w:val="000C742A"/>
    <w:rsid w:val="000C748B"/>
    <w:rsid w:val="000C75B8"/>
    <w:rsid w:val="000C7750"/>
    <w:rsid w:val="000C79C5"/>
    <w:rsid w:val="000C79D1"/>
    <w:rsid w:val="000C7A13"/>
    <w:rsid w:val="000C7A4A"/>
    <w:rsid w:val="000C7A89"/>
    <w:rsid w:val="000C7C21"/>
    <w:rsid w:val="000C7C3D"/>
    <w:rsid w:val="000C7E3B"/>
    <w:rsid w:val="000C7E46"/>
    <w:rsid w:val="000C7F44"/>
    <w:rsid w:val="000C7F7D"/>
    <w:rsid w:val="000C7FE2"/>
    <w:rsid w:val="000D0345"/>
    <w:rsid w:val="000D03AF"/>
    <w:rsid w:val="000D03C4"/>
    <w:rsid w:val="000D03D5"/>
    <w:rsid w:val="000D0413"/>
    <w:rsid w:val="000D04B6"/>
    <w:rsid w:val="000D0806"/>
    <w:rsid w:val="000D0A88"/>
    <w:rsid w:val="000D0A8C"/>
    <w:rsid w:val="000D0ACA"/>
    <w:rsid w:val="000D0CEE"/>
    <w:rsid w:val="000D0E93"/>
    <w:rsid w:val="000D0F13"/>
    <w:rsid w:val="000D0FAA"/>
    <w:rsid w:val="000D112E"/>
    <w:rsid w:val="000D11A4"/>
    <w:rsid w:val="000D11A7"/>
    <w:rsid w:val="000D11ED"/>
    <w:rsid w:val="000D1311"/>
    <w:rsid w:val="000D13CB"/>
    <w:rsid w:val="000D13D6"/>
    <w:rsid w:val="000D142B"/>
    <w:rsid w:val="000D1637"/>
    <w:rsid w:val="000D1778"/>
    <w:rsid w:val="000D17ED"/>
    <w:rsid w:val="000D17F3"/>
    <w:rsid w:val="000D186B"/>
    <w:rsid w:val="000D19A1"/>
    <w:rsid w:val="000D1B91"/>
    <w:rsid w:val="000D1BE6"/>
    <w:rsid w:val="000D1DD5"/>
    <w:rsid w:val="000D1E10"/>
    <w:rsid w:val="000D1E8E"/>
    <w:rsid w:val="000D1FB4"/>
    <w:rsid w:val="000D1FBC"/>
    <w:rsid w:val="000D220B"/>
    <w:rsid w:val="000D223C"/>
    <w:rsid w:val="000D22BF"/>
    <w:rsid w:val="000D2347"/>
    <w:rsid w:val="000D23B4"/>
    <w:rsid w:val="000D23E9"/>
    <w:rsid w:val="000D246A"/>
    <w:rsid w:val="000D2494"/>
    <w:rsid w:val="000D2603"/>
    <w:rsid w:val="000D270F"/>
    <w:rsid w:val="000D2723"/>
    <w:rsid w:val="000D2886"/>
    <w:rsid w:val="000D2890"/>
    <w:rsid w:val="000D2A81"/>
    <w:rsid w:val="000D2C91"/>
    <w:rsid w:val="000D2E21"/>
    <w:rsid w:val="000D306C"/>
    <w:rsid w:val="000D3203"/>
    <w:rsid w:val="000D3379"/>
    <w:rsid w:val="000D3493"/>
    <w:rsid w:val="000D3532"/>
    <w:rsid w:val="000D3556"/>
    <w:rsid w:val="000D387D"/>
    <w:rsid w:val="000D38DC"/>
    <w:rsid w:val="000D38E4"/>
    <w:rsid w:val="000D39E9"/>
    <w:rsid w:val="000D3A30"/>
    <w:rsid w:val="000D3A81"/>
    <w:rsid w:val="000D3B4B"/>
    <w:rsid w:val="000D3C1B"/>
    <w:rsid w:val="000D3C9F"/>
    <w:rsid w:val="000D3E6D"/>
    <w:rsid w:val="000D3F64"/>
    <w:rsid w:val="000D405C"/>
    <w:rsid w:val="000D40F2"/>
    <w:rsid w:val="000D41CA"/>
    <w:rsid w:val="000D44B9"/>
    <w:rsid w:val="000D44E2"/>
    <w:rsid w:val="000D45FE"/>
    <w:rsid w:val="000D4616"/>
    <w:rsid w:val="000D4724"/>
    <w:rsid w:val="000D47CC"/>
    <w:rsid w:val="000D4B86"/>
    <w:rsid w:val="000D4C17"/>
    <w:rsid w:val="000D4C7C"/>
    <w:rsid w:val="000D4D0A"/>
    <w:rsid w:val="000D4E73"/>
    <w:rsid w:val="000D51F7"/>
    <w:rsid w:val="000D523F"/>
    <w:rsid w:val="000D531B"/>
    <w:rsid w:val="000D5355"/>
    <w:rsid w:val="000D54D1"/>
    <w:rsid w:val="000D5546"/>
    <w:rsid w:val="000D5657"/>
    <w:rsid w:val="000D56BC"/>
    <w:rsid w:val="000D580B"/>
    <w:rsid w:val="000D58F9"/>
    <w:rsid w:val="000D590D"/>
    <w:rsid w:val="000D59A3"/>
    <w:rsid w:val="000D5A07"/>
    <w:rsid w:val="000D5AA6"/>
    <w:rsid w:val="000D5B1F"/>
    <w:rsid w:val="000D5BDD"/>
    <w:rsid w:val="000D5C6F"/>
    <w:rsid w:val="000D5CD5"/>
    <w:rsid w:val="000D5E99"/>
    <w:rsid w:val="000D5F27"/>
    <w:rsid w:val="000D5F70"/>
    <w:rsid w:val="000D5FCB"/>
    <w:rsid w:val="000D61C1"/>
    <w:rsid w:val="000D61CB"/>
    <w:rsid w:val="000D6285"/>
    <w:rsid w:val="000D64EC"/>
    <w:rsid w:val="000D6601"/>
    <w:rsid w:val="000D6A4D"/>
    <w:rsid w:val="000D6B10"/>
    <w:rsid w:val="000D6B98"/>
    <w:rsid w:val="000D6C7E"/>
    <w:rsid w:val="000D6CA6"/>
    <w:rsid w:val="000D6D2D"/>
    <w:rsid w:val="000D6DB5"/>
    <w:rsid w:val="000D6DD7"/>
    <w:rsid w:val="000D6ED1"/>
    <w:rsid w:val="000D6EE9"/>
    <w:rsid w:val="000D6FC2"/>
    <w:rsid w:val="000D71D0"/>
    <w:rsid w:val="000D7288"/>
    <w:rsid w:val="000D72DB"/>
    <w:rsid w:val="000D735A"/>
    <w:rsid w:val="000D7391"/>
    <w:rsid w:val="000D756B"/>
    <w:rsid w:val="000D7736"/>
    <w:rsid w:val="000D77A1"/>
    <w:rsid w:val="000D77B6"/>
    <w:rsid w:val="000D77E6"/>
    <w:rsid w:val="000D7A65"/>
    <w:rsid w:val="000D7A8B"/>
    <w:rsid w:val="000D7C29"/>
    <w:rsid w:val="000D7D00"/>
    <w:rsid w:val="000D7EDF"/>
    <w:rsid w:val="000E02EC"/>
    <w:rsid w:val="000E038B"/>
    <w:rsid w:val="000E03EE"/>
    <w:rsid w:val="000E055E"/>
    <w:rsid w:val="000E060A"/>
    <w:rsid w:val="000E071B"/>
    <w:rsid w:val="000E0789"/>
    <w:rsid w:val="000E082C"/>
    <w:rsid w:val="000E0881"/>
    <w:rsid w:val="000E0A15"/>
    <w:rsid w:val="000E0A25"/>
    <w:rsid w:val="000E0AFE"/>
    <w:rsid w:val="000E0D08"/>
    <w:rsid w:val="000E112B"/>
    <w:rsid w:val="000E1336"/>
    <w:rsid w:val="000E15A3"/>
    <w:rsid w:val="000E16FE"/>
    <w:rsid w:val="000E1707"/>
    <w:rsid w:val="000E1981"/>
    <w:rsid w:val="000E19B1"/>
    <w:rsid w:val="000E1A57"/>
    <w:rsid w:val="000E1BC3"/>
    <w:rsid w:val="000E1CCD"/>
    <w:rsid w:val="000E1EDD"/>
    <w:rsid w:val="000E1EE8"/>
    <w:rsid w:val="000E1F3E"/>
    <w:rsid w:val="000E1F40"/>
    <w:rsid w:val="000E1F46"/>
    <w:rsid w:val="000E1FA1"/>
    <w:rsid w:val="000E220E"/>
    <w:rsid w:val="000E226A"/>
    <w:rsid w:val="000E2289"/>
    <w:rsid w:val="000E242B"/>
    <w:rsid w:val="000E2459"/>
    <w:rsid w:val="000E24B7"/>
    <w:rsid w:val="000E253C"/>
    <w:rsid w:val="000E2809"/>
    <w:rsid w:val="000E2988"/>
    <w:rsid w:val="000E29DA"/>
    <w:rsid w:val="000E2A4A"/>
    <w:rsid w:val="000E2B5F"/>
    <w:rsid w:val="000E2C0A"/>
    <w:rsid w:val="000E2C6D"/>
    <w:rsid w:val="000E2ECA"/>
    <w:rsid w:val="000E2F15"/>
    <w:rsid w:val="000E2F79"/>
    <w:rsid w:val="000E2F90"/>
    <w:rsid w:val="000E307A"/>
    <w:rsid w:val="000E310D"/>
    <w:rsid w:val="000E312B"/>
    <w:rsid w:val="000E3192"/>
    <w:rsid w:val="000E3238"/>
    <w:rsid w:val="000E32FA"/>
    <w:rsid w:val="000E3336"/>
    <w:rsid w:val="000E3416"/>
    <w:rsid w:val="000E356A"/>
    <w:rsid w:val="000E35CB"/>
    <w:rsid w:val="000E36C4"/>
    <w:rsid w:val="000E380A"/>
    <w:rsid w:val="000E3829"/>
    <w:rsid w:val="000E38A0"/>
    <w:rsid w:val="000E38EF"/>
    <w:rsid w:val="000E38FE"/>
    <w:rsid w:val="000E3A0C"/>
    <w:rsid w:val="000E3A1B"/>
    <w:rsid w:val="000E3B4B"/>
    <w:rsid w:val="000E3CE1"/>
    <w:rsid w:val="000E3DB8"/>
    <w:rsid w:val="000E3E6A"/>
    <w:rsid w:val="000E4005"/>
    <w:rsid w:val="000E404D"/>
    <w:rsid w:val="000E4081"/>
    <w:rsid w:val="000E40A1"/>
    <w:rsid w:val="000E4126"/>
    <w:rsid w:val="000E4223"/>
    <w:rsid w:val="000E4296"/>
    <w:rsid w:val="000E432D"/>
    <w:rsid w:val="000E4890"/>
    <w:rsid w:val="000E48D9"/>
    <w:rsid w:val="000E49A7"/>
    <w:rsid w:val="000E4AE1"/>
    <w:rsid w:val="000E4B6A"/>
    <w:rsid w:val="000E4C85"/>
    <w:rsid w:val="000E4D2E"/>
    <w:rsid w:val="000E4E0D"/>
    <w:rsid w:val="000E4E8C"/>
    <w:rsid w:val="000E4EE0"/>
    <w:rsid w:val="000E4F91"/>
    <w:rsid w:val="000E4FA0"/>
    <w:rsid w:val="000E5074"/>
    <w:rsid w:val="000E520F"/>
    <w:rsid w:val="000E532E"/>
    <w:rsid w:val="000E5507"/>
    <w:rsid w:val="000E5580"/>
    <w:rsid w:val="000E5600"/>
    <w:rsid w:val="000E5690"/>
    <w:rsid w:val="000E588F"/>
    <w:rsid w:val="000E594B"/>
    <w:rsid w:val="000E598B"/>
    <w:rsid w:val="000E5A49"/>
    <w:rsid w:val="000E5B43"/>
    <w:rsid w:val="000E5C36"/>
    <w:rsid w:val="000E5C46"/>
    <w:rsid w:val="000E5CCD"/>
    <w:rsid w:val="000E5DF2"/>
    <w:rsid w:val="000E5E71"/>
    <w:rsid w:val="000E5F60"/>
    <w:rsid w:val="000E60C8"/>
    <w:rsid w:val="000E6303"/>
    <w:rsid w:val="000E64A5"/>
    <w:rsid w:val="000E660C"/>
    <w:rsid w:val="000E6737"/>
    <w:rsid w:val="000E673F"/>
    <w:rsid w:val="000E684E"/>
    <w:rsid w:val="000E6874"/>
    <w:rsid w:val="000E691F"/>
    <w:rsid w:val="000E6A64"/>
    <w:rsid w:val="000E6C06"/>
    <w:rsid w:val="000E6C98"/>
    <w:rsid w:val="000E6D8A"/>
    <w:rsid w:val="000E6E17"/>
    <w:rsid w:val="000E6EE3"/>
    <w:rsid w:val="000E7420"/>
    <w:rsid w:val="000E74B5"/>
    <w:rsid w:val="000E75BB"/>
    <w:rsid w:val="000E762F"/>
    <w:rsid w:val="000E7777"/>
    <w:rsid w:val="000E7788"/>
    <w:rsid w:val="000E77E7"/>
    <w:rsid w:val="000E792B"/>
    <w:rsid w:val="000E7A16"/>
    <w:rsid w:val="000E7A49"/>
    <w:rsid w:val="000E7A6F"/>
    <w:rsid w:val="000E7A7E"/>
    <w:rsid w:val="000E7AB9"/>
    <w:rsid w:val="000E7B81"/>
    <w:rsid w:val="000E7BD7"/>
    <w:rsid w:val="000E7C0F"/>
    <w:rsid w:val="000E7E36"/>
    <w:rsid w:val="000E7ED0"/>
    <w:rsid w:val="000E7F99"/>
    <w:rsid w:val="000F00F8"/>
    <w:rsid w:val="000F0498"/>
    <w:rsid w:val="000F04B6"/>
    <w:rsid w:val="000F05FA"/>
    <w:rsid w:val="000F077A"/>
    <w:rsid w:val="000F08F5"/>
    <w:rsid w:val="000F0982"/>
    <w:rsid w:val="000F10F1"/>
    <w:rsid w:val="000F13FC"/>
    <w:rsid w:val="000F1493"/>
    <w:rsid w:val="000F14D3"/>
    <w:rsid w:val="000F153A"/>
    <w:rsid w:val="000F1710"/>
    <w:rsid w:val="000F1736"/>
    <w:rsid w:val="000F19A9"/>
    <w:rsid w:val="000F1C8A"/>
    <w:rsid w:val="000F1E90"/>
    <w:rsid w:val="000F1EF1"/>
    <w:rsid w:val="000F2032"/>
    <w:rsid w:val="000F20BC"/>
    <w:rsid w:val="000F22B1"/>
    <w:rsid w:val="000F2489"/>
    <w:rsid w:val="000F2607"/>
    <w:rsid w:val="000F2648"/>
    <w:rsid w:val="000F266C"/>
    <w:rsid w:val="000F26A6"/>
    <w:rsid w:val="000F26B0"/>
    <w:rsid w:val="000F271B"/>
    <w:rsid w:val="000F2865"/>
    <w:rsid w:val="000F2A15"/>
    <w:rsid w:val="000F2BF0"/>
    <w:rsid w:val="000F2C4B"/>
    <w:rsid w:val="000F2C71"/>
    <w:rsid w:val="000F2C7A"/>
    <w:rsid w:val="000F2C8C"/>
    <w:rsid w:val="000F2D29"/>
    <w:rsid w:val="000F2DD7"/>
    <w:rsid w:val="000F2EBE"/>
    <w:rsid w:val="000F2FC8"/>
    <w:rsid w:val="000F3087"/>
    <w:rsid w:val="000F308C"/>
    <w:rsid w:val="000F31EC"/>
    <w:rsid w:val="000F3236"/>
    <w:rsid w:val="000F343F"/>
    <w:rsid w:val="000F378C"/>
    <w:rsid w:val="000F37CA"/>
    <w:rsid w:val="000F3A5C"/>
    <w:rsid w:val="000F3A72"/>
    <w:rsid w:val="000F3C2D"/>
    <w:rsid w:val="000F3D12"/>
    <w:rsid w:val="000F425A"/>
    <w:rsid w:val="000F442B"/>
    <w:rsid w:val="000F4433"/>
    <w:rsid w:val="000F460E"/>
    <w:rsid w:val="000F47EF"/>
    <w:rsid w:val="000F4894"/>
    <w:rsid w:val="000F495F"/>
    <w:rsid w:val="000F4B5A"/>
    <w:rsid w:val="000F4C6A"/>
    <w:rsid w:val="000F4D66"/>
    <w:rsid w:val="000F4DC3"/>
    <w:rsid w:val="000F4EB1"/>
    <w:rsid w:val="000F4EEA"/>
    <w:rsid w:val="000F5063"/>
    <w:rsid w:val="000F50C8"/>
    <w:rsid w:val="000F523C"/>
    <w:rsid w:val="000F535A"/>
    <w:rsid w:val="000F53B0"/>
    <w:rsid w:val="000F5484"/>
    <w:rsid w:val="000F5493"/>
    <w:rsid w:val="000F56D7"/>
    <w:rsid w:val="000F5800"/>
    <w:rsid w:val="000F599C"/>
    <w:rsid w:val="000F5A0F"/>
    <w:rsid w:val="000F5A38"/>
    <w:rsid w:val="000F5AE1"/>
    <w:rsid w:val="000F5B09"/>
    <w:rsid w:val="000F5B53"/>
    <w:rsid w:val="000F5B81"/>
    <w:rsid w:val="000F5BB3"/>
    <w:rsid w:val="000F5C70"/>
    <w:rsid w:val="000F5D08"/>
    <w:rsid w:val="000F5D32"/>
    <w:rsid w:val="000F5DFB"/>
    <w:rsid w:val="000F5F87"/>
    <w:rsid w:val="000F62F0"/>
    <w:rsid w:val="000F631A"/>
    <w:rsid w:val="000F631E"/>
    <w:rsid w:val="000F63E9"/>
    <w:rsid w:val="000F64B4"/>
    <w:rsid w:val="000F65AB"/>
    <w:rsid w:val="000F66A1"/>
    <w:rsid w:val="000F6722"/>
    <w:rsid w:val="000F680C"/>
    <w:rsid w:val="000F6820"/>
    <w:rsid w:val="000F6897"/>
    <w:rsid w:val="000F69C9"/>
    <w:rsid w:val="000F6A63"/>
    <w:rsid w:val="000F6A7A"/>
    <w:rsid w:val="000F6B25"/>
    <w:rsid w:val="000F6C30"/>
    <w:rsid w:val="000F6E84"/>
    <w:rsid w:val="000F703C"/>
    <w:rsid w:val="000F71C9"/>
    <w:rsid w:val="000F76E4"/>
    <w:rsid w:val="000F7717"/>
    <w:rsid w:val="000F7982"/>
    <w:rsid w:val="000F79E9"/>
    <w:rsid w:val="000F7A2B"/>
    <w:rsid w:val="000F7BD9"/>
    <w:rsid w:val="000F7DC0"/>
    <w:rsid w:val="000F7E9B"/>
    <w:rsid w:val="0010009E"/>
    <w:rsid w:val="001001B0"/>
    <w:rsid w:val="001001B6"/>
    <w:rsid w:val="0010024A"/>
    <w:rsid w:val="0010047A"/>
    <w:rsid w:val="0010056A"/>
    <w:rsid w:val="00100588"/>
    <w:rsid w:val="001006E4"/>
    <w:rsid w:val="00100710"/>
    <w:rsid w:val="00100712"/>
    <w:rsid w:val="00100906"/>
    <w:rsid w:val="00100CB5"/>
    <w:rsid w:val="00100CEC"/>
    <w:rsid w:val="00100D7F"/>
    <w:rsid w:val="00100F2C"/>
    <w:rsid w:val="0010106C"/>
    <w:rsid w:val="0010112C"/>
    <w:rsid w:val="00101315"/>
    <w:rsid w:val="0010148D"/>
    <w:rsid w:val="001014E8"/>
    <w:rsid w:val="001019AC"/>
    <w:rsid w:val="00101A16"/>
    <w:rsid w:val="00101B48"/>
    <w:rsid w:val="00101C6D"/>
    <w:rsid w:val="00101CD7"/>
    <w:rsid w:val="00101E6A"/>
    <w:rsid w:val="0010211D"/>
    <w:rsid w:val="00102174"/>
    <w:rsid w:val="0010220A"/>
    <w:rsid w:val="0010221C"/>
    <w:rsid w:val="00102377"/>
    <w:rsid w:val="001024CC"/>
    <w:rsid w:val="0010270F"/>
    <w:rsid w:val="0010272B"/>
    <w:rsid w:val="001027F5"/>
    <w:rsid w:val="00102859"/>
    <w:rsid w:val="00102A11"/>
    <w:rsid w:val="00102C22"/>
    <w:rsid w:val="00102DB8"/>
    <w:rsid w:val="00102FB2"/>
    <w:rsid w:val="00103040"/>
    <w:rsid w:val="001030BA"/>
    <w:rsid w:val="001030CA"/>
    <w:rsid w:val="00103133"/>
    <w:rsid w:val="0010313B"/>
    <w:rsid w:val="00103142"/>
    <w:rsid w:val="0010315C"/>
    <w:rsid w:val="0010319F"/>
    <w:rsid w:val="001032E3"/>
    <w:rsid w:val="001034AD"/>
    <w:rsid w:val="00103513"/>
    <w:rsid w:val="0010356C"/>
    <w:rsid w:val="0010359B"/>
    <w:rsid w:val="0010361E"/>
    <w:rsid w:val="00103770"/>
    <w:rsid w:val="0010386A"/>
    <w:rsid w:val="001038DE"/>
    <w:rsid w:val="00103B84"/>
    <w:rsid w:val="00103BCA"/>
    <w:rsid w:val="00103C1E"/>
    <w:rsid w:val="00103D0D"/>
    <w:rsid w:val="00104109"/>
    <w:rsid w:val="001042AD"/>
    <w:rsid w:val="001042EA"/>
    <w:rsid w:val="0010430E"/>
    <w:rsid w:val="00104313"/>
    <w:rsid w:val="00104320"/>
    <w:rsid w:val="001043EB"/>
    <w:rsid w:val="0010443C"/>
    <w:rsid w:val="001045C8"/>
    <w:rsid w:val="00104622"/>
    <w:rsid w:val="0010464E"/>
    <w:rsid w:val="0010481C"/>
    <w:rsid w:val="001049D0"/>
    <w:rsid w:val="00104D46"/>
    <w:rsid w:val="00104DBC"/>
    <w:rsid w:val="00104DD4"/>
    <w:rsid w:val="001053E6"/>
    <w:rsid w:val="00105613"/>
    <w:rsid w:val="00105A28"/>
    <w:rsid w:val="00105C78"/>
    <w:rsid w:val="00105D56"/>
    <w:rsid w:val="00105E25"/>
    <w:rsid w:val="0010608E"/>
    <w:rsid w:val="00106154"/>
    <w:rsid w:val="0010617D"/>
    <w:rsid w:val="00106289"/>
    <w:rsid w:val="0010658B"/>
    <w:rsid w:val="001066A9"/>
    <w:rsid w:val="00106702"/>
    <w:rsid w:val="00106887"/>
    <w:rsid w:val="00106976"/>
    <w:rsid w:val="00106C96"/>
    <w:rsid w:val="00106CCA"/>
    <w:rsid w:val="00106E74"/>
    <w:rsid w:val="00106E87"/>
    <w:rsid w:val="00106F0F"/>
    <w:rsid w:val="00106FC5"/>
    <w:rsid w:val="00106FD1"/>
    <w:rsid w:val="00106FD6"/>
    <w:rsid w:val="001070CE"/>
    <w:rsid w:val="00107483"/>
    <w:rsid w:val="001074FB"/>
    <w:rsid w:val="00107588"/>
    <w:rsid w:val="00107840"/>
    <w:rsid w:val="00107947"/>
    <w:rsid w:val="00107A6E"/>
    <w:rsid w:val="00107AB8"/>
    <w:rsid w:val="00107B80"/>
    <w:rsid w:val="00107E2D"/>
    <w:rsid w:val="00107E71"/>
    <w:rsid w:val="00107EF1"/>
    <w:rsid w:val="001100A4"/>
    <w:rsid w:val="001100AB"/>
    <w:rsid w:val="001101D8"/>
    <w:rsid w:val="001102B4"/>
    <w:rsid w:val="0011034D"/>
    <w:rsid w:val="00110457"/>
    <w:rsid w:val="001105A9"/>
    <w:rsid w:val="00110755"/>
    <w:rsid w:val="00110A31"/>
    <w:rsid w:val="00110A54"/>
    <w:rsid w:val="00110F0C"/>
    <w:rsid w:val="00111051"/>
    <w:rsid w:val="001110B9"/>
    <w:rsid w:val="001110DB"/>
    <w:rsid w:val="001110E9"/>
    <w:rsid w:val="00111585"/>
    <w:rsid w:val="0011158F"/>
    <w:rsid w:val="00111631"/>
    <w:rsid w:val="001116BC"/>
    <w:rsid w:val="00111760"/>
    <w:rsid w:val="0011197E"/>
    <w:rsid w:val="00111A06"/>
    <w:rsid w:val="00111A34"/>
    <w:rsid w:val="00111B0E"/>
    <w:rsid w:val="00111C07"/>
    <w:rsid w:val="00111E99"/>
    <w:rsid w:val="00111EC2"/>
    <w:rsid w:val="00112039"/>
    <w:rsid w:val="00112178"/>
    <w:rsid w:val="0011218E"/>
    <w:rsid w:val="001121C7"/>
    <w:rsid w:val="00112479"/>
    <w:rsid w:val="00112480"/>
    <w:rsid w:val="001124CD"/>
    <w:rsid w:val="0011250C"/>
    <w:rsid w:val="00112565"/>
    <w:rsid w:val="0011265E"/>
    <w:rsid w:val="0011269C"/>
    <w:rsid w:val="001126D5"/>
    <w:rsid w:val="00112A73"/>
    <w:rsid w:val="00112B7B"/>
    <w:rsid w:val="00112D01"/>
    <w:rsid w:val="00112E2A"/>
    <w:rsid w:val="00112E5B"/>
    <w:rsid w:val="00112F67"/>
    <w:rsid w:val="00113000"/>
    <w:rsid w:val="001130CD"/>
    <w:rsid w:val="001133B0"/>
    <w:rsid w:val="00113644"/>
    <w:rsid w:val="00113888"/>
    <w:rsid w:val="0011395F"/>
    <w:rsid w:val="00113999"/>
    <w:rsid w:val="001139B1"/>
    <w:rsid w:val="00113B8B"/>
    <w:rsid w:val="00113CA0"/>
    <w:rsid w:val="00113D3C"/>
    <w:rsid w:val="00113DBE"/>
    <w:rsid w:val="00113E44"/>
    <w:rsid w:val="00113FC6"/>
    <w:rsid w:val="0011404D"/>
    <w:rsid w:val="001142C8"/>
    <w:rsid w:val="0011437D"/>
    <w:rsid w:val="001144AA"/>
    <w:rsid w:val="001144DC"/>
    <w:rsid w:val="0011460C"/>
    <w:rsid w:val="00114706"/>
    <w:rsid w:val="0011489B"/>
    <w:rsid w:val="001148F2"/>
    <w:rsid w:val="001149A3"/>
    <w:rsid w:val="00114BD6"/>
    <w:rsid w:val="00114BF5"/>
    <w:rsid w:val="00114BF6"/>
    <w:rsid w:val="00114CE2"/>
    <w:rsid w:val="00114D0B"/>
    <w:rsid w:val="00114DBA"/>
    <w:rsid w:val="00114E51"/>
    <w:rsid w:val="00114E66"/>
    <w:rsid w:val="00114E7F"/>
    <w:rsid w:val="00114FBA"/>
    <w:rsid w:val="00115018"/>
    <w:rsid w:val="00115059"/>
    <w:rsid w:val="0011508B"/>
    <w:rsid w:val="00115314"/>
    <w:rsid w:val="00115463"/>
    <w:rsid w:val="001155A2"/>
    <w:rsid w:val="0011568F"/>
    <w:rsid w:val="001158C0"/>
    <w:rsid w:val="001159BD"/>
    <w:rsid w:val="00115A6A"/>
    <w:rsid w:val="00115ACD"/>
    <w:rsid w:val="00115B00"/>
    <w:rsid w:val="00115B92"/>
    <w:rsid w:val="00115C6D"/>
    <w:rsid w:val="00115E50"/>
    <w:rsid w:val="00115E74"/>
    <w:rsid w:val="00115F0E"/>
    <w:rsid w:val="00115F88"/>
    <w:rsid w:val="001160F6"/>
    <w:rsid w:val="0011618B"/>
    <w:rsid w:val="0011627C"/>
    <w:rsid w:val="001165F8"/>
    <w:rsid w:val="0011671B"/>
    <w:rsid w:val="00116740"/>
    <w:rsid w:val="0011675C"/>
    <w:rsid w:val="00116878"/>
    <w:rsid w:val="001169AC"/>
    <w:rsid w:val="001169CA"/>
    <w:rsid w:val="001169DB"/>
    <w:rsid w:val="001169E8"/>
    <w:rsid w:val="00116A6B"/>
    <w:rsid w:val="00116AB5"/>
    <w:rsid w:val="00116B12"/>
    <w:rsid w:val="00116B96"/>
    <w:rsid w:val="00116C56"/>
    <w:rsid w:val="00116CB6"/>
    <w:rsid w:val="00116D05"/>
    <w:rsid w:val="00116E4D"/>
    <w:rsid w:val="00116F40"/>
    <w:rsid w:val="00116F65"/>
    <w:rsid w:val="00116F76"/>
    <w:rsid w:val="00116F97"/>
    <w:rsid w:val="001170A8"/>
    <w:rsid w:val="0011718E"/>
    <w:rsid w:val="00117226"/>
    <w:rsid w:val="00117228"/>
    <w:rsid w:val="0011735B"/>
    <w:rsid w:val="001174BD"/>
    <w:rsid w:val="001175FC"/>
    <w:rsid w:val="00117749"/>
    <w:rsid w:val="00117790"/>
    <w:rsid w:val="00117792"/>
    <w:rsid w:val="00117BD7"/>
    <w:rsid w:val="00117CC4"/>
    <w:rsid w:val="00117ED3"/>
    <w:rsid w:val="00117F4E"/>
    <w:rsid w:val="001200FA"/>
    <w:rsid w:val="0012023C"/>
    <w:rsid w:val="0012041A"/>
    <w:rsid w:val="001204C8"/>
    <w:rsid w:val="001204E2"/>
    <w:rsid w:val="00120526"/>
    <w:rsid w:val="001205FC"/>
    <w:rsid w:val="0012068A"/>
    <w:rsid w:val="001206A1"/>
    <w:rsid w:val="00120764"/>
    <w:rsid w:val="001207BE"/>
    <w:rsid w:val="00120A1C"/>
    <w:rsid w:val="00120B4B"/>
    <w:rsid w:val="00120DED"/>
    <w:rsid w:val="00120FDA"/>
    <w:rsid w:val="00121196"/>
    <w:rsid w:val="001211CE"/>
    <w:rsid w:val="00121286"/>
    <w:rsid w:val="00121361"/>
    <w:rsid w:val="00121640"/>
    <w:rsid w:val="001216C2"/>
    <w:rsid w:val="001216C7"/>
    <w:rsid w:val="0012177E"/>
    <w:rsid w:val="00121834"/>
    <w:rsid w:val="00121941"/>
    <w:rsid w:val="00121A60"/>
    <w:rsid w:val="00121A6B"/>
    <w:rsid w:val="00121AD6"/>
    <w:rsid w:val="00121B81"/>
    <w:rsid w:val="00121C06"/>
    <w:rsid w:val="00121C87"/>
    <w:rsid w:val="00121D15"/>
    <w:rsid w:val="00121E60"/>
    <w:rsid w:val="00121E94"/>
    <w:rsid w:val="00121ECE"/>
    <w:rsid w:val="00121F64"/>
    <w:rsid w:val="001220C8"/>
    <w:rsid w:val="00122131"/>
    <w:rsid w:val="0012214E"/>
    <w:rsid w:val="0012218B"/>
    <w:rsid w:val="001221DF"/>
    <w:rsid w:val="001222D2"/>
    <w:rsid w:val="001222F6"/>
    <w:rsid w:val="001223CA"/>
    <w:rsid w:val="00122470"/>
    <w:rsid w:val="00122526"/>
    <w:rsid w:val="0012262A"/>
    <w:rsid w:val="00122746"/>
    <w:rsid w:val="0012288D"/>
    <w:rsid w:val="00122939"/>
    <w:rsid w:val="00122AC0"/>
    <w:rsid w:val="00122AC4"/>
    <w:rsid w:val="00122BB5"/>
    <w:rsid w:val="00122CBF"/>
    <w:rsid w:val="00122F3B"/>
    <w:rsid w:val="00122FC3"/>
    <w:rsid w:val="0012303F"/>
    <w:rsid w:val="00123056"/>
    <w:rsid w:val="001230F4"/>
    <w:rsid w:val="00123132"/>
    <w:rsid w:val="0012317B"/>
    <w:rsid w:val="001231E6"/>
    <w:rsid w:val="00123212"/>
    <w:rsid w:val="001232E6"/>
    <w:rsid w:val="0012339B"/>
    <w:rsid w:val="00123447"/>
    <w:rsid w:val="001234D1"/>
    <w:rsid w:val="00123529"/>
    <w:rsid w:val="00123543"/>
    <w:rsid w:val="00123586"/>
    <w:rsid w:val="001235B5"/>
    <w:rsid w:val="001237F8"/>
    <w:rsid w:val="0012387A"/>
    <w:rsid w:val="00123A51"/>
    <w:rsid w:val="00123BE0"/>
    <w:rsid w:val="00123C09"/>
    <w:rsid w:val="00123C1B"/>
    <w:rsid w:val="00123DC5"/>
    <w:rsid w:val="00123DF8"/>
    <w:rsid w:val="00123E66"/>
    <w:rsid w:val="00123F1A"/>
    <w:rsid w:val="0012408B"/>
    <w:rsid w:val="001240CA"/>
    <w:rsid w:val="001241C9"/>
    <w:rsid w:val="00124293"/>
    <w:rsid w:val="00124344"/>
    <w:rsid w:val="0012439B"/>
    <w:rsid w:val="00124521"/>
    <w:rsid w:val="00124695"/>
    <w:rsid w:val="001247A7"/>
    <w:rsid w:val="001248D3"/>
    <w:rsid w:val="00124C6C"/>
    <w:rsid w:val="00124C81"/>
    <w:rsid w:val="00124CF1"/>
    <w:rsid w:val="001250C1"/>
    <w:rsid w:val="001251E8"/>
    <w:rsid w:val="0012532E"/>
    <w:rsid w:val="00125368"/>
    <w:rsid w:val="0012556A"/>
    <w:rsid w:val="0012556B"/>
    <w:rsid w:val="001257F9"/>
    <w:rsid w:val="001257FF"/>
    <w:rsid w:val="001258FC"/>
    <w:rsid w:val="0012599C"/>
    <w:rsid w:val="00125A14"/>
    <w:rsid w:val="00125C83"/>
    <w:rsid w:val="00125DCF"/>
    <w:rsid w:val="00125FE6"/>
    <w:rsid w:val="00126172"/>
    <w:rsid w:val="001262C3"/>
    <w:rsid w:val="001262E5"/>
    <w:rsid w:val="00126452"/>
    <w:rsid w:val="00126561"/>
    <w:rsid w:val="00126799"/>
    <w:rsid w:val="001267F4"/>
    <w:rsid w:val="0012689A"/>
    <w:rsid w:val="001268A3"/>
    <w:rsid w:val="001268F7"/>
    <w:rsid w:val="00126968"/>
    <w:rsid w:val="00126998"/>
    <w:rsid w:val="00126A8C"/>
    <w:rsid w:val="00126BCD"/>
    <w:rsid w:val="00126C50"/>
    <w:rsid w:val="00126D8C"/>
    <w:rsid w:val="00126E8E"/>
    <w:rsid w:val="00127243"/>
    <w:rsid w:val="0012729B"/>
    <w:rsid w:val="00127380"/>
    <w:rsid w:val="001273C6"/>
    <w:rsid w:val="0012751C"/>
    <w:rsid w:val="00127576"/>
    <w:rsid w:val="00127645"/>
    <w:rsid w:val="001278CB"/>
    <w:rsid w:val="0012798E"/>
    <w:rsid w:val="001279A1"/>
    <w:rsid w:val="00127C05"/>
    <w:rsid w:val="00127CB6"/>
    <w:rsid w:val="00127D9B"/>
    <w:rsid w:val="00127E49"/>
    <w:rsid w:val="00127EB2"/>
    <w:rsid w:val="00130045"/>
    <w:rsid w:val="00130150"/>
    <w:rsid w:val="001301AC"/>
    <w:rsid w:val="001301C6"/>
    <w:rsid w:val="001301EA"/>
    <w:rsid w:val="00130242"/>
    <w:rsid w:val="001302C2"/>
    <w:rsid w:val="0013034F"/>
    <w:rsid w:val="001303F0"/>
    <w:rsid w:val="001305D6"/>
    <w:rsid w:val="001306AF"/>
    <w:rsid w:val="001308CC"/>
    <w:rsid w:val="0013098F"/>
    <w:rsid w:val="001309FF"/>
    <w:rsid w:val="00130A11"/>
    <w:rsid w:val="00130CA9"/>
    <w:rsid w:val="00130F24"/>
    <w:rsid w:val="00130F42"/>
    <w:rsid w:val="00130F84"/>
    <w:rsid w:val="0013111C"/>
    <w:rsid w:val="0013118B"/>
    <w:rsid w:val="0013118D"/>
    <w:rsid w:val="001312E9"/>
    <w:rsid w:val="00131382"/>
    <w:rsid w:val="00131422"/>
    <w:rsid w:val="00131493"/>
    <w:rsid w:val="00131A81"/>
    <w:rsid w:val="00131A92"/>
    <w:rsid w:val="00131C61"/>
    <w:rsid w:val="00131D6D"/>
    <w:rsid w:val="00131DC4"/>
    <w:rsid w:val="00132093"/>
    <w:rsid w:val="00132122"/>
    <w:rsid w:val="00132479"/>
    <w:rsid w:val="00132480"/>
    <w:rsid w:val="00132513"/>
    <w:rsid w:val="001326B2"/>
    <w:rsid w:val="0013272C"/>
    <w:rsid w:val="001328C9"/>
    <w:rsid w:val="001328DA"/>
    <w:rsid w:val="0013298F"/>
    <w:rsid w:val="001329F4"/>
    <w:rsid w:val="00132A28"/>
    <w:rsid w:val="00132C7D"/>
    <w:rsid w:val="00132D26"/>
    <w:rsid w:val="00132EDD"/>
    <w:rsid w:val="00132F18"/>
    <w:rsid w:val="00132F76"/>
    <w:rsid w:val="00133031"/>
    <w:rsid w:val="0013310F"/>
    <w:rsid w:val="001331CA"/>
    <w:rsid w:val="001331ED"/>
    <w:rsid w:val="0013336B"/>
    <w:rsid w:val="00133608"/>
    <w:rsid w:val="0013373C"/>
    <w:rsid w:val="001337EA"/>
    <w:rsid w:val="00133869"/>
    <w:rsid w:val="001338C6"/>
    <w:rsid w:val="001338CA"/>
    <w:rsid w:val="0013394A"/>
    <w:rsid w:val="00133976"/>
    <w:rsid w:val="00133AD2"/>
    <w:rsid w:val="00133B3B"/>
    <w:rsid w:val="00133E1E"/>
    <w:rsid w:val="00133E27"/>
    <w:rsid w:val="00133E44"/>
    <w:rsid w:val="00133F48"/>
    <w:rsid w:val="00134005"/>
    <w:rsid w:val="0013415E"/>
    <w:rsid w:val="0013429D"/>
    <w:rsid w:val="001345C0"/>
    <w:rsid w:val="00134A48"/>
    <w:rsid w:val="00134C3D"/>
    <w:rsid w:val="00134C98"/>
    <w:rsid w:val="00134D52"/>
    <w:rsid w:val="00134DC5"/>
    <w:rsid w:val="00134EAF"/>
    <w:rsid w:val="00134EED"/>
    <w:rsid w:val="00134F00"/>
    <w:rsid w:val="00134F41"/>
    <w:rsid w:val="00135133"/>
    <w:rsid w:val="001352EF"/>
    <w:rsid w:val="001353B7"/>
    <w:rsid w:val="001355A3"/>
    <w:rsid w:val="00135636"/>
    <w:rsid w:val="001356A0"/>
    <w:rsid w:val="00135854"/>
    <w:rsid w:val="001358E2"/>
    <w:rsid w:val="0013590B"/>
    <w:rsid w:val="00135918"/>
    <w:rsid w:val="001359FF"/>
    <w:rsid w:val="00135A4A"/>
    <w:rsid w:val="00135AE0"/>
    <w:rsid w:val="00135B22"/>
    <w:rsid w:val="00135D3E"/>
    <w:rsid w:val="00135D3F"/>
    <w:rsid w:val="00135E28"/>
    <w:rsid w:val="00135FCD"/>
    <w:rsid w:val="00136151"/>
    <w:rsid w:val="00136237"/>
    <w:rsid w:val="0013633A"/>
    <w:rsid w:val="001363C1"/>
    <w:rsid w:val="00136488"/>
    <w:rsid w:val="001364E4"/>
    <w:rsid w:val="001365E8"/>
    <w:rsid w:val="001366B5"/>
    <w:rsid w:val="001366F3"/>
    <w:rsid w:val="001369D5"/>
    <w:rsid w:val="00136A94"/>
    <w:rsid w:val="00136AE4"/>
    <w:rsid w:val="00136B7B"/>
    <w:rsid w:val="00136BC8"/>
    <w:rsid w:val="00136C48"/>
    <w:rsid w:val="00136CD0"/>
    <w:rsid w:val="00136F8D"/>
    <w:rsid w:val="00136FC8"/>
    <w:rsid w:val="001370C9"/>
    <w:rsid w:val="001370EE"/>
    <w:rsid w:val="00137116"/>
    <w:rsid w:val="00137117"/>
    <w:rsid w:val="00137137"/>
    <w:rsid w:val="0013731E"/>
    <w:rsid w:val="00137369"/>
    <w:rsid w:val="00137546"/>
    <w:rsid w:val="001376DD"/>
    <w:rsid w:val="00137738"/>
    <w:rsid w:val="001377D8"/>
    <w:rsid w:val="00137A4D"/>
    <w:rsid w:val="00137AC8"/>
    <w:rsid w:val="00137B5C"/>
    <w:rsid w:val="00137BC3"/>
    <w:rsid w:val="00137D64"/>
    <w:rsid w:val="00137DA3"/>
    <w:rsid w:val="00137EB7"/>
    <w:rsid w:val="00137ECF"/>
    <w:rsid w:val="001400E3"/>
    <w:rsid w:val="0014016A"/>
    <w:rsid w:val="00140354"/>
    <w:rsid w:val="001403B0"/>
    <w:rsid w:val="0014047F"/>
    <w:rsid w:val="001404A7"/>
    <w:rsid w:val="0014050F"/>
    <w:rsid w:val="0014058D"/>
    <w:rsid w:val="00140697"/>
    <w:rsid w:val="001406A3"/>
    <w:rsid w:val="0014098E"/>
    <w:rsid w:val="001409D3"/>
    <w:rsid w:val="00140AE3"/>
    <w:rsid w:val="00140B4B"/>
    <w:rsid w:val="00140B5D"/>
    <w:rsid w:val="00140BE6"/>
    <w:rsid w:val="00140BED"/>
    <w:rsid w:val="00140EF5"/>
    <w:rsid w:val="00140F28"/>
    <w:rsid w:val="00140F66"/>
    <w:rsid w:val="00140F80"/>
    <w:rsid w:val="0014102F"/>
    <w:rsid w:val="001410B9"/>
    <w:rsid w:val="00141171"/>
    <w:rsid w:val="0014118F"/>
    <w:rsid w:val="00141195"/>
    <w:rsid w:val="001411BC"/>
    <w:rsid w:val="001411C5"/>
    <w:rsid w:val="0014127C"/>
    <w:rsid w:val="001412F8"/>
    <w:rsid w:val="0014156B"/>
    <w:rsid w:val="00141632"/>
    <w:rsid w:val="0014165D"/>
    <w:rsid w:val="00141922"/>
    <w:rsid w:val="00141932"/>
    <w:rsid w:val="00141AA3"/>
    <w:rsid w:val="00141B54"/>
    <w:rsid w:val="00141B7D"/>
    <w:rsid w:val="00141D2A"/>
    <w:rsid w:val="00141D3B"/>
    <w:rsid w:val="00141D6A"/>
    <w:rsid w:val="001420F2"/>
    <w:rsid w:val="0014225C"/>
    <w:rsid w:val="001423CE"/>
    <w:rsid w:val="001423FE"/>
    <w:rsid w:val="00142414"/>
    <w:rsid w:val="0014243A"/>
    <w:rsid w:val="00142461"/>
    <w:rsid w:val="0014252C"/>
    <w:rsid w:val="00142581"/>
    <w:rsid w:val="00142605"/>
    <w:rsid w:val="001426D3"/>
    <w:rsid w:val="001427C2"/>
    <w:rsid w:val="00142803"/>
    <w:rsid w:val="001429CE"/>
    <w:rsid w:val="001429EF"/>
    <w:rsid w:val="00142A14"/>
    <w:rsid w:val="00142AB4"/>
    <w:rsid w:val="00142BF0"/>
    <w:rsid w:val="00142D35"/>
    <w:rsid w:val="00142D8A"/>
    <w:rsid w:val="00142DED"/>
    <w:rsid w:val="00142F39"/>
    <w:rsid w:val="0014302F"/>
    <w:rsid w:val="00143150"/>
    <w:rsid w:val="001431B4"/>
    <w:rsid w:val="001432DB"/>
    <w:rsid w:val="001433FF"/>
    <w:rsid w:val="001437D3"/>
    <w:rsid w:val="00143812"/>
    <w:rsid w:val="0014389F"/>
    <w:rsid w:val="0014394C"/>
    <w:rsid w:val="00143AD5"/>
    <w:rsid w:val="00143B37"/>
    <w:rsid w:val="00143BDA"/>
    <w:rsid w:val="00143C17"/>
    <w:rsid w:val="00143D98"/>
    <w:rsid w:val="00143EA8"/>
    <w:rsid w:val="001440B2"/>
    <w:rsid w:val="00144519"/>
    <w:rsid w:val="0014454C"/>
    <w:rsid w:val="001447A2"/>
    <w:rsid w:val="001447AB"/>
    <w:rsid w:val="001448A1"/>
    <w:rsid w:val="00144981"/>
    <w:rsid w:val="001449BB"/>
    <w:rsid w:val="00144C99"/>
    <w:rsid w:val="00144CC3"/>
    <w:rsid w:val="00144D70"/>
    <w:rsid w:val="00144DCC"/>
    <w:rsid w:val="00144E85"/>
    <w:rsid w:val="0014505E"/>
    <w:rsid w:val="0014511F"/>
    <w:rsid w:val="00145260"/>
    <w:rsid w:val="001452F7"/>
    <w:rsid w:val="00145522"/>
    <w:rsid w:val="00145591"/>
    <w:rsid w:val="001455EA"/>
    <w:rsid w:val="0014570B"/>
    <w:rsid w:val="0014575B"/>
    <w:rsid w:val="00145814"/>
    <w:rsid w:val="00145899"/>
    <w:rsid w:val="001459D2"/>
    <w:rsid w:val="00145A70"/>
    <w:rsid w:val="00145A94"/>
    <w:rsid w:val="00145B08"/>
    <w:rsid w:val="00145BD9"/>
    <w:rsid w:val="0014603A"/>
    <w:rsid w:val="001462D9"/>
    <w:rsid w:val="001462E3"/>
    <w:rsid w:val="0014631A"/>
    <w:rsid w:val="00146358"/>
    <w:rsid w:val="00146506"/>
    <w:rsid w:val="00146560"/>
    <w:rsid w:val="001465AB"/>
    <w:rsid w:val="001468FF"/>
    <w:rsid w:val="00146AEF"/>
    <w:rsid w:val="00146B6B"/>
    <w:rsid w:val="00146B87"/>
    <w:rsid w:val="00146BD3"/>
    <w:rsid w:val="00146D4F"/>
    <w:rsid w:val="00146DF3"/>
    <w:rsid w:val="00146DFB"/>
    <w:rsid w:val="00146E08"/>
    <w:rsid w:val="00146E33"/>
    <w:rsid w:val="00146EBB"/>
    <w:rsid w:val="00146FD6"/>
    <w:rsid w:val="0014716B"/>
    <w:rsid w:val="0014719B"/>
    <w:rsid w:val="0014726F"/>
    <w:rsid w:val="001477CA"/>
    <w:rsid w:val="0014792F"/>
    <w:rsid w:val="00147962"/>
    <w:rsid w:val="00147A21"/>
    <w:rsid w:val="00147AB3"/>
    <w:rsid w:val="00147C05"/>
    <w:rsid w:val="00147C27"/>
    <w:rsid w:val="00147DC6"/>
    <w:rsid w:val="00147EED"/>
    <w:rsid w:val="00147F70"/>
    <w:rsid w:val="00147F95"/>
    <w:rsid w:val="0015003D"/>
    <w:rsid w:val="00150157"/>
    <w:rsid w:val="001502AF"/>
    <w:rsid w:val="0015032A"/>
    <w:rsid w:val="001504FD"/>
    <w:rsid w:val="001505A1"/>
    <w:rsid w:val="0015060B"/>
    <w:rsid w:val="00150648"/>
    <w:rsid w:val="001506A7"/>
    <w:rsid w:val="00150723"/>
    <w:rsid w:val="0015075B"/>
    <w:rsid w:val="00150823"/>
    <w:rsid w:val="0015083C"/>
    <w:rsid w:val="001508EF"/>
    <w:rsid w:val="001509B4"/>
    <w:rsid w:val="001509C2"/>
    <w:rsid w:val="001509E6"/>
    <w:rsid w:val="00150A04"/>
    <w:rsid w:val="00150A36"/>
    <w:rsid w:val="00150A61"/>
    <w:rsid w:val="00150B8D"/>
    <w:rsid w:val="00150C1F"/>
    <w:rsid w:val="00150D0B"/>
    <w:rsid w:val="00150D24"/>
    <w:rsid w:val="00150D52"/>
    <w:rsid w:val="00150F13"/>
    <w:rsid w:val="00150F21"/>
    <w:rsid w:val="00150F2A"/>
    <w:rsid w:val="00150F98"/>
    <w:rsid w:val="00151053"/>
    <w:rsid w:val="00151084"/>
    <w:rsid w:val="001511E9"/>
    <w:rsid w:val="001511F1"/>
    <w:rsid w:val="00151241"/>
    <w:rsid w:val="00151389"/>
    <w:rsid w:val="001513A0"/>
    <w:rsid w:val="001516F3"/>
    <w:rsid w:val="00151A78"/>
    <w:rsid w:val="00151C40"/>
    <w:rsid w:val="00151D26"/>
    <w:rsid w:val="00151DDC"/>
    <w:rsid w:val="00151F9A"/>
    <w:rsid w:val="001521E9"/>
    <w:rsid w:val="0015223F"/>
    <w:rsid w:val="00152353"/>
    <w:rsid w:val="0015237E"/>
    <w:rsid w:val="0015246D"/>
    <w:rsid w:val="0015248B"/>
    <w:rsid w:val="001524CC"/>
    <w:rsid w:val="001524CD"/>
    <w:rsid w:val="0015263D"/>
    <w:rsid w:val="001526AE"/>
    <w:rsid w:val="00152806"/>
    <w:rsid w:val="0015290F"/>
    <w:rsid w:val="00152B87"/>
    <w:rsid w:val="00152BF3"/>
    <w:rsid w:val="00152CEC"/>
    <w:rsid w:val="00152D08"/>
    <w:rsid w:val="00152EC2"/>
    <w:rsid w:val="00153080"/>
    <w:rsid w:val="001531E0"/>
    <w:rsid w:val="00153205"/>
    <w:rsid w:val="00153387"/>
    <w:rsid w:val="001533CD"/>
    <w:rsid w:val="001533EC"/>
    <w:rsid w:val="00153427"/>
    <w:rsid w:val="00153489"/>
    <w:rsid w:val="00153560"/>
    <w:rsid w:val="001535BE"/>
    <w:rsid w:val="00153603"/>
    <w:rsid w:val="00153937"/>
    <w:rsid w:val="00153B5B"/>
    <w:rsid w:val="00153B9C"/>
    <w:rsid w:val="00153BFA"/>
    <w:rsid w:val="00153D3F"/>
    <w:rsid w:val="00153E37"/>
    <w:rsid w:val="001540CC"/>
    <w:rsid w:val="001540D3"/>
    <w:rsid w:val="001541BF"/>
    <w:rsid w:val="0015429B"/>
    <w:rsid w:val="00154372"/>
    <w:rsid w:val="001543DE"/>
    <w:rsid w:val="00154466"/>
    <w:rsid w:val="001545A8"/>
    <w:rsid w:val="00154B40"/>
    <w:rsid w:val="00154D10"/>
    <w:rsid w:val="00154D1C"/>
    <w:rsid w:val="00154D7F"/>
    <w:rsid w:val="00154DAB"/>
    <w:rsid w:val="00154DFC"/>
    <w:rsid w:val="00154F3F"/>
    <w:rsid w:val="00155050"/>
    <w:rsid w:val="00155145"/>
    <w:rsid w:val="001551E4"/>
    <w:rsid w:val="001551FE"/>
    <w:rsid w:val="001552B7"/>
    <w:rsid w:val="0015544E"/>
    <w:rsid w:val="001554B5"/>
    <w:rsid w:val="00155619"/>
    <w:rsid w:val="00155782"/>
    <w:rsid w:val="001557D4"/>
    <w:rsid w:val="001557E3"/>
    <w:rsid w:val="0015582C"/>
    <w:rsid w:val="0015594F"/>
    <w:rsid w:val="0015595F"/>
    <w:rsid w:val="00155B3A"/>
    <w:rsid w:val="00155B84"/>
    <w:rsid w:val="00155CB3"/>
    <w:rsid w:val="00155DC6"/>
    <w:rsid w:val="00155E51"/>
    <w:rsid w:val="00155EB9"/>
    <w:rsid w:val="00155EF1"/>
    <w:rsid w:val="00155F4E"/>
    <w:rsid w:val="00155F70"/>
    <w:rsid w:val="001560CD"/>
    <w:rsid w:val="0015621A"/>
    <w:rsid w:val="0015626A"/>
    <w:rsid w:val="001562B4"/>
    <w:rsid w:val="001563CD"/>
    <w:rsid w:val="00156448"/>
    <w:rsid w:val="00156534"/>
    <w:rsid w:val="00156711"/>
    <w:rsid w:val="00156824"/>
    <w:rsid w:val="0015694B"/>
    <w:rsid w:val="00156A48"/>
    <w:rsid w:val="00156B47"/>
    <w:rsid w:val="00156B5D"/>
    <w:rsid w:val="00156BDF"/>
    <w:rsid w:val="00156CF2"/>
    <w:rsid w:val="00156D42"/>
    <w:rsid w:val="00156EF6"/>
    <w:rsid w:val="00156F2E"/>
    <w:rsid w:val="00157275"/>
    <w:rsid w:val="001572C5"/>
    <w:rsid w:val="00157507"/>
    <w:rsid w:val="00157771"/>
    <w:rsid w:val="0015783F"/>
    <w:rsid w:val="00157840"/>
    <w:rsid w:val="0015784D"/>
    <w:rsid w:val="0015785E"/>
    <w:rsid w:val="00157900"/>
    <w:rsid w:val="001579F2"/>
    <w:rsid w:val="00157B3E"/>
    <w:rsid w:val="00157C5F"/>
    <w:rsid w:val="00157E73"/>
    <w:rsid w:val="00157E83"/>
    <w:rsid w:val="00157E8A"/>
    <w:rsid w:val="00157F4F"/>
    <w:rsid w:val="00157F8C"/>
    <w:rsid w:val="00157FA1"/>
    <w:rsid w:val="001601E6"/>
    <w:rsid w:val="00160268"/>
    <w:rsid w:val="00160277"/>
    <w:rsid w:val="00160287"/>
    <w:rsid w:val="001602D6"/>
    <w:rsid w:val="00160460"/>
    <w:rsid w:val="001604DA"/>
    <w:rsid w:val="0016056C"/>
    <w:rsid w:val="0016065A"/>
    <w:rsid w:val="001607B2"/>
    <w:rsid w:val="0016097E"/>
    <w:rsid w:val="00160B02"/>
    <w:rsid w:val="00160DB0"/>
    <w:rsid w:val="00160E90"/>
    <w:rsid w:val="00161009"/>
    <w:rsid w:val="001611A9"/>
    <w:rsid w:val="001611E0"/>
    <w:rsid w:val="00161217"/>
    <w:rsid w:val="0016158E"/>
    <w:rsid w:val="001615B2"/>
    <w:rsid w:val="001617EC"/>
    <w:rsid w:val="001618BD"/>
    <w:rsid w:val="0016190B"/>
    <w:rsid w:val="0016195B"/>
    <w:rsid w:val="00161AE4"/>
    <w:rsid w:val="00161B04"/>
    <w:rsid w:val="00161B8E"/>
    <w:rsid w:val="00161C36"/>
    <w:rsid w:val="00161C79"/>
    <w:rsid w:val="00161E6C"/>
    <w:rsid w:val="00161FE0"/>
    <w:rsid w:val="0016213C"/>
    <w:rsid w:val="00162374"/>
    <w:rsid w:val="0016257A"/>
    <w:rsid w:val="00162675"/>
    <w:rsid w:val="00162775"/>
    <w:rsid w:val="001627DB"/>
    <w:rsid w:val="00162860"/>
    <w:rsid w:val="00162AA1"/>
    <w:rsid w:val="00162BEF"/>
    <w:rsid w:val="00162C87"/>
    <w:rsid w:val="00162CF3"/>
    <w:rsid w:val="00162D62"/>
    <w:rsid w:val="00162ED3"/>
    <w:rsid w:val="0016309F"/>
    <w:rsid w:val="001630E0"/>
    <w:rsid w:val="00163107"/>
    <w:rsid w:val="00163249"/>
    <w:rsid w:val="0016330E"/>
    <w:rsid w:val="001633A9"/>
    <w:rsid w:val="001633C2"/>
    <w:rsid w:val="0016352E"/>
    <w:rsid w:val="0016387C"/>
    <w:rsid w:val="001638EF"/>
    <w:rsid w:val="00163965"/>
    <w:rsid w:val="0016397C"/>
    <w:rsid w:val="00163A41"/>
    <w:rsid w:val="00163BA2"/>
    <w:rsid w:val="00163C2F"/>
    <w:rsid w:val="00163CFB"/>
    <w:rsid w:val="00163D2B"/>
    <w:rsid w:val="00163D71"/>
    <w:rsid w:val="00163D95"/>
    <w:rsid w:val="00163E0D"/>
    <w:rsid w:val="00163EC4"/>
    <w:rsid w:val="00163F26"/>
    <w:rsid w:val="00163FD4"/>
    <w:rsid w:val="00164029"/>
    <w:rsid w:val="001640F6"/>
    <w:rsid w:val="0016412C"/>
    <w:rsid w:val="00164370"/>
    <w:rsid w:val="001644F2"/>
    <w:rsid w:val="00164737"/>
    <w:rsid w:val="0016477A"/>
    <w:rsid w:val="001647E0"/>
    <w:rsid w:val="00164875"/>
    <w:rsid w:val="0016499F"/>
    <w:rsid w:val="00164DD3"/>
    <w:rsid w:val="00165068"/>
    <w:rsid w:val="0016516E"/>
    <w:rsid w:val="0016518E"/>
    <w:rsid w:val="00165312"/>
    <w:rsid w:val="0016533E"/>
    <w:rsid w:val="00165472"/>
    <w:rsid w:val="001655A8"/>
    <w:rsid w:val="001657F4"/>
    <w:rsid w:val="00165847"/>
    <w:rsid w:val="00165A92"/>
    <w:rsid w:val="00165AE9"/>
    <w:rsid w:val="00165BB3"/>
    <w:rsid w:val="00165C99"/>
    <w:rsid w:val="00165D45"/>
    <w:rsid w:val="00165E4E"/>
    <w:rsid w:val="00165EDC"/>
    <w:rsid w:val="00166140"/>
    <w:rsid w:val="00166170"/>
    <w:rsid w:val="00166550"/>
    <w:rsid w:val="001665EF"/>
    <w:rsid w:val="00166840"/>
    <w:rsid w:val="0016692D"/>
    <w:rsid w:val="00166A32"/>
    <w:rsid w:val="00166B04"/>
    <w:rsid w:val="00166B6D"/>
    <w:rsid w:val="00166BD8"/>
    <w:rsid w:val="00166C65"/>
    <w:rsid w:val="00166E31"/>
    <w:rsid w:val="00166F78"/>
    <w:rsid w:val="00167082"/>
    <w:rsid w:val="00167222"/>
    <w:rsid w:val="001674E1"/>
    <w:rsid w:val="001675BD"/>
    <w:rsid w:val="001675EA"/>
    <w:rsid w:val="001677A0"/>
    <w:rsid w:val="00167D33"/>
    <w:rsid w:val="00167D46"/>
    <w:rsid w:val="00167FA3"/>
    <w:rsid w:val="00167FD7"/>
    <w:rsid w:val="0017004F"/>
    <w:rsid w:val="0017034C"/>
    <w:rsid w:val="001703D1"/>
    <w:rsid w:val="001703D5"/>
    <w:rsid w:val="001705C9"/>
    <w:rsid w:val="0017062B"/>
    <w:rsid w:val="00170671"/>
    <w:rsid w:val="00170749"/>
    <w:rsid w:val="00170895"/>
    <w:rsid w:val="001709DF"/>
    <w:rsid w:val="00170ADA"/>
    <w:rsid w:val="00170B21"/>
    <w:rsid w:val="00170BBD"/>
    <w:rsid w:val="00170BD7"/>
    <w:rsid w:val="00170BDC"/>
    <w:rsid w:val="00170CE0"/>
    <w:rsid w:val="00170D69"/>
    <w:rsid w:val="00170E2A"/>
    <w:rsid w:val="00170FD4"/>
    <w:rsid w:val="001710BB"/>
    <w:rsid w:val="00171213"/>
    <w:rsid w:val="0017133A"/>
    <w:rsid w:val="001713E1"/>
    <w:rsid w:val="00171446"/>
    <w:rsid w:val="0017160A"/>
    <w:rsid w:val="0017171F"/>
    <w:rsid w:val="0017175B"/>
    <w:rsid w:val="00171762"/>
    <w:rsid w:val="001717F8"/>
    <w:rsid w:val="0017180E"/>
    <w:rsid w:val="0017186D"/>
    <w:rsid w:val="00171986"/>
    <w:rsid w:val="001719D4"/>
    <w:rsid w:val="001719F0"/>
    <w:rsid w:val="00171A50"/>
    <w:rsid w:val="00171BA4"/>
    <w:rsid w:val="00171BC5"/>
    <w:rsid w:val="00171BF6"/>
    <w:rsid w:val="00171CE0"/>
    <w:rsid w:val="00171D6C"/>
    <w:rsid w:val="00171FD5"/>
    <w:rsid w:val="00172000"/>
    <w:rsid w:val="00172017"/>
    <w:rsid w:val="001722EF"/>
    <w:rsid w:val="0017239D"/>
    <w:rsid w:val="00172659"/>
    <w:rsid w:val="001727AB"/>
    <w:rsid w:val="001727F9"/>
    <w:rsid w:val="00172981"/>
    <w:rsid w:val="0017298C"/>
    <w:rsid w:val="00172BF6"/>
    <w:rsid w:val="00172C8C"/>
    <w:rsid w:val="00172D76"/>
    <w:rsid w:val="00172E07"/>
    <w:rsid w:val="00172FED"/>
    <w:rsid w:val="001732B0"/>
    <w:rsid w:val="0017342E"/>
    <w:rsid w:val="001736D8"/>
    <w:rsid w:val="001736D9"/>
    <w:rsid w:val="00173820"/>
    <w:rsid w:val="001739DB"/>
    <w:rsid w:val="001739EB"/>
    <w:rsid w:val="001739F3"/>
    <w:rsid w:val="00173BDF"/>
    <w:rsid w:val="00173C78"/>
    <w:rsid w:val="00173C97"/>
    <w:rsid w:val="00173E55"/>
    <w:rsid w:val="00173FAA"/>
    <w:rsid w:val="0017420C"/>
    <w:rsid w:val="0017425C"/>
    <w:rsid w:val="001742BD"/>
    <w:rsid w:val="00174356"/>
    <w:rsid w:val="001743DB"/>
    <w:rsid w:val="0017450F"/>
    <w:rsid w:val="001747A6"/>
    <w:rsid w:val="00174943"/>
    <w:rsid w:val="00174A88"/>
    <w:rsid w:val="00174A90"/>
    <w:rsid w:val="00174B17"/>
    <w:rsid w:val="00174E69"/>
    <w:rsid w:val="00174EB7"/>
    <w:rsid w:val="00174EF6"/>
    <w:rsid w:val="00174F71"/>
    <w:rsid w:val="00174FD0"/>
    <w:rsid w:val="00175029"/>
    <w:rsid w:val="0017516B"/>
    <w:rsid w:val="001751D0"/>
    <w:rsid w:val="00175335"/>
    <w:rsid w:val="001753E3"/>
    <w:rsid w:val="0017540B"/>
    <w:rsid w:val="00175448"/>
    <w:rsid w:val="00175567"/>
    <w:rsid w:val="00175834"/>
    <w:rsid w:val="001758AE"/>
    <w:rsid w:val="001759B4"/>
    <w:rsid w:val="00175A7F"/>
    <w:rsid w:val="00175AF2"/>
    <w:rsid w:val="00175BA9"/>
    <w:rsid w:val="00175BD5"/>
    <w:rsid w:val="00175BF9"/>
    <w:rsid w:val="00175C20"/>
    <w:rsid w:val="00176099"/>
    <w:rsid w:val="00176120"/>
    <w:rsid w:val="0017620E"/>
    <w:rsid w:val="0017645A"/>
    <w:rsid w:val="0017656D"/>
    <w:rsid w:val="00176625"/>
    <w:rsid w:val="0017683B"/>
    <w:rsid w:val="001768A6"/>
    <w:rsid w:val="001769B0"/>
    <w:rsid w:val="00176A59"/>
    <w:rsid w:val="00176C14"/>
    <w:rsid w:val="00176C1F"/>
    <w:rsid w:val="00176D9A"/>
    <w:rsid w:val="00176FAA"/>
    <w:rsid w:val="00176FBE"/>
    <w:rsid w:val="00176FDD"/>
    <w:rsid w:val="00177078"/>
    <w:rsid w:val="001770F0"/>
    <w:rsid w:val="0017729A"/>
    <w:rsid w:val="00177404"/>
    <w:rsid w:val="00177479"/>
    <w:rsid w:val="0017747E"/>
    <w:rsid w:val="001774DB"/>
    <w:rsid w:val="00177695"/>
    <w:rsid w:val="001776A7"/>
    <w:rsid w:val="00177701"/>
    <w:rsid w:val="0017771D"/>
    <w:rsid w:val="0017780B"/>
    <w:rsid w:val="001779B6"/>
    <w:rsid w:val="00177A13"/>
    <w:rsid w:val="00177A98"/>
    <w:rsid w:val="00177B81"/>
    <w:rsid w:val="00177C10"/>
    <w:rsid w:val="00177ED6"/>
    <w:rsid w:val="00177F24"/>
    <w:rsid w:val="00177F4D"/>
    <w:rsid w:val="00177F62"/>
    <w:rsid w:val="001800AA"/>
    <w:rsid w:val="0018014F"/>
    <w:rsid w:val="00180168"/>
    <w:rsid w:val="00180223"/>
    <w:rsid w:val="00180224"/>
    <w:rsid w:val="001803ED"/>
    <w:rsid w:val="00180571"/>
    <w:rsid w:val="00180627"/>
    <w:rsid w:val="0018090D"/>
    <w:rsid w:val="00180934"/>
    <w:rsid w:val="00180C18"/>
    <w:rsid w:val="00180C48"/>
    <w:rsid w:val="00180EBD"/>
    <w:rsid w:val="00181124"/>
    <w:rsid w:val="0018116D"/>
    <w:rsid w:val="00181193"/>
    <w:rsid w:val="001814A8"/>
    <w:rsid w:val="001814FC"/>
    <w:rsid w:val="00181961"/>
    <w:rsid w:val="00181AF1"/>
    <w:rsid w:val="00181BFC"/>
    <w:rsid w:val="00181C89"/>
    <w:rsid w:val="00181D17"/>
    <w:rsid w:val="00181E14"/>
    <w:rsid w:val="0018206A"/>
    <w:rsid w:val="001820CF"/>
    <w:rsid w:val="00182136"/>
    <w:rsid w:val="001821C7"/>
    <w:rsid w:val="001823AB"/>
    <w:rsid w:val="0018246F"/>
    <w:rsid w:val="001824E9"/>
    <w:rsid w:val="00182556"/>
    <w:rsid w:val="00182596"/>
    <w:rsid w:val="001825EB"/>
    <w:rsid w:val="001826D1"/>
    <w:rsid w:val="001828DD"/>
    <w:rsid w:val="00182919"/>
    <w:rsid w:val="0018295F"/>
    <w:rsid w:val="00182971"/>
    <w:rsid w:val="001829F8"/>
    <w:rsid w:val="00182A1A"/>
    <w:rsid w:val="00182AE7"/>
    <w:rsid w:val="00182B92"/>
    <w:rsid w:val="00182D17"/>
    <w:rsid w:val="00182DAA"/>
    <w:rsid w:val="00182DC3"/>
    <w:rsid w:val="00182E38"/>
    <w:rsid w:val="00182E71"/>
    <w:rsid w:val="00183002"/>
    <w:rsid w:val="001830FC"/>
    <w:rsid w:val="001831F5"/>
    <w:rsid w:val="00183243"/>
    <w:rsid w:val="001832D5"/>
    <w:rsid w:val="00183476"/>
    <w:rsid w:val="001834F1"/>
    <w:rsid w:val="001834F8"/>
    <w:rsid w:val="00183738"/>
    <w:rsid w:val="00183770"/>
    <w:rsid w:val="001837E7"/>
    <w:rsid w:val="001838B6"/>
    <w:rsid w:val="001838C7"/>
    <w:rsid w:val="001839DE"/>
    <w:rsid w:val="00183A53"/>
    <w:rsid w:val="00183B5C"/>
    <w:rsid w:val="00183EAC"/>
    <w:rsid w:val="00183F81"/>
    <w:rsid w:val="001840DA"/>
    <w:rsid w:val="00184253"/>
    <w:rsid w:val="00184429"/>
    <w:rsid w:val="00184539"/>
    <w:rsid w:val="00184618"/>
    <w:rsid w:val="001846E6"/>
    <w:rsid w:val="001847BA"/>
    <w:rsid w:val="0018487F"/>
    <w:rsid w:val="001849C6"/>
    <w:rsid w:val="00184DB8"/>
    <w:rsid w:val="00184FDB"/>
    <w:rsid w:val="001850AE"/>
    <w:rsid w:val="001852F5"/>
    <w:rsid w:val="00185317"/>
    <w:rsid w:val="001853A9"/>
    <w:rsid w:val="001854F8"/>
    <w:rsid w:val="00185561"/>
    <w:rsid w:val="0018580F"/>
    <w:rsid w:val="001859B5"/>
    <w:rsid w:val="001859B8"/>
    <w:rsid w:val="00185AF9"/>
    <w:rsid w:val="00185B97"/>
    <w:rsid w:val="00185BE1"/>
    <w:rsid w:val="00185CAE"/>
    <w:rsid w:val="00185D24"/>
    <w:rsid w:val="00185E98"/>
    <w:rsid w:val="00185FF5"/>
    <w:rsid w:val="001862A0"/>
    <w:rsid w:val="00186342"/>
    <w:rsid w:val="00186358"/>
    <w:rsid w:val="001863D5"/>
    <w:rsid w:val="0018652A"/>
    <w:rsid w:val="00186A25"/>
    <w:rsid w:val="00186B9B"/>
    <w:rsid w:val="00186E9C"/>
    <w:rsid w:val="00186F09"/>
    <w:rsid w:val="00187092"/>
    <w:rsid w:val="00187245"/>
    <w:rsid w:val="00187279"/>
    <w:rsid w:val="00187408"/>
    <w:rsid w:val="0018750D"/>
    <w:rsid w:val="00187552"/>
    <w:rsid w:val="001875EB"/>
    <w:rsid w:val="001875FB"/>
    <w:rsid w:val="00187600"/>
    <w:rsid w:val="0018761C"/>
    <w:rsid w:val="00187A25"/>
    <w:rsid w:val="00187B20"/>
    <w:rsid w:val="00187C1C"/>
    <w:rsid w:val="00187EC5"/>
    <w:rsid w:val="00187F04"/>
    <w:rsid w:val="00187F1E"/>
    <w:rsid w:val="00187F6A"/>
    <w:rsid w:val="00187FC6"/>
    <w:rsid w:val="00190195"/>
    <w:rsid w:val="00190252"/>
    <w:rsid w:val="00190290"/>
    <w:rsid w:val="00190389"/>
    <w:rsid w:val="0019055F"/>
    <w:rsid w:val="00190661"/>
    <w:rsid w:val="00190668"/>
    <w:rsid w:val="001906BB"/>
    <w:rsid w:val="001907BC"/>
    <w:rsid w:val="00190870"/>
    <w:rsid w:val="0019088B"/>
    <w:rsid w:val="00190986"/>
    <w:rsid w:val="00190C82"/>
    <w:rsid w:val="00190D94"/>
    <w:rsid w:val="00190F37"/>
    <w:rsid w:val="00190FA4"/>
    <w:rsid w:val="0019113A"/>
    <w:rsid w:val="001912AE"/>
    <w:rsid w:val="001913CF"/>
    <w:rsid w:val="001914E3"/>
    <w:rsid w:val="001915D7"/>
    <w:rsid w:val="00191624"/>
    <w:rsid w:val="001916C4"/>
    <w:rsid w:val="00191709"/>
    <w:rsid w:val="00191807"/>
    <w:rsid w:val="001918F3"/>
    <w:rsid w:val="00191909"/>
    <w:rsid w:val="00191910"/>
    <w:rsid w:val="00191B9E"/>
    <w:rsid w:val="00191BD8"/>
    <w:rsid w:val="00191CBC"/>
    <w:rsid w:val="00191D6C"/>
    <w:rsid w:val="001920C1"/>
    <w:rsid w:val="00192203"/>
    <w:rsid w:val="00192210"/>
    <w:rsid w:val="00192265"/>
    <w:rsid w:val="0019233F"/>
    <w:rsid w:val="0019240B"/>
    <w:rsid w:val="001924C4"/>
    <w:rsid w:val="001924CB"/>
    <w:rsid w:val="001925BB"/>
    <w:rsid w:val="001926E0"/>
    <w:rsid w:val="0019270A"/>
    <w:rsid w:val="001928D7"/>
    <w:rsid w:val="001929AB"/>
    <w:rsid w:val="001929BC"/>
    <w:rsid w:val="00192A38"/>
    <w:rsid w:val="00192B7C"/>
    <w:rsid w:val="00192FCC"/>
    <w:rsid w:val="0019303E"/>
    <w:rsid w:val="001931B8"/>
    <w:rsid w:val="00193321"/>
    <w:rsid w:val="001933BD"/>
    <w:rsid w:val="00193452"/>
    <w:rsid w:val="0019350B"/>
    <w:rsid w:val="00193720"/>
    <w:rsid w:val="0019381F"/>
    <w:rsid w:val="001939F9"/>
    <w:rsid w:val="00193AD1"/>
    <w:rsid w:val="00193ADC"/>
    <w:rsid w:val="00193BE1"/>
    <w:rsid w:val="00193CD5"/>
    <w:rsid w:val="00193F57"/>
    <w:rsid w:val="0019408B"/>
    <w:rsid w:val="001941AF"/>
    <w:rsid w:val="00194260"/>
    <w:rsid w:val="0019426D"/>
    <w:rsid w:val="00194409"/>
    <w:rsid w:val="00194514"/>
    <w:rsid w:val="00194768"/>
    <w:rsid w:val="0019484C"/>
    <w:rsid w:val="00194884"/>
    <w:rsid w:val="001948A3"/>
    <w:rsid w:val="0019494C"/>
    <w:rsid w:val="001949C9"/>
    <w:rsid w:val="00194A37"/>
    <w:rsid w:val="00194B60"/>
    <w:rsid w:val="00194BCA"/>
    <w:rsid w:val="00194DED"/>
    <w:rsid w:val="00194F88"/>
    <w:rsid w:val="00194FC3"/>
    <w:rsid w:val="00194FF6"/>
    <w:rsid w:val="0019510A"/>
    <w:rsid w:val="0019518F"/>
    <w:rsid w:val="0019535B"/>
    <w:rsid w:val="00195454"/>
    <w:rsid w:val="001954D3"/>
    <w:rsid w:val="001955B4"/>
    <w:rsid w:val="00195C7C"/>
    <w:rsid w:val="00195DC5"/>
    <w:rsid w:val="00195F23"/>
    <w:rsid w:val="00195F3D"/>
    <w:rsid w:val="00195F70"/>
    <w:rsid w:val="001960E0"/>
    <w:rsid w:val="0019626C"/>
    <w:rsid w:val="001962C0"/>
    <w:rsid w:val="001962D4"/>
    <w:rsid w:val="001962EB"/>
    <w:rsid w:val="001963D0"/>
    <w:rsid w:val="00196429"/>
    <w:rsid w:val="00196495"/>
    <w:rsid w:val="00196499"/>
    <w:rsid w:val="001966A1"/>
    <w:rsid w:val="001966D7"/>
    <w:rsid w:val="00196768"/>
    <w:rsid w:val="0019682D"/>
    <w:rsid w:val="00196ABE"/>
    <w:rsid w:val="00196BA5"/>
    <w:rsid w:val="00196BB0"/>
    <w:rsid w:val="00196C83"/>
    <w:rsid w:val="00196EA0"/>
    <w:rsid w:val="00196EA7"/>
    <w:rsid w:val="00196ED0"/>
    <w:rsid w:val="00196EF8"/>
    <w:rsid w:val="00196F73"/>
    <w:rsid w:val="00197046"/>
    <w:rsid w:val="001970ED"/>
    <w:rsid w:val="00197116"/>
    <w:rsid w:val="0019717E"/>
    <w:rsid w:val="001973C9"/>
    <w:rsid w:val="001974CA"/>
    <w:rsid w:val="00197548"/>
    <w:rsid w:val="001975B9"/>
    <w:rsid w:val="00197649"/>
    <w:rsid w:val="0019772F"/>
    <w:rsid w:val="001977ED"/>
    <w:rsid w:val="00197897"/>
    <w:rsid w:val="001979EA"/>
    <w:rsid w:val="00197A5A"/>
    <w:rsid w:val="00197B16"/>
    <w:rsid w:val="00197B36"/>
    <w:rsid w:val="00197B51"/>
    <w:rsid w:val="00197B79"/>
    <w:rsid w:val="00197BD9"/>
    <w:rsid w:val="00197D61"/>
    <w:rsid w:val="00197F42"/>
    <w:rsid w:val="001A00B6"/>
    <w:rsid w:val="001A00BB"/>
    <w:rsid w:val="001A0278"/>
    <w:rsid w:val="001A0345"/>
    <w:rsid w:val="001A0378"/>
    <w:rsid w:val="001A044A"/>
    <w:rsid w:val="001A047D"/>
    <w:rsid w:val="001A0583"/>
    <w:rsid w:val="001A0615"/>
    <w:rsid w:val="001A06A9"/>
    <w:rsid w:val="001A06DA"/>
    <w:rsid w:val="001A0899"/>
    <w:rsid w:val="001A0978"/>
    <w:rsid w:val="001A0A7D"/>
    <w:rsid w:val="001A0C4B"/>
    <w:rsid w:val="001A1028"/>
    <w:rsid w:val="001A108D"/>
    <w:rsid w:val="001A11D9"/>
    <w:rsid w:val="001A1257"/>
    <w:rsid w:val="001A143C"/>
    <w:rsid w:val="001A148F"/>
    <w:rsid w:val="001A14BA"/>
    <w:rsid w:val="001A1549"/>
    <w:rsid w:val="001A157C"/>
    <w:rsid w:val="001A16B3"/>
    <w:rsid w:val="001A1735"/>
    <w:rsid w:val="001A1765"/>
    <w:rsid w:val="001A1767"/>
    <w:rsid w:val="001A179D"/>
    <w:rsid w:val="001A17FD"/>
    <w:rsid w:val="001A1AF2"/>
    <w:rsid w:val="001A1B3B"/>
    <w:rsid w:val="001A1D0F"/>
    <w:rsid w:val="001A1E3C"/>
    <w:rsid w:val="001A1EE8"/>
    <w:rsid w:val="001A2067"/>
    <w:rsid w:val="001A20DB"/>
    <w:rsid w:val="001A20FD"/>
    <w:rsid w:val="001A222E"/>
    <w:rsid w:val="001A2295"/>
    <w:rsid w:val="001A2360"/>
    <w:rsid w:val="001A244A"/>
    <w:rsid w:val="001A25DF"/>
    <w:rsid w:val="001A274E"/>
    <w:rsid w:val="001A283E"/>
    <w:rsid w:val="001A291A"/>
    <w:rsid w:val="001A29A9"/>
    <w:rsid w:val="001A2C0B"/>
    <w:rsid w:val="001A2CE7"/>
    <w:rsid w:val="001A2E38"/>
    <w:rsid w:val="001A2EF3"/>
    <w:rsid w:val="001A2F0A"/>
    <w:rsid w:val="001A3054"/>
    <w:rsid w:val="001A31A8"/>
    <w:rsid w:val="001A31F4"/>
    <w:rsid w:val="001A3220"/>
    <w:rsid w:val="001A33B6"/>
    <w:rsid w:val="001A33FF"/>
    <w:rsid w:val="001A34AF"/>
    <w:rsid w:val="001A35A1"/>
    <w:rsid w:val="001A360F"/>
    <w:rsid w:val="001A3622"/>
    <w:rsid w:val="001A3A42"/>
    <w:rsid w:val="001A3AA6"/>
    <w:rsid w:val="001A3B93"/>
    <w:rsid w:val="001A3C2E"/>
    <w:rsid w:val="001A3D08"/>
    <w:rsid w:val="001A3D4A"/>
    <w:rsid w:val="001A3D8B"/>
    <w:rsid w:val="001A3DE4"/>
    <w:rsid w:val="001A3E2B"/>
    <w:rsid w:val="001A421D"/>
    <w:rsid w:val="001A4330"/>
    <w:rsid w:val="001A4418"/>
    <w:rsid w:val="001A4572"/>
    <w:rsid w:val="001A458D"/>
    <w:rsid w:val="001A45C2"/>
    <w:rsid w:val="001A46ED"/>
    <w:rsid w:val="001A4728"/>
    <w:rsid w:val="001A4775"/>
    <w:rsid w:val="001A478B"/>
    <w:rsid w:val="001A47CA"/>
    <w:rsid w:val="001A48A7"/>
    <w:rsid w:val="001A4A83"/>
    <w:rsid w:val="001A4A88"/>
    <w:rsid w:val="001A4BFB"/>
    <w:rsid w:val="001A4D6B"/>
    <w:rsid w:val="001A4DA9"/>
    <w:rsid w:val="001A4DAC"/>
    <w:rsid w:val="001A504C"/>
    <w:rsid w:val="001A5174"/>
    <w:rsid w:val="001A51AF"/>
    <w:rsid w:val="001A522F"/>
    <w:rsid w:val="001A525E"/>
    <w:rsid w:val="001A526D"/>
    <w:rsid w:val="001A52F1"/>
    <w:rsid w:val="001A539E"/>
    <w:rsid w:val="001A5491"/>
    <w:rsid w:val="001A565B"/>
    <w:rsid w:val="001A5757"/>
    <w:rsid w:val="001A597C"/>
    <w:rsid w:val="001A59AA"/>
    <w:rsid w:val="001A5A75"/>
    <w:rsid w:val="001A5CE0"/>
    <w:rsid w:val="001A5D27"/>
    <w:rsid w:val="001A5D72"/>
    <w:rsid w:val="001A5DE1"/>
    <w:rsid w:val="001A612C"/>
    <w:rsid w:val="001A618E"/>
    <w:rsid w:val="001A6191"/>
    <w:rsid w:val="001A61E8"/>
    <w:rsid w:val="001A6222"/>
    <w:rsid w:val="001A6298"/>
    <w:rsid w:val="001A633A"/>
    <w:rsid w:val="001A63FF"/>
    <w:rsid w:val="001A6499"/>
    <w:rsid w:val="001A6657"/>
    <w:rsid w:val="001A6918"/>
    <w:rsid w:val="001A6A8C"/>
    <w:rsid w:val="001A6AA5"/>
    <w:rsid w:val="001A6B1C"/>
    <w:rsid w:val="001A6BCD"/>
    <w:rsid w:val="001A6D86"/>
    <w:rsid w:val="001A6E35"/>
    <w:rsid w:val="001A6E79"/>
    <w:rsid w:val="001A6FB7"/>
    <w:rsid w:val="001A713A"/>
    <w:rsid w:val="001A72F3"/>
    <w:rsid w:val="001A7441"/>
    <w:rsid w:val="001A7447"/>
    <w:rsid w:val="001A7484"/>
    <w:rsid w:val="001A77C6"/>
    <w:rsid w:val="001A77D0"/>
    <w:rsid w:val="001A787A"/>
    <w:rsid w:val="001A798B"/>
    <w:rsid w:val="001A7B1D"/>
    <w:rsid w:val="001A7B6F"/>
    <w:rsid w:val="001A7BB1"/>
    <w:rsid w:val="001A7C7A"/>
    <w:rsid w:val="001A7CAB"/>
    <w:rsid w:val="001A7CC8"/>
    <w:rsid w:val="001A7D3E"/>
    <w:rsid w:val="001AA1D4"/>
    <w:rsid w:val="001B002F"/>
    <w:rsid w:val="001B019D"/>
    <w:rsid w:val="001B02AE"/>
    <w:rsid w:val="001B03BB"/>
    <w:rsid w:val="001B04BF"/>
    <w:rsid w:val="001B04FC"/>
    <w:rsid w:val="001B0503"/>
    <w:rsid w:val="001B051D"/>
    <w:rsid w:val="001B052C"/>
    <w:rsid w:val="001B05DD"/>
    <w:rsid w:val="001B0766"/>
    <w:rsid w:val="001B07D5"/>
    <w:rsid w:val="001B086C"/>
    <w:rsid w:val="001B0ADD"/>
    <w:rsid w:val="001B0BCF"/>
    <w:rsid w:val="001B0C00"/>
    <w:rsid w:val="001B0CD5"/>
    <w:rsid w:val="001B0E71"/>
    <w:rsid w:val="001B0F93"/>
    <w:rsid w:val="001B10A1"/>
    <w:rsid w:val="001B13DE"/>
    <w:rsid w:val="001B1533"/>
    <w:rsid w:val="001B1661"/>
    <w:rsid w:val="001B17EE"/>
    <w:rsid w:val="001B1804"/>
    <w:rsid w:val="001B1820"/>
    <w:rsid w:val="001B18D5"/>
    <w:rsid w:val="001B1A7E"/>
    <w:rsid w:val="001B1AC3"/>
    <w:rsid w:val="001B1AF6"/>
    <w:rsid w:val="001B1E72"/>
    <w:rsid w:val="001B1F69"/>
    <w:rsid w:val="001B1FD8"/>
    <w:rsid w:val="001B207A"/>
    <w:rsid w:val="001B20B6"/>
    <w:rsid w:val="001B2161"/>
    <w:rsid w:val="001B21A6"/>
    <w:rsid w:val="001B21D3"/>
    <w:rsid w:val="001B248B"/>
    <w:rsid w:val="001B25B7"/>
    <w:rsid w:val="001B2664"/>
    <w:rsid w:val="001B26B0"/>
    <w:rsid w:val="001B2752"/>
    <w:rsid w:val="001B2772"/>
    <w:rsid w:val="001B27A8"/>
    <w:rsid w:val="001B27CD"/>
    <w:rsid w:val="001B2843"/>
    <w:rsid w:val="001B298D"/>
    <w:rsid w:val="001B2B11"/>
    <w:rsid w:val="001B2CBC"/>
    <w:rsid w:val="001B2D20"/>
    <w:rsid w:val="001B2D82"/>
    <w:rsid w:val="001B2E2B"/>
    <w:rsid w:val="001B2E9D"/>
    <w:rsid w:val="001B2FF5"/>
    <w:rsid w:val="001B32F7"/>
    <w:rsid w:val="001B3332"/>
    <w:rsid w:val="001B3347"/>
    <w:rsid w:val="001B33A3"/>
    <w:rsid w:val="001B3564"/>
    <w:rsid w:val="001B3781"/>
    <w:rsid w:val="001B378E"/>
    <w:rsid w:val="001B37BF"/>
    <w:rsid w:val="001B37F0"/>
    <w:rsid w:val="001B37F1"/>
    <w:rsid w:val="001B399E"/>
    <w:rsid w:val="001B3B12"/>
    <w:rsid w:val="001B3B39"/>
    <w:rsid w:val="001B3B95"/>
    <w:rsid w:val="001B3E42"/>
    <w:rsid w:val="001B3E8E"/>
    <w:rsid w:val="001B3EC4"/>
    <w:rsid w:val="001B3F83"/>
    <w:rsid w:val="001B4031"/>
    <w:rsid w:val="001B42BF"/>
    <w:rsid w:val="001B461E"/>
    <w:rsid w:val="001B463F"/>
    <w:rsid w:val="001B4BA5"/>
    <w:rsid w:val="001B4BA8"/>
    <w:rsid w:val="001B4DB4"/>
    <w:rsid w:val="001B4ECB"/>
    <w:rsid w:val="001B50AA"/>
    <w:rsid w:val="001B514B"/>
    <w:rsid w:val="001B516B"/>
    <w:rsid w:val="001B5220"/>
    <w:rsid w:val="001B527D"/>
    <w:rsid w:val="001B53AD"/>
    <w:rsid w:val="001B5574"/>
    <w:rsid w:val="001B57CB"/>
    <w:rsid w:val="001B5A6F"/>
    <w:rsid w:val="001B5AD1"/>
    <w:rsid w:val="001B5C9D"/>
    <w:rsid w:val="001B5EEE"/>
    <w:rsid w:val="001B5FC1"/>
    <w:rsid w:val="001B6099"/>
    <w:rsid w:val="001B6117"/>
    <w:rsid w:val="001B622B"/>
    <w:rsid w:val="001B6306"/>
    <w:rsid w:val="001B632F"/>
    <w:rsid w:val="001B654E"/>
    <w:rsid w:val="001B66F7"/>
    <w:rsid w:val="001B68FC"/>
    <w:rsid w:val="001B69A3"/>
    <w:rsid w:val="001B6B80"/>
    <w:rsid w:val="001B6BE5"/>
    <w:rsid w:val="001B6C20"/>
    <w:rsid w:val="001B6E5C"/>
    <w:rsid w:val="001B7050"/>
    <w:rsid w:val="001B7245"/>
    <w:rsid w:val="001B73FE"/>
    <w:rsid w:val="001B742C"/>
    <w:rsid w:val="001B74A0"/>
    <w:rsid w:val="001B75CA"/>
    <w:rsid w:val="001B7641"/>
    <w:rsid w:val="001B77C0"/>
    <w:rsid w:val="001B78B1"/>
    <w:rsid w:val="001B7909"/>
    <w:rsid w:val="001B793C"/>
    <w:rsid w:val="001B7AA3"/>
    <w:rsid w:val="001B7C0C"/>
    <w:rsid w:val="001B7C26"/>
    <w:rsid w:val="001B7C34"/>
    <w:rsid w:val="001B7C9D"/>
    <w:rsid w:val="001B7D4A"/>
    <w:rsid w:val="001B7F23"/>
    <w:rsid w:val="001C00B8"/>
    <w:rsid w:val="001C0248"/>
    <w:rsid w:val="001C026F"/>
    <w:rsid w:val="001C0282"/>
    <w:rsid w:val="001C0336"/>
    <w:rsid w:val="001C0350"/>
    <w:rsid w:val="001C0399"/>
    <w:rsid w:val="001C0624"/>
    <w:rsid w:val="001C08A4"/>
    <w:rsid w:val="001C099F"/>
    <w:rsid w:val="001C09E3"/>
    <w:rsid w:val="001C0BF9"/>
    <w:rsid w:val="001C0CB5"/>
    <w:rsid w:val="001C0E05"/>
    <w:rsid w:val="001C0ECD"/>
    <w:rsid w:val="001C0FC1"/>
    <w:rsid w:val="001C108B"/>
    <w:rsid w:val="001C1273"/>
    <w:rsid w:val="001C12EC"/>
    <w:rsid w:val="001C1382"/>
    <w:rsid w:val="001C13C0"/>
    <w:rsid w:val="001C1504"/>
    <w:rsid w:val="001C1647"/>
    <w:rsid w:val="001C16F0"/>
    <w:rsid w:val="001C1925"/>
    <w:rsid w:val="001C1A77"/>
    <w:rsid w:val="001C1ABC"/>
    <w:rsid w:val="001C1BCE"/>
    <w:rsid w:val="001C1CED"/>
    <w:rsid w:val="001C1D18"/>
    <w:rsid w:val="001C1F4C"/>
    <w:rsid w:val="001C2462"/>
    <w:rsid w:val="001C2531"/>
    <w:rsid w:val="001C262F"/>
    <w:rsid w:val="001C28CF"/>
    <w:rsid w:val="001C2978"/>
    <w:rsid w:val="001C2AA1"/>
    <w:rsid w:val="001C2AF5"/>
    <w:rsid w:val="001C2BAE"/>
    <w:rsid w:val="001C2C8A"/>
    <w:rsid w:val="001C2D6B"/>
    <w:rsid w:val="001C2DD8"/>
    <w:rsid w:val="001C2F38"/>
    <w:rsid w:val="001C2F5B"/>
    <w:rsid w:val="001C32D4"/>
    <w:rsid w:val="001C3384"/>
    <w:rsid w:val="001C33C9"/>
    <w:rsid w:val="001C35AA"/>
    <w:rsid w:val="001C3A33"/>
    <w:rsid w:val="001C3D30"/>
    <w:rsid w:val="001C3D3C"/>
    <w:rsid w:val="001C3D67"/>
    <w:rsid w:val="001C3E29"/>
    <w:rsid w:val="001C3F08"/>
    <w:rsid w:val="001C3F1F"/>
    <w:rsid w:val="001C3FE3"/>
    <w:rsid w:val="001C4052"/>
    <w:rsid w:val="001C40E0"/>
    <w:rsid w:val="001C40E4"/>
    <w:rsid w:val="001C4137"/>
    <w:rsid w:val="001C441F"/>
    <w:rsid w:val="001C449E"/>
    <w:rsid w:val="001C4635"/>
    <w:rsid w:val="001C4672"/>
    <w:rsid w:val="001C4768"/>
    <w:rsid w:val="001C477B"/>
    <w:rsid w:val="001C48BF"/>
    <w:rsid w:val="001C4923"/>
    <w:rsid w:val="001C4978"/>
    <w:rsid w:val="001C4ABE"/>
    <w:rsid w:val="001C4BA6"/>
    <w:rsid w:val="001C4C11"/>
    <w:rsid w:val="001C4C55"/>
    <w:rsid w:val="001C4C56"/>
    <w:rsid w:val="001C4D08"/>
    <w:rsid w:val="001C51EE"/>
    <w:rsid w:val="001C5344"/>
    <w:rsid w:val="001C558F"/>
    <w:rsid w:val="001C5663"/>
    <w:rsid w:val="001C57E1"/>
    <w:rsid w:val="001C59A3"/>
    <w:rsid w:val="001C5AE3"/>
    <w:rsid w:val="001C5B5F"/>
    <w:rsid w:val="001C5C74"/>
    <w:rsid w:val="001C5CDE"/>
    <w:rsid w:val="001C5D0B"/>
    <w:rsid w:val="001C5D1F"/>
    <w:rsid w:val="001C5E7A"/>
    <w:rsid w:val="001C5E91"/>
    <w:rsid w:val="001C6138"/>
    <w:rsid w:val="001C6224"/>
    <w:rsid w:val="001C6244"/>
    <w:rsid w:val="001C6455"/>
    <w:rsid w:val="001C65E0"/>
    <w:rsid w:val="001C6996"/>
    <w:rsid w:val="001C6C13"/>
    <w:rsid w:val="001C6C88"/>
    <w:rsid w:val="001C6C98"/>
    <w:rsid w:val="001C6CA6"/>
    <w:rsid w:val="001C6CB8"/>
    <w:rsid w:val="001C6FCB"/>
    <w:rsid w:val="001C71E5"/>
    <w:rsid w:val="001C725C"/>
    <w:rsid w:val="001C7286"/>
    <w:rsid w:val="001C73E1"/>
    <w:rsid w:val="001C7404"/>
    <w:rsid w:val="001C7464"/>
    <w:rsid w:val="001C75B7"/>
    <w:rsid w:val="001C7791"/>
    <w:rsid w:val="001C7A31"/>
    <w:rsid w:val="001C7A48"/>
    <w:rsid w:val="001C7BA3"/>
    <w:rsid w:val="001C7C7E"/>
    <w:rsid w:val="001C7EAB"/>
    <w:rsid w:val="001C7FDB"/>
    <w:rsid w:val="001D0077"/>
    <w:rsid w:val="001D0154"/>
    <w:rsid w:val="001D01D2"/>
    <w:rsid w:val="001D01F9"/>
    <w:rsid w:val="001D0349"/>
    <w:rsid w:val="001D03DF"/>
    <w:rsid w:val="001D0442"/>
    <w:rsid w:val="001D04AC"/>
    <w:rsid w:val="001D060F"/>
    <w:rsid w:val="001D063A"/>
    <w:rsid w:val="001D0658"/>
    <w:rsid w:val="001D07BC"/>
    <w:rsid w:val="001D09EC"/>
    <w:rsid w:val="001D0A72"/>
    <w:rsid w:val="001D0B22"/>
    <w:rsid w:val="001D0C6A"/>
    <w:rsid w:val="001D0EAB"/>
    <w:rsid w:val="001D1060"/>
    <w:rsid w:val="001D1166"/>
    <w:rsid w:val="001D1287"/>
    <w:rsid w:val="001D12D7"/>
    <w:rsid w:val="001D15EB"/>
    <w:rsid w:val="001D1699"/>
    <w:rsid w:val="001D16B1"/>
    <w:rsid w:val="001D1763"/>
    <w:rsid w:val="001D1819"/>
    <w:rsid w:val="001D182C"/>
    <w:rsid w:val="001D1928"/>
    <w:rsid w:val="001D1950"/>
    <w:rsid w:val="001D1A57"/>
    <w:rsid w:val="001D1ABC"/>
    <w:rsid w:val="001D1E13"/>
    <w:rsid w:val="001D20D5"/>
    <w:rsid w:val="001D2139"/>
    <w:rsid w:val="001D2499"/>
    <w:rsid w:val="001D24AF"/>
    <w:rsid w:val="001D2558"/>
    <w:rsid w:val="001D2600"/>
    <w:rsid w:val="001D2673"/>
    <w:rsid w:val="001D26C0"/>
    <w:rsid w:val="001D26FA"/>
    <w:rsid w:val="001D2966"/>
    <w:rsid w:val="001D2AA7"/>
    <w:rsid w:val="001D2B26"/>
    <w:rsid w:val="001D2B5F"/>
    <w:rsid w:val="001D2C2C"/>
    <w:rsid w:val="001D2DEE"/>
    <w:rsid w:val="001D2E45"/>
    <w:rsid w:val="001D33AB"/>
    <w:rsid w:val="001D33B8"/>
    <w:rsid w:val="001D3408"/>
    <w:rsid w:val="001D3596"/>
    <w:rsid w:val="001D35BE"/>
    <w:rsid w:val="001D3604"/>
    <w:rsid w:val="001D36FD"/>
    <w:rsid w:val="001D37E0"/>
    <w:rsid w:val="001D3816"/>
    <w:rsid w:val="001D390B"/>
    <w:rsid w:val="001D3A0D"/>
    <w:rsid w:val="001D3C91"/>
    <w:rsid w:val="001D3E32"/>
    <w:rsid w:val="001D3E8C"/>
    <w:rsid w:val="001D3EAF"/>
    <w:rsid w:val="001D3EB5"/>
    <w:rsid w:val="001D4002"/>
    <w:rsid w:val="001D4063"/>
    <w:rsid w:val="001D4091"/>
    <w:rsid w:val="001D41CF"/>
    <w:rsid w:val="001D4295"/>
    <w:rsid w:val="001D433A"/>
    <w:rsid w:val="001D4340"/>
    <w:rsid w:val="001D459F"/>
    <w:rsid w:val="001D45D6"/>
    <w:rsid w:val="001D4610"/>
    <w:rsid w:val="001D475A"/>
    <w:rsid w:val="001D4900"/>
    <w:rsid w:val="001D4999"/>
    <w:rsid w:val="001D4AFE"/>
    <w:rsid w:val="001D4B52"/>
    <w:rsid w:val="001D4B8C"/>
    <w:rsid w:val="001D4C74"/>
    <w:rsid w:val="001D4EE4"/>
    <w:rsid w:val="001D4EE9"/>
    <w:rsid w:val="001D4EF9"/>
    <w:rsid w:val="001D5036"/>
    <w:rsid w:val="001D507E"/>
    <w:rsid w:val="001D517F"/>
    <w:rsid w:val="001D52D3"/>
    <w:rsid w:val="001D5346"/>
    <w:rsid w:val="001D535B"/>
    <w:rsid w:val="001D535E"/>
    <w:rsid w:val="001D56C0"/>
    <w:rsid w:val="001D5774"/>
    <w:rsid w:val="001D57FA"/>
    <w:rsid w:val="001D5880"/>
    <w:rsid w:val="001D5994"/>
    <w:rsid w:val="001D5A9D"/>
    <w:rsid w:val="001D5C9B"/>
    <w:rsid w:val="001D5CEC"/>
    <w:rsid w:val="001D5E91"/>
    <w:rsid w:val="001D5ED6"/>
    <w:rsid w:val="001D5F23"/>
    <w:rsid w:val="001D5F59"/>
    <w:rsid w:val="001D5F64"/>
    <w:rsid w:val="001D60D8"/>
    <w:rsid w:val="001D61A2"/>
    <w:rsid w:val="001D6280"/>
    <w:rsid w:val="001D62F2"/>
    <w:rsid w:val="001D635C"/>
    <w:rsid w:val="001D6394"/>
    <w:rsid w:val="001D658F"/>
    <w:rsid w:val="001D65A0"/>
    <w:rsid w:val="001D6679"/>
    <w:rsid w:val="001D66F5"/>
    <w:rsid w:val="001D679D"/>
    <w:rsid w:val="001D685D"/>
    <w:rsid w:val="001D68A4"/>
    <w:rsid w:val="001D68C1"/>
    <w:rsid w:val="001D68DE"/>
    <w:rsid w:val="001D6B32"/>
    <w:rsid w:val="001D6BE1"/>
    <w:rsid w:val="001D6C88"/>
    <w:rsid w:val="001D6CE0"/>
    <w:rsid w:val="001D7070"/>
    <w:rsid w:val="001D70EE"/>
    <w:rsid w:val="001D7180"/>
    <w:rsid w:val="001D71DC"/>
    <w:rsid w:val="001D726F"/>
    <w:rsid w:val="001D7414"/>
    <w:rsid w:val="001D7461"/>
    <w:rsid w:val="001D746E"/>
    <w:rsid w:val="001D7487"/>
    <w:rsid w:val="001D74F7"/>
    <w:rsid w:val="001D7536"/>
    <w:rsid w:val="001D770D"/>
    <w:rsid w:val="001D771E"/>
    <w:rsid w:val="001D785A"/>
    <w:rsid w:val="001D78C7"/>
    <w:rsid w:val="001D7A0E"/>
    <w:rsid w:val="001D7C1A"/>
    <w:rsid w:val="001D7F24"/>
    <w:rsid w:val="001D7F6E"/>
    <w:rsid w:val="001D7FFD"/>
    <w:rsid w:val="001E003C"/>
    <w:rsid w:val="001E01F9"/>
    <w:rsid w:val="001E0213"/>
    <w:rsid w:val="001E0273"/>
    <w:rsid w:val="001E031B"/>
    <w:rsid w:val="001E0493"/>
    <w:rsid w:val="001E051D"/>
    <w:rsid w:val="001E057A"/>
    <w:rsid w:val="001E05CB"/>
    <w:rsid w:val="001E0788"/>
    <w:rsid w:val="001E0997"/>
    <w:rsid w:val="001E09C4"/>
    <w:rsid w:val="001E0B7E"/>
    <w:rsid w:val="001E0D9C"/>
    <w:rsid w:val="001E0DA1"/>
    <w:rsid w:val="001E10CD"/>
    <w:rsid w:val="001E11E4"/>
    <w:rsid w:val="001E1258"/>
    <w:rsid w:val="001E1489"/>
    <w:rsid w:val="001E1581"/>
    <w:rsid w:val="001E15E0"/>
    <w:rsid w:val="001E166A"/>
    <w:rsid w:val="001E16FB"/>
    <w:rsid w:val="001E17CA"/>
    <w:rsid w:val="001E1835"/>
    <w:rsid w:val="001E1936"/>
    <w:rsid w:val="001E1ABF"/>
    <w:rsid w:val="001E1BE5"/>
    <w:rsid w:val="001E1C6D"/>
    <w:rsid w:val="001E1D32"/>
    <w:rsid w:val="001E1D69"/>
    <w:rsid w:val="001E1D7D"/>
    <w:rsid w:val="001E1DC4"/>
    <w:rsid w:val="001E1E04"/>
    <w:rsid w:val="001E1F31"/>
    <w:rsid w:val="001E21B1"/>
    <w:rsid w:val="001E2363"/>
    <w:rsid w:val="001E243E"/>
    <w:rsid w:val="001E246D"/>
    <w:rsid w:val="001E24AE"/>
    <w:rsid w:val="001E2708"/>
    <w:rsid w:val="001E2770"/>
    <w:rsid w:val="001E281E"/>
    <w:rsid w:val="001E2A7D"/>
    <w:rsid w:val="001E2D6C"/>
    <w:rsid w:val="001E2D85"/>
    <w:rsid w:val="001E2E78"/>
    <w:rsid w:val="001E30D2"/>
    <w:rsid w:val="001E3113"/>
    <w:rsid w:val="001E313F"/>
    <w:rsid w:val="001E321A"/>
    <w:rsid w:val="001E32C0"/>
    <w:rsid w:val="001E32FE"/>
    <w:rsid w:val="001E33B0"/>
    <w:rsid w:val="001E34AA"/>
    <w:rsid w:val="001E362C"/>
    <w:rsid w:val="001E3632"/>
    <w:rsid w:val="001E3690"/>
    <w:rsid w:val="001E3819"/>
    <w:rsid w:val="001E3922"/>
    <w:rsid w:val="001E3A78"/>
    <w:rsid w:val="001E3D0C"/>
    <w:rsid w:val="001E3F03"/>
    <w:rsid w:val="001E4140"/>
    <w:rsid w:val="001E44FB"/>
    <w:rsid w:val="001E493F"/>
    <w:rsid w:val="001E49F2"/>
    <w:rsid w:val="001E4AC9"/>
    <w:rsid w:val="001E4B39"/>
    <w:rsid w:val="001E4C3A"/>
    <w:rsid w:val="001E4C72"/>
    <w:rsid w:val="001E4CC5"/>
    <w:rsid w:val="001E4D19"/>
    <w:rsid w:val="001E4E00"/>
    <w:rsid w:val="001E5178"/>
    <w:rsid w:val="001E526F"/>
    <w:rsid w:val="001E52A2"/>
    <w:rsid w:val="001E52A7"/>
    <w:rsid w:val="001E52FE"/>
    <w:rsid w:val="001E55D5"/>
    <w:rsid w:val="001E5D08"/>
    <w:rsid w:val="001E5E96"/>
    <w:rsid w:val="001E6013"/>
    <w:rsid w:val="001E6030"/>
    <w:rsid w:val="001E6081"/>
    <w:rsid w:val="001E60BD"/>
    <w:rsid w:val="001E612A"/>
    <w:rsid w:val="001E69A3"/>
    <w:rsid w:val="001E69E6"/>
    <w:rsid w:val="001E6A0D"/>
    <w:rsid w:val="001E6A12"/>
    <w:rsid w:val="001E6D67"/>
    <w:rsid w:val="001E6E1C"/>
    <w:rsid w:val="001E6E30"/>
    <w:rsid w:val="001E700A"/>
    <w:rsid w:val="001E730D"/>
    <w:rsid w:val="001E7384"/>
    <w:rsid w:val="001E752B"/>
    <w:rsid w:val="001E7669"/>
    <w:rsid w:val="001E76BC"/>
    <w:rsid w:val="001E7A31"/>
    <w:rsid w:val="001E7A35"/>
    <w:rsid w:val="001E7A3B"/>
    <w:rsid w:val="001E7A3F"/>
    <w:rsid w:val="001E7BC1"/>
    <w:rsid w:val="001E7CD8"/>
    <w:rsid w:val="001E7D75"/>
    <w:rsid w:val="001E7D9A"/>
    <w:rsid w:val="001E7E18"/>
    <w:rsid w:val="001F0044"/>
    <w:rsid w:val="001F0091"/>
    <w:rsid w:val="001F030A"/>
    <w:rsid w:val="001F0343"/>
    <w:rsid w:val="001F03A2"/>
    <w:rsid w:val="001F03F3"/>
    <w:rsid w:val="001F0588"/>
    <w:rsid w:val="001F0783"/>
    <w:rsid w:val="001F08ED"/>
    <w:rsid w:val="001F0927"/>
    <w:rsid w:val="001F0B2E"/>
    <w:rsid w:val="001F0CB1"/>
    <w:rsid w:val="001F0D25"/>
    <w:rsid w:val="001F0D4B"/>
    <w:rsid w:val="001F0D96"/>
    <w:rsid w:val="001F0DA0"/>
    <w:rsid w:val="001F0DDE"/>
    <w:rsid w:val="001F0F51"/>
    <w:rsid w:val="001F0FE6"/>
    <w:rsid w:val="001F112C"/>
    <w:rsid w:val="001F13F4"/>
    <w:rsid w:val="001F146B"/>
    <w:rsid w:val="001F1530"/>
    <w:rsid w:val="001F15CB"/>
    <w:rsid w:val="001F185A"/>
    <w:rsid w:val="001F1924"/>
    <w:rsid w:val="001F193E"/>
    <w:rsid w:val="001F19C6"/>
    <w:rsid w:val="001F19CD"/>
    <w:rsid w:val="001F19DF"/>
    <w:rsid w:val="001F1A9F"/>
    <w:rsid w:val="001F1ACB"/>
    <w:rsid w:val="001F1AE9"/>
    <w:rsid w:val="001F1D79"/>
    <w:rsid w:val="001F1DCF"/>
    <w:rsid w:val="001F1EA4"/>
    <w:rsid w:val="001F1FE9"/>
    <w:rsid w:val="001F1FF9"/>
    <w:rsid w:val="001F2181"/>
    <w:rsid w:val="001F229F"/>
    <w:rsid w:val="001F2687"/>
    <w:rsid w:val="001F271E"/>
    <w:rsid w:val="001F27DF"/>
    <w:rsid w:val="001F282D"/>
    <w:rsid w:val="001F284A"/>
    <w:rsid w:val="001F29FE"/>
    <w:rsid w:val="001F2B1F"/>
    <w:rsid w:val="001F2B56"/>
    <w:rsid w:val="001F2C0F"/>
    <w:rsid w:val="001F2CC6"/>
    <w:rsid w:val="001F2D32"/>
    <w:rsid w:val="001F2EE6"/>
    <w:rsid w:val="001F302D"/>
    <w:rsid w:val="001F317B"/>
    <w:rsid w:val="001F31FB"/>
    <w:rsid w:val="001F331C"/>
    <w:rsid w:val="001F3377"/>
    <w:rsid w:val="001F33A3"/>
    <w:rsid w:val="001F3767"/>
    <w:rsid w:val="001F3832"/>
    <w:rsid w:val="001F387F"/>
    <w:rsid w:val="001F3927"/>
    <w:rsid w:val="001F39E1"/>
    <w:rsid w:val="001F3B0F"/>
    <w:rsid w:val="001F3C3E"/>
    <w:rsid w:val="001F3DFE"/>
    <w:rsid w:val="001F3E01"/>
    <w:rsid w:val="001F3ECB"/>
    <w:rsid w:val="001F3F9F"/>
    <w:rsid w:val="001F3FD1"/>
    <w:rsid w:val="001F4010"/>
    <w:rsid w:val="001F41ED"/>
    <w:rsid w:val="001F4261"/>
    <w:rsid w:val="001F4705"/>
    <w:rsid w:val="001F4732"/>
    <w:rsid w:val="001F474D"/>
    <w:rsid w:val="001F4760"/>
    <w:rsid w:val="001F47CB"/>
    <w:rsid w:val="001F4830"/>
    <w:rsid w:val="001F4BA8"/>
    <w:rsid w:val="001F4D07"/>
    <w:rsid w:val="001F4D9E"/>
    <w:rsid w:val="001F4E3D"/>
    <w:rsid w:val="001F4EF6"/>
    <w:rsid w:val="001F4F2D"/>
    <w:rsid w:val="001F5236"/>
    <w:rsid w:val="001F5261"/>
    <w:rsid w:val="001F547C"/>
    <w:rsid w:val="001F548C"/>
    <w:rsid w:val="001F55A7"/>
    <w:rsid w:val="001F594E"/>
    <w:rsid w:val="001F5AD1"/>
    <w:rsid w:val="001F5B71"/>
    <w:rsid w:val="001F5BC8"/>
    <w:rsid w:val="001F5BDE"/>
    <w:rsid w:val="001F5C4F"/>
    <w:rsid w:val="001F5C54"/>
    <w:rsid w:val="001F5E41"/>
    <w:rsid w:val="001F5EDB"/>
    <w:rsid w:val="001F5F6C"/>
    <w:rsid w:val="001F5FA7"/>
    <w:rsid w:val="001F6029"/>
    <w:rsid w:val="001F6169"/>
    <w:rsid w:val="001F617E"/>
    <w:rsid w:val="001F61F0"/>
    <w:rsid w:val="001F6219"/>
    <w:rsid w:val="001F6522"/>
    <w:rsid w:val="001F6590"/>
    <w:rsid w:val="001F66E1"/>
    <w:rsid w:val="001F68D0"/>
    <w:rsid w:val="001F6929"/>
    <w:rsid w:val="001F6AA8"/>
    <w:rsid w:val="001F6BF1"/>
    <w:rsid w:val="001F6C6D"/>
    <w:rsid w:val="001F6E03"/>
    <w:rsid w:val="001F6E87"/>
    <w:rsid w:val="001F6F47"/>
    <w:rsid w:val="001F704D"/>
    <w:rsid w:val="001F7148"/>
    <w:rsid w:val="001F72BA"/>
    <w:rsid w:val="001F73C8"/>
    <w:rsid w:val="001F7548"/>
    <w:rsid w:val="001F7586"/>
    <w:rsid w:val="001F759C"/>
    <w:rsid w:val="001F7717"/>
    <w:rsid w:val="001F77BA"/>
    <w:rsid w:val="001F787E"/>
    <w:rsid w:val="001F7888"/>
    <w:rsid w:val="001F7AED"/>
    <w:rsid w:val="001F7D56"/>
    <w:rsid w:val="001F7FD7"/>
    <w:rsid w:val="00200066"/>
    <w:rsid w:val="00200086"/>
    <w:rsid w:val="00200102"/>
    <w:rsid w:val="00200186"/>
    <w:rsid w:val="002002A1"/>
    <w:rsid w:val="002002B0"/>
    <w:rsid w:val="002003FB"/>
    <w:rsid w:val="00200420"/>
    <w:rsid w:val="00200531"/>
    <w:rsid w:val="00200760"/>
    <w:rsid w:val="00200826"/>
    <w:rsid w:val="002009D9"/>
    <w:rsid w:val="00200A1F"/>
    <w:rsid w:val="00200A7A"/>
    <w:rsid w:val="00200BF3"/>
    <w:rsid w:val="00200C06"/>
    <w:rsid w:val="00200C7C"/>
    <w:rsid w:val="0020111F"/>
    <w:rsid w:val="00201155"/>
    <w:rsid w:val="002011EA"/>
    <w:rsid w:val="0020127E"/>
    <w:rsid w:val="002012BC"/>
    <w:rsid w:val="0020144F"/>
    <w:rsid w:val="0020164B"/>
    <w:rsid w:val="002016DF"/>
    <w:rsid w:val="0020182F"/>
    <w:rsid w:val="00201876"/>
    <w:rsid w:val="00201B41"/>
    <w:rsid w:val="00201BE7"/>
    <w:rsid w:val="00201D8B"/>
    <w:rsid w:val="00201F16"/>
    <w:rsid w:val="00201F35"/>
    <w:rsid w:val="00202176"/>
    <w:rsid w:val="00202813"/>
    <w:rsid w:val="002028F8"/>
    <w:rsid w:val="0020291C"/>
    <w:rsid w:val="00202953"/>
    <w:rsid w:val="002029B3"/>
    <w:rsid w:val="002029DA"/>
    <w:rsid w:val="00202B2E"/>
    <w:rsid w:val="00202BBF"/>
    <w:rsid w:val="00202C03"/>
    <w:rsid w:val="00202CE5"/>
    <w:rsid w:val="00202D33"/>
    <w:rsid w:val="00202D49"/>
    <w:rsid w:val="00202DC3"/>
    <w:rsid w:val="00202ED8"/>
    <w:rsid w:val="00202F20"/>
    <w:rsid w:val="00202FF9"/>
    <w:rsid w:val="00202FFB"/>
    <w:rsid w:val="00203007"/>
    <w:rsid w:val="002031A3"/>
    <w:rsid w:val="00203335"/>
    <w:rsid w:val="00203388"/>
    <w:rsid w:val="00203463"/>
    <w:rsid w:val="00203469"/>
    <w:rsid w:val="002039F0"/>
    <w:rsid w:val="00203C0C"/>
    <w:rsid w:val="00203C69"/>
    <w:rsid w:val="00203D43"/>
    <w:rsid w:val="00203DA3"/>
    <w:rsid w:val="00203E93"/>
    <w:rsid w:val="0020404C"/>
    <w:rsid w:val="00204222"/>
    <w:rsid w:val="00204255"/>
    <w:rsid w:val="0020427F"/>
    <w:rsid w:val="00204282"/>
    <w:rsid w:val="00204287"/>
    <w:rsid w:val="002043E6"/>
    <w:rsid w:val="00204431"/>
    <w:rsid w:val="00204466"/>
    <w:rsid w:val="0020457D"/>
    <w:rsid w:val="002045A0"/>
    <w:rsid w:val="00204726"/>
    <w:rsid w:val="00204843"/>
    <w:rsid w:val="00204925"/>
    <w:rsid w:val="00204B86"/>
    <w:rsid w:val="00204C6B"/>
    <w:rsid w:val="00204CE1"/>
    <w:rsid w:val="00204E70"/>
    <w:rsid w:val="00204E8A"/>
    <w:rsid w:val="00204EB2"/>
    <w:rsid w:val="00204F3E"/>
    <w:rsid w:val="00204F9C"/>
    <w:rsid w:val="00205023"/>
    <w:rsid w:val="0020510A"/>
    <w:rsid w:val="0020519E"/>
    <w:rsid w:val="00205281"/>
    <w:rsid w:val="002054F9"/>
    <w:rsid w:val="002055AD"/>
    <w:rsid w:val="002056A2"/>
    <w:rsid w:val="0020581A"/>
    <w:rsid w:val="00205AF0"/>
    <w:rsid w:val="00205C96"/>
    <w:rsid w:val="00205CE9"/>
    <w:rsid w:val="00205D75"/>
    <w:rsid w:val="00205ED5"/>
    <w:rsid w:val="00205F20"/>
    <w:rsid w:val="00206055"/>
    <w:rsid w:val="0020607B"/>
    <w:rsid w:val="00206115"/>
    <w:rsid w:val="0020614B"/>
    <w:rsid w:val="00206158"/>
    <w:rsid w:val="00206184"/>
    <w:rsid w:val="002061C6"/>
    <w:rsid w:val="00206223"/>
    <w:rsid w:val="002062D8"/>
    <w:rsid w:val="002062DD"/>
    <w:rsid w:val="00206479"/>
    <w:rsid w:val="0020662E"/>
    <w:rsid w:val="002066A3"/>
    <w:rsid w:val="002066A6"/>
    <w:rsid w:val="002066A9"/>
    <w:rsid w:val="002066B9"/>
    <w:rsid w:val="002067B4"/>
    <w:rsid w:val="00206B33"/>
    <w:rsid w:val="00206B71"/>
    <w:rsid w:val="00206CDF"/>
    <w:rsid w:val="00206DD2"/>
    <w:rsid w:val="00206EE7"/>
    <w:rsid w:val="0020708B"/>
    <w:rsid w:val="002071D8"/>
    <w:rsid w:val="00207312"/>
    <w:rsid w:val="00207640"/>
    <w:rsid w:val="00207843"/>
    <w:rsid w:val="00207AFC"/>
    <w:rsid w:val="00207BA5"/>
    <w:rsid w:val="00207D35"/>
    <w:rsid w:val="00207E4D"/>
    <w:rsid w:val="00210110"/>
    <w:rsid w:val="002101FE"/>
    <w:rsid w:val="00210475"/>
    <w:rsid w:val="002104F4"/>
    <w:rsid w:val="002109DB"/>
    <w:rsid w:val="00210A15"/>
    <w:rsid w:val="00210B55"/>
    <w:rsid w:val="00210C47"/>
    <w:rsid w:val="00210F10"/>
    <w:rsid w:val="00210F1F"/>
    <w:rsid w:val="00210F33"/>
    <w:rsid w:val="00210F5D"/>
    <w:rsid w:val="00210F67"/>
    <w:rsid w:val="00210FCD"/>
    <w:rsid w:val="002110C7"/>
    <w:rsid w:val="00211278"/>
    <w:rsid w:val="0021127C"/>
    <w:rsid w:val="002112B6"/>
    <w:rsid w:val="00211322"/>
    <w:rsid w:val="00211505"/>
    <w:rsid w:val="00211614"/>
    <w:rsid w:val="002116B3"/>
    <w:rsid w:val="00211754"/>
    <w:rsid w:val="002117E4"/>
    <w:rsid w:val="0021194C"/>
    <w:rsid w:val="002119FD"/>
    <w:rsid w:val="00211A4C"/>
    <w:rsid w:val="00211E00"/>
    <w:rsid w:val="00211E99"/>
    <w:rsid w:val="00211F17"/>
    <w:rsid w:val="00211FC9"/>
    <w:rsid w:val="0021216D"/>
    <w:rsid w:val="002121D2"/>
    <w:rsid w:val="0021231D"/>
    <w:rsid w:val="002124B0"/>
    <w:rsid w:val="002124C6"/>
    <w:rsid w:val="00212529"/>
    <w:rsid w:val="00212665"/>
    <w:rsid w:val="0021266D"/>
    <w:rsid w:val="00212773"/>
    <w:rsid w:val="00212836"/>
    <w:rsid w:val="002128E7"/>
    <w:rsid w:val="002129F9"/>
    <w:rsid w:val="00212B28"/>
    <w:rsid w:val="00212CBC"/>
    <w:rsid w:val="00212D03"/>
    <w:rsid w:val="00212FC2"/>
    <w:rsid w:val="002130E2"/>
    <w:rsid w:val="00213101"/>
    <w:rsid w:val="00213120"/>
    <w:rsid w:val="00213137"/>
    <w:rsid w:val="00213184"/>
    <w:rsid w:val="0021341B"/>
    <w:rsid w:val="002134E1"/>
    <w:rsid w:val="002136B6"/>
    <w:rsid w:val="00213AA2"/>
    <w:rsid w:val="00213AC0"/>
    <w:rsid w:val="00213B66"/>
    <w:rsid w:val="00213C76"/>
    <w:rsid w:val="00213D50"/>
    <w:rsid w:val="00213E5E"/>
    <w:rsid w:val="00213EA5"/>
    <w:rsid w:val="0021405E"/>
    <w:rsid w:val="00214094"/>
    <w:rsid w:val="002140D1"/>
    <w:rsid w:val="002140EE"/>
    <w:rsid w:val="00214309"/>
    <w:rsid w:val="0021434E"/>
    <w:rsid w:val="00214446"/>
    <w:rsid w:val="002144C9"/>
    <w:rsid w:val="00214646"/>
    <w:rsid w:val="0021475C"/>
    <w:rsid w:val="00214B12"/>
    <w:rsid w:val="00214B71"/>
    <w:rsid w:val="00214B88"/>
    <w:rsid w:val="00214D17"/>
    <w:rsid w:val="00214DBA"/>
    <w:rsid w:val="00214E44"/>
    <w:rsid w:val="00215040"/>
    <w:rsid w:val="00215161"/>
    <w:rsid w:val="002152AF"/>
    <w:rsid w:val="002152E7"/>
    <w:rsid w:val="00215353"/>
    <w:rsid w:val="002155D5"/>
    <w:rsid w:val="002157A0"/>
    <w:rsid w:val="00215993"/>
    <w:rsid w:val="002159A0"/>
    <w:rsid w:val="00215ADE"/>
    <w:rsid w:val="00215C25"/>
    <w:rsid w:val="00215D4D"/>
    <w:rsid w:val="00215D50"/>
    <w:rsid w:val="00215E52"/>
    <w:rsid w:val="00215EDB"/>
    <w:rsid w:val="00216159"/>
    <w:rsid w:val="00216177"/>
    <w:rsid w:val="002161B0"/>
    <w:rsid w:val="00216292"/>
    <w:rsid w:val="00216321"/>
    <w:rsid w:val="002164CE"/>
    <w:rsid w:val="0021662F"/>
    <w:rsid w:val="00216692"/>
    <w:rsid w:val="002167A6"/>
    <w:rsid w:val="002167E5"/>
    <w:rsid w:val="002168C4"/>
    <w:rsid w:val="00216976"/>
    <w:rsid w:val="00216985"/>
    <w:rsid w:val="00216A74"/>
    <w:rsid w:val="00216BD8"/>
    <w:rsid w:val="00216C57"/>
    <w:rsid w:val="00216CDA"/>
    <w:rsid w:val="00216D2D"/>
    <w:rsid w:val="00216D49"/>
    <w:rsid w:val="00216DF7"/>
    <w:rsid w:val="00216FC2"/>
    <w:rsid w:val="002171A9"/>
    <w:rsid w:val="00217316"/>
    <w:rsid w:val="002174B3"/>
    <w:rsid w:val="002174C8"/>
    <w:rsid w:val="0021759D"/>
    <w:rsid w:val="002176DD"/>
    <w:rsid w:val="002178F0"/>
    <w:rsid w:val="002179AA"/>
    <w:rsid w:val="00217A33"/>
    <w:rsid w:val="00217A95"/>
    <w:rsid w:val="00217ACD"/>
    <w:rsid w:val="00217D3B"/>
    <w:rsid w:val="00217D92"/>
    <w:rsid w:val="00217EC1"/>
    <w:rsid w:val="002200BD"/>
    <w:rsid w:val="00220195"/>
    <w:rsid w:val="00220204"/>
    <w:rsid w:val="0022050D"/>
    <w:rsid w:val="002205DB"/>
    <w:rsid w:val="00220620"/>
    <w:rsid w:val="0022065C"/>
    <w:rsid w:val="002206D3"/>
    <w:rsid w:val="0022072E"/>
    <w:rsid w:val="0022090B"/>
    <w:rsid w:val="0022096D"/>
    <w:rsid w:val="00220B31"/>
    <w:rsid w:val="00220C17"/>
    <w:rsid w:val="00220C74"/>
    <w:rsid w:val="00220F5C"/>
    <w:rsid w:val="00220FC4"/>
    <w:rsid w:val="002212D5"/>
    <w:rsid w:val="0022132B"/>
    <w:rsid w:val="00221467"/>
    <w:rsid w:val="002218DC"/>
    <w:rsid w:val="00221B4E"/>
    <w:rsid w:val="00221BB9"/>
    <w:rsid w:val="00221C39"/>
    <w:rsid w:val="00221C6C"/>
    <w:rsid w:val="00221E77"/>
    <w:rsid w:val="00221F35"/>
    <w:rsid w:val="0022208E"/>
    <w:rsid w:val="00222126"/>
    <w:rsid w:val="0022218D"/>
    <w:rsid w:val="0022230D"/>
    <w:rsid w:val="00222413"/>
    <w:rsid w:val="0022263B"/>
    <w:rsid w:val="00222712"/>
    <w:rsid w:val="00222954"/>
    <w:rsid w:val="00222958"/>
    <w:rsid w:val="0022298E"/>
    <w:rsid w:val="00222ADF"/>
    <w:rsid w:val="00222B46"/>
    <w:rsid w:val="00222B57"/>
    <w:rsid w:val="00222B8D"/>
    <w:rsid w:val="00222BDA"/>
    <w:rsid w:val="00222CC2"/>
    <w:rsid w:val="00222D23"/>
    <w:rsid w:val="00222E9C"/>
    <w:rsid w:val="00222F56"/>
    <w:rsid w:val="0022300A"/>
    <w:rsid w:val="0022305D"/>
    <w:rsid w:val="0022313E"/>
    <w:rsid w:val="00223176"/>
    <w:rsid w:val="002231B4"/>
    <w:rsid w:val="00223319"/>
    <w:rsid w:val="002233A3"/>
    <w:rsid w:val="002238A2"/>
    <w:rsid w:val="002238D9"/>
    <w:rsid w:val="002238E5"/>
    <w:rsid w:val="002238FF"/>
    <w:rsid w:val="002239DC"/>
    <w:rsid w:val="00223A0D"/>
    <w:rsid w:val="00223A4A"/>
    <w:rsid w:val="00223A71"/>
    <w:rsid w:val="00223A98"/>
    <w:rsid w:val="00223B38"/>
    <w:rsid w:val="00223B95"/>
    <w:rsid w:val="00223C05"/>
    <w:rsid w:val="00223D31"/>
    <w:rsid w:val="00223DDB"/>
    <w:rsid w:val="00223F12"/>
    <w:rsid w:val="0022407A"/>
    <w:rsid w:val="0022436D"/>
    <w:rsid w:val="0022438A"/>
    <w:rsid w:val="0022466F"/>
    <w:rsid w:val="00224672"/>
    <w:rsid w:val="0022490B"/>
    <w:rsid w:val="00224C9B"/>
    <w:rsid w:val="00224D96"/>
    <w:rsid w:val="00224E2C"/>
    <w:rsid w:val="00224EF1"/>
    <w:rsid w:val="00224F49"/>
    <w:rsid w:val="0022514B"/>
    <w:rsid w:val="00225202"/>
    <w:rsid w:val="00225258"/>
    <w:rsid w:val="00225358"/>
    <w:rsid w:val="00225383"/>
    <w:rsid w:val="0022542E"/>
    <w:rsid w:val="0022552C"/>
    <w:rsid w:val="002257F4"/>
    <w:rsid w:val="0022582B"/>
    <w:rsid w:val="00225948"/>
    <w:rsid w:val="0022594B"/>
    <w:rsid w:val="00225A54"/>
    <w:rsid w:val="002260AD"/>
    <w:rsid w:val="00226162"/>
    <w:rsid w:val="002261B0"/>
    <w:rsid w:val="0022633C"/>
    <w:rsid w:val="002263B3"/>
    <w:rsid w:val="002264D8"/>
    <w:rsid w:val="002264F0"/>
    <w:rsid w:val="00226647"/>
    <w:rsid w:val="00226819"/>
    <w:rsid w:val="00226922"/>
    <w:rsid w:val="00226985"/>
    <w:rsid w:val="002269A2"/>
    <w:rsid w:val="002269E8"/>
    <w:rsid w:val="00226C1D"/>
    <w:rsid w:val="00226C38"/>
    <w:rsid w:val="00226D1A"/>
    <w:rsid w:val="00226F00"/>
    <w:rsid w:val="00226F28"/>
    <w:rsid w:val="00226F30"/>
    <w:rsid w:val="0022745D"/>
    <w:rsid w:val="002275D2"/>
    <w:rsid w:val="00227634"/>
    <w:rsid w:val="0022772E"/>
    <w:rsid w:val="00227822"/>
    <w:rsid w:val="002279E1"/>
    <w:rsid w:val="00227A04"/>
    <w:rsid w:val="00227ACC"/>
    <w:rsid w:val="00227AF6"/>
    <w:rsid w:val="00227B30"/>
    <w:rsid w:val="00227C37"/>
    <w:rsid w:val="00227C90"/>
    <w:rsid w:val="00227DE5"/>
    <w:rsid w:val="00227F0A"/>
    <w:rsid w:val="00227F80"/>
    <w:rsid w:val="002301DF"/>
    <w:rsid w:val="0023029D"/>
    <w:rsid w:val="0023041D"/>
    <w:rsid w:val="0023049F"/>
    <w:rsid w:val="002304C5"/>
    <w:rsid w:val="00230546"/>
    <w:rsid w:val="00230661"/>
    <w:rsid w:val="002306A1"/>
    <w:rsid w:val="002306D9"/>
    <w:rsid w:val="002307BF"/>
    <w:rsid w:val="00230870"/>
    <w:rsid w:val="00230A48"/>
    <w:rsid w:val="00230CAF"/>
    <w:rsid w:val="00230DA6"/>
    <w:rsid w:val="00230E5D"/>
    <w:rsid w:val="00230FA1"/>
    <w:rsid w:val="00231072"/>
    <w:rsid w:val="002311C4"/>
    <w:rsid w:val="00231453"/>
    <w:rsid w:val="00231481"/>
    <w:rsid w:val="002314C1"/>
    <w:rsid w:val="002314ED"/>
    <w:rsid w:val="00231546"/>
    <w:rsid w:val="0023166F"/>
    <w:rsid w:val="0023197B"/>
    <w:rsid w:val="00231AC4"/>
    <w:rsid w:val="00231CD7"/>
    <w:rsid w:val="00231D8C"/>
    <w:rsid w:val="00231E4E"/>
    <w:rsid w:val="00231F30"/>
    <w:rsid w:val="00232016"/>
    <w:rsid w:val="002320F7"/>
    <w:rsid w:val="0023241F"/>
    <w:rsid w:val="002325E4"/>
    <w:rsid w:val="002325E8"/>
    <w:rsid w:val="0023290F"/>
    <w:rsid w:val="00232A51"/>
    <w:rsid w:val="00233004"/>
    <w:rsid w:val="00233020"/>
    <w:rsid w:val="0023307D"/>
    <w:rsid w:val="002331EE"/>
    <w:rsid w:val="0023350D"/>
    <w:rsid w:val="00233818"/>
    <w:rsid w:val="00233BB7"/>
    <w:rsid w:val="00233D27"/>
    <w:rsid w:val="00233D8B"/>
    <w:rsid w:val="00233E3C"/>
    <w:rsid w:val="00233F30"/>
    <w:rsid w:val="002341C2"/>
    <w:rsid w:val="0023423E"/>
    <w:rsid w:val="00234283"/>
    <w:rsid w:val="00234316"/>
    <w:rsid w:val="00234334"/>
    <w:rsid w:val="00234372"/>
    <w:rsid w:val="002343BB"/>
    <w:rsid w:val="00234437"/>
    <w:rsid w:val="002345F9"/>
    <w:rsid w:val="002345FC"/>
    <w:rsid w:val="00234670"/>
    <w:rsid w:val="00234829"/>
    <w:rsid w:val="0023489E"/>
    <w:rsid w:val="00234AFB"/>
    <w:rsid w:val="00234B08"/>
    <w:rsid w:val="00234B71"/>
    <w:rsid w:val="00234F18"/>
    <w:rsid w:val="00234F6C"/>
    <w:rsid w:val="00234FB7"/>
    <w:rsid w:val="00234FF6"/>
    <w:rsid w:val="00235079"/>
    <w:rsid w:val="002350E5"/>
    <w:rsid w:val="00235111"/>
    <w:rsid w:val="00235120"/>
    <w:rsid w:val="00235200"/>
    <w:rsid w:val="00235217"/>
    <w:rsid w:val="00235249"/>
    <w:rsid w:val="002352EF"/>
    <w:rsid w:val="0023533E"/>
    <w:rsid w:val="002353E8"/>
    <w:rsid w:val="002353FA"/>
    <w:rsid w:val="002354CE"/>
    <w:rsid w:val="002356B1"/>
    <w:rsid w:val="00235882"/>
    <w:rsid w:val="002359EA"/>
    <w:rsid w:val="00235C3E"/>
    <w:rsid w:val="00235D78"/>
    <w:rsid w:val="00235DB2"/>
    <w:rsid w:val="00235E6F"/>
    <w:rsid w:val="00235E7F"/>
    <w:rsid w:val="00235FDD"/>
    <w:rsid w:val="002363B6"/>
    <w:rsid w:val="002363E9"/>
    <w:rsid w:val="0023661C"/>
    <w:rsid w:val="0023665C"/>
    <w:rsid w:val="002366CE"/>
    <w:rsid w:val="00236B01"/>
    <w:rsid w:val="00236B14"/>
    <w:rsid w:val="00236BF5"/>
    <w:rsid w:val="00236D59"/>
    <w:rsid w:val="00236E3D"/>
    <w:rsid w:val="00236EB7"/>
    <w:rsid w:val="00236F50"/>
    <w:rsid w:val="00237186"/>
    <w:rsid w:val="00237238"/>
    <w:rsid w:val="002372FD"/>
    <w:rsid w:val="00237348"/>
    <w:rsid w:val="0023751C"/>
    <w:rsid w:val="0023757C"/>
    <w:rsid w:val="002375B6"/>
    <w:rsid w:val="00237631"/>
    <w:rsid w:val="00237734"/>
    <w:rsid w:val="002377C8"/>
    <w:rsid w:val="00237AB8"/>
    <w:rsid w:val="00237F93"/>
    <w:rsid w:val="00237FE8"/>
    <w:rsid w:val="002400ED"/>
    <w:rsid w:val="0024015C"/>
    <w:rsid w:val="002401FE"/>
    <w:rsid w:val="00240441"/>
    <w:rsid w:val="002404B1"/>
    <w:rsid w:val="00240544"/>
    <w:rsid w:val="002405AB"/>
    <w:rsid w:val="00240707"/>
    <w:rsid w:val="00240790"/>
    <w:rsid w:val="00240890"/>
    <w:rsid w:val="00240893"/>
    <w:rsid w:val="00240AD9"/>
    <w:rsid w:val="00240B0C"/>
    <w:rsid w:val="00240B12"/>
    <w:rsid w:val="00240CA2"/>
    <w:rsid w:val="00240CA9"/>
    <w:rsid w:val="00240CF8"/>
    <w:rsid w:val="00240F8C"/>
    <w:rsid w:val="0024125F"/>
    <w:rsid w:val="002412CA"/>
    <w:rsid w:val="0024137A"/>
    <w:rsid w:val="002413CA"/>
    <w:rsid w:val="002413DB"/>
    <w:rsid w:val="00241574"/>
    <w:rsid w:val="002415BA"/>
    <w:rsid w:val="002416DF"/>
    <w:rsid w:val="002418B1"/>
    <w:rsid w:val="002418E1"/>
    <w:rsid w:val="0024197A"/>
    <w:rsid w:val="00241CC1"/>
    <w:rsid w:val="00241DB6"/>
    <w:rsid w:val="00241DCB"/>
    <w:rsid w:val="00242302"/>
    <w:rsid w:val="00242449"/>
    <w:rsid w:val="0024246E"/>
    <w:rsid w:val="002425C6"/>
    <w:rsid w:val="002425DD"/>
    <w:rsid w:val="0024267B"/>
    <w:rsid w:val="0024284F"/>
    <w:rsid w:val="00242916"/>
    <w:rsid w:val="002429F8"/>
    <w:rsid w:val="00242BD1"/>
    <w:rsid w:val="00242BF0"/>
    <w:rsid w:val="00242BF2"/>
    <w:rsid w:val="00242FC1"/>
    <w:rsid w:val="0024307B"/>
    <w:rsid w:val="0024313C"/>
    <w:rsid w:val="002431BE"/>
    <w:rsid w:val="0024331D"/>
    <w:rsid w:val="0024335A"/>
    <w:rsid w:val="0024339F"/>
    <w:rsid w:val="0024347C"/>
    <w:rsid w:val="00243655"/>
    <w:rsid w:val="00243692"/>
    <w:rsid w:val="00243720"/>
    <w:rsid w:val="0024389F"/>
    <w:rsid w:val="002439A9"/>
    <w:rsid w:val="00243A36"/>
    <w:rsid w:val="00243A56"/>
    <w:rsid w:val="00244005"/>
    <w:rsid w:val="002440B5"/>
    <w:rsid w:val="00244114"/>
    <w:rsid w:val="00244178"/>
    <w:rsid w:val="00244278"/>
    <w:rsid w:val="0024431C"/>
    <w:rsid w:val="002443F5"/>
    <w:rsid w:val="0024445C"/>
    <w:rsid w:val="0024451B"/>
    <w:rsid w:val="00244725"/>
    <w:rsid w:val="0024472F"/>
    <w:rsid w:val="002447F9"/>
    <w:rsid w:val="002448AE"/>
    <w:rsid w:val="002448C8"/>
    <w:rsid w:val="00244AB4"/>
    <w:rsid w:val="00244BBD"/>
    <w:rsid w:val="00244BF6"/>
    <w:rsid w:val="00244C27"/>
    <w:rsid w:val="00244E73"/>
    <w:rsid w:val="0024520A"/>
    <w:rsid w:val="00245211"/>
    <w:rsid w:val="00245212"/>
    <w:rsid w:val="0024534A"/>
    <w:rsid w:val="0024534C"/>
    <w:rsid w:val="002453BA"/>
    <w:rsid w:val="002453DB"/>
    <w:rsid w:val="002453E3"/>
    <w:rsid w:val="0024561C"/>
    <w:rsid w:val="0024590D"/>
    <w:rsid w:val="00245B0B"/>
    <w:rsid w:val="00245D9F"/>
    <w:rsid w:val="00245DF3"/>
    <w:rsid w:val="00245EB4"/>
    <w:rsid w:val="00245FD7"/>
    <w:rsid w:val="002462BF"/>
    <w:rsid w:val="002462E8"/>
    <w:rsid w:val="00246561"/>
    <w:rsid w:val="002466B7"/>
    <w:rsid w:val="00246743"/>
    <w:rsid w:val="002467B9"/>
    <w:rsid w:val="00246817"/>
    <w:rsid w:val="00246875"/>
    <w:rsid w:val="002468CF"/>
    <w:rsid w:val="00246AA3"/>
    <w:rsid w:val="00246CB1"/>
    <w:rsid w:val="00246E6E"/>
    <w:rsid w:val="00246E94"/>
    <w:rsid w:val="00246EAB"/>
    <w:rsid w:val="00246EDA"/>
    <w:rsid w:val="00246EED"/>
    <w:rsid w:val="002472DD"/>
    <w:rsid w:val="002472F6"/>
    <w:rsid w:val="00247443"/>
    <w:rsid w:val="0024750E"/>
    <w:rsid w:val="00247681"/>
    <w:rsid w:val="00247DD5"/>
    <w:rsid w:val="00247ED8"/>
    <w:rsid w:val="00247F4B"/>
    <w:rsid w:val="0025012F"/>
    <w:rsid w:val="0025016D"/>
    <w:rsid w:val="00250658"/>
    <w:rsid w:val="002506AC"/>
    <w:rsid w:val="00250778"/>
    <w:rsid w:val="0025082F"/>
    <w:rsid w:val="002508B7"/>
    <w:rsid w:val="002509F0"/>
    <w:rsid w:val="00250C8B"/>
    <w:rsid w:val="00250CC8"/>
    <w:rsid w:val="00250E53"/>
    <w:rsid w:val="00250E70"/>
    <w:rsid w:val="00250E82"/>
    <w:rsid w:val="002510FC"/>
    <w:rsid w:val="002511CC"/>
    <w:rsid w:val="002511E7"/>
    <w:rsid w:val="002512F5"/>
    <w:rsid w:val="002513D9"/>
    <w:rsid w:val="00251498"/>
    <w:rsid w:val="00251501"/>
    <w:rsid w:val="00251614"/>
    <w:rsid w:val="002517C8"/>
    <w:rsid w:val="00251802"/>
    <w:rsid w:val="0025188A"/>
    <w:rsid w:val="002518F0"/>
    <w:rsid w:val="00251916"/>
    <w:rsid w:val="00251A4C"/>
    <w:rsid w:val="00251B3E"/>
    <w:rsid w:val="00251C90"/>
    <w:rsid w:val="00251CB1"/>
    <w:rsid w:val="00251CD0"/>
    <w:rsid w:val="00251D56"/>
    <w:rsid w:val="00251E70"/>
    <w:rsid w:val="00251F0D"/>
    <w:rsid w:val="00251F79"/>
    <w:rsid w:val="0025204D"/>
    <w:rsid w:val="00252052"/>
    <w:rsid w:val="0025228B"/>
    <w:rsid w:val="0025228C"/>
    <w:rsid w:val="002523BD"/>
    <w:rsid w:val="00252594"/>
    <w:rsid w:val="002527D6"/>
    <w:rsid w:val="00252841"/>
    <w:rsid w:val="002529F9"/>
    <w:rsid w:val="00252C1F"/>
    <w:rsid w:val="00252FF4"/>
    <w:rsid w:val="002530B6"/>
    <w:rsid w:val="00253120"/>
    <w:rsid w:val="002533D9"/>
    <w:rsid w:val="0025353F"/>
    <w:rsid w:val="00253752"/>
    <w:rsid w:val="002537D3"/>
    <w:rsid w:val="002537ED"/>
    <w:rsid w:val="002539EC"/>
    <w:rsid w:val="00253B02"/>
    <w:rsid w:val="00253B36"/>
    <w:rsid w:val="00253B66"/>
    <w:rsid w:val="00253B8D"/>
    <w:rsid w:val="00253CA2"/>
    <w:rsid w:val="00253CEF"/>
    <w:rsid w:val="00253DCB"/>
    <w:rsid w:val="00253E47"/>
    <w:rsid w:val="00253ED5"/>
    <w:rsid w:val="00253F0D"/>
    <w:rsid w:val="00254264"/>
    <w:rsid w:val="00254335"/>
    <w:rsid w:val="0025434A"/>
    <w:rsid w:val="00254684"/>
    <w:rsid w:val="0025472D"/>
    <w:rsid w:val="00254771"/>
    <w:rsid w:val="00254786"/>
    <w:rsid w:val="0025492F"/>
    <w:rsid w:val="00254C03"/>
    <w:rsid w:val="00254CA1"/>
    <w:rsid w:val="00254DBF"/>
    <w:rsid w:val="00254ED2"/>
    <w:rsid w:val="0025504B"/>
    <w:rsid w:val="002550DC"/>
    <w:rsid w:val="002550EF"/>
    <w:rsid w:val="00255126"/>
    <w:rsid w:val="00255161"/>
    <w:rsid w:val="00255281"/>
    <w:rsid w:val="00255343"/>
    <w:rsid w:val="00255499"/>
    <w:rsid w:val="002555EB"/>
    <w:rsid w:val="00255869"/>
    <w:rsid w:val="00255988"/>
    <w:rsid w:val="0025598A"/>
    <w:rsid w:val="002559BA"/>
    <w:rsid w:val="00255A5C"/>
    <w:rsid w:val="00255B44"/>
    <w:rsid w:val="00255BC6"/>
    <w:rsid w:val="00255C6C"/>
    <w:rsid w:val="00255D7F"/>
    <w:rsid w:val="00255D8A"/>
    <w:rsid w:val="00255DC2"/>
    <w:rsid w:val="00255DE2"/>
    <w:rsid w:val="00255E7A"/>
    <w:rsid w:val="00255E81"/>
    <w:rsid w:val="00256049"/>
    <w:rsid w:val="0025605D"/>
    <w:rsid w:val="0025609E"/>
    <w:rsid w:val="002563C0"/>
    <w:rsid w:val="002563CA"/>
    <w:rsid w:val="002564E4"/>
    <w:rsid w:val="00256551"/>
    <w:rsid w:val="002565B7"/>
    <w:rsid w:val="00256779"/>
    <w:rsid w:val="00256A10"/>
    <w:rsid w:val="00256B24"/>
    <w:rsid w:val="00256D4A"/>
    <w:rsid w:val="00256EA6"/>
    <w:rsid w:val="00257086"/>
    <w:rsid w:val="00257120"/>
    <w:rsid w:val="002571BD"/>
    <w:rsid w:val="002572A4"/>
    <w:rsid w:val="00257568"/>
    <w:rsid w:val="002575BA"/>
    <w:rsid w:val="00257698"/>
    <w:rsid w:val="0025771B"/>
    <w:rsid w:val="0025775E"/>
    <w:rsid w:val="0025779D"/>
    <w:rsid w:val="00257889"/>
    <w:rsid w:val="00257A17"/>
    <w:rsid w:val="00257A3F"/>
    <w:rsid w:val="00257AA8"/>
    <w:rsid w:val="00257BF1"/>
    <w:rsid w:val="00257CE3"/>
    <w:rsid w:val="00257E42"/>
    <w:rsid w:val="00257E49"/>
    <w:rsid w:val="00257E64"/>
    <w:rsid w:val="0026001A"/>
    <w:rsid w:val="002600ED"/>
    <w:rsid w:val="00260136"/>
    <w:rsid w:val="00260191"/>
    <w:rsid w:val="00260193"/>
    <w:rsid w:val="002601ED"/>
    <w:rsid w:val="00260233"/>
    <w:rsid w:val="00260287"/>
    <w:rsid w:val="0026029F"/>
    <w:rsid w:val="002602FA"/>
    <w:rsid w:val="00260546"/>
    <w:rsid w:val="00260A03"/>
    <w:rsid w:val="00260A6A"/>
    <w:rsid w:val="00260A82"/>
    <w:rsid w:val="00260AE6"/>
    <w:rsid w:val="00260CED"/>
    <w:rsid w:val="00260D46"/>
    <w:rsid w:val="0026108C"/>
    <w:rsid w:val="0026114E"/>
    <w:rsid w:val="00261298"/>
    <w:rsid w:val="002612BC"/>
    <w:rsid w:val="00261318"/>
    <w:rsid w:val="00261445"/>
    <w:rsid w:val="00261514"/>
    <w:rsid w:val="00261694"/>
    <w:rsid w:val="002616FB"/>
    <w:rsid w:val="002619A4"/>
    <w:rsid w:val="002619BC"/>
    <w:rsid w:val="00261A4D"/>
    <w:rsid w:val="00261A51"/>
    <w:rsid w:val="00261C4D"/>
    <w:rsid w:val="00261CC8"/>
    <w:rsid w:val="00261E2A"/>
    <w:rsid w:val="00261EF4"/>
    <w:rsid w:val="00261F26"/>
    <w:rsid w:val="00261F31"/>
    <w:rsid w:val="00261FD8"/>
    <w:rsid w:val="00261FFA"/>
    <w:rsid w:val="00262081"/>
    <w:rsid w:val="0026216F"/>
    <w:rsid w:val="0026223C"/>
    <w:rsid w:val="00262344"/>
    <w:rsid w:val="00262382"/>
    <w:rsid w:val="0026245D"/>
    <w:rsid w:val="00262494"/>
    <w:rsid w:val="00262715"/>
    <w:rsid w:val="00262867"/>
    <w:rsid w:val="002628F9"/>
    <w:rsid w:val="002629A3"/>
    <w:rsid w:val="00262A6A"/>
    <w:rsid w:val="00262DD8"/>
    <w:rsid w:val="00262FAC"/>
    <w:rsid w:val="00262FEF"/>
    <w:rsid w:val="00263219"/>
    <w:rsid w:val="0026341E"/>
    <w:rsid w:val="002634FA"/>
    <w:rsid w:val="0026351A"/>
    <w:rsid w:val="00263524"/>
    <w:rsid w:val="0026356D"/>
    <w:rsid w:val="0026367F"/>
    <w:rsid w:val="0026383F"/>
    <w:rsid w:val="00263A0E"/>
    <w:rsid w:val="00263A5E"/>
    <w:rsid w:val="00263A5F"/>
    <w:rsid w:val="00263AA2"/>
    <w:rsid w:val="00263B27"/>
    <w:rsid w:val="00263B7D"/>
    <w:rsid w:val="00263BA8"/>
    <w:rsid w:val="00263CD4"/>
    <w:rsid w:val="00263D72"/>
    <w:rsid w:val="00263DD6"/>
    <w:rsid w:val="00264138"/>
    <w:rsid w:val="00264233"/>
    <w:rsid w:val="0026446A"/>
    <w:rsid w:val="00264532"/>
    <w:rsid w:val="0026474A"/>
    <w:rsid w:val="002647CC"/>
    <w:rsid w:val="0026480D"/>
    <w:rsid w:val="0026481A"/>
    <w:rsid w:val="00264A13"/>
    <w:rsid w:val="00264D4C"/>
    <w:rsid w:val="00264DE9"/>
    <w:rsid w:val="00264E8C"/>
    <w:rsid w:val="00265062"/>
    <w:rsid w:val="002654F3"/>
    <w:rsid w:val="00265504"/>
    <w:rsid w:val="002657C3"/>
    <w:rsid w:val="0026593A"/>
    <w:rsid w:val="002659B2"/>
    <w:rsid w:val="002659D3"/>
    <w:rsid w:val="00265B0D"/>
    <w:rsid w:val="00265B25"/>
    <w:rsid w:val="00265C1B"/>
    <w:rsid w:val="00265C92"/>
    <w:rsid w:val="00265CBA"/>
    <w:rsid w:val="00265E1D"/>
    <w:rsid w:val="002660FC"/>
    <w:rsid w:val="00266194"/>
    <w:rsid w:val="00266275"/>
    <w:rsid w:val="00266298"/>
    <w:rsid w:val="00266511"/>
    <w:rsid w:val="00266543"/>
    <w:rsid w:val="002665ED"/>
    <w:rsid w:val="00266A22"/>
    <w:rsid w:val="00266BA8"/>
    <w:rsid w:val="00266CCD"/>
    <w:rsid w:val="00266DC2"/>
    <w:rsid w:val="00266DC3"/>
    <w:rsid w:val="00266E2D"/>
    <w:rsid w:val="00266F12"/>
    <w:rsid w:val="00266F62"/>
    <w:rsid w:val="0026701D"/>
    <w:rsid w:val="00267172"/>
    <w:rsid w:val="002672CB"/>
    <w:rsid w:val="00267383"/>
    <w:rsid w:val="00267461"/>
    <w:rsid w:val="002674A0"/>
    <w:rsid w:val="00267588"/>
    <w:rsid w:val="002676A0"/>
    <w:rsid w:val="0026783F"/>
    <w:rsid w:val="00267900"/>
    <w:rsid w:val="00267A2C"/>
    <w:rsid w:val="00267CE4"/>
    <w:rsid w:val="00267D93"/>
    <w:rsid w:val="00267F2E"/>
    <w:rsid w:val="00267FAD"/>
    <w:rsid w:val="00270090"/>
    <w:rsid w:val="0027021F"/>
    <w:rsid w:val="002702DE"/>
    <w:rsid w:val="00270375"/>
    <w:rsid w:val="002703CA"/>
    <w:rsid w:val="002703D5"/>
    <w:rsid w:val="00270453"/>
    <w:rsid w:val="0027059D"/>
    <w:rsid w:val="00270682"/>
    <w:rsid w:val="00270703"/>
    <w:rsid w:val="00270897"/>
    <w:rsid w:val="002708A5"/>
    <w:rsid w:val="00270A4D"/>
    <w:rsid w:val="00270B92"/>
    <w:rsid w:val="00270BEF"/>
    <w:rsid w:val="00270E8C"/>
    <w:rsid w:val="00270F9E"/>
    <w:rsid w:val="00270FB0"/>
    <w:rsid w:val="00271027"/>
    <w:rsid w:val="00271058"/>
    <w:rsid w:val="002710D9"/>
    <w:rsid w:val="00271170"/>
    <w:rsid w:val="0027118F"/>
    <w:rsid w:val="002711F4"/>
    <w:rsid w:val="002712FF"/>
    <w:rsid w:val="0027132C"/>
    <w:rsid w:val="00271345"/>
    <w:rsid w:val="0027135A"/>
    <w:rsid w:val="00271436"/>
    <w:rsid w:val="002715A8"/>
    <w:rsid w:val="0027185D"/>
    <w:rsid w:val="00271920"/>
    <w:rsid w:val="00271AF0"/>
    <w:rsid w:val="00271B0E"/>
    <w:rsid w:val="00271B77"/>
    <w:rsid w:val="00271C64"/>
    <w:rsid w:val="00271D2E"/>
    <w:rsid w:val="00271DD0"/>
    <w:rsid w:val="00271E93"/>
    <w:rsid w:val="00272265"/>
    <w:rsid w:val="0027227D"/>
    <w:rsid w:val="002722F7"/>
    <w:rsid w:val="00272305"/>
    <w:rsid w:val="0027241D"/>
    <w:rsid w:val="002724B0"/>
    <w:rsid w:val="002724BC"/>
    <w:rsid w:val="002724E6"/>
    <w:rsid w:val="002724F9"/>
    <w:rsid w:val="002725E9"/>
    <w:rsid w:val="00272624"/>
    <w:rsid w:val="00272776"/>
    <w:rsid w:val="002727D1"/>
    <w:rsid w:val="002728DF"/>
    <w:rsid w:val="00272A1F"/>
    <w:rsid w:val="00272C97"/>
    <w:rsid w:val="00272CF2"/>
    <w:rsid w:val="00272DC1"/>
    <w:rsid w:val="00272E8F"/>
    <w:rsid w:val="00273095"/>
    <w:rsid w:val="002732D1"/>
    <w:rsid w:val="00273371"/>
    <w:rsid w:val="002733EA"/>
    <w:rsid w:val="00273471"/>
    <w:rsid w:val="002734D7"/>
    <w:rsid w:val="002734DA"/>
    <w:rsid w:val="0027350E"/>
    <w:rsid w:val="0027355B"/>
    <w:rsid w:val="0027356B"/>
    <w:rsid w:val="00273599"/>
    <w:rsid w:val="002735A9"/>
    <w:rsid w:val="0027361A"/>
    <w:rsid w:val="00273BFE"/>
    <w:rsid w:val="00273DC9"/>
    <w:rsid w:val="00273FD8"/>
    <w:rsid w:val="00274004"/>
    <w:rsid w:val="002741E9"/>
    <w:rsid w:val="00274221"/>
    <w:rsid w:val="002742A8"/>
    <w:rsid w:val="002742D8"/>
    <w:rsid w:val="0027433A"/>
    <w:rsid w:val="00274362"/>
    <w:rsid w:val="00274481"/>
    <w:rsid w:val="002744DB"/>
    <w:rsid w:val="002744EF"/>
    <w:rsid w:val="00274544"/>
    <w:rsid w:val="00274552"/>
    <w:rsid w:val="002746A1"/>
    <w:rsid w:val="002746D0"/>
    <w:rsid w:val="0027481D"/>
    <w:rsid w:val="0027486E"/>
    <w:rsid w:val="00274929"/>
    <w:rsid w:val="00274B9D"/>
    <w:rsid w:val="00274DC9"/>
    <w:rsid w:val="00274F59"/>
    <w:rsid w:val="0027501E"/>
    <w:rsid w:val="00275070"/>
    <w:rsid w:val="002750C3"/>
    <w:rsid w:val="00275259"/>
    <w:rsid w:val="00275316"/>
    <w:rsid w:val="00275373"/>
    <w:rsid w:val="00275552"/>
    <w:rsid w:val="00275773"/>
    <w:rsid w:val="002757CF"/>
    <w:rsid w:val="00275853"/>
    <w:rsid w:val="0027588A"/>
    <w:rsid w:val="002758A3"/>
    <w:rsid w:val="00275906"/>
    <w:rsid w:val="00275D54"/>
    <w:rsid w:val="00275F90"/>
    <w:rsid w:val="00275FAA"/>
    <w:rsid w:val="0027601F"/>
    <w:rsid w:val="0027605F"/>
    <w:rsid w:val="00276092"/>
    <w:rsid w:val="00276207"/>
    <w:rsid w:val="00276341"/>
    <w:rsid w:val="00276944"/>
    <w:rsid w:val="00276A44"/>
    <w:rsid w:val="00276BC2"/>
    <w:rsid w:val="00276E7D"/>
    <w:rsid w:val="00276FB8"/>
    <w:rsid w:val="00277027"/>
    <w:rsid w:val="002771AB"/>
    <w:rsid w:val="0027730E"/>
    <w:rsid w:val="002774A3"/>
    <w:rsid w:val="00277652"/>
    <w:rsid w:val="002777CA"/>
    <w:rsid w:val="002779B9"/>
    <w:rsid w:val="00277A85"/>
    <w:rsid w:val="00277AA8"/>
    <w:rsid w:val="00277B57"/>
    <w:rsid w:val="00277BA7"/>
    <w:rsid w:val="00277BDB"/>
    <w:rsid w:val="00277C54"/>
    <w:rsid w:val="00277CFB"/>
    <w:rsid w:val="00277E13"/>
    <w:rsid w:val="00277EF6"/>
    <w:rsid w:val="00277EFA"/>
    <w:rsid w:val="00277FBB"/>
    <w:rsid w:val="0028010B"/>
    <w:rsid w:val="00280134"/>
    <w:rsid w:val="002802A7"/>
    <w:rsid w:val="0028033D"/>
    <w:rsid w:val="0028035E"/>
    <w:rsid w:val="00280370"/>
    <w:rsid w:val="00280392"/>
    <w:rsid w:val="002803A2"/>
    <w:rsid w:val="0028045F"/>
    <w:rsid w:val="0028048F"/>
    <w:rsid w:val="00280504"/>
    <w:rsid w:val="002805C5"/>
    <w:rsid w:val="002806B4"/>
    <w:rsid w:val="002806E3"/>
    <w:rsid w:val="002806FD"/>
    <w:rsid w:val="0028087A"/>
    <w:rsid w:val="0028088F"/>
    <w:rsid w:val="00280929"/>
    <w:rsid w:val="00280937"/>
    <w:rsid w:val="00280972"/>
    <w:rsid w:val="002809A2"/>
    <w:rsid w:val="00280A5E"/>
    <w:rsid w:val="00280CDA"/>
    <w:rsid w:val="00280D06"/>
    <w:rsid w:val="00280D28"/>
    <w:rsid w:val="00280EA2"/>
    <w:rsid w:val="00280F28"/>
    <w:rsid w:val="002811CE"/>
    <w:rsid w:val="002813A2"/>
    <w:rsid w:val="002813F9"/>
    <w:rsid w:val="00281409"/>
    <w:rsid w:val="00281559"/>
    <w:rsid w:val="002815FD"/>
    <w:rsid w:val="00281695"/>
    <w:rsid w:val="00281714"/>
    <w:rsid w:val="0028197C"/>
    <w:rsid w:val="002819A6"/>
    <w:rsid w:val="00281BBF"/>
    <w:rsid w:val="00281BFB"/>
    <w:rsid w:val="00281DE8"/>
    <w:rsid w:val="00281F7C"/>
    <w:rsid w:val="00281F86"/>
    <w:rsid w:val="00281FE6"/>
    <w:rsid w:val="00282033"/>
    <w:rsid w:val="00282061"/>
    <w:rsid w:val="002821E0"/>
    <w:rsid w:val="00282291"/>
    <w:rsid w:val="0028232F"/>
    <w:rsid w:val="00282469"/>
    <w:rsid w:val="0028251B"/>
    <w:rsid w:val="002825CA"/>
    <w:rsid w:val="0028287A"/>
    <w:rsid w:val="00282919"/>
    <w:rsid w:val="0028295B"/>
    <w:rsid w:val="00282DA7"/>
    <w:rsid w:val="00282E10"/>
    <w:rsid w:val="00282F36"/>
    <w:rsid w:val="00282FA2"/>
    <w:rsid w:val="002832B2"/>
    <w:rsid w:val="00283305"/>
    <w:rsid w:val="002834FD"/>
    <w:rsid w:val="00283658"/>
    <w:rsid w:val="00283765"/>
    <w:rsid w:val="0028391D"/>
    <w:rsid w:val="002839E2"/>
    <w:rsid w:val="00283CB9"/>
    <w:rsid w:val="00283DBA"/>
    <w:rsid w:val="00283DEA"/>
    <w:rsid w:val="00283F2A"/>
    <w:rsid w:val="00284192"/>
    <w:rsid w:val="00284212"/>
    <w:rsid w:val="00284309"/>
    <w:rsid w:val="00284389"/>
    <w:rsid w:val="002844FA"/>
    <w:rsid w:val="00284549"/>
    <w:rsid w:val="0028461A"/>
    <w:rsid w:val="002848D5"/>
    <w:rsid w:val="00284AE5"/>
    <w:rsid w:val="00284D27"/>
    <w:rsid w:val="00284DBC"/>
    <w:rsid w:val="00284E86"/>
    <w:rsid w:val="00285212"/>
    <w:rsid w:val="002853FF"/>
    <w:rsid w:val="00285523"/>
    <w:rsid w:val="002855D8"/>
    <w:rsid w:val="0028570C"/>
    <w:rsid w:val="002857A4"/>
    <w:rsid w:val="00285973"/>
    <w:rsid w:val="002859D9"/>
    <w:rsid w:val="00285A27"/>
    <w:rsid w:val="00285B2E"/>
    <w:rsid w:val="00285BBE"/>
    <w:rsid w:val="00285E92"/>
    <w:rsid w:val="002861D0"/>
    <w:rsid w:val="00286285"/>
    <w:rsid w:val="00286329"/>
    <w:rsid w:val="00286440"/>
    <w:rsid w:val="002864DE"/>
    <w:rsid w:val="002865D2"/>
    <w:rsid w:val="002866DA"/>
    <w:rsid w:val="0028672E"/>
    <w:rsid w:val="0028674C"/>
    <w:rsid w:val="0028682A"/>
    <w:rsid w:val="00286946"/>
    <w:rsid w:val="00286967"/>
    <w:rsid w:val="002869A3"/>
    <w:rsid w:val="00286CBA"/>
    <w:rsid w:val="00286F76"/>
    <w:rsid w:val="00287186"/>
    <w:rsid w:val="002871F6"/>
    <w:rsid w:val="00287243"/>
    <w:rsid w:val="00287396"/>
    <w:rsid w:val="002874EB"/>
    <w:rsid w:val="00287609"/>
    <w:rsid w:val="00287641"/>
    <w:rsid w:val="0028772D"/>
    <w:rsid w:val="00287BA6"/>
    <w:rsid w:val="00287E5A"/>
    <w:rsid w:val="00290051"/>
    <w:rsid w:val="0029013D"/>
    <w:rsid w:val="00290233"/>
    <w:rsid w:val="00290263"/>
    <w:rsid w:val="00290431"/>
    <w:rsid w:val="002904C4"/>
    <w:rsid w:val="00290582"/>
    <w:rsid w:val="00290666"/>
    <w:rsid w:val="002906FB"/>
    <w:rsid w:val="0029083F"/>
    <w:rsid w:val="00290856"/>
    <w:rsid w:val="00290890"/>
    <w:rsid w:val="00290AA4"/>
    <w:rsid w:val="00290B4A"/>
    <w:rsid w:val="00290B99"/>
    <w:rsid w:val="00290C8B"/>
    <w:rsid w:val="00290D3E"/>
    <w:rsid w:val="00290E58"/>
    <w:rsid w:val="00290EBB"/>
    <w:rsid w:val="00290EC8"/>
    <w:rsid w:val="00290F9A"/>
    <w:rsid w:val="00291020"/>
    <w:rsid w:val="00291194"/>
    <w:rsid w:val="002911D2"/>
    <w:rsid w:val="00291426"/>
    <w:rsid w:val="00291449"/>
    <w:rsid w:val="00291579"/>
    <w:rsid w:val="00291686"/>
    <w:rsid w:val="0029172C"/>
    <w:rsid w:val="0029176D"/>
    <w:rsid w:val="002917F9"/>
    <w:rsid w:val="00291954"/>
    <w:rsid w:val="00291991"/>
    <w:rsid w:val="00291A71"/>
    <w:rsid w:val="00291A79"/>
    <w:rsid w:val="00291AA2"/>
    <w:rsid w:val="00291B30"/>
    <w:rsid w:val="00291B48"/>
    <w:rsid w:val="00291B5C"/>
    <w:rsid w:val="00291C93"/>
    <w:rsid w:val="00291E3E"/>
    <w:rsid w:val="0029211C"/>
    <w:rsid w:val="0029214A"/>
    <w:rsid w:val="00292317"/>
    <w:rsid w:val="0029239A"/>
    <w:rsid w:val="002923E2"/>
    <w:rsid w:val="0029240B"/>
    <w:rsid w:val="0029248E"/>
    <w:rsid w:val="00292552"/>
    <w:rsid w:val="002925BD"/>
    <w:rsid w:val="002926DD"/>
    <w:rsid w:val="00292743"/>
    <w:rsid w:val="00292A57"/>
    <w:rsid w:val="00292AD6"/>
    <w:rsid w:val="00292CE8"/>
    <w:rsid w:val="00292D7F"/>
    <w:rsid w:val="00292E0C"/>
    <w:rsid w:val="0029315F"/>
    <w:rsid w:val="00293244"/>
    <w:rsid w:val="002932F1"/>
    <w:rsid w:val="00293313"/>
    <w:rsid w:val="0029342F"/>
    <w:rsid w:val="002934EC"/>
    <w:rsid w:val="00293724"/>
    <w:rsid w:val="0029386F"/>
    <w:rsid w:val="00293875"/>
    <w:rsid w:val="00293A7B"/>
    <w:rsid w:val="00293B8E"/>
    <w:rsid w:val="00293C36"/>
    <w:rsid w:val="00293D59"/>
    <w:rsid w:val="00293E12"/>
    <w:rsid w:val="00293EB3"/>
    <w:rsid w:val="00293FC5"/>
    <w:rsid w:val="002940C0"/>
    <w:rsid w:val="002940F2"/>
    <w:rsid w:val="00294135"/>
    <w:rsid w:val="00294143"/>
    <w:rsid w:val="00294182"/>
    <w:rsid w:val="00294350"/>
    <w:rsid w:val="002943BA"/>
    <w:rsid w:val="00294544"/>
    <w:rsid w:val="0029464C"/>
    <w:rsid w:val="00294696"/>
    <w:rsid w:val="002946A6"/>
    <w:rsid w:val="00294712"/>
    <w:rsid w:val="00294971"/>
    <w:rsid w:val="00294AD7"/>
    <w:rsid w:val="00294ADC"/>
    <w:rsid w:val="00294B8E"/>
    <w:rsid w:val="00294BE9"/>
    <w:rsid w:val="00294C78"/>
    <w:rsid w:val="00294E10"/>
    <w:rsid w:val="00294E43"/>
    <w:rsid w:val="00294E88"/>
    <w:rsid w:val="00294F14"/>
    <w:rsid w:val="00294F34"/>
    <w:rsid w:val="00295052"/>
    <w:rsid w:val="0029518B"/>
    <w:rsid w:val="00295216"/>
    <w:rsid w:val="00295472"/>
    <w:rsid w:val="0029550D"/>
    <w:rsid w:val="002955E2"/>
    <w:rsid w:val="00295611"/>
    <w:rsid w:val="002956E3"/>
    <w:rsid w:val="00295768"/>
    <w:rsid w:val="002957C9"/>
    <w:rsid w:val="002959AF"/>
    <w:rsid w:val="002959D9"/>
    <w:rsid w:val="002959EC"/>
    <w:rsid w:val="00295B71"/>
    <w:rsid w:val="00295CC7"/>
    <w:rsid w:val="00295D58"/>
    <w:rsid w:val="00295DC8"/>
    <w:rsid w:val="00295E68"/>
    <w:rsid w:val="00295F8A"/>
    <w:rsid w:val="00295FE6"/>
    <w:rsid w:val="00296016"/>
    <w:rsid w:val="002960F6"/>
    <w:rsid w:val="00296165"/>
    <w:rsid w:val="00296249"/>
    <w:rsid w:val="002963AE"/>
    <w:rsid w:val="002963C7"/>
    <w:rsid w:val="00296417"/>
    <w:rsid w:val="00296607"/>
    <w:rsid w:val="002966E3"/>
    <w:rsid w:val="00296774"/>
    <w:rsid w:val="002968BE"/>
    <w:rsid w:val="00296A85"/>
    <w:rsid w:val="00296AAD"/>
    <w:rsid w:val="00296B05"/>
    <w:rsid w:val="00296EFA"/>
    <w:rsid w:val="00296F08"/>
    <w:rsid w:val="00297141"/>
    <w:rsid w:val="00297235"/>
    <w:rsid w:val="002972CE"/>
    <w:rsid w:val="00297386"/>
    <w:rsid w:val="002973E7"/>
    <w:rsid w:val="0029784D"/>
    <w:rsid w:val="0029789B"/>
    <w:rsid w:val="002978F8"/>
    <w:rsid w:val="00297A94"/>
    <w:rsid w:val="00297BF8"/>
    <w:rsid w:val="00297D96"/>
    <w:rsid w:val="00297DF7"/>
    <w:rsid w:val="00297F58"/>
    <w:rsid w:val="00297F7F"/>
    <w:rsid w:val="002A0059"/>
    <w:rsid w:val="002A00DE"/>
    <w:rsid w:val="002A0370"/>
    <w:rsid w:val="002A05C0"/>
    <w:rsid w:val="002A05E1"/>
    <w:rsid w:val="002A0688"/>
    <w:rsid w:val="002A0719"/>
    <w:rsid w:val="002A08A3"/>
    <w:rsid w:val="002A08A9"/>
    <w:rsid w:val="002A09C6"/>
    <w:rsid w:val="002A0C63"/>
    <w:rsid w:val="002A0E95"/>
    <w:rsid w:val="002A110C"/>
    <w:rsid w:val="002A13CE"/>
    <w:rsid w:val="002A13EA"/>
    <w:rsid w:val="002A1402"/>
    <w:rsid w:val="002A149C"/>
    <w:rsid w:val="002A150B"/>
    <w:rsid w:val="002A1614"/>
    <w:rsid w:val="002A163A"/>
    <w:rsid w:val="002A1711"/>
    <w:rsid w:val="002A194A"/>
    <w:rsid w:val="002A1BC2"/>
    <w:rsid w:val="002A1BE3"/>
    <w:rsid w:val="002A1D21"/>
    <w:rsid w:val="002A1E19"/>
    <w:rsid w:val="002A1F09"/>
    <w:rsid w:val="002A2170"/>
    <w:rsid w:val="002A21B9"/>
    <w:rsid w:val="002A2488"/>
    <w:rsid w:val="002A2497"/>
    <w:rsid w:val="002A252D"/>
    <w:rsid w:val="002A27A4"/>
    <w:rsid w:val="002A27AD"/>
    <w:rsid w:val="002A27C6"/>
    <w:rsid w:val="002A2821"/>
    <w:rsid w:val="002A2AC6"/>
    <w:rsid w:val="002A2BD4"/>
    <w:rsid w:val="002A2CA1"/>
    <w:rsid w:val="002A2D4A"/>
    <w:rsid w:val="002A2D77"/>
    <w:rsid w:val="002A3282"/>
    <w:rsid w:val="002A335B"/>
    <w:rsid w:val="002A33C8"/>
    <w:rsid w:val="002A33E3"/>
    <w:rsid w:val="002A3422"/>
    <w:rsid w:val="002A34AB"/>
    <w:rsid w:val="002A34D2"/>
    <w:rsid w:val="002A3738"/>
    <w:rsid w:val="002A377B"/>
    <w:rsid w:val="002A379F"/>
    <w:rsid w:val="002A3809"/>
    <w:rsid w:val="002A3852"/>
    <w:rsid w:val="002A3AC7"/>
    <w:rsid w:val="002A3AE7"/>
    <w:rsid w:val="002A3AF8"/>
    <w:rsid w:val="002A3D0F"/>
    <w:rsid w:val="002A3D1C"/>
    <w:rsid w:val="002A3DCE"/>
    <w:rsid w:val="002A3DD2"/>
    <w:rsid w:val="002A3F5B"/>
    <w:rsid w:val="002A3FCA"/>
    <w:rsid w:val="002A445A"/>
    <w:rsid w:val="002A456C"/>
    <w:rsid w:val="002A470F"/>
    <w:rsid w:val="002A4914"/>
    <w:rsid w:val="002A4967"/>
    <w:rsid w:val="002A4A2D"/>
    <w:rsid w:val="002A4A76"/>
    <w:rsid w:val="002A4ACB"/>
    <w:rsid w:val="002A4C20"/>
    <w:rsid w:val="002A4D49"/>
    <w:rsid w:val="002A4D62"/>
    <w:rsid w:val="002A4EB7"/>
    <w:rsid w:val="002A4F3D"/>
    <w:rsid w:val="002A4F80"/>
    <w:rsid w:val="002A502C"/>
    <w:rsid w:val="002A50BD"/>
    <w:rsid w:val="002A5158"/>
    <w:rsid w:val="002A52FF"/>
    <w:rsid w:val="002A5332"/>
    <w:rsid w:val="002A54A7"/>
    <w:rsid w:val="002A5545"/>
    <w:rsid w:val="002A55F1"/>
    <w:rsid w:val="002A5693"/>
    <w:rsid w:val="002A56DC"/>
    <w:rsid w:val="002A56E9"/>
    <w:rsid w:val="002A5855"/>
    <w:rsid w:val="002A5890"/>
    <w:rsid w:val="002A58F7"/>
    <w:rsid w:val="002A59C9"/>
    <w:rsid w:val="002A5AA2"/>
    <w:rsid w:val="002A5AF8"/>
    <w:rsid w:val="002A5C76"/>
    <w:rsid w:val="002A5CE6"/>
    <w:rsid w:val="002A5CE8"/>
    <w:rsid w:val="002A5D0B"/>
    <w:rsid w:val="002A5E79"/>
    <w:rsid w:val="002A5EB7"/>
    <w:rsid w:val="002A5F9E"/>
    <w:rsid w:val="002A6050"/>
    <w:rsid w:val="002A6112"/>
    <w:rsid w:val="002A6248"/>
    <w:rsid w:val="002A6271"/>
    <w:rsid w:val="002A63C7"/>
    <w:rsid w:val="002A66ED"/>
    <w:rsid w:val="002A6703"/>
    <w:rsid w:val="002A68C7"/>
    <w:rsid w:val="002A69C8"/>
    <w:rsid w:val="002A6CCA"/>
    <w:rsid w:val="002A6CE7"/>
    <w:rsid w:val="002A6D8E"/>
    <w:rsid w:val="002A6E52"/>
    <w:rsid w:val="002A6F93"/>
    <w:rsid w:val="002A6FC8"/>
    <w:rsid w:val="002A721E"/>
    <w:rsid w:val="002A72E5"/>
    <w:rsid w:val="002A730E"/>
    <w:rsid w:val="002A7349"/>
    <w:rsid w:val="002A7512"/>
    <w:rsid w:val="002A754F"/>
    <w:rsid w:val="002A7619"/>
    <w:rsid w:val="002A766A"/>
    <w:rsid w:val="002A76AB"/>
    <w:rsid w:val="002A784A"/>
    <w:rsid w:val="002A79BA"/>
    <w:rsid w:val="002A7A5E"/>
    <w:rsid w:val="002A7D64"/>
    <w:rsid w:val="002B0054"/>
    <w:rsid w:val="002B0084"/>
    <w:rsid w:val="002B013D"/>
    <w:rsid w:val="002B04A3"/>
    <w:rsid w:val="002B0508"/>
    <w:rsid w:val="002B0576"/>
    <w:rsid w:val="002B05DD"/>
    <w:rsid w:val="002B05F3"/>
    <w:rsid w:val="002B0743"/>
    <w:rsid w:val="002B0883"/>
    <w:rsid w:val="002B08BE"/>
    <w:rsid w:val="002B08F0"/>
    <w:rsid w:val="002B09CA"/>
    <w:rsid w:val="002B0B5C"/>
    <w:rsid w:val="002B0B68"/>
    <w:rsid w:val="002B0E01"/>
    <w:rsid w:val="002B0E36"/>
    <w:rsid w:val="002B0E40"/>
    <w:rsid w:val="002B102A"/>
    <w:rsid w:val="002B11B1"/>
    <w:rsid w:val="002B11EB"/>
    <w:rsid w:val="002B1273"/>
    <w:rsid w:val="002B141F"/>
    <w:rsid w:val="002B162F"/>
    <w:rsid w:val="002B1727"/>
    <w:rsid w:val="002B17EA"/>
    <w:rsid w:val="002B19B1"/>
    <w:rsid w:val="002B1ADC"/>
    <w:rsid w:val="002B1AF7"/>
    <w:rsid w:val="002B1B66"/>
    <w:rsid w:val="002B1B9E"/>
    <w:rsid w:val="002B1C58"/>
    <w:rsid w:val="002B1DB2"/>
    <w:rsid w:val="002B1E3C"/>
    <w:rsid w:val="002B1FEA"/>
    <w:rsid w:val="002B238E"/>
    <w:rsid w:val="002B23E0"/>
    <w:rsid w:val="002B247D"/>
    <w:rsid w:val="002B2542"/>
    <w:rsid w:val="002B256F"/>
    <w:rsid w:val="002B25FD"/>
    <w:rsid w:val="002B266B"/>
    <w:rsid w:val="002B2697"/>
    <w:rsid w:val="002B26C7"/>
    <w:rsid w:val="002B26F9"/>
    <w:rsid w:val="002B298D"/>
    <w:rsid w:val="002B299F"/>
    <w:rsid w:val="002B2A5A"/>
    <w:rsid w:val="002B2A65"/>
    <w:rsid w:val="002B2C8C"/>
    <w:rsid w:val="002B2CC3"/>
    <w:rsid w:val="002B2FD9"/>
    <w:rsid w:val="002B307D"/>
    <w:rsid w:val="002B3275"/>
    <w:rsid w:val="002B3292"/>
    <w:rsid w:val="002B3360"/>
    <w:rsid w:val="002B33BF"/>
    <w:rsid w:val="002B344B"/>
    <w:rsid w:val="002B34AB"/>
    <w:rsid w:val="002B353C"/>
    <w:rsid w:val="002B3548"/>
    <w:rsid w:val="002B3670"/>
    <w:rsid w:val="002B36BC"/>
    <w:rsid w:val="002B36DC"/>
    <w:rsid w:val="002B3B1F"/>
    <w:rsid w:val="002B3B57"/>
    <w:rsid w:val="002B3CCC"/>
    <w:rsid w:val="002B3D2D"/>
    <w:rsid w:val="002B3DCE"/>
    <w:rsid w:val="002B3E9F"/>
    <w:rsid w:val="002B3EA1"/>
    <w:rsid w:val="002B3F1C"/>
    <w:rsid w:val="002B401E"/>
    <w:rsid w:val="002B4130"/>
    <w:rsid w:val="002B4147"/>
    <w:rsid w:val="002B4173"/>
    <w:rsid w:val="002B4240"/>
    <w:rsid w:val="002B431E"/>
    <w:rsid w:val="002B43E7"/>
    <w:rsid w:val="002B446D"/>
    <w:rsid w:val="002B4824"/>
    <w:rsid w:val="002B4897"/>
    <w:rsid w:val="002B494A"/>
    <w:rsid w:val="002B4B79"/>
    <w:rsid w:val="002B4C4D"/>
    <w:rsid w:val="002B4CC0"/>
    <w:rsid w:val="002B4D41"/>
    <w:rsid w:val="002B4E15"/>
    <w:rsid w:val="002B4E6A"/>
    <w:rsid w:val="002B4EB7"/>
    <w:rsid w:val="002B5032"/>
    <w:rsid w:val="002B530F"/>
    <w:rsid w:val="002B5535"/>
    <w:rsid w:val="002B578D"/>
    <w:rsid w:val="002B5940"/>
    <w:rsid w:val="002B59B9"/>
    <w:rsid w:val="002B5B33"/>
    <w:rsid w:val="002B5BA6"/>
    <w:rsid w:val="002B5CF8"/>
    <w:rsid w:val="002B5D12"/>
    <w:rsid w:val="002B5D35"/>
    <w:rsid w:val="002B5F15"/>
    <w:rsid w:val="002B5FD0"/>
    <w:rsid w:val="002B61C1"/>
    <w:rsid w:val="002B61FB"/>
    <w:rsid w:val="002B64C7"/>
    <w:rsid w:val="002B651F"/>
    <w:rsid w:val="002B658D"/>
    <w:rsid w:val="002B6698"/>
    <w:rsid w:val="002B68E8"/>
    <w:rsid w:val="002B6AB9"/>
    <w:rsid w:val="002B6B06"/>
    <w:rsid w:val="002B6BE4"/>
    <w:rsid w:val="002B6ED3"/>
    <w:rsid w:val="002B6EEA"/>
    <w:rsid w:val="002B6F59"/>
    <w:rsid w:val="002B6F99"/>
    <w:rsid w:val="002B70FC"/>
    <w:rsid w:val="002B71C7"/>
    <w:rsid w:val="002B71D4"/>
    <w:rsid w:val="002B738C"/>
    <w:rsid w:val="002B73CE"/>
    <w:rsid w:val="002B740F"/>
    <w:rsid w:val="002B74A7"/>
    <w:rsid w:val="002B74B7"/>
    <w:rsid w:val="002B7530"/>
    <w:rsid w:val="002B75E1"/>
    <w:rsid w:val="002B7644"/>
    <w:rsid w:val="002B7710"/>
    <w:rsid w:val="002B7720"/>
    <w:rsid w:val="002B78E0"/>
    <w:rsid w:val="002B7939"/>
    <w:rsid w:val="002B79D2"/>
    <w:rsid w:val="002B7BA9"/>
    <w:rsid w:val="002B7BAC"/>
    <w:rsid w:val="002B7CBE"/>
    <w:rsid w:val="002B7DA2"/>
    <w:rsid w:val="002B7DF2"/>
    <w:rsid w:val="002C0058"/>
    <w:rsid w:val="002C0156"/>
    <w:rsid w:val="002C022D"/>
    <w:rsid w:val="002C026E"/>
    <w:rsid w:val="002C0418"/>
    <w:rsid w:val="002C04F8"/>
    <w:rsid w:val="002C051A"/>
    <w:rsid w:val="002C0547"/>
    <w:rsid w:val="002C07A2"/>
    <w:rsid w:val="002C0E4B"/>
    <w:rsid w:val="002C0EC8"/>
    <w:rsid w:val="002C0F20"/>
    <w:rsid w:val="002C10BC"/>
    <w:rsid w:val="002C119E"/>
    <w:rsid w:val="002C11D9"/>
    <w:rsid w:val="002C11F6"/>
    <w:rsid w:val="002C1220"/>
    <w:rsid w:val="002C12D6"/>
    <w:rsid w:val="002C13D1"/>
    <w:rsid w:val="002C1414"/>
    <w:rsid w:val="002C1424"/>
    <w:rsid w:val="002C143A"/>
    <w:rsid w:val="002C14BA"/>
    <w:rsid w:val="002C1571"/>
    <w:rsid w:val="002C15E2"/>
    <w:rsid w:val="002C16A3"/>
    <w:rsid w:val="002C174D"/>
    <w:rsid w:val="002C17C7"/>
    <w:rsid w:val="002C190B"/>
    <w:rsid w:val="002C1992"/>
    <w:rsid w:val="002C1A77"/>
    <w:rsid w:val="002C1BF7"/>
    <w:rsid w:val="002C1C11"/>
    <w:rsid w:val="002C1DD6"/>
    <w:rsid w:val="002C1F60"/>
    <w:rsid w:val="002C1FE6"/>
    <w:rsid w:val="002C203A"/>
    <w:rsid w:val="002C2127"/>
    <w:rsid w:val="002C2208"/>
    <w:rsid w:val="002C2332"/>
    <w:rsid w:val="002C2394"/>
    <w:rsid w:val="002C23EA"/>
    <w:rsid w:val="002C245D"/>
    <w:rsid w:val="002C251D"/>
    <w:rsid w:val="002C2530"/>
    <w:rsid w:val="002C2555"/>
    <w:rsid w:val="002C25F9"/>
    <w:rsid w:val="002C26C5"/>
    <w:rsid w:val="002C2890"/>
    <w:rsid w:val="002C28FC"/>
    <w:rsid w:val="002C29FF"/>
    <w:rsid w:val="002C2A46"/>
    <w:rsid w:val="002C2DFB"/>
    <w:rsid w:val="002C2F2A"/>
    <w:rsid w:val="002C2FCD"/>
    <w:rsid w:val="002C2FD0"/>
    <w:rsid w:val="002C2FD7"/>
    <w:rsid w:val="002C2FD8"/>
    <w:rsid w:val="002C3186"/>
    <w:rsid w:val="002C31D4"/>
    <w:rsid w:val="002C32D9"/>
    <w:rsid w:val="002C3312"/>
    <w:rsid w:val="002C3391"/>
    <w:rsid w:val="002C3395"/>
    <w:rsid w:val="002C353C"/>
    <w:rsid w:val="002C3597"/>
    <w:rsid w:val="002C360E"/>
    <w:rsid w:val="002C371B"/>
    <w:rsid w:val="002C3729"/>
    <w:rsid w:val="002C37F5"/>
    <w:rsid w:val="002C38DB"/>
    <w:rsid w:val="002C3908"/>
    <w:rsid w:val="002C3928"/>
    <w:rsid w:val="002C394E"/>
    <w:rsid w:val="002C39E9"/>
    <w:rsid w:val="002C39F5"/>
    <w:rsid w:val="002C3B39"/>
    <w:rsid w:val="002C3D0C"/>
    <w:rsid w:val="002C3DC4"/>
    <w:rsid w:val="002C3EE5"/>
    <w:rsid w:val="002C414B"/>
    <w:rsid w:val="002C417E"/>
    <w:rsid w:val="002C41C0"/>
    <w:rsid w:val="002C47BF"/>
    <w:rsid w:val="002C4879"/>
    <w:rsid w:val="002C4B26"/>
    <w:rsid w:val="002C4C53"/>
    <w:rsid w:val="002C4CD5"/>
    <w:rsid w:val="002C4D4A"/>
    <w:rsid w:val="002C5392"/>
    <w:rsid w:val="002C5419"/>
    <w:rsid w:val="002C5427"/>
    <w:rsid w:val="002C5706"/>
    <w:rsid w:val="002C5779"/>
    <w:rsid w:val="002C585C"/>
    <w:rsid w:val="002C5872"/>
    <w:rsid w:val="002C599C"/>
    <w:rsid w:val="002C5A43"/>
    <w:rsid w:val="002C5A50"/>
    <w:rsid w:val="002C5BBF"/>
    <w:rsid w:val="002C5CF3"/>
    <w:rsid w:val="002C5FEB"/>
    <w:rsid w:val="002C601D"/>
    <w:rsid w:val="002C6193"/>
    <w:rsid w:val="002C6532"/>
    <w:rsid w:val="002C66B8"/>
    <w:rsid w:val="002C66BD"/>
    <w:rsid w:val="002C670D"/>
    <w:rsid w:val="002C6875"/>
    <w:rsid w:val="002C6898"/>
    <w:rsid w:val="002C68FE"/>
    <w:rsid w:val="002C693D"/>
    <w:rsid w:val="002C6A42"/>
    <w:rsid w:val="002C6A98"/>
    <w:rsid w:val="002C6B55"/>
    <w:rsid w:val="002C6D3D"/>
    <w:rsid w:val="002C6E29"/>
    <w:rsid w:val="002C6E58"/>
    <w:rsid w:val="002C701B"/>
    <w:rsid w:val="002C7046"/>
    <w:rsid w:val="002C7132"/>
    <w:rsid w:val="002C7209"/>
    <w:rsid w:val="002C7406"/>
    <w:rsid w:val="002C740D"/>
    <w:rsid w:val="002C74F1"/>
    <w:rsid w:val="002C755C"/>
    <w:rsid w:val="002C76DA"/>
    <w:rsid w:val="002C773A"/>
    <w:rsid w:val="002C7885"/>
    <w:rsid w:val="002C7953"/>
    <w:rsid w:val="002C7A85"/>
    <w:rsid w:val="002C7DA9"/>
    <w:rsid w:val="002C7F19"/>
    <w:rsid w:val="002D01C5"/>
    <w:rsid w:val="002D028F"/>
    <w:rsid w:val="002D02CD"/>
    <w:rsid w:val="002D039B"/>
    <w:rsid w:val="002D081B"/>
    <w:rsid w:val="002D088D"/>
    <w:rsid w:val="002D0953"/>
    <w:rsid w:val="002D0CBF"/>
    <w:rsid w:val="002D10C3"/>
    <w:rsid w:val="002D11A0"/>
    <w:rsid w:val="002D11B6"/>
    <w:rsid w:val="002D12E7"/>
    <w:rsid w:val="002D13F4"/>
    <w:rsid w:val="002D1403"/>
    <w:rsid w:val="002D14DE"/>
    <w:rsid w:val="002D1513"/>
    <w:rsid w:val="002D1635"/>
    <w:rsid w:val="002D173A"/>
    <w:rsid w:val="002D178B"/>
    <w:rsid w:val="002D193E"/>
    <w:rsid w:val="002D19A2"/>
    <w:rsid w:val="002D1AE1"/>
    <w:rsid w:val="002D1B31"/>
    <w:rsid w:val="002D1D5F"/>
    <w:rsid w:val="002D1EB5"/>
    <w:rsid w:val="002D1F3D"/>
    <w:rsid w:val="002D1FAF"/>
    <w:rsid w:val="002D20B1"/>
    <w:rsid w:val="002D2242"/>
    <w:rsid w:val="002D232A"/>
    <w:rsid w:val="002D23CC"/>
    <w:rsid w:val="002D24C1"/>
    <w:rsid w:val="002D2512"/>
    <w:rsid w:val="002D2763"/>
    <w:rsid w:val="002D27FF"/>
    <w:rsid w:val="002D28A1"/>
    <w:rsid w:val="002D28D2"/>
    <w:rsid w:val="002D28E8"/>
    <w:rsid w:val="002D2A85"/>
    <w:rsid w:val="002D2B0C"/>
    <w:rsid w:val="002D2C90"/>
    <w:rsid w:val="002D2D9E"/>
    <w:rsid w:val="002D2F40"/>
    <w:rsid w:val="002D2FA9"/>
    <w:rsid w:val="002D2FC0"/>
    <w:rsid w:val="002D3143"/>
    <w:rsid w:val="002D320C"/>
    <w:rsid w:val="002D32BC"/>
    <w:rsid w:val="002D3496"/>
    <w:rsid w:val="002D3570"/>
    <w:rsid w:val="002D371E"/>
    <w:rsid w:val="002D37BF"/>
    <w:rsid w:val="002D3810"/>
    <w:rsid w:val="002D3940"/>
    <w:rsid w:val="002D39F4"/>
    <w:rsid w:val="002D3A4B"/>
    <w:rsid w:val="002D3C0E"/>
    <w:rsid w:val="002D3CD8"/>
    <w:rsid w:val="002D3D25"/>
    <w:rsid w:val="002D3D29"/>
    <w:rsid w:val="002D3DA2"/>
    <w:rsid w:val="002D3EB4"/>
    <w:rsid w:val="002D4151"/>
    <w:rsid w:val="002D41D0"/>
    <w:rsid w:val="002D4505"/>
    <w:rsid w:val="002D4529"/>
    <w:rsid w:val="002D4569"/>
    <w:rsid w:val="002D46E5"/>
    <w:rsid w:val="002D4B89"/>
    <w:rsid w:val="002D4BEF"/>
    <w:rsid w:val="002D4C0E"/>
    <w:rsid w:val="002D4C28"/>
    <w:rsid w:val="002D4CA2"/>
    <w:rsid w:val="002D4FE1"/>
    <w:rsid w:val="002D5056"/>
    <w:rsid w:val="002D51BE"/>
    <w:rsid w:val="002D51FF"/>
    <w:rsid w:val="002D527A"/>
    <w:rsid w:val="002D5374"/>
    <w:rsid w:val="002D53BE"/>
    <w:rsid w:val="002D53C6"/>
    <w:rsid w:val="002D53DB"/>
    <w:rsid w:val="002D553E"/>
    <w:rsid w:val="002D5755"/>
    <w:rsid w:val="002D5936"/>
    <w:rsid w:val="002D5AC9"/>
    <w:rsid w:val="002D5B41"/>
    <w:rsid w:val="002D5BA0"/>
    <w:rsid w:val="002D5BA5"/>
    <w:rsid w:val="002D5C07"/>
    <w:rsid w:val="002D5D07"/>
    <w:rsid w:val="002D5D4A"/>
    <w:rsid w:val="002D5D53"/>
    <w:rsid w:val="002D5DF4"/>
    <w:rsid w:val="002D5E53"/>
    <w:rsid w:val="002D5EF3"/>
    <w:rsid w:val="002D6157"/>
    <w:rsid w:val="002D619A"/>
    <w:rsid w:val="002D629F"/>
    <w:rsid w:val="002D6322"/>
    <w:rsid w:val="002D647D"/>
    <w:rsid w:val="002D655D"/>
    <w:rsid w:val="002D6717"/>
    <w:rsid w:val="002D6798"/>
    <w:rsid w:val="002D68CE"/>
    <w:rsid w:val="002D6B5A"/>
    <w:rsid w:val="002D6C58"/>
    <w:rsid w:val="002D6FD3"/>
    <w:rsid w:val="002D6FEA"/>
    <w:rsid w:val="002D70C5"/>
    <w:rsid w:val="002D7119"/>
    <w:rsid w:val="002D717C"/>
    <w:rsid w:val="002D71E5"/>
    <w:rsid w:val="002D72D9"/>
    <w:rsid w:val="002D73D1"/>
    <w:rsid w:val="002D73D2"/>
    <w:rsid w:val="002D74CF"/>
    <w:rsid w:val="002D767E"/>
    <w:rsid w:val="002D7795"/>
    <w:rsid w:val="002D77AA"/>
    <w:rsid w:val="002D796D"/>
    <w:rsid w:val="002D7977"/>
    <w:rsid w:val="002D7A94"/>
    <w:rsid w:val="002D7B45"/>
    <w:rsid w:val="002D7BE2"/>
    <w:rsid w:val="002D7BF3"/>
    <w:rsid w:val="002D7CDF"/>
    <w:rsid w:val="002D7D88"/>
    <w:rsid w:val="002E00D7"/>
    <w:rsid w:val="002E013D"/>
    <w:rsid w:val="002E05C2"/>
    <w:rsid w:val="002E05E5"/>
    <w:rsid w:val="002E0635"/>
    <w:rsid w:val="002E0685"/>
    <w:rsid w:val="002E06FC"/>
    <w:rsid w:val="002E076E"/>
    <w:rsid w:val="002E089B"/>
    <w:rsid w:val="002E0932"/>
    <w:rsid w:val="002E0A44"/>
    <w:rsid w:val="002E0ACE"/>
    <w:rsid w:val="002E0AF5"/>
    <w:rsid w:val="002E0C7C"/>
    <w:rsid w:val="002E0E0E"/>
    <w:rsid w:val="002E0EB5"/>
    <w:rsid w:val="002E1073"/>
    <w:rsid w:val="002E118F"/>
    <w:rsid w:val="002E1196"/>
    <w:rsid w:val="002E11BF"/>
    <w:rsid w:val="002E121D"/>
    <w:rsid w:val="002E1339"/>
    <w:rsid w:val="002E13F0"/>
    <w:rsid w:val="002E1420"/>
    <w:rsid w:val="002E14FE"/>
    <w:rsid w:val="002E1613"/>
    <w:rsid w:val="002E184A"/>
    <w:rsid w:val="002E1907"/>
    <w:rsid w:val="002E19C9"/>
    <w:rsid w:val="002E19CB"/>
    <w:rsid w:val="002E1A6E"/>
    <w:rsid w:val="002E1ADF"/>
    <w:rsid w:val="002E1B4F"/>
    <w:rsid w:val="002E1B9A"/>
    <w:rsid w:val="002E1BA8"/>
    <w:rsid w:val="002E1C2C"/>
    <w:rsid w:val="002E1C48"/>
    <w:rsid w:val="002E1CC0"/>
    <w:rsid w:val="002E1CE7"/>
    <w:rsid w:val="002E1D8A"/>
    <w:rsid w:val="002E1DA2"/>
    <w:rsid w:val="002E1E9E"/>
    <w:rsid w:val="002E1EC0"/>
    <w:rsid w:val="002E1EEC"/>
    <w:rsid w:val="002E1F10"/>
    <w:rsid w:val="002E1FB7"/>
    <w:rsid w:val="002E2088"/>
    <w:rsid w:val="002E2098"/>
    <w:rsid w:val="002E209C"/>
    <w:rsid w:val="002E214F"/>
    <w:rsid w:val="002E225A"/>
    <w:rsid w:val="002E22B0"/>
    <w:rsid w:val="002E233E"/>
    <w:rsid w:val="002E2389"/>
    <w:rsid w:val="002E23FB"/>
    <w:rsid w:val="002E24C1"/>
    <w:rsid w:val="002E261D"/>
    <w:rsid w:val="002E26BC"/>
    <w:rsid w:val="002E26E4"/>
    <w:rsid w:val="002E27F2"/>
    <w:rsid w:val="002E2815"/>
    <w:rsid w:val="002E29B3"/>
    <w:rsid w:val="002E2A69"/>
    <w:rsid w:val="002E2D2C"/>
    <w:rsid w:val="002E2DD7"/>
    <w:rsid w:val="002E2E1C"/>
    <w:rsid w:val="002E2F0A"/>
    <w:rsid w:val="002E2F4D"/>
    <w:rsid w:val="002E308B"/>
    <w:rsid w:val="002E3187"/>
    <w:rsid w:val="002E32A6"/>
    <w:rsid w:val="002E32F4"/>
    <w:rsid w:val="002E33D5"/>
    <w:rsid w:val="002E3462"/>
    <w:rsid w:val="002E3524"/>
    <w:rsid w:val="002E357D"/>
    <w:rsid w:val="002E35CA"/>
    <w:rsid w:val="002E36AD"/>
    <w:rsid w:val="002E3752"/>
    <w:rsid w:val="002E3754"/>
    <w:rsid w:val="002E390A"/>
    <w:rsid w:val="002E390E"/>
    <w:rsid w:val="002E3A24"/>
    <w:rsid w:val="002E3A27"/>
    <w:rsid w:val="002E3B27"/>
    <w:rsid w:val="002E3C72"/>
    <w:rsid w:val="002E3E01"/>
    <w:rsid w:val="002E3E4C"/>
    <w:rsid w:val="002E40C7"/>
    <w:rsid w:val="002E41E0"/>
    <w:rsid w:val="002E4253"/>
    <w:rsid w:val="002E42ED"/>
    <w:rsid w:val="002E431E"/>
    <w:rsid w:val="002E43D3"/>
    <w:rsid w:val="002E4410"/>
    <w:rsid w:val="002E4682"/>
    <w:rsid w:val="002E475C"/>
    <w:rsid w:val="002E4886"/>
    <w:rsid w:val="002E4A99"/>
    <w:rsid w:val="002E4B63"/>
    <w:rsid w:val="002E4C99"/>
    <w:rsid w:val="002E4D24"/>
    <w:rsid w:val="002E4E2C"/>
    <w:rsid w:val="002E5036"/>
    <w:rsid w:val="002E503B"/>
    <w:rsid w:val="002E505A"/>
    <w:rsid w:val="002E508E"/>
    <w:rsid w:val="002E5137"/>
    <w:rsid w:val="002E51DC"/>
    <w:rsid w:val="002E52BD"/>
    <w:rsid w:val="002E532B"/>
    <w:rsid w:val="002E5355"/>
    <w:rsid w:val="002E549D"/>
    <w:rsid w:val="002E54F0"/>
    <w:rsid w:val="002E555A"/>
    <w:rsid w:val="002E555F"/>
    <w:rsid w:val="002E559E"/>
    <w:rsid w:val="002E5989"/>
    <w:rsid w:val="002E59F0"/>
    <w:rsid w:val="002E5AD6"/>
    <w:rsid w:val="002E5B88"/>
    <w:rsid w:val="002E5D76"/>
    <w:rsid w:val="002E5E9A"/>
    <w:rsid w:val="002E5EC8"/>
    <w:rsid w:val="002E60ED"/>
    <w:rsid w:val="002E6196"/>
    <w:rsid w:val="002E62F6"/>
    <w:rsid w:val="002E64A6"/>
    <w:rsid w:val="002E65DA"/>
    <w:rsid w:val="002E66C3"/>
    <w:rsid w:val="002E6732"/>
    <w:rsid w:val="002E67E4"/>
    <w:rsid w:val="002E689C"/>
    <w:rsid w:val="002E691B"/>
    <w:rsid w:val="002E6978"/>
    <w:rsid w:val="002E69F0"/>
    <w:rsid w:val="002E6AEE"/>
    <w:rsid w:val="002E6C7C"/>
    <w:rsid w:val="002E6D69"/>
    <w:rsid w:val="002E6E58"/>
    <w:rsid w:val="002E6F7D"/>
    <w:rsid w:val="002E6FDE"/>
    <w:rsid w:val="002E7477"/>
    <w:rsid w:val="002E759D"/>
    <w:rsid w:val="002E762A"/>
    <w:rsid w:val="002E76DE"/>
    <w:rsid w:val="002E77FB"/>
    <w:rsid w:val="002E7805"/>
    <w:rsid w:val="002E79A6"/>
    <w:rsid w:val="002E79B7"/>
    <w:rsid w:val="002E7A7C"/>
    <w:rsid w:val="002E7C29"/>
    <w:rsid w:val="002E7DC0"/>
    <w:rsid w:val="002E7F72"/>
    <w:rsid w:val="002F008E"/>
    <w:rsid w:val="002F00CB"/>
    <w:rsid w:val="002F00EC"/>
    <w:rsid w:val="002F0359"/>
    <w:rsid w:val="002F0368"/>
    <w:rsid w:val="002F0473"/>
    <w:rsid w:val="002F061C"/>
    <w:rsid w:val="002F066F"/>
    <w:rsid w:val="002F0671"/>
    <w:rsid w:val="002F06E7"/>
    <w:rsid w:val="002F0712"/>
    <w:rsid w:val="002F0A7A"/>
    <w:rsid w:val="002F0ADD"/>
    <w:rsid w:val="002F0D75"/>
    <w:rsid w:val="002F0D76"/>
    <w:rsid w:val="002F102C"/>
    <w:rsid w:val="002F102F"/>
    <w:rsid w:val="002F118D"/>
    <w:rsid w:val="002F11E9"/>
    <w:rsid w:val="002F1278"/>
    <w:rsid w:val="002F13BE"/>
    <w:rsid w:val="002F1420"/>
    <w:rsid w:val="002F160C"/>
    <w:rsid w:val="002F17DC"/>
    <w:rsid w:val="002F1814"/>
    <w:rsid w:val="002F18BA"/>
    <w:rsid w:val="002F1980"/>
    <w:rsid w:val="002F1A0C"/>
    <w:rsid w:val="002F1A88"/>
    <w:rsid w:val="002F1AAF"/>
    <w:rsid w:val="002F1ACD"/>
    <w:rsid w:val="002F1C02"/>
    <w:rsid w:val="002F1C35"/>
    <w:rsid w:val="002F1D22"/>
    <w:rsid w:val="002F1D7C"/>
    <w:rsid w:val="002F1E6E"/>
    <w:rsid w:val="002F1EDF"/>
    <w:rsid w:val="002F1F31"/>
    <w:rsid w:val="002F1FA6"/>
    <w:rsid w:val="002F1FC2"/>
    <w:rsid w:val="002F206E"/>
    <w:rsid w:val="002F20E0"/>
    <w:rsid w:val="002F23CD"/>
    <w:rsid w:val="002F2411"/>
    <w:rsid w:val="002F2477"/>
    <w:rsid w:val="002F271A"/>
    <w:rsid w:val="002F2755"/>
    <w:rsid w:val="002F2827"/>
    <w:rsid w:val="002F28B0"/>
    <w:rsid w:val="002F28B6"/>
    <w:rsid w:val="002F2A5F"/>
    <w:rsid w:val="002F2A62"/>
    <w:rsid w:val="002F2AF7"/>
    <w:rsid w:val="002F2CC6"/>
    <w:rsid w:val="002F2CFC"/>
    <w:rsid w:val="002F316E"/>
    <w:rsid w:val="002F3186"/>
    <w:rsid w:val="002F3230"/>
    <w:rsid w:val="002F335A"/>
    <w:rsid w:val="002F3451"/>
    <w:rsid w:val="002F3542"/>
    <w:rsid w:val="002F35B6"/>
    <w:rsid w:val="002F3688"/>
    <w:rsid w:val="002F3692"/>
    <w:rsid w:val="002F371E"/>
    <w:rsid w:val="002F376E"/>
    <w:rsid w:val="002F37FC"/>
    <w:rsid w:val="002F38E5"/>
    <w:rsid w:val="002F39EE"/>
    <w:rsid w:val="002F3AA8"/>
    <w:rsid w:val="002F3BE4"/>
    <w:rsid w:val="002F3E37"/>
    <w:rsid w:val="002F3E75"/>
    <w:rsid w:val="002F3F0F"/>
    <w:rsid w:val="002F4061"/>
    <w:rsid w:val="002F4075"/>
    <w:rsid w:val="002F408F"/>
    <w:rsid w:val="002F41F0"/>
    <w:rsid w:val="002F4248"/>
    <w:rsid w:val="002F43E8"/>
    <w:rsid w:val="002F46C0"/>
    <w:rsid w:val="002F4741"/>
    <w:rsid w:val="002F4767"/>
    <w:rsid w:val="002F4944"/>
    <w:rsid w:val="002F4AEE"/>
    <w:rsid w:val="002F4B5A"/>
    <w:rsid w:val="002F4BBB"/>
    <w:rsid w:val="002F4CA7"/>
    <w:rsid w:val="002F4CE0"/>
    <w:rsid w:val="002F4E07"/>
    <w:rsid w:val="002F4EE6"/>
    <w:rsid w:val="002F5067"/>
    <w:rsid w:val="002F51D5"/>
    <w:rsid w:val="002F5284"/>
    <w:rsid w:val="002F52E9"/>
    <w:rsid w:val="002F540E"/>
    <w:rsid w:val="002F54C6"/>
    <w:rsid w:val="002F57DE"/>
    <w:rsid w:val="002F5842"/>
    <w:rsid w:val="002F5AAE"/>
    <w:rsid w:val="002F5BD7"/>
    <w:rsid w:val="002F5C41"/>
    <w:rsid w:val="002F5C49"/>
    <w:rsid w:val="002F5CE9"/>
    <w:rsid w:val="002F5DC5"/>
    <w:rsid w:val="002F5DD9"/>
    <w:rsid w:val="002F5F5A"/>
    <w:rsid w:val="002F5F91"/>
    <w:rsid w:val="002F5FCA"/>
    <w:rsid w:val="002F6142"/>
    <w:rsid w:val="002F61BA"/>
    <w:rsid w:val="002F653C"/>
    <w:rsid w:val="002F65F6"/>
    <w:rsid w:val="002F6604"/>
    <w:rsid w:val="002F6656"/>
    <w:rsid w:val="002F6667"/>
    <w:rsid w:val="002F66A8"/>
    <w:rsid w:val="002F66E5"/>
    <w:rsid w:val="002F688B"/>
    <w:rsid w:val="002F696E"/>
    <w:rsid w:val="002F6A2C"/>
    <w:rsid w:val="002F6C75"/>
    <w:rsid w:val="002F6CDA"/>
    <w:rsid w:val="002F6D2D"/>
    <w:rsid w:val="002F6ED7"/>
    <w:rsid w:val="002F6F43"/>
    <w:rsid w:val="002F6FDB"/>
    <w:rsid w:val="002F70CD"/>
    <w:rsid w:val="002F721C"/>
    <w:rsid w:val="002F72E9"/>
    <w:rsid w:val="002F734E"/>
    <w:rsid w:val="002F73D9"/>
    <w:rsid w:val="002F7529"/>
    <w:rsid w:val="002F7722"/>
    <w:rsid w:val="002F7A76"/>
    <w:rsid w:val="002F7B20"/>
    <w:rsid w:val="002F7B53"/>
    <w:rsid w:val="002F7C84"/>
    <w:rsid w:val="002F7CA0"/>
    <w:rsid w:val="002F7DD1"/>
    <w:rsid w:val="002F7E23"/>
    <w:rsid w:val="002F7EB2"/>
    <w:rsid w:val="002F7F1F"/>
    <w:rsid w:val="002F7F5C"/>
    <w:rsid w:val="003001B1"/>
    <w:rsid w:val="003002F6"/>
    <w:rsid w:val="00300352"/>
    <w:rsid w:val="003003AA"/>
    <w:rsid w:val="00300531"/>
    <w:rsid w:val="003006E0"/>
    <w:rsid w:val="00300744"/>
    <w:rsid w:val="00300764"/>
    <w:rsid w:val="00300902"/>
    <w:rsid w:val="00300937"/>
    <w:rsid w:val="0030093A"/>
    <w:rsid w:val="003009B2"/>
    <w:rsid w:val="00300A96"/>
    <w:rsid w:val="00300BB6"/>
    <w:rsid w:val="00300BC5"/>
    <w:rsid w:val="00300C8B"/>
    <w:rsid w:val="00300D10"/>
    <w:rsid w:val="00300D66"/>
    <w:rsid w:val="00300D7D"/>
    <w:rsid w:val="00300F91"/>
    <w:rsid w:val="00301464"/>
    <w:rsid w:val="00301663"/>
    <w:rsid w:val="00301695"/>
    <w:rsid w:val="00301773"/>
    <w:rsid w:val="00301993"/>
    <w:rsid w:val="003019F0"/>
    <w:rsid w:val="00301C54"/>
    <w:rsid w:val="00301D00"/>
    <w:rsid w:val="00301D05"/>
    <w:rsid w:val="003020C1"/>
    <w:rsid w:val="0030218F"/>
    <w:rsid w:val="00302207"/>
    <w:rsid w:val="00302488"/>
    <w:rsid w:val="003025F6"/>
    <w:rsid w:val="00302755"/>
    <w:rsid w:val="0030276B"/>
    <w:rsid w:val="003027DB"/>
    <w:rsid w:val="0030283C"/>
    <w:rsid w:val="0030296E"/>
    <w:rsid w:val="003029C2"/>
    <w:rsid w:val="00302C66"/>
    <w:rsid w:val="00302C9D"/>
    <w:rsid w:val="00302E6E"/>
    <w:rsid w:val="00302EB6"/>
    <w:rsid w:val="00302F98"/>
    <w:rsid w:val="00303029"/>
    <w:rsid w:val="0030304B"/>
    <w:rsid w:val="003030E6"/>
    <w:rsid w:val="00303122"/>
    <w:rsid w:val="00303449"/>
    <w:rsid w:val="00303499"/>
    <w:rsid w:val="0030355A"/>
    <w:rsid w:val="00303589"/>
    <w:rsid w:val="0030365D"/>
    <w:rsid w:val="003036A8"/>
    <w:rsid w:val="00303704"/>
    <w:rsid w:val="00303782"/>
    <w:rsid w:val="00303798"/>
    <w:rsid w:val="00303830"/>
    <w:rsid w:val="00303A01"/>
    <w:rsid w:val="00303A40"/>
    <w:rsid w:val="00303A9D"/>
    <w:rsid w:val="00303B3B"/>
    <w:rsid w:val="00303C9E"/>
    <w:rsid w:val="00303EF4"/>
    <w:rsid w:val="00303F63"/>
    <w:rsid w:val="003040FB"/>
    <w:rsid w:val="003042E4"/>
    <w:rsid w:val="003043B3"/>
    <w:rsid w:val="003044B1"/>
    <w:rsid w:val="00304662"/>
    <w:rsid w:val="003047F4"/>
    <w:rsid w:val="0030490B"/>
    <w:rsid w:val="00304A12"/>
    <w:rsid w:val="00304C25"/>
    <w:rsid w:val="00304DF5"/>
    <w:rsid w:val="00304F3D"/>
    <w:rsid w:val="00304FBB"/>
    <w:rsid w:val="00305336"/>
    <w:rsid w:val="00305543"/>
    <w:rsid w:val="00305597"/>
    <w:rsid w:val="0030559D"/>
    <w:rsid w:val="00305686"/>
    <w:rsid w:val="003056FC"/>
    <w:rsid w:val="003058E0"/>
    <w:rsid w:val="0030594D"/>
    <w:rsid w:val="00305B3A"/>
    <w:rsid w:val="00305C1D"/>
    <w:rsid w:val="00305C67"/>
    <w:rsid w:val="00305D46"/>
    <w:rsid w:val="00305D61"/>
    <w:rsid w:val="00305D97"/>
    <w:rsid w:val="00305E14"/>
    <w:rsid w:val="00305F4D"/>
    <w:rsid w:val="003061A6"/>
    <w:rsid w:val="003062E6"/>
    <w:rsid w:val="0030641D"/>
    <w:rsid w:val="003064C1"/>
    <w:rsid w:val="003065E0"/>
    <w:rsid w:val="003066A1"/>
    <w:rsid w:val="003066B2"/>
    <w:rsid w:val="003067BB"/>
    <w:rsid w:val="003067CE"/>
    <w:rsid w:val="003067EE"/>
    <w:rsid w:val="003067F2"/>
    <w:rsid w:val="003068B5"/>
    <w:rsid w:val="00306927"/>
    <w:rsid w:val="00306957"/>
    <w:rsid w:val="00306A0E"/>
    <w:rsid w:val="00306BB3"/>
    <w:rsid w:val="00306CD5"/>
    <w:rsid w:val="00306EBD"/>
    <w:rsid w:val="00306EE7"/>
    <w:rsid w:val="00306F8F"/>
    <w:rsid w:val="00306FE1"/>
    <w:rsid w:val="003071D0"/>
    <w:rsid w:val="00307285"/>
    <w:rsid w:val="003072C8"/>
    <w:rsid w:val="003073FF"/>
    <w:rsid w:val="003074A6"/>
    <w:rsid w:val="003074A8"/>
    <w:rsid w:val="003076D5"/>
    <w:rsid w:val="003076DF"/>
    <w:rsid w:val="00307856"/>
    <w:rsid w:val="00307ACD"/>
    <w:rsid w:val="00307B6B"/>
    <w:rsid w:val="00307BB9"/>
    <w:rsid w:val="00307CEC"/>
    <w:rsid w:val="00307ED3"/>
    <w:rsid w:val="00307FEB"/>
    <w:rsid w:val="003101D9"/>
    <w:rsid w:val="003102C6"/>
    <w:rsid w:val="003102CC"/>
    <w:rsid w:val="003108CA"/>
    <w:rsid w:val="00310A04"/>
    <w:rsid w:val="00310A95"/>
    <w:rsid w:val="00310C05"/>
    <w:rsid w:val="00310DD9"/>
    <w:rsid w:val="00310EA1"/>
    <w:rsid w:val="00310EB7"/>
    <w:rsid w:val="00310ED7"/>
    <w:rsid w:val="0031115B"/>
    <w:rsid w:val="003111F9"/>
    <w:rsid w:val="003113EF"/>
    <w:rsid w:val="003113F6"/>
    <w:rsid w:val="00311484"/>
    <w:rsid w:val="0031179B"/>
    <w:rsid w:val="00311A3D"/>
    <w:rsid w:val="00311AC2"/>
    <w:rsid w:val="00311AFD"/>
    <w:rsid w:val="00311B26"/>
    <w:rsid w:val="00311B7D"/>
    <w:rsid w:val="00311BA0"/>
    <w:rsid w:val="00311CFB"/>
    <w:rsid w:val="00311DAD"/>
    <w:rsid w:val="00311E42"/>
    <w:rsid w:val="00312055"/>
    <w:rsid w:val="00312191"/>
    <w:rsid w:val="0031225D"/>
    <w:rsid w:val="0031226C"/>
    <w:rsid w:val="0031234F"/>
    <w:rsid w:val="0031240A"/>
    <w:rsid w:val="0031264E"/>
    <w:rsid w:val="00312812"/>
    <w:rsid w:val="00312978"/>
    <w:rsid w:val="00312DB5"/>
    <w:rsid w:val="003130E1"/>
    <w:rsid w:val="003130FB"/>
    <w:rsid w:val="0031322C"/>
    <w:rsid w:val="00313318"/>
    <w:rsid w:val="00313342"/>
    <w:rsid w:val="00313409"/>
    <w:rsid w:val="003135DE"/>
    <w:rsid w:val="00313669"/>
    <w:rsid w:val="003136B1"/>
    <w:rsid w:val="003136E2"/>
    <w:rsid w:val="0031384A"/>
    <w:rsid w:val="0031387C"/>
    <w:rsid w:val="003138FA"/>
    <w:rsid w:val="00313951"/>
    <w:rsid w:val="00313A2A"/>
    <w:rsid w:val="00313A2D"/>
    <w:rsid w:val="00313BFB"/>
    <w:rsid w:val="00313CC5"/>
    <w:rsid w:val="00313E7E"/>
    <w:rsid w:val="00313FFA"/>
    <w:rsid w:val="0031403D"/>
    <w:rsid w:val="003140A3"/>
    <w:rsid w:val="00314130"/>
    <w:rsid w:val="003141A9"/>
    <w:rsid w:val="003142E2"/>
    <w:rsid w:val="00314452"/>
    <w:rsid w:val="003145D8"/>
    <w:rsid w:val="003145D9"/>
    <w:rsid w:val="003146FD"/>
    <w:rsid w:val="00314792"/>
    <w:rsid w:val="003147ED"/>
    <w:rsid w:val="00314872"/>
    <w:rsid w:val="00314880"/>
    <w:rsid w:val="00314C99"/>
    <w:rsid w:val="00314F21"/>
    <w:rsid w:val="00314F37"/>
    <w:rsid w:val="00315060"/>
    <w:rsid w:val="003150E7"/>
    <w:rsid w:val="00315293"/>
    <w:rsid w:val="00315556"/>
    <w:rsid w:val="00315587"/>
    <w:rsid w:val="003155F9"/>
    <w:rsid w:val="00315755"/>
    <w:rsid w:val="00315973"/>
    <w:rsid w:val="00315C04"/>
    <w:rsid w:val="00315C11"/>
    <w:rsid w:val="00315D1B"/>
    <w:rsid w:val="00315F47"/>
    <w:rsid w:val="00315F48"/>
    <w:rsid w:val="00315F70"/>
    <w:rsid w:val="00315FA6"/>
    <w:rsid w:val="00316029"/>
    <w:rsid w:val="00316306"/>
    <w:rsid w:val="00316423"/>
    <w:rsid w:val="00316538"/>
    <w:rsid w:val="0031678B"/>
    <w:rsid w:val="003167DA"/>
    <w:rsid w:val="0031680E"/>
    <w:rsid w:val="0031684F"/>
    <w:rsid w:val="0031688C"/>
    <w:rsid w:val="00316B6A"/>
    <w:rsid w:val="00316C20"/>
    <w:rsid w:val="00316D86"/>
    <w:rsid w:val="00316DA4"/>
    <w:rsid w:val="00316E56"/>
    <w:rsid w:val="00316EA6"/>
    <w:rsid w:val="00316F78"/>
    <w:rsid w:val="00316FAF"/>
    <w:rsid w:val="003170C1"/>
    <w:rsid w:val="00317373"/>
    <w:rsid w:val="00317548"/>
    <w:rsid w:val="00317595"/>
    <w:rsid w:val="003175BB"/>
    <w:rsid w:val="003176CE"/>
    <w:rsid w:val="00317730"/>
    <w:rsid w:val="003177A7"/>
    <w:rsid w:val="00317D0D"/>
    <w:rsid w:val="00317DA7"/>
    <w:rsid w:val="00317EAF"/>
    <w:rsid w:val="00317EC0"/>
    <w:rsid w:val="00317F89"/>
    <w:rsid w:val="00320025"/>
    <w:rsid w:val="003201AF"/>
    <w:rsid w:val="003201C9"/>
    <w:rsid w:val="00320224"/>
    <w:rsid w:val="003204C1"/>
    <w:rsid w:val="003204F0"/>
    <w:rsid w:val="00320531"/>
    <w:rsid w:val="00320740"/>
    <w:rsid w:val="003207E9"/>
    <w:rsid w:val="003208D2"/>
    <w:rsid w:val="00320931"/>
    <w:rsid w:val="00320987"/>
    <w:rsid w:val="00320A79"/>
    <w:rsid w:val="00320B1E"/>
    <w:rsid w:val="00320C27"/>
    <w:rsid w:val="00320C94"/>
    <w:rsid w:val="00320D22"/>
    <w:rsid w:val="00320D7B"/>
    <w:rsid w:val="00320D7D"/>
    <w:rsid w:val="00320F57"/>
    <w:rsid w:val="00320FE5"/>
    <w:rsid w:val="003211C7"/>
    <w:rsid w:val="00321348"/>
    <w:rsid w:val="00321528"/>
    <w:rsid w:val="00321601"/>
    <w:rsid w:val="0032163B"/>
    <w:rsid w:val="003216C7"/>
    <w:rsid w:val="00321819"/>
    <w:rsid w:val="003218E8"/>
    <w:rsid w:val="00321A73"/>
    <w:rsid w:val="00321AB8"/>
    <w:rsid w:val="00321B4E"/>
    <w:rsid w:val="00321CDD"/>
    <w:rsid w:val="00321E50"/>
    <w:rsid w:val="00322138"/>
    <w:rsid w:val="00322152"/>
    <w:rsid w:val="00322210"/>
    <w:rsid w:val="00322240"/>
    <w:rsid w:val="003222AE"/>
    <w:rsid w:val="003223A2"/>
    <w:rsid w:val="003228ED"/>
    <w:rsid w:val="00322A02"/>
    <w:rsid w:val="00322ABD"/>
    <w:rsid w:val="00322AFD"/>
    <w:rsid w:val="00322B59"/>
    <w:rsid w:val="00322BA3"/>
    <w:rsid w:val="00322D72"/>
    <w:rsid w:val="00322DAD"/>
    <w:rsid w:val="00322E5E"/>
    <w:rsid w:val="00322E63"/>
    <w:rsid w:val="00322FDC"/>
    <w:rsid w:val="003230BD"/>
    <w:rsid w:val="0032319B"/>
    <w:rsid w:val="0032319D"/>
    <w:rsid w:val="003231EB"/>
    <w:rsid w:val="003231F2"/>
    <w:rsid w:val="00323218"/>
    <w:rsid w:val="00323277"/>
    <w:rsid w:val="00323355"/>
    <w:rsid w:val="003233EA"/>
    <w:rsid w:val="00323440"/>
    <w:rsid w:val="00323449"/>
    <w:rsid w:val="003234B1"/>
    <w:rsid w:val="00323738"/>
    <w:rsid w:val="0032374E"/>
    <w:rsid w:val="00323767"/>
    <w:rsid w:val="003238E2"/>
    <w:rsid w:val="00323A89"/>
    <w:rsid w:val="00323BB3"/>
    <w:rsid w:val="00323C25"/>
    <w:rsid w:val="00323CC6"/>
    <w:rsid w:val="00323D76"/>
    <w:rsid w:val="00323E30"/>
    <w:rsid w:val="00323F9E"/>
    <w:rsid w:val="003241BA"/>
    <w:rsid w:val="003242A9"/>
    <w:rsid w:val="00324337"/>
    <w:rsid w:val="00324339"/>
    <w:rsid w:val="003243DE"/>
    <w:rsid w:val="00324672"/>
    <w:rsid w:val="0032468D"/>
    <w:rsid w:val="00324737"/>
    <w:rsid w:val="0032480A"/>
    <w:rsid w:val="003248BC"/>
    <w:rsid w:val="003249EE"/>
    <w:rsid w:val="00324C51"/>
    <w:rsid w:val="00324D6D"/>
    <w:rsid w:val="00324FF9"/>
    <w:rsid w:val="003250DC"/>
    <w:rsid w:val="003252B4"/>
    <w:rsid w:val="0032538A"/>
    <w:rsid w:val="003254C8"/>
    <w:rsid w:val="003256BB"/>
    <w:rsid w:val="003256E2"/>
    <w:rsid w:val="0032572D"/>
    <w:rsid w:val="0032578D"/>
    <w:rsid w:val="003257CC"/>
    <w:rsid w:val="003259FA"/>
    <w:rsid w:val="00325B22"/>
    <w:rsid w:val="00325B37"/>
    <w:rsid w:val="00325BEF"/>
    <w:rsid w:val="00325F8F"/>
    <w:rsid w:val="003261FE"/>
    <w:rsid w:val="00326298"/>
    <w:rsid w:val="003262A0"/>
    <w:rsid w:val="003263DF"/>
    <w:rsid w:val="00326402"/>
    <w:rsid w:val="0032644C"/>
    <w:rsid w:val="0032655F"/>
    <w:rsid w:val="003265ED"/>
    <w:rsid w:val="00326808"/>
    <w:rsid w:val="0032695B"/>
    <w:rsid w:val="00326B35"/>
    <w:rsid w:val="00326B65"/>
    <w:rsid w:val="00326C0F"/>
    <w:rsid w:val="00326C52"/>
    <w:rsid w:val="00326DD1"/>
    <w:rsid w:val="00326E2F"/>
    <w:rsid w:val="00326F3F"/>
    <w:rsid w:val="00326FF1"/>
    <w:rsid w:val="00327025"/>
    <w:rsid w:val="00327064"/>
    <w:rsid w:val="00327350"/>
    <w:rsid w:val="003273AA"/>
    <w:rsid w:val="00327555"/>
    <w:rsid w:val="00327784"/>
    <w:rsid w:val="00327795"/>
    <w:rsid w:val="00327946"/>
    <w:rsid w:val="003279E1"/>
    <w:rsid w:val="00327BDA"/>
    <w:rsid w:val="00327C40"/>
    <w:rsid w:val="00327CCC"/>
    <w:rsid w:val="00327ED4"/>
    <w:rsid w:val="00327F12"/>
    <w:rsid w:val="00327FF3"/>
    <w:rsid w:val="00330062"/>
    <w:rsid w:val="00330166"/>
    <w:rsid w:val="0033021E"/>
    <w:rsid w:val="00330227"/>
    <w:rsid w:val="0033039B"/>
    <w:rsid w:val="003303E0"/>
    <w:rsid w:val="00330506"/>
    <w:rsid w:val="00330524"/>
    <w:rsid w:val="0033065F"/>
    <w:rsid w:val="0033072D"/>
    <w:rsid w:val="00330738"/>
    <w:rsid w:val="00330775"/>
    <w:rsid w:val="003307DB"/>
    <w:rsid w:val="00330938"/>
    <w:rsid w:val="00330A04"/>
    <w:rsid w:val="00330D00"/>
    <w:rsid w:val="00330D49"/>
    <w:rsid w:val="00330DDD"/>
    <w:rsid w:val="00330E6D"/>
    <w:rsid w:val="00331029"/>
    <w:rsid w:val="003310E1"/>
    <w:rsid w:val="003312F2"/>
    <w:rsid w:val="0033140A"/>
    <w:rsid w:val="0033142F"/>
    <w:rsid w:val="00331451"/>
    <w:rsid w:val="00331541"/>
    <w:rsid w:val="00331577"/>
    <w:rsid w:val="003316B2"/>
    <w:rsid w:val="00331791"/>
    <w:rsid w:val="00331838"/>
    <w:rsid w:val="003318E4"/>
    <w:rsid w:val="0033199E"/>
    <w:rsid w:val="00331B3C"/>
    <w:rsid w:val="00331D48"/>
    <w:rsid w:val="00331DC4"/>
    <w:rsid w:val="0033217A"/>
    <w:rsid w:val="003321DE"/>
    <w:rsid w:val="00332310"/>
    <w:rsid w:val="00332318"/>
    <w:rsid w:val="00332706"/>
    <w:rsid w:val="003327B3"/>
    <w:rsid w:val="003328F7"/>
    <w:rsid w:val="00332909"/>
    <w:rsid w:val="00332A1B"/>
    <w:rsid w:val="00332AC1"/>
    <w:rsid w:val="00332B13"/>
    <w:rsid w:val="00332D43"/>
    <w:rsid w:val="00332E9D"/>
    <w:rsid w:val="00332F82"/>
    <w:rsid w:val="00332FCF"/>
    <w:rsid w:val="00332FE3"/>
    <w:rsid w:val="00333139"/>
    <w:rsid w:val="003331C2"/>
    <w:rsid w:val="0033330A"/>
    <w:rsid w:val="00333373"/>
    <w:rsid w:val="003334D4"/>
    <w:rsid w:val="003334DB"/>
    <w:rsid w:val="0033370E"/>
    <w:rsid w:val="0033375A"/>
    <w:rsid w:val="0033378E"/>
    <w:rsid w:val="00333928"/>
    <w:rsid w:val="00333BC9"/>
    <w:rsid w:val="00333DDA"/>
    <w:rsid w:val="00333E10"/>
    <w:rsid w:val="00333E5F"/>
    <w:rsid w:val="00333EBA"/>
    <w:rsid w:val="00333F38"/>
    <w:rsid w:val="00334031"/>
    <w:rsid w:val="0033422C"/>
    <w:rsid w:val="003342F1"/>
    <w:rsid w:val="003343C3"/>
    <w:rsid w:val="00334415"/>
    <w:rsid w:val="0033484B"/>
    <w:rsid w:val="003348CC"/>
    <w:rsid w:val="003349EF"/>
    <w:rsid w:val="00334A13"/>
    <w:rsid w:val="00334AA8"/>
    <w:rsid w:val="00334AE3"/>
    <w:rsid w:val="00334B19"/>
    <w:rsid w:val="00334B3F"/>
    <w:rsid w:val="00334B4D"/>
    <w:rsid w:val="00334B5F"/>
    <w:rsid w:val="00334C4A"/>
    <w:rsid w:val="00334D83"/>
    <w:rsid w:val="00334DA5"/>
    <w:rsid w:val="00334DB2"/>
    <w:rsid w:val="00334EDA"/>
    <w:rsid w:val="00335009"/>
    <w:rsid w:val="003350F4"/>
    <w:rsid w:val="0033520A"/>
    <w:rsid w:val="00335632"/>
    <w:rsid w:val="00335816"/>
    <w:rsid w:val="00335AAF"/>
    <w:rsid w:val="00335AF7"/>
    <w:rsid w:val="00335C18"/>
    <w:rsid w:val="00335D4D"/>
    <w:rsid w:val="00335DF5"/>
    <w:rsid w:val="00335EF5"/>
    <w:rsid w:val="00335F11"/>
    <w:rsid w:val="0033601C"/>
    <w:rsid w:val="003363EE"/>
    <w:rsid w:val="0033672B"/>
    <w:rsid w:val="00336803"/>
    <w:rsid w:val="003368CB"/>
    <w:rsid w:val="00336B32"/>
    <w:rsid w:val="00336B8A"/>
    <w:rsid w:val="00336C90"/>
    <w:rsid w:val="00336D19"/>
    <w:rsid w:val="00336D6B"/>
    <w:rsid w:val="00336F10"/>
    <w:rsid w:val="00336FEE"/>
    <w:rsid w:val="00337046"/>
    <w:rsid w:val="0033708D"/>
    <w:rsid w:val="0033712E"/>
    <w:rsid w:val="003371A0"/>
    <w:rsid w:val="003371C2"/>
    <w:rsid w:val="00337530"/>
    <w:rsid w:val="0033754D"/>
    <w:rsid w:val="003375BD"/>
    <w:rsid w:val="0033762E"/>
    <w:rsid w:val="003376D1"/>
    <w:rsid w:val="0033773E"/>
    <w:rsid w:val="00337874"/>
    <w:rsid w:val="0033789E"/>
    <w:rsid w:val="003378DB"/>
    <w:rsid w:val="0033790A"/>
    <w:rsid w:val="0033793C"/>
    <w:rsid w:val="00337998"/>
    <w:rsid w:val="003379EA"/>
    <w:rsid w:val="00337B27"/>
    <w:rsid w:val="00337B2B"/>
    <w:rsid w:val="00337B96"/>
    <w:rsid w:val="00337C06"/>
    <w:rsid w:val="00337F2C"/>
    <w:rsid w:val="00337FA5"/>
    <w:rsid w:val="0034006C"/>
    <w:rsid w:val="00340129"/>
    <w:rsid w:val="0034017B"/>
    <w:rsid w:val="003401A3"/>
    <w:rsid w:val="003402F6"/>
    <w:rsid w:val="003409A4"/>
    <w:rsid w:val="00340A4F"/>
    <w:rsid w:val="00340AED"/>
    <w:rsid w:val="00340B7D"/>
    <w:rsid w:val="00340C42"/>
    <w:rsid w:val="00340C71"/>
    <w:rsid w:val="00340C83"/>
    <w:rsid w:val="00340DA2"/>
    <w:rsid w:val="00340DE3"/>
    <w:rsid w:val="00340EA1"/>
    <w:rsid w:val="00341009"/>
    <w:rsid w:val="0034127E"/>
    <w:rsid w:val="0034129E"/>
    <w:rsid w:val="003412EA"/>
    <w:rsid w:val="00341437"/>
    <w:rsid w:val="00341558"/>
    <w:rsid w:val="00341564"/>
    <w:rsid w:val="003415EC"/>
    <w:rsid w:val="0034169A"/>
    <w:rsid w:val="003417AE"/>
    <w:rsid w:val="0034185A"/>
    <w:rsid w:val="00341983"/>
    <w:rsid w:val="00341A4D"/>
    <w:rsid w:val="00341A4E"/>
    <w:rsid w:val="00341AEF"/>
    <w:rsid w:val="00341AF2"/>
    <w:rsid w:val="00341BDB"/>
    <w:rsid w:val="00341D57"/>
    <w:rsid w:val="00341DC0"/>
    <w:rsid w:val="00342229"/>
    <w:rsid w:val="00342467"/>
    <w:rsid w:val="00342510"/>
    <w:rsid w:val="00342512"/>
    <w:rsid w:val="0034252B"/>
    <w:rsid w:val="0034254E"/>
    <w:rsid w:val="003425AE"/>
    <w:rsid w:val="00342628"/>
    <w:rsid w:val="0034264A"/>
    <w:rsid w:val="003426DD"/>
    <w:rsid w:val="00342794"/>
    <w:rsid w:val="003427E4"/>
    <w:rsid w:val="00342C5A"/>
    <w:rsid w:val="00343120"/>
    <w:rsid w:val="0034322B"/>
    <w:rsid w:val="003432D3"/>
    <w:rsid w:val="0034337E"/>
    <w:rsid w:val="003435DA"/>
    <w:rsid w:val="003435E6"/>
    <w:rsid w:val="00343730"/>
    <w:rsid w:val="00343768"/>
    <w:rsid w:val="00343877"/>
    <w:rsid w:val="003438E7"/>
    <w:rsid w:val="0034390C"/>
    <w:rsid w:val="0034395C"/>
    <w:rsid w:val="00343A7D"/>
    <w:rsid w:val="00343AC1"/>
    <w:rsid w:val="00343ADB"/>
    <w:rsid w:val="00343B59"/>
    <w:rsid w:val="00343C73"/>
    <w:rsid w:val="00343EF5"/>
    <w:rsid w:val="00343EFF"/>
    <w:rsid w:val="003440D9"/>
    <w:rsid w:val="0034440A"/>
    <w:rsid w:val="00344565"/>
    <w:rsid w:val="003445E3"/>
    <w:rsid w:val="0034462C"/>
    <w:rsid w:val="00344746"/>
    <w:rsid w:val="003447FE"/>
    <w:rsid w:val="00344878"/>
    <w:rsid w:val="003449C3"/>
    <w:rsid w:val="00344DF8"/>
    <w:rsid w:val="00344E25"/>
    <w:rsid w:val="00344ED1"/>
    <w:rsid w:val="00344EFE"/>
    <w:rsid w:val="00344F0E"/>
    <w:rsid w:val="00344F21"/>
    <w:rsid w:val="003450C0"/>
    <w:rsid w:val="00345133"/>
    <w:rsid w:val="00345215"/>
    <w:rsid w:val="0034524B"/>
    <w:rsid w:val="00345287"/>
    <w:rsid w:val="00345593"/>
    <w:rsid w:val="00345687"/>
    <w:rsid w:val="0034591C"/>
    <w:rsid w:val="00345B49"/>
    <w:rsid w:val="00345C0D"/>
    <w:rsid w:val="00345D2B"/>
    <w:rsid w:val="00345DE1"/>
    <w:rsid w:val="00345E12"/>
    <w:rsid w:val="00345EEA"/>
    <w:rsid w:val="00346094"/>
    <w:rsid w:val="0034611D"/>
    <w:rsid w:val="00346128"/>
    <w:rsid w:val="00346271"/>
    <w:rsid w:val="003463CE"/>
    <w:rsid w:val="00346505"/>
    <w:rsid w:val="003465A9"/>
    <w:rsid w:val="003465AC"/>
    <w:rsid w:val="003465BE"/>
    <w:rsid w:val="00346815"/>
    <w:rsid w:val="003468EC"/>
    <w:rsid w:val="0034693F"/>
    <w:rsid w:val="00346B00"/>
    <w:rsid w:val="00346B19"/>
    <w:rsid w:val="00346BA4"/>
    <w:rsid w:val="00346BCE"/>
    <w:rsid w:val="00346C1C"/>
    <w:rsid w:val="00346C91"/>
    <w:rsid w:val="00346CE0"/>
    <w:rsid w:val="00346D8C"/>
    <w:rsid w:val="00346E2A"/>
    <w:rsid w:val="00346E3B"/>
    <w:rsid w:val="00346FD0"/>
    <w:rsid w:val="00346FFE"/>
    <w:rsid w:val="00347009"/>
    <w:rsid w:val="003472F0"/>
    <w:rsid w:val="00347389"/>
    <w:rsid w:val="0034742B"/>
    <w:rsid w:val="003474E6"/>
    <w:rsid w:val="00347683"/>
    <w:rsid w:val="003477FA"/>
    <w:rsid w:val="0034786F"/>
    <w:rsid w:val="00347BBB"/>
    <w:rsid w:val="00347DDF"/>
    <w:rsid w:val="00347E35"/>
    <w:rsid w:val="003500F2"/>
    <w:rsid w:val="0035036C"/>
    <w:rsid w:val="003504C8"/>
    <w:rsid w:val="0035057F"/>
    <w:rsid w:val="00350591"/>
    <w:rsid w:val="00350AC1"/>
    <w:rsid w:val="00350ADB"/>
    <w:rsid w:val="00350B97"/>
    <w:rsid w:val="00350CD2"/>
    <w:rsid w:val="00350CDD"/>
    <w:rsid w:val="00350D4F"/>
    <w:rsid w:val="00350D59"/>
    <w:rsid w:val="00350D74"/>
    <w:rsid w:val="00350E21"/>
    <w:rsid w:val="00351063"/>
    <w:rsid w:val="003510B5"/>
    <w:rsid w:val="003510C6"/>
    <w:rsid w:val="003513D7"/>
    <w:rsid w:val="003516BA"/>
    <w:rsid w:val="003517FF"/>
    <w:rsid w:val="0035195F"/>
    <w:rsid w:val="00351B74"/>
    <w:rsid w:val="00351B99"/>
    <w:rsid w:val="00351C96"/>
    <w:rsid w:val="003520C6"/>
    <w:rsid w:val="003520E1"/>
    <w:rsid w:val="0035215F"/>
    <w:rsid w:val="003521C4"/>
    <w:rsid w:val="00352326"/>
    <w:rsid w:val="003523B9"/>
    <w:rsid w:val="00352404"/>
    <w:rsid w:val="00352433"/>
    <w:rsid w:val="003524CF"/>
    <w:rsid w:val="00352525"/>
    <w:rsid w:val="00352629"/>
    <w:rsid w:val="00352646"/>
    <w:rsid w:val="00352736"/>
    <w:rsid w:val="00352A6D"/>
    <w:rsid w:val="00352AA8"/>
    <w:rsid w:val="00352BA7"/>
    <w:rsid w:val="00352BC7"/>
    <w:rsid w:val="00352C66"/>
    <w:rsid w:val="00352F0E"/>
    <w:rsid w:val="00353174"/>
    <w:rsid w:val="003531F7"/>
    <w:rsid w:val="00353292"/>
    <w:rsid w:val="003532B1"/>
    <w:rsid w:val="00353308"/>
    <w:rsid w:val="003533FB"/>
    <w:rsid w:val="00353412"/>
    <w:rsid w:val="003534EE"/>
    <w:rsid w:val="00353794"/>
    <w:rsid w:val="00353807"/>
    <w:rsid w:val="003538C4"/>
    <w:rsid w:val="003538FA"/>
    <w:rsid w:val="00353937"/>
    <w:rsid w:val="003539EA"/>
    <w:rsid w:val="00353A81"/>
    <w:rsid w:val="00353B11"/>
    <w:rsid w:val="00353D15"/>
    <w:rsid w:val="00353D9B"/>
    <w:rsid w:val="00353DF0"/>
    <w:rsid w:val="00353F1F"/>
    <w:rsid w:val="00353FD2"/>
    <w:rsid w:val="00354050"/>
    <w:rsid w:val="003540C4"/>
    <w:rsid w:val="003540C5"/>
    <w:rsid w:val="003541A6"/>
    <w:rsid w:val="003541AD"/>
    <w:rsid w:val="00354287"/>
    <w:rsid w:val="00354366"/>
    <w:rsid w:val="00354384"/>
    <w:rsid w:val="0035443B"/>
    <w:rsid w:val="0035444A"/>
    <w:rsid w:val="00354541"/>
    <w:rsid w:val="003546D9"/>
    <w:rsid w:val="003548C1"/>
    <w:rsid w:val="00354D08"/>
    <w:rsid w:val="003551DD"/>
    <w:rsid w:val="0035537B"/>
    <w:rsid w:val="00355398"/>
    <w:rsid w:val="003556F6"/>
    <w:rsid w:val="003557A7"/>
    <w:rsid w:val="003558AF"/>
    <w:rsid w:val="003559E2"/>
    <w:rsid w:val="00355B40"/>
    <w:rsid w:val="00355B9B"/>
    <w:rsid w:val="00355BE2"/>
    <w:rsid w:val="00355C02"/>
    <w:rsid w:val="00355C12"/>
    <w:rsid w:val="00355CC0"/>
    <w:rsid w:val="00355D4E"/>
    <w:rsid w:val="00355DCC"/>
    <w:rsid w:val="00355DF8"/>
    <w:rsid w:val="00355E63"/>
    <w:rsid w:val="00355ED4"/>
    <w:rsid w:val="00355EE0"/>
    <w:rsid w:val="00355F0D"/>
    <w:rsid w:val="00355FC8"/>
    <w:rsid w:val="00355FF5"/>
    <w:rsid w:val="003562FA"/>
    <w:rsid w:val="00356346"/>
    <w:rsid w:val="003565B6"/>
    <w:rsid w:val="003565B8"/>
    <w:rsid w:val="003568B1"/>
    <w:rsid w:val="003569BD"/>
    <w:rsid w:val="003569D9"/>
    <w:rsid w:val="00356B0C"/>
    <w:rsid w:val="00356C42"/>
    <w:rsid w:val="00356CBE"/>
    <w:rsid w:val="00356D29"/>
    <w:rsid w:val="00356F13"/>
    <w:rsid w:val="00356F73"/>
    <w:rsid w:val="00356FA2"/>
    <w:rsid w:val="00357320"/>
    <w:rsid w:val="003573BB"/>
    <w:rsid w:val="0035746C"/>
    <w:rsid w:val="003576C0"/>
    <w:rsid w:val="0035775E"/>
    <w:rsid w:val="0035778E"/>
    <w:rsid w:val="0035797E"/>
    <w:rsid w:val="003579EB"/>
    <w:rsid w:val="003579F9"/>
    <w:rsid w:val="00357B18"/>
    <w:rsid w:val="00357B38"/>
    <w:rsid w:val="00357CB0"/>
    <w:rsid w:val="00357F40"/>
    <w:rsid w:val="00357F44"/>
    <w:rsid w:val="00357F46"/>
    <w:rsid w:val="00357F8C"/>
    <w:rsid w:val="00357FFA"/>
    <w:rsid w:val="003600B4"/>
    <w:rsid w:val="003600E7"/>
    <w:rsid w:val="0036013E"/>
    <w:rsid w:val="003601AB"/>
    <w:rsid w:val="0036026E"/>
    <w:rsid w:val="0036042C"/>
    <w:rsid w:val="003604C3"/>
    <w:rsid w:val="003604D3"/>
    <w:rsid w:val="0036056F"/>
    <w:rsid w:val="00360730"/>
    <w:rsid w:val="003607DA"/>
    <w:rsid w:val="0036085A"/>
    <w:rsid w:val="003608F1"/>
    <w:rsid w:val="00360A89"/>
    <w:rsid w:val="00360AEE"/>
    <w:rsid w:val="00360CBB"/>
    <w:rsid w:val="00360E83"/>
    <w:rsid w:val="00361171"/>
    <w:rsid w:val="00361334"/>
    <w:rsid w:val="00361394"/>
    <w:rsid w:val="00361558"/>
    <w:rsid w:val="00361637"/>
    <w:rsid w:val="003616C1"/>
    <w:rsid w:val="00361857"/>
    <w:rsid w:val="003618B4"/>
    <w:rsid w:val="00361947"/>
    <w:rsid w:val="00361BE5"/>
    <w:rsid w:val="00361CB3"/>
    <w:rsid w:val="00361D22"/>
    <w:rsid w:val="00361DF0"/>
    <w:rsid w:val="00361E3B"/>
    <w:rsid w:val="00361EE1"/>
    <w:rsid w:val="003620E8"/>
    <w:rsid w:val="0036210B"/>
    <w:rsid w:val="00362175"/>
    <w:rsid w:val="003621FB"/>
    <w:rsid w:val="0036241C"/>
    <w:rsid w:val="0036261A"/>
    <w:rsid w:val="003627DB"/>
    <w:rsid w:val="003628E1"/>
    <w:rsid w:val="003629BB"/>
    <w:rsid w:val="003629D5"/>
    <w:rsid w:val="00362B28"/>
    <w:rsid w:val="00362B84"/>
    <w:rsid w:val="00362BC6"/>
    <w:rsid w:val="00362C18"/>
    <w:rsid w:val="00362C3E"/>
    <w:rsid w:val="00362C85"/>
    <w:rsid w:val="00362E1C"/>
    <w:rsid w:val="0036304E"/>
    <w:rsid w:val="003630C5"/>
    <w:rsid w:val="003630D9"/>
    <w:rsid w:val="003632E0"/>
    <w:rsid w:val="00363352"/>
    <w:rsid w:val="003635ED"/>
    <w:rsid w:val="00363837"/>
    <w:rsid w:val="003638AC"/>
    <w:rsid w:val="00363921"/>
    <w:rsid w:val="003639EA"/>
    <w:rsid w:val="00363A8D"/>
    <w:rsid w:val="00363A94"/>
    <w:rsid w:val="00363B0C"/>
    <w:rsid w:val="00363B5D"/>
    <w:rsid w:val="00363CA9"/>
    <w:rsid w:val="00363E48"/>
    <w:rsid w:val="00363E99"/>
    <w:rsid w:val="00363EBC"/>
    <w:rsid w:val="0036403E"/>
    <w:rsid w:val="0036411D"/>
    <w:rsid w:val="00364248"/>
    <w:rsid w:val="003642D1"/>
    <w:rsid w:val="00364498"/>
    <w:rsid w:val="00364564"/>
    <w:rsid w:val="00364623"/>
    <w:rsid w:val="00364734"/>
    <w:rsid w:val="00364840"/>
    <w:rsid w:val="00364862"/>
    <w:rsid w:val="00364879"/>
    <w:rsid w:val="00364899"/>
    <w:rsid w:val="00364912"/>
    <w:rsid w:val="00364A16"/>
    <w:rsid w:val="00364A4B"/>
    <w:rsid w:val="00364A9E"/>
    <w:rsid w:val="00364C82"/>
    <w:rsid w:val="00364E11"/>
    <w:rsid w:val="00364F3F"/>
    <w:rsid w:val="00364F4D"/>
    <w:rsid w:val="00364F97"/>
    <w:rsid w:val="00364FDE"/>
    <w:rsid w:val="0036512B"/>
    <w:rsid w:val="0036528A"/>
    <w:rsid w:val="00365354"/>
    <w:rsid w:val="003653A8"/>
    <w:rsid w:val="003653B0"/>
    <w:rsid w:val="003655FC"/>
    <w:rsid w:val="00365992"/>
    <w:rsid w:val="00365ADD"/>
    <w:rsid w:val="00365B98"/>
    <w:rsid w:val="00365D37"/>
    <w:rsid w:val="00365E27"/>
    <w:rsid w:val="00365E4E"/>
    <w:rsid w:val="00365FD8"/>
    <w:rsid w:val="00366008"/>
    <w:rsid w:val="0036605D"/>
    <w:rsid w:val="00366117"/>
    <w:rsid w:val="0036615E"/>
    <w:rsid w:val="003663AF"/>
    <w:rsid w:val="0036658F"/>
    <w:rsid w:val="00366656"/>
    <w:rsid w:val="003666FF"/>
    <w:rsid w:val="003667FC"/>
    <w:rsid w:val="00366892"/>
    <w:rsid w:val="00366925"/>
    <w:rsid w:val="00366AEA"/>
    <w:rsid w:val="00366B3F"/>
    <w:rsid w:val="003670DD"/>
    <w:rsid w:val="0036722C"/>
    <w:rsid w:val="0036736F"/>
    <w:rsid w:val="003674B4"/>
    <w:rsid w:val="00367673"/>
    <w:rsid w:val="003677C6"/>
    <w:rsid w:val="00367B48"/>
    <w:rsid w:val="00367FA5"/>
    <w:rsid w:val="00370120"/>
    <w:rsid w:val="0037031D"/>
    <w:rsid w:val="00370456"/>
    <w:rsid w:val="003704DF"/>
    <w:rsid w:val="0037069E"/>
    <w:rsid w:val="003706D1"/>
    <w:rsid w:val="0037076F"/>
    <w:rsid w:val="003707B8"/>
    <w:rsid w:val="00370846"/>
    <w:rsid w:val="0037095C"/>
    <w:rsid w:val="00370A41"/>
    <w:rsid w:val="00370A92"/>
    <w:rsid w:val="00370AE8"/>
    <w:rsid w:val="00370B44"/>
    <w:rsid w:val="00370C86"/>
    <w:rsid w:val="00370D71"/>
    <w:rsid w:val="00370D78"/>
    <w:rsid w:val="00370F44"/>
    <w:rsid w:val="00371066"/>
    <w:rsid w:val="0037114A"/>
    <w:rsid w:val="0037116B"/>
    <w:rsid w:val="00371216"/>
    <w:rsid w:val="00371417"/>
    <w:rsid w:val="003714F8"/>
    <w:rsid w:val="00371552"/>
    <w:rsid w:val="003718BB"/>
    <w:rsid w:val="00371910"/>
    <w:rsid w:val="00371B13"/>
    <w:rsid w:val="00371C0A"/>
    <w:rsid w:val="00371C56"/>
    <w:rsid w:val="00371CA4"/>
    <w:rsid w:val="00371FD2"/>
    <w:rsid w:val="0037203A"/>
    <w:rsid w:val="00372368"/>
    <w:rsid w:val="00372460"/>
    <w:rsid w:val="00372812"/>
    <w:rsid w:val="003728B9"/>
    <w:rsid w:val="003728CF"/>
    <w:rsid w:val="00372AFB"/>
    <w:rsid w:val="00372BE0"/>
    <w:rsid w:val="00372C83"/>
    <w:rsid w:val="00372D30"/>
    <w:rsid w:val="00372D4B"/>
    <w:rsid w:val="00372D6B"/>
    <w:rsid w:val="00372E31"/>
    <w:rsid w:val="00372F03"/>
    <w:rsid w:val="00373238"/>
    <w:rsid w:val="00373252"/>
    <w:rsid w:val="00373332"/>
    <w:rsid w:val="0037341D"/>
    <w:rsid w:val="00373789"/>
    <w:rsid w:val="0037399C"/>
    <w:rsid w:val="003739FA"/>
    <w:rsid w:val="00373A6D"/>
    <w:rsid w:val="00373B52"/>
    <w:rsid w:val="00373BB8"/>
    <w:rsid w:val="00373D0B"/>
    <w:rsid w:val="00373D54"/>
    <w:rsid w:val="00373DA4"/>
    <w:rsid w:val="00373ED1"/>
    <w:rsid w:val="00373EE0"/>
    <w:rsid w:val="00373FAD"/>
    <w:rsid w:val="00374247"/>
    <w:rsid w:val="00374354"/>
    <w:rsid w:val="003743B1"/>
    <w:rsid w:val="00374409"/>
    <w:rsid w:val="0037445B"/>
    <w:rsid w:val="003748B1"/>
    <w:rsid w:val="003748C1"/>
    <w:rsid w:val="00374900"/>
    <w:rsid w:val="00374914"/>
    <w:rsid w:val="0037492F"/>
    <w:rsid w:val="0037497F"/>
    <w:rsid w:val="0037499F"/>
    <w:rsid w:val="003749D5"/>
    <w:rsid w:val="00374AD6"/>
    <w:rsid w:val="00374BC9"/>
    <w:rsid w:val="00374E56"/>
    <w:rsid w:val="00374FAB"/>
    <w:rsid w:val="00374FE0"/>
    <w:rsid w:val="003750BB"/>
    <w:rsid w:val="00375137"/>
    <w:rsid w:val="003751E1"/>
    <w:rsid w:val="0037521E"/>
    <w:rsid w:val="003752F1"/>
    <w:rsid w:val="00375431"/>
    <w:rsid w:val="003754A0"/>
    <w:rsid w:val="0037559F"/>
    <w:rsid w:val="003755C9"/>
    <w:rsid w:val="00375694"/>
    <w:rsid w:val="003756B3"/>
    <w:rsid w:val="00375862"/>
    <w:rsid w:val="0037595C"/>
    <w:rsid w:val="00375A10"/>
    <w:rsid w:val="00375B90"/>
    <w:rsid w:val="00375E6B"/>
    <w:rsid w:val="00375F36"/>
    <w:rsid w:val="00375FF8"/>
    <w:rsid w:val="00376138"/>
    <w:rsid w:val="00376187"/>
    <w:rsid w:val="003761CD"/>
    <w:rsid w:val="00376379"/>
    <w:rsid w:val="00376549"/>
    <w:rsid w:val="0037680F"/>
    <w:rsid w:val="0037695E"/>
    <w:rsid w:val="003769A8"/>
    <w:rsid w:val="00376A3D"/>
    <w:rsid w:val="00376BCD"/>
    <w:rsid w:val="00376BEE"/>
    <w:rsid w:val="00376C90"/>
    <w:rsid w:val="00376D2D"/>
    <w:rsid w:val="00376DAA"/>
    <w:rsid w:val="00376E3C"/>
    <w:rsid w:val="00376E7F"/>
    <w:rsid w:val="00376F99"/>
    <w:rsid w:val="0037710F"/>
    <w:rsid w:val="0037714F"/>
    <w:rsid w:val="003771A1"/>
    <w:rsid w:val="00377202"/>
    <w:rsid w:val="0037738B"/>
    <w:rsid w:val="00377436"/>
    <w:rsid w:val="00377558"/>
    <w:rsid w:val="00377566"/>
    <w:rsid w:val="003775D5"/>
    <w:rsid w:val="003776A2"/>
    <w:rsid w:val="003778B0"/>
    <w:rsid w:val="003778DB"/>
    <w:rsid w:val="0037790C"/>
    <w:rsid w:val="00377A71"/>
    <w:rsid w:val="00377AA6"/>
    <w:rsid w:val="00377D41"/>
    <w:rsid w:val="00377D4D"/>
    <w:rsid w:val="00377D51"/>
    <w:rsid w:val="00377D6C"/>
    <w:rsid w:val="00377D92"/>
    <w:rsid w:val="00377E9F"/>
    <w:rsid w:val="00380042"/>
    <w:rsid w:val="00380061"/>
    <w:rsid w:val="00380249"/>
    <w:rsid w:val="00380511"/>
    <w:rsid w:val="00380595"/>
    <w:rsid w:val="0038073D"/>
    <w:rsid w:val="00380753"/>
    <w:rsid w:val="00380869"/>
    <w:rsid w:val="00380D0B"/>
    <w:rsid w:val="00380EDC"/>
    <w:rsid w:val="00380FEB"/>
    <w:rsid w:val="00381069"/>
    <w:rsid w:val="003810B6"/>
    <w:rsid w:val="00381104"/>
    <w:rsid w:val="00381143"/>
    <w:rsid w:val="0038115A"/>
    <w:rsid w:val="00381239"/>
    <w:rsid w:val="00381252"/>
    <w:rsid w:val="0038129E"/>
    <w:rsid w:val="0038147D"/>
    <w:rsid w:val="00381486"/>
    <w:rsid w:val="00381706"/>
    <w:rsid w:val="003817A3"/>
    <w:rsid w:val="003818E9"/>
    <w:rsid w:val="0038196C"/>
    <w:rsid w:val="00381982"/>
    <w:rsid w:val="003819E2"/>
    <w:rsid w:val="00381A20"/>
    <w:rsid w:val="00381E19"/>
    <w:rsid w:val="00381E26"/>
    <w:rsid w:val="00381E5D"/>
    <w:rsid w:val="00381E91"/>
    <w:rsid w:val="00381ED7"/>
    <w:rsid w:val="00381F7A"/>
    <w:rsid w:val="00382068"/>
    <w:rsid w:val="00382236"/>
    <w:rsid w:val="00382263"/>
    <w:rsid w:val="003823BF"/>
    <w:rsid w:val="0038240C"/>
    <w:rsid w:val="00382724"/>
    <w:rsid w:val="0038275D"/>
    <w:rsid w:val="003827EC"/>
    <w:rsid w:val="003829AB"/>
    <w:rsid w:val="00382A8F"/>
    <w:rsid w:val="00382ACC"/>
    <w:rsid w:val="00382B5E"/>
    <w:rsid w:val="00382C19"/>
    <w:rsid w:val="00382C7F"/>
    <w:rsid w:val="00382E32"/>
    <w:rsid w:val="00382EF3"/>
    <w:rsid w:val="00382FB6"/>
    <w:rsid w:val="00383101"/>
    <w:rsid w:val="00383235"/>
    <w:rsid w:val="0038327F"/>
    <w:rsid w:val="00383368"/>
    <w:rsid w:val="0038336C"/>
    <w:rsid w:val="00383474"/>
    <w:rsid w:val="0038351C"/>
    <w:rsid w:val="00383583"/>
    <w:rsid w:val="003835A3"/>
    <w:rsid w:val="00383696"/>
    <w:rsid w:val="003837DF"/>
    <w:rsid w:val="003838FD"/>
    <w:rsid w:val="00383B48"/>
    <w:rsid w:val="00383DE3"/>
    <w:rsid w:val="00383FE8"/>
    <w:rsid w:val="0038400C"/>
    <w:rsid w:val="00384098"/>
    <w:rsid w:val="00384136"/>
    <w:rsid w:val="00384364"/>
    <w:rsid w:val="0038443B"/>
    <w:rsid w:val="00384483"/>
    <w:rsid w:val="003844D1"/>
    <w:rsid w:val="00384524"/>
    <w:rsid w:val="00384601"/>
    <w:rsid w:val="0038473F"/>
    <w:rsid w:val="003848BD"/>
    <w:rsid w:val="003848FC"/>
    <w:rsid w:val="00384994"/>
    <w:rsid w:val="003849A7"/>
    <w:rsid w:val="003849B3"/>
    <w:rsid w:val="00384B06"/>
    <w:rsid w:val="00384C7F"/>
    <w:rsid w:val="00384D22"/>
    <w:rsid w:val="00384FFB"/>
    <w:rsid w:val="0038508B"/>
    <w:rsid w:val="003851F3"/>
    <w:rsid w:val="00385240"/>
    <w:rsid w:val="003852A4"/>
    <w:rsid w:val="003852C7"/>
    <w:rsid w:val="00385547"/>
    <w:rsid w:val="00385671"/>
    <w:rsid w:val="003858F0"/>
    <w:rsid w:val="0038599B"/>
    <w:rsid w:val="00385A14"/>
    <w:rsid w:val="00385A7C"/>
    <w:rsid w:val="00385B5A"/>
    <w:rsid w:val="00385B6E"/>
    <w:rsid w:val="00385BF2"/>
    <w:rsid w:val="00385C41"/>
    <w:rsid w:val="00385CEB"/>
    <w:rsid w:val="00385E83"/>
    <w:rsid w:val="00385FBF"/>
    <w:rsid w:val="00385FD1"/>
    <w:rsid w:val="003862AF"/>
    <w:rsid w:val="003863F6"/>
    <w:rsid w:val="0038654C"/>
    <w:rsid w:val="0038661C"/>
    <w:rsid w:val="003867E0"/>
    <w:rsid w:val="003869AD"/>
    <w:rsid w:val="003869DB"/>
    <w:rsid w:val="003869FA"/>
    <w:rsid w:val="00386AB4"/>
    <w:rsid w:val="00386B4E"/>
    <w:rsid w:val="00386CA6"/>
    <w:rsid w:val="00386D32"/>
    <w:rsid w:val="00386D78"/>
    <w:rsid w:val="00386DD0"/>
    <w:rsid w:val="00386F90"/>
    <w:rsid w:val="003870BC"/>
    <w:rsid w:val="00387240"/>
    <w:rsid w:val="00387324"/>
    <w:rsid w:val="003874C2"/>
    <w:rsid w:val="003876BB"/>
    <w:rsid w:val="00387817"/>
    <w:rsid w:val="00387926"/>
    <w:rsid w:val="00387B91"/>
    <w:rsid w:val="00387D2F"/>
    <w:rsid w:val="00387D49"/>
    <w:rsid w:val="00387DC6"/>
    <w:rsid w:val="00387F9E"/>
    <w:rsid w:val="00387FDC"/>
    <w:rsid w:val="00390088"/>
    <w:rsid w:val="00390294"/>
    <w:rsid w:val="003904DE"/>
    <w:rsid w:val="00390515"/>
    <w:rsid w:val="0039053B"/>
    <w:rsid w:val="003905A2"/>
    <w:rsid w:val="003905AB"/>
    <w:rsid w:val="00390640"/>
    <w:rsid w:val="00390820"/>
    <w:rsid w:val="00390916"/>
    <w:rsid w:val="00390A83"/>
    <w:rsid w:val="00390B3F"/>
    <w:rsid w:val="00390CCF"/>
    <w:rsid w:val="00390DC0"/>
    <w:rsid w:val="00390EAD"/>
    <w:rsid w:val="00391007"/>
    <w:rsid w:val="00391051"/>
    <w:rsid w:val="00391060"/>
    <w:rsid w:val="003911CF"/>
    <w:rsid w:val="003911D7"/>
    <w:rsid w:val="003914E3"/>
    <w:rsid w:val="003916C5"/>
    <w:rsid w:val="0039170E"/>
    <w:rsid w:val="00391710"/>
    <w:rsid w:val="00391768"/>
    <w:rsid w:val="0039179E"/>
    <w:rsid w:val="00391811"/>
    <w:rsid w:val="003918A9"/>
    <w:rsid w:val="003918C9"/>
    <w:rsid w:val="00391A9B"/>
    <w:rsid w:val="00391D1E"/>
    <w:rsid w:val="00391D9E"/>
    <w:rsid w:val="00391E3E"/>
    <w:rsid w:val="00391E4E"/>
    <w:rsid w:val="00391F45"/>
    <w:rsid w:val="00391F95"/>
    <w:rsid w:val="003920F9"/>
    <w:rsid w:val="00392197"/>
    <w:rsid w:val="003921F1"/>
    <w:rsid w:val="00392203"/>
    <w:rsid w:val="00392789"/>
    <w:rsid w:val="003927E4"/>
    <w:rsid w:val="00392880"/>
    <w:rsid w:val="00392901"/>
    <w:rsid w:val="00392981"/>
    <w:rsid w:val="00392A86"/>
    <w:rsid w:val="00392AE5"/>
    <w:rsid w:val="00392B4F"/>
    <w:rsid w:val="00392B6E"/>
    <w:rsid w:val="00392BCF"/>
    <w:rsid w:val="00392D01"/>
    <w:rsid w:val="00392EFE"/>
    <w:rsid w:val="00392F4E"/>
    <w:rsid w:val="0039303E"/>
    <w:rsid w:val="00393208"/>
    <w:rsid w:val="003932E3"/>
    <w:rsid w:val="0039332C"/>
    <w:rsid w:val="00393335"/>
    <w:rsid w:val="0039338D"/>
    <w:rsid w:val="003933DE"/>
    <w:rsid w:val="00393488"/>
    <w:rsid w:val="00393523"/>
    <w:rsid w:val="003936C6"/>
    <w:rsid w:val="003938CB"/>
    <w:rsid w:val="00393A83"/>
    <w:rsid w:val="00393AB0"/>
    <w:rsid w:val="00393CCB"/>
    <w:rsid w:val="00393CDA"/>
    <w:rsid w:val="00393D9B"/>
    <w:rsid w:val="00393FB5"/>
    <w:rsid w:val="00393FD5"/>
    <w:rsid w:val="00393FD9"/>
    <w:rsid w:val="003940D6"/>
    <w:rsid w:val="003940E4"/>
    <w:rsid w:val="0039417D"/>
    <w:rsid w:val="00394216"/>
    <w:rsid w:val="0039430A"/>
    <w:rsid w:val="0039449B"/>
    <w:rsid w:val="0039461B"/>
    <w:rsid w:val="003947D1"/>
    <w:rsid w:val="00394895"/>
    <w:rsid w:val="0039497B"/>
    <w:rsid w:val="00394B44"/>
    <w:rsid w:val="00394B7B"/>
    <w:rsid w:val="00394B95"/>
    <w:rsid w:val="00394DC9"/>
    <w:rsid w:val="00394DDC"/>
    <w:rsid w:val="00394E2E"/>
    <w:rsid w:val="00394F00"/>
    <w:rsid w:val="00394F74"/>
    <w:rsid w:val="00394FED"/>
    <w:rsid w:val="00395133"/>
    <w:rsid w:val="00395233"/>
    <w:rsid w:val="003952A7"/>
    <w:rsid w:val="00395327"/>
    <w:rsid w:val="0039532D"/>
    <w:rsid w:val="003955CB"/>
    <w:rsid w:val="00395617"/>
    <w:rsid w:val="00395643"/>
    <w:rsid w:val="0039576E"/>
    <w:rsid w:val="00395A4B"/>
    <w:rsid w:val="00395A84"/>
    <w:rsid w:val="00395B5B"/>
    <w:rsid w:val="00395B9C"/>
    <w:rsid w:val="00395CA7"/>
    <w:rsid w:val="00395CB9"/>
    <w:rsid w:val="00395E44"/>
    <w:rsid w:val="00395E63"/>
    <w:rsid w:val="00396184"/>
    <w:rsid w:val="0039624E"/>
    <w:rsid w:val="00396480"/>
    <w:rsid w:val="003965FB"/>
    <w:rsid w:val="00396615"/>
    <w:rsid w:val="00396726"/>
    <w:rsid w:val="00396906"/>
    <w:rsid w:val="003969A9"/>
    <w:rsid w:val="00396C4B"/>
    <w:rsid w:val="00396CAE"/>
    <w:rsid w:val="00396D45"/>
    <w:rsid w:val="00396DE9"/>
    <w:rsid w:val="00396F92"/>
    <w:rsid w:val="00397105"/>
    <w:rsid w:val="0039713C"/>
    <w:rsid w:val="0039728E"/>
    <w:rsid w:val="00397332"/>
    <w:rsid w:val="003974CD"/>
    <w:rsid w:val="003976CF"/>
    <w:rsid w:val="00397786"/>
    <w:rsid w:val="003977D7"/>
    <w:rsid w:val="00397814"/>
    <w:rsid w:val="00397827"/>
    <w:rsid w:val="00397960"/>
    <w:rsid w:val="0039796D"/>
    <w:rsid w:val="00397973"/>
    <w:rsid w:val="00397A1B"/>
    <w:rsid w:val="00397ADB"/>
    <w:rsid w:val="00397B27"/>
    <w:rsid w:val="00397CE5"/>
    <w:rsid w:val="00397D50"/>
    <w:rsid w:val="00397DA7"/>
    <w:rsid w:val="00397E11"/>
    <w:rsid w:val="00397EAC"/>
    <w:rsid w:val="00397F77"/>
    <w:rsid w:val="003A02A7"/>
    <w:rsid w:val="003A0339"/>
    <w:rsid w:val="003A037A"/>
    <w:rsid w:val="003A03BB"/>
    <w:rsid w:val="003A0469"/>
    <w:rsid w:val="003A051C"/>
    <w:rsid w:val="003A0562"/>
    <w:rsid w:val="003A095E"/>
    <w:rsid w:val="003A09FE"/>
    <w:rsid w:val="003A0B24"/>
    <w:rsid w:val="003A0BBD"/>
    <w:rsid w:val="003A0BC8"/>
    <w:rsid w:val="003A0EC4"/>
    <w:rsid w:val="003A0F18"/>
    <w:rsid w:val="003A0F1B"/>
    <w:rsid w:val="003A0F27"/>
    <w:rsid w:val="003A0F72"/>
    <w:rsid w:val="003A100E"/>
    <w:rsid w:val="003A11B3"/>
    <w:rsid w:val="003A12CB"/>
    <w:rsid w:val="003A1462"/>
    <w:rsid w:val="003A178B"/>
    <w:rsid w:val="003A178D"/>
    <w:rsid w:val="003A17B0"/>
    <w:rsid w:val="003A17D9"/>
    <w:rsid w:val="003A1908"/>
    <w:rsid w:val="003A190C"/>
    <w:rsid w:val="003A1986"/>
    <w:rsid w:val="003A19E7"/>
    <w:rsid w:val="003A1B04"/>
    <w:rsid w:val="003A1B3C"/>
    <w:rsid w:val="003A1E29"/>
    <w:rsid w:val="003A1FE7"/>
    <w:rsid w:val="003A1FEB"/>
    <w:rsid w:val="003A206E"/>
    <w:rsid w:val="003A2166"/>
    <w:rsid w:val="003A2190"/>
    <w:rsid w:val="003A23F1"/>
    <w:rsid w:val="003A243A"/>
    <w:rsid w:val="003A257E"/>
    <w:rsid w:val="003A266B"/>
    <w:rsid w:val="003A26C9"/>
    <w:rsid w:val="003A26DA"/>
    <w:rsid w:val="003A2784"/>
    <w:rsid w:val="003A27F5"/>
    <w:rsid w:val="003A2809"/>
    <w:rsid w:val="003A28B7"/>
    <w:rsid w:val="003A29DE"/>
    <w:rsid w:val="003A2A0E"/>
    <w:rsid w:val="003A2BAA"/>
    <w:rsid w:val="003A2CFB"/>
    <w:rsid w:val="003A2D2F"/>
    <w:rsid w:val="003A2F8F"/>
    <w:rsid w:val="003A3080"/>
    <w:rsid w:val="003A324C"/>
    <w:rsid w:val="003A32B7"/>
    <w:rsid w:val="003A3300"/>
    <w:rsid w:val="003A330A"/>
    <w:rsid w:val="003A3448"/>
    <w:rsid w:val="003A3505"/>
    <w:rsid w:val="003A35FC"/>
    <w:rsid w:val="003A3816"/>
    <w:rsid w:val="003A3882"/>
    <w:rsid w:val="003A3BD2"/>
    <w:rsid w:val="003A3E71"/>
    <w:rsid w:val="003A3EA7"/>
    <w:rsid w:val="003A3F5C"/>
    <w:rsid w:val="003A4007"/>
    <w:rsid w:val="003A41FD"/>
    <w:rsid w:val="003A42BD"/>
    <w:rsid w:val="003A4323"/>
    <w:rsid w:val="003A43CA"/>
    <w:rsid w:val="003A4471"/>
    <w:rsid w:val="003A4666"/>
    <w:rsid w:val="003A469C"/>
    <w:rsid w:val="003A473F"/>
    <w:rsid w:val="003A487F"/>
    <w:rsid w:val="003A4A18"/>
    <w:rsid w:val="003A4A88"/>
    <w:rsid w:val="003A4DFA"/>
    <w:rsid w:val="003A5148"/>
    <w:rsid w:val="003A5314"/>
    <w:rsid w:val="003A5331"/>
    <w:rsid w:val="003A5391"/>
    <w:rsid w:val="003A54B8"/>
    <w:rsid w:val="003A5592"/>
    <w:rsid w:val="003A581B"/>
    <w:rsid w:val="003A5890"/>
    <w:rsid w:val="003A5999"/>
    <w:rsid w:val="003A59F0"/>
    <w:rsid w:val="003A5A77"/>
    <w:rsid w:val="003A5AC7"/>
    <w:rsid w:val="003A5D92"/>
    <w:rsid w:val="003A5E20"/>
    <w:rsid w:val="003A5F95"/>
    <w:rsid w:val="003A5FC4"/>
    <w:rsid w:val="003A60AC"/>
    <w:rsid w:val="003A6159"/>
    <w:rsid w:val="003A6172"/>
    <w:rsid w:val="003A61A4"/>
    <w:rsid w:val="003A627F"/>
    <w:rsid w:val="003A62BC"/>
    <w:rsid w:val="003A62BE"/>
    <w:rsid w:val="003A6349"/>
    <w:rsid w:val="003A6403"/>
    <w:rsid w:val="003A6422"/>
    <w:rsid w:val="003A646F"/>
    <w:rsid w:val="003A65E8"/>
    <w:rsid w:val="003A660E"/>
    <w:rsid w:val="003A66E1"/>
    <w:rsid w:val="003A6811"/>
    <w:rsid w:val="003A68AB"/>
    <w:rsid w:val="003A6A8E"/>
    <w:rsid w:val="003A6B32"/>
    <w:rsid w:val="003A6DD4"/>
    <w:rsid w:val="003A6DD8"/>
    <w:rsid w:val="003A6E6E"/>
    <w:rsid w:val="003A6FF1"/>
    <w:rsid w:val="003A7016"/>
    <w:rsid w:val="003A7100"/>
    <w:rsid w:val="003A71BB"/>
    <w:rsid w:val="003A7424"/>
    <w:rsid w:val="003A7591"/>
    <w:rsid w:val="003A76EC"/>
    <w:rsid w:val="003A782E"/>
    <w:rsid w:val="003A7841"/>
    <w:rsid w:val="003A7880"/>
    <w:rsid w:val="003A7913"/>
    <w:rsid w:val="003A7A2D"/>
    <w:rsid w:val="003A7CA4"/>
    <w:rsid w:val="003A7DDF"/>
    <w:rsid w:val="003A7F0C"/>
    <w:rsid w:val="003A7F8E"/>
    <w:rsid w:val="003A7F9A"/>
    <w:rsid w:val="003A7FA1"/>
    <w:rsid w:val="003B0007"/>
    <w:rsid w:val="003B00D1"/>
    <w:rsid w:val="003B011F"/>
    <w:rsid w:val="003B0221"/>
    <w:rsid w:val="003B02EF"/>
    <w:rsid w:val="003B03DA"/>
    <w:rsid w:val="003B0476"/>
    <w:rsid w:val="003B049C"/>
    <w:rsid w:val="003B07FF"/>
    <w:rsid w:val="003B0866"/>
    <w:rsid w:val="003B099F"/>
    <w:rsid w:val="003B0AC9"/>
    <w:rsid w:val="003B0AD3"/>
    <w:rsid w:val="003B0DA3"/>
    <w:rsid w:val="003B0DC3"/>
    <w:rsid w:val="003B0E65"/>
    <w:rsid w:val="003B10DC"/>
    <w:rsid w:val="003B11C0"/>
    <w:rsid w:val="003B1391"/>
    <w:rsid w:val="003B13DB"/>
    <w:rsid w:val="003B144F"/>
    <w:rsid w:val="003B1475"/>
    <w:rsid w:val="003B160F"/>
    <w:rsid w:val="003B18E0"/>
    <w:rsid w:val="003B1912"/>
    <w:rsid w:val="003B1C77"/>
    <w:rsid w:val="003B1CB7"/>
    <w:rsid w:val="003B1CF4"/>
    <w:rsid w:val="003B1D23"/>
    <w:rsid w:val="003B1D57"/>
    <w:rsid w:val="003B1D8D"/>
    <w:rsid w:val="003B1DDA"/>
    <w:rsid w:val="003B1F1B"/>
    <w:rsid w:val="003B207C"/>
    <w:rsid w:val="003B2091"/>
    <w:rsid w:val="003B20C8"/>
    <w:rsid w:val="003B20F7"/>
    <w:rsid w:val="003B2124"/>
    <w:rsid w:val="003B21DE"/>
    <w:rsid w:val="003B2286"/>
    <w:rsid w:val="003B231B"/>
    <w:rsid w:val="003B241D"/>
    <w:rsid w:val="003B251D"/>
    <w:rsid w:val="003B295E"/>
    <w:rsid w:val="003B297D"/>
    <w:rsid w:val="003B2A4E"/>
    <w:rsid w:val="003B2A94"/>
    <w:rsid w:val="003B2C4F"/>
    <w:rsid w:val="003B2C70"/>
    <w:rsid w:val="003B2C8B"/>
    <w:rsid w:val="003B2CE8"/>
    <w:rsid w:val="003B2D10"/>
    <w:rsid w:val="003B2EDA"/>
    <w:rsid w:val="003B2EDF"/>
    <w:rsid w:val="003B2F31"/>
    <w:rsid w:val="003B306C"/>
    <w:rsid w:val="003B3135"/>
    <w:rsid w:val="003B317D"/>
    <w:rsid w:val="003B3198"/>
    <w:rsid w:val="003B3201"/>
    <w:rsid w:val="003B3228"/>
    <w:rsid w:val="003B330A"/>
    <w:rsid w:val="003B3350"/>
    <w:rsid w:val="003B345C"/>
    <w:rsid w:val="003B35CF"/>
    <w:rsid w:val="003B35E8"/>
    <w:rsid w:val="003B384C"/>
    <w:rsid w:val="003B39DE"/>
    <w:rsid w:val="003B3AE9"/>
    <w:rsid w:val="003B3B30"/>
    <w:rsid w:val="003B3BAD"/>
    <w:rsid w:val="003B3CA7"/>
    <w:rsid w:val="003B3DF6"/>
    <w:rsid w:val="003B3E21"/>
    <w:rsid w:val="003B4187"/>
    <w:rsid w:val="003B41ED"/>
    <w:rsid w:val="003B4304"/>
    <w:rsid w:val="003B4567"/>
    <w:rsid w:val="003B4880"/>
    <w:rsid w:val="003B49F1"/>
    <w:rsid w:val="003B4B09"/>
    <w:rsid w:val="003B4B84"/>
    <w:rsid w:val="003B4DD4"/>
    <w:rsid w:val="003B4DDF"/>
    <w:rsid w:val="003B4F2D"/>
    <w:rsid w:val="003B509F"/>
    <w:rsid w:val="003B52A1"/>
    <w:rsid w:val="003B52C6"/>
    <w:rsid w:val="003B554E"/>
    <w:rsid w:val="003B5644"/>
    <w:rsid w:val="003B5776"/>
    <w:rsid w:val="003B57DC"/>
    <w:rsid w:val="003B5902"/>
    <w:rsid w:val="003B593E"/>
    <w:rsid w:val="003B59B5"/>
    <w:rsid w:val="003B59CC"/>
    <w:rsid w:val="003B5A2C"/>
    <w:rsid w:val="003B5A8F"/>
    <w:rsid w:val="003B5B95"/>
    <w:rsid w:val="003B5C0F"/>
    <w:rsid w:val="003B5D48"/>
    <w:rsid w:val="003B5D9E"/>
    <w:rsid w:val="003B5E7C"/>
    <w:rsid w:val="003B5ED2"/>
    <w:rsid w:val="003B5F25"/>
    <w:rsid w:val="003B6082"/>
    <w:rsid w:val="003B6091"/>
    <w:rsid w:val="003B621B"/>
    <w:rsid w:val="003B63D2"/>
    <w:rsid w:val="003B63FA"/>
    <w:rsid w:val="003B656E"/>
    <w:rsid w:val="003B65EE"/>
    <w:rsid w:val="003B661E"/>
    <w:rsid w:val="003B679E"/>
    <w:rsid w:val="003B67C4"/>
    <w:rsid w:val="003B69B5"/>
    <w:rsid w:val="003B69E6"/>
    <w:rsid w:val="003B6A3F"/>
    <w:rsid w:val="003B6BBC"/>
    <w:rsid w:val="003B6F4D"/>
    <w:rsid w:val="003B6FB8"/>
    <w:rsid w:val="003B70C9"/>
    <w:rsid w:val="003B718B"/>
    <w:rsid w:val="003B7388"/>
    <w:rsid w:val="003B7486"/>
    <w:rsid w:val="003B7496"/>
    <w:rsid w:val="003B7563"/>
    <w:rsid w:val="003B75C6"/>
    <w:rsid w:val="003B761D"/>
    <w:rsid w:val="003B76B7"/>
    <w:rsid w:val="003B77C3"/>
    <w:rsid w:val="003B7987"/>
    <w:rsid w:val="003B79AB"/>
    <w:rsid w:val="003B7AA9"/>
    <w:rsid w:val="003B7C73"/>
    <w:rsid w:val="003B7ECB"/>
    <w:rsid w:val="003B7F22"/>
    <w:rsid w:val="003C007E"/>
    <w:rsid w:val="003C01AB"/>
    <w:rsid w:val="003C032E"/>
    <w:rsid w:val="003C043A"/>
    <w:rsid w:val="003C04AF"/>
    <w:rsid w:val="003C07E6"/>
    <w:rsid w:val="003C09F8"/>
    <w:rsid w:val="003C0A62"/>
    <w:rsid w:val="003C0BA1"/>
    <w:rsid w:val="003C0BB7"/>
    <w:rsid w:val="003C0C09"/>
    <w:rsid w:val="003C0C46"/>
    <w:rsid w:val="003C0E3B"/>
    <w:rsid w:val="003C0E58"/>
    <w:rsid w:val="003C10A2"/>
    <w:rsid w:val="003C1278"/>
    <w:rsid w:val="003C1324"/>
    <w:rsid w:val="003C13B6"/>
    <w:rsid w:val="003C13E1"/>
    <w:rsid w:val="003C154A"/>
    <w:rsid w:val="003C160B"/>
    <w:rsid w:val="003C16BA"/>
    <w:rsid w:val="003C1721"/>
    <w:rsid w:val="003C179D"/>
    <w:rsid w:val="003C18EF"/>
    <w:rsid w:val="003C19BC"/>
    <w:rsid w:val="003C1B87"/>
    <w:rsid w:val="003C1BD5"/>
    <w:rsid w:val="003C1C23"/>
    <w:rsid w:val="003C1C51"/>
    <w:rsid w:val="003C2049"/>
    <w:rsid w:val="003C232C"/>
    <w:rsid w:val="003C2367"/>
    <w:rsid w:val="003C23BA"/>
    <w:rsid w:val="003C23D6"/>
    <w:rsid w:val="003C23EF"/>
    <w:rsid w:val="003C2454"/>
    <w:rsid w:val="003C24F8"/>
    <w:rsid w:val="003C251B"/>
    <w:rsid w:val="003C25DD"/>
    <w:rsid w:val="003C2608"/>
    <w:rsid w:val="003C2660"/>
    <w:rsid w:val="003C2766"/>
    <w:rsid w:val="003C2AA7"/>
    <w:rsid w:val="003C2AD4"/>
    <w:rsid w:val="003C2C3D"/>
    <w:rsid w:val="003C2CBD"/>
    <w:rsid w:val="003C2D66"/>
    <w:rsid w:val="003C2D7F"/>
    <w:rsid w:val="003C2EEC"/>
    <w:rsid w:val="003C2FC3"/>
    <w:rsid w:val="003C30F7"/>
    <w:rsid w:val="003C3588"/>
    <w:rsid w:val="003C3666"/>
    <w:rsid w:val="003C36C6"/>
    <w:rsid w:val="003C36E7"/>
    <w:rsid w:val="003C3722"/>
    <w:rsid w:val="003C394F"/>
    <w:rsid w:val="003C3ABA"/>
    <w:rsid w:val="003C3C75"/>
    <w:rsid w:val="003C3D3C"/>
    <w:rsid w:val="003C3DF4"/>
    <w:rsid w:val="003C3E01"/>
    <w:rsid w:val="003C3E3F"/>
    <w:rsid w:val="003C3EBE"/>
    <w:rsid w:val="003C40E3"/>
    <w:rsid w:val="003C410F"/>
    <w:rsid w:val="003C4112"/>
    <w:rsid w:val="003C411D"/>
    <w:rsid w:val="003C4174"/>
    <w:rsid w:val="003C4213"/>
    <w:rsid w:val="003C4258"/>
    <w:rsid w:val="003C447C"/>
    <w:rsid w:val="003C4529"/>
    <w:rsid w:val="003C4556"/>
    <w:rsid w:val="003C45BA"/>
    <w:rsid w:val="003C45EE"/>
    <w:rsid w:val="003C4627"/>
    <w:rsid w:val="003C49E5"/>
    <w:rsid w:val="003C49F0"/>
    <w:rsid w:val="003C4A5B"/>
    <w:rsid w:val="003C4B0D"/>
    <w:rsid w:val="003C4E89"/>
    <w:rsid w:val="003C4E98"/>
    <w:rsid w:val="003C4EC4"/>
    <w:rsid w:val="003C4EFA"/>
    <w:rsid w:val="003C53BD"/>
    <w:rsid w:val="003C5484"/>
    <w:rsid w:val="003C54B7"/>
    <w:rsid w:val="003C55C6"/>
    <w:rsid w:val="003C55CE"/>
    <w:rsid w:val="003C5B41"/>
    <w:rsid w:val="003C5B49"/>
    <w:rsid w:val="003C5B74"/>
    <w:rsid w:val="003C5DD5"/>
    <w:rsid w:val="003C5E30"/>
    <w:rsid w:val="003C5F22"/>
    <w:rsid w:val="003C6199"/>
    <w:rsid w:val="003C61E1"/>
    <w:rsid w:val="003C6242"/>
    <w:rsid w:val="003C6279"/>
    <w:rsid w:val="003C62C5"/>
    <w:rsid w:val="003C6451"/>
    <w:rsid w:val="003C65BA"/>
    <w:rsid w:val="003C6671"/>
    <w:rsid w:val="003C66AF"/>
    <w:rsid w:val="003C6733"/>
    <w:rsid w:val="003C681C"/>
    <w:rsid w:val="003C6859"/>
    <w:rsid w:val="003C6872"/>
    <w:rsid w:val="003C68DC"/>
    <w:rsid w:val="003C6939"/>
    <w:rsid w:val="003C6AA7"/>
    <w:rsid w:val="003C6AEA"/>
    <w:rsid w:val="003C6B46"/>
    <w:rsid w:val="003C6C6E"/>
    <w:rsid w:val="003C6D5B"/>
    <w:rsid w:val="003C6DE5"/>
    <w:rsid w:val="003C6DFF"/>
    <w:rsid w:val="003C6E4F"/>
    <w:rsid w:val="003C6E99"/>
    <w:rsid w:val="003C6EF7"/>
    <w:rsid w:val="003C6EFF"/>
    <w:rsid w:val="003C6F6C"/>
    <w:rsid w:val="003C6FAC"/>
    <w:rsid w:val="003C710B"/>
    <w:rsid w:val="003C7268"/>
    <w:rsid w:val="003C72A0"/>
    <w:rsid w:val="003C7341"/>
    <w:rsid w:val="003C7517"/>
    <w:rsid w:val="003C758E"/>
    <w:rsid w:val="003C763F"/>
    <w:rsid w:val="003C7838"/>
    <w:rsid w:val="003C7A9E"/>
    <w:rsid w:val="003C7B2B"/>
    <w:rsid w:val="003C7CD0"/>
    <w:rsid w:val="003C7ED1"/>
    <w:rsid w:val="003C7EFA"/>
    <w:rsid w:val="003C7FD5"/>
    <w:rsid w:val="003C7FEF"/>
    <w:rsid w:val="003D006A"/>
    <w:rsid w:val="003D0169"/>
    <w:rsid w:val="003D02AD"/>
    <w:rsid w:val="003D02D1"/>
    <w:rsid w:val="003D039F"/>
    <w:rsid w:val="003D0402"/>
    <w:rsid w:val="003D0403"/>
    <w:rsid w:val="003D0506"/>
    <w:rsid w:val="003D0546"/>
    <w:rsid w:val="003D057E"/>
    <w:rsid w:val="003D0596"/>
    <w:rsid w:val="003D0719"/>
    <w:rsid w:val="003D07C2"/>
    <w:rsid w:val="003D098F"/>
    <w:rsid w:val="003D0A4E"/>
    <w:rsid w:val="003D0B76"/>
    <w:rsid w:val="003D0BB4"/>
    <w:rsid w:val="003D0FBE"/>
    <w:rsid w:val="003D12BF"/>
    <w:rsid w:val="003D132A"/>
    <w:rsid w:val="003D1358"/>
    <w:rsid w:val="003D1391"/>
    <w:rsid w:val="003D167D"/>
    <w:rsid w:val="003D1726"/>
    <w:rsid w:val="003D18DF"/>
    <w:rsid w:val="003D1910"/>
    <w:rsid w:val="003D19D7"/>
    <w:rsid w:val="003D1C10"/>
    <w:rsid w:val="003D1C68"/>
    <w:rsid w:val="003D1CA9"/>
    <w:rsid w:val="003D1CEF"/>
    <w:rsid w:val="003D1D48"/>
    <w:rsid w:val="003D1D9C"/>
    <w:rsid w:val="003D1FA2"/>
    <w:rsid w:val="003D2061"/>
    <w:rsid w:val="003D20B0"/>
    <w:rsid w:val="003D225A"/>
    <w:rsid w:val="003D2386"/>
    <w:rsid w:val="003D2582"/>
    <w:rsid w:val="003D25B5"/>
    <w:rsid w:val="003D28C1"/>
    <w:rsid w:val="003D2B12"/>
    <w:rsid w:val="003D2BEB"/>
    <w:rsid w:val="003D2D89"/>
    <w:rsid w:val="003D2D9B"/>
    <w:rsid w:val="003D2DCD"/>
    <w:rsid w:val="003D2DE7"/>
    <w:rsid w:val="003D2E0E"/>
    <w:rsid w:val="003D2FA9"/>
    <w:rsid w:val="003D300C"/>
    <w:rsid w:val="003D304D"/>
    <w:rsid w:val="003D314D"/>
    <w:rsid w:val="003D3248"/>
    <w:rsid w:val="003D338F"/>
    <w:rsid w:val="003D33D2"/>
    <w:rsid w:val="003D3430"/>
    <w:rsid w:val="003D345D"/>
    <w:rsid w:val="003D35D3"/>
    <w:rsid w:val="003D3608"/>
    <w:rsid w:val="003D3634"/>
    <w:rsid w:val="003D38E6"/>
    <w:rsid w:val="003D391B"/>
    <w:rsid w:val="003D39F8"/>
    <w:rsid w:val="003D3AC7"/>
    <w:rsid w:val="003D3B5E"/>
    <w:rsid w:val="003D3B66"/>
    <w:rsid w:val="003D3DE1"/>
    <w:rsid w:val="003D3DEF"/>
    <w:rsid w:val="003D3DF7"/>
    <w:rsid w:val="003D3E95"/>
    <w:rsid w:val="003D3F80"/>
    <w:rsid w:val="003D40C0"/>
    <w:rsid w:val="003D4112"/>
    <w:rsid w:val="003D4264"/>
    <w:rsid w:val="003D434D"/>
    <w:rsid w:val="003D4674"/>
    <w:rsid w:val="003D474A"/>
    <w:rsid w:val="003D4779"/>
    <w:rsid w:val="003D4910"/>
    <w:rsid w:val="003D4929"/>
    <w:rsid w:val="003D49A2"/>
    <w:rsid w:val="003D4A54"/>
    <w:rsid w:val="003D4DB6"/>
    <w:rsid w:val="003D4DCB"/>
    <w:rsid w:val="003D4E0E"/>
    <w:rsid w:val="003D5138"/>
    <w:rsid w:val="003D5248"/>
    <w:rsid w:val="003D588D"/>
    <w:rsid w:val="003D5A98"/>
    <w:rsid w:val="003D5A9F"/>
    <w:rsid w:val="003D5B84"/>
    <w:rsid w:val="003D5BB4"/>
    <w:rsid w:val="003D5C37"/>
    <w:rsid w:val="003D5CEB"/>
    <w:rsid w:val="003D5CED"/>
    <w:rsid w:val="003D5E54"/>
    <w:rsid w:val="003D5EB1"/>
    <w:rsid w:val="003D612C"/>
    <w:rsid w:val="003D6193"/>
    <w:rsid w:val="003D63B2"/>
    <w:rsid w:val="003D6404"/>
    <w:rsid w:val="003D6423"/>
    <w:rsid w:val="003D6425"/>
    <w:rsid w:val="003D66ED"/>
    <w:rsid w:val="003D679E"/>
    <w:rsid w:val="003D6A3F"/>
    <w:rsid w:val="003D6C95"/>
    <w:rsid w:val="003D6E2C"/>
    <w:rsid w:val="003D6F0A"/>
    <w:rsid w:val="003D6FA8"/>
    <w:rsid w:val="003D7154"/>
    <w:rsid w:val="003D7183"/>
    <w:rsid w:val="003D720C"/>
    <w:rsid w:val="003D7360"/>
    <w:rsid w:val="003D73CF"/>
    <w:rsid w:val="003D73D5"/>
    <w:rsid w:val="003D746B"/>
    <w:rsid w:val="003D74CC"/>
    <w:rsid w:val="003D75C3"/>
    <w:rsid w:val="003D77AB"/>
    <w:rsid w:val="003D780F"/>
    <w:rsid w:val="003D7893"/>
    <w:rsid w:val="003D7C6D"/>
    <w:rsid w:val="003D7DE6"/>
    <w:rsid w:val="003D7EB3"/>
    <w:rsid w:val="003E00CC"/>
    <w:rsid w:val="003E0340"/>
    <w:rsid w:val="003E03F8"/>
    <w:rsid w:val="003E04AE"/>
    <w:rsid w:val="003E04E8"/>
    <w:rsid w:val="003E05A6"/>
    <w:rsid w:val="003E05C6"/>
    <w:rsid w:val="003E05FC"/>
    <w:rsid w:val="003E0635"/>
    <w:rsid w:val="003E0684"/>
    <w:rsid w:val="003E0699"/>
    <w:rsid w:val="003E06C7"/>
    <w:rsid w:val="003E07A4"/>
    <w:rsid w:val="003E07D5"/>
    <w:rsid w:val="003E0A08"/>
    <w:rsid w:val="003E0A95"/>
    <w:rsid w:val="003E0B5A"/>
    <w:rsid w:val="003E0BE5"/>
    <w:rsid w:val="003E0BFE"/>
    <w:rsid w:val="003E102D"/>
    <w:rsid w:val="003E103D"/>
    <w:rsid w:val="003E1057"/>
    <w:rsid w:val="003E120F"/>
    <w:rsid w:val="003E1236"/>
    <w:rsid w:val="003E1245"/>
    <w:rsid w:val="003E12BC"/>
    <w:rsid w:val="003E136D"/>
    <w:rsid w:val="003E14EC"/>
    <w:rsid w:val="003E1632"/>
    <w:rsid w:val="003E16DD"/>
    <w:rsid w:val="003E16FC"/>
    <w:rsid w:val="003E17C1"/>
    <w:rsid w:val="003E1845"/>
    <w:rsid w:val="003E194B"/>
    <w:rsid w:val="003E1A90"/>
    <w:rsid w:val="003E1C5D"/>
    <w:rsid w:val="003E1C6F"/>
    <w:rsid w:val="003E1D85"/>
    <w:rsid w:val="003E1D9E"/>
    <w:rsid w:val="003E1DAA"/>
    <w:rsid w:val="003E1E53"/>
    <w:rsid w:val="003E1E77"/>
    <w:rsid w:val="003E1F81"/>
    <w:rsid w:val="003E1FD6"/>
    <w:rsid w:val="003E2063"/>
    <w:rsid w:val="003E22B8"/>
    <w:rsid w:val="003E2391"/>
    <w:rsid w:val="003E2394"/>
    <w:rsid w:val="003E2457"/>
    <w:rsid w:val="003E2570"/>
    <w:rsid w:val="003E29FC"/>
    <w:rsid w:val="003E2A38"/>
    <w:rsid w:val="003E2BC3"/>
    <w:rsid w:val="003E2BDC"/>
    <w:rsid w:val="003E2BF8"/>
    <w:rsid w:val="003E2C6D"/>
    <w:rsid w:val="003E2D66"/>
    <w:rsid w:val="003E2FE1"/>
    <w:rsid w:val="003E307C"/>
    <w:rsid w:val="003E310C"/>
    <w:rsid w:val="003E317E"/>
    <w:rsid w:val="003E31FF"/>
    <w:rsid w:val="003E3272"/>
    <w:rsid w:val="003E335F"/>
    <w:rsid w:val="003E337C"/>
    <w:rsid w:val="003E3411"/>
    <w:rsid w:val="003E34A2"/>
    <w:rsid w:val="003E34B6"/>
    <w:rsid w:val="003E3C84"/>
    <w:rsid w:val="003E3C9F"/>
    <w:rsid w:val="003E3CBF"/>
    <w:rsid w:val="003E3F78"/>
    <w:rsid w:val="003E3F9D"/>
    <w:rsid w:val="003E4174"/>
    <w:rsid w:val="003E41FE"/>
    <w:rsid w:val="003E433F"/>
    <w:rsid w:val="003E43DC"/>
    <w:rsid w:val="003E4414"/>
    <w:rsid w:val="003E45E8"/>
    <w:rsid w:val="003E471B"/>
    <w:rsid w:val="003E49E2"/>
    <w:rsid w:val="003E4CF8"/>
    <w:rsid w:val="003E4D7C"/>
    <w:rsid w:val="003E4E3B"/>
    <w:rsid w:val="003E4E87"/>
    <w:rsid w:val="003E4E89"/>
    <w:rsid w:val="003E4FCC"/>
    <w:rsid w:val="003E50E1"/>
    <w:rsid w:val="003E5169"/>
    <w:rsid w:val="003E531C"/>
    <w:rsid w:val="003E54B8"/>
    <w:rsid w:val="003E55B6"/>
    <w:rsid w:val="003E5682"/>
    <w:rsid w:val="003E5745"/>
    <w:rsid w:val="003E575C"/>
    <w:rsid w:val="003E57AB"/>
    <w:rsid w:val="003E57AC"/>
    <w:rsid w:val="003E5830"/>
    <w:rsid w:val="003E587F"/>
    <w:rsid w:val="003E5887"/>
    <w:rsid w:val="003E593E"/>
    <w:rsid w:val="003E59B6"/>
    <w:rsid w:val="003E5B75"/>
    <w:rsid w:val="003E5C5D"/>
    <w:rsid w:val="003E5CD3"/>
    <w:rsid w:val="003E5D26"/>
    <w:rsid w:val="003E5E65"/>
    <w:rsid w:val="003E5F4E"/>
    <w:rsid w:val="003E5F9B"/>
    <w:rsid w:val="003E600C"/>
    <w:rsid w:val="003E60C0"/>
    <w:rsid w:val="003E60C3"/>
    <w:rsid w:val="003E61D6"/>
    <w:rsid w:val="003E621B"/>
    <w:rsid w:val="003E62CC"/>
    <w:rsid w:val="003E6329"/>
    <w:rsid w:val="003E63F1"/>
    <w:rsid w:val="003E643C"/>
    <w:rsid w:val="003E651A"/>
    <w:rsid w:val="003E657D"/>
    <w:rsid w:val="003E65A2"/>
    <w:rsid w:val="003E65C1"/>
    <w:rsid w:val="003E6620"/>
    <w:rsid w:val="003E66B2"/>
    <w:rsid w:val="003E677E"/>
    <w:rsid w:val="003E67B5"/>
    <w:rsid w:val="003E6A05"/>
    <w:rsid w:val="003E6A22"/>
    <w:rsid w:val="003E6BC4"/>
    <w:rsid w:val="003E6CEA"/>
    <w:rsid w:val="003E6D7C"/>
    <w:rsid w:val="003E6DCF"/>
    <w:rsid w:val="003E6F20"/>
    <w:rsid w:val="003E6F3E"/>
    <w:rsid w:val="003E711E"/>
    <w:rsid w:val="003E73B8"/>
    <w:rsid w:val="003E7439"/>
    <w:rsid w:val="003E7534"/>
    <w:rsid w:val="003E7567"/>
    <w:rsid w:val="003E75DA"/>
    <w:rsid w:val="003E76A3"/>
    <w:rsid w:val="003E7A23"/>
    <w:rsid w:val="003E7D09"/>
    <w:rsid w:val="003E7F4C"/>
    <w:rsid w:val="003E7F57"/>
    <w:rsid w:val="003E7FED"/>
    <w:rsid w:val="003F0064"/>
    <w:rsid w:val="003F019E"/>
    <w:rsid w:val="003F01CB"/>
    <w:rsid w:val="003F026A"/>
    <w:rsid w:val="003F02A7"/>
    <w:rsid w:val="003F02B7"/>
    <w:rsid w:val="003F0404"/>
    <w:rsid w:val="003F04E8"/>
    <w:rsid w:val="003F05C5"/>
    <w:rsid w:val="003F06DA"/>
    <w:rsid w:val="003F074E"/>
    <w:rsid w:val="003F0776"/>
    <w:rsid w:val="003F0795"/>
    <w:rsid w:val="003F08CB"/>
    <w:rsid w:val="003F0A85"/>
    <w:rsid w:val="003F0B4E"/>
    <w:rsid w:val="003F0BA3"/>
    <w:rsid w:val="003F0BAF"/>
    <w:rsid w:val="003F0C25"/>
    <w:rsid w:val="003F0C5A"/>
    <w:rsid w:val="003F0CE3"/>
    <w:rsid w:val="003F0D0C"/>
    <w:rsid w:val="003F0F34"/>
    <w:rsid w:val="003F1075"/>
    <w:rsid w:val="003F120E"/>
    <w:rsid w:val="003F1513"/>
    <w:rsid w:val="003F1587"/>
    <w:rsid w:val="003F168A"/>
    <w:rsid w:val="003F1704"/>
    <w:rsid w:val="003F187B"/>
    <w:rsid w:val="003F191C"/>
    <w:rsid w:val="003F1B73"/>
    <w:rsid w:val="003F1BF9"/>
    <w:rsid w:val="003F1D40"/>
    <w:rsid w:val="003F1D90"/>
    <w:rsid w:val="003F1E75"/>
    <w:rsid w:val="003F1F66"/>
    <w:rsid w:val="003F206B"/>
    <w:rsid w:val="003F2124"/>
    <w:rsid w:val="003F2398"/>
    <w:rsid w:val="003F24D6"/>
    <w:rsid w:val="003F265A"/>
    <w:rsid w:val="003F26A4"/>
    <w:rsid w:val="003F27DF"/>
    <w:rsid w:val="003F291B"/>
    <w:rsid w:val="003F292E"/>
    <w:rsid w:val="003F29EF"/>
    <w:rsid w:val="003F2CF1"/>
    <w:rsid w:val="003F2DF6"/>
    <w:rsid w:val="003F2E4B"/>
    <w:rsid w:val="003F2E75"/>
    <w:rsid w:val="003F2E93"/>
    <w:rsid w:val="003F2F00"/>
    <w:rsid w:val="003F30F2"/>
    <w:rsid w:val="003F3401"/>
    <w:rsid w:val="003F34E9"/>
    <w:rsid w:val="003F36A2"/>
    <w:rsid w:val="003F3778"/>
    <w:rsid w:val="003F3780"/>
    <w:rsid w:val="003F389C"/>
    <w:rsid w:val="003F39A0"/>
    <w:rsid w:val="003F3B7E"/>
    <w:rsid w:val="003F3BB1"/>
    <w:rsid w:val="003F3D2B"/>
    <w:rsid w:val="003F3FCB"/>
    <w:rsid w:val="003F40A5"/>
    <w:rsid w:val="003F40E7"/>
    <w:rsid w:val="003F4112"/>
    <w:rsid w:val="003F4116"/>
    <w:rsid w:val="003F4137"/>
    <w:rsid w:val="003F416D"/>
    <w:rsid w:val="003F42A7"/>
    <w:rsid w:val="003F42E3"/>
    <w:rsid w:val="003F4479"/>
    <w:rsid w:val="003F4515"/>
    <w:rsid w:val="003F461B"/>
    <w:rsid w:val="003F46F0"/>
    <w:rsid w:val="003F4808"/>
    <w:rsid w:val="003F4876"/>
    <w:rsid w:val="003F48F0"/>
    <w:rsid w:val="003F4AD5"/>
    <w:rsid w:val="003F4BCB"/>
    <w:rsid w:val="003F4BF0"/>
    <w:rsid w:val="003F4D7E"/>
    <w:rsid w:val="003F4D97"/>
    <w:rsid w:val="003F4EA8"/>
    <w:rsid w:val="003F4EF2"/>
    <w:rsid w:val="003F5040"/>
    <w:rsid w:val="003F5123"/>
    <w:rsid w:val="003F5137"/>
    <w:rsid w:val="003F5320"/>
    <w:rsid w:val="003F5420"/>
    <w:rsid w:val="003F55C7"/>
    <w:rsid w:val="003F5717"/>
    <w:rsid w:val="003F58CA"/>
    <w:rsid w:val="003F5955"/>
    <w:rsid w:val="003F5A70"/>
    <w:rsid w:val="003F5BD6"/>
    <w:rsid w:val="003F5CF7"/>
    <w:rsid w:val="003F5D11"/>
    <w:rsid w:val="003F5FE3"/>
    <w:rsid w:val="003F600B"/>
    <w:rsid w:val="003F60C8"/>
    <w:rsid w:val="003F6299"/>
    <w:rsid w:val="003F63EA"/>
    <w:rsid w:val="003F650A"/>
    <w:rsid w:val="003F6603"/>
    <w:rsid w:val="003F66FC"/>
    <w:rsid w:val="003F682B"/>
    <w:rsid w:val="003F690F"/>
    <w:rsid w:val="003F6A34"/>
    <w:rsid w:val="003F6B58"/>
    <w:rsid w:val="003F6C4C"/>
    <w:rsid w:val="003F6CA2"/>
    <w:rsid w:val="003F6D7D"/>
    <w:rsid w:val="003F6E8F"/>
    <w:rsid w:val="003F6EB0"/>
    <w:rsid w:val="003F6EB8"/>
    <w:rsid w:val="003F700D"/>
    <w:rsid w:val="003F7035"/>
    <w:rsid w:val="003F71F8"/>
    <w:rsid w:val="003F7234"/>
    <w:rsid w:val="003F7308"/>
    <w:rsid w:val="003F7813"/>
    <w:rsid w:val="003F78A1"/>
    <w:rsid w:val="003F799A"/>
    <w:rsid w:val="003F79ED"/>
    <w:rsid w:val="003F7A37"/>
    <w:rsid w:val="003F7ABE"/>
    <w:rsid w:val="003F7C36"/>
    <w:rsid w:val="003F7DAC"/>
    <w:rsid w:val="003F7DBF"/>
    <w:rsid w:val="003F7E47"/>
    <w:rsid w:val="003F7F88"/>
    <w:rsid w:val="00400026"/>
    <w:rsid w:val="004000B4"/>
    <w:rsid w:val="00400248"/>
    <w:rsid w:val="004003BC"/>
    <w:rsid w:val="0040040C"/>
    <w:rsid w:val="00400485"/>
    <w:rsid w:val="004005D9"/>
    <w:rsid w:val="00400768"/>
    <w:rsid w:val="0040093A"/>
    <w:rsid w:val="0040098C"/>
    <w:rsid w:val="00400A6B"/>
    <w:rsid w:val="00400BA8"/>
    <w:rsid w:val="00400C38"/>
    <w:rsid w:val="00400C6D"/>
    <w:rsid w:val="00400C9B"/>
    <w:rsid w:val="00400CC5"/>
    <w:rsid w:val="00400D60"/>
    <w:rsid w:val="00400DE8"/>
    <w:rsid w:val="00401047"/>
    <w:rsid w:val="00401115"/>
    <w:rsid w:val="0040117C"/>
    <w:rsid w:val="00401181"/>
    <w:rsid w:val="004011D3"/>
    <w:rsid w:val="0040121E"/>
    <w:rsid w:val="0040133E"/>
    <w:rsid w:val="004013B2"/>
    <w:rsid w:val="00401422"/>
    <w:rsid w:val="00401792"/>
    <w:rsid w:val="004018B9"/>
    <w:rsid w:val="00401BCB"/>
    <w:rsid w:val="00401BF6"/>
    <w:rsid w:val="00401C1A"/>
    <w:rsid w:val="00401C5E"/>
    <w:rsid w:val="00401C8E"/>
    <w:rsid w:val="00401E30"/>
    <w:rsid w:val="00401F83"/>
    <w:rsid w:val="0040213B"/>
    <w:rsid w:val="00402171"/>
    <w:rsid w:val="00402381"/>
    <w:rsid w:val="004023B5"/>
    <w:rsid w:val="004023DE"/>
    <w:rsid w:val="004023E1"/>
    <w:rsid w:val="004023F9"/>
    <w:rsid w:val="00402413"/>
    <w:rsid w:val="004024FE"/>
    <w:rsid w:val="0040277E"/>
    <w:rsid w:val="00402784"/>
    <w:rsid w:val="004027A0"/>
    <w:rsid w:val="004028D7"/>
    <w:rsid w:val="0040298B"/>
    <w:rsid w:val="00402A33"/>
    <w:rsid w:val="00402B1D"/>
    <w:rsid w:val="00402B76"/>
    <w:rsid w:val="00402C18"/>
    <w:rsid w:val="00402D07"/>
    <w:rsid w:val="00402D51"/>
    <w:rsid w:val="00402EF6"/>
    <w:rsid w:val="00402F03"/>
    <w:rsid w:val="00402F11"/>
    <w:rsid w:val="00402F5C"/>
    <w:rsid w:val="00402FE3"/>
    <w:rsid w:val="004032E5"/>
    <w:rsid w:val="00403389"/>
    <w:rsid w:val="004033F0"/>
    <w:rsid w:val="004034DD"/>
    <w:rsid w:val="00403525"/>
    <w:rsid w:val="00403691"/>
    <w:rsid w:val="004036EC"/>
    <w:rsid w:val="0040374A"/>
    <w:rsid w:val="00403789"/>
    <w:rsid w:val="004037C9"/>
    <w:rsid w:val="00403885"/>
    <w:rsid w:val="004039AB"/>
    <w:rsid w:val="00403A79"/>
    <w:rsid w:val="00403CBB"/>
    <w:rsid w:val="00403E59"/>
    <w:rsid w:val="00403F3A"/>
    <w:rsid w:val="00403FC6"/>
    <w:rsid w:val="004043C7"/>
    <w:rsid w:val="0040444A"/>
    <w:rsid w:val="004044A8"/>
    <w:rsid w:val="00404539"/>
    <w:rsid w:val="0040472A"/>
    <w:rsid w:val="004047C9"/>
    <w:rsid w:val="004048F4"/>
    <w:rsid w:val="00404A2A"/>
    <w:rsid w:val="00404A9D"/>
    <w:rsid w:val="00404B15"/>
    <w:rsid w:val="00404B6E"/>
    <w:rsid w:val="00404B70"/>
    <w:rsid w:val="00404D86"/>
    <w:rsid w:val="00404DE3"/>
    <w:rsid w:val="00404E71"/>
    <w:rsid w:val="00404EA9"/>
    <w:rsid w:val="00404EB1"/>
    <w:rsid w:val="00404F46"/>
    <w:rsid w:val="00404F94"/>
    <w:rsid w:val="00404FE3"/>
    <w:rsid w:val="004050C6"/>
    <w:rsid w:val="004053DB"/>
    <w:rsid w:val="00405456"/>
    <w:rsid w:val="00405490"/>
    <w:rsid w:val="004054E2"/>
    <w:rsid w:val="004054F9"/>
    <w:rsid w:val="00405625"/>
    <w:rsid w:val="004056D3"/>
    <w:rsid w:val="00405796"/>
    <w:rsid w:val="004057DF"/>
    <w:rsid w:val="00405B6D"/>
    <w:rsid w:val="00405C4D"/>
    <w:rsid w:val="00405E00"/>
    <w:rsid w:val="00406192"/>
    <w:rsid w:val="004061E6"/>
    <w:rsid w:val="00406393"/>
    <w:rsid w:val="00406690"/>
    <w:rsid w:val="00406717"/>
    <w:rsid w:val="004067F8"/>
    <w:rsid w:val="004068F3"/>
    <w:rsid w:val="00406A9C"/>
    <w:rsid w:val="00406B10"/>
    <w:rsid w:val="00406C5A"/>
    <w:rsid w:val="00406C5D"/>
    <w:rsid w:val="00406D7E"/>
    <w:rsid w:val="00406EB2"/>
    <w:rsid w:val="00406EBC"/>
    <w:rsid w:val="00406F20"/>
    <w:rsid w:val="00406F56"/>
    <w:rsid w:val="00407000"/>
    <w:rsid w:val="004070AF"/>
    <w:rsid w:val="004070FB"/>
    <w:rsid w:val="0040719F"/>
    <w:rsid w:val="0040723C"/>
    <w:rsid w:val="00407266"/>
    <w:rsid w:val="00407273"/>
    <w:rsid w:val="004072F3"/>
    <w:rsid w:val="00407445"/>
    <w:rsid w:val="00407538"/>
    <w:rsid w:val="0040773C"/>
    <w:rsid w:val="004078CC"/>
    <w:rsid w:val="004078FD"/>
    <w:rsid w:val="00407A7A"/>
    <w:rsid w:val="00407BA9"/>
    <w:rsid w:val="00407C6F"/>
    <w:rsid w:val="00407D42"/>
    <w:rsid w:val="00407E33"/>
    <w:rsid w:val="004100E3"/>
    <w:rsid w:val="004106D6"/>
    <w:rsid w:val="004107DE"/>
    <w:rsid w:val="00410803"/>
    <w:rsid w:val="0041081B"/>
    <w:rsid w:val="004108B7"/>
    <w:rsid w:val="004108CE"/>
    <w:rsid w:val="004109A5"/>
    <w:rsid w:val="00410AF6"/>
    <w:rsid w:val="00410AFE"/>
    <w:rsid w:val="00410BFD"/>
    <w:rsid w:val="00410C6A"/>
    <w:rsid w:val="00410D83"/>
    <w:rsid w:val="00410F1C"/>
    <w:rsid w:val="00410F56"/>
    <w:rsid w:val="00411190"/>
    <w:rsid w:val="004111C0"/>
    <w:rsid w:val="0041131C"/>
    <w:rsid w:val="004113CC"/>
    <w:rsid w:val="00411492"/>
    <w:rsid w:val="004116BE"/>
    <w:rsid w:val="004118DD"/>
    <w:rsid w:val="0041190F"/>
    <w:rsid w:val="00411A83"/>
    <w:rsid w:val="00411AC8"/>
    <w:rsid w:val="00411B4F"/>
    <w:rsid w:val="00411BBB"/>
    <w:rsid w:val="00411C96"/>
    <w:rsid w:val="00411CDA"/>
    <w:rsid w:val="00411DBD"/>
    <w:rsid w:val="00411F8D"/>
    <w:rsid w:val="00411F8E"/>
    <w:rsid w:val="00411FB1"/>
    <w:rsid w:val="00411FFD"/>
    <w:rsid w:val="00412000"/>
    <w:rsid w:val="00412259"/>
    <w:rsid w:val="00412516"/>
    <w:rsid w:val="00412558"/>
    <w:rsid w:val="00412582"/>
    <w:rsid w:val="00412603"/>
    <w:rsid w:val="00412644"/>
    <w:rsid w:val="004127AE"/>
    <w:rsid w:val="004127EC"/>
    <w:rsid w:val="00412AE4"/>
    <w:rsid w:val="00412B0E"/>
    <w:rsid w:val="00412B94"/>
    <w:rsid w:val="00412D05"/>
    <w:rsid w:val="00412EF8"/>
    <w:rsid w:val="00412F75"/>
    <w:rsid w:val="00412FF7"/>
    <w:rsid w:val="00413053"/>
    <w:rsid w:val="0041314B"/>
    <w:rsid w:val="00413275"/>
    <w:rsid w:val="00413335"/>
    <w:rsid w:val="00413449"/>
    <w:rsid w:val="004134AC"/>
    <w:rsid w:val="004134D3"/>
    <w:rsid w:val="0041353A"/>
    <w:rsid w:val="004135CF"/>
    <w:rsid w:val="004135F6"/>
    <w:rsid w:val="00413970"/>
    <w:rsid w:val="00413CE9"/>
    <w:rsid w:val="00413D67"/>
    <w:rsid w:val="00413D8D"/>
    <w:rsid w:val="00413E80"/>
    <w:rsid w:val="0041416D"/>
    <w:rsid w:val="004141C7"/>
    <w:rsid w:val="0041446D"/>
    <w:rsid w:val="004144DA"/>
    <w:rsid w:val="004144DC"/>
    <w:rsid w:val="00414520"/>
    <w:rsid w:val="004146AB"/>
    <w:rsid w:val="004146D9"/>
    <w:rsid w:val="004147F3"/>
    <w:rsid w:val="00414873"/>
    <w:rsid w:val="004148AC"/>
    <w:rsid w:val="004148DD"/>
    <w:rsid w:val="004149A7"/>
    <w:rsid w:val="004149EC"/>
    <w:rsid w:val="00414A33"/>
    <w:rsid w:val="00414D6F"/>
    <w:rsid w:val="00414DBC"/>
    <w:rsid w:val="00415056"/>
    <w:rsid w:val="00415148"/>
    <w:rsid w:val="0041521F"/>
    <w:rsid w:val="00415581"/>
    <w:rsid w:val="004155F8"/>
    <w:rsid w:val="004155FF"/>
    <w:rsid w:val="004157E5"/>
    <w:rsid w:val="004157FA"/>
    <w:rsid w:val="004159C1"/>
    <w:rsid w:val="00415A87"/>
    <w:rsid w:val="00415B19"/>
    <w:rsid w:val="00415C1A"/>
    <w:rsid w:val="00415C56"/>
    <w:rsid w:val="00415D76"/>
    <w:rsid w:val="00415DE9"/>
    <w:rsid w:val="00415EC2"/>
    <w:rsid w:val="00415F70"/>
    <w:rsid w:val="00416083"/>
    <w:rsid w:val="00416102"/>
    <w:rsid w:val="004161D5"/>
    <w:rsid w:val="004161ED"/>
    <w:rsid w:val="00416272"/>
    <w:rsid w:val="00416325"/>
    <w:rsid w:val="00416358"/>
    <w:rsid w:val="004165A8"/>
    <w:rsid w:val="0041660C"/>
    <w:rsid w:val="00416613"/>
    <w:rsid w:val="0041698F"/>
    <w:rsid w:val="00416AE0"/>
    <w:rsid w:val="00416CA6"/>
    <w:rsid w:val="00416D61"/>
    <w:rsid w:val="00416E7C"/>
    <w:rsid w:val="00416E7D"/>
    <w:rsid w:val="00416E91"/>
    <w:rsid w:val="00416E9C"/>
    <w:rsid w:val="00416EF8"/>
    <w:rsid w:val="00416FCD"/>
    <w:rsid w:val="00417219"/>
    <w:rsid w:val="00417220"/>
    <w:rsid w:val="004172A5"/>
    <w:rsid w:val="004176CE"/>
    <w:rsid w:val="004177C5"/>
    <w:rsid w:val="00417870"/>
    <w:rsid w:val="004179EC"/>
    <w:rsid w:val="00417A4E"/>
    <w:rsid w:val="00417AB7"/>
    <w:rsid w:val="00417CFC"/>
    <w:rsid w:val="00417E93"/>
    <w:rsid w:val="00417FE7"/>
    <w:rsid w:val="00420107"/>
    <w:rsid w:val="00420200"/>
    <w:rsid w:val="00420383"/>
    <w:rsid w:val="004204AE"/>
    <w:rsid w:val="004204CE"/>
    <w:rsid w:val="004205C4"/>
    <w:rsid w:val="00420612"/>
    <w:rsid w:val="00420781"/>
    <w:rsid w:val="00420945"/>
    <w:rsid w:val="00420A68"/>
    <w:rsid w:val="00420B32"/>
    <w:rsid w:val="00420B56"/>
    <w:rsid w:val="00420C60"/>
    <w:rsid w:val="00420DC6"/>
    <w:rsid w:val="004210AB"/>
    <w:rsid w:val="004210AC"/>
    <w:rsid w:val="00421265"/>
    <w:rsid w:val="004212A0"/>
    <w:rsid w:val="00421320"/>
    <w:rsid w:val="0042143E"/>
    <w:rsid w:val="004215C3"/>
    <w:rsid w:val="004216E8"/>
    <w:rsid w:val="00421867"/>
    <w:rsid w:val="004219FC"/>
    <w:rsid w:val="00421A59"/>
    <w:rsid w:val="00421B56"/>
    <w:rsid w:val="00421C82"/>
    <w:rsid w:val="00421CF0"/>
    <w:rsid w:val="00421DA6"/>
    <w:rsid w:val="00421E12"/>
    <w:rsid w:val="00421F00"/>
    <w:rsid w:val="00421F11"/>
    <w:rsid w:val="004220E7"/>
    <w:rsid w:val="004221BD"/>
    <w:rsid w:val="00422221"/>
    <w:rsid w:val="00422561"/>
    <w:rsid w:val="0042256E"/>
    <w:rsid w:val="00422584"/>
    <w:rsid w:val="00422767"/>
    <w:rsid w:val="004227B9"/>
    <w:rsid w:val="004227FB"/>
    <w:rsid w:val="00422905"/>
    <w:rsid w:val="004229EF"/>
    <w:rsid w:val="00422AF3"/>
    <w:rsid w:val="00422CAE"/>
    <w:rsid w:val="00422E72"/>
    <w:rsid w:val="00422F91"/>
    <w:rsid w:val="004230C3"/>
    <w:rsid w:val="004230CC"/>
    <w:rsid w:val="004230F8"/>
    <w:rsid w:val="0042329F"/>
    <w:rsid w:val="004233D8"/>
    <w:rsid w:val="004234F5"/>
    <w:rsid w:val="00423564"/>
    <w:rsid w:val="00423591"/>
    <w:rsid w:val="0042360B"/>
    <w:rsid w:val="0042361C"/>
    <w:rsid w:val="0042371F"/>
    <w:rsid w:val="0042383E"/>
    <w:rsid w:val="0042394A"/>
    <w:rsid w:val="00423988"/>
    <w:rsid w:val="00423C1F"/>
    <w:rsid w:val="00423C7E"/>
    <w:rsid w:val="00423D13"/>
    <w:rsid w:val="00423D2F"/>
    <w:rsid w:val="00423D54"/>
    <w:rsid w:val="00423D6D"/>
    <w:rsid w:val="00423F00"/>
    <w:rsid w:val="0042407F"/>
    <w:rsid w:val="00424124"/>
    <w:rsid w:val="00424131"/>
    <w:rsid w:val="0042444C"/>
    <w:rsid w:val="0042465A"/>
    <w:rsid w:val="0042470D"/>
    <w:rsid w:val="00424735"/>
    <w:rsid w:val="00424761"/>
    <w:rsid w:val="004247BB"/>
    <w:rsid w:val="00424872"/>
    <w:rsid w:val="00424BDE"/>
    <w:rsid w:val="00424CD6"/>
    <w:rsid w:val="00424CEF"/>
    <w:rsid w:val="00424D84"/>
    <w:rsid w:val="00424E96"/>
    <w:rsid w:val="00425095"/>
    <w:rsid w:val="00425175"/>
    <w:rsid w:val="004251B6"/>
    <w:rsid w:val="00425338"/>
    <w:rsid w:val="00425442"/>
    <w:rsid w:val="0042556C"/>
    <w:rsid w:val="0042558A"/>
    <w:rsid w:val="0042560D"/>
    <w:rsid w:val="00425645"/>
    <w:rsid w:val="00425883"/>
    <w:rsid w:val="004259F6"/>
    <w:rsid w:val="00425B79"/>
    <w:rsid w:val="00425EA1"/>
    <w:rsid w:val="00425EC2"/>
    <w:rsid w:val="004260CA"/>
    <w:rsid w:val="00426165"/>
    <w:rsid w:val="00426170"/>
    <w:rsid w:val="004263D4"/>
    <w:rsid w:val="0042643B"/>
    <w:rsid w:val="004264EF"/>
    <w:rsid w:val="0042651B"/>
    <w:rsid w:val="00426669"/>
    <w:rsid w:val="00426764"/>
    <w:rsid w:val="00426782"/>
    <w:rsid w:val="004269EC"/>
    <w:rsid w:val="00426A49"/>
    <w:rsid w:val="00426A89"/>
    <w:rsid w:val="00426A8D"/>
    <w:rsid w:val="00426ABD"/>
    <w:rsid w:val="00426C84"/>
    <w:rsid w:val="00426E8A"/>
    <w:rsid w:val="00426EEE"/>
    <w:rsid w:val="00426F2D"/>
    <w:rsid w:val="00426FAD"/>
    <w:rsid w:val="00426FE8"/>
    <w:rsid w:val="0042717B"/>
    <w:rsid w:val="00427187"/>
    <w:rsid w:val="00427427"/>
    <w:rsid w:val="0042748B"/>
    <w:rsid w:val="004277D1"/>
    <w:rsid w:val="0042787A"/>
    <w:rsid w:val="00427988"/>
    <w:rsid w:val="004279C1"/>
    <w:rsid w:val="00427ADF"/>
    <w:rsid w:val="00427BEF"/>
    <w:rsid w:val="00427D88"/>
    <w:rsid w:val="00427E02"/>
    <w:rsid w:val="00427E7D"/>
    <w:rsid w:val="00427ED6"/>
    <w:rsid w:val="00430007"/>
    <w:rsid w:val="00430083"/>
    <w:rsid w:val="0043018D"/>
    <w:rsid w:val="004301AF"/>
    <w:rsid w:val="00430627"/>
    <w:rsid w:val="00430778"/>
    <w:rsid w:val="004307F8"/>
    <w:rsid w:val="00430815"/>
    <w:rsid w:val="00430856"/>
    <w:rsid w:val="00430E4F"/>
    <w:rsid w:val="0043109D"/>
    <w:rsid w:val="0043115B"/>
    <w:rsid w:val="0043148A"/>
    <w:rsid w:val="0043148E"/>
    <w:rsid w:val="004314D3"/>
    <w:rsid w:val="004317C3"/>
    <w:rsid w:val="0043181C"/>
    <w:rsid w:val="004318C5"/>
    <w:rsid w:val="00431A86"/>
    <w:rsid w:val="00431B47"/>
    <w:rsid w:val="00431B93"/>
    <w:rsid w:val="00431D07"/>
    <w:rsid w:val="00431DBB"/>
    <w:rsid w:val="00431E56"/>
    <w:rsid w:val="00431EE8"/>
    <w:rsid w:val="0043221B"/>
    <w:rsid w:val="004322EF"/>
    <w:rsid w:val="004323EE"/>
    <w:rsid w:val="00432524"/>
    <w:rsid w:val="004328F1"/>
    <w:rsid w:val="00432917"/>
    <w:rsid w:val="00432BD3"/>
    <w:rsid w:val="00432C53"/>
    <w:rsid w:val="00432DE3"/>
    <w:rsid w:val="00432F1C"/>
    <w:rsid w:val="00432F6D"/>
    <w:rsid w:val="004330BB"/>
    <w:rsid w:val="0043314A"/>
    <w:rsid w:val="00433315"/>
    <w:rsid w:val="00433343"/>
    <w:rsid w:val="00433669"/>
    <w:rsid w:val="0043367E"/>
    <w:rsid w:val="00433685"/>
    <w:rsid w:val="004336BD"/>
    <w:rsid w:val="0043375F"/>
    <w:rsid w:val="00433808"/>
    <w:rsid w:val="00433848"/>
    <w:rsid w:val="00433901"/>
    <w:rsid w:val="00433A74"/>
    <w:rsid w:val="00433C2E"/>
    <w:rsid w:val="00433C80"/>
    <w:rsid w:val="00433D6A"/>
    <w:rsid w:val="00433E9E"/>
    <w:rsid w:val="00434364"/>
    <w:rsid w:val="004343B7"/>
    <w:rsid w:val="004344B2"/>
    <w:rsid w:val="0043450C"/>
    <w:rsid w:val="0043461E"/>
    <w:rsid w:val="0043478C"/>
    <w:rsid w:val="004347C6"/>
    <w:rsid w:val="00434A93"/>
    <w:rsid w:val="00434A9E"/>
    <w:rsid w:val="00434AEF"/>
    <w:rsid w:val="00434E33"/>
    <w:rsid w:val="00434ECA"/>
    <w:rsid w:val="00435013"/>
    <w:rsid w:val="0043508E"/>
    <w:rsid w:val="00435144"/>
    <w:rsid w:val="004351E6"/>
    <w:rsid w:val="0043523A"/>
    <w:rsid w:val="00435355"/>
    <w:rsid w:val="0043549E"/>
    <w:rsid w:val="004354E7"/>
    <w:rsid w:val="004355DA"/>
    <w:rsid w:val="00435642"/>
    <w:rsid w:val="004356E0"/>
    <w:rsid w:val="004359EE"/>
    <w:rsid w:val="00435A7F"/>
    <w:rsid w:val="00435C2E"/>
    <w:rsid w:val="00435CF4"/>
    <w:rsid w:val="00435E6A"/>
    <w:rsid w:val="00435FE2"/>
    <w:rsid w:val="004360E7"/>
    <w:rsid w:val="004361BA"/>
    <w:rsid w:val="00436295"/>
    <w:rsid w:val="00436577"/>
    <w:rsid w:val="004365D4"/>
    <w:rsid w:val="00436784"/>
    <w:rsid w:val="00436845"/>
    <w:rsid w:val="00436FCD"/>
    <w:rsid w:val="00437074"/>
    <w:rsid w:val="004371DC"/>
    <w:rsid w:val="004373C4"/>
    <w:rsid w:val="0043740A"/>
    <w:rsid w:val="00437423"/>
    <w:rsid w:val="00437441"/>
    <w:rsid w:val="004375F1"/>
    <w:rsid w:val="004376B5"/>
    <w:rsid w:val="004376D5"/>
    <w:rsid w:val="0043773A"/>
    <w:rsid w:val="004377B7"/>
    <w:rsid w:val="0043787A"/>
    <w:rsid w:val="00437A9F"/>
    <w:rsid w:val="00437CE6"/>
    <w:rsid w:val="00437E91"/>
    <w:rsid w:val="00437F4C"/>
    <w:rsid w:val="00437F94"/>
    <w:rsid w:val="00437FD6"/>
    <w:rsid w:val="00440096"/>
    <w:rsid w:val="00440266"/>
    <w:rsid w:val="004402DD"/>
    <w:rsid w:val="00440318"/>
    <w:rsid w:val="004403C6"/>
    <w:rsid w:val="004404A3"/>
    <w:rsid w:val="00440527"/>
    <w:rsid w:val="0044054D"/>
    <w:rsid w:val="0044060B"/>
    <w:rsid w:val="00440618"/>
    <w:rsid w:val="00440BB0"/>
    <w:rsid w:val="00440CBA"/>
    <w:rsid w:val="00440D02"/>
    <w:rsid w:val="004410C3"/>
    <w:rsid w:val="004410F1"/>
    <w:rsid w:val="004411F5"/>
    <w:rsid w:val="00441234"/>
    <w:rsid w:val="00441377"/>
    <w:rsid w:val="004413A5"/>
    <w:rsid w:val="004413FC"/>
    <w:rsid w:val="00441437"/>
    <w:rsid w:val="004414D0"/>
    <w:rsid w:val="0044156D"/>
    <w:rsid w:val="004419B5"/>
    <w:rsid w:val="00441B04"/>
    <w:rsid w:val="00441B30"/>
    <w:rsid w:val="00441CA8"/>
    <w:rsid w:val="00441DE9"/>
    <w:rsid w:val="00441E9A"/>
    <w:rsid w:val="00441EFF"/>
    <w:rsid w:val="0044201F"/>
    <w:rsid w:val="00442036"/>
    <w:rsid w:val="004420BF"/>
    <w:rsid w:val="00442104"/>
    <w:rsid w:val="00442231"/>
    <w:rsid w:val="00442236"/>
    <w:rsid w:val="00442271"/>
    <w:rsid w:val="00442283"/>
    <w:rsid w:val="004424B9"/>
    <w:rsid w:val="004427CC"/>
    <w:rsid w:val="00442A57"/>
    <w:rsid w:val="00442C3B"/>
    <w:rsid w:val="00442EFA"/>
    <w:rsid w:val="00442F97"/>
    <w:rsid w:val="00442FCC"/>
    <w:rsid w:val="0044305F"/>
    <w:rsid w:val="004435B6"/>
    <w:rsid w:val="004435BD"/>
    <w:rsid w:val="004435CD"/>
    <w:rsid w:val="0044388A"/>
    <w:rsid w:val="00443941"/>
    <w:rsid w:val="004439F9"/>
    <w:rsid w:val="00443A46"/>
    <w:rsid w:val="00443A7A"/>
    <w:rsid w:val="00443B32"/>
    <w:rsid w:val="00443B3F"/>
    <w:rsid w:val="00443CB4"/>
    <w:rsid w:val="00443DF6"/>
    <w:rsid w:val="00443F23"/>
    <w:rsid w:val="00443F26"/>
    <w:rsid w:val="00443F35"/>
    <w:rsid w:val="00444065"/>
    <w:rsid w:val="00444193"/>
    <w:rsid w:val="0044439D"/>
    <w:rsid w:val="004445A8"/>
    <w:rsid w:val="004445D7"/>
    <w:rsid w:val="00444617"/>
    <w:rsid w:val="00444725"/>
    <w:rsid w:val="00444733"/>
    <w:rsid w:val="00444970"/>
    <w:rsid w:val="00444A51"/>
    <w:rsid w:val="00444AA1"/>
    <w:rsid w:val="00444B06"/>
    <w:rsid w:val="00444C63"/>
    <w:rsid w:val="00444D3A"/>
    <w:rsid w:val="00444FAE"/>
    <w:rsid w:val="00444FC3"/>
    <w:rsid w:val="00444FD0"/>
    <w:rsid w:val="00445008"/>
    <w:rsid w:val="0044502D"/>
    <w:rsid w:val="0044505E"/>
    <w:rsid w:val="00445083"/>
    <w:rsid w:val="004450F5"/>
    <w:rsid w:val="004450FF"/>
    <w:rsid w:val="004452C5"/>
    <w:rsid w:val="00445686"/>
    <w:rsid w:val="0044574E"/>
    <w:rsid w:val="00445794"/>
    <w:rsid w:val="00445856"/>
    <w:rsid w:val="00445994"/>
    <w:rsid w:val="00445A0E"/>
    <w:rsid w:val="00445A47"/>
    <w:rsid w:val="00445A95"/>
    <w:rsid w:val="00445A9F"/>
    <w:rsid w:val="0044609C"/>
    <w:rsid w:val="0044616C"/>
    <w:rsid w:val="004462AE"/>
    <w:rsid w:val="004463B3"/>
    <w:rsid w:val="004463F7"/>
    <w:rsid w:val="0044642E"/>
    <w:rsid w:val="00446451"/>
    <w:rsid w:val="004464A9"/>
    <w:rsid w:val="004465D1"/>
    <w:rsid w:val="00446635"/>
    <w:rsid w:val="004468E8"/>
    <w:rsid w:val="004469E8"/>
    <w:rsid w:val="00446A09"/>
    <w:rsid w:val="00446B4E"/>
    <w:rsid w:val="00446C5D"/>
    <w:rsid w:val="00446D77"/>
    <w:rsid w:val="00446DED"/>
    <w:rsid w:val="004470AC"/>
    <w:rsid w:val="004472AA"/>
    <w:rsid w:val="0044756E"/>
    <w:rsid w:val="0044782A"/>
    <w:rsid w:val="00447976"/>
    <w:rsid w:val="00447AD2"/>
    <w:rsid w:val="00447C6B"/>
    <w:rsid w:val="00447D3F"/>
    <w:rsid w:val="00447E25"/>
    <w:rsid w:val="00447E55"/>
    <w:rsid w:val="00447E80"/>
    <w:rsid w:val="00447ED0"/>
    <w:rsid w:val="00447ED8"/>
    <w:rsid w:val="00447F4E"/>
    <w:rsid w:val="00450067"/>
    <w:rsid w:val="0045015A"/>
    <w:rsid w:val="004501F8"/>
    <w:rsid w:val="0045034E"/>
    <w:rsid w:val="0045041F"/>
    <w:rsid w:val="00450498"/>
    <w:rsid w:val="00450660"/>
    <w:rsid w:val="00450776"/>
    <w:rsid w:val="00450810"/>
    <w:rsid w:val="0045083F"/>
    <w:rsid w:val="00450952"/>
    <w:rsid w:val="00450B63"/>
    <w:rsid w:val="00450BBC"/>
    <w:rsid w:val="00450C29"/>
    <w:rsid w:val="00450C88"/>
    <w:rsid w:val="00450DD7"/>
    <w:rsid w:val="00450DED"/>
    <w:rsid w:val="00450F61"/>
    <w:rsid w:val="004512A6"/>
    <w:rsid w:val="00451324"/>
    <w:rsid w:val="004515A8"/>
    <w:rsid w:val="004515AE"/>
    <w:rsid w:val="004515DF"/>
    <w:rsid w:val="004517E7"/>
    <w:rsid w:val="00451955"/>
    <w:rsid w:val="0045198D"/>
    <w:rsid w:val="00451A17"/>
    <w:rsid w:val="00451A5D"/>
    <w:rsid w:val="00451BE2"/>
    <w:rsid w:val="00451D0A"/>
    <w:rsid w:val="00451E29"/>
    <w:rsid w:val="00451ECC"/>
    <w:rsid w:val="00452134"/>
    <w:rsid w:val="004521CA"/>
    <w:rsid w:val="0045258E"/>
    <w:rsid w:val="004525CC"/>
    <w:rsid w:val="00452738"/>
    <w:rsid w:val="0045275F"/>
    <w:rsid w:val="0045289F"/>
    <w:rsid w:val="0045297D"/>
    <w:rsid w:val="00452994"/>
    <w:rsid w:val="00452CDF"/>
    <w:rsid w:val="00452D2B"/>
    <w:rsid w:val="00452D40"/>
    <w:rsid w:val="00452D85"/>
    <w:rsid w:val="00452DBE"/>
    <w:rsid w:val="00453086"/>
    <w:rsid w:val="00453093"/>
    <w:rsid w:val="004533AB"/>
    <w:rsid w:val="004533D6"/>
    <w:rsid w:val="0045356F"/>
    <w:rsid w:val="00453734"/>
    <w:rsid w:val="004537C1"/>
    <w:rsid w:val="004538C0"/>
    <w:rsid w:val="0045391F"/>
    <w:rsid w:val="00453B0D"/>
    <w:rsid w:val="00453C11"/>
    <w:rsid w:val="00453C8F"/>
    <w:rsid w:val="00453D5F"/>
    <w:rsid w:val="00453E0F"/>
    <w:rsid w:val="00453F65"/>
    <w:rsid w:val="00453F7F"/>
    <w:rsid w:val="00454335"/>
    <w:rsid w:val="0045439E"/>
    <w:rsid w:val="0045443B"/>
    <w:rsid w:val="00454441"/>
    <w:rsid w:val="00454593"/>
    <w:rsid w:val="00454641"/>
    <w:rsid w:val="00454762"/>
    <w:rsid w:val="004549BF"/>
    <w:rsid w:val="00454C26"/>
    <w:rsid w:val="00454C96"/>
    <w:rsid w:val="00454D1A"/>
    <w:rsid w:val="00454D64"/>
    <w:rsid w:val="00454DAE"/>
    <w:rsid w:val="00454E4B"/>
    <w:rsid w:val="00454E52"/>
    <w:rsid w:val="00454E90"/>
    <w:rsid w:val="00454EA5"/>
    <w:rsid w:val="00454F85"/>
    <w:rsid w:val="004550B8"/>
    <w:rsid w:val="00455289"/>
    <w:rsid w:val="004552DA"/>
    <w:rsid w:val="00455465"/>
    <w:rsid w:val="0045549B"/>
    <w:rsid w:val="004554CA"/>
    <w:rsid w:val="004554D1"/>
    <w:rsid w:val="0045557F"/>
    <w:rsid w:val="00455602"/>
    <w:rsid w:val="00455798"/>
    <w:rsid w:val="004557E5"/>
    <w:rsid w:val="004557F8"/>
    <w:rsid w:val="00455ACE"/>
    <w:rsid w:val="00455AFE"/>
    <w:rsid w:val="00455C55"/>
    <w:rsid w:val="00455DB2"/>
    <w:rsid w:val="00455E3A"/>
    <w:rsid w:val="00456046"/>
    <w:rsid w:val="004561AB"/>
    <w:rsid w:val="0045636D"/>
    <w:rsid w:val="004563A4"/>
    <w:rsid w:val="004564B6"/>
    <w:rsid w:val="004565FE"/>
    <w:rsid w:val="004566DB"/>
    <w:rsid w:val="00456754"/>
    <w:rsid w:val="00456DC6"/>
    <w:rsid w:val="00456E03"/>
    <w:rsid w:val="00456E18"/>
    <w:rsid w:val="00456E31"/>
    <w:rsid w:val="00456EEA"/>
    <w:rsid w:val="00456F59"/>
    <w:rsid w:val="00456FA7"/>
    <w:rsid w:val="004570E5"/>
    <w:rsid w:val="0045717D"/>
    <w:rsid w:val="004572E1"/>
    <w:rsid w:val="004572E5"/>
    <w:rsid w:val="004574A3"/>
    <w:rsid w:val="00457727"/>
    <w:rsid w:val="00457801"/>
    <w:rsid w:val="00457843"/>
    <w:rsid w:val="004578CD"/>
    <w:rsid w:val="00457A99"/>
    <w:rsid w:val="00457B3D"/>
    <w:rsid w:val="00457CEF"/>
    <w:rsid w:val="00457DA1"/>
    <w:rsid w:val="004600FE"/>
    <w:rsid w:val="00460332"/>
    <w:rsid w:val="004603BC"/>
    <w:rsid w:val="004604EB"/>
    <w:rsid w:val="00460529"/>
    <w:rsid w:val="0046065B"/>
    <w:rsid w:val="004609CA"/>
    <w:rsid w:val="00460A12"/>
    <w:rsid w:val="00460A1C"/>
    <w:rsid w:val="00460A8E"/>
    <w:rsid w:val="00460B29"/>
    <w:rsid w:val="00460B4A"/>
    <w:rsid w:val="00460D28"/>
    <w:rsid w:val="00460DA8"/>
    <w:rsid w:val="00460E97"/>
    <w:rsid w:val="00460EC7"/>
    <w:rsid w:val="00460F29"/>
    <w:rsid w:val="00460FFD"/>
    <w:rsid w:val="004611A3"/>
    <w:rsid w:val="00461231"/>
    <w:rsid w:val="00461318"/>
    <w:rsid w:val="00461354"/>
    <w:rsid w:val="0046151F"/>
    <w:rsid w:val="004615EF"/>
    <w:rsid w:val="004617EC"/>
    <w:rsid w:val="00461904"/>
    <w:rsid w:val="00461A03"/>
    <w:rsid w:val="00461B3A"/>
    <w:rsid w:val="00461BD8"/>
    <w:rsid w:val="00461FCA"/>
    <w:rsid w:val="004621EB"/>
    <w:rsid w:val="004622FE"/>
    <w:rsid w:val="00462381"/>
    <w:rsid w:val="004623AE"/>
    <w:rsid w:val="0046245A"/>
    <w:rsid w:val="00462471"/>
    <w:rsid w:val="004624AA"/>
    <w:rsid w:val="004624CF"/>
    <w:rsid w:val="00462586"/>
    <w:rsid w:val="004625D5"/>
    <w:rsid w:val="0046269C"/>
    <w:rsid w:val="004629C6"/>
    <w:rsid w:val="004629E7"/>
    <w:rsid w:val="00462A2A"/>
    <w:rsid w:val="00462A48"/>
    <w:rsid w:val="00462BD1"/>
    <w:rsid w:val="00462BF2"/>
    <w:rsid w:val="00462C34"/>
    <w:rsid w:val="00462D76"/>
    <w:rsid w:val="00462D91"/>
    <w:rsid w:val="00462DA9"/>
    <w:rsid w:val="00462E47"/>
    <w:rsid w:val="00462EA9"/>
    <w:rsid w:val="00462F0E"/>
    <w:rsid w:val="00462F2E"/>
    <w:rsid w:val="00463042"/>
    <w:rsid w:val="00463046"/>
    <w:rsid w:val="00463100"/>
    <w:rsid w:val="00463283"/>
    <w:rsid w:val="004632D7"/>
    <w:rsid w:val="00463390"/>
    <w:rsid w:val="0046350B"/>
    <w:rsid w:val="00463535"/>
    <w:rsid w:val="00463548"/>
    <w:rsid w:val="00463599"/>
    <w:rsid w:val="00463A05"/>
    <w:rsid w:val="00463A75"/>
    <w:rsid w:val="00463C67"/>
    <w:rsid w:val="00463ECC"/>
    <w:rsid w:val="00463F75"/>
    <w:rsid w:val="0046401E"/>
    <w:rsid w:val="00464263"/>
    <w:rsid w:val="004642FA"/>
    <w:rsid w:val="00464339"/>
    <w:rsid w:val="00464401"/>
    <w:rsid w:val="00464429"/>
    <w:rsid w:val="004644C7"/>
    <w:rsid w:val="00464547"/>
    <w:rsid w:val="00464707"/>
    <w:rsid w:val="004647B4"/>
    <w:rsid w:val="004648B1"/>
    <w:rsid w:val="00464A74"/>
    <w:rsid w:val="00464B23"/>
    <w:rsid w:val="00464BBD"/>
    <w:rsid w:val="00464C11"/>
    <w:rsid w:val="00464D9E"/>
    <w:rsid w:val="004650B4"/>
    <w:rsid w:val="004651B0"/>
    <w:rsid w:val="004652CF"/>
    <w:rsid w:val="00465359"/>
    <w:rsid w:val="004654BA"/>
    <w:rsid w:val="0046552B"/>
    <w:rsid w:val="0046556E"/>
    <w:rsid w:val="0046560E"/>
    <w:rsid w:val="0046564A"/>
    <w:rsid w:val="00465657"/>
    <w:rsid w:val="00465758"/>
    <w:rsid w:val="00465871"/>
    <w:rsid w:val="00465907"/>
    <w:rsid w:val="004659BA"/>
    <w:rsid w:val="00465AE9"/>
    <w:rsid w:val="00465B87"/>
    <w:rsid w:val="00465F79"/>
    <w:rsid w:val="00466153"/>
    <w:rsid w:val="00466158"/>
    <w:rsid w:val="00466341"/>
    <w:rsid w:val="00466360"/>
    <w:rsid w:val="004663C9"/>
    <w:rsid w:val="0046645C"/>
    <w:rsid w:val="004664D7"/>
    <w:rsid w:val="00466546"/>
    <w:rsid w:val="00466812"/>
    <w:rsid w:val="00466967"/>
    <w:rsid w:val="00466976"/>
    <w:rsid w:val="00466A90"/>
    <w:rsid w:val="00466B26"/>
    <w:rsid w:val="00466BCD"/>
    <w:rsid w:val="00466C7C"/>
    <w:rsid w:val="00466E99"/>
    <w:rsid w:val="00466EA1"/>
    <w:rsid w:val="00466EA2"/>
    <w:rsid w:val="00466ED7"/>
    <w:rsid w:val="00466F5B"/>
    <w:rsid w:val="00466F8C"/>
    <w:rsid w:val="00466FA2"/>
    <w:rsid w:val="00467127"/>
    <w:rsid w:val="004671B7"/>
    <w:rsid w:val="00467418"/>
    <w:rsid w:val="00467439"/>
    <w:rsid w:val="004674EE"/>
    <w:rsid w:val="0046776F"/>
    <w:rsid w:val="00467845"/>
    <w:rsid w:val="00467855"/>
    <w:rsid w:val="004678B9"/>
    <w:rsid w:val="00467900"/>
    <w:rsid w:val="00467A1C"/>
    <w:rsid w:val="00467A75"/>
    <w:rsid w:val="00467AA7"/>
    <w:rsid w:val="00467ADB"/>
    <w:rsid w:val="00467B3D"/>
    <w:rsid w:val="00467C4A"/>
    <w:rsid w:val="00467E71"/>
    <w:rsid w:val="0047036E"/>
    <w:rsid w:val="00470399"/>
    <w:rsid w:val="004703A8"/>
    <w:rsid w:val="004703AF"/>
    <w:rsid w:val="004703C9"/>
    <w:rsid w:val="004705E6"/>
    <w:rsid w:val="004705F3"/>
    <w:rsid w:val="004707B7"/>
    <w:rsid w:val="004708DC"/>
    <w:rsid w:val="00470903"/>
    <w:rsid w:val="00470997"/>
    <w:rsid w:val="00470A68"/>
    <w:rsid w:val="00470BBF"/>
    <w:rsid w:val="00470C99"/>
    <w:rsid w:val="00470CF1"/>
    <w:rsid w:val="00470E7C"/>
    <w:rsid w:val="00470F74"/>
    <w:rsid w:val="004712F4"/>
    <w:rsid w:val="004713A9"/>
    <w:rsid w:val="00471795"/>
    <w:rsid w:val="00471796"/>
    <w:rsid w:val="004717AB"/>
    <w:rsid w:val="004717F3"/>
    <w:rsid w:val="00471820"/>
    <w:rsid w:val="00471936"/>
    <w:rsid w:val="0047197B"/>
    <w:rsid w:val="004719D7"/>
    <w:rsid w:val="00471C28"/>
    <w:rsid w:val="00471DC4"/>
    <w:rsid w:val="00471DDC"/>
    <w:rsid w:val="00471E4E"/>
    <w:rsid w:val="00471F02"/>
    <w:rsid w:val="00471F37"/>
    <w:rsid w:val="00472115"/>
    <w:rsid w:val="00472405"/>
    <w:rsid w:val="00472417"/>
    <w:rsid w:val="004724E6"/>
    <w:rsid w:val="00472560"/>
    <w:rsid w:val="004725B1"/>
    <w:rsid w:val="0047260C"/>
    <w:rsid w:val="00472619"/>
    <w:rsid w:val="0047269B"/>
    <w:rsid w:val="00472719"/>
    <w:rsid w:val="00472728"/>
    <w:rsid w:val="00472823"/>
    <w:rsid w:val="004728BE"/>
    <w:rsid w:val="004729C8"/>
    <w:rsid w:val="00472AB3"/>
    <w:rsid w:val="00472ABE"/>
    <w:rsid w:val="00472AD2"/>
    <w:rsid w:val="00472B4E"/>
    <w:rsid w:val="00472B79"/>
    <w:rsid w:val="00472BEF"/>
    <w:rsid w:val="00472C15"/>
    <w:rsid w:val="00472C4D"/>
    <w:rsid w:val="00472CE3"/>
    <w:rsid w:val="00472D75"/>
    <w:rsid w:val="00472DCD"/>
    <w:rsid w:val="00472E9E"/>
    <w:rsid w:val="00472EFC"/>
    <w:rsid w:val="00473029"/>
    <w:rsid w:val="0047308F"/>
    <w:rsid w:val="0047318A"/>
    <w:rsid w:val="004731E2"/>
    <w:rsid w:val="004733F7"/>
    <w:rsid w:val="004734A1"/>
    <w:rsid w:val="004734E5"/>
    <w:rsid w:val="00473530"/>
    <w:rsid w:val="004736B9"/>
    <w:rsid w:val="00473824"/>
    <w:rsid w:val="00473893"/>
    <w:rsid w:val="00473939"/>
    <w:rsid w:val="00473995"/>
    <w:rsid w:val="004739D8"/>
    <w:rsid w:val="00473A3A"/>
    <w:rsid w:val="00473B51"/>
    <w:rsid w:val="00473B7B"/>
    <w:rsid w:val="00473BEE"/>
    <w:rsid w:val="00473CBC"/>
    <w:rsid w:val="00473D06"/>
    <w:rsid w:val="00473E70"/>
    <w:rsid w:val="00473ED8"/>
    <w:rsid w:val="00473F35"/>
    <w:rsid w:val="00474134"/>
    <w:rsid w:val="00474168"/>
    <w:rsid w:val="00474302"/>
    <w:rsid w:val="00474349"/>
    <w:rsid w:val="004743CE"/>
    <w:rsid w:val="00474460"/>
    <w:rsid w:val="0047447F"/>
    <w:rsid w:val="004746E9"/>
    <w:rsid w:val="00474A24"/>
    <w:rsid w:val="00474A96"/>
    <w:rsid w:val="00474AF4"/>
    <w:rsid w:val="00474C33"/>
    <w:rsid w:val="00474C44"/>
    <w:rsid w:val="00474CB6"/>
    <w:rsid w:val="00474CFB"/>
    <w:rsid w:val="00474D97"/>
    <w:rsid w:val="00474DCA"/>
    <w:rsid w:val="00474E87"/>
    <w:rsid w:val="00474EB9"/>
    <w:rsid w:val="00474F5E"/>
    <w:rsid w:val="00475083"/>
    <w:rsid w:val="004750F7"/>
    <w:rsid w:val="004751E9"/>
    <w:rsid w:val="00475240"/>
    <w:rsid w:val="00475269"/>
    <w:rsid w:val="004752A9"/>
    <w:rsid w:val="00475431"/>
    <w:rsid w:val="004754A4"/>
    <w:rsid w:val="00475520"/>
    <w:rsid w:val="0047558A"/>
    <w:rsid w:val="0047568A"/>
    <w:rsid w:val="004756A4"/>
    <w:rsid w:val="0047597E"/>
    <w:rsid w:val="00475984"/>
    <w:rsid w:val="004759D2"/>
    <w:rsid w:val="004759E0"/>
    <w:rsid w:val="00475A5B"/>
    <w:rsid w:val="00475B5B"/>
    <w:rsid w:val="00475BC4"/>
    <w:rsid w:val="00475C40"/>
    <w:rsid w:val="00475C9E"/>
    <w:rsid w:val="00475E9F"/>
    <w:rsid w:val="00475F2F"/>
    <w:rsid w:val="00476127"/>
    <w:rsid w:val="0047615C"/>
    <w:rsid w:val="00476184"/>
    <w:rsid w:val="0047643B"/>
    <w:rsid w:val="00476460"/>
    <w:rsid w:val="00476486"/>
    <w:rsid w:val="004764FB"/>
    <w:rsid w:val="004765A8"/>
    <w:rsid w:val="004765D1"/>
    <w:rsid w:val="004766D0"/>
    <w:rsid w:val="004767CF"/>
    <w:rsid w:val="0047689E"/>
    <w:rsid w:val="00476A24"/>
    <w:rsid w:val="00476A4C"/>
    <w:rsid w:val="00476C32"/>
    <w:rsid w:val="00476C92"/>
    <w:rsid w:val="00476CD9"/>
    <w:rsid w:val="00476CEF"/>
    <w:rsid w:val="00476E3D"/>
    <w:rsid w:val="00476EC3"/>
    <w:rsid w:val="00476EDB"/>
    <w:rsid w:val="00476F4D"/>
    <w:rsid w:val="00477235"/>
    <w:rsid w:val="00477393"/>
    <w:rsid w:val="00477397"/>
    <w:rsid w:val="00477464"/>
    <w:rsid w:val="004774E4"/>
    <w:rsid w:val="00477581"/>
    <w:rsid w:val="004776A8"/>
    <w:rsid w:val="004778ED"/>
    <w:rsid w:val="00477907"/>
    <w:rsid w:val="004779A5"/>
    <w:rsid w:val="00477A01"/>
    <w:rsid w:val="00477A42"/>
    <w:rsid w:val="00477C23"/>
    <w:rsid w:val="00477E4B"/>
    <w:rsid w:val="00477E5C"/>
    <w:rsid w:val="00480130"/>
    <w:rsid w:val="004802F9"/>
    <w:rsid w:val="004803AB"/>
    <w:rsid w:val="00480463"/>
    <w:rsid w:val="004804C5"/>
    <w:rsid w:val="0048074C"/>
    <w:rsid w:val="00480769"/>
    <w:rsid w:val="00480818"/>
    <w:rsid w:val="00480843"/>
    <w:rsid w:val="00480A09"/>
    <w:rsid w:val="00480BDD"/>
    <w:rsid w:val="00480C38"/>
    <w:rsid w:val="00480DC9"/>
    <w:rsid w:val="00480F30"/>
    <w:rsid w:val="00481109"/>
    <w:rsid w:val="00481183"/>
    <w:rsid w:val="004811BA"/>
    <w:rsid w:val="0048122B"/>
    <w:rsid w:val="00481350"/>
    <w:rsid w:val="00481385"/>
    <w:rsid w:val="004813BE"/>
    <w:rsid w:val="0048150A"/>
    <w:rsid w:val="0048153F"/>
    <w:rsid w:val="004818DE"/>
    <w:rsid w:val="00481A67"/>
    <w:rsid w:val="00481B29"/>
    <w:rsid w:val="00481C15"/>
    <w:rsid w:val="00481C30"/>
    <w:rsid w:val="00481C86"/>
    <w:rsid w:val="00481CC4"/>
    <w:rsid w:val="00481E68"/>
    <w:rsid w:val="00481E6C"/>
    <w:rsid w:val="004820FF"/>
    <w:rsid w:val="0048214F"/>
    <w:rsid w:val="004821F9"/>
    <w:rsid w:val="004823D0"/>
    <w:rsid w:val="004825DB"/>
    <w:rsid w:val="004825FB"/>
    <w:rsid w:val="00482647"/>
    <w:rsid w:val="004827FB"/>
    <w:rsid w:val="00482830"/>
    <w:rsid w:val="00482836"/>
    <w:rsid w:val="004828E4"/>
    <w:rsid w:val="00482996"/>
    <w:rsid w:val="004829DB"/>
    <w:rsid w:val="00482B60"/>
    <w:rsid w:val="00482B6C"/>
    <w:rsid w:val="00482B7A"/>
    <w:rsid w:val="00482B82"/>
    <w:rsid w:val="00482C58"/>
    <w:rsid w:val="00482C95"/>
    <w:rsid w:val="00482DA5"/>
    <w:rsid w:val="00482F1D"/>
    <w:rsid w:val="00482FB6"/>
    <w:rsid w:val="0048336F"/>
    <w:rsid w:val="0048363A"/>
    <w:rsid w:val="00483668"/>
    <w:rsid w:val="004836A2"/>
    <w:rsid w:val="00483728"/>
    <w:rsid w:val="00483773"/>
    <w:rsid w:val="004838B3"/>
    <w:rsid w:val="0048397B"/>
    <w:rsid w:val="00483E40"/>
    <w:rsid w:val="00483E90"/>
    <w:rsid w:val="00483E96"/>
    <w:rsid w:val="0048400D"/>
    <w:rsid w:val="004841EB"/>
    <w:rsid w:val="0048420F"/>
    <w:rsid w:val="00484354"/>
    <w:rsid w:val="004843C5"/>
    <w:rsid w:val="004844FC"/>
    <w:rsid w:val="0048454B"/>
    <w:rsid w:val="004846D3"/>
    <w:rsid w:val="0048473A"/>
    <w:rsid w:val="004848F9"/>
    <w:rsid w:val="00484A12"/>
    <w:rsid w:val="00484C35"/>
    <w:rsid w:val="00484C8B"/>
    <w:rsid w:val="00484D68"/>
    <w:rsid w:val="00484F53"/>
    <w:rsid w:val="00484FFF"/>
    <w:rsid w:val="004850E3"/>
    <w:rsid w:val="00485197"/>
    <w:rsid w:val="004851C9"/>
    <w:rsid w:val="004853C0"/>
    <w:rsid w:val="0048548E"/>
    <w:rsid w:val="00485504"/>
    <w:rsid w:val="00485540"/>
    <w:rsid w:val="004855AD"/>
    <w:rsid w:val="00485606"/>
    <w:rsid w:val="004857C0"/>
    <w:rsid w:val="00485860"/>
    <w:rsid w:val="00485871"/>
    <w:rsid w:val="004858D8"/>
    <w:rsid w:val="00485909"/>
    <w:rsid w:val="004859BF"/>
    <w:rsid w:val="00485BCB"/>
    <w:rsid w:val="00485E31"/>
    <w:rsid w:val="00485E70"/>
    <w:rsid w:val="00485FC6"/>
    <w:rsid w:val="00485FE8"/>
    <w:rsid w:val="00486155"/>
    <w:rsid w:val="004861B3"/>
    <w:rsid w:val="004861DF"/>
    <w:rsid w:val="004863E1"/>
    <w:rsid w:val="00486502"/>
    <w:rsid w:val="00486506"/>
    <w:rsid w:val="004865D7"/>
    <w:rsid w:val="00486637"/>
    <w:rsid w:val="00486666"/>
    <w:rsid w:val="004866E6"/>
    <w:rsid w:val="0048672B"/>
    <w:rsid w:val="004867FD"/>
    <w:rsid w:val="00486A5E"/>
    <w:rsid w:val="00486B18"/>
    <w:rsid w:val="00486B47"/>
    <w:rsid w:val="00486B5A"/>
    <w:rsid w:val="00486C9E"/>
    <w:rsid w:val="00486CA2"/>
    <w:rsid w:val="00486D24"/>
    <w:rsid w:val="00486D45"/>
    <w:rsid w:val="00486DCF"/>
    <w:rsid w:val="00486E71"/>
    <w:rsid w:val="004871F3"/>
    <w:rsid w:val="00487292"/>
    <w:rsid w:val="004872C0"/>
    <w:rsid w:val="004873DB"/>
    <w:rsid w:val="004873F7"/>
    <w:rsid w:val="00487545"/>
    <w:rsid w:val="0048762D"/>
    <w:rsid w:val="00487720"/>
    <w:rsid w:val="00487733"/>
    <w:rsid w:val="00487851"/>
    <w:rsid w:val="004878FD"/>
    <w:rsid w:val="004879AC"/>
    <w:rsid w:val="00487B6D"/>
    <w:rsid w:val="00487B7A"/>
    <w:rsid w:val="00487BC7"/>
    <w:rsid w:val="00487C8E"/>
    <w:rsid w:val="00487CC7"/>
    <w:rsid w:val="00487E67"/>
    <w:rsid w:val="0048C654"/>
    <w:rsid w:val="004900B4"/>
    <w:rsid w:val="004901DA"/>
    <w:rsid w:val="0049022D"/>
    <w:rsid w:val="00490559"/>
    <w:rsid w:val="0049066D"/>
    <w:rsid w:val="00490725"/>
    <w:rsid w:val="00490775"/>
    <w:rsid w:val="00490849"/>
    <w:rsid w:val="004908B0"/>
    <w:rsid w:val="00490978"/>
    <w:rsid w:val="004909AF"/>
    <w:rsid w:val="00490A77"/>
    <w:rsid w:val="00490BDD"/>
    <w:rsid w:val="00490C67"/>
    <w:rsid w:val="00490FAC"/>
    <w:rsid w:val="004910AA"/>
    <w:rsid w:val="00491189"/>
    <w:rsid w:val="004911D1"/>
    <w:rsid w:val="004911E2"/>
    <w:rsid w:val="004912D1"/>
    <w:rsid w:val="004913E6"/>
    <w:rsid w:val="00491404"/>
    <w:rsid w:val="00491698"/>
    <w:rsid w:val="004919C5"/>
    <w:rsid w:val="00491A18"/>
    <w:rsid w:val="00491A78"/>
    <w:rsid w:val="00491B59"/>
    <w:rsid w:val="00491C05"/>
    <w:rsid w:val="00491DE7"/>
    <w:rsid w:val="00491E21"/>
    <w:rsid w:val="00491F08"/>
    <w:rsid w:val="0049208F"/>
    <w:rsid w:val="004920C0"/>
    <w:rsid w:val="00492121"/>
    <w:rsid w:val="00492135"/>
    <w:rsid w:val="00492184"/>
    <w:rsid w:val="00492192"/>
    <w:rsid w:val="00492225"/>
    <w:rsid w:val="004922AC"/>
    <w:rsid w:val="00492301"/>
    <w:rsid w:val="0049255D"/>
    <w:rsid w:val="00492898"/>
    <w:rsid w:val="00492A55"/>
    <w:rsid w:val="00492A56"/>
    <w:rsid w:val="00492AA5"/>
    <w:rsid w:val="00492C77"/>
    <w:rsid w:val="00492D46"/>
    <w:rsid w:val="00492D55"/>
    <w:rsid w:val="00493066"/>
    <w:rsid w:val="00493152"/>
    <w:rsid w:val="00493202"/>
    <w:rsid w:val="0049356C"/>
    <w:rsid w:val="004935B8"/>
    <w:rsid w:val="0049399B"/>
    <w:rsid w:val="00493A34"/>
    <w:rsid w:val="00493B9E"/>
    <w:rsid w:val="00493C87"/>
    <w:rsid w:val="00493D73"/>
    <w:rsid w:val="00493DDB"/>
    <w:rsid w:val="0049403F"/>
    <w:rsid w:val="004943F3"/>
    <w:rsid w:val="00494401"/>
    <w:rsid w:val="0049443D"/>
    <w:rsid w:val="004944A5"/>
    <w:rsid w:val="004945CF"/>
    <w:rsid w:val="00494612"/>
    <w:rsid w:val="004947D7"/>
    <w:rsid w:val="00494A38"/>
    <w:rsid w:val="00494A52"/>
    <w:rsid w:val="00494A9E"/>
    <w:rsid w:val="00494AD9"/>
    <w:rsid w:val="00494B4B"/>
    <w:rsid w:val="00494B95"/>
    <w:rsid w:val="00494F19"/>
    <w:rsid w:val="00494F2A"/>
    <w:rsid w:val="004951B7"/>
    <w:rsid w:val="0049530E"/>
    <w:rsid w:val="004953AC"/>
    <w:rsid w:val="004955C8"/>
    <w:rsid w:val="00495703"/>
    <w:rsid w:val="0049580D"/>
    <w:rsid w:val="004959D5"/>
    <w:rsid w:val="00495B41"/>
    <w:rsid w:val="00495CEC"/>
    <w:rsid w:val="00496142"/>
    <w:rsid w:val="0049620F"/>
    <w:rsid w:val="0049621B"/>
    <w:rsid w:val="0049624D"/>
    <w:rsid w:val="0049666A"/>
    <w:rsid w:val="00496749"/>
    <w:rsid w:val="00496969"/>
    <w:rsid w:val="00496BA5"/>
    <w:rsid w:val="00496DAB"/>
    <w:rsid w:val="00496E8B"/>
    <w:rsid w:val="0049702F"/>
    <w:rsid w:val="00497141"/>
    <w:rsid w:val="0049718A"/>
    <w:rsid w:val="004971FD"/>
    <w:rsid w:val="0049731E"/>
    <w:rsid w:val="0049733D"/>
    <w:rsid w:val="004973A2"/>
    <w:rsid w:val="00497427"/>
    <w:rsid w:val="004975AF"/>
    <w:rsid w:val="0049774A"/>
    <w:rsid w:val="004978B0"/>
    <w:rsid w:val="004979F9"/>
    <w:rsid w:val="00497B1F"/>
    <w:rsid w:val="00497BCC"/>
    <w:rsid w:val="00497CB0"/>
    <w:rsid w:val="00497E2C"/>
    <w:rsid w:val="00497ED0"/>
    <w:rsid w:val="004A0150"/>
    <w:rsid w:val="004A01A2"/>
    <w:rsid w:val="004A01FE"/>
    <w:rsid w:val="004A0234"/>
    <w:rsid w:val="004A06CB"/>
    <w:rsid w:val="004A06FC"/>
    <w:rsid w:val="004A075C"/>
    <w:rsid w:val="004A08EA"/>
    <w:rsid w:val="004A09AD"/>
    <w:rsid w:val="004A0B80"/>
    <w:rsid w:val="004A0C50"/>
    <w:rsid w:val="004A0E15"/>
    <w:rsid w:val="004A0E7E"/>
    <w:rsid w:val="004A1159"/>
    <w:rsid w:val="004A1206"/>
    <w:rsid w:val="004A1232"/>
    <w:rsid w:val="004A1235"/>
    <w:rsid w:val="004A12E6"/>
    <w:rsid w:val="004A140B"/>
    <w:rsid w:val="004A15D2"/>
    <w:rsid w:val="004A1650"/>
    <w:rsid w:val="004A16DF"/>
    <w:rsid w:val="004A175C"/>
    <w:rsid w:val="004A1802"/>
    <w:rsid w:val="004A193E"/>
    <w:rsid w:val="004A1A7E"/>
    <w:rsid w:val="004A1A97"/>
    <w:rsid w:val="004A1D75"/>
    <w:rsid w:val="004A1E0D"/>
    <w:rsid w:val="004A1FB0"/>
    <w:rsid w:val="004A20FF"/>
    <w:rsid w:val="004A2274"/>
    <w:rsid w:val="004A235D"/>
    <w:rsid w:val="004A25C9"/>
    <w:rsid w:val="004A2823"/>
    <w:rsid w:val="004A2974"/>
    <w:rsid w:val="004A29FB"/>
    <w:rsid w:val="004A2A86"/>
    <w:rsid w:val="004A2C10"/>
    <w:rsid w:val="004A2DB5"/>
    <w:rsid w:val="004A2DF5"/>
    <w:rsid w:val="004A2F13"/>
    <w:rsid w:val="004A2F29"/>
    <w:rsid w:val="004A308B"/>
    <w:rsid w:val="004A3361"/>
    <w:rsid w:val="004A340A"/>
    <w:rsid w:val="004A347B"/>
    <w:rsid w:val="004A34C8"/>
    <w:rsid w:val="004A3502"/>
    <w:rsid w:val="004A3609"/>
    <w:rsid w:val="004A3685"/>
    <w:rsid w:val="004A3910"/>
    <w:rsid w:val="004A3960"/>
    <w:rsid w:val="004A397E"/>
    <w:rsid w:val="004A3A73"/>
    <w:rsid w:val="004A3B1F"/>
    <w:rsid w:val="004A3B20"/>
    <w:rsid w:val="004A3CDB"/>
    <w:rsid w:val="004A3D6D"/>
    <w:rsid w:val="004A4006"/>
    <w:rsid w:val="004A4273"/>
    <w:rsid w:val="004A42DB"/>
    <w:rsid w:val="004A4337"/>
    <w:rsid w:val="004A434C"/>
    <w:rsid w:val="004A4501"/>
    <w:rsid w:val="004A457D"/>
    <w:rsid w:val="004A458D"/>
    <w:rsid w:val="004A45A3"/>
    <w:rsid w:val="004A479C"/>
    <w:rsid w:val="004A48CC"/>
    <w:rsid w:val="004A4B04"/>
    <w:rsid w:val="004A4B46"/>
    <w:rsid w:val="004A4CEF"/>
    <w:rsid w:val="004A4D31"/>
    <w:rsid w:val="004A4E38"/>
    <w:rsid w:val="004A4EFC"/>
    <w:rsid w:val="004A4F72"/>
    <w:rsid w:val="004A4F7B"/>
    <w:rsid w:val="004A4F81"/>
    <w:rsid w:val="004A50D1"/>
    <w:rsid w:val="004A5227"/>
    <w:rsid w:val="004A522C"/>
    <w:rsid w:val="004A53EB"/>
    <w:rsid w:val="004A5493"/>
    <w:rsid w:val="004A552A"/>
    <w:rsid w:val="004A55B9"/>
    <w:rsid w:val="004A5668"/>
    <w:rsid w:val="004A569D"/>
    <w:rsid w:val="004A5725"/>
    <w:rsid w:val="004A57EA"/>
    <w:rsid w:val="004A5B4D"/>
    <w:rsid w:val="004A5B54"/>
    <w:rsid w:val="004A5D91"/>
    <w:rsid w:val="004A5DDC"/>
    <w:rsid w:val="004A5DF4"/>
    <w:rsid w:val="004A5E4E"/>
    <w:rsid w:val="004A618A"/>
    <w:rsid w:val="004A6338"/>
    <w:rsid w:val="004A634B"/>
    <w:rsid w:val="004A6766"/>
    <w:rsid w:val="004A6AC7"/>
    <w:rsid w:val="004A6BFD"/>
    <w:rsid w:val="004A6C69"/>
    <w:rsid w:val="004A6C6C"/>
    <w:rsid w:val="004A6D35"/>
    <w:rsid w:val="004A6ED3"/>
    <w:rsid w:val="004A6F7F"/>
    <w:rsid w:val="004A720F"/>
    <w:rsid w:val="004A7224"/>
    <w:rsid w:val="004A73CA"/>
    <w:rsid w:val="004A7406"/>
    <w:rsid w:val="004A7471"/>
    <w:rsid w:val="004A7521"/>
    <w:rsid w:val="004A7875"/>
    <w:rsid w:val="004A787C"/>
    <w:rsid w:val="004A7A55"/>
    <w:rsid w:val="004A7A5F"/>
    <w:rsid w:val="004A7AA1"/>
    <w:rsid w:val="004A7B16"/>
    <w:rsid w:val="004A7BB5"/>
    <w:rsid w:val="004A7C8C"/>
    <w:rsid w:val="004A7E34"/>
    <w:rsid w:val="004A7E40"/>
    <w:rsid w:val="004A7EBE"/>
    <w:rsid w:val="004A7F7B"/>
    <w:rsid w:val="004A7FD9"/>
    <w:rsid w:val="004A7FF8"/>
    <w:rsid w:val="004B0175"/>
    <w:rsid w:val="004B02BD"/>
    <w:rsid w:val="004B0512"/>
    <w:rsid w:val="004B05D0"/>
    <w:rsid w:val="004B0661"/>
    <w:rsid w:val="004B0883"/>
    <w:rsid w:val="004B08C0"/>
    <w:rsid w:val="004B095D"/>
    <w:rsid w:val="004B09F4"/>
    <w:rsid w:val="004B0AF0"/>
    <w:rsid w:val="004B0CB5"/>
    <w:rsid w:val="004B0D7C"/>
    <w:rsid w:val="004B0E20"/>
    <w:rsid w:val="004B0E64"/>
    <w:rsid w:val="004B10F3"/>
    <w:rsid w:val="004B113F"/>
    <w:rsid w:val="004B11AC"/>
    <w:rsid w:val="004B1221"/>
    <w:rsid w:val="004B14C6"/>
    <w:rsid w:val="004B158F"/>
    <w:rsid w:val="004B15B3"/>
    <w:rsid w:val="004B1681"/>
    <w:rsid w:val="004B168C"/>
    <w:rsid w:val="004B1969"/>
    <w:rsid w:val="004B1A97"/>
    <w:rsid w:val="004B1B06"/>
    <w:rsid w:val="004B1BA2"/>
    <w:rsid w:val="004B1C62"/>
    <w:rsid w:val="004B1EEB"/>
    <w:rsid w:val="004B21E1"/>
    <w:rsid w:val="004B23AE"/>
    <w:rsid w:val="004B2404"/>
    <w:rsid w:val="004B2422"/>
    <w:rsid w:val="004B2497"/>
    <w:rsid w:val="004B25CE"/>
    <w:rsid w:val="004B26F7"/>
    <w:rsid w:val="004B27F2"/>
    <w:rsid w:val="004B28B7"/>
    <w:rsid w:val="004B28DF"/>
    <w:rsid w:val="004B2910"/>
    <w:rsid w:val="004B2A57"/>
    <w:rsid w:val="004B2B5E"/>
    <w:rsid w:val="004B2BAC"/>
    <w:rsid w:val="004B2C1F"/>
    <w:rsid w:val="004B2CAB"/>
    <w:rsid w:val="004B2D3B"/>
    <w:rsid w:val="004B2E3F"/>
    <w:rsid w:val="004B2EEB"/>
    <w:rsid w:val="004B2FAC"/>
    <w:rsid w:val="004B2FFC"/>
    <w:rsid w:val="004B3243"/>
    <w:rsid w:val="004B3276"/>
    <w:rsid w:val="004B3330"/>
    <w:rsid w:val="004B3598"/>
    <w:rsid w:val="004B35B0"/>
    <w:rsid w:val="004B35C1"/>
    <w:rsid w:val="004B35CD"/>
    <w:rsid w:val="004B3657"/>
    <w:rsid w:val="004B374E"/>
    <w:rsid w:val="004B37A0"/>
    <w:rsid w:val="004B3896"/>
    <w:rsid w:val="004B38F2"/>
    <w:rsid w:val="004B3917"/>
    <w:rsid w:val="004B397B"/>
    <w:rsid w:val="004B3A06"/>
    <w:rsid w:val="004B3A46"/>
    <w:rsid w:val="004B3A5E"/>
    <w:rsid w:val="004B3C03"/>
    <w:rsid w:val="004B3CB8"/>
    <w:rsid w:val="004B3CDD"/>
    <w:rsid w:val="004B3D1D"/>
    <w:rsid w:val="004B3F70"/>
    <w:rsid w:val="004B3FC4"/>
    <w:rsid w:val="004B3FC5"/>
    <w:rsid w:val="004B3FFB"/>
    <w:rsid w:val="004B40DA"/>
    <w:rsid w:val="004B4168"/>
    <w:rsid w:val="004B42E7"/>
    <w:rsid w:val="004B43A5"/>
    <w:rsid w:val="004B4475"/>
    <w:rsid w:val="004B4544"/>
    <w:rsid w:val="004B45AB"/>
    <w:rsid w:val="004B47B8"/>
    <w:rsid w:val="004B4867"/>
    <w:rsid w:val="004B4893"/>
    <w:rsid w:val="004B49AA"/>
    <w:rsid w:val="004B4A15"/>
    <w:rsid w:val="004B4B1D"/>
    <w:rsid w:val="004B4C54"/>
    <w:rsid w:val="004B4C70"/>
    <w:rsid w:val="004B4D5E"/>
    <w:rsid w:val="004B5153"/>
    <w:rsid w:val="004B5466"/>
    <w:rsid w:val="004B5493"/>
    <w:rsid w:val="004B54CD"/>
    <w:rsid w:val="004B55A2"/>
    <w:rsid w:val="004B55B6"/>
    <w:rsid w:val="004B577F"/>
    <w:rsid w:val="004B578F"/>
    <w:rsid w:val="004B5826"/>
    <w:rsid w:val="004B58C0"/>
    <w:rsid w:val="004B59ED"/>
    <w:rsid w:val="004B5A50"/>
    <w:rsid w:val="004B5A6A"/>
    <w:rsid w:val="004B5AE9"/>
    <w:rsid w:val="004B5B05"/>
    <w:rsid w:val="004B5B4E"/>
    <w:rsid w:val="004B5B64"/>
    <w:rsid w:val="004B5D3D"/>
    <w:rsid w:val="004B5DA4"/>
    <w:rsid w:val="004B5F77"/>
    <w:rsid w:val="004B63F3"/>
    <w:rsid w:val="004B65D7"/>
    <w:rsid w:val="004B6836"/>
    <w:rsid w:val="004B69F9"/>
    <w:rsid w:val="004B6A59"/>
    <w:rsid w:val="004B6E51"/>
    <w:rsid w:val="004B6E57"/>
    <w:rsid w:val="004B7011"/>
    <w:rsid w:val="004B7078"/>
    <w:rsid w:val="004B7098"/>
    <w:rsid w:val="004B7195"/>
    <w:rsid w:val="004B720C"/>
    <w:rsid w:val="004B733D"/>
    <w:rsid w:val="004B7497"/>
    <w:rsid w:val="004B750E"/>
    <w:rsid w:val="004B753C"/>
    <w:rsid w:val="004B773E"/>
    <w:rsid w:val="004B77F2"/>
    <w:rsid w:val="004B7823"/>
    <w:rsid w:val="004B783E"/>
    <w:rsid w:val="004B7984"/>
    <w:rsid w:val="004B7AF9"/>
    <w:rsid w:val="004B7B42"/>
    <w:rsid w:val="004B7C59"/>
    <w:rsid w:val="004B7D3C"/>
    <w:rsid w:val="004B7D5C"/>
    <w:rsid w:val="004B7DB7"/>
    <w:rsid w:val="004B7EC7"/>
    <w:rsid w:val="004B7F5C"/>
    <w:rsid w:val="004C0353"/>
    <w:rsid w:val="004C070A"/>
    <w:rsid w:val="004C070F"/>
    <w:rsid w:val="004C093C"/>
    <w:rsid w:val="004C094E"/>
    <w:rsid w:val="004C0DC9"/>
    <w:rsid w:val="004C0DE2"/>
    <w:rsid w:val="004C0EC1"/>
    <w:rsid w:val="004C0FF8"/>
    <w:rsid w:val="004C11D1"/>
    <w:rsid w:val="004C127D"/>
    <w:rsid w:val="004C12E3"/>
    <w:rsid w:val="004C12E6"/>
    <w:rsid w:val="004C135E"/>
    <w:rsid w:val="004C13B1"/>
    <w:rsid w:val="004C13FD"/>
    <w:rsid w:val="004C1419"/>
    <w:rsid w:val="004C155F"/>
    <w:rsid w:val="004C1651"/>
    <w:rsid w:val="004C17A2"/>
    <w:rsid w:val="004C17D6"/>
    <w:rsid w:val="004C19F8"/>
    <w:rsid w:val="004C1A34"/>
    <w:rsid w:val="004C1AA4"/>
    <w:rsid w:val="004C1B55"/>
    <w:rsid w:val="004C1B75"/>
    <w:rsid w:val="004C1D9E"/>
    <w:rsid w:val="004C1EE0"/>
    <w:rsid w:val="004C1FA5"/>
    <w:rsid w:val="004C1FE0"/>
    <w:rsid w:val="004C2001"/>
    <w:rsid w:val="004C2036"/>
    <w:rsid w:val="004C20AA"/>
    <w:rsid w:val="004C211E"/>
    <w:rsid w:val="004C2324"/>
    <w:rsid w:val="004C241D"/>
    <w:rsid w:val="004C24BB"/>
    <w:rsid w:val="004C260C"/>
    <w:rsid w:val="004C26AE"/>
    <w:rsid w:val="004C26D4"/>
    <w:rsid w:val="004C275D"/>
    <w:rsid w:val="004C2772"/>
    <w:rsid w:val="004C27F9"/>
    <w:rsid w:val="004C2866"/>
    <w:rsid w:val="004C286F"/>
    <w:rsid w:val="004C2912"/>
    <w:rsid w:val="004C292D"/>
    <w:rsid w:val="004C29A3"/>
    <w:rsid w:val="004C2B40"/>
    <w:rsid w:val="004C2B94"/>
    <w:rsid w:val="004C2BBA"/>
    <w:rsid w:val="004C2BFC"/>
    <w:rsid w:val="004C2DB2"/>
    <w:rsid w:val="004C2DE3"/>
    <w:rsid w:val="004C2E75"/>
    <w:rsid w:val="004C31C1"/>
    <w:rsid w:val="004C3229"/>
    <w:rsid w:val="004C32BD"/>
    <w:rsid w:val="004C334D"/>
    <w:rsid w:val="004C351A"/>
    <w:rsid w:val="004C36AF"/>
    <w:rsid w:val="004C37E9"/>
    <w:rsid w:val="004C3A12"/>
    <w:rsid w:val="004C3A40"/>
    <w:rsid w:val="004C3A56"/>
    <w:rsid w:val="004C3A8F"/>
    <w:rsid w:val="004C3B0C"/>
    <w:rsid w:val="004C3DE0"/>
    <w:rsid w:val="004C3E03"/>
    <w:rsid w:val="004C402E"/>
    <w:rsid w:val="004C40EA"/>
    <w:rsid w:val="004C40FC"/>
    <w:rsid w:val="004C4279"/>
    <w:rsid w:val="004C4490"/>
    <w:rsid w:val="004C4685"/>
    <w:rsid w:val="004C48A0"/>
    <w:rsid w:val="004C4FEB"/>
    <w:rsid w:val="004C514E"/>
    <w:rsid w:val="004C5221"/>
    <w:rsid w:val="004C5241"/>
    <w:rsid w:val="004C5243"/>
    <w:rsid w:val="004C52BC"/>
    <w:rsid w:val="004C53AE"/>
    <w:rsid w:val="004C53E5"/>
    <w:rsid w:val="004C541B"/>
    <w:rsid w:val="004C5504"/>
    <w:rsid w:val="004C5573"/>
    <w:rsid w:val="004C55A5"/>
    <w:rsid w:val="004C55EA"/>
    <w:rsid w:val="004C56B7"/>
    <w:rsid w:val="004C56CE"/>
    <w:rsid w:val="004C5820"/>
    <w:rsid w:val="004C5850"/>
    <w:rsid w:val="004C5AEF"/>
    <w:rsid w:val="004C5B45"/>
    <w:rsid w:val="004C5C4A"/>
    <w:rsid w:val="004C5D83"/>
    <w:rsid w:val="004C629C"/>
    <w:rsid w:val="004C62A7"/>
    <w:rsid w:val="004C62BE"/>
    <w:rsid w:val="004C64F6"/>
    <w:rsid w:val="004C65BB"/>
    <w:rsid w:val="004C6771"/>
    <w:rsid w:val="004C6B20"/>
    <w:rsid w:val="004C6D84"/>
    <w:rsid w:val="004C700A"/>
    <w:rsid w:val="004C719F"/>
    <w:rsid w:val="004C722D"/>
    <w:rsid w:val="004C7366"/>
    <w:rsid w:val="004C73D5"/>
    <w:rsid w:val="004C73F0"/>
    <w:rsid w:val="004C7797"/>
    <w:rsid w:val="004C77DD"/>
    <w:rsid w:val="004C7B1A"/>
    <w:rsid w:val="004C7CE0"/>
    <w:rsid w:val="004C7D1C"/>
    <w:rsid w:val="004C7E4E"/>
    <w:rsid w:val="004D00E2"/>
    <w:rsid w:val="004D01DB"/>
    <w:rsid w:val="004D0214"/>
    <w:rsid w:val="004D02EA"/>
    <w:rsid w:val="004D0304"/>
    <w:rsid w:val="004D03AD"/>
    <w:rsid w:val="004D05EE"/>
    <w:rsid w:val="004D07C0"/>
    <w:rsid w:val="004D0AD1"/>
    <w:rsid w:val="004D0AFC"/>
    <w:rsid w:val="004D0B17"/>
    <w:rsid w:val="004D0D9C"/>
    <w:rsid w:val="004D0E62"/>
    <w:rsid w:val="004D0F53"/>
    <w:rsid w:val="004D1109"/>
    <w:rsid w:val="004D1120"/>
    <w:rsid w:val="004D11A4"/>
    <w:rsid w:val="004D11C6"/>
    <w:rsid w:val="004D126D"/>
    <w:rsid w:val="004D143C"/>
    <w:rsid w:val="004D187C"/>
    <w:rsid w:val="004D18C1"/>
    <w:rsid w:val="004D1CB6"/>
    <w:rsid w:val="004D1F16"/>
    <w:rsid w:val="004D1FFC"/>
    <w:rsid w:val="004D208F"/>
    <w:rsid w:val="004D22AE"/>
    <w:rsid w:val="004D249A"/>
    <w:rsid w:val="004D24AC"/>
    <w:rsid w:val="004D255B"/>
    <w:rsid w:val="004D2596"/>
    <w:rsid w:val="004D25FA"/>
    <w:rsid w:val="004D2744"/>
    <w:rsid w:val="004D28AA"/>
    <w:rsid w:val="004D2BE2"/>
    <w:rsid w:val="004D2C4E"/>
    <w:rsid w:val="004D2CBC"/>
    <w:rsid w:val="004D3039"/>
    <w:rsid w:val="004D307D"/>
    <w:rsid w:val="004D3162"/>
    <w:rsid w:val="004D3179"/>
    <w:rsid w:val="004D32FF"/>
    <w:rsid w:val="004D3555"/>
    <w:rsid w:val="004D3573"/>
    <w:rsid w:val="004D3705"/>
    <w:rsid w:val="004D38A4"/>
    <w:rsid w:val="004D3916"/>
    <w:rsid w:val="004D3B2E"/>
    <w:rsid w:val="004D3CF2"/>
    <w:rsid w:val="004D3D2A"/>
    <w:rsid w:val="004D3D6C"/>
    <w:rsid w:val="004D3FA8"/>
    <w:rsid w:val="004D3FD9"/>
    <w:rsid w:val="004D40FB"/>
    <w:rsid w:val="004D4202"/>
    <w:rsid w:val="004D434C"/>
    <w:rsid w:val="004D4543"/>
    <w:rsid w:val="004D461B"/>
    <w:rsid w:val="004D4885"/>
    <w:rsid w:val="004D49C3"/>
    <w:rsid w:val="004D4A45"/>
    <w:rsid w:val="004D4B47"/>
    <w:rsid w:val="004D4C13"/>
    <w:rsid w:val="004D4C4F"/>
    <w:rsid w:val="004D4F75"/>
    <w:rsid w:val="004D51FF"/>
    <w:rsid w:val="004D542B"/>
    <w:rsid w:val="004D5468"/>
    <w:rsid w:val="004D54C1"/>
    <w:rsid w:val="004D559B"/>
    <w:rsid w:val="004D5664"/>
    <w:rsid w:val="004D5709"/>
    <w:rsid w:val="004D5717"/>
    <w:rsid w:val="004D572B"/>
    <w:rsid w:val="004D5891"/>
    <w:rsid w:val="004D59F5"/>
    <w:rsid w:val="004D5BA5"/>
    <w:rsid w:val="004D5D5E"/>
    <w:rsid w:val="004D5DA8"/>
    <w:rsid w:val="004D5E49"/>
    <w:rsid w:val="004D6045"/>
    <w:rsid w:val="004D61D5"/>
    <w:rsid w:val="004D61D7"/>
    <w:rsid w:val="004D645C"/>
    <w:rsid w:val="004D668A"/>
    <w:rsid w:val="004D6726"/>
    <w:rsid w:val="004D6778"/>
    <w:rsid w:val="004D6781"/>
    <w:rsid w:val="004D67EB"/>
    <w:rsid w:val="004D685A"/>
    <w:rsid w:val="004D686C"/>
    <w:rsid w:val="004D68C6"/>
    <w:rsid w:val="004D6A43"/>
    <w:rsid w:val="004D6A5D"/>
    <w:rsid w:val="004D6AE0"/>
    <w:rsid w:val="004D6BFE"/>
    <w:rsid w:val="004D6C51"/>
    <w:rsid w:val="004D6CB0"/>
    <w:rsid w:val="004D6D05"/>
    <w:rsid w:val="004D6D39"/>
    <w:rsid w:val="004D6F49"/>
    <w:rsid w:val="004D70C1"/>
    <w:rsid w:val="004D7249"/>
    <w:rsid w:val="004D7584"/>
    <w:rsid w:val="004D75E7"/>
    <w:rsid w:val="004D7697"/>
    <w:rsid w:val="004D7A39"/>
    <w:rsid w:val="004D7AF7"/>
    <w:rsid w:val="004D7B0E"/>
    <w:rsid w:val="004D7B46"/>
    <w:rsid w:val="004D7C2C"/>
    <w:rsid w:val="004D7CA1"/>
    <w:rsid w:val="004D7D2D"/>
    <w:rsid w:val="004D7D9C"/>
    <w:rsid w:val="004D7EB2"/>
    <w:rsid w:val="004E006D"/>
    <w:rsid w:val="004E0137"/>
    <w:rsid w:val="004E0297"/>
    <w:rsid w:val="004E0298"/>
    <w:rsid w:val="004E02A6"/>
    <w:rsid w:val="004E02D9"/>
    <w:rsid w:val="004E037F"/>
    <w:rsid w:val="004E0496"/>
    <w:rsid w:val="004E066F"/>
    <w:rsid w:val="004E06AA"/>
    <w:rsid w:val="004E0713"/>
    <w:rsid w:val="004E0718"/>
    <w:rsid w:val="004E0A25"/>
    <w:rsid w:val="004E0A92"/>
    <w:rsid w:val="004E0AB5"/>
    <w:rsid w:val="004E0BE4"/>
    <w:rsid w:val="004E0C5B"/>
    <w:rsid w:val="004E0D41"/>
    <w:rsid w:val="004E0EA5"/>
    <w:rsid w:val="004E0F71"/>
    <w:rsid w:val="004E12F7"/>
    <w:rsid w:val="004E13F5"/>
    <w:rsid w:val="004E13FD"/>
    <w:rsid w:val="004E148B"/>
    <w:rsid w:val="004E1702"/>
    <w:rsid w:val="004E171E"/>
    <w:rsid w:val="004E17D4"/>
    <w:rsid w:val="004E1927"/>
    <w:rsid w:val="004E19D8"/>
    <w:rsid w:val="004E1A44"/>
    <w:rsid w:val="004E1B47"/>
    <w:rsid w:val="004E1D44"/>
    <w:rsid w:val="004E1D6A"/>
    <w:rsid w:val="004E1F0C"/>
    <w:rsid w:val="004E1FB5"/>
    <w:rsid w:val="004E2052"/>
    <w:rsid w:val="004E21AE"/>
    <w:rsid w:val="004E2220"/>
    <w:rsid w:val="004E2338"/>
    <w:rsid w:val="004E25F4"/>
    <w:rsid w:val="004E2A26"/>
    <w:rsid w:val="004E2B3F"/>
    <w:rsid w:val="004E2C7A"/>
    <w:rsid w:val="004E2CEF"/>
    <w:rsid w:val="004E2D75"/>
    <w:rsid w:val="004E30A7"/>
    <w:rsid w:val="004E30FD"/>
    <w:rsid w:val="004E34A3"/>
    <w:rsid w:val="004E3519"/>
    <w:rsid w:val="004E3538"/>
    <w:rsid w:val="004E3578"/>
    <w:rsid w:val="004E37C6"/>
    <w:rsid w:val="004E396A"/>
    <w:rsid w:val="004E39D7"/>
    <w:rsid w:val="004E3ADA"/>
    <w:rsid w:val="004E3AE6"/>
    <w:rsid w:val="004E3B05"/>
    <w:rsid w:val="004E3BB9"/>
    <w:rsid w:val="004E3BC7"/>
    <w:rsid w:val="004E3C0C"/>
    <w:rsid w:val="004E3E13"/>
    <w:rsid w:val="004E3EC2"/>
    <w:rsid w:val="004E4261"/>
    <w:rsid w:val="004E42D8"/>
    <w:rsid w:val="004E42FC"/>
    <w:rsid w:val="004E4665"/>
    <w:rsid w:val="004E4682"/>
    <w:rsid w:val="004E4795"/>
    <w:rsid w:val="004E4961"/>
    <w:rsid w:val="004E4994"/>
    <w:rsid w:val="004E499A"/>
    <w:rsid w:val="004E4AE7"/>
    <w:rsid w:val="004E4EE1"/>
    <w:rsid w:val="004E50FB"/>
    <w:rsid w:val="004E5121"/>
    <w:rsid w:val="004E51CB"/>
    <w:rsid w:val="004E5259"/>
    <w:rsid w:val="004E5353"/>
    <w:rsid w:val="004E53BD"/>
    <w:rsid w:val="004E54D9"/>
    <w:rsid w:val="004E558C"/>
    <w:rsid w:val="004E559E"/>
    <w:rsid w:val="004E55B2"/>
    <w:rsid w:val="004E55FF"/>
    <w:rsid w:val="004E577E"/>
    <w:rsid w:val="004E5843"/>
    <w:rsid w:val="004E5A21"/>
    <w:rsid w:val="004E5A54"/>
    <w:rsid w:val="004E5B1D"/>
    <w:rsid w:val="004E5B7B"/>
    <w:rsid w:val="004E5BA4"/>
    <w:rsid w:val="004E5C54"/>
    <w:rsid w:val="004E5D10"/>
    <w:rsid w:val="004E5D1A"/>
    <w:rsid w:val="004E5DE2"/>
    <w:rsid w:val="004E5DFA"/>
    <w:rsid w:val="004E5E25"/>
    <w:rsid w:val="004E5FB6"/>
    <w:rsid w:val="004E5FE7"/>
    <w:rsid w:val="004E618E"/>
    <w:rsid w:val="004E6459"/>
    <w:rsid w:val="004E64DE"/>
    <w:rsid w:val="004E651C"/>
    <w:rsid w:val="004E66AE"/>
    <w:rsid w:val="004E66FB"/>
    <w:rsid w:val="004E6703"/>
    <w:rsid w:val="004E67C8"/>
    <w:rsid w:val="004E6828"/>
    <w:rsid w:val="004E689C"/>
    <w:rsid w:val="004E68B3"/>
    <w:rsid w:val="004E690C"/>
    <w:rsid w:val="004E69F8"/>
    <w:rsid w:val="004E6B33"/>
    <w:rsid w:val="004E6D60"/>
    <w:rsid w:val="004E6FD6"/>
    <w:rsid w:val="004E71A7"/>
    <w:rsid w:val="004E71EA"/>
    <w:rsid w:val="004E73B5"/>
    <w:rsid w:val="004E73B6"/>
    <w:rsid w:val="004E73C4"/>
    <w:rsid w:val="004E7585"/>
    <w:rsid w:val="004E78CD"/>
    <w:rsid w:val="004E78EF"/>
    <w:rsid w:val="004E7C8B"/>
    <w:rsid w:val="004E7C8E"/>
    <w:rsid w:val="004E7CB2"/>
    <w:rsid w:val="004E7CE5"/>
    <w:rsid w:val="004E7CF8"/>
    <w:rsid w:val="004E7D4F"/>
    <w:rsid w:val="004E7DA9"/>
    <w:rsid w:val="004E7DDD"/>
    <w:rsid w:val="004E7EBD"/>
    <w:rsid w:val="004E7EF3"/>
    <w:rsid w:val="004E7F5B"/>
    <w:rsid w:val="004F0129"/>
    <w:rsid w:val="004F040E"/>
    <w:rsid w:val="004F04C2"/>
    <w:rsid w:val="004F05B5"/>
    <w:rsid w:val="004F0676"/>
    <w:rsid w:val="004F07FC"/>
    <w:rsid w:val="004F0905"/>
    <w:rsid w:val="004F0AD3"/>
    <w:rsid w:val="004F0AFD"/>
    <w:rsid w:val="004F0B4F"/>
    <w:rsid w:val="004F0B7F"/>
    <w:rsid w:val="004F0D39"/>
    <w:rsid w:val="004F0F07"/>
    <w:rsid w:val="004F0F92"/>
    <w:rsid w:val="004F1097"/>
    <w:rsid w:val="004F11E9"/>
    <w:rsid w:val="004F12C9"/>
    <w:rsid w:val="004F12CA"/>
    <w:rsid w:val="004F1310"/>
    <w:rsid w:val="004F1334"/>
    <w:rsid w:val="004F133C"/>
    <w:rsid w:val="004F134F"/>
    <w:rsid w:val="004F178C"/>
    <w:rsid w:val="004F1855"/>
    <w:rsid w:val="004F19B6"/>
    <w:rsid w:val="004F1A88"/>
    <w:rsid w:val="004F1AB7"/>
    <w:rsid w:val="004F1B75"/>
    <w:rsid w:val="004F1EB8"/>
    <w:rsid w:val="004F2049"/>
    <w:rsid w:val="004F20AD"/>
    <w:rsid w:val="004F228C"/>
    <w:rsid w:val="004F2506"/>
    <w:rsid w:val="004F2AE2"/>
    <w:rsid w:val="004F2BE0"/>
    <w:rsid w:val="004F2DC9"/>
    <w:rsid w:val="004F2E59"/>
    <w:rsid w:val="004F2E96"/>
    <w:rsid w:val="004F2EF0"/>
    <w:rsid w:val="004F2FEE"/>
    <w:rsid w:val="004F2FFD"/>
    <w:rsid w:val="004F303B"/>
    <w:rsid w:val="004F3045"/>
    <w:rsid w:val="004F331F"/>
    <w:rsid w:val="004F33A2"/>
    <w:rsid w:val="004F3660"/>
    <w:rsid w:val="004F3778"/>
    <w:rsid w:val="004F378D"/>
    <w:rsid w:val="004F37BE"/>
    <w:rsid w:val="004F37EA"/>
    <w:rsid w:val="004F37EE"/>
    <w:rsid w:val="004F38D3"/>
    <w:rsid w:val="004F3A83"/>
    <w:rsid w:val="004F3B90"/>
    <w:rsid w:val="004F3F7C"/>
    <w:rsid w:val="004F4022"/>
    <w:rsid w:val="004F419E"/>
    <w:rsid w:val="004F4451"/>
    <w:rsid w:val="004F45B1"/>
    <w:rsid w:val="004F47A3"/>
    <w:rsid w:val="004F48BC"/>
    <w:rsid w:val="004F49A8"/>
    <w:rsid w:val="004F4B68"/>
    <w:rsid w:val="004F4B86"/>
    <w:rsid w:val="004F4C28"/>
    <w:rsid w:val="004F4E0A"/>
    <w:rsid w:val="004F4FE6"/>
    <w:rsid w:val="004F5033"/>
    <w:rsid w:val="004F5313"/>
    <w:rsid w:val="004F5397"/>
    <w:rsid w:val="004F53F5"/>
    <w:rsid w:val="004F5448"/>
    <w:rsid w:val="004F5449"/>
    <w:rsid w:val="004F573E"/>
    <w:rsid w:val="004F5775"/>
    <w:rsid w:val="004F596E"/>
    <w:rsid w:val="004F5AB1"/>
    <w:rsid w:val="004F5ACD"/>
    <w:rsid w:val="004F5E15"/>
    <w:rsid w:val="004F5F59"/>
    <w:rsid w:val="004F5FDF"/>
    <w:rsid w:val="004F61DD"/>
    <w:rsid w:val="004F63C0"/>
    <w:rsid w:val="004F6444"/>
    <w:rsid w:val="004F653E"/>
    <w:rsid w:val="004F6556"/>
    <w:rsid w:val="004F657E"/>
    <w:rsid w:val="004F65B1"/>
    <w:rsid w:val="004F67F9"/>
    <w:rsid w:val="004F6A0F"/>
    <w:rsid w:val="004F6B93"/>
    <w:rsid w:val="004F6DA0"/>
    <w:rsid w:val="004F6E09"/>
    <w:rsid w:val="004F6EDB"/>
    <w:rsid w:val="004F6FA7"/>
    <w:rsid w:val="004F7218"/>
    <w:rsid w:val="004F7348"/>
    <w:rsid w:val="004F73AA"/>
    <w:rsid w:val="004F7409"/>
    <w:rsid w:val="004F740E"/>
    <w:rsid w:val="004F76B9"/>
    <w:rsid w:val="004F797B"/>
    <w:rsid w:val="004F7B68"/>
    <w:rsid w:val="004F7C3B"/>
    <w:rsid w:val="004F7C8E"/>
    <w:rsid w:val="004F7CCC"/>
    <w:rsid w:val="004F7D22"/>
    <w:rsid w:val="004F7DBB"/>
    <w:rsid w:val="004F7F42"/>
    <w:rsid w:val="004F7F51"/>
    <w:rsid w:val="004F7FF8"/>
    <w:rsid w:val="00500055"/>
    <w:rsid w:val="00500130"/>
    <w:rsid w:val="005002E4"/>
    <w:rsid w:val="005003EB"/>
    <w:rsid w:val="005003F9"/>
    <w:rsid w:val="0050043D"/>
    <w:rsid w:val="00500521"/>
    <w:rsid w:val="0050053D"/>
    <w:rsid w:val="005005EB"/>
    <w:rsid w:val="00500694"/>
    <w:rsid w:val="005006F8"/>
    <w:rsid w:val="005006FC"/>
    <w:rsid w:val="005007A3"/>
    <w:rsid w:val="00500A9A"/>
    <w:rsid w:val="00500A9B"/>
    <w:rsid w:val="00500AEE"/>
    <w:rsid w:val="00500BE1"/>
    <w:rsid w:val="00500CA7"/>
    <w:rsid w:val="00500F32"/>
    <w:rsid w:val="00500F45"/>
    <w:rsid w:val="0050107F"/>
    <w:rsid w:val="0050134F"/>
    <w:rsid w:val="0050137F"/>
    <w:rsid w:val="00501398"/>
    <w:rsid w:val="005014EB"/>
    <w:rsid w:val="0050150D"/>
    <w:rsid w:val="00501583"/>
    <w:rsid w:val="00501648"/>
    <w:rsid w:val="00501676"/>
    <w:rsid w:val="005016EC"/>
    <w:rsid w:val="005016F4"/>
    <w:rsid w:val="005018FA"/>
    <w:rsid w:val="00501ADB"/>
    <w:rsid w:val="00501B6F"/>
    <w:rsid w:val="00501C41"/>
    <w:rsid w:val="00501C8C"/>
    <w:rsid w:val="00501F61"/>
    <w:rsid w:val="00501FEA"/>
    <w:rsid w:val="00502042"/>
    <w:rsid w:val="005020AC"/>
    <w:rsid w:val="005021AE"/>
    <w:rsid w:val="00502255"/>
    <w:rsid w:val="0050226B"/>
    <w:rsid w:val="00502271"/>
    <w:rsid w:val="005022B5"/>
    <w:rsid w:val="005023A2"/>
    <w:rsid w:val="0050242B"/>
    <w:rsid w:val="00502434"/>
    <w:rsid w:val="00502540"/>
    <w:rsid w:val="0050255D"/>
    <w:rsid w:val="00502577"/>
    <w:rsid w:val="0050258B"/>
    <w:rsid w:val="005025A2"/>
    <w:rsid w:val="005025BE"/>
    <w:rsid w:val="0050274B"/>
    <w:rsid w:val="005027B3"/>
    <w:rsid w:val="005027FA"/>
    <w:rsid w:val="005029AF"/>
    <w:rsid w:val="00502A1B"/>
    <w:rsid w:val="00502BF8"/>
    <w:rsid w:val="00502D5C"/>
    <w:rsid w:val="00502DEF"/>
    <w:rsid w:val="00502E15"/>
    <w:rsid w:val="00502F09"/>
    <w:rsid w:val="00503072"/>
    <w:rsid w:val="005030E1"/>
    <w:rsid w:val="0050310A"/>
    <w:rsid w:val="005031D2"/>
    <w:rsid w:val="0050332F"/>
    <w:rsid w:val="00503342"/>
    <w:rsid w:val="00503417"/>
    <w:rsid w:val="0050346C"/>
    <w:rsid w:val="00503983"/>
    <w:rsid w:val="005039EA"/>
    <w:rsid w:val="00503AF7"/>
    <w:rsid w:val="00503B8C"/>
    <w:rsid w:val="00503CBD"/>
    <w:rsid w:val="00503D2B"/>
    <w:rsid w:val="00503EE7"/>
    <w:rsid w:val="00503F09"/>
    <w:rsid w:val="0050400A"/>
    <w:rsid w:val="0050412B"/>
    <w:rsid w:val="005041EB"/>
    <w:rsid w:val="00504294"/>
    <w:rsid w:val="005042DD"/>
    <w:rsid w:val="00504367"/>
    <w:rsid w:val="005045EA"/>
    <w:rsid w:val="00504638"/>
    <w:rsid w:val="0050480C"/>
    <w:rsid w:val="00504864"/>
    <w:rsid w:val="0050490B"/>
    <w:rsid w:val="00504985"/>
    <w:rsid w:val="005049F9"/>
    <w:rsid w:val="00504AE4"/>
    <w:rsid w:val="00504B0F"/>
    <w:rsid w:val="00504B3C"/>
    <w:rsid w:val="00504BBA"/>
    <w:rsid w:val="00504BC1"/>
    <w:rsid w:val="00504BDE"/>
    <w:rsid w:val="00504D24"/>
    <w:rsid w:val="00504D9D"/>
    <w:rsid w:val="00504F0E"/>
    <w:rsid w:val="005050B4"/>
    <w:rsid w:val="005050E6"/>
    <w:rsid w:val="0050521C"/>
    <w:rsid w:val="00505664"/>
    <w:rsid w:val="0050570A"/>
    <w:rsid w:val="005057E0"/>
    <w:rsid w:val="0050581E"/>
    <w:rsid w:val="00505834"/>
    <w:rsid w:val="0050599C"/>
    <w:rsid w:val="00505B3E"/>
    <w:rsid w:val="00505BB7"/>
    <w:rsid w:val="00505BBD"/>
    <w:rsid w:val="00505C2F"/>
    <w:rsid w:val="00505DDE"/>
    <w:rsid w:val="005060EC"/>
    <w:rsid w:val="0050611C"/>
    <w:rsid w:val="00506230"/>
    <w:rsid w:val="005062AB"/>
    <w:rsid w:val="00506377"/>
    <w:rsid w:val="005064E8"/>
    <w:rsid w:val="005065C0"/>
    <w:rsid w:val="005066AE"/>
    <w:rsid w:val="00506763"/>
    <w:rsid w:val="00506B31"/>
    <w:rsid w:val="00506B4F"/>
    <w:rsid w:val="00506B7E"/>
    <w:rsid w:val="00506C35"/>
    <w:rsid w:val="00506CA6"/>
    <w:rsid w:val="00506CBE"/>
    <w:rsid w:val="00506CDD"/>
    <w:rsid w:val="00506D5C"/>
    <w:rsid w:val="00506D7A"/>
    <w:rsid w:val="00506E2E"/>
    <w:rsid w:val="00506FBE"/>
    <w:rsid w:val="005071EB"/>
    <w:rsid w:val="00507308"/>
    <w:rsid w:val="00507425"/>
    <w:rsid w:val="00507471"/>
    <w:rsid w:val="00507476"/>
    <w:rsid w:val="0050761B"/>
    <w:rsid w:val="0050765A"/>
    <w:rsid w:val="005077CE"/>
    <w:rsid w:val="00507849"/>
    <w:rsid w:val="00507903"/>
    <w:rsid w:val="00507909"/>
    <w:rsid w:val="00507952"/>
    <w:rsid w:val="005079CC"/>
    <w:rsid w:val="00507C39"/>
    <w:rsid w:val="00507D31"/>
    <w:rsid w:val="00507D32"/>
    <w:rsid w:val="00507F9F"/>
    <w:rsid w:val="0051010D"/>
    <w:rsid w:val="0051017D"/>
    <w:rsid w:val="005103F4"/>
    <w:rsid w:val="00510597"/>
    <w:rsid w:val="005105CD"/>
    <w:rsid w:val="0051067B"/>
    <w:rsid w:val="0051085D"/>
    <w:rsid w:val="00510925"/>
    <w:rsid w:val="00510996"/>
    <w:rsid w:val="00510B14"/>
    <w:rsid w:val="00510B16"/>
    <w:rsid w:val="00510CD0"/>
    <w:rsid w:val="00510DF4"/>
    <w:rsid w:val="00511559"/>
    <w:rsid w:val="005116FB"/>
    <w:rsid w:val="005117FD"/>
    <w:rsid w:val="0051187B"/>
    <w:rsid w:val="005118F5"/>
    <w:rsid w:val="00511A21"/>
    <w:rsid w:val="00511A43"/>
    <w:rsid w:val="00511C90"/>
    <w:rsid w:val="00511D08"/>
    <w:rsid w:val="00511E4A"/>
    <w:rsid w:val="00511EC7"/>
    <w:rsid w:val="00511F42"/>
    <w:rsid w:val="00511F4F"/>
    <w:rsid w:val="00511F74"/>
    <w:rsid w:val="005120A7"/>
    <w:rsid w:val="005120CF"/>
    <w:rsid w:val="005121D9"/>
    <w:rsid w:val="005122B5"/>
    <w:rsid w:val="005122C0"/>
    <w:rsid w:val="0051239E"/>
    <w:rsid w:val="00512443"/>
    <w:rsid w:val="0051251D"/>
    <w:rsid w:val="00512633"/>
    <w:rsid w:val="00512970"/>
    <w:rsid w:val="00512A39"/>
    <w:rsid w:val="00512A8A"/>
    <w:rsid w:val="00512C0F"/>
    <w:rsid w:val="00512C97"/>
    <w:rsid w:val="00512CB2"/>
    <w:rsid w:val="00512CE2"/>
    <w:rsid w:val="00512E80"/>
    <w:rsid w:val="00512EF9"/>
    <w:rsid w:val="00512F8E"/>
    <w:rsid w:val="00513234"/>
    <w:rsid w:val="0051329A"/>
    <w:rsid w:val="0051332C"/>
    <w:rsid w:val="00513525"/>
    <w:rsid w:val="00513569"/>
    <w:rsid w:val="0051372B"/>
    <w:rsid w:val="00513759"/>
    <w:rsid w:val="005137A6"/>
    <w:rsid w:val="0051384C"/>
    <w:rsid w:val="0051385C"/>
    <w:rsid w:val="00513991"/>
    <w:rsid w:val="005139C2"/>
    <w:rsid w:val="005139D5"/>
    <w:rsid w:val="00513B93"/>
    <w:rsid w:val="00513BD5"/>
    <w:rsid w:val="00513BDA"/>
    <w:rsid w:val="00513C70"/>
    <w:rsid w:val="00513E7E"/>
    <w:rsid w:val="00513EB2"/>
    <w:rsid w:val="00513F04"/>
    <w:rsid w:val="00514014"/>
    <w:rsid w:val="00514405"/>
    <w:rsid w:val="005146B6"/>
    <w:rsid w:val="005146F6"/>
    <w:rsid w:val="0051485F"/>
    <w:rsid w:val="00514900"/>
    <w:rsid w:val="00514A4C"/>
    <w:rsid w:val="00514B5D"/>
    <w:rsid w:val="00514C25"/>
    <w:rsid w:val="00514D88"/>
    <w:rsid w:val="00514ED1"/>
    <w:rsid w:val="0051502D"/>
    <w:rsid w:val="00515088"/>
    <w:rsid w:val="0051508E"/>
    <w:rsid w:val="005150F5"/>
    <w:rsid w:val="00515162"/>
    <w:rsid w:val="005151C1"/>
    <w:rsid w:val="005151FE"/>
    <w:rsid w:val="005154A1"/>
    <w:rsid w:val="00515683"/>
    <w:rsid w:val="0051596E"/>
    <w:rsid w:val="005159EE"/>
    <w:rsid w:val="00515BFD"/>
    <w:rsid w:val="00515BFE"/>
    <w:rsid w:val="00515C3E"/>
    <w:rsid w:val="00515CE9"/>
    <w:rsid w:val="00515EF8"/>
    <w:rsid w:val="00515F28"/>
    <w:rsid w:val="00515F3B"/>
    <w:rsid w:val="00516016"/>
    <w:rsid w:val="00516181"/>
    <w:rsid w:val="00516356"/>
    <w:rsid w:val="005163DD"/>
    <w:rsid w:val="00516679"/>
    <w:rsid w:val="005167DE"/>
    <w:rsid w:val="00516835"/>
    <w:rsid w:val="00516843"/>
    <w:rsid w:val="00516903"/>
    <w:rsid w:val="00516B89"/>
    <w:rsid w:val="00516CB7"/>
    <w:rsid w:val="00516CBA"/>
    <w:rsid w:val="00516CBE"/>
    <w:rsid w:val="00516F33"/>
    <w:rsid w:val="00516F74"/>
    <w:rsid w:val="00516FAF"/>
    <w:rsid w:val="00516FB6"/>
    <w:rsid w:val="005170E4"/>
    <w:rsid w:val="00517164"/>
    <w:rsid w:val="005171C1"/>
    <w:rsid w:val="0051722E"/>
    <w:rsid w:val="005172DB"/>
    <w:rsid w:val="005172F1"/>
    <w:rsid w:val="0051732A"/>
    <w:rsid w:val="0051754B"/>
    <w:rsid w:val="0051763B"/>
    <w:rsid w:val="00517742"/>
    <w:rsid w:val="005177C4"/>
    <w:rsid w:val="00517976"/>
    <w:rsid w:val="00517B49"/>
    <w:rsid w:val="00517C2B"/>
    <w:rsid w:val="00517CE0"/>
    <w:rsid w:val="00517E84"/>
    <w:rsid w:val="00517E87"/>
    <w:rsid w:val="00517F53"/>
    <w:rsid w:val="00517FA8"/>
    <w:rsid w:val="00520085"/>
    <w:rsid w:val="00520205"/>
    <w:rsid w:val="00520360"/>
    <w:rsid w:val="005205B3"/>
    <w:rsid w:val="0052072F"/>
    <w:rsid w:val="0052077F"/>
    <w:rsid w:val="0052080B"/>
    <w:rsid w:val="005209BC"/>
    <w:rsid w:val="00520A54"/>
    <w:rsid w:val="00520BD9"/>
    <w:rsid w:val="00520C1C"/>
    <w:rsid w:val="00520EDB"/>
    <w:rsid w:val="005210ED"/>
    <w:rsid w:val="00521234"/>
    <w:rsid w:val="00521257"/>
    <w:rsid w:val="00521368"/>
    <w:rsid w:val="0052151B"/>
    <w:rsid w:val="00521539"/>
    <w:rsid w:val="0052157E"/>
    <w:rsid w:val="00521867"/>
    <w:rsid w:val="00521BDD"/>
    <w:rsid w:val="00521DD1"/>
    <w:rsid w:val="00521FB0"/>
    <w:rsid w:val="00522103"/>
    <w:rsid w:val="00522142"/>
    <w:rsid w:val="005221D3"/>
    <w:rsid w:val="00522236"/>
    <w:rsid w:val="00522341"/>
    <w:rsid w:val="005223AC"/>
    <w:rsid w:val="00522403"/>
    <w:rsid w:val="00522471"/>
    <w:rsid w:val="0052273A"/>
    <w:rsid w:val="00522767"/>
    <w:rsid w:val="005227CF"/>
    <w:rsid w:val="005227D0"/>
    <w:rsid w:val="005228A9"/>
    <w:rsid w:val="005229E5"/>
    <w:rsid w:val="00522B11"/>
    <w:rsid w:val="00522BAE"/>
    <w:rsid w:val="00522C38"/>
    <w:rsid w:val="00522C7F"/>
    <w:rsid w:val="00522CDA"/>
    <w:rsid w:val="00522DC1"/>
    <w:rsid w:val="00522ED6"/>
    <w:rsid w:val="0052324D"/>
    <w:rsid w:val="0052343E"/>
    <w:rsid w:val="00523556"/>
    <w:rsid w:val="0052363D"/>
    <w:rsid w:val="00523700"/>
    <w:rsid w:val="00523714"/>
    <w:rsid w:val="00523736"/>
    <w:rsid w:val="0052380B"/>
    <w:rsid w:val="00523A36"/>
    <w:rsid w:val="00523D09"/>
    <w:rsid w:val="00523E7B"/>
    <w:rsid w:val="00523F8E"/>
    <w:rsid w:val="00524072"/>
    <w:rsid w:val="00524122"/>
    <w:rsid w:val="0052416C"/>
    <w:rsid w:val="005241A0"/>
    <w:rsid w:val="00524208"/>
    <w:rsid w:val="00524225"/>
    <w:rsid w:val="00524249"/>
    <w:rsid w:val="00524438"/>
    <w:rsid w:val="00524453"/>
    <w:rsid w:val="00524478"/>
    <w:rsid w:val="0052447C"/>
    <w:rsid w:val="005244A7"/>
    <w:rsid w:val="0052451C"/>
    <w:rsid w:val="005245F1"/>
    <w:rsid w:val="0052485A"/>
    <w:rsid w:val="005248A9"/>
    <w:rsid w:val="005248CE"/>
    <w:rsid w:val="0052492C"/>
    <w:rsid w:val="00524A8C"/>
    <w:rsid w:val="00524B18"/>
    <w:rsid w:val="00524C2D"/>
    <w:rsid w:val="00524D7B"/>
    <w:rsid w:val="00524DC1"/>
    <w:rsid w:val="00524EE4"/>
    <w:rsid w:val="00524F81"/>
    <w:rsid w:val="005252C2"/>
    <w:rsid w:val="00525370"/>
    <w:rsid w:val="005254AB"/>
    <w:rsid w:val="005254DC"/>
    <w:rsid w:val="00525518"/>
    <w:rsid w:val="00525861"/>
    <w:rsid w:val="00525CCC"/>
    <w:rsid w:val="00525FB9"/>
    <w:rsid w:val="0052611D"/>
    <w:rsid w:val="005261C7"/>
    <w:rsid w:val="00526210"/>
    <w:rsid w:val="00526312"/>
    <w:rsid w:val="00526346"/>
    <w:rsid w:val="00526493"/>
    <w:rsid w:val="00526722"/>
    <w:rsid w:val="00526762"/>
    <w:rsid w:val="0052676E"/>
    <w:rsid w:val="00526794"/>
    <w:rsid w:val="0052682F"/>
    <w:rsid w:val="005268BD"/>
    <w:rsid w:val="00526973"/>
    <w:rsid w:val="005269DC"/>
    <w:rsid w:val="00526A1C"/>
    <w:rsid w:val="00526D8E"/>
    <w:rsid w:val="00526E80"/>
    <w:rsid w:val="00526F58"/>
    <w:rsid w:val="00526F59"/>
    <w:rsid w:val="005271D1"/>
    <w:rsid w:val="00527483"/>
    <w:rsid w:val="005274C9"/>
    <w:rsid w:val="00527535"/>
    <w:rsid w:val="0052757C"/>
    <w:rsid w:val="005275A7"/>
    <w:rsid w:val="005276EF"/>
    <w:rsid w:val="00527722"/>
    <w:rsid w:val="0052774C"/>
    <w:rsid w:val="0052785B"/>
    <w:rsid w:val="005279C8"/>
    <w:rsid w:val="00527A02"/>
    <w:rsid w:val="00527BBD"/>
    <w:rsid w:val="00527C4F"/>
    <w:rsid w:val="00527E7A"/>
    <w:rsid w:val="00527F23"/>
    <w:rsid w:val="005301DE"/>
    <w:rsid w:val="00530494"/>
    <w:rsid w:val="00530588"/>
    <w:rsid w:val="005305B6"/>
    <w:rsid w:val="005307F4"/>
    <w:rsid w:val="005309A5"/>
    <w:rsid w:val="00530A95"/>
    <w:rsid w:val="00530ABC"/>
    <w:rsid w:val="00530B7B"/>
    <w:rsid w:val="00530DF1"/>
    <w:rsid w:val="00530F92"/>
    <w:rsid w:val="0053110C"/>
    <w:rsid w:val="00531230"/>
    <w:rsid w:val="00531262"/>
    <w:rsid w:val="0053137A"/>
    <w:rsid w:val="005313B1"/>
    <w:rsid w:val="005313C5"/>
    <w:rsid w:val="00531406"/>
    <w:rsid w:val="0053141C"/>
    <w:rsid w:val="005314AE"/>
    <w:rsid w:val="005314E3"/>
    <w:rsid w:val="005316BF"/>
    <w:rsid w:val="00531731"/>
    <w:rsid w:val="00531741"/>
    <w:rsid w:val="00531775"/>
    <w:rsid w:val="00531862"/>
    <w:rsid w:val="00531936"/>
    <w:rsid w:val="0053198D"/>
    <w:rsid w:val="00531AC8"/>
    <w:rsid w:val="00531B3D"/>
    <w:rsid w:val="00531C31"/>
    <w:rsid w:val="00532018"/>
    <w:rsid w:val="005320BD"/>
    <w:rsid w:val="0053212B"/>
    <w:rsid w:val="0053217F"/>
    <w:rsid w:val="005322E3"/>
    <w:rsid w:val="00532343"/>
    <w:rsid w:val="005323FB"/>
    <w:rsid w:val="00532407"/>
    <w:rsid w:val="005324DA"/>
    <w:rsid w:val="00532793"/>
    <w:rsid w:val="00532898"/>
    <w:rsid w:val="00532927"/>
    <w:rsid w:val="0053292E"/>
    <w:rsid w:val="00532B50"/>
    <w:rsid w:val="00532BD1"/>
    <w:rsid w:val="00532ECD"/>
    <w:rsid w:val="00532EE7"/>
    <w:rsid w:val="00532F33"/>
    <w:rsid w:val="00532FAA"/>
    <w:rsid w:val="00532FFB"/>
    <w:rsid w:val="0053342D"/>
    <w:rsid w:val="005335D3"/>
    <w:rsid w:val="00533617"/>
    <w:rsid w:val="005337B4"/>
    <w:rsid w:val="00533852"/>
    <w:rsid w:val="005339F2"/>
    <w:rsid w:val="00533A63"/>
    <w:rsid w:val="00533A64"/>
    <w:rsid w:val="00533AA8"/>
    <w:rsid w:val="00533AA9"/>
    <w:rsid w:val="00533B15"/>
    <w:rsid w:val="00533E68"/>
    <w:rsid w:val="00533FDB"/>
    <w:rsid w:val="0053408B"/>
    <w:rsid w:val="00534116"/>
    <w:rsid w:val="005341B1"/>
    <w:rsid w:val="00534361"/>
    <w:rsid w:val="0053438A"/>
    <w:rsid w:val="005343DE"/>
    <w:rsid w:val="005345A9"/>
    <w:rsid w:val="00534615"/>
    <w:rsid w:val="0053491D"/>
    <w:rsid w:val="00534926"/>
    <w:rsid w:val="0053498C"/>
    <w:rsid w:val="00534A14"/>
    <w:rsid w:val="00534A77"/>
    <w:rsid w:val="00534B05"/>
    <w:rsid w:val="00534D91"/>
    <w:rsid w:val="00534DBB"/>
    <w:rsid w:val="00534DD2"/>
    <w:rsid w:val="00534E34"/>
    <w:rsid w:val="00534ED3"/>
    <w:rsid w:val="00534F1F"/>
    <w:rsid w:val="00534F58"/>
    <w:rsid w:val="00535106"/>
    <w:rsid w:val="005351FB"/>
    <w:rsid w:val="00535228"/>
    <w:rsid w:val="0053526E"/>
    <w:rsid w:val="005353DD"/>
    <w:rsid w:val="00535480"/>
    <w:rsid w:val="00535508"/>
    <w:rsid w:val="0053571C"/>
    <w:rsid w:val="00535785"/>
    <w:rsid w:val="005357E4"/>
    <w:rsid w:val="00535B3F"/>
    <w:rsid w:val="00535C58"/>
    <w:rsid w:val="00535F6E"/>
    <w:rsid w:val="00535F9E"/>
    <w:rsid w:val="005360CC"/>
    <w:rsid w:val="005360F3"/>
    <w:rsid w:val="005364A1"/>
    <w:rsid w:val="00536528"/>
    <w:rsid w:val="005365F9"/>
    <w:rsid w:val="0053662B"/>
    <w:rsid w:val="0053665E"/>
    <w:rsid w:val="0053667A"/>
    <w:rsid w:val="005368FA"/>
    <w:rsid w:val="005369DC"/>
    <w:rsid w:val="00536AAD"/>
    <w:rsid w:val="00536B84"/>
    <w:rsid w:val="00536BD1"/>
    <w:rsid w:val="00536BED"/>
    <w:rsid w:val="00536C61"/>
    <w:rsid w:val="00536CA1"/>
    <w:rsid w:val="0053708A"/>
    <w:rsid w:val="005370F9"/>
    <w:rsid w:val="00537170"/>
    <w:rsid w:val="00537222"/>
    <w:rsid w:val="00537240"/>
    <w:rsid w:val="005372FD"/>
    <w:rsid w:val="00537333"/>
    <w:rsid w:val="00537403"/>
    <w:rsid w:val="00537415"/>
    <w:rsid w:val="0053753F"/>
    <w:rsid w:val="005375A3"/>
    <w:rsid w:val="00537748"/>
    <w:rsid w:val="00537837"/>
    <w:rsid w:val="00537881"/>
    <w:rsid w:val="00537896"/>
    <w:rsid w:val="0053790B"/>
    <w:rsid w:val="00537A29"/>
    <w:rsid w:val="00540080"/>
    <w:rsid w:val="0054015B"/>
    <w:rsid w:val="0054023E"/>
    <w:rsid w:val="0054029C"/>
    <w:rsid w:val="00540419"/>
    <w:rsid w:val="0054043A"/>
    <w:rsid w:val="0054044E"/>
    <w:rsid w:val="00540748"/>
    <w:rsid w:val="0054083D"/>
    <w:rsid w:val="0054086F"/>
    <w:rsid w:val="005408B1"/>
    <w:rsid w:val="005409DB"/>
    <w:rsid w:val="00540AE5"/>
    <w:rsid w:val="00540B29"/>
    <w:rsid w:val="00540B77"/>
    <w:rsid w:val="00540B8B"/>
    <w:rsid w:val="00540D51"/>
    <w:rsid w:val="00540EA3"/>
    <w:rsid w:val="00540EF9"/>
    <w:rsid w:val="00540F73"/>
    <w:rsid w:val="00541103"/>
    <w:rsid w:val="00541165"/>
    <w:rsid w:val="005411CA"/>
    <w:rsid w:val="00541334"/>
    <w:rsid w:val="0054141E"/>
    <w:rsid w:val="0054143F"/>
    <w:rsid w:val="0054151B"/>
    <w:rsid w:val="0054153C"/>
    <w:rsid w:val="0054163E"/>
    <w:rsid w:val="00541714"/>
    <w:rsid w:val="00541794"/>
    <w:rsid w:val="005417CD"/>
    <w:rsid w:val="00541B54"/>
    <w:rsid w:val="00541D21"/>
    <w:rsid w:val="00541DA8"/>
    <w:rsid w:val="00541ED9"/>
    <w:rsid w:val="00541F21"/>
    <w:rsid w:val="00541FFD"/>
    <w:rsid w:val="00542029"/>
    <w:rsid w:val="0054208B"/>
    <w:rsid w:val="005420A0"/>
    <w:rsid w:val="005422DC"/>
    <w:rsid w:val="0054237E"/>
    <w:rsid w:val="0054240B"/>
    <w:rsid w:val="00542421"/>
    <w:rsid w:val="005425BC"/>
    <w:rsid w:val="0054264F"/>
    <w:rsid w:val="005426AF"/>
    <w:rsid w:val="005427D1"/>
    <w:rsid w:val="0054288F"/>
    <w:rsid w:val="00542904"/>
    <w:rsid w:val="00542910"/>
    <w:rsid w:val="00542A4D"/>
    <w:rsid w:val="00542BB2"/>
    <w:rsid w:val="00542C53"/>
    <w:rsid w:val="00542C86"/>
    <w:rsid w:val="00542D32"/>
    <w:rsid w:val="00542EF0"/>
    <w:rsid w:val="005430D6"/>
    <w:rsid w:val="00543114"/>
    <w:rsid w:val="00543293"/>
    <w:rsid w:val="00543689"/>
    <w:rsid w:val="00543852"/>
    <w:rsid w:val="005438A8"/>
    <w:rsid w:val="0054395A"/>
    <w:rsid w:val="005439A2"/>
    <w:rsid w:val="005439E2"/>
    <w:rsid w:val="00543A53"/>
    <w:rsid w:val="00543A6E"/>
    <w:rsid w:val="00543B7A"/>
    <w:rsid w:val="00543BA0"/>
    <w:rsid w:val="00543BF0"/>
    <w:rsid w:val="00543D2D"/>
    <w:rsid w:val="00543D46"/>
    <w:rsid w:val="00543D9E"/>
    <w:rsid w:val="00543DE7"/>
    <w:rsid w:val="00543EAC"/>
    <w:rsid w:val="00544159"/>
    <w:rsid w:val="0054425F"/>
    <w:rsid w:val="005442C1"/>
    <w:rsid w:val="005442D5"/>
    <w:rsid w:val="005443C4"/>
    <w:rsid w:val="00544518"/>
    <w:rsid w:val="0054453D"/>
    <w:rsid w:val="0054472A"/>
    <w:rsid w:val="005447D8"/>
    <w:rsid w:val="005448D9"/>
    <w:rsid w:val="00544967"/>
    <w:rsid w:val="00544A16"/>
    <w:rsid w:val="00544BC7"/>
    <w:rsid w:val="00544BDF"/>
    <w:rsid w:val="00544BE5"/>
    <w:rsid w:val="00544BF9"/>
    <w:rsid w:val="00544C51"/>
    <w:rsid w:val="00544D7C"/>
    <w:rsid w:val="00544FB2"/>
    <w:rsid w:val="005450FC"/>
    <w:rsid w:val="0054513A"/>
    <w:rsid w:val="00545235"/>
    <w:rsid w:val="00545238"/>
    <w:rsid w:val="00545338"/>
    <w:rsid w:val="005453F5"/>
    <w:rsid w:val="0054540F"/>
    <w:rsid w:val="00545504"/>
    <w:rsid w:val="00545576"/>
    <w:rsid w:val="00545BD8"/>
    <w:rsid w:val="00545D01"/>
    <w:rsid w:val="00545DD4"/>
    <w:rsid w:val="00545E1C"/>
    <w:rsid w:val="00545EC1"/>
    <w:rsid w:val="00545F6D"/>
    <w:rsid w:val="0054609E"/>
    <w:rsid w:val="005460DA"/>
    <w:rsid w:val="0054619B"/>
    <w:rsid w:val="00546208"/>
    <w:rsid w:val="00546223"/>
    <w:rsid w:val="00546251"/>
    <w:rsid w:val="00546273"/>
    <w:rsid w:val="00546313"/>
    <w:rsid w:val="00546508"/>
    <w:rsid w:val="00546627"/>
    <w:rsid w:val="005468A6"/>
    <w:rsid w:val="0054693C"/>
    <w:rsid w:val="00546BAB"/>
    <w:rsid w:val="00546BCB"/>
    <w:rsid w:val="00546C1D"/>
    <w:rsid w:val="00546E1D"/>
    <w:rsid w:val="00546E34"/>
    <w:rsid w:val="00547195"/>
    <w:rsid w:val="005473F9"/>
    <w:rsid w:val="00547664"/>
    <w:rsid w:val="005476C5"/>
    <w:rsid w:val="00547A9B"/>
    <w:rsid w:val="00547B38"/>
    <w:rsid w:val="00547CE3"/>
    <w:rsid w:val="00547CFE"/>
    <w:rsid w:val="00547DCB"/>
    <w:rsid w:val="00547E45"/>
    <w:rsid w:val="00547F89"/>
    <w:rsid w:val="005500C0"/>
    <w:rsid w:val="005500D3"/>
    <w:rsid w:val="0055013E"/>
    <w:rsid w:val="00550158"/>
    <w:rsid w:val="0055025B"/>
    <w:rsid w:val="00550346"/>
    <w:rsid w:val="0055038D"/>
    <w:rsid w:val="00550489"/>
    <w:rsid w:val="005504A8"/>
    <w:rsid w:val="005504AB"/>
    <w:rsid w:val="005504D5"/>
    <w:rsid w:val="0055053D"/>
    <w:rsid w:val="00550559"/>
    <w:rsid w:val="0055059D"/>
    <w:rsid w:val="00550628"/>
    <w:rsid w:val="0055062C"/>
    <w:rsid w:val="005506F7"/>
    <w:rsid w:val="00550A29"/>
    <w:rsid w:val="00550AA4"/>
    <w:rsid w:val="00550B2E"/>
    <w:rsid w:val="00550D56"/>
    <w:rsid w:val="00550DEF"/>
    <w:rsid w:val="00550F25"/>
    <w:rsid w:val="00550F9D"/>
    <w:rsid w:val="00551058"/>
    <w:rsid w:val="00551127"/>
    <w:rsid w:val="00551182"/>
    <w:rsid w:val="005511DF"/>
    <w:rsid w:val="00551267"/>
    <w:rsid w:val="0055130E"/>
    <w:rsid w:val="00551455"/>
    <w:rsid w:val="00551545"/>
    <w:rsid w:val="00551601"/>
    <w:rsid w:val="00551607"/>
    <w:rsid w:val="005517F0"/>
    <w:rsid w:val="0055194B"/>
    <w:rsid w:val="005519A3"/>
    <w:rsid w:val="005519A8"/>
    <w:rsid w:val="005519AD"/>
    <w:rsid w:val="00551A09"/>
    <w:rsid w:val="00551AB0"/>
    <w:rsid w:val="00551C0C"/>
    <w:rsid w:val="00551D70"/>
    <w:rsid w:val="00551E12"/>
    <w:rsid w:val="00551E22"/>
    <w:rsid w:val="00551E56"/>
    <w:rsid w:val="00551F2B"/>
    <w:rsid w:val="005520EB"/>
    <w:rsid w:val="0055217C"/>
    <w:rsid w:val="005521C7"/>
    <w:rsid w:val="005521DA"/>
    <w:rsid w:val="0055220C"/>
    <w:rsid w:val="00552212"/>
    <w:rsid w:val="005524B0"/>
    <w:rsid w:val="005524DC"/>
    <w:rsid w:val="00552674"/>
    <w:rsid w:val="005526DB"/>
    <w:rsid w:val="0055278B"/>
    <w:rsid w:val="00552AE3"/>
    <w:rsid w:val="00552AF3"/>
    <w:rsid w:val="00552B40"/>
    <w:rsid w:val="00552C22"/>
    <w:rsid w:val="00552DEA"/>
    <w:rsid w:val="00552DEF"/>
    <w:rsid w:val="00552E63"/>
    <w:rsid w:val="005531BA"/>
    <w:rsid w:val="0055340C"/>
    <w:rsid w:val="00553439"/>
    <w:rsid w:val="00553583"/>
    <w:rsid w:val="005535E4"/>
    <w:rsid w:val="00553795"/>
    <w:rsid w:val="0055382A"/>
    <w:rsid w:val="00553D36"/>
    <w:rsid w:val="00553FEF"/>
    <w:rsid w:val="00554139"/>
    <w:rsid w:val="005541D1"/>
    <w:rsid w:val="00554285"/>
    <w:rsid w:val="005545C0"/>
    <w:rsid w:val="00554642"/>
    <w:rsid w:val="00554785"/>
    <w:rsid w:val="0055481F"/>
    <w:rsid w:val="005548F1"/>
    <w:rsid w:val="005548F2"/>
    <w:rsid w:val="005548FB"/>
    <w:rsid w:val="005549BB"/>
    <w:rsid w:val="00554A6F"/>
    <w:rsid w:val="00554DBE"/>
    <w:rsid w:val="00554E1C"/>
    <w:rsid w:val="00554E31"/>
    <w:rsid w:val="00554EBF"/>
    <w:rsid w:val="00554F47"/>
    <w:rsid w:val="00555067"/>
    <w:rsid w:val="005550F9"/>
    <w:rsid w:val="005551A9"/>
    <w:rsid w:val="0055520A"/>
    <w:rsid w:val="005552E1"/>
    <w:rsid w:val="00555533"/>
    <w:rsid w:val="005555EB"/>
    <w:rsid w:val="00555960"/>
    <w:rsid w:val="00555A0B"/>
    <w:rsid w:val="00555B1B"/>
    <w:rsid w:val="00555B3E"/>
    <w:rsid w:val="00555B6A"/>
    <w:rsid w:val="00555C52"/>
    <w:rsid w:val="00555D65"/>
    <w:rsid w:val="00555F40"/>
    <w:rsid w:val="00555FB6"/>
    <w:rsid w:val="00555FE5"/>
    <w:rsid w:val="005561F7"/>
    <w:rsid w:val="00556220"/>
    <w:rsid w:val="00556439"/>
    <w:rsid w:val="00556440"/>
    <w:rsid w:val="005564EA"/>
    <w:rsid w:val="005565B0"/>
    <w:rsid w:val="0055660C"/>
    <w:rsid w:val="00556654"/>
    <w:rsid w:val="005566BA"/>
    <w:rsid w:val="00556762"/>
    <w:rsid w:val="00556911"/>
    <w:rsid w:val="00556952"/>
    <w:rsid w:val="00556B21"/>
    <w:rsid w:val="00556CDF"/>
    <w:rsid w:val="00556EC0"/>
    <w:rsid w:val="00556F24"/>
    <w:rsid w:val="00556FFA"/>
    <w:rsid w:val="0055706D"/>
    <w:rsid w:val="00557076"/>
    <w:rsid w:val="005570F7"/>
    <w:rsid w:val="00557196"/>
    <w:rsid w:val="00557228"/>
    <w:rsid w:val="005572DC"/>
    <w:rsid w:val="005573D9"/>
    <w:rsid w:val="00557429"/>
    <w:rsid w:val="005576E9"/>
    <w:rsid w:val="0055788C"/>
    <w:rsid w:val="00557896"/>
    <w:rsid w:val="005578E1"/>
    <w:rsid w:val="00557980"/>
    <w:rsid w:val="00557B1C"/>
    <w:rsid w:val="00557C25"/>
    <w:rsid w:val="00557D91"/>
    <w:rsid w:val="00557DF0"/>
    <w:rsid w:val="00557F5D"/>
    <w:rsid w:val="00557FEC"/>
    <w:rsid w:val="005601CC"/>
    <w:rsid w:val="0056026C"/>
    <w:rsid w:val="005603E1"/>
    <w:rsid w:val="00560570"/>
    <w:rsid w:val="00560837"/>
    <w:rsid w:val="005608F6"/>
    <w:rsid w:val="00560930"/>
    <w:rsid w:val="00560933"/>
    <w:rsid w:val="005609C9"/>
    <w:rsid w:val="00560C49"/>
    <w:rsid w:val="00560D83"/>
    <w:rsid w:val="0056105F"/>
    <w:rsid w:val="005610A5"/>
    <w:rsid w:val="005610F6"/>
    <w:rsid w:val="005612C1"/>
    <w:rsid w:val="00561416"/>
    <w:rsid w:val="00561465"/>
    <w:rsid w:val="005614EB"/>
    <w:rsid w:val="00561507"/>
    <w:rsid w:val="005615EA"/>
    <w:rsid w:val="0056160A"/>
    <w:rsid w:val="00561689"/>
    <w:rsid w:val="005616CC"/>
    <w:rsid w:val="005617DA"/>
    <w:rsid w:val="00561909"/>
    <w:rsid w:val="005619F2"/>
    <w:rsid w:val="00561A07"/>
    <w:rsid w:val="00561A51"/>
    <w:rsid w:val="00561CFB"/>
    <w:rsid w:val="00561F5D"/>
    <w:rsid w:val="00561FEC"/>
    <w:rsid w:val="00561FF7"/>
    <w:rsid w:val="00562004"/>
    <w:rsid w:val="0056210E"/>
    <w:rsid w:val="0056231F"/>
    <w:rsid w:val="00562351"/>
    <w:rsid w:val="00562490"/>
    <w:rsid w:val="00562599"/>
    <w:rsid w:val="0056259A"/>
    <w:rsid w:val="005625D0"/>
    <w:rsid w:val="005627C2"/>
    <w:rsid w:val="00562851"/>
    <w:rsid w:val="005629DC"/>
    <w:rsid w:val="00562AD6"/>
    <w:rsid w:val="00562AF1"/>
    <w:rsid w:val="00562C74"/>
    <w:rsid w:val="00562D97"/>
    <w:rsid w:val="00562E40"/>
    <w:rsid w:val="00562E4E"/>
    <w:rsid w:val="00562F7A"/>
    <w:rsid w:val="00562F80"/>
    <w:rsid w:val="00562F8E"/>
    <w:rsid w:val="0056303D"/>
    <w:rsid w:val="005633A0"/>
    <w:rsid w:val="005633AF"/>
    <w:rsid w:val="005634BF"/>
    <w:rsid w:val="00563683"/>
    <w:rsid w:val="00563A33"/>
    <w:rsid w:val="00563CEA"/>
    <w:rsid w:val="00563E19"/>
    <w:rsid w:val="00563E38"/>
    <w:rsid w:val="00563E91"/>
    <w:rsid w:val="00563EA0"/>
    <w:rsid w:val="00563EB7"/>
    <w:rsid w:val="00563EDA"/>
    <w:rsid w:val="00563EFB"/>
    <w:rsid w:val="00563FD5"/>
    <w:rsid w:val="0056400B"/>
    <w:rsid w:val="005640DD"/>
    <w:rsid w:val="0056427C"/>
    <w:rsid w:val="005643F5"/>
    <w:rsid w:val="0056441D"/>
    <w:rsid w:val="0056477C"/>
    <w:rsid w:val="005647B1"/>
    <w:rsid w:val="005647FA"/>
    <w:rsid w:val="00564944"/>
    <w:rsid w:val="00564B8C"/>
    <w:rsid w:val="00564E94"/>
    <w:rsid w:val="005651D1"/>
    <w:rsid w:val="005651E8"/>
    <w:rsid w:val="00565232"/>
    <w:rsid w:val="005652AC"/>
    <w:rsid w:val="005653BA"/>
    <w:rsid w:val="005655CE"/>
    <w:rsid w:val="0056567E"/>
    <w:rsid w:val="005657DC"/>
    <w:rsid w:val="00565A53"/>
    <w:rsid w:val="00565B9C"/>
    <w:rsid w:val="00565BEB"/>
    <w:rsid w:val="00565CED"/>
    <w:rsid w:val="00565D09"/>
    <w:rsid w:val="00565EB6"/>
    <w:rsid w:val="0056607D"/>
    <w:rsid w:val="00566083"/>
    <w:rsid w:val="0056613D"/>
    <w:rsid w:val="00566205"/>
    <w:rsid w:val="00566361"/>
    <w:rsid w:val="00566726"/>
    <w:rsid w:val="0056692A"/>
    <w:rsid w:val="00566A39"/>
    <w:rsid w:val="00566A50"/>
    <w:rsid w:val="00566AAD"/>
    <w:rsid w:val="00566B6F"/>
    <w:rsid w:val="00566D26"/>
    <w:rsid w:val="00566D9A"/>
    <w:rsid w:val="00566F15"/>
    <w:rsid w:val="00566F71"/>
    <w:rsid w:val="00567229"/>
    <w:rsid w:val="0056736A"/>
    <w:rsid w:val="005673BC"/>
    <w:rsid w:val="00567404"/>
    <w:rsid w:val="00567460"/>
    <w:rsid w:val="00567543"/>
    <w:rsid w:val="0056757A"/>
    <w:rsid w:val="005676F7"/>
    <w:rsid w:val="00567865"/>
    <w:rsid w:val="005678F4"/>
    <w:rsid w:val="0056796A"/>
    <w:rsid w:val="00567B53"/>
    <w:rsid w:val="00567CAA"/>
    <w:rsid w:val="00567CB0"/>
    <w:rsid w:val="00567D6E"/>
    <w:rsid w:val="00567E29"/>
    <w:rsid w:val="00567E8E"/>
    <w:rsid w:val="00567EB9"/>
    <w:rsid w:val="00567F77"/>
    <w:rsid w:val="00567F89"/>
    <w:rsid w:val="0057008C"/>
    <w:rsid w:val="005700A6"/>
    <w:rsid w:val="005700D5"/>
    <w:rsid w:val="0057016F"/>
    <w:rsid w:val="0057033A"/>
    <w:rsid w:val="00570443"/>
    <w:rsid w:val="005707F9"/>
    <w:rsid w:val="0057088F"/>
    <w:rsid w:val="005708AA"/>
    <w:rsid w:val="00570926"/>
    <w:rsid w:val="00570948"/>
    <w:rsid w:val="00570B75"/>
    <w:rsid w:val="00570D64"/>
    <w:rsid w:val="00570E6D"/>
    <w:rsid w:val="00570FB5"/>
    <w:rsid w:val="00571952"/>
    <w:rsid w:val="005719A7"/>
    <w:rsid w:val="00571A4F"/>
    <w:rsid w:val="00571ADD"/>
    <w:rsid w:val="00571B48"/>
    <w:rsid w:val="00571B8B"/>
    <w:rsid w:val="00571DD4"/>
    <w:rsid w:val="00572212"/>
    <w:rsid w:val="00572339"/>
    <w:rsid w:val="0057236C"/>
    <w:rsid w:val="005725FA"/>
    <w:rsid w:val="0057266F"/>
    <w:rsid w:val="00572726"/>
    <w:rsid w:val="00572825"/>
    <w:rsid w:val="00572827"/>
    <w:rsid w:val="0057290F"/>
    <w:rsid w:val="00572AEC"/>
    <w:rsid w:val="00572CC2"/>
    <w:rsid w:val="00572CD4"/>
    <w:rsid w:val="00572D58"/>
    <w:rsid w:val="00572D9F"/>
    <w:rsid w:val="00572DAD"/>
    <w:rsid w:val="00572E2B"/>
    <w:rsid w:val="00572E8C"/>
    <w:rsid w:val="00572EC8"/>
    <w:rsid w:val="0057330C"/>
    <w:rsid w:val="00573343"/>
    <w:rsid w:val="00573420"/>
    <w:rsid w:val="0057346E"/>
    <w:rsid w:val="005734CC"/>
    <w:rsid w:val="005735FE"/>
    <w:rsid w:val="0057361B"/>
    <w:rsid w:val="00573635"/>
    <w:rsid w:val="005736ED"/>
    <w:rsid w:val="00573709"/>
    <w:rsid w:val="00573971"/>
    <w:rsid w:val="00573A58"/>
    <w:rsid w:val="00573B4A"/>
    <w:rsid w:val="00573C0B"/>
    <w:rsid w:val="00573C5D"/>
    <w:rsid w:val="00573DB4"/>
    <w:rsid w:val="00573E3C"/>
    <w:rsid w:val="00573EDA"/>
    <w:rsid w:val="005740EE"/>
    <w:rsid w:val="0057416F"/>
    <w:rsid w:val="0057418F"/>
    <w:rsid w:val="00574226"/>
    <w:rsid w:val="0057442E"/>
    <w:rsid w:val="0057455E"/>
    <w:rsid w:val="005745AC"/>
    <w:rsid w:val="00574669"/>
    <w:rsid w:val="0057471E"/>
    <w:rsid w:val="00574974"/>
    <w:rsid w:val="005749C1"/>
    <w:rsid w:val="005749F6"/>
    <w:rsid w:val="00574A5B"/>
    <w:rsid w:val="00574B35"/>
    <w:rsid w:val="00574BAF"/>
    <w:rsid w:val="00574C15"/>
    <w:rsid w:val="00574D9B"/>
    <w:rsid w:val="00574F30"/>
    <w:rsid w:val="00574F31"/>
    <w:rsid w:val="00575003"/>
    <w:rsid w:val="00575176"/>
    <w:rsid w:val="00575321"/>
    <w:rsid w:val="0057556D"/>
    <w:rsid w:val="005755F4"/>
    <w:rsid w:val="00575607"/>
    <w:rsid w:val="00575680"/>
    <w:rsid w:val="005756BC"/>
    <w:rsid w:val="005757C5"/>
    <w:rsid w:val="00575980"/>
    <w:rsid w:val="00575A06"/>
    <w:rsid w:val="00575A43"/>
    <w:rsid w:val="00575C75"/>
    <w:rsid w:val="00575F86"/>
    <w:rsid w:val="00576122"/>
    <w:rsid w:val="0057613A"/>
    <w:rsid w:val="0057615D"/>
    <w:rsid w:val="00576194"/>
    <w:rsid w:val="005761B5"/>
    <w:rsid w:val="005762FD"/>
    <w:rsid w:val="005763E7"/>
    <w:rsid w:val="005764AB"/>
    <w:rsid w:val="00576670"/>
    <w:rsid w:val="00576687"/>
    <w:rsid w:val="00576764"/>
    <w:rsid w:val="0057688B"/>
    <w:rsid w:val="00576898"/>
    <w:rsid w:val="005768BF"/>
    <w:rsid w:val="005768DC"/>
    <w:rsid w:val="005769B2"/>
    <w:rsid w:val="00576A80"/>
    <w:rsid w:val="00576AA2"/>
    <w:rsid w:val="00576AAB"/>
    <w:rsid w:val="00576B5E"/>
    <w:rsid w:val="00576C74"/>
    <w:rsid w:val="00576D91"/>
    <w:rsid w:val="00576E00"/>
    <w:rsid w:val="00576E22"/>
    <w:rsid w:val="00576E85"/>
    <w:rsid w:val="00576E96"/>
    <w:rsid w:val="00576EB2"/>
    <w:rsid w:val="00576ECC"/>
    <w:rsid w:val="00576F3B"/>
    <w:rsid w:val="00577034"/>
    <w:rsid w:val="00577224"/>
    <w:rsid w:val="00577455"/>
    <w:rsid w:val="00577786"/>
    <w:rsid w:val="0057787C"/>
    <w:rsid w:val="00577892"/>
    <w:rsid w:val="005779CF"/>
    <w:rsid w:val="00577C7B"/>
    <w:rsid w:val="00577CFF"/>
    <w:rsid w:val="00577D23"/>
    <w:rsid w:val="00577DAF"/>
    <w:rsid w:val="00577F46"/>
    <w:rsid w:val="00577F94"/>
    <w:rsid w:val="00580076"/>
    <w:rsid w:val="005802C0"/>
    <w:rsid w:val="005804AF"/>
    <w:rsid w:val="00580545"/>
    <w:rsid w:val="0058062F"/>
    <w:rsid w:val="005807D1"/>
    <w:rsid w:val="0058089C"/>
    <w:rsid w:val="0058095B"/>
    <w:rsid w:val="00580A30"/>
    <w:rsid w:val="00580ACA"/>
    <w:rsid w:val="00580AF8"/>
    <w:rsid w:val="00580B62"/>
    <w:rsid w:val="00580D3B"/>
    <w:rsid w:val="00580DFB"/>
    <w:rsid w:val="00580E74"/>
    <w:rsid w:val="00580F7E"/>
    <w:rsid w:val="00581100"/>
    <w:rsid w:val="00581119"/>
    <w:rsid w:val="00581457"/>
    <w:rsid w:val="0058146B"/>
    <w:rsid w:val="005814AB"/>
    <w:rsid w:val="005814BC"/>
    <w:rsid w:val="005814BE"/>
    <w:rsid w:val="005816F7"/>
    <w:rsid w:val="0058172D"/>
    <w:rsid w:val="005817A7"/>
    <w:rsid w:val="005817E6"/>
    <w:rsid w:val="0058187F"/>
    <w:rsid w:val="005818C2"/>
    <w:rsid w:val="00581C2B"/>
    <w:rsid w:val="00581DCD"/>
    <w:rsid w:val="00581DD1"/>
    <w:rsid w:val="00581E45"/>
    <w:rsid w:val="00581E6D"/>
    <w:rsid w:val="00582362"/>
    <w:rsid w:val="005824CB"/>
    <w:rsid w:val="005824E6"/>
    <w:rsid w:val="00582542"/>
    <w:rsid w:val="00582812"/>
    <w:rsid w:val="00582825"/>
    <w:rsid w:val="00582883"/>
    <w:rsid w:val="0058291A"/>
    <w:rsid w:val="005829A5"/>
    <w:rsid w:val="00582A20"/>
    <w:rsid w:val="00582B0B"/>
    <w:rsid w:val="00582B11"/>
    <w:rsid w:val="00582BA6"/>
    <w:rsid w:val="00582D41"/>
    <w:rsid w:val="00582E29"/>
    <w:rsid w:val="00582F42"/>
    <w:rsid w:val="005831B2"/>
    <w:rsid w:val="005831C1"/>
    <w:rsid w:val="00583321"/>
    <w:rsid w:val="005833E3"/>
    <w:rsid w:val="005835BE"/>
    <w:rsid w:val="005836B6"/>
    <w:rsid w:val="005836CA"/>
    <w:rsid w:val="005836CB"/>
    <w:rsid w:val="0058376E"/>
    <w:rsid w:val="005837DF"/>
    <w:rsid w:val="00583885"/>
    <w:rsid w:val="00583BA7"/>
    <w:rsid w:val="00583D1E"/>
    <w:rsid w:val="00583D2C"/>
    <w:rsid w:val="00583D46"/>
    <w:rsid w:val="00583E66"/>
    <w:rsid w:val="00583F1C"/>
    <w:rsid w:val="005840E7"/>
    <w:rsid w:val="005841B2"/>
    <w:rsid w:val="005841B8"/>
    <w:rsid w:val="00584305"/>
    <w:rsid w:val="0058441C"/>
    <w:rsid w:val="00584621"/>
    <w:rsid w:val="00584670"/>
    <w:rsid w:val="00584691"/>
    <w:rsid w:val="0058482F"/>
    <w:rsid w:val="00584905"/>
    <w:rsid w:val="0058495E"/>
    <w:rsid w:val="00584CD8"/>
    <w:rsid w:val="00584F5A"/>
    <w:rsid w:val="00584F93"/>
    <w:rsid w:val="0058503D"/>
    <w:rsid w:val="005851B8"/>
    <w:rsid w:val="00585370"/>
    <w:rsid w:val="00585391"/>
    <w:rsid w:val="00585880"/>
    <w:rsid w:val="005858CA"/>
    <w:rsid w:val="005859CB"/>
    <w:rsid w:val="00585AB6"/>
    <w:rsid w:val="00585B50"/>
    <w:rsid w:val="00585C5E"/>
    <w:rsid w:val="00585EA6"/>
    <w:rsid w:val="00585F78"/>
    <w:rsid w:val="0058614D"/>
    <w:rsid w:val="005861BD"/>
    <w:rsid w:val="005861E5"/>
    <w:rsid w:val="005862E4"/>
    <w:rsid w:val="005863FE"/>
    <w:rsid w:val="0058656B"/>
    <w:rsid w:val="00586628"/>
    <w:rsid w:val="00586647"/>
    <w:rsid w:val="00586667"/>
    <w:rsid w:val="005866CA"/>
    <w:rsid w:val="00586740"/>
    <w:rsid w:val="0058685D"/>
    <w:rsid w:val="00586879"/>
    <w:rsid w:val="00586A4E"/>
    <w:rsid w:val="00586A6E"/>
    <w:rsid w:val="00586E01"/>
    <w:rsid w:val="00587010"/>
    <w:rsid w:val="0058701C"/>
    <w:rsid w:val="00587102"/>
    <w:rsid w:val="00587104"/>
    <w:rsid w:val="0058720A"/>
    <w:rsid w:val="0058731E"/>
    <w:rsid w:val="005874D2"/>
    <w:rsid w:val="00587549"/>
    <w:rsid w:val="005875BF"/>
    <w:rsid w:val="005875C3"/>
    <w:rsid w:val="0058761F"/>
    <w:rsid w:val="005876AB"/>
    <w:rsid w:val="00587726"/>
    <w:rsid w:val="00587803"/>
    <w:rsid w:val="0058787E"/>
    <w:rsid w:val="005878A9"/>
    <w:rsid w:val="00587968"/>
    <w:rsid w:val="00587972"/>
    <w:rsid w:val="00587A61"/>
    <w:rsid w:val="00587ACF"/>
    <w:rsid w:val="00587B70"/>
    <w:rsid w:val="00587BC1"/>
    <w:rsid w:val="00587C47"/>
    <w:rsid w:val="00587C8D"/>
    <w:rsid w:val="0059003E"/>
    <w:rsid w:val="00590161"/>
    <w:rsid w:val="005901C6"/>
    <w:rsid w:val="0059023E"/>
    <w:rsid w:val="0059026D"/>
    <w:rsid w:val="00590464"/>
    <w:rsid w:val="005905EA"/>
    <w:rsid w:val="00590609"/>
    <w:rsid w:val="00590724"/>
    <w:rsid w:val="005907ED"/>
    <w:rsid w:val="00590857"/>
    <w:rsid w:val="005909E6"/>
    <w:rsid w:val="00590A2C"/>
    <w:rsid w:val="00590AD5"/>
    <w:rsid w:val="00590B76"/>
    <w:rsid w:val="00590ED9"/>
    <w:rsid w:val="00591103"/>
    <w:rsid w:val="0059132F"/>
    <w:rsid w:val="00591480"/>
    <w:rsid w:val="0059152C"/>
    <w:rsid w:val="00591666"/>
    <w:rsid w:val="00591798"/>
    <w:rsid w:val="005918F3"/>
    <w:rsid w:val="00591D2A"/>
    <w:rsid w:val="00591DBC"/>
    <w:rsid w:val="00591DF3"/>
    <w:rsid w:val="00592340"/>
    <w:rsid w:val="00592398"/>
    <w:rsid w:val="00592532"/>
    <w:rsid w:val="0059254A"/>
    <w:rsid w:val="00592602"/>
    <w:rsid w:val="005926D5"/>
    <w:rsid w:val="0059287A"/>
    <w:rsid w:val="00592985"/>
    <w:rsid w:val="00592A23"/>
    <w:rsid w:val="00592A55"/>
    <w:rsid w:val="00592A9C"/>
    <w:rsid w:val="00592AE2"/>
    <w:rsid w:val="00592B66"/>
    <w:rsid w:val="00592BFE"/>
    <w:rsid w:val="00592CA6"/>
    <w:rsid w:val="00592D37"/>
    <w:rsid w:val="00592DCE"/>
    <w:rsid w:val="00592E10"/>
    <w:rsid w:val="00592E1E"/>
    <w:rsid w:val="00592EBA"/>
    <w:rsid w:val="00592F6C"/>
    <w:rsid w:val="00592FC8"/>
    <w:rsid w:val="005930A7"/>
    <w:rsid w:val="005930D4"/>
    <w:rsid w:val="00593159"/>
    <w:rsid w:val="00593243"/>
    <w:rsid w:val="0059345D"/>
    <w:rsid w:val="00593552"/>
    <w:rsid w:val="005935A3"/>
    <w:rsid w:val="00593813"/>
    <w:rsid w:val="00593B6B"/>
    <w:rsid w:val="00593C5B"/>
    <w:rsid w:val="00593D02"/>
    <w:rsid w:val="00593D76"/>
    <w:rsid w:val="00593DA7"/>
    <w:rsid w:val="00593F5D"/>
    <w:rsid w:val="00593FBE"/>
    <w:rsid w:val="005942A6"/>
    <w:rsid w:val="0059451C"/>
    <w:rsid w:val="00594579"/>
    <w:rsid w:val="005945CB"/>
    <w:rsid w:val="005946A1"/>
    <w:rsid w:val="0059480F"/>
    <w:rsid w:val="005948C3"/>
    <w:rsid w:val="00594B61"/>
    <w:rsid w:val="00594C0B"/>
    <w:rsid w:val="00594C3A"/>
    <w:rsid w:val="00594C6E"/>
    <w:rsid w:val="00594DAC"/>
    <w:rsid w:val="00594EAB"/>
    <w:rsid w:val="00594F8A"/>
    <w:rsid w:val="005951E2"/>
    <w:rsid w:val="005951F4"/>
    <w:rsid w:val="00595391"/>
    <w:rsid w:val="005953D9"/>
    <w:rsid w:val="005954D1"/>
    <w:rsid w:val="005954E3"/>
    <w:rsid w:val="005954FB"/>
    <w:rsid w:val="00595559"/>
    <w:rsid w:val="00595664"/>
    <w:rsid w:val="0059567B"/>
    <w:rsid w:val="005956A1"/>
    <w:rsid w:val="005958C0"/>
    <w:rsid w:val="0059593D"/>
    <w:rsid w:val="00595B06"/>
    <w:rsid w:val="00595C37"/>
    <w:rsid w:val="00595C96"/>
    <w:rsid w:val="00595E46"/>
    <w:rsid w:val="00595E62"/>
    <w:rsid w:val="00595E85"/>
    <w:rsid w:val="0059600C"/>
    <w:rsid w:val="00596131"/>
    <w:rsid w:val="00596195"/>
    <w:rsid w:val="005961E6"/>
    <w:rsid w:val="00596215"/>
    <w:rsid w:val="005962A3"/>
    <w:rsid w:val="005963B7"/>
    <w:rsid w:val="005963FC"/>
    <w:rsid w:val="0059645A"/>
    <w:rsid w:val="0059648C"/>
    <w:rsid w:val="005964C2"/>
    <w:rsid w:val="00596A60"/>
    <w:rsid w:val="00596B05"/>
    <w:rsid w:val="00596B0B"/>
    <w:rsid w:val="00596F55"/>
    <w:rsid w:val="005970A7"/>
    <w:rsid w:val="0059731C"/>
    <w:rsid w:val="005973BF"/>
    <w:rsid w:val="00597433"/>
    <w:rsid w:val="00597513"/>
    <w:rsid w:val="00597537"/>
    <w:rsid w:val="005975AB"/>
    <w:rsid w:val="00597614"/>
    <w:rsid w:val="005976A9"/>
    <w:rsid w:val="0059776B"/>
    <w:rsid w:val="00597941"/>
    <w:rsid w:val="00597A34"/>
    <w:rsid w:val="00597A96"/>
    <w:rsid w:val="00597B45"/>
    <w:rsid w:val="00597C79"/>
    <w:rsid w:val="00597CE2"/>
    <w:rsid w:val="00597DC9"/>
    <w:rsid w:val="00597E2B"/>
    <w:rsid w:val="005A0190"/>
    <w:rsid w:val="005A03CE"/>
    <w:rsid w:val="005A044F"/>
    <w:rsid w:val="005A04E1"/>
    <w:rsid w:val="005A04E4"/>
    <w:rsid w:val="005A05A5"/>
    <w:rsid w:val="005A06A7"/>
    <w:rsid w:val="005A06C3"/>
    <w:rsid w:val="005A08F3"/>
    <w:rsid w:val="005A0B3C"/>
    <w:rsid w:val="005A0BF5"/>
    <w:rsid w:val="005A0C4B"/>
    <w:rsid w:val="005A0F88"/>
    <w:rsid w:val="005A0FBB"/>
    <w:rsid w:val="005A10B2"/>
    <w:rsid w:val="005A12D8"/>
    <w:rsid w:val="005A1335"/>
    <w:rsid w:val="005A136F"/>
    <w:rsid w:val="005A1390"/>
    <w:rsid w:val="005A15D9"/>
    <w:rsid w:val="005A18B1"/>
    <w:rsid w:val="005A1A15"/>
    <w:rsid w:val="005A1A53"/>
    <w:rsid w:val="005A1A5B"/>
    <w:rsid w:val="005A1BCE"/>
    <w:rsid w:val="005A1C13"/>
    <w:rsid w:val="005A1D34"/>
    <w:rsid w:val="005A1E00"/>
    <w:rsid w:val="005A1E16"/>
    <w:rsid w:val="005A1FB1"/>
    <w:rsid w:val="005A20B7"/>
    <w:rsid w:val="005A2212"/>
    <w:rsid w:val="005A22C7"/>
    <w:rsid w:val="005A22ED"/>
    <w:rsid w:val="005A235D"/>
    <w:rsid w:val="005A2377"/>
    <w:rsid w:val="005A2775"/>
    <w:rsid w:val="005A27C1"/>
    <w:rsid w:val="005A280A"/>
    <w:rsid w:val="005A287F"/>
    <w:rsid w:val="005A2AF9"/>
    <w:rsid w:val="005A2B61"/>
    <w:rsid w:val="005A2CC4"/>
    <w:rsid w:val="005A2D3C"/>
    <w:rsid w:val="005A2D72"/>
    <w:rsid w:val="005A2DF2"/>
    <w:rsid w:val="005A2EC4"/>
    <w:rsid w:val="005A2F49"/>
    <w:rsid w:val="005A2F70"/>
    <w:rsid w:val="005A31B7"/>
    <w:rsid w:val="005A3285"/>
    <w:rsid w:val="005A3305"/>
    <w:rsid w:val="005A347C"/>
    <w:rsid w:val="005A3554"/>
    <w:rsid w:val="005A3558"/>
    <w:rsid w:val="005A362B"/>
    <w:rsid w:val="005A36EE"/>
    <w:rsid w:val="005A370F"/>
    <w:rsid w:val="005A373A"/>
    <w:rsid w:val="005A3759"/>
    <w:rsid w:val="005A37C3"/>
    <w:rsid w:val="005A382D"/>
    <w:rsid w:val="005A38DD"/>
    <w:rsid w:val="005A392E"/>
    <w:rsid w:val="005A3954"/>
    <w:rsid w:val="005A3974"/>
    <w:rsid w:val="005A3A05"/>
    <w:rsid w:val="005A3A77"/>
    <w:rsid w:val="005A3D28"/>
    <w:rsid w:val="005A3F0A"/>
    <w:rsid w:val="005A40E6"/>
    <w:rsid w:val="005A4144"/>
    <w:rsid w:val="005A414E"/>
    <w:rsid w:val="005A4253"/>
    <w:rsid w:val="005A428D"/>
    <w:rsid w:val="005A431D"/>
    <w:rsid w:val="005A445D"/>
    <w:rsid w:val="005A45B7"/>
    <w:rsid w:val="005A46F0"/>
    <w:rsid w:val="005A474D"/>
    <w:rsid w:val="005A48FA"/>
    <w:rsid w:val="005A4A2B"/>
    <w:rsid w:val="005A4AE7"/>
    <w:rsid w:val="005A4AF3"/>
    <w:rsid w:val="005A4B43"/>
    <w:rsid w:val="005A4B7F"/>
    <w:rsid w:val="005A4C7A"/>
    <w:rsid w:val="005A4C9A"/>
    <w:rsid w:val="005A506C"/>
    <w:rsid w:val="005A507C"/>
    <w:rsid w:val="005A5214"/>
    <w:rsid w:val="005A53FC"/>
    <w:rsid w:val="005A544C"/>
    <w:rsid w:val="005A546B"/>
    <w:rsid w:val="005A54A0"/>
    <w:rsid w:val="005A54BA"/>
    <w:rsid w:val="005A5693"/>
    <w:rsid w:val="005A57D7"/>
    <w:rsid w:val="005A57E6"/>
    <w:rsid w:val="005A5ACD"/>
    <w:rsid w:val="005A5B68"/>
    <w:rsid w:val="005A5C80"/>
    <w:rsid w:val="005A5D56"/>
    <w:rsid w:val="005A6004"/>
    <w:rsid w:val="005A61D1"/>
    <w:rsid w:val="005A62CE"/>
    <w:rsid w:val="005A63A4"/>
    <w:rsid w:val="005A65C4"/>
    <w:rsid w:val="005A67B7"/>
    <w:rsid w:val="005A6831"/>
    <w:rsid w:val="005A6913"/>
    <w:rsid w:val="005A6A06"/>
    <w:rsid w:val="005A6B47"/>
    <w:rsid w:val="005A6B88"/>
    <w:rsid w:val="005A6C15"/>
    <w:rsid w:val="005A6D42"/>
    <w:rsid w:val="005A6EC5"/>
    <w:rsid w:val="005A6F6A"/>
    <w:rsid w:val="005A700C"/>
    <w:rsid w:val="005A7115"/>
    <w:rsid w:val="005A7169"/>
    <w:rsid w:val="005A7172"/>
    <w:rsid w:val="005A7208"/>
    <w:rsid w:val="005A72ED"/>
    <w:rsid w:val="005A73EA"/>
    <w:rsid w:val="005A7492"/>
    <w:rsid w:val="005A74D5"/>
    <w:rsid w:val="005A7573"/>
    <w:rsid w:val="005A77FF"/>
    <w:rsid w:val="005A7803"/>
    <w:rsid w:val="005A78AB"/>
    <w:rsid w:val="005A7B38"/>
    <w:rsid w:val="005A7B60"/>
    <w:rsid w:val="005A7D9B"/>
    <w:rsid w:val="005A7DB9"/>
    <w:rsid w:val="005A7DCD"/>
    <w:rsid w:val="005A7FCB"/>
    <w:rsid w:val="005B0167"/>
    <w:rsid w:val="005B034B"/>
    <w:rsid w:val="005B037D"/>
    <w:rsid w:val="005B037E"/>
    <w:rsid w:val="005B04AD"/>
    <w:rsid w:val="005B04C8"/>
    <w:rsid w:val="005B04E6"/>
    <w:rsid w:val="005B05FA"/>
    <w:rsid w:val="005B0656"/>
    <w:rsid w:val="005B0673"/>
    <w:rsid w:val="005B076B"/>
    <w:rsid w:val="005B0775"/>
    <w:rsid w:val="005B079E"/>
    <w:rsid w:val="005B093C"/>
    <w:rsid w:val="005B094A"/>
    <w:rsid w:val="005B0A0F"/>
    <w:rsid w:val="005B0B34"/>
    <w:rsid w:val="005B0BA6"/>
    <w:rsid w:val="005B1053"/>
    <w:rsid w:val="005B109F"/>
    <w:rsid w:val="005B1133"/>
    <w:rsid w:val="005B1271"/>
    <w:rsid w:val="005B129F"/>
    <w:rsid w:val="005B14FE"/>
    <w:rsid w:val="005B1749"/>
    <w:rsid w:val="005B1873"/>
    <w:rsid w:val="005B18F6"/>
    <w:rsid w:val="005B199C"/>
    <w:rsid w:val="005B19BD"/>
    <w:rsid w:val="005B1AE6"/>
    <w:rsid w:val="005B1B03"/>
    <w:rsid w:val="005B1B33"/>
    <w:rsid w:val="005B1C31"/>
    <w:rsid w:val="005B1CFC"/>
    <w:rsid w:val="005B1D85"/>
    <w:rsid w:val="005B1F28"/>
    <w:rsid w:val="005B1F3C"/>
    <w:rsid w:val="005B1FF2"/>
    <w:rsid w:val="005B2028"/>
    <w:rsid w:val="005B209A"/>
    <w:rsid w:val="005B221F"/>
    <w:rsid w:val="005B239F"/>
    <w:rsid w:val="005B24A9"/>
    <w:rsid w:val="005B2506"/>
    <w:rsid w:val="005B2544"/>
    <w:rsid w:val="005B257D"/>
    <w:rsid w:val="005B2687"/>
    <w:rsid w:val="005B27B1"/>
    <w:rsid w:val="005B28B0"/>
    <w:rsid w:val="005B28C0"/>
    <w:rsid w:val="005B2929"/>
    <w:rsid w:val="005B2A34"/>
    <w:rsid w:val="005B2C2A"/>
    <w:rsid w:val="005B2D05"/>
    <w:rsid w:val="005B2D06"/>
    <w:rsid w:val="005B2F03"/>
    <w:rsid w:val="005B3139"/>
    <w:rsid w:val="005B3193"/>
    <w:rsid w:val="005B3289"/>
    <w:rsid w:val="005B3344"/>
    <w:rsid w:val="005B3378"/>
    <w:rsid w:val="005B35AE"/>
    <w:rsid w:val="005B3614"/>
    <w:rsid w:val="005B3668"/>
    <w:rsid w:val="005B3715"/>
    <w:rsid w:val="005B3961"/>
    <w:rsid w:val="005B3A72"/>
    <w:rsid w:val="005B3C30"/>
    <w:rsid w:val="005B3D27"/>
    <w:rsid w:val="005B3D9D"/>
    <w:rsid w:val="005B3F4F"/>
    <w:rsid w:val="005B3FF6"/>
    <w:rsid w:val="005B4015"/>
    <w:rsid w:val="005B4168"/>
    <w:rsid w:val="005B4194"/>
    <w:rsid w:val="005B41C6"/>
    <w:rsid w:val="005B434C"/>
    <w:rsid w:val="005B44C7"/>
    <w:rsid w:val="005B44E6"/>
    <w:rsid w:val="005B4510"/>
    <w:rsid w:val="005B4535"/>
    <w:rsid w:val="005B458B"/>
    <w:rsid w:val="005B469A"/>
    <w:rsid w:val="005B46AB"/>
    <w:rsid w:val="005B4863"/>
    <w:rsid w:val="005B4964"/>
    <w:rsid w:val="005B4991"/>
    <w:rsid w:val="005B4B5A"/>
    <w:rsid w:val="005B4C58"/>
    <w:rsid w:val="005B4C9A"/>
    <w:rsid w:val="005B4D75"/>
    <w:rsid w:val="005B4DD5"/>
    <w:rsid w:val="005B4E3E"/>
    <w:rsid w:val="005B4ED7"/>
    <w:rsid w:val="005B4F45"/>
    <w:rsid w:val="005B4FA7"/>
    <w:rsid w:val="005B504E"/>
    <w:rsid w:val="005B508E"/>
    <w:rsid w:val="005B509F"/>
    <w:rsid w:val="005B51E1"/>
    <w:rsid w:val="005B5337"/>
    <w:rsid w:val="005B5360"/>
    <w:rsid w:val="005B5519"/>
    <w:rsid w:val="005B586F"/>
    <w:rsid w:val="005B5964"/>
    <w:rsid w:val="005B5AB7"/>
    <w:rsid w:val="005B5B43"/>
    <w:rsid w:val="005B5BD6"/>
    <w:rsid w:val="005B5C44"/>
    <w:rsid w:val="005B5EEC"/>
    <w:rsid w:val="005B603F"/>
    <w:rsid w:val="005B60C0"/>
    <w:rsid w:val="005B6202"/>
    <w:rsid w:val="005B6267"/>
    <w:rsid w:val="005B637C"/>
    <w:rsid w:val="005B64BB"/>
    <w:rsid w:val="005B656B"/>
    <w:rsid w:val="005B660A"/>
    <w:rsid w:val="005B6697"/>
    <w:rsid w:val="005B66D0"/>
    <w:rsid w:val="005B68AF"/>
    <w:rsid w:val="005B6AD5"/>
    <w:rsid w:val="005B6AF2"/>
    <w:rsid w:val="005B6C48"/>
    <w:rsid w:val="005B6D4F"/>
    <w:rsid w:val="005B6E73"/>
    <w:rsid w:val="005B6E9E"/>
    <w:rsid w:val="005B6EEC"/>
    <w:rsid w:val="005B71F6"/>
    <w:rsid w:val="005B735F"/>
    <w:rsid w:val="005B769F"/>
    <w:rsid w:val="005B780E"/>
    <w:rsid w:val="005B78BD"/>
    <w:rsid w:val="005B79FA"/>
    <w:rsid w:val="005B7ABE"/>
    <w:rsid w:val="005B7BE0"/>
    <w:rsid w:val="005B7C84"/>
    <w:rsid w:val="005B7CD2"/>
    <w:rsid w:val="005B7D14"/>
    <w:rsid w:val="005B7E6E"/>
    <w:rsid w:val="005C01A5"/>
    <w:rsid w:val="005C073F"/>
    <w:rsid w:val="005C0A2C"/>
    <w:rsid w:val="005C0AED"/>
    <w:rsid w:val="005C0D82"/>
    <w:rsid w:val="005C1029"/>
    <w:rsid w:val="005C11FD"/>
    <w:rsid w:val="005C1230"/>
    <w:rsid w:val="005C130A"/>
    <w:rsid w:val="005C1333"/>
    <w:rsid w:val="005C13E4"/>
    <w:rsid w:val="005C13EC"/>
    <w:rsid w:val="005C1446"/>
    <w:rsid w:val="005C14E2"/>
    <w:rsid w:val="005C14FF"/>
    <w:rsid w:val="005C158D"/>
    <w:rsid w:val="005C17E0"/>
    <w:rsid w:val="005C1868"/>
    <w:rsid w:val="005C1983"/>
    <w:rsid w:val="005C1998"/>
    <w:rsid w:val="005C1B60"/>
    <w:rsid w:val="005C1BF9"/>
    <w:rsid w:val="005C1CC8"/>
    <w:rsid w:val="005C1DED"/>
    <w:rsid w:val="005C1EBB"/>
    <w:rsid w:val="005C1FB1"/>
    <w:rsid w:val="005C2096"/>
    <w:rsid w:val="005C2246"/>
    <w:rsid w:val="005C22A5"/>
    <w:rsid w:val="005C22FD"/>
    <w:rsid w:val="005C2377"/>
    <w:rsid w:val="005C24B8"/>
    <w:rsid w:val="005C253E"/>
    <w:rsid w:val="005C25DD"/>
    <w:rsid w:val="005C29F2"/>
    <w:rsid w:val="005C29FC"/>
    <w:rsid w:val="005C2A3D"/>
    <w:rsid w:val="005C2AC3"/>
    <w:rsid w:val="005C2D9E"/>
    <w:rsid w:val="005C2F90"/>
    <w:rsid w:val="005C2FB8"/>
    <w:rsid w:val="005C3035"/>
    <w:rsid w:val="005C306C"/>
    <w:rsid w:val="005C315C"/>
    <w:rsid w:val="005C32D8"/>
    <w:rsid w:val="005C33C2"/>
    <w:rsid w:val="005C3424"/>
    <w:rsid w:val="005C34F1"/>
    <w:rsid w:val="005C36FC"/>
    <w:rsid w:val="005C39D5"/>
    <w:rsid w:val="005C3A0B"/>
    <w:rsid w:val="005C3ABB"/>
    <w:rsid w:val="005C3B11"/>
    <w:rsid w:val="005C3C58"/>
    <w:rsid w:val="005C3CAD"/>
    <w:rsid w:val="005C3F90"/>
    <w:rsid w:val="005C40D5"/>
    <w:rsid w:val="005C4196"/>
    <w:rsid w:val="005C421F"/>
    <w:rsid w:val="005C4245"/>
    <w:rsid w:val="005C439B"/>
    <w:rsid w:val="005C4763"/>
    <w:rsid w:val="005C47CF"/>
    <w:rsid w:val="005C485E"/>
    <w:rsid w:val="005C4A0F"/>
    <w:rsid w:val="005C4A8D"/>
    <w:rsid w:val="005C4AAC"/>
    <w:rsid w:val="005C4AF0"/>
    <w:rsid w:val="005C4BBD"/>
    <w:rsid w:val="005C4DA0"/>
    <w:rsid w:val="005C4E36"/>
    <w:rsid w:val="005C5018"/>
    <w:rsid w:val="005C5113"/>
    <w:rsid w:val="005C52C8"/>
    <w:rsid w:val="005C5326"/>
    <w:rsid w:val="005C543E"/>
    <w:rsid w:val="005C5445"/>
    <w:rsid w:val="005C544E"/>
    <w:rsid w:val="005C5634"/>
    <w:rsid w:val="005C57C9"/>
    <w:rsid w:val="005C59D8"/>
    <w:rsid w:val="005C5A15"/>
    <w:rsid w:val="005C5BDC"/>
    <w:rsid w:val="005C5D63"/>
    <w:rsid w:val="005C5EDC"/>
    <w:rsid w:val="005C5EF8"/>
    <w:rsid w:val="005C5F94"/>
    <w:rsid w:val="005C5FB8"/>
    <w:rsid w:val="005C6128"/>
    <w:rsid w:val="005C6216"/>
    <w:rsid w:val="005C62E6"/>
    <w:rsid w:val="005C6303"/>
    <w:rsid w:val="005C636F"/>
    <w:rsid w:val="005C6386"/>
    <w:rsid w:val="005C6439"/>
    <w:rsid w:val="005C6596"/>
    <w:rsid w:val="005C671C"/>
    <w:rsid w:val="005C6775"/>
    <w:rsid w:val="005C67F3"/>
    <w:rsid w:val="005C6810"/>
    <w:rsid w:val="005C695D"/>
    <w:rsid w:val="005C6993"/>
    <w:rsid w:val="005C6ACC"/>
    <w:rsid w:val="005C6B52"/>
    <w:rsid w:val="005C6BA7"/>
    <w:rsid w:val="005C6C02"/>
    <w:rsid w:val="005C6C9F"/>
    <w:rsid w:val="005C6D44"/>
    <w:rsid w:val="005C6DFE"/>
    <w:rsid w:val="005C6E95"/>
    <w:rsid w:val="005C6EFA"/>
    <w:rsid w:val="005C7105"/>
    <w:rsid w:val="005C712C"/>
    <w:rsid w:val="005C7168"/>
    <w:rsid w:val="005C7189"/>
    <w:rsid w:val="005C71FA"/>
    <w:rsid w:val="005C7342"/>
    <w:rsid w:val="005C73AC"/>
    <w:rsid w:val="005C73EB"/>
    <w:rsid w:val="005C740C"/>
    <w:rsid w:val="005C7420"/>
    <w:rsid w:val="005C7645"/>
    <w:rsid w:val="005C774A"/>
    <w:rsid w:val="005C77CB"/>
    <w:rsid w:val="005C7886"/>
    <w:rsid w:val="005C791E"/>
    <w:rsid w:val="005C7C80"/>
    <w:rsid w:val="005C7CA9"/>
    <w:rsid w:val="005C7D38"/>
    <w:rsid w:val="005C7E0B"/>
    <w:rsid w:val="005D014E"/>
    <w:rsid w:val="005D0195"/>
    <w:rsid w:val="005D0203"/>
    <w:rsid w:val="005D05BD"/>
    <w:rsid w:val="005D05C5"/>
    <w:rsid w:val="005D05DA"/>
    <w:rsid w:val="005D061B"/>
    <w:rsid w:val="005D066E"/>
    <w:rsid w:val="005D08DA"/>
    <w:rsid w:val="005D0936"/>
    <w:rsid w:val="005D0982"/>
    <w:rsid w:val="005D0AFA"/>
    <w:rsid w:val="005D0BF9"/>
    <w:rsid w:val="005D0D41"/>
    <w:rsid w:val="005D0D9A"/>
    <w:rsid w:val="005D0DEF"/>
    <w:rsid w:val="005D1072"/>
    <w:rsid w:val="005D109B"/>
    <w:rsid w:val="005D1128"/>
    <w:rsid w:val="005D12CD"/>
    <w:rsid w:val="005D1324"/>
    <w:rsid w:val="005D1357"/>
    <w:rsid w:val="005D13B1"/>
    <w:rsid w:val="005D13DD"/>
    <w:rsid w:val="005D1479"/>
    <w:rsid w:val="005D14AF"/>
    <w:rsid w:val="005D1515"/>
    <w:rsid w:val="005D15EA"/>
    <w:rsid w:val="005D1625"/>
    <w:rsid w:val="005D17F1"/>
    <w:rsid w:val="005D1892"/>
    <w:rsid w:val="005D19A8"/>
    <w:rsid w:val="005D1F18"/>
    <w:rsid w:val="005D1F23"/>
    <w:rsid w:val="005D1FEA"/>
    <w:rsid w:val="005D20CD"/>
    <w:rsid w:val="005D247C"/>
    <w:rsid w:val="005D2509"/>
    <w:rsid w:val="005D2540"/>
    <w:rsid w:val="005D259D"/>
    <w:rsid w:val="005D266D"/>
    <w:rsid w:val="005D2677"/>
    <w:rsid w:val="005D26D4"/>
    <w:rsid w:val="005D2708"/>
    <w:rsid w:val="005D27B2"/>
    <w:rsid w:val="005D29C0"/>
    <w:rsid w:val="005D2AC3"/>
    <w:rsid w:val="005D2BAE"/>
    <w:rsid w:val="005D2C1C"/>
    <w:rsid w:val="005D2C44"/>
    <w:rsid w:val="005D2CCE"/>
    <w:rsid w:val="005D2D3F"/>
    <w:rsid w:val="005D2F0C"/>
    <w:rsid w:val="005D3044"/>
    <w:rsid w:val="005D3096"/>
    <w:rsid w:val="005D314B"/>
    <w:rsid w:val="005D3152"/>
    <w:rsid w:val="005D31B0"/>
    <w:rsid w:val="005D3252"/>
    <w:rsid w:val="005D32C3"/>
    <w:rsid w:val="005D3426"/>
    <w:rsid w:val="005D35A5"/>
    <w:rsid w:val="005D3735"/>
    <w:rsid w:val="005D3908"/>
    <w:rsid w:val="005D395B"/>
    <w:rsid w:val="005D3A0C"/>
    <w:rsid w:val="005D3B09"/>
    <w:rsid w:val="005D3B32"/>
    <w:rsid w:val="005D3B71"/>
    <w:rsid w:val="005D3D6E"/>
    <w:rsid w:val="005D3DA5"/>
    <w:rsid w:val="005D3E87"/>
    <w:rsid w:val="005D3F56"/>
    <w:rsid w:val="005D3F6A"/>
    <w:rsid w:val="005D4136"/>
    <w:rsid w:val="005D4441"/>
    <w:rsid w:val="005D4627"/>
    <w:rsid w:val="005D46B2"/>
    <w:rsid w:val="005D46F8"/>
    <w:rsid w:val="005D47D6"/>
    <w:rsid w:val="005D47F4"/>
    <w:rsid w:val="005D48BA"/>
    <w:rsid w:val="005D48E1"/>
    <w:rsid w:val="005D4C7A"/>
    <w:rsid w:val="005D4CF3"/>
    <w:rsid w:val="005D4D55"/>
    <w:rsid w:val="005D4E00"/>
    <w:rsid w:val="005D4E8C"/>
    <w:rsid w:val="005D4EE9"/>
    <w:rsid w:val="005D4F47"/>
    <w:rsid w:val="005D50F5"/>
    <w:rsid w:val="005D516B"/>
    <w:rsid w:val="005D5240"/>
    <w:rsid w:val="005D534E"/>
    <w:rsid w:val="005D5660"/>
    <w:rsid w:val="005D5785"/>
    <w:rsid w:val="005D58B3"/>
    <w:rsid w:val="005D5C2D"/>
    <w:rsid w:val="005D5CC2"/>
    <w:rsid w:val="005D5D92"/>
    <w:rsid w:val="005D5D9D"/>
    <w:rsid w:val="005D5DAA"/>
    <w:rsid w:val="005D5E01"/>
    <w:rsid w:val="005D5E03"/>
    <w:rsid w:val="005D5FEA"/>
    <w:rsid w:val="005D60B4"/>
    <w:rsid w:val="005D61E3"/>
    <w:rsid w:val="005D6225"/>
    <w:rsid w:val="005D62F2"/>
    <w:rsid w:val="005D63F3"/>
    <w:rsid w:val="005D648B"/>
    <w:rsid w:val="005D6501"/>
    <w:rsid w:val="005D666E"/>
    <w:rsid w:val="005D6842"/>
    <w:rsid w:val="005D6861"/>
    <w:rsid w:val="005D69E6"/>
    <w:rsid w:val="005D6B62"/>
    <w:rsid w:val="005D6D84"/>
    <w:rsid w:val="005D6E86"/>
    <w:rsid w:val="005D6ED1"/>
    <w:rsid w:val="005D6F4C"/>
    <w:rsid w:val="005D704D"/>
    <w:rsid w:val="005D71A1"/>
    <w:rsid w:val="005D74F5"/>
    <w:rsid w:val="005D7576"/>
    <w:rsid w:val="005D7842"/>
    <w:rsid w:val="005D7A4A"/>
    <w:rsid w:val="005D7BC7"/>
    <w:rsid w:val="005D7D1E"/>
    <w:rsid w:val="005D7D5C"/>
    <w:rsid w:val="005D7F1E"/>
    <w:rsid w:val="005D7FCB"/>
    <w:rsid w:val="005E0005"/>
    <w:rsid w:val="005E00C3"/>
    <w:rsid w:val="005E019A"/>
    <w:rsid w:val="005E01D9"/>
    <w:rsid w:val="005E025E"/>
    <w:rsid w:val="005E0348"/>
    <w:rsid w:val="005E03B5"/>
    <w:rsid w:val="005E0471"/>
    <w:rsid w:val="005E0571"/>
    <w:rsid w:val="005E05AF"/>
    <w:rsid w:val="005E05E6"/>
    <w:rsid w:val="005E06FC"/>
    <w:rsid w:val="005E08CB"/>
    <w:rsid w:val="005E09C9"/>
    <w:rsid w:val="005E0A3F"/>
    <w:rsid w:val="005E0AC7"/>
    <w:rsid w:val="005E0B62"/>
    <w:rsid w:val="005E0B9A"/>
    <w:rsid w:val="005E0BD0"/>
    <w:rsid w:val="005E0D36"/>
    <w:rsid w:val="005E0DED"/>
    <w:rsid w:val="005E0ED8"/>
    <w:rsid w:val="005E0EE7"/>
    <w:rsid w:val="005E0F00"/>
    <w:rsid w:val="005E1105"/>
    <w:rsid w:val="005E116A"/>
    <w:rsid w:val="005E1320"/>
    <w:rsid w:val="005E155D"/>
    <w:rsid w:val="005E1934"/>
    <w:rsid w:val="005E19EF"/>
    <w:rsid w:val="005E1B99"/>
    <w:rsid w:val="005E1C28"/>
    <w:rsid w:val="005E1CBD"/>
    <w:rsid w:val="005E2192"/>
    <w:rsid w:val="005E2273"/>
    <w:rsid w:val="005E22D2"/>
    <w:rsid w:val="005E2335"/>
    <w:rsid w:val="005E2355"/>
    <w:rsid w:val="005E246F"/>
    <w:rsid w:val="005E259E"/>
    <w:rsid w:val="005E25AE"/>
    <w:rsid w:val="005E25D7"/>
    <w:rsid w:val="005E284C"/>
    <w:rsid w:val="005E2AF7"/>
    <w:rsid w:val="005E2B27"/>
    <w:rsid w:val="005E2B9A"/>
    <w:rsid w:val="005E2C29"/>
    <w:rsid w:val="005E2D28"/>
    <w:rsid w:val="005E2D6C"/>
    <w:rsid w:val="005E2E7B"/>
    <w:rsid w:val="005E31B7"/>
    <w:rsid w:val="005E32AB"/>
    <w:rsid w:val="005E32D7"/>
    <w:rsid w:val="005E3345"/>
    <w:rsid w:val="005E339B"/>
    <w:rsid w:val="005E3480"/>
    <w:rsid w:val="005E34F6"/>
    <w:rsid w:val="005E356A"/>
    <w:rsid w:val="005E35A5"/>
    <w:rsid w:val="005E3611"/>
    <w:rsid w:val="005E36F2"/>
    <w:rsid w:val="005E37F4"/>
    <w:rsid w:val="005E3819"/>
    <w:rsid w:val="005E389E"/>
    <w:rsid w:val="005E38F8"/>
    <w:rsid w:val="005E396E"/>
    <w:rsid w:val="005E3AC0"/>
    <w:rsid w:val="005E3B3F"/>
    <w:rsid w:val="005E3B44"/>
    <w:rsid w:val="005E3B90"/>
    <w:rsid w:val="005E3C03"/>
    <w:rsid w:val="005E3D0D"/>
    <w:rsid w:val="005E3D59"/>
    <w:rsid w:val="005E3E3A"/>
    <w:rsid w:val="005E3E57"/>
    <w:rsid w:val="005E3F13"/>
    <w:rsid w:val="005E4043"/>
    <w:rsid w:val="005E40BB"/>
    <w:rsid w:val="005E41C9"/>
    <w:rsid w:val="005E4313"/>
    <w:rsid w:val="005E44CE"/>
    <w:rsid w:val="005E459D"/>
    <w:rsid w:val="005E45F9"/>
    <w:rsid w:val="005E4668"/>
    <w:rsid w:val="005E46FD"/>
    <w:rsid w:val="005E4731"/>
    <w:rsid w:val="005E4896"/>
    <w:rsid w:val="005E4A81"/>
    <w:rsid w:val="005E4AF5"/>
    <w:rsid w:val="005E4B5A"/>
    <w:rsid w:val="005E4B7E"/>
    <w:rsid w:val="005E4BB7"/>
    <w:rsid w:val="005E4D99"/>
    <w:rsid w:val="005E4E0F"/>
    <w:rsid w:val="005E4F73"/>
    <w:rsid w:val="005E509B"/>
    <w:rsid w:val="005E50E3"/>
    <w:rsid w:val="005E50EE"/>
    <w:rsid w:val="005E51F2"/>
    <w:rsid w:val="005E5270"/>
    <w:rsid w:val="005E5505"/>
    <w:rsid w:val="005E5601"/>
    <w:rsid w:val="005E5744"/>
    <w:rsid w:val="005E5896"/>
    <w:rsid w:val="005E5B38"/>
    <w:rsid w:val="005E5D01"/>
    <w:rsid w:val="005E604E"/>
    <w:rsid w:val="005E605B"/>
    <w:rsid w:val="005E63A2"/>
    <w:rsid w:val="005E66C0"/>
    <w:rsid w:val="005E6736"/>
    <w:rsid w:val="005E678F"/>
    <w:rsid w:val="005E67E4"/>
    <w:rsid w:val="005E6825"/>
    <w:rsid w:val="005E6A6E"/>
    <w:rsid w:val="005E6A86"/>
    <w:rsid w:val="005E6C0A"/>
    <w:rsid w:val="005E6DEA"/>
    <w:rsid w:val="005E6FCF"/>
    <w:rsid w:val="005E70FA"/>
    <w:rsid w:val="005E724B"/>
    <w:rsid w:val="005E7293"/>
    <w:rsid w:val="005E738D"/>
    <w:rsid w:val="005E73A3"/>
    <w:rsid w:val="005E744C"/>
    <w:rsid w:val="005E7583"/>
    <w:rsid w:val="005E76F1"/>
    <w:rsid w:val="005E7852"/>
    <w:rsid w:val="005E78AB"/>
    <w:rsid w:val="005E7952"/>
    <w:rsid w:val="005E798A"/>
    <w:rsid w:val="005E7A7F"/>
    <w:rsid w:val="005E7CD6"/>
    <w:rsid w:val="005E7E6E"/>
    <w:rsid w:val="005E7FF5"/>
    <w:rsid w:val="005F008B"/>
    <w:rsid w:val="005F01FE"/>
    <w:rsid w:val="005F0257"/>
    <w:rsid w:val="005F043F"/>
    <w:rsid w:val="005F05B0"/>
    <w:rsid w:val="005F05F1"/>
    <w:rsid w:val="005F066D"/>
    <w:rsid w:val="005F067B"/>
    <w:rsid w:val="005F06BF"/>
    <w:rsid w:val="005F06F3"/>
    <w:rsid w:val="005F074F"/>
    <w:rsid w:val="005F0754"/>
    <w:rsid w:val="005F07D0"/>
    <w:rsid w:val="005F07F3"/>
    <w:rsid w:val="005F08EE"/>
    <w:rsid w:val="005F0AB2"/>
    <w:rsid w:val="005F0C5B"/>
    <w:rsid w:val="005F0D31"/>
    <w:rsid w:val="005F0D3F"/>
    <w:rsid w:val="005F0D67"/>
    <w:rsid w:val="005F0DB6"/>
    <w:rsid w:val="005F0F9E"/>
    <w:rsid w:val="005F108F"/>
    <w:rsid w:val="005F127A"/>
    <w:rsid w:val="005F129F"/>
    <w:rsid w:val="005F139D"/>
    <w:rsid w:val="005F13D7"/>
    <w:rsid w:val="005F144A"/>
    <w:rsid w:val="005F160F"/>
    <w:rsid w:val="005F1630"/>
    <w:rsid w:val="005F16A5"/>
    <w:rsid w:val="005F16E2"/>
    <w:rsid w:val="005F1703"/>
    <w:rsid w:val="005F1A0A"/>
    <w:rsid w:val="005F1A93"/>
    <w:rsid w:val="005F1CC1"/>
    <w:rsid w:val="005F1E79"/>
    <w:rsid w:val="005F1FDE"/>
    <w:rsid w:val="005F20E0"/>
    <w:rsid w:val="005F22BC"/>
    <w:rsid w:val="005F2311"/>
    <w:rsid w:val="005F2585"/>
    <w:rsid w:val="005F27A9"/>
    <w:rsid w:val="005F293C"/>
    <w:rsid w:val="005F296B"/>
    <w:rsid w:val="005F296F"/>
    <w:rsid w:val="005F2A5E"/>
    <w:rsid w:val="005F2AA0"/>
    <w:rsid w:val="005F2ACD"/>
    <w:rsid w:val="005F2B04"/>
    <w:rsid w:val="005F2C37"/>
    <w:rsid w:val="005F2CBA"/>
    <w:rsid w:val="005F2CC1"/>
    <w:rsid w:val="005F2D6A"/>
    <w:rsid w:val="005F2EF8"/>
    <w:rsid w:val="005F2F4A"/>
    <w:rsid w:val="005F306C"/>
    <w:rsid w:val="005F3183"/>
    <w:rsid w:val="005F320F"/>
    <w:rsid w:val="005F323A"/>
    <w:rsid w:val="005F3284"/>
    <w:rsid w:val="005F32B4"/>
    <w:rsid w:val="005F3330"/>
    <w:rsid w:val="005F3473"/>
    <w:rsid w:val="005F34D0"/>
    <w:rsid w:val="005F37CD"/>
    <w:rsid w:val="005F38E3"/>
    <w:rsid w:val="005F3984"/>
    <w:rsid w:val="005F39DE"/>
    <w:rsid w:val="005F3A83"/>
    <w:rsid w:val="005F3B87"/>
    <w:rsid w:val="005F3CA2"/>
    <w:rsid w:val="005F3CE6"/>
    <w:rsid w:val="005F3F60"/>
    <w:rsid w:val="005F4014"/>
    <w:rsid w:val="005F4123"/>
    <w:rsid w:val="005F41D3"/>
    <w:rsid w:val="005F4308"/>
    <w:rsid w:val="005F437A"/>
    <w:rsid w:val="005F4381"/>
    <w:rsid w:val="005F438D"/>
    <w:rsid w:val="005F43D1"/>
    <w:rsid w:val="005F43D9"/>
    <w:rsid w:val="005F441B"/>
    <w:rsid w:val="005F4423"/>
    <w:rsid w:val="005F446D"/>
    <w:rsid w:val="005F453C"/>
    <w:rsid w:val="005F463C"/>
    <w:rsid w:val="005F46EF"/>
    <w:rsid w:val="005F48FC"/>
    <w:rsid w:val="005F4D6A"/>
    <w:rsid w:val="005F4DA5"/>
    <w:rsid w:val="005F4F5E"/>
    <w:rsid w:val="005F4F96"/>
    <w:rsid w:val="005F507A"/>
    <w:rsid w:val="005F51C8"/>
    <w:rsid w:val="005F51E3"/>
    <w:rsid w:val="005F52FC"/>
    <w:rsid w:val="005F5392"/>
    <w:rsid w:val="005F5474"/>
    <w:rsid w:val="005F5540"/>
    <w:rsid w:val="005F592F"/>
    <w:rsid w:val="005F59FE"/>
    <w:rsid w:val="005F5A3E"/>
    <w:rsid w:val="005F5A68"/>
    <w:rsid w:val="005F5B57"/>
    <w:rsid w:val="005F5B78"/>
    <w:rsid w:val="005F5B9C"/>
    <w:rsid w:val="005F5ECB"/>
    <w:rsid w:val="005F5FD0"/>
    <w:rsid w:val="005F5FD1"/>
    <w:rsid w:val="005F600E"/>
    <w:rsid w:val="005F60AA"/>
    <w:rsid w:val="005F6200"/>
    <w:rsid w:val="005F6379"/>
    <w:rsid w:val="005F648C"/>
    <w:rsid w:val="005F64B0"/>
    <w:rsid w:val="005F6563"/>
    <w:rsid w:val="005F6662"/>
    <w:rsid w:val="005F6706"/>
    <w:rsid w:val="005F671C"/>
    <w:rsid w:val="005F688A"/>
    <w:rsid w:val="005F68F7"/>
    <w:rsid w:val="005F6B5E"/>
    <w:rsid w:val="005F6BEF"/>
    <w:rsid w:val="005F6CB4"/>
    <w:rsid w:val="005F6FEA"/>
    <w:rsid w:val="005F7032"/>
    <w:rsid w:val="005F70F1"/>
    <w:rsid w:val="005F71AB"/>
    <w:rsid w:val="005F71E7"/>
    <w:rsid w:val="005F7338"/>
    <w:rsid w:val="005F73AD"/>
    <w:rsid w:val="005F7409"/>
    <w:rsid w:val="005F7628"/>
    <w:rsid w:val="005F7739"/>
    <w:rsid w:val="005F79CE"/>
    <w:rsid w:val="005F7A3A"/>
    <w:rsid w:val="005F7BE0"/>
    <w:rsid w:val="005F7CC2"/>
    <w:rsid w:val="005F7EB4"/>
    <w:rsid w:val="005F7F7D"/>
    <w:rsid w:val="006002FC"/>
    <w:rsid w:val="006003B5"/>
    <w:rsid w:val="00600444"/>
    <w:rsid w:val="00600464"/>
    <w:rsid w:val="0060048E"/>
    <w:rsid w:val="00600738"/>
    <w:rsid w:val="006007CC"/>
    <w:rsid w:val="00600C50"/>
    <w:rsid w:val="00600C71"/>
    <w:rsid w:val="00600F97"/>
    <w:rsid w:val="0060105C"/>
    <w:rsid w:val="0060105D"/>
    <w:rsid w:val="0060107F"/>
    <w:rsid w:val="006011B6"/>
    <w:rsid w:val="006012FD"/>
    <w:rsid w:val="00601316"/>
    <w:rsid w:val="00601374"/>
    <w:rsid w:val="006013D5"/>
    <w:rsid w:val="006013DD"/>
    <w:rsid w:val="00601419"/>
    <w:rsid w:val="00601428"/>
    <w:rsid w:val="00601463"/>
    <w:rsid w:val="006016B0"/>
    <w:rsid w:val="006016EC"/>
    <w:rsid w:val="00601782"/>
    <w:rsid w:val="0060188F"/>
    <w:rsid w:val="0060189B"/>
    <w:rsid w:val="00601A10"/>
    <w:rsid w:val="00601ABE"/>
    <w:rsid w:val="00601B18"/>
    <w:rsid w:val="00601C11"/>
    <w:rsid w:val="00601D15"/>
    <w:rsid w:val="00601E52"/>
    <w:rsid w:val="00601F05"/>
    <w:rsid w:val="006021E3"/>
    <w:rsid w:val="0060230B"/>
    <w:rsid w:val="0060230F"/>
    <w:rsid w:val="0060254C"/>
    <w:rsid w:val="00602592"/>
    <w:rsid w:val="006026C6"/>
    <w:rsid w:val="00602806"/>
    <w:rsid w:val="006028EB"/>
    <w:rsid w:val="00602CE0"/>
    <w:rsid w:val="00602D33"/>
    <w:rsid w:val="00602D6D"/>
    <w:rsid w:val="00602FEB"/>
    <w:rsid w:val="00603104"/>
    <w:rsid w:val="00603146"/>
    <w:rsid w:val="00603247"/>
    <w:rsid w:val="00603270"/>
    <w:rsid w:val="0060341A"/>
    <w:rsid w:val="00603692"/>
    <w:rsid w:val="006037C5"/>
    <w:rsid w:val="00603836"/>
    <w:rsid w:val="00603997"/>
    <w:rsid w:val="00603A92"/>
    <w:rsid w:val="00603AF2"/>
    <w:rsid w:val="00603B44"/>
    <w:rsid w:val="00603D45"/>
    <w:rsid w:val="00603DB7"/>
    <w:rsid w:val="00603F90"/>
    <w:rsid w:val="00604066"/>
    <w:rsid w:val="00604159"/>
    <w:rsid w:val="00604190"/>
    <w:rsid w:val="00604215"/>
    <w:rsid w:val="00604347"/>
    <w:rsid w:val="0060440B"/>
    <w:rsid w:val="006044FD"/>
    <w:rsid w:val="006045C7"/>
    <w:rsid w:val="0060470E"/>
    <w:rsid w:val="00604847"/>
    <w:rsid w:val="0060487D"/>
    <w:rsid w:val="00604895"/>
    <w:rsid w:val="0060495F"/>
    <w:rsid w:val="00604E61"/>
    <w:rsid w:val="00605015"/>
    <w:rsid w:val="006050ED"/>
    <w:rsid w:val="00605114"/>
    <w:rsid w:val="0060515E"/>
    <w:rsid w:val="00605192"/>
    <w:rsid w:val="00605238"/>
    <w:rsid w:val="006052E2"/>
    <w:rsid w:val="00605385"/>
    <w:rsid w:val="0060546F"/>
    <w:rsid w:val="006054BA"/>
    <w:rsid w:val="0060567C"/>
    <w:rsid w:val="006056BF"/>
    <w:rsid w:val="006056DD"/>
    <w:rsid w:val="006056DF"/>
    <w:rsid w:val="0060591B"/>
    <w:rsid w:val="00605C82"/>
    <w:rsid w:val="00605CFC"/>
    <w:rsid w:val="00605D6F"/>
    <w:rsid w:val="00605F0D"/>
    <w:rsid w:val="00605F3B"/>
    <w:rsid w:val="00606047"/>
    <w:rsid w:val="00606268"/>
    <w:rsid w:val="0060644A"/>
    <w:rsid w:val="006064EB"/>
    <w:rsid w:val="006064FA"/>
    <w:rsid w:val="006065FA"/>
    <w:rsid w:val="0060683B"/>
    <w:rsid w:val="00606915"/>
    <w:rsid w:val="00606AD6"/>
    <w:rsid w:val="00606B11"/>
    <w:rsid w:val="00606BA2"/>
    <w:rsid w:val="00606BAB"/>
    <w:rsid w:val="00606BC1"/>
    <w:rsid w:val="00606CA6"/>
    <w:rsid w:val="00606EAE"/>
    <w:rsid w:val="00607199"/>
    <w:rsid w:val="0060724B"/>
    <w:rsid w:val="00607315"/>
    <w:rsid w:val="0060733B"/>
    <w:rsid w:val="006073AA"/>
    <w:rsid w:val="00607547"/>
    <w:rsid w:val="006076DE"/>
    <w:rsid w:val="00607887"/>
    <w:rsid w:val="006078E7"/>
    <w:rsid w:val="00607A23"/>
    <w:rsid w:val="00607ACC"/>
    <w:rsid w:val="00607B2B"/>
    <w:rsid w:val="00607B47"/>
    <w:rsid w:val="00607BAC"/>
    <w:rsid w:val="00607D55"/>
    <w:rsid w:val="00607DD0"/>
    <w:rsid w:val="00607F1D"/>
    <w:rsid w:val="0061000E"/>
    <w:rsid w:val="00610028"/>
    <w:rsid w:val="00610155"/>
    <w:rsid w:val="006103B9"/>
    <w:rsid w:val="0061050B"/>
    <w:rsid w:val="0061053E"/>
    <w:rsid w:val="00610568"/>
    <w:rsid w:val="006105FC"/>
    <w:rsid w:val="0061065F"/>
    <w:rsid w:val="006106D8"/>
    <w:rsid w:val="00610768"/>
    <w:rsid w:val="00610769"/>
    <w:rsid w:val="0061095D"/>
    <w:rsid w:val="0061098E"/>
    <w:rsid w:val="00610995"/>
    <w:rsid w:val="00610B75"/>
    <w:rsid w:val="00610B9B"/>
    <w:rsid w:val="00610C16"/>
    <w:rsid w:val="00610E2C"/>
    <w:rsid w:val="00610E32"/>
    <w:rsid w:val="00610E5A"/>
    <w:rsid w:val="00610E60"/>
    <w:rsid w:val="00610F00"/>
    <w:rsid w:val="00610F10"/>
    <w:rsid w:val="00610F1A"/>
    <w:rsid w:val="00611021"/>
    <w:rsid w:val="00611066"/>
    <w:rsid w:val="00611115"/>
    <w:rsid w:val="00611158"/>
    <w:rsid w:val="0061121B"/>
    <w:rsid w:val="0061130A"/>
    <w:rsid w:val="006113DD"/>
    <w:rsid w:val="006114A4"/>
    <w:rsid w:val="006114F1"/>
    <w:rsid w:val="0061156C"/>
    <w:rsid w:val="00611735"/>
    <w:rsid w:val="006117E5"/>
    <w:rsid w:val="00611BE8"/>
    <w:rsid w:val="00611C04"/>
    <w:rsid w:val="00611D80"/>
    <w:rsid w:val="00611DDE"/>
    <w:rsid w:val="00611DE6"/>
    <w:rsid w:val="00611E1D"/>
    <w:rsid w:val="00611FA2"/>
    <w:rsid w:val="00611FC2"/>
    <w:rsid w:val="006120C3"/>
    <w:rsid w:val="006121A8"/>
    <w:rsid w:val="006121E7"/>
    <w:rsid w:val="00612231"/>
    <w:rsid w:val="006124DC"/>
    <w:rsid w:val="006125D9"/>
    <w:rsid w:val="00612602"/>
    <w:rsid w:val="006126C4"/>
    <w:rsid w:val="00612783"/>
    <w:rsid w:val="0061283E"/>
    <w:rsid w:val="0061297F"/>
    <w:rsid w:val="00612A3A"/>
    <w:rsid w:val="00612A79"/>
    <w:rsid w:val="00612B02"/>
    <w:rsid w:val="00612B59"/>
    <w:rsid w:val="00612C2F"/>
    <w:rsid w:val="00612DDC"/>
    <w:rsid w:val="00612E91"/>
    <w:rsid w:val="00612F65"/>
    <w:rsid w:val="00612FFE"/>
    <w:rsid w:val="006131A0"/>
    <w:rsid w:val="00613220"/>
    <w:rsid w:val="00613265"/>
    <w:rsid w:val="006132E5"/>
    <w:rsid w:val="006133AF"/>
    <w:rsid w:val="00613400"/>
    <w:rsid w:val="006135B1"/>
    <w:rsid w:val="006136AA"/>
    <w:rsid w:val="0061389B"/>
    <w:rsid w:val="006138E9"/>
    <w:rsid w:val="006138FC"/>
    <w:rsid w:val="00613B1E"/>
    <w:rsid w:val="00613C72"/>
    <w:rsid w:val="00613CAD"/>
    <w:rsid w:val="00613D79"/>
    <w:rsid w:val="00613DB6"/>
    <w:rsid w:val="00613E6F"/>
    <w:rsid w:val="00613FD5"/>
    <w:rsid w:val="00613FE4"/>
    <w:rsid w:val="006140E4"/>
    <w:rsid w:val="006141BB"/>
    <w:rsid w:val="00614270"/>
    <w:rsid w:val="00614364"/>
    <w:rsid w:val="00614422"/>
    <w:rsid w:val="00614510"/>
    <w:rsid w:val="00614691"/>
    <w:rsid w:val="0061469A"/>
    <w:rsid w:val="00614A81"/>
    <w:rsid w:val="00614B4C"/>
    <w:rsid w:val="00614B5D"/>
    <w:rsid w:val="00614BC0"/>
    <w:rsid w:val="00614F17"/>
    <w:rsid w:val="00615081"/>
    <w:rsid w:val="0061522E"/>
    <w:rsid w:val="0061523D"/>
    <w:rsid w:val="0061531C"/>
    <w:rsid w:val="00615433"/>
    <w:rsid w:val="0061547F"/>
    <w:rsid w:val="006154F8"/>
    <w:rsid w:val="0061552F"/>
    <w:rsid w:val="00615750"/>
    <w:rsid w:val="006157D4"/>
    <w:rsid w:val="00615835"/>
    <w:rsid w:val="00615879"/>
    <w:rsid w:val="006158B0"/>
    <w:rsid w:val="006158BC"/>
    <w:rsid w:val="0061593E"/>
    <w:rsid w:val="00615947"/>
    <w:rsid w:val="006159B1"/>
    <w:rsid w:val="006159DB"/>
    <w:rsid w:val="00615C1C"/>
    <w:rsid w:val="00615C31"/>
    <w:rsid w:val="00615C64"/>
    <w:rsid w:val="00615C66"/>
    <w:rsid w:val="00615D4E"/>
    <w:rsid w:val="00615D85"/>
    <w:rsid w:val="00615E36"/>
    <w:rsid w:val="00615E6E"/>
    <w:rsid w:val="00615EAC"/>
    <w:rsid w:val="0061601D"/>
    <w:rsid w:val="0061614D"/>
    <w:rsid w:val="006161FD"/>
    <w:rsid w:val="006164D8"/>
    <w:rsid w:val="006166B6"/>
    <w:rsid w:val="006166EE"/>
    <w:rsid w:val="00616A77"/>
    <w:rsid w:val="00616B32"/>
    <w:rsid w:val="00616BF3"/>
    <w:rsid w:val="00616CC1"/>
    <w:rsid w:val="00616D01"/>
    <w:rsid w:val="00616D66"/>
    <w:rsid w:val="00616E33"/>
    <w:rsid w:val="00616FA7"/>
    <w:rsid w:val="00616FCC"/>
    <w:rsid w:val="0061705A"/>
    <w:rsid w:val="0061708F"/>
    <w:rsid w:val="006170B5"/>
    <w:rsid w:val="006170D3"/>
    <w:rsid w:val="00617129"/>
    <w:rsid w:val="00617136"/>
    <w:rsid w:val="00617434"/>
    <w:rsid w:val="006174EC"/>
    <w:rsid w:val="0061770F"/>
    <w:rsid w:val="00617772"/>
    <w:rsid w:val="006178D3"/>
    <w:rsid w:val="00617AF7"/>
    <w:rsid w:val="00617BEF"/>
    <w:rsid w:val="00617C18"/>
    <w:rsid w:val="00617CF2"/>
    <w:rsid w:val="00617DFB"/>
    <w:rsid w:val="00617F28"/>
    <w:rsid w:val="00617F38"/>
    <w:rsid w:val="00620132"/>
    <w:rsid w:val="0062014C"/>
    <w:rsid w:val="0062024E"/>
    <w:rsid w:val="0062046E"/>
    <w:rsid w:val="0062053D"/>
    <w:rsid w:val="006207FE"/>
    <w:rsid w:val="006208A4"/>
    <w:rsid w:val="00620BE3"/>
    <w:rsid w:val="00620CC9"/>
    <w:rsid w:val="00620E74"/>
    <w:rsid w:val="00620F44"/>
    <w:rsid w:val="00620F53"/>
    <w:rsid w:val="00621170"/>
    <w:rsid w:val="006212EB"/>
    <w:rsid w:val="0062139C"/>
    <w:rsid w:val="00621495"/>
    <w:rsid w:val="00621496"/>
    <w:rsid w:val="006214C5"/>
    <w:rsid w:val="0062175B"/>
    <w:rsid w:val="006217BE"/>
    <w:rsid w:val="006217DB"/>
    <w:rsid w:val="006217F7"/>
    <w:rsid w:val="00621869"/>
    <w:rsid w:val="006219BF"/>
    <w:rsid w:val="00621ABD"/>
    <w:rsid w:val="00621C8F"/>
    <w:rsid w:val="00621CEE"/>
    <w:rsid w:val="00621D63"/>
    <w:rsid w:val="00621FC3"/>
    <w:rsid w:val="00622117"/>
    <w:rsid w:val="00622271"/>
    <w:rsid w:val="006222A9"/>
    <w:rsid w:val="0062260E"/>
    <w:rsid w:val="0062262B"/>
    <w:rsid w:val="00622646"/>
    <w:rsid w:val="0062264C"/>
    <w:rsid w:val="00622674"/>
    <w:rsid w:val="00622695"/>
    <w:rsid w:val="006226DB"/>
    <w:rsid w:val="00622863"/>
    <w:rsid w:val="00622A0D"/>
    <w:rsid w:val="00622A3D"/>
    <w:rsid w:val="00622B50"/>
    <w:rsid w:val="00622BD9"/>
    <w:rsid w:val="00622C1B"/>
    <w:rsid w:val="00622CF3"/>
    <w:rsid w:val="00622D2B"/>
    <w:rsid w:val="00622E09"/>
    <w:rsid w:val="00622FD4"/>
    <w:rsid w:val="00622FE8"/>
    <w:rsid w:val="00623048"/>
    <w:rsid w:val="00623136"/>
    <w:rsid w:val="00623247"/>
    <w:rsid w:val="006232D8"/>
    <w:rsid w:val="00623483"/>
    <w:rsid w:val="00623514"/>
    <w:rsid w:val="00623629"/>
    <w:rsid w:val="00623646"/>
    <w:rsid w:val="00623688"/>
    <w:rsid w:val="006237BD"/>
    <w:rsid w:val="006239A2"/>
    <w:rsid w:val="00623A4D"/>
    <w:rsid w:val="00623B26"/>
    <w:rsid w:val="00623E48"/>
    <w:rsid w:val="00623F99"/>
    <w:rsid w:val="00624091"/>
    <w:rsid w:val="006240CA"/>
    <w:rsid w:val="006242BC"/>
    <w:rsid w:val="00624360"/>
    <w:rsid w:val="00624419"/>
    <w:rsid w:val="00624425"/>
    <w:rsid w:val="006244C6"/>
    <w:rsid w:val="006246DF"/>
    <w:rsid w:val="006247F0"/>
    <w:rsid w:val="0062483C"/>
    <w:rsid w:val="006249C5"/>
    <w:rsid w:val="00624A02"/>
    <w:rsid w:val="00624ACB"/>
    <w:rsid w:val="00624AD0"/>
    <w:rsid w:val="00624B0F"/>
    <w:rsid w:val="00624B90"/>
    <w:rsid w:val="00624CCE"/>
    <w:rsid w:val="00624DE9"/>
    <w:rsid w:val="00624F7C"/>
    <w:rsid w:val="00624FFB"/>
    <w:rsid w:val="006251B6"/>
    <w:rsid w:val="00625260"/>
    <w:rsid w:val="00625295"/>
    <w:rsid w:val="006253FB"/>
    <w:rsid w:val="0062547A"/>
    <w:rsid w:val="006255A4"/>
    <w:rsid w:val="006256AF"/>
    <w:rsid w:val="00625736"/>
    <w:rsid w:val="0062574D"/>
    <w:rsid w:val="00625785"/>
    <w:rsid w:val="00625990"/>
    <w:rsid w:val="006259FD"/>
    <w:rsid w:val="00625BF7"/>
    <w:rsid w:val="00625C03"/>
    <w:rsid w:val="00625CFF"/>
    <w:rsid w:val="00625D0B"/>
    <w:rsid w:val="00625D1F"/>
    <w:rsid w:val="00625DB5"/>
    <w:rsid w:val="00625E73"/>
    <w:rsid w:val="00625F26"/>
    <w:rsid w:val="00625F84"/>
    <w:rsid w:val="00626072"/>
    <w:rsid w:val="006260DF"/>
    <w:rsid w:val="0062615D"/>
    <w:rsid w:val="006261C8"/>
    <w:rsid w:val="00626272"/>
    <w:rsid w:val="006263DB"/>
    <w:rsid w:val="00626420"/>
    <w:rsid w:val="00626492"/>
    <w:rsid w:val="00626516"/>
    <w:rsid w:val="0062656F"/>
    <w:rsid w:val="00626667"/>
    <w:rsid w:val="00626716"/>
    <w:rsid w:val="0062680B"/>
    <w:rsid w:val="00626BB3"/>
    <w:rsid w:val="00626DF6"/>
    <w:rsid w:val="00626E9C"/>
    <w:rsid w:val="0062705D"/>
    <w:rsid w:val="006270D4"/>
    <w:rsid w:val="006270E1"/>
    <w:rsid w:val="006274C0"/>
    <w:rsid w:val="006275AC"/>
    <w:rsid w:val="00627632"/>
    <w:rsid w:val="00627788"/>
    <w:rsid w:val="006278CA"/>
    <w:rsid w:val="00627ABC"/>
    <w:rsid w:val="00627B59"/>
    <w:rsid w:val="00627BFD"/>
    <w:rsid w:val="00627C4D"/>
    <w:rsid w:val="00627C61"/>
    <w:rsid w:val="00627D4F"/>
    <w:rsid w:val="00627D91"/>
    <w:rsid w:val="00630176"/>
    <w:rsid w:val="0063023B"/>
    <w:rsid w:val="006302B2"/>
    <w:rsid w:val="006302C2"/>
    <w:rsid w:val="0063032A"/>
    <w:rsid w:val="00630482"/>
    <w:rsid w:val="00630598"/>
    <w:rsid w:val="0063074F"/>
    <w:rsid w:val="00630802"/>
    <w:rsid w:val="0063082B"/>
    <w:rsid w:val="006309A5"/>
    <w:rsid w:val="006309CF"/>
    <w:rsid w:val="00630C20"/>
    <w:rsid w:val="00630CF3"/>
    <w:rsid w:val="00630D1F"/>
    <w:rsid w:val="00630D24"/>
    <w:rsid w:val="00630D5B"/>
    <w:rsid w:val="00630E8B"/>
    <w:rsid w:val="00630EC1"/>
    <w:rsid w:val="00631037"/>
    <w:rsid w:val="0063147B"/>
    <w:rsid w:val="006315DB"/>
    <w:rsid w:val="006315F7"/>
    <w:rsid w:val="00631836"/>
    <w:rsid w:val="006319AA"/>
    <w:rsid w:val="006319F3"/>
    <w:rsid w:val="006319FA"/>
    <w:rsid w:val="00631AB0"/>
    <w:rsid w:val="00631B79"/>
    <w:rsid w:val="00631BF4"/>
    <w:rsid w:val="00631C34"/>
    <w:rsid w:val="00631DEA"/>
    <w:rsid w:val="00631F3E"/>
    <w:rsid w:val="00632062"/>
    <w:rsid w:val="00632161"/>
    <w:rsid w:val="006323E8"/>
    <w:rsid w:val="0063264E"/>
    <w:rsid w:val="006326E7"/>
    <w:rsid w:val="00632882"/>
    <w:rsid w:val="006329D3"/>
    <w:rsid w:val="00632A70"/>
    <w:rsid w:val="00632D03"/>
    <w:rsid w:val="00632E2C"/>
    <w:rsid w:val="00632E46"/>
    <w:rsid w:val="00632F3E"/>
    <w:rsid w:val="0063300A"/>
    <w:rsid w:val="0063315F"/>
    <w:rsid w:val="006332B7"/>
    <w:rsid w:val="00633483"/>
    <w:rsid w:val="00633498"/>
    <w:rsid w:val="00633541"/>
    <w:rsid w:val="00633691"/>
    <w:rsid w:val="00633699"/>
    <w:rsid w:val="00633735"/>
    <w:rsid w:val="00633876"/>
    <w:rsid w:val="00633C39"/>
    <w:rsid w:val="00633F32"/>
    <w:rsid w:val="00633F42"/>
    <w:rsid w:val="00633F7B"/>
    <w:rsid w:val="00634228"/>
    <w:rsid w:val="0063422C"/>
    <w:rsid w:val="006342A2"/>
    <w:rsid w:val="00634388"/>
    <w:rsid w:val="00634526"/>
    <w:rsid w:val="00634636"/>
    <w:rsid w:val="00634643"/>
    <w:rsid w:val="00634726"/>
    <w:rsid w:val="006347EB"/>
    <w:rsid w:val="006349C3"/>
    <w:rsid w:val="00634A70"/>
    <w:rsid w:val="00634A96"/>
    <w:rsid w:val="00634AAF"/>
    <w:rsid w:val="00634B36"/>
    <w:rsid w:val="00634B66"/>
    <w:rsid w:val="00634B6A"/>
    <w:rsid w:val="00634BA1"/>
    <w:rsid w:val="00634C9B"/>
    <w:rsid w:val="00634D1F"/>
    <w:rsid w:val="00634E70"/>
    <w:rsid w:val="00634E90"/>
    <w:rsid w:val="00634F21"/>
    <w:rsid w:val="00634F45"/>
    <w:rsid w:val="00635021"/>
    <w:rsid w:val="006353A3"/>
    <w:rsid w:val="00635407"/>
    <w:rsid w:val="0063556F"/>
    <w:rsid w:val="006355E4"/>
    <w:rsid w:val="00635813"/>
    <w:rsid w:val="00635921"/>
    <w:rsid w:val="00635929"/>
    <w:rsid w:val="00635933"/>
    <w:rsid w:val="00635999"/>
    <w:rsid w:val="006359DA"/>
    <w:rsid w:val="00635ABB"/>
    <w:rsid w:val="00635AD9"/>
    <w:rsid w:val="00635CB0"/>
    <w:rsid w:val="00635CE4"/>
    <w:rsid w:val="00635CEF"/>
    <w:rsid w:val="00635D53"/>
    <w:rsid w:val="00635EE8"/>
    <w:rsid w:val="00635F08"/>
    <w:rsid w:val="00635F69"/>
    <w:rsid w:val="00635FF0"/>
    <w:rsid w:val="00636020"/>
    <w:rsid w:val="00636061"/>
    <w:rsid w:val="0063619F"/>
    <w:rsid w:val="006361AC"/>
    <w:rsid w:val="00636514"/>
    <w:rsid w:val="0063664F"/>
    <w:rsid w:val="006366C9"/>
    <w:rsid w:val="00636788"/>
    <w:rsid w:val="00636832"/>
    <w:rsid w:val="00636A8D"/>
    <w:rsid w:val="00636B01"/>
    <w:rsid w:val="00636B34"/>
    <w:rsid w:val="00636CEB"/>
    <w:rsid w:val="00636D40"/>
    <w:rsid w:val="00636EF0"/>
    <w:rsid w:val="006370C0"/>
    <w:rsid w:val="00637130"/>
    <w:rsid w:val="00637188"/>
    <w:rsid w:val="006374ED"/>
    <w:rsid w:val="00637693"/>
    <w:rsid w:val="006376B6"/>
    <w:rsid w:val="00637835"/>
    <w:rsid w:val="00637AAB"/>
    <w:rsid w:val="00637B05"/>
    <w:rsid w:val="00637B77"/>
    <w:rsid w:val="00637BA7"/>
    <w:rsid w:val="00637C42"/>
    <w:rsid w:val="00637C9C"/>
    <w:rsid w:val="00637CCD"/>
    <w:rsid w:val="00637CDD"/>
    <w:rsid w:val="00637F45"/>
    <w:rsid w:val="00637F67"/>
    <w:rsid w:val="00637F6A"/>
    <w:rsid w:val="00637FF5"/>
    <w:rsid w:val="0064001C"/>
    <w:rsid w:val="006401C1"/>
    <w:rsid w:val="0064032A"/>
    <w:rsid w:val="00640503"/>
    <w:rsid w:val="00640A7B"/>
    <w:rsid w:val="00640AD0"/>
    <w:rsid w:val="00640B21"/>
    <w:rsid w:val="00640B43"/>
    <w:rsid w:val="00640C0F"/>
    <w:rsid w:val="00640C47"/>
    <w:rsid w:val="00640C5F"/>
    <w:rsid w:val="00640E4D"/>
    <w:rsid w:val="00640E60"/>
    <w:rsid w:val="00640F40"/>
    <w:rsid w:val="00640FA9"/>
    <w:rsid w:val="0064110B"/>
    <w:rsid w:val="0064112F"/>
    <w:rsid w:val="00641180"/>
    <w:rsid w:val="00641254"/>
    <w:rsid w:val="00641446"/>
    <w:rsid w:val="00641483"/>
    <w:rsid w:val="00641547"/>
    <w:rsid w:val="00641703"/>
    <w:rsid w:val="0064175A"/>
    <w:rsid w:val="006417E2"/>
    <w:rsid w:val="00641845"/>
    <w:rsid w:val="00641979"/>
    <w:rsid w:val="00641A2D"/>
    <w:rsid w:val="00641A2F"/>
    <w:rsid w:val="00641CB4"/>
    <w:rsid w:val="00641F1E"/>
    <w:rsid w:val="006421E1"/>
    <w:rsid w:val="0064263E"/>
    <w:rsid w:val="0064285B"/>
    <w:rsid w:val="00642B65"/>
    <w:rsid w:val="00642C46"/>
    <w:rsid w:val="00642DEA"/>
    <w:rsid w:val="00642FA8"/>
    <w:rsid w:val="00643053"/>
    <w:rsid w:val="006431B1"/>
    <w:rsid w:val="006431FB"/>
    <w:rsid w:val="00643492"/>
    <w:rsid w:val="006434DD"/>
    <w:rsid w:val="00643620"/>
    <w:rsid w:val="006436D6"/>
    <w:rsid w:val="00643779"/>
    <w:rsid w:val="0064394C"/>
    <w:rsid w:val="00643D47"/>
    <w:rsid w:val="00643D59"/>
    <w:rsid w:val="00643DA8"/>
    <w:rsid w:val="00643DD9"/>
    <w:rsid w:val="00643F11"/>
    <w:rsid w:val="00643FDD"/>
    <w:rsid w:val="00644159"/>
    <w:rsid w:val="0064444F"/>
    <w:rsid w:val="006444EC"/>
    <w:rsid w:val="006449DD"/>
    <w:rsid w:val="00644A60"/>
    <w:rsid w:val="00644BA8"/>
    <w:rsid w:val="00644C11"/>
    <w:rsid w:val="00644E1C"/>
    <w:rsid w:val="00644F19"/>
    <w:rsid w:val="0064503C"/>
    <w:rsid w:val="006451E2"/>
    <w:rsid w:val="00645333"/>
    <w:rsid w:val="006453C6"/>
    <w:rsid w:val="006455A7"/>
    <w:rsid w:val="006455AE"/>
    <w:rsid w:val="006455BE"/>
    <w:rsid w:val="00645847"/>
    <w:rsid w:val="00645870"/>
    <w:rsid w:val="006458DC"/>
    <w:rsid w:val="00645A36"/>
    <w:rsid w:val="00645BA7"/>
    <w:rsid w:val="00645C50"/>
    <w:rsid w:val="00645CE8"/>
    <w:rsid w:val="00645DD8"/>
    <w:rsid w:val="00645E3C"/>
    <w:rsid w:val="00645F00"/>
    <w:rsid w:val="00645F15"/>
    <w:rsid w:val="00645FE4"/>
    <w:rsid w:val="00645FFC"/>
    <w:rsid w:val="006461A4"/>
    <w:rsid w:val="006461A6"/>
    <w:rsid w:val="006461D1"/>
    <w:rsid w:val="00646287"/>
    <w:rsid w:val="006462A3"/>
    <w:rsid w:val="006462E4"/>
    <w:rsid w:val="0064633F"/>
    <w:rsid w:val="0064653F"/>
    <w:rsid w:val="0064671B"/>
    <w:rsid w:val="006467A6"/>
    <w:rsid w:val="006467F5"/>
    <w:rsid w:val="00646848"/>
    <w:rsid w:val="006469D6"/>
    <w:rsid w:val="00646A50"/>
    <w:rsid w:val="00646BD7"/>
    <w:rsid w:val="00646C22"/>
    <w:rsid w:val="00646CA5"/>
    <w:rsid w:val="00646CE3"/>
    <w:rsid w:val="00646D7C"/>
    <w:rsid w:val="00646D9B"/>
    <w:rsid w:val="00646DDB"/>
    <w:rsid w:val="00646EEB"/>
    <w:rsid w:val="00646F9D"/>
    <w:rsid w:val="00646FE4"/>
    <w:rsid w:val="00647036"/>
    <w:rsid w:val="0064704F"/>
    <w:rsid w:val="00647065"/>
    <w:rsid w:val="006471E1"/>
    <w:rsid w:val="00647298"/>
    <w:rsid w:val="0064752B"/>
    <w:rsid w:val="00647590"/>
    <w:rsid w:val="0064763C"/>
    <w:rsid w:val="006476AF"/>
    <w:rsid w:val="0064792E"/>
    <w:rsid w:val="0064793A"/>
    <w:rsid w:val="00647BCE"/>
    <w:rsid w:val="00647BE2"/>
    <w:rsid w:val="00647E5C"/>
    <w:rsid w:val="00647F66"/>
    <w:rsid w:val="006501CA"/>
    <w:rsid w:val="00650296"/>
    <w:rsid w:val="006502C6"/>
    <w:rsid w:val="00650316"/>
    <w:rsid w:val="00650361"/>
    <w:rsid w:val="00650401"/>
    <w:rsid w:val="00650436"/>
    <w:rsid w:val="0065043E"/>
    <w:rsid w:val="0065056F"/>
    <w:rsid w:val="006505E3"/>
    <w:rsid w:val="0065066B"/>
    <w:rsid w:val="00650873"/>
    <w:rsid w:val="0065098B"/>
    <w:rsid w:val="00650A69"/>
    <w:rsid w:val="00650B2E"/>
    <w:rsid w:val="00650C0A"/>
    <w:rsid w:val="00650E40"/>
    <w:rsid w:val="00650EB6"/>
    <w:rsid w:val="00650FAB"/>
    <w:rsid w:val="006510DF"/>
    <w:rsid w:val="006512BB"/>
    <w:rsid w:val="00651364"/>
    <w:rsid w:val="00651431"/>
    <w:rsid w:val="006514AC"/>
    <w:rsid w:val="006514B8"/>
    <w:rsid w:val="00651505"/>
    <w:rsid w:val="00651592"/>
    <w:rsid w:val="0065166B"/>
    <w:rsid w:val="00651885"/>
    <w:rsid w:val="0065190A"/>
    <w:rsid w:val="006519B7"/>
    <w:rsid w:val="00651AAE"/>
    <w:rsid w:val="00651AEF"/>
    <w:rsid w:val="00651BEB"/>
    <w:rsid w:val="00651C37"/>
    <w:rsid w:val="00651E2C"/>
    <w:rsid w:val="00651ED8"/>
    <w:rsid w:val="00652011"/>
    <w:rsid w:val="00652086"/>
    <w:rsid w:val="006520C9"/>
    <w:rsid w:val="00652132"/>
    <w:rsid w:val="00652175"/>
    <w:rsid w:val="006523AD"/>
    <w:rsid w:val="006523D6"/>
    <w:rsid w:val="00652425"/>
    <w:rsid w:val="006524B7"/>
    <w:rsid w:val="00652740"/>
    <w:rsid w:val="006527CB"/>
    <w:rsid w:val="00652932"/>
    <w:rsid w:val="00652994"/>
    <w:rsid w:val="00652AE9"/>
    <w:rsid w:val="00652B42"/>
    <w:rsid w:val="00652C33"/>
    <w:rsid w:val="00652D16"/>
    <w:rsid w:val="00652DC8"/>
    <w:rsid w:val="00652FAA"/>
    <w:rsid w:val="006530B6"/>
    <w:rsid w:val="0065355E"/>
    <w:rsid w:val="00653629"/>
    <w:rsid w:val="00653686"/>
    <w:rsid w:val="0065377F"/>
    <w:rsid w:val="00653806"/>
    <w:rsid w:val="00653888"/>
    <w:rsid w:val="006538CD"/>
    <w:rsid w:val="00653A1A"/>
    <w:rsid w:val="00653A60"/>
    <w:rsid w:val="00653A86"/>
    <w:rsid w:val="00653AB7"/>
    <w:rsid w:val="00653AEA"/>
    <w:rsid w:val="00653BD3"/>
    <w:rsid w:val="00653FBD"/>
    <w:rsid w:val="00653FDF"/>
    <w:rsid w:val="0065401C"/>
    <w:rsid w:val="00654030"/>
    <w:rsid w:val="006544B0"/>
    <w:rsid w:val="006544CE"/>
    <w:rsid w:val="006545A8"/>
    <w:rsid w:val="00654609"/>
    <w:rsid w:val="0065461F"/>
    <w:rsid w:val="006546BD"/>
    <w:rsid w:val="00654771"/>
    <w:rsid w:val="00654772"/>
    <w:rsid w:val="006548A9"/>
    <w:rsid w:val="00654A1F"/>
    <w:rsid w:val="00654A47"/>
    <w:rsid w:val="00654AB4"/>
    <w:rsid w:val="00654AB8"/>
    <w:rsid w:val="00654B03"/>
    <w:rsid w:val="00654B8A"/>
    <w:rsid w:val="00654F26"/>
    <w:rsid w:val="00654FA9"/>
    <w:rsid w:val="00654FAD"/>
    <w:rsid w:val="0065506B"/>
    <w:rsid w:val="006550DF"/>
    <w:rsid w:val="006550FB"/>
    <w:rsid w:val="00655184"/>
    <w:rsid w:val="00655236"/>
    <w:rsid w:val="0065527B"/>
    <w:rsid w:val="00655657"/>
    <w:rsid w:val="00655B2B"/>
    <w:rsid w:val="00655B50"/>
    <w:rsid w:val="00655DE4"/>
    <w:rsid w:val="00655DE7"/>
    <w:rsid w:val="00655E25"/>
    <w:rsid w:val="00655F79"/>
    <w:rsid w:val="006560B2"/>
    <w:rsid w:val="00656272"/>
    <w:rsid w:val="00656303"/>
    <w:rsid w:val="00656327"/>
    <w:rsid w:val="0065635C"/>
    <w:rsid w:val="00656421"/>
    <w:rsid w:val="006564AE"/>
    <w:rsid w:val="006565D8"/>
    <w:rsid w:val="00656686"/>
    <w:rsid w:val="006567A6"/>
    <w:rsid w:val="006569F9"/>
    <w:rsid w:val="00656A14"/>
    <w:rsid w:val="00656BB7"/>
    <w:rsid w:val="00656BBA"/>
    <w:rsid w:val="00656CFE"/>
    <w:rsid w:val="00656E28"/>
    <w:rsid w:val="00656E37"/>
    <w:rsid w:val="00656FAF"/>
    <w:rsid w:val="00657003"/>
    <w:rsid w:val="00657078"/>
    <w:rsid w:val="00657265"/>
    <w:rsid w:val="00657423"/>
    <w:rsid w:val="006574AB"/>
    <w:rsid w:val="006576DB"/>
    <w:rsid w:val="0065777E"/>
    <w:rsid w:val="00657782"/>
    <w:rsid w:val="00657A78"/>
    <w:rsid w:val="00657B08"/>
    <w:rsid w:val="00657B39"/>
    <w:rsid w:val="00657BEF"/>
    <w:rsid w:val="0066021B"/>
    <w:rsid w:val="00660454"/>
    <w:rsid w:val="0066045C"/>
    <w:rsid w:val="00660535"/>
    <w:rsid w:val="006605C4"/>
    <w:rsid w:val="006606F5"/>
    <w:rsid w:val="00660733"/>
    <w:rsid w:val="006607D1"/>
    <w:rsid w:val="006607D8"/>
    <w:rsid w:val="0066082C"/>
    <w:rsid w:val="00660837"/>
    <w:rsid w:val="00660BDB"/>
    <w:rsid w:val="00660D10"/>
    <w:rsid w:val="00660FF2"/>
    <w:rsid w:val="00661171"/>
    <w:rsid w:val="006611FA"/>
    <w:rsid w:val="006612AF"/>
    <w:rsid w:val="00661371"/>
    <w:rsid w:val="00661461"/>
    <w:rsid w:val="006615B4"/>
    <w:rsid w:val="006615C2"/>
    <w:rsid w:val="006615DF"/>
    <w:rsid w:val="00661809"/>
    <w:rsid w:val="00661A43"/>
    <w:rsid w:val="00661A8E"/>
    <w:rsid w:val="00661AD3"/>
    <w:rsid w:val="00661D28"/>
    <w:rsid w:val="00661D3C"/>
    <w:rsid w:val="00661D3D"/>
    <w:rsid w:val="00661D58"/>
    <w:rsid w:val="00661D79"/>
    <w:rsid w:val="006623E5"/>
    <w:rsid w:val="006625D1"/>
    <w:rsid w:val="006626EB"/>
    <w:rsid w:val="006627C1"/>
    <w:rsid w:val="00662854"/>
    <w:rsid w:val="006629B0"/>
    <w:rsid w:val="006629D1"/>
    <w:rsid w:val="00662ADE"/>
    <w:rsid w:val="00662B1F"/>
    <w:rsid w:val="00662BED"/>
    <w:rsid w:val="00662C41"/>
    <w:rsid w:val="0066308B"/>
    <w:rsid w:val="00663422"/>
    <w:rsid w:val="00663447"/>
    <w:rsid w:val="00663583"/>
    <w:rsid w:val="0066385B"/>
    <w:rsid w:val="006639C7"/>
    <w:rsid w:val="006639D3"/>
    <w:rsid w:val="00663A5E"/>
    <w:rsid w:val="00663D38"/>
    <w:rsid w:val="00663E7E"/>
    <w:rsid w:val="00663EDE"/>
    <w:rsid w:val="00663EF7"/>
    <w:rsid w:val="00663F37"/>
    <w:rsid w:val="0066406B"/>
    <w:rsid w:val="00664389"/>
    <w:rsid w:val="006644EE"/>
    <w:rsid w:val="00664797"/>
    <w:rsid w:val="006648F4"/>
    <w:rsid w:val="00664B4C"/>
    <w:rsid w:val="00664BB7"/>
    <w:rsid w:val="00664E7D"/>
    <w:rsid w:val="00664F72"/>
    <w:rsid w:val="00665149"/>
    <w:rsid w:val="006651A3"/>
    <w:rsid w:val="006652D9"/>
    <w:rsid w:val="006652E0"/>
    <w:rsid w:val="006655DC"/>
    <w:rsid w:val="00665669"/>
    <w:rsid w:val="006657BA"/>
    <w:rsid w:val="00665A9F"/>
    <w:rsid w:val="00665AC1"/>
    <w:rsid w:val="00665BFA"/>
    <w:rsid w:val="00665D1B"/>
    <w:rsid w:val="00665F2E"/>
    <w:rsid w:val="00665FC0"/>
    <w:rsid w:val="00665FC1"/>
    <w:rsid w:val="0066606D"/>
    <w:rsid w:val="006660F4"/>
    <w:rsid w:val="006660FE"/>
    <w:rsid w:val="00666155"/>
    <w:rsid w:val="00666211"/>
    <w:rsid w:val="00666259"/>
    <w:rsid w:val="0066635B"/>
    <w:rsid w:val="006663A7"/>
    <w:rsid w:val="006663EA"/>
    <w:rsid w:val="00666455"/>
    <w:rsid w:val="00666581"/>
    <w:rsid w:val="006665E0"/>
    <w:rsid w:val="00666734"/>
    <w:rsid w:val="00666744"/>
    <w:rsid w:val="00666944"/>
    <w:rsid w:val="00666AC1"/>
    <w:rsid w:val="00666B50"/>
    <w:rsid w:val="00666C00"/>
    <w:rsid w:val="00666C24"/>
    <w:rsid w:val="00666C6F"/>
    <w:rsid w:val="00667238"/>
    <w:rsid w:val="00667383"/>
    <w:rsid w:val="006675BF"/>
    <w:rsid w:val="006675D0"/>
    <w:rsid w:val="006676FF"/>
    <w:rsid w:val="00667844"/>
    <w:rsid w:val="006678A6"/>
    <w:rsid w:val="00667B49"/>
    <w:rsid w:val="00667B7F"/>
    <w:rsid w:val="00667D6A"/>
    <w:rsid w:val="00667DD1"/>
    <w:rsid w:val="00667E3B"/>
    <w:rsid w:val="00667EAD"/>
    <w:rsid w:val="00667F14"/>
    <w:rsid w:val="00670155"/>
    <w:rsid w:val="006702C5"/>
    <w:rsid w:val="0067046E"/>
    <w:rsid w:val="0067055F"/>
    <w:rsid w:val="00670599"/>
    <w:rsid w:val="006705B9"/>
    <w:rsid w:val="006705FE"/>
    <w:rsid w:val="006706BE"/>
    <w:rsid w:val="006708BB"/>
    <w:rsid w:val="0067092C"/>
    <w:rsid w:val="00670991"/>
    <w:rsid w:val="0067099A"/>
    <w:rsid w:val="00670D9D"/>
    <w:rsid w:val="00670ED2"/>
    <w:rsid w:val="00671032"/>
    <w:rsid w:val="0067107B"/>
    <w:rsid w:val="0067108A"/>
    <w:rsid w:val="00671183"/>
    <w:rsid w:val="006712C8"/>
    <w:rsid w:val="006713B1"/>
    <w:rsid w:val="00671476"/>
    <w:rsid w:val="00671644"/>
    <w:rsid w:val="00671680"/>
    <w:rsid w:val="00671746"/>
    <w:rsid w:val="006718E6"/>
    <w:rsid w:val="00671BAE"/>
    <w:rsid w:val="00671C6D"/>
    <w:rsid w:val="00672059"/>
    <w:rsid w:val="006720D3"/>
    <w:rsid w:val="006720E5"/>
    <w:rsid w:val="00672238"/>
    <w:rsid w:val="0067258C"/>
    <w:rsid w:val="006725CD"/>
    <w:rsid w:val="00672693"/>
    <w:rsid w:val="006726EB"/>
    <w:rsid w:val="006729A0"/>
    <w:rsid w:val="00672A3E"/>
    <w:rsid w:val="00672ACB"/>
    <w:rsid w:val="00672AEA"/>
    <w:rsid w:val="00672AEC"/>
    <w:rsid w:val="00672CD7"/>
    <w:rsid w:val="00672D3D"/>
    <w:rsid w:val="00672E15"/>
    <w:rsid w:val="00672F35"/>
    <w:rsid w:val="00673033"/>
    <w:rsid w:val="006733A1"/>
    <w:rsid w:val="00673425"/>
    <w:rsid w:val="00673471"/>
    <w:rsid w:val="006734B4"/>
    <w:rsid w:val="00673503"/>
    <w:rsid w:val="00673579"/>
    <w:rsid w:val="00673585"/>
    <w:rsid w:val="00673699"/>
    <w:rsid w:val="006736F5"/>
    <w:rsid w:val="006738FB"/>
    <w:rsid w:val="00673922"/>
    <w:rsid w:val="00673957"/>
    <w:rsid w:val="006739BA"/>
    <w:rsid w:val="00673B7C"/>
    <w:rsid w:val="00673BE6"/>
    <w:rsid w:val="00673C17"/>
    <w:rsid w:val="00673C73"/>
    <w:rsid w:val="00673D44"/>
    <w:rsid w:val="00674075"/>
    <w:rsid w:val="00674463"/>
    <w:rsid w:val="006744A8"/>
    <w:rsid w:val="006744F1"/>
    <w:rsid w:val="006745FF"/>
    <w:rsid w:val="00674678"/>
    <w:rsid w:val="006746E2"/>
    <w:rsid w:val="006747DA"/>
    <w:rsid w:val="00674851"/>
    <w:rsid w:val="00674A23"/>
    <w:rsid w:val="00674AE8"/>
    <w:rsid w:val="00674F45"/>
    <w:rsid w:val="00674F47"/>
    <w:rsid w:val="00675121"/>
    <w:rsid w:val="00675161"/>
    <w:rsid w:val="00675164"/>
    <w:rsid w:val="00675166"/>
    <w:rsid w:val="0067520F"/>
    <w:rsid w:val="00675263"/>
    <w:rsid w:val="00675278"/>
    <w:rsid w:val="00675347"/>
    <w:rsid w:val="006756C5"/>
    <w:rsid w:val="0067572E"/>
    <w:rsid w:val="0067582F"/>
    <w:rsid w:val="006759CE"/>
    <w:rsid w:val="00675A97"/>
    <w:rsid w:val="00675BC3"/>
    <w:rsid w:val="00675CFF"/>
    <w:rsid w:val="00675D12"/>
    <w:rsid w:val="00675D33"/>
    <w:rsid w:val="00675D3F"/>
    <w:rsid w:val="00675D4C"/>
    <w:rsid w:val="00675D8D"/>
    <w:rsid w:val="00675DB2"/>
    <w:rsid w:val="00675F4D"/>
    <w:rsid w:val="0067620B"/>
    <w:rsid w:val="0067642B"/>
    <w:rsid w:val="006764FD"/>
    <w:rsid w:val="00676513"/>
    <w:rsid w:val="00676535"/>
    <w:rsid w:val="0067661F"/>
    <w:rsid w:val="006766C3"/>
    <w:rsid w:val="0067698A"/>
    <w:rsid w:val="00676A4F"/>
    <w:rsid w:val="00676AE5"/>
    <w:rsid w:val="00676B34"/>
    <w:rsid w:val="00676B3E"/>
    <w:rsid w:val="00676C1B"/>
    <w:rsid w:val="00676C9F"/>
    <w:rsid w:val="00676DB8"/>
    <w:rsid w:val="00676EE0"/>
    <w:rsid w:val="0067704E"/>
    <w:rsid w:val="00677066"/>
    <w:rsid w:val="006770AC"/>
    <w:rsid w:val="0067724B"/>
    <w:rsid w:val="00677338"/>
    <w:rsid w:val="00677349"/>
    <w:rsid w:val="0067735C"/>
    <w:rsid w:val="00677360"/>
    <w:rsid w:val="00677386"/>
    <w:rsid w:val="006773E6"/>
    <w:rsid w:val="0067746A"/>
    <w:rsid w:val="00677642"/>
    <w:rsid w:val="006776DE"/>
    <w:rsid w:val="006776FE"/>
    <w:rsid w:val="00677722"/>
    <w:rsid w:val="00677756"/>
    <w:rsid w:val="0067775A"/>
    <w:rsid w:val="00677789"/>
    <w:rsid w:val="0067788E"/>
    <w:rsid w:val="006778EB"/>
    <w:rsid w:val="00677979"/>
    <w:rsid w:val="00677998"/>
    <w:rsid w:val="006779E4"/>
    <w:rsid w:val="00677A48"/>
    <w:rsid w:val="00677B49"/>
    <w:rsid w:val="00677BB1"/>
    <w:rsid w:val="00677C79"/>
    <w:rsid w:val="00677D48"/>
    <w:rsid w:val="00677E62"/>
    <w:rsid w:val="00677EEE"/>
    <w:rsid w:val="00677FDF"/>
    <w:rsid w:val="006800ED"/>
    <w:rsid w:val="00680114"/>
    <w:rsid w:val="00680124"/>
    <w:rsid w:val="006801AC"/>
    <w:rsid w:val="00680439"/>
    <w:rsid w:val="006805D7"/>
    <w:rsid w:val="00680654"/>
    <w:rsid w:val="006806C4"/>
    <w:rsid w:val="006807E1"/>
    <w:rsid w:val="006808D4"/>
    <w:rsid w:val="006809B2"/>
    <w:rsid w:val="006809D1"/>
    <w:rsid w:val="00680B2F"/>
    <w:rsid w:val="00680B85"/>
    <w:rsid w:val="00680E0B"/>
    <w:rsid w:val="00680ED3"/>
    <w:rsid w:val="006813C1"/>
    <w:rsid w:val="00681432"/>
    <w:rsid w:val="0068146A"/>
    <w:rsid w:val="006814CC"/>
    <w:rsid w:val="0068152B"/>
    <w:rsid w:val="0068152D"/>
    <w:rsid w:val="0068166C"/>
    <w:rsid w:val="00681744"/>
    <w:rsid w:val="00681999"/>
    <w:rsid w:val="00681AA0"/>
    <w:rsid w:val="00681AF1"/>
    <w:rsid w:val="00681D5E"/>
    <w:rsid w:val="00681D71"/>
    <w:rsid w:val="00681D7A"/>
    <w:rsid w:val="00681F1B"/>
    <w:rsid w:val="00681F50"/>
    <w:rsid w:val="006820FF"/>
    <w:rsid w:val="0068211E"/>
    <w:rsid w:val="00682185"/>
    <w:rsid w:val="006821AE"/>
    <w:rsid w:val="006821BA"/>
    <w:rsid w:val="0068229D"/>
    <w:rsid w:val="00682450"/>
    <w:rsid w:val="006825BD"/>
    <w:rsid w:val="00682822"/>
    <w:rsid w:val="00682968"/>
    <w:rsid w:val="00682A3D"/>
    <w:rsid w:val="00682AC0"/>
    <w:rsid w:val="00682C32"/>
    <w:rsid w:val="00682C87"/>
    <w:rsid w:val="00682CBC"/>
    <w:rsid w:val="00682D07"/>
    <w:rsid w:val="006830F1"/>
    <w:rsid w:val="00683119"/>
    <w:rsid w:val="00683183"/>
    <w:rsid w:val="006831C4"/>
    <w:rsid w:val="0068320B"/>
    <w:rsid w:val="006833B0"/>
    <w:rsid w:val="00683519"/>
    <w:rsid w:val="0068366B"/>
    <w:rsid w:val="006836C3"/>
    <w:rsid w:val="00683748"/>
    <w:rsid w:val="0068375F"/>
    <w:rsid w:val="00683875"/>
    <w:rsid w:val="006838E3"/>
    <w:rsid w:val="00683A12"/>
    <w:rsid w:val="00683B8D"/>
    <w:rsid w:val="00683BAE"/>
    <w:rsid w:val="00683C21"/>
    <w:rsid w:val="00683CD2"/>
    <w:rsid w:val="00683F02"/>
    <w:rsid w:val="006840C1"/>
    <w:rsid w:val="0068415F"/>
    <w:rsid w:val="006843E2"/>
    <w:rsid w:val="006843EA"/>
    <w:rsid w:val="006844A2"/>
    <w:rsid w:val="006845FF"/>
    <w:rsid w:val="006847B0"/>
    <w:rsid w:val="006847C6"/>
    <w:rsid w:val="00684824"/>
    <w:rsid w:val="006849AF"/>
    <w:rsid w:val="00684A3E"/>
    <w:rsid w:val="00684A7E"/>
    <w:rsid w:val="00684B10"/>
    <w:rsid w:val="00684B91"/>
    <w:rsid w:val="00684BFC"/>
    <w:rsid w:val="00684C5F"/>
    <w:rsid w:val="00684CF1"/>
    <w:rsid w:val="00684E1B"/>
    <w:rsid w:val="0068501A"/>
    <w:rsid w:val="00685063"/>
    <w:rsid w:val="006850DC"/>
    <w:rsid w:val="0068510C"/>
    <w:rsid w:val="0068511A"/>
    <w:rsid w:val="0068517B"/>
    <w:rsid w:val="00685319"/>
    <w:rsid w:val="0068561C"/>
    <w:rsid w:val="006857B9"/>
    <w:rsid w:val="006858CF"/>
    <w:rsid w:val="006858E9"/>
    <w:rsid w:val="0068598F"/>
    <w:rsid w:val="006859AD"/>
    <w:rsid w:val="006859B1"/>
    <w:rsid w:val="006859B2"/>
    <w:rsid w:val="00685A3D"/>
    <w:rsid w:val="00685A9F"/>
    <w:rsid w:val="00685AF6"/>
    <w:rsid w:val="00685BED"/>
    <w:rsid w:val="00685D74"/>
    <w:rsid w:val="00685DD4"/>
    <w:rsid w:val="00685ED8"/>
    <w:rsid w:val="00685EDD"/>
    <w:rsid w:val="00685F18"/>
    <w:rsid w:val="006860A6"/>
    <w:rsid w:val="0068639B"/>
    <w:rsid w:val="0068662D"/>
    <w:rsid w:val="006866E3"/>
    <w:rsid w:val="00686770"/>
    <w:rsid w:val="00686840"/>
    <w:rsid w:val="00686887"/>
    <w:rsid w:val="00686955"/>
    <w:rsid w:val="00686BB5"/>
    <w:rsid w:val="00686C28"/>
    <w:rsid w:val="00686DA6"/>
    <w:rsid w:val="006870CB"/>
    <w:rsid w:val="00687118"/>
    <w:rsid w:val="00687154"/>
    <w:rsid w:val="00687177"/>
    <w:rsid w:val="006871DD"/>
    <w:rsid w:val="006872E1"/>
    <w:rsid w:val="00687380"/>
    <w:rsid w:val="006873F9"/>
    <w:rsid w:val="0068761B"/>
    <w:rsid w:val="0068787C"/>
    <w:rsid w:val="006878B1"/>
    <w:rsid w:val="0068797D"/>
    <w:rsid w:val="00687A01"/>
    <w:rsid w:val="00687A3B"/>
    <w:rsid w:val="00687AD2"/>
    <w:rsid w:val="00687BD5"/>
    <w:rsid w:val="00687BF3"/>
    <w:rsid w:val="00687C39"/>
    <w:rsid w:val="00687CCA"/>
    <w:rsid w:val="00687E6E"/>
    <w:rsid w:val="00687FAF"/>
    <w:rsid w:val="0069000C"/>
    <w:rsid w:val="006900DD"/>
    <w:rsid w:val="00690111"/>
    <w:rsid w:val="00690122"/>
    <w:rsid w:val="006901F9"/>
    <w:rsid w:val="006902AC"/>
    <w:rsid w:val="006903DC"/>
    <w:rsid w:val="006903E0"/>
    <w:rsid w:val="006904B6"/>
    <w:rsid w:val="0069054D"/>
    <w:rsid w:val="0069055A"/>
    <w:rsid w:val="00690637"/>
    <w:rsid w:val="006907FA"/>
    <w:rsid w:val="0069089C"/>
    <w:rsid w:val="006908CE"/>
    <w:rsid w:val="006908E5"/>
    <w:rsid w:val="006909A3"/>
    <w:rsid w:val="00690B23"/>
    <w:rsid w:val="00690BF4"/>
    <w:rsid w:val="00690EAE"/>
    <w:rsid w:val="00691038"/>
    <w:rsid w:val="0069110B"/>
    <w:rsid w:val="006911ED"/>
    <w:rsid w:val="00691351"/>
    <w:rsid w:val="006914AB"/>
    <w:rsid w:val="006915E1"/>
    <w:rsid w:val="006916A6"/>
    <w:rsid w:val="006916FF"/>
    <w:rsid w:val="00691924"/>
    <w:rsid w:val="006919CF"/>
    <w:rsid w:val="00691B66"/>
    <w:rsid w:val="00691C71"/>
    <w:rsid w:val="00691D09"/>
    <w:rsid w:val="00691D5F"/>
    <w:rsid w:val="00691DCB"/>
    <w:rsid w:val="00691E4E"/>
    <w:rsid w:val="00692028"/>
    <w:rsid w:val="00692522"/>
    <w:rsid w:val="00692766"/>
    <w:rsid w:val="0069281A"/>
    <w:rsid w:val="0069283D"/>
    <w:rsid w:val="00692987"/>
    <w:rsid w:val="006929A5"/>
    <w:rsid w:val="00692A9B"/>
    <w:rsid w:val="00692AF9"/>
    <w:rsid w:val="00692B15"/>
    <w:rsid w:val="00692B64"/>
    <w:rsid w:val="00692C10"/>
    <w:rsid w:val="00692C9C"/>
    <w:rsid w:val="00692CF7"/>
    <w:rsid w:val="00693015"/>
    <w:rsid w:val="00693016"/>
    <w:rsid w:val="00693242"/>
    <w:rsid w:val="00693481"/>
    <w:rsid w:val="0069348D"/>
    <w:rsid w:val="00693656"/>
    <w:rsid w:val="006936D6"/>
    <w:rsid w:val="006937D7"/>
    <w:rsid w:val="0069380D"/>
    <w:rsid w:val="00693934"/>
    <w:rsid w:val="006939DB"/>
    <w:rsid w:val="00693D12"/>
    <w:rsid w:val="00693D6E"/>
    <w:rsid w:val="00693E1F"/>
    <w:rsid w:val="006941C6"/>
    <w:rsid w:val="00694263"/>
    <w:rsid w:val="00694373"/>
    <w:rsid w:val="0069439A"/>
    <w:rsid w:val="0069444E"/>
    <w:rsid w:val="00694817"/>
    <w:rsid w:val="00694835"/>
    <w:rsid w:val="00694939"/>
    <w:rsid w:val="00694972"/>
    <w:rsid w:val="00694A60"/>
    <w:rsid w:val="00694A65"/>
    <w:rsid w:val="00694ACE"/>
    <w:rsid w:val="00694B66"/>
    <w:rsid w:val="00694BA9"/>
    <w:rsid w:val="00694C0C"/>
    <w:rsid w:val="00694C36"/>
    <w:rsid w:val="00694CC2"/>
    <w:rsid w:val="00694DB0"/>
    <w:rsid w:val="00694DCA"/>
    <w:rsid w:val="00694F4B"/>
    <w:rsid w:val="00695001"/>
    <w:rsid w:val="0069506F"/>
    <w:rsid w:val="0069508D"/>
    <w:rsid w:val="0069524F"/>
    <w:rsid w:val="006952AF"/>
    <w:rsid w:val="00695325"/>
    <w:rsid w:val="0069539C"/>
    <w:rsid w:val="0069543A"/>
    <w:rsid w:val="00695461"/>
    <w:rsid w:val="006954A7"/>
    <w:rsid w:val="006954FD"/>
    <w:rsid w:val="0069559E"/>
    <w:rsid w:val="0069564E"/>
    <w:rsid w:val="006956BB"/>
    <w:rsid w:val="00695839"/>
    <w:rsid w:val="00695909"/>
    <w:rsid w:val="006959B8"/>
    <w:rsid w:val="00695BB1"/>
    <w:rsid w:val="00695DF6"/>
    <w:rsid w:val="00695E6F"/>
    <w:rsid w:val="00695ECB"/>
    <w:rsid w:val="00695EF9"/>
    <w:rsid w:val="00695FCD"/>
    <w:rsid w:val="00696072"/>
    <w:rsid w:val="0069615F"/>
    <w:rsid w:val="006961F6"/>
    <w:rsid w:val="00696330"/>
    <w:rsid w:val="006963C3"/>
    <w:rsid w:val="00696601"/>
    <w:rsid w:val="0069679B"/>
    <w:rsid w:val="00696919"/>
    <w:rsid w:val="00696962"/>
    <w:rsid w:val="006969D7"/>
    <w:rsid w:val="00696B9A"/>
    <w:rsid w:val="00696C0C"/>
    <w:rsid w:val="00697232"/>
    <w:rsid w:val="0069732C"/>
    <w:rsid w:val="00697360"/>
    <w:rsid w:val="0069741E"/>
    <w:rsid w:val="00697498"/>
    <w:rsid w:val="006974DF"/>
    <w:rsid w:val="006974FE"/>
    <w:rsid w:val="0069768D"/>
    <w:rsid w:val="006977B0"/>
    <w:rsid w:val="0069796A"/>
    <w:rsid w:val="0069796B"/>
    <w:rsid w:val="00697ACD"/>
    <w:rsid w:val="00697D3C"/>
    <w:rsid w:val="006A000B"/>
    <w:rsid w:val="006A0075"/>
    <w:rsid w:val="006A0076"/>
    <w:rsid w:val="006A010A"/>
    <w:rsid w:val="006A021C"/>
    <w:rsid w:val="006A02E3"/>
    <w:rsid w:val="006A0331"/>
    <w:rsid w:val="006A0381"/>
    <w:rsid w:val="006A0542"/>
    <w:rsid w:val="006A079F"/>
    <w:rsid w:val="006A07D4"/>
    <w:rsid w:val="006A0A90"/>
    <w:rsid w:val="006A0B03"/>
    <w:rsid w:val="006A0BDD"/>
    <w:rsid w:val="006A0DB7"/>
    <w:rsid w:val="006A0DCF"/>
    <w:rsid w:val="006A0DD6"/>
    <w:rsid w:val="006A0E74"/>
    <w:rsid w:val="006A0E85"/>
    <w:rsid w:val="006A0EFA"/>
    <w:rsid w:val="006A0FC7"/>
    <w:rsid w:val="006A0FD2"/>
    <w:rsid w:val="006A1134"/>
    <w:rsid w:val="006A15CC"/>
    <w:rsid w:val="006A168C"/>
    <w:rsid w:val="006A173F"/>
    <w:rsid w:val="006A179C"/>
    <w:rsid w:val="006A1B04"/>
    <w:rsid w:val="006A1B36"/>
    <w:rsid w:val="006A1DB6"/>
    <w:rsid w:val="006A1FE9"/>
    <w:rsid w:val="006A20CF"/>
    <w:rsid w:val="006A20D9"/>
    <w:rsid w:val="006A2208"/>
    <w:rsid w:val="006A23AB"/>
    <w:rsid w:val="006A26E9"/>
    <w:rsid w:val="006A2A50"/>
    <w:rsid w:val="006A2AAF"/>
    <w:rsid w:val="006A2C78"/>
    <w:rsid w:val="006A2D5B"/>
    <w:rsid w:val="006A2E9F"/>
    <w:rsid w:val="006A2EC5"/>
    <w:rsid w:val="006A2F0D"/>
    <w:rsid w:val="006A30FE"/>
    <w:rsid w:val="006A32C1"/>
    <w:rsid w:val="006A336E"/>
    <w:rsid w:val="006A3500"/>
    <w:rsid w:val="006A3815"/>
    <w:rsid w:val="006A3940"/>
    <w:rsid w:val="006A3C33"/>
    <w:rsid w:val="006A3C4C"/>
    <w:rsid w:val="006A3D1A"/>
    <w:rsid w:val="006A3D72"/>
    <w:rsid w:val="006A3DF3"/>
    <w:rsid w:val="006A3F15"/>
    <w:rsid w:val="006A3FA4"/>
    <w:rsid w:val="006A4140"/>
    <w:rsid w:val="006A4214"/>
    <w:rsid w:val="006A426B"/>
    <w:rsid w:val="006A43AD"/>
    <w:rsid w:val="006A4551"/>
    <w:rsid w:val="006A45AB"/>
    <w:rsid w:val="006A466E"/>
    <w:rsid w:val="006A4763"/>
    <w:rsid w:val="006A48A6"/>
    <w:rsid w:val="006A4A4D"/>
    <w:rsid w:val="006A4B4E"/>
    <w:rsid w:val="006A4B68"/>
    <w:rsid w:val="006A4BF3"/>
    <w:rsid w:val="006A4C74"/>
    <w:rsid w:val="006A4DE3"/>
    <w:rsid w:val="006A4E61"/>
    <w:rsid w:val="006A4F5C"/>
    <w:rsid w:val="006A5206"/>
    <w:rsid w:val="006A525F"/>
    <w:rsid w:val="006A5277"/>
    <w:rsid w:val="006A5558"/>
    <w:rsid w:val="006A5575"/>
    <w:rsid w:val="006A55B3"/>
    <w:rsid w:val="006A5606"/>
    <w:rsid w:val="006A592A"/>
    <w:rsid w:val="006A593B"/>
    <w:rsid w:val="006A5987"/>
    <w:rsid w:val="006A5997"/>
    <w:rsid w:val="006A59DA"/>
    <w:rsid w:val="006A5B42"/>
    <w:rsid w:val="006A5E4E"/>
    <w:rsid w:val="006A5EA3"/>
    <w:rsid w:val="006A5F98"/>
    <w:rsid w:val="006A5FFD"/>
    <w:rsid w:val="006A6046"/>
    <w:rsid w:val="006A6047"/>
    <w:rsid w:val="006A60C6"/>
    <w:rsid w:val="006A61EC"/>
    <w:rsid w:val="006A63A7"/>
    <w:rsid w:val="006A6470"/>
    <w:rsid w:val="006A6544"/>
    <w:rsid w:val="006A6591"/>
    <w:rsid w:val="006A6593"/>
    <w:rsid w:val="006A670B"/>
    <w:rsid w:val="006A685C"/>
    <w:rsid w:val="006A6A15"/>
    <w:rsid w:val="006A6B04"/>
    <w:rsid w:val="006A6CA3"/>
    <w:rsid w:val="006A6D3F"/>
    <w:rsid w:val="006A6DBB"/>
    <w:rsid w:val="006A6E20"/>
    <w:rsid w:val="006A6E79"/>
    <w:rsid w:val="006A6F26"/>
    <w:rsid w:val="006A6FD9"/>
    <w:rsid w:val="006A7077"/>
    <w:rsid w:val="006A70D6"/>
    <w:rsid w:val="006A724C"/>
    <w:rsid w:val="006A72DB"/>
    <w:rsid w:val="006A733D"/>
    <w:rsid w:val="006A7453"/>
    <w:rsid w:val="006A75ED"/>
    <w:rsid w:val="006A7668"/>
    <w:rsid w:val="006A795A"/>
    <w:rsid w:val="006A7AAE"/>
    <w:rsid w:val="006A7B1B"/>
    <w:rsid w:val="006A7BBE"/>
    <w:rsid w:val="006A7C68"/>
    <w:rsid w:val="006A7D5B"/>
    <w:rsid w:val="006A7E3F"/>
    <w:rsid w:val="006A7F45"/>
    <w:rsid w:val="006B0334"/>
    <w:rsid w:val="006B0449"/>
    <w:rsid w:val="006B0706"/>
    <w:rsid w:val="006B07B9"/>
    <w:rsid w:val="006B07C1"/>
    <w:rsid w:val="006B09ED"/>
    <w:rsid w:val="006B0C3C"/>
    <w:rsid w:val="006B0CBB"/>
    <w:rsid w:val="006B0D38"/>
    <w:rsid w:val="006B0EC6"/>
    <w:rsid w:val="006B0F1E"/>
    <w:rsid w:val="006B0FD8"/>
    <w:rsid w:val="006B105C"/>
    <w:rsid w:val="006B10E1"/>
    <w:rsid w:val="006B128E"/>
    <w:rsid w:val="006B12C9"/>
    <w:rsid w:val="006B141C"/>
    <w:rsid w:val="006B14EE"/>
    <w:rsid w:val="006B1562"/>
    <w:rsid w:val="006B1657"/>
    <w:rsid w:val="006B1667"/>
    <w:rsid w:val="006B16AA"/>
    <w:rsid w:val="006B16BB"/>
    <w:rsid w:val="006B17BE"/>
    <w:rsid w:val="006B195F"/>
    <w:rsid w:val="006B19B3"/>
    <w:rsid w:val="006B19EA"/>
    <w:rsid w:val="006B1B82"/>
    <w:rsid w:val="006B1B8A"/>
    <w:rsid w:val="006B1C6F"/>
    <w:rsid w:val="006B1D06"/>
    <w:rsid w:val="006B1D50"/>
    <w:rsid w:val="006B1E46"/>
    <w:rsid w:val="006B1E78"/>
    <w:rsid w:val="006B1F14"/>
    <w:rsid w:val="006B1FF4"/>
    <w:rsid w:val="006B22B3"/>
    <w:rsid w:val="006B261D"/>
    <w:rsid w:val="006B2643"/>
    <w:rsid w:val="006B2667"/>
    <w:rsid w:val="006B26D0"/>
    <w:rsid w:val="006B2727"/>
    <w:rsid w:val="006B2782"/>
    <w:rsid w:val="006B27F1"/>
    <w:rsid w:val="006B2928"/>
    <w:rsid w:val="006B29E6"/>
    <w:rsid w:val="006B2B20"/>
    <w:rsid w:val="006B2B45"/>
    <w:rsid w:val="006B2C36"/>
    <w:rsid w:val="006B2D67"/>
    <w:rsid w:val="006B2DDF"/>
    <w:rsid w:val="006B2E9B"/>
    <w:rsid w:val="006B3194"/>
    <w:rsid w:val="006B338A"/>
    <w:rsid w:val="006B33AF"/>
    <w:rsid w:val="006B34E8"/>
    <w:rsid w:val="006B3577"/>
    <w:rsid w:val="006B3718"/>
    <w:rsid w:val="006B38D1"/>
    <w:rsid w:val="006B394A"/>
    <w:rsid w:val="006B39DF"/>
    <w:rsid w:val="006B3B68"/>
    <w:rsid w:val="006B3BA1"/>
    <w:rsid w:val="006B3C90"/>
    <w:rsid w:val="006B3D4F"/>
    <w:rsid w:val="006B3D95"/>
    <w:rsid w:val="006B3DF8"/>
    <w:rsid w:val="006B3E72"/>
    <w:rsid w:val="006B3EDE"/>
    <w:rsid w:val="006B3F0B"/>
    <w:rsid w:val="006B4181"/>
    <w:rsid w:val="006B430E"/>
    <w:rsid w:val="006B4319"/>
    <w:rsid w:val="006B471A"/>
    <w:rsid w:val="006B47F8"/>
    <w:rsid w:val="006B48DF"/>
    <w:rsid w:val="006B49BF"/>
    <w:rsid w:val="006B4A03"/>
    <w:rsid w:val="006B4BAF"/>
    <w:rsid w:val="006B4E29"/>
    <w:rsid w:val="006B4EBF"/>
    <w:rsid w:val="006B4FA1"/>
    <w:rsid w:val="006B5025"/>
    <w:rsid w:val="006B5184"/>
    <w:rsid w:val="006B52FC"/>
    <w:rsid w:val="006B53CB"/>
    <w:rsid w:val="006B5844"/>
    <w:rsid w:val="006B5879"/>
    <w:rsid w:val="006B58C6"/>
    <w:rsid w:val="006B58FF"/>
    <w:rsid w:val="006B5911"/>
    <w:rsid w:val="006B59F3"/>
    <w:rsid w:val="006B5A79"/>
    <w:rsid w:val="006B5AD7"/>
    <w:rsid w:val="006B5CBB"/>
    <w:rsid w:val="006B5E2C"/>
    <w:rsid w:val="006B5F45"/>
    <w:rsid w:val="006B600F"/>
    <w:rsid w:val="006B609C"/>
    <w:rsid w:val="006B60DF"/>
    <w:rsid w:val="006B6148"/>
    <w:rsid w:val="006B638A"/>
    <w:rsid w:val="006B652C"/>
    <w:rsid w:val="006B6565"/>
    <w:rsid w:val="006B68C9"/>
    <w:rsid w:val="006B691D"/>
    <w:rsid w:val="006B6977"/>
    <w:rsid w:val="006B6A9E"/>
    <w:rsid w:val="006B6AD3"/>
    <w:rsid w:val="006B6CD7"/>
    <w:rsid w:val="006B6D43"/>
    <w:rsid w:val="006B6D45"/>
    <w:rsid w:val="006B6DB3"/>
    <w:rsid w:val="006B6EAC"/>
    <w:rsid w:val="006B6EC7"/>
    <w:rsid w:val="006B6EC8"/>
    <w:rsid w:val="006B6EFF"/>
    <w:rsid w:val="006B6F8B"/>
    <w:rsid w:val="006B71D0"/>
    <w:rsid w:val="006B72A4"/>
    <w:rsid w:val="006B7304"/>
    <w:rsid w:val="006B7317"/>
    <w:rsid w:val="006B7338"/>
    <w:rsid w:val="006B7467"/>
    <w:rsid w:val="006B772C"/>
    <w:rsid w:val="006B780D"/>
    <w:rsid w:val="006B78F7"/>
    <w:rsid w:val="006B797E"/>
    <w:rsid w:val="006B7AF7"/>
    <w:rsid w:val="006B7B30"/>
    <w:rsid w:val="006B7B77"/>
    <w:rsid w:val="006B7B94"/>
    <w:rsid w:val="006B7C93"/>
    <w:rsid w:val="006B7DEA"/>
    <w:rsid w:val="006C03C2"/>
    <w:rsid w:val="006C045E"/>
    <w:rsid w:val="006C05EB"/>
    <w:rsid w:val="006C062F"/>
    <w:rsid w:val="006C06BA"/>
    <w:rsid w:val="006C075F"/>
    <w:rsid w:val="006C0845"/>
    <w:rsid w:val="006C08CE"/>
    <w:rsid w:val="006C0C0B"/>
    <w:rsid w:val="006C0C5B"/>
    <w:rsid w:val="006C0C7E"/>
    <w:rsid w:val="006C0D58"/>
    <w:rsid w:val="006C0E85"/>
    <w:rsid w:val="006C1074"/>
    <w:rsid w:val="006C1081"/>
    <w:rsid w:val="006C10A1"/>
    <w:rsid w:val="006C113A"/>
    <w:rsid w:val="006C118C"/>
    <w:rsid w:val="006C1264"/>
    <w:rsid w:val="006C12A7"/>
    <w:rsid w:val="006C12DF"/>
    <w:rsid w:val="006C132B"/>
    <w:rsid w:val="006C140C"/>
    <w:rsid w:val="006C16C6"/>
    <w:rsid w:val="006C17C3"/>
    <w:rsid w:val="006C17CF"/>
    <w:rsid w:val="006C17DD"/>
    <w:rsid w:val="006C1A18"/>
    <w:rsid w:val="006C1A57"/>
    <w:rsid w:val="006C1ABB"/>
    <w:rsid w:val="006C1B62"/>
    <w:rsid w:val="006C1BE1"/>
    <w:rsid w:val="006C1D90"/>
    <w:rsid w:val="006C1FAA"/>
    <w:rsid w:val="006C206F"/>
    <w:rsid w:val="006C20E3"/>
    <w:rsid w:val="006C20F8"/>
    <w:rsid w:val="006C249D"/>
    <w:rsid w:val="006C25DA"/>
    <w:rsid w:val="006C291A"/>
    <w:rsid w:val="006C2988"/>
    <w:rsid w:val="006C29ED"/>
    <w:rsid w:val="006C2A74"/>
    <w:rsid w:val="006C2ACA"/>
    <w:rsid w:val="006C2D45"/>
    <w:rsid w:val="006C2DDE"/>
    <w:rsid w:val="006C2EB9"/>
    <w:rsid w:val="006C2F57"/>
    <w:rsid w:val="006C3006"/>
    <w:rsid w:val="006C314E"/>
    <w:rsid w:val="006C3160"/>
    <w:rsid w:val="006C3238"/>
    <w:rsid w:val="006C34D2"/>
    <w:rsid w:val="006C3559"/>
    <w:rsid w:val="006C3595"/>
    <w:rsid w:val="006C35AD"/>
    <w:rsid w:val="006C35E8"/>
    <w:rsid w:val="006C36F0"/>
    <w:rsid w:val="006C381B"/>
    <w:rsid w:val="006C382A"/>
    <w:rsid w:val="006C3927"/>
    <w:rsid w:val="006C39CD"/>
    <w:rsid w:val="006C39F0"/>
    <w:rsid w:val="006C3A1B"/>
    <w:rsid w:val="006C3A87"/>
    <w:rsid w:val="006C3AF6"/>
    <w:rsid w:val="006C3C3C"/>
    <w:rsid w:val="006C3C72"/>
    <w:rsid w:val="006C3F0E"/>
    <w:rsid w:val="006C4036"/>
    <w:rsid w:val="006C4344"/>
    <w:rsid w:val="006C43D2"/>
    <w:rsid w:val="006C4442"/>
    <w:rsid w:val="006C449E"/>
    <w:rsid w:val="006C44B4"/>
    <w:rsid w:val="006C44EC"/>
    <w:rsid w:val="006C4519"/>
    <w:rsid w:val="006C451F"/>
    <w:rsid w:val="006C48C4"/>
    <w:rsid w:val="006C48FD"/>
    <w:rsid w:val="006C4B0B"/>
    <w:rsid w:val="006C4E45"/>
    <w:rsid w:val="006C4E66"/>
    <w:rsid w:val="006C4E93"/>
    <w:rsid w:val="006C4EC9"/>
    <w:rsid w:val="006C4ED1"/>
    <w:rsid w:val="006C51E2"/>
    <w:rsid w:val="006C5240"/>
    <w:rsid w:val="006C54AE"/>
    <w:rsid w:val="006C5537"/>
    <w:rsid w:val="006C5569"/>
    <w:rsid w:val="006C55E6"/>
    <w:rsid w:val="006C5673"/>
    <w:rsid w:val="006C5714"/>
    <w:rsid w:val="006C57E0"/>
    <w:rsid w:val="006C5847"/>
    <w:rsid w:val="006C58F4"/>
    <w:rsid w:val="006C5970"/>
    <w:rsid w:val="006C59CD"/>
    <w:rsid w:val="006C5AD2"/>
    <w:rsid w:val="006C5D6C"/>
    <w:rsid w:val="006C5D94"/>
    <w:rsid w:val="006C5DEE"/>
    <w:rsid w:val="006C5E74"/>
    <w:rsid w:val="006C5EB6"/>
    <w:rsid w:val="006C5EE8"/>
    <w:rsid w:val="006C5FF0"/>
    <w:rsid w:val="006C60C6"/>
    <w:rsid w:val="006C60F4"/>
    <w:rsid w:val="006C61C8"/>
    <w:rsid w:val="006C63AE"/>
    <w:rsid w:val="006C63C8"/>
    <w:rsid w:val="006C64B3"/>
    <w:rsid w:val="006C6581"/>
    <w:rsid w:val="006C6653"/>
    <w:rsid w:val="006C66CF"/>
    <w:rsid w:val="006C6708"/>
    <w:rsid w:val="006C6859"/>
    <w:rsid w:val="006C6927"/>
    <w:rsid w:val="006C699E"/>
    <w:rsid w:val="006C69BF"/>
    <w:rsid w:val="006C69D3"/>
    <w:rsid w:val="006C6A13"/>
    <w:rsid w:val="006C6CC0"/>
    <w:rsid w:val="006C6D6F"/>
    <w:rsid w:val="006C6DEF"/>
    <w:rsid w:val="006C6E44"/>
    <w:rsid w:val="006C6F7B"/>
    <w:rsid w:val="006C7214"/>
    <w:rsid w:val="006C7353"/>
    <w:rsid w:val="006C763B"/>
    <w:rsid w:val="006C7751"/>
    <w:rsid w:val="006C77B1"/>
    <w:rsid w:val="006C77CC"/>
    <w:rsid w:val="006C78FE"/>
    <w:rsid w:val="006C7910"/>
    <w:rsid w:val="006C79A5"/>
    <w:rsid w:val="006C7AC3"/>
    <w:rsid w:val="006C7D92"/>
    <w:rsid w:val="006C7E29"/>
    <w:rsid w:val="006C7F31"/>
    <w:rsid w:val="006D0063"/>
    <w:rsid w:val="006D00ED"/>
    <w:rsid w:val="006D02D8"/>
    <w:rsid w:val="006D0355"/>
    <w:rsid w:val="006D0476"/>
    <w:rsid w:val="006D0627"/>
    <w:rsid w:val="006D06D4"/>
    <w:rsid w:val="006D0CE8"/>
    <w:rsid w:val="006D0F0F"/>
    <w:rsid w:val="006D11D6"/>
    <w:rsid w:val="006D136D"/>
    <w:rsid w:val="006D15CF"/>
    <w:rsid w:val="006D15DF"/>
    <w:rsid w:val="006D1890"/>
    <w:rsid w:val="006D1A30"/>
    <w:rsid w:val="006D1B3A"/>
    <w:rsid w:val="006D1C04"/>
    <w:rsid w:val="006D208B"/>
    <w:rsid w:val="006D20BB"/>
    <w:rsid w:val="006D2160"/>
    <w:rsid w:val="006D24C0"/>
    <w:rsid w:val="006D24C9"/>
    <w:rsid w:val="006D253F"/>
    <w:rsid w:val="006D259A"/>
    <w:rsid w:val="006D29B6"/>
    <w:rsid w:val="006D2A8C"/>
    <w:rsid w:val="006D2AB3"/>
    <w:rsid w:val="006D2BBA"/>
    <w:rsid w:val="006D2BDA"/>
    <w:rsid w:val="006D2DCD"/>
    <w:rsid w:val="006D2F00"/>
    <w:rsid w:val="006D2F90"/>
    <w:rsid w:val="006D3063"/>
    <w:rsid w:val="006D31A1"/>
    <w:rsid w:val="006D31AE"/>
    <w:rsid w:val="006D332B"/>
    <w:rsid w:val="006D334E"/>
    <w:rsid w:val="006D355D"/>
    <w:rsid w:val="006D3582"/>
    <w:rsid w:val="006D35C6"/>
    <w:rsid w:val="006D35CC"/>
    <w:rsid w:val="006D3622"/>
    <w:rsid w:val="006D37FC"/>
    <w:rsid w:val="006D3823"/>
    <w:rsid w:val="006D3AA4"/>
    <w:rsid w:val="006D3B2B"/>
    <w:rsid w:val="006D3B49"/>
    <w:rsid w:val="006D3B80"/>
    <w:rsid w:val="006D3BEE"/>
    <w:rsid w:val="006D3D74"/>
    <w:rsid w:val="006D3D7D"/>
    <w:rsid w:val="006D3E6A"/>
    <w:rsid w:val="006D3E82"/>
    <w:rsid w:val="006D3EF2"/>
    <w:rsid w:val="006D4355"/>
    <w:rsid w:val="006D4587"/>
    <w:rsid w:val="006D47AB"/>
    <w:rsid w:val="006D491B"/>
    <w:rsid w:val="006D4969"/>
    <w:rsid w:val="006D4AF0"/>
    <w:rsid w:val="006D4B47"/>
    <w:rsid w:val="006D4BAB"/>
    <w:rsid w:val="006D4CDA"/>
    <w:rsid w:val="006D4CFE"/>
    <w:rsid w:val="006D4D5C"/>
    <w:rsid w:val="006D4DF6"/>
    <w:rsid w:val="006D4EFE"/>
    <w:rsid w:val="006D4F1F"/>
    <w:rsid w:val="006D4F41"/>
    <w:rsid w:val="006D4F98"/>
    <w:rsid w:val="006D5050"/>
    <w:rsid w:val="006D528E"/>
    <w:rsid w:val="006D52B4"/>
    <w:rsid w:val="006D53D1"/>
    <w:rsid w:val="006D5534"/>
    <w:rsid w:val="006D56D4"/>
    <w:rsid w:val="006D5704"/>
    <w:rsid w:val="006D5816"/>
    <w:rsid w:val="006D585B"/>
    <w:rsid w:val="006D5A14"/>
    <w:rsid w:val="006D5A84"/>
    <w:rsid w:val="006D5AFD"/>
    <w:rsid w:val="006D5D9B"/>
    <w:rsid w:val="006D5D9E"/>
    <w:rsid w:val="006D5E45"/>
    <w:rsid w:val="006D61EA"/>
    <w:rsid w:val="006D62A3"/>
    <w:rsid w:val="006D63D7"/>
    <w:rsid w:val="006D6454"/>
    <w:rsid w:val="006D6542"/>
    <w:rsid w:val="006D661F"/>
    <w:rsid w:val="006D6A0D"/>
    <w:rsid w:val="006D6C5A"/>
    <w:rsid w:val="006D6C61"/>
    <w:rsid w:val="006D6CE8"/>
    <w:rsid w:val="006D6D78"/>
    <w:rsid w:val="006D6E0D"/>
    <w:rsid w:val="006D6E2E"/>
    <w:rsid w:val="006D6E89"/>
    <w:rsid w:val="006D706F"/>
    <w:rsid w:val="006D7096"/>
    <w:rsid w:val="006D70AB"/>
    <w:rsid w:val="006D7234"/>
    <w:rsid w:val="006D76A2"/>
    <w:rsid w:val="006D779F"/>
    <w:rsid w:val="006D783B"/>
    <w:rsid w:val="006D789C"/>
    <w:rsid w:val="006D7903"/>
    <w:rsid w:val="006D7A43"/>
    <w:rsid w:val="006D7A87"/>
    <w:rsid w:val="006D7C6D"/>
    <w:rsid w:val="006D7CD6"/>
    <w:rsid w:val="006D7CDF"/>
    <w:rsid w:val="006D7D6E"/>
    <w:rsid w:val="006D7E75"/>
    <w:rsid w:val="006E0196"/>
    <w:rsid w:val="006E01C4"/>
    <w:rsid w:val="006E0297"/>
    <w:rsid w:val="006E0355"/>
    <w:rsid w:val="006E0490"/>
    <w:rsid w:val="006E04C7"/>
    <w:rsid w:val="006E0872"/>
    <w:rsid w:val="006E0884"/>
    <w:rsid w:val="006E090F"/>
    <w:rsid w:val="006E0944"/>
    <w:rsid w:val="006E0967"/>
    <w:rsid w:val="006E0AE7"/>
    <w:rsid w:val="006E0DE7"/>
    <w:rsid w:val="006E0EC0"/>
    <w:rsid w:val="006E106B"/>
    <w:rsid w:val="006E10A8"/>
    <w:rsid w:val="006E1109"/>
    <w:rsid w:val="006E1111"/>
    <w:rsid w:val="006E11B2"/>
    <w:rsid w:val="006E1232"/>
    <w:rsid w:val="006E13F0"/>
    <w:rsid w:val="006E141E"/>
    <w:rsid w:val="006E144B"/>
    <w:rsid w:val="006E1624"/>
    <w:rsid w:val="006E1643"/>
    <w:rsid w:val="006E171A"/>
    <w:rsid w:val="006E1782"/>
    <w:rsid w:val="006E17F6"/>
    <w:rsid w:val="006E1854"/>
    <w:rsid w:val="006E19C0"/>
    <w:rsid w:val="006E1A99"/>
    <w:rsid w:val="006E1AC9"/>
    <w:rsid w:val="006E1B27"/>
    <w:rsid w:val="006E1BEF"/>
    <w:rsid w:val="006E1C3F"/>
    <w:rsid w:val="006E1CD3"/>
    <w:rsid w:val="006E1D8A"/>
    <w:rsid w:val="006E1F8E"/>
    <w:rsid w:val="006E1FD0"/>
    <w:rsid w:val="006E206F"/>
    <w:rsid w:val="006E21BC"/>
    <w:rsid w:val="006E21C1"/>
    <w:rsid w:val="006E245A"/>
    <w:rsid w:val="006E25FB"/>
    <w:rsid w:val="006E2885"/>
    <w:rsid w:val="006E2C49"/>
    <w:rsid w:val="006E2D76"/>
    <w:rsid w:val="006E2E22"/>
    <w:rsid w:val="006E2E56"/>
    <w:rsid w:val="006E2EB8"/>
    <w:rsid w:val="006E2EF5"/>
    <w:rsid w:val="006E2F11"/>
    <w:rsid w:val="006E2F21"/>
    <w:rsid w:val="006E2F8D"/>
    <w:rsid w:val="006E2FE5"/>
    <w:rsid w:val="006E30A0"/>
    <w:rsid w:val="006E30E6"/>
    <w:rsid w:val="006E3237"/>
    <w:rsid w:val="006E3287"/>
    <w:rsid w:val="006E3376"/>
    <w:rsid w:val="006E33EA"/>
    <w:rsid w:val="006E3597"/>
    <w:rsid w:val="006E3621"/>
    <w:rsid w:val="006E362C"/>
    <w:rsid w:val="006E366C"/>
    <w:rsid w:val="006E38B6"/>
    <w:rsid w:val="006E3A25"/>
    <w:rsid w:val="006E3A2B"/>
    <w:rsid w:val="006E3B87"/>
    <w:rsid w:val="006E3C35"/>
    <w:rsid w:val="006E3E51"/>
    <w:rsid w:val="006E3FE9"/>
    <w:rsid w:val="006E4067"/>
    <w:rsid w:val="006E4142"/>
    <w:rsid w:val="006E416C"/>
    <w:rsid w:val="006E42A1"/>
    <w:rsid w:val="006E4456"/>
    <w:rsid w:val="006E45B8"/>
    <w:rsid w:val="006E462F"/>
    <w:rsid w:val="006E470C"/>
    <w:rsid w:val="006E4764"/>
    <w:rsid w:val="006E478C"/>
    <w:rsid w:val="006E47E7"/>
    <w:rsid w:val="006E491B"/>
    <w:rsid w:val="006E492D"/>
    <w:rsid w:val="006E49A7"/>
    <w:rsid w:val="006E49B3"/>
    <w:rsid w:val="006E4A60"/>
    <w:rsid w:val="006E4AEB"/>
    <w:rsid w:val="006E4AF2"/>
    <w:rsid w:val="006E4BEF"/>
    <w:rsid w:val="006E4D02"/>
    <w:rsid w:val="006E4E26"/>
    <w:rsid w:val="006E4E41"/>
    <w:rsid w:val="006E4E94"/>
    <w:rsid w:val="006E4EA5"/>
    <w:rsid w:val="006E4FFA"/>
    <w:rsid w:val="006E503C"/>
    <w:rsid w:val="006E5194"/>
    <w:rsid w:val="006E5243"/>
    <w:rsid w:val="006E52B8"/>
    <w:rsid w:val="006E5690"/>
    <w:rsid w:val="006E56DE"/>
    <w:rsid w:val="006E5705"/>
    <w:rsid w:val="006E5801"/>
    <w:rsid w:val="006E5918"/>
    <w:rsid w:val="006E5A3D"/>
    <w:rsid w:val="006E5B0F"/>
    <w:rsid w:val="006E5B29"/>
    <w:rsid w:val="006E5BD5"/>
    <w:rsid w:val="006E615A"/>
    <w:rsid w:val="006E6236"/>
    <w:rsid w:val="006E6438"/>
    <w:rsid w:val="006E64BA"/>
    <w:rsid w:val="006E654E"/>
    <w:rsid w:val="006E66DE"/>
    <w:rsid w:val="006E66E0"/>
    <w:rsid w:val="006E671C"/>
    <w:rsid w:val="006E67F9"/>
    <w:rsid w:val="006E680D"/>
    <w:rsid w:val="006E6817"/>
    <w:rsid w:val="006E6859"/>
    <w:rsid w:val="006E69DA"/>
    <w:rsid w:val="006E6A3F"/>
    <w:rsid w:val="006E6ADB"/>
    <w:rsid w:val="006E6F4C"/>
    <w:rsid w:val="006E70C7"/>
    <w:rsid w:val="006E71C7"/>
    <w:rsid w:val="006E725F"/>
    <w:rsid w:val="006E72E8"/>
    <w:rsid w:val="006E737A"/>
    <w:rsid w:val="006E748C"/>
    <w:rsid w:val="006E7490"/>
    <w:rsid w:val="006E75D0"/>
    <w:rsid w:val="006E7612"/>
    <w:rsid w:val="006E769E"/>
    <w:rsid w:val="006E783D"/>
    <w:rsid w:val="006E7939"/>
    <w:rsid w:val="006E7AA5"/>
    <w:rsid w:val="006E7AE8"/>
    <w:rsid w:val="006E7D20"/>
    <w:rsid w:val="006E7D40"/>
    <w:rsid w:val="006E7E34"/>
    <w:rsid w:val="006E7E3F"/>
    <w:rsid w:val="006E7EA5"/>
    <w:rsid w:val="006E7F84"/>
    <w:rsid w:val="006F024E"/>
    <w:rsid w:val="006F02B8"/>
    <w:rsid w:val="006F0434"/>
    <w:rsid w:val="006F055C"/>
    <w:rsid w:val="006F0672"/>
    <w:rsid w:val="006F068B"/>
    <w:rsid w:val="006F07D8"/>
    <w:rsid w:val="006F0855"/>
    <w:rsid w:val="006F08C0"/>
    <w:rsid w:val="006F08EF"/>
    <w:rsid w:val="006F0982"/>
    <w:rsid w:val="006F098B"/>
    <w:rsid w:val="006F0B5B"/>
    <w:rsid w:val="006F0B6E"/>
    <w:rsid w:val="006F0B7D"/>
    <w:rsid w:val="006F0BEB"/>
    <w:rsid w:val="006F0C3F"/>
    <w:rsid w:val="006F0C8C"/>
    <w:rsid w:val="006F0DC9"/>
    <w:rsid w:val="006F0E71"/>
    <w:rsid w:val="006F0E9B"/>
    <w:rsid w:val="006F0F74"/>
    <w:rsid w:val="006F1071"/>
    <w:rsid w:val="006F11A1"/>
    <w:rsid w:val="006F12DC"/>
    <w:rsid w:val="006F1344"/>
    <w:rsid w:val="006F1467"/>
    <w:rsid w:val="006F14A8"/>
    <w:rsid w:val="006F1508"/>
    <w:rsid w:val="006F163D"/>
    <w:rsid w:val="006F1726"/>
    <w:rsid w:val="006F1815"/>
    <w:rsid w:val="006F1AE4"/>
    <w:rsid w:val="006F1B01"/>
    <w:rsid w:val="006F1B69"/>
    <w:rsid w:val="006F1B7C"/>
    <w:rsid w:val="006F1B80"/>
    <w:rsid w:val="006F1C6E"/>
    <w:rsid w:val="006F1E01"/>
    <w:rsid w:val="006F2109"/>
    <w:rsid w:val="006F21F2"/>
    <w:rsid w:val="006F2302"/>
    <w:rsid w:val="006F23E1"/>
    <w:rsid w:val="006F24A2"/>
    <w:rsid w:val="006F252B"/>
    <w:rsid w:val="006F257B"/>
    <w:rsid w:val="006F266D"/>
    <w:rsid w:val="006F269A"/>
    <w:rsid w:val="006F274C"/>
    <w:rsid w:val="006F283E"/>
    <w:rsid w:val="006F2913"/>
    <w:rsid w:val="006F2BBB"/>
    <w:rsid w:val="006F2D3C"/>
    <w:rsid w:val="006F2E41"/>
    <w:rsid w:val="006F311C"/>
    <w:rsid w:val="006F3157"/>
    <w:rsid w:val="006F3326"/>
    <w:rsid w:val="006F33CD"/>
    <w:rsid w:val="006F3573"/>
    <w:rsid w:val="006F3591"/>
    <w:rsid w:val="006F35C5"/>
    <w:rsid w:val="006F3842"/>
    <w:rsid w:val="006F39EB"/>
    <w:rsid w:val="006F3BB1"/>
    <w:rsid w:val="006F3C24"/>
    <w:rsid w:val="006F3C70"/>
    <w:rsid w:val="006F3DAF"/>
    <w:rsid w:val="006F3DDB"/>
    <w:rsid w:val="006F3DF8"/>
    <w:rsid w:val="006F3EFB"/>
    <w:rsid w:val="006F40C2"/>
    <w:rsid w:val="006F4159"/>
    <w:rsid w:val="006F41B2"/>
    <w:rsid w:val="006F4312"/>
    <w:rsid w:val="006F43F6"/>
    <w:rsid w:val="006F4415"/>
    <w:rsid w:val="006F4484"/>
    <w:rsid w:val="006F44AB"/>
    <w:rsid w:val="006F4607"/>
    <w:rsid w:val="006F4638"/>
    <w:rsid w:val="006F4647"/>
    <w:rsid w:val="006F46BB"/>
    <w:rsid w:val="006F48A4"/>
    <w:rsid w:val="006F48EC"/>
    <w:rsid w:val="006F4A04"/>
    <w:rsid w:val="006F4D06"/>
    <w:rsid w:val="006F4E1A"/>
    <w:rsid w:val="006F4E53"/>
    <w:rsid w:val="006F4F3C"/>
    <w:rsid w:val="006F4F84"/>
    <w:rsid w:val="006F4F89"/>
    <w:rsid w:val="006F501C"/>
    <w:rsid w:val="006F5323"/>
    <w:rsid w:val="006F54E8"/>
    <w:rsid w:val="006F55BA"/>
    <w:rsid w:val="006F58F1"/>
    <w:rsid w:val="006F599C"/>
    <w:rsid w:val="006F59EC"/>
    <w:rsid w:val="006F5A5A"/>
    <w:rsid w:val="006F5A77"/>
    <w:rsid w:val="006F5BF0"/>
    <w:rsid w:val="006F5C4E"/>
    <w:rsid w:val="006F5CC9"/>
    <w:rsid w:val="006F5E3A"/>
    <w:rsid w:val="006F611B"/>
    <w:rsid w:val="006F64FC"/>
    <w:rsid w:val="006F655B"/>
    <w:rsid w:val="006F677B"/>
    <w:rsid w:val="006F67A9"/>
    <w:rsid w:val="006F68DC"/>
    <w:rsid w:val="006F6992"/>
    <w:rsid w:val="006F6B1B"/>
    <w:rsid w:val="006F6B9D"/>
    <w:rsid w:val="006F6D8C"/>
    <w:rsid w:val="006F6E05"/>
    <w:rsid w:val="006F6FE5"/>
    <w:rsid w:val="006F7009"/>
    <w:rsid w:val="006F713C"/>
    <w:rsid w:val="006F7222"/>
    <w:rsid w:val="006F7243"/>
    <w:rsid w:val="006F725C"/>
    <w:rsid w:val="006F7426"/>
    <w:rsid w:val="006F743F"/>
    <w:rsid w:val="006F7445"/>
    <w:rsid w:val="006F74F9"/>
    <w:rsid w:val="006F7584"/>
    <w:rsid w:val="006F7651"/>
    <w:rsid w:val="006F7697"/>
    <w:rsid w:val="006F7741"/>
    <w:rsid w:val="006F77A6"/>
    <w:rsid w:val="006F7825"/>
    <w:rsid w:val="006F7951"/>
    <w:rsid w:val="006F7A47"/>
    <w:rsid w:val="006F7AC6"/>
    <w:rsid w:val="006F7BC4"/>
    <w:rsid w:val="006F7C40"/>
    <w:rsid w:val="006F7C5F"/>
    <w:rsid w:val="006F7D48"/>
    <w:rsid w:val="006F7DA1"/>
    <w:rsid w:val="007001F6"/>
    <w:rsid w:val="007002FE"/>
    <w:rsid w:val="00700331"/>
    <w:rsid w:val="007005CC"/>
    <w:rsid w:val="0070068B"/>
    <w:rsid w:val="0070073D"/>
    <w:rsid w:val="00700741"/>
    <w:rsid w:val="00700A25"/>
    <w:rsid w:val="00700C23"/>
    <w:rsid w:val="00700C39"/>
    <w:rsid w:val="00700CD6"/>
    <w:rsid w:val="00700DFB"/>
    <w:rsid w:val="00700DFE"/>
    <w:rsid w:val="00700E77"/>
    <w:rsid w:val="00700F9B"/>
    <w:rsid w:val="00700FE9"/>
    <w:rsid w:val="007012DE"/>
    <w:rsid w:val="007014D4"/>
    <w:rsid w:val="00701800"/>
    <w:rsid w:val="007018FA"/>
    <w:rsid w:val="00701A84"/>
    <w:rsid w:val="00701A88"/>
    <w:rsid w:val="00701AD9"/>
    <w:rsid w:val="00701BAA"/>
    <w:rsid w:val="00701DCE"/>
    <w:rsid w:val="00701E5A"/>
    <w:rsid w:val="00701E7A"/>
    <w:rsid w:val="00701F10"/>
    <w:rsid w:val="00701F36"/>
    <w:rsid w:val="00702070"/>
    <w:rsid w:val="007020FA"/>
    <w:rsid w:val="00702286"/>
    <w:rsid w:val="007022AE"/>
    <w:rsid w:val="00702450"/>
    <w:rsid w:val="00702524"/>
    <w:rsid w:val="0070259B"/>
    <w:rsid w:val="00702AFC"/>
    <w:rsid w:val="00702B02"/>
    <w:rsid w:val="00702B1B"/>
    <w:rsid w:val="00702BB9"/>
    <w:rsid w:val="00702D0F"/>
    <w:rsid w:val="00702E15"/>
    <w:rsid w:val="00702F91"/>
    <w:rsid w:val="00702FC3"/>
    <w:rsid w:val="007030D3"/>
    <w:rsid w:val="007030D8"/>
    <w:rsid w:val="00703108"/>
    <w:rsid w:val="00703147"/>
    <w:rsid w:val="00703224"/>
    <w:rsid w:val="00703266"/>
    <w:rsid w:val="00703592"/>
    <w:rsid w:val="007036FB"/>
    <w:rsid w:val="00703810"/>
    <w:rsid w:val="00703811"/>
    <w:rsid w:val="007038B9"/>
    <w:rsid w:val="007038BF"/>
    <w:rsid w:val="00703E22"/>
    <w:rsid w:val="00703F2E"/>
    <w:rsid w:val="00703F7F"/>
    <w:rsid w:val="00703FAC"/>
    <w:rsid w:val="00704062"/>
    <w:rsid w:val="00704134"/>
    <w:rsid w:val="00704193"/>
    <w:rsid w:val="007042CF"/>
    <w:rsid w:val="00704361"/>
    <w:rsid w:val="0070438F"/>
    <w:rsid w:val="007043D1"/>
    <w:rsid w:val="00704442"/>
    <w:rsid w:val="0070470E"/>
    <w:rsid w:val="00704876"/>
    <w:rsid w:val="00704938"/>
    <w:rsid w:val="007049EF"/>
    <w:rsid w:val="00704A31"/>
    <w:rsid w:val="00704CA5"/>
    <w:rsid w:val="00704CA7"/>
    <w:rsid w:val="00704D2E"/>
    <w:rsid w:val="00704FAC"/>
    <w:rsid w:val="00704FB7"/>
    <w:rsid w:val="0070533A"/>
    <w:rsid w:val="00705397"/>
    <w:rsid w:val="007053C2"/>
    <w:rsid w:val="007054DC"/>
    <w:rsid w:val="007056B1"/>
    <w:rsid w:val="007058B5"/>
    <w:rsid w:val="00705903"/>
    <w:rsid w:val="00705ADB"/>
    <w:rsid w:val="00705B3D"/>
    <w:rsid w:val="00705BF1"/>
    <w:rsid w:val="00705D71"/>
    <w:rsid w:val="0070607B"/>
    <w:rsid w:val="007060DD"/>
    <w:rsid w:val="007061C1"/>
    <w:rsid w:val="007065AC"/>
    <w:rsid w:val="007065F8"/>
    <w:rsid w:val="0070678B"/>
    <w:rsid w:val="007067A6"/>
    <w:rsid w:val="007068CC"/>
    <w:rsid w:val="007068D0"/>
    <w:rsid w:val="00706A1E"/>
    <w:rsid w:val="00706AFA"/>
    <w:rsid w:val="00706B6C"/>
    <w:rsid w:val="00706BBD"/>
    <w:rsid w:val="00706F01"/>
    <w:rsid w:val="00706F23"/>
    <w:rsid w:val="00706F48"/>
    <w:rsid w:val="00706FE0"/>
    <w:rsid w:val="00707105"/>
    <w:rsid w:val="007073CA"/>
    <w:rsid w:val="00707814"/>
    <w:rsid w:val="007078F7"/>
    <w:rsid w:val="007079D5"/>
    <w:rsid w:val="00707BE3"/>
    <w:rsid w:val="00707D9A"/>
    <w:rsid w:val="00707DB4"/>
    <w:rsid w:val="00707E30"/>
    <w:rsid w:val="00707E8C"/>
    <w:rsid w:val="00710051"/>
    <w:rsid w:val="00710124"/>
    <w:rsid w:val="00710137"/>
    <w:rsid w:val="007104A2"/>
    <w:rsid w:val="007104AF"/>
    <w:rsid w:val="007105C0"/>
    <w:rsid w:val="007105FE"/>
    <w:rsid w:val="0071067F"/>
    <w:rsid w:val="0071069D"/>
    <w:rsid w:val="0071090D"/>
    <w:rsid w:val="00710A30"/>
    <w:rsid w:val="00710AC2"/>
    <w:rsid w:val="00710AF4"/>
    <w:rsid w:val="00710B71"/>
    <w:rsid w:val="00710C75"/>
    <w:rsid w:val="00710CDB"/>
    <w:rsid w:val="00710FB4"/>
    <w:rsid w:val="0071102A"/>
    <w:rsid w:val="0071118F"/>
    <w:rsid w:val="00711227"/>
    <w:rsid w:val="00711270"/>
    <w:rsid w:val="007112A1"/>
    <w:rsid w:val="00711336"/>
    <w:rsid w:val="00711469"/>
    <w:rsid w:val="0071152F"/>
    <w:rsid w:val="007115E9"/>
    <w:rsid w:val="00711641"/>
    <w:rsid w:val="00711776"/>
    <w:rsid w:val="00711800"/>
    <w:rsid w:val="00711870"/>
    <w:rsid w:val="00711B1E"/>
    <w:rsid w:val="00711B39"/>
    <w:rsid w:val="00711B7A"/>
    <w:rsid w:val="00711BC2"/>
    <w:rsid w:val="00711BEB"/>
    <w:rsid w:val="00711F09"/>
    <w:rsid w:val="00711F8A"/>
    <w:rsid w:val="00711FA0"/>
    <w:rsid w:val="00711FFA"/>
    <w:rsid w:val="00712154"/>
    <w:rsid w:val="0071234B"/>
    <w:rsid w:val="007123B9"/>
    <w:rsid w:val="00712468"/>
    <w:rsid w:val="0071256E"/>
    <w:rsid w:val="0071256F"/>
    <w:rsid w:val="0071265B"/>
    <w:rsid w:val="007127CF"/>
    <w:rsid w:val="0071296A"/>
    <w:rsid w:val="007129AA"/>
    <w:rsid w:val="00712A5B"/>
    <w:rsid w:val="00712C17"/>
    <w:rsid w:val="00712D33"/>
    <w:rsid w:val="00712DA5"/>
    <w:rsid w:val="00712E59"/>
    <w:rsid w:val="00713047"/>
    <w:rsid w:val="0071305B"/>
    <w:rsid w:val="007130DC"/>
    <w:rsid w:val="0071311D"/>
    <w:rsid w:val="0071315E"/>
    <w:rsid w:val="007133FF"/>
    <w:rsid w:val="00713444"/>
    <w:rsid w:val="00713458"/>
    <w:rsid w:val="00713468"/>
    <w:rsid w:val="00713512"/>
    <w:rsid w:val="0071390B"/>
    <w:rsid w:val="0071391F"/>
    <w:rsid w:val="00713A5D"/>
    <w:rsid w:val="00713C1C"/>
    <w:rsid w:val="00713C1E"/>
    <w:rsid w:val="00713C2E"/>
    <w:rsid w:val="00713CA7"/>
    <w:rsid w:val="00713CE1"/>
    <w:rsid w:val="00713FA0"/>
    <w:rsid w:val="00713FAD"/>
    <w:rsid w:val="00713FD7"/>
    <w:rsid w:val="00713FDC"/>
    <w:rsid w:val="007143ED"/>
    <w:rsid w:val="00714649"/>
    <w:rsid w:val="00714655"/>
    <w:rsid w:val="007147B3"/>
    <w:rsid w:val="00714909"/>
    <w:rsid w:val="00714982"/>
    <w:rsid w:val="007149F1"/>
    <w:rsid w:val="00714B34"/>
    <w:rsid w:val="00714B99"/>
    <w:rsid w:val="00714C2B"/>
    <w:rsid w:val="00714D82"/>
    <w:rsid w:val="00714ECC"/>
    <w:rsid w:val="00714F51"/>
    <w:rsid w:val="007150FF"/>
    <w:rsid w:val="007151C4"/>
    <w:rsid w:val="007151CB"/>
    <w:rsid w:val="0071528D"/>
    <w:rsid w:val="007153C6"/>
    <w:rsid w:val="0071555C"/>
    <w:rsid w:val="00715560"/>
    <w:rsid w:val="007156A0"/>
    <w:rsid w:val="007157B9"/>
    <w:rsid w:val="007158F7"/>
    <w:rsid w:val="0071594B"/>
    <w:rsid w:val="00715A23"/>
    <w:rsid w:val="00715AF4"/>
    <w:rsid w:val="00715B7B"/>
    <w:rsid w:val="00715BE1"/>
    <w:rsid w:val="00715C04"/>
    <w:rsid w:val="00715CAC"/>
    <w:rsid w:val="00715DF0"/>
    <w:rsid w:val="00715EF1"/>
    <w:rsid w:val="007161FF"/>
    <w:rsid w:val="007162DF"/>
    <w:rsid w:val="007163FA"/>
    <w:rsid w:val="00716492"/>
    <w:rsid w:val="00716547"/>
    <w:rsid w:val="0071659A"/>
    <w:rsid w:val="007165B3"/>
    <w:rsid w:val="0071668A"/>
    <w:rsid w:val="0071676A"/>
    <w:rsid w:val="007167CE"/>
    <w:rsid w:val="00716851"/>
    <w:rsid w:val="007169EE"/>
    <w:rsid w:val="00716B57"/>
    <w:rsid w:val="00716B99"/>
    <w:rsid w:val="00716E60"/>
    <w:rsid w:val="00716E81"/>
    <w:rsid w:val="007171B9"/>
    <w:rsid w:val="0071723D"/>
    <w:rsid w:val="007173B8"/>
    <w:rsid w:val="00717491"/>
    <w:rsid w:val="007177E0"/>
    <w:rsid w:val="0071786C"/>
    <w:rsid w:val="007178DA"/>
    <w:rsid w:val="00717A1C"/>
    <w:rsid w:val="00717A4F"/>
    <w:rsid w:val="00717BFD"/>
    <w:rsid w:val="00717C8A"/>
    <w:rsid w:val="00717F1E"/>
    <w:rsid w:val="00717F6A"/>
    <w:rsid w:val="00717FB2"/>
    <w:rsid w:val="007200FE"/>
    <w:rsid w:val="007201E8"/>
    <w:rsid w:val="0072058A"/>
    <w:rsid w:val="0072058E"/>
    <w:rsid w:val="0072074D"/>
    <w:rsid w:val="00720773"/>
    <w:rsid w:val="00720923"/>
    <w:rsid w:val="00720A76"/>
    <w:rsid w:val="00720D76"/>
    <w:rsid w:val="00720FCD"/>
    <w:rsid w:val="00720FDF"/>
    <w:rsid w:val="007211FF"/>
    <w:rsid w:val="00721331"/>
    <w:rsid w:val="00721400"/>
    <w:rsid w:val="007214DF"/>
    <w:rsid w:val="007214F7"/>
    <w:rsid w:val="00721666"/>
    <w:rsid w:val="0072168A"/>
    <w:rsid w:val="007216C0"/>
    <w:rsid w:val="007216FF"/>
    <w:rsid w:val="0072171C"/>
    <w:rsid w:val="0072174F"/>
    <w:rsid w:val="00721818"/>
    <w:rsid w:val="00721820"/>
    <w:rsid w:val="007219BD"/>
    <w:rsid w:val="00721A22"/>
    <w:rsid w:val="00721A84"/>
    <w:rsid w:val="00721BA9"/>
    <w:rsid w:val="00721BF7"/>
    <w:rsid w:val="00721C55"/>
    <w:rsid w:val="00721CBD"/>
    <w:rsid w:val="00721CEC"/>
    <w:rsid w:val="00721D33"/>
    <w:rsid w:val="00721D36"/>
    <w:rsid w:val="00721DE8"/>
    <w:rsid w:val="00721E6E"/>
    <w:rsid w:val="00721F0A"/>
    <w:rsid w:val="0072206E"/>
    <w:rsid w:val="00722094"/>
    <w:rsid w:val="007220FF"/>
    <w:rsid w:val="00722127"/>
    <w:rsid w:val="0072240F"/>
    <w:rsid w:val="0072291B"/>
    <w:rsid w:val="00722960"/>
    <w:rsid w:val="00722967"/>
    <w:rsid w:val="00722A0D"/>
    <w:rsid w:val="00722A98"/>
    <w:rsid w:val="00722B4C"/>
    <w:rsid w:val="00722C4D"/>
    <w:rsid w:val="00722CF6"/>
    <w:rsid w:val="00722DB6"/>
    <w:rsid w:val="00722E59"/>
    <w:rsid w:val="00722EBD"/>
    <w:rsid w:val="00723120"/>
    <w:rsid w:val="0072314B"/>
    <w:rsid w:val="00723251"/>
    <w:rsid w:val="0072328D"/>
    <w:rsid w:val="007232D8"/>
    <w:rsid w:val="007233DF"/>
    <w:rsid w:val="0072348B"/>
    <w:rsid w:val="007234D7"/>
    <w:rsid w:val="007234FF"/>
    <w:rsid w:val="0072354D"/>
    <w:rsid w:val="0072360E"/>
    <w:rsid w:val="0072368A"/>
    <w:rsid w:val="0072393C"/>
    <w:rsid w:val="0072394C"/>
    <w:rsid w:val="007239EA"/>
    <w:rsid w:val="00723A67"/>
    <w:rsid w:val="00723B0A"/>
    <w:rsid w:val="00723B1A"/>
    <w:rsid w:val="00723B7F"/>
    <w:rsid w:val="00723D51"/>
    <w:rsid w:val="00723DD3"/>
    <w:rsid w:val="00723E29"/>
    <w:rsid w:val="00723E5B"/>
    <w:rsid w:val="00723E9E"/>
    <w:rsid w:val="00723F7A"/>
    <w:rsid w:val="00723FD6"/>
    <w:rsid w:val="00724160"/>
    <w:rsid w:val="00724177"/>
    <w:rsid w:val="0072422B"/>
    <w:rsid w:val="00724434"/>
    <w:rsid w:val="007244B4"/>
    <w:rsid w:val="00724508"/>
    <w:rsid w:val="0072471A"/>
    <w:rsid w:val="00724725"/>
    <w:rsid w:val="00724768"/>
    <w:rsid w:val="007248A8"/>
    <w:rsid w:val="00724916"/>
    <w:rsid w:val="00724921"/>
    <w:rsid w:val="00724A9B"/>
    <w:rsid w:val="00724BF4"/>
    <w:rsid w:val="00724D0B"/>
    <w:rsid w:val="00724D70"/>
    <w:rsid w:val="00724DF8"/>
    <w:rsid w:val="00725175"/>
    <w:rsid w:val="00725494"/>
    <w:rsid w:val="007256A9"/>
    <w:rsid w:val="007256E4"/>
    <w:rsid w:val="00725732"/>
    <w:rsid w:val="00725768"/>
    <w:rsid w:val="00725A0F"/>
    <w:rsid w:val="00725A18"/>
    <w:rsid w:val="00725AD8"/>
    <w:rsid w:val="00725C6D"/>
    <w:rsid w:val="00725C7C"/>
    <w:rsid w:val="00725EB2"/>
    <w:rsid w:val="007260A4"/>
    <w:rsid w:val="0072616D"/>
    <w:rsid w:val="0072629D"/>
    <w:rsid w:val="00726390"/>
    <w:rsid w:val="007263A9"/>
    <w:rsid w:val="007263EF"/>
    <w:rsid w:val="00726403"/>
    <w:rsid w:val="007267F9"/>
    <w:rsid w:val="00726800"/>
    <w:rsid w:val="007268B0"/>
    <w:rsid w:val="00726988"/>
    <w:rsid w:val="00726A0D"/>
    <w:rsid w:val="00726AB8"/>
    <w:rsid w:val="00726BEB"/>
    <w:rsid w:val="00726E3F"/>
    <w:rsid w:val="00727201"/>
    <w:rsid w:val="00727239"/>
    <w:rsid w:val="00727246"/>
    <w:rsid w:val="0072724A"/>
    <w:rsid w:val="007272CF"/>
    <w:rsid w:val="0072744A"/>
    <w:rsid w:val="0072771A"/>
    <w:rsid w:val="007279C0"/>
    <w:rsid w:val="00727B11"/>
    <w:rsid w:val="00727BAF"/>
    <w:rsid w:val="00727CBD"/>
    <w:rsid w:val="00727CC9"/>
    <w:rsid w:val="00727D3E"/>
    <w:rsid w:val="00727E3D"/>
    <w:rsid w:val="00730080"/>
    <w:rsid w:val="007300CB"/>
    <w:rsid w:val="007301A1"/>
    <w:rsid w:val="007302E6"/>
    <w:rsid w:val="007303D6"/>
    <w:rsid w:val="007304A5"/>
    <w:rsid w:val="007304EE"/>
    <w:rsid w:val="007304FA"/>
    <w:rsid w:val="007307DA"/>
    <w:rsid w:val="0073087A"/>
    <w:rsid w:val="0073097B"/>
    <w:rsid w:val="007309AC"/>
    <w:rsid w:val="00730BB3"/>
    <w:rsid w:val="00730C9A"/>
    <w:rsid w:val="00730EBF"/>
    <w:rsid w:val="00730EC6"/>
    <w:rsid w:val="00730F00"/>
    <w:rsid w:val="00730F44"/>
    <w:rsid w:val="0073151C"/>
    <w:rsid w:val="0073152B"/>
    <w:rsid w:val="007315A3"/>
    <w:rsid w:val="00731765"/>
    <w:rsid w:val="00731863"/>
    <w:rsid w:val="007318BF"/>
    <w:rsid w:val="0073192E"/>
    <w:rsid w:val="00731977"/>
    <w:rsid w:val="00731A6B"/>
    <w:rsid w:val="00731B10"/>
    <w:rsid w:val="00731C07"/>
    <w:rsid w:val="00731C57"/>
    <w:rsid w:val="00731C9C"/>
    <w:rsid w:val="00731CBC"/>
    <w:rsid w:val="00731D1D"/>
    <w:rsid w:val="00732131"/>
    <w:rsid w:val="00732166"/>
    <w:rsid w:val="00732470"/>
    <w:rsid w:val="00732583"/>
    <w:rsid w:val="007325DE"/>
    <w:rsid w:val="007329F6"/>
    <w:rsid w:val="00732A34"/>
    <w:rsid w:val="00732AF4"/>
    <w:rsid w:val="00732B22"/>
    <w:rsid w:val="00732B2C"/>
    <w:rsid w:val="00732B2D"/>
    <w:rsid w:val="00732C38"/>
    <w:rsid w:val="00732E77"/>
    <w:rsid w:val="00732F84"/>
    <w:rsid w:val="00732F8F"/>
    <w:rsid w:val="00732FDC"/>
    <w:rsid w:val="007331ED"/>
    <w:rsid w:val="00733523"/>
    <w:rsid w:val="00733873"/>
    <w:rsid w:val="007339EB"/>
    <w:rsid w:val="00733A58"/>
    <w:rsid w:val="00733AB8"/>
    <w:rsid w:val="00733ACE"/>
    <w:rsid w:val="00733C7D"/>
    <w:rsid w:val="00733DEA"/>
    <w:rsid w:val="00733FAB"/>
    <w:rsid w:val="00733FCA"/>
    <w:rsid w:val="00734017"/>
    <w:rsid w:val="00734043"/>
    <w:rsid w:val="00734067"/>
    <w:rsid w:val="007341B2"/>
    <w:rsid w:val="007341FE"/>
    <w:rsid w:val="007342A3"/>
    <w:rsid w:val="007343FF"/>
    <w:rsid w:val="0073447B"/>
    <w:rsid w:val="0073448F"/>
    <w:rsid w:val="007344CA"/>
    <w:rsid w:val="0073451E"/>
    <w:rsid w:val="00734559"/>
    <w:rsid w:val="0073465C"/>
    <w:rsid w:val="007347D2"/>
    <w:rsid w:val="00734948"/>
    <w:rsid w:val="00734AF1"/>
    <w:rsid w:val="00734C85"/>
    <w:rsid w:val="00734D2F"/>
    <w:rsid w:val="00734EA5"/>
    <w:rsid w:val="00734F03"/>
    <w:rsid w:val="00734F73"/>
    <w:rsid w:val="00735063"/>
    <w:rsid w:val="00735148"/>
    <w:rsid w:val="00735190"/>
    <w:rsid w:val="007351EB"/>
    <w:rsid w:val="007352C3"/>
    <w:rsid w:val="00735409"/>
    <w:rsid w:val="0073542C"/>
    <w:rsid w:val="00735589"/>
    <w:rsid w:val="007355EF"/>
    <w:rsid w:val="007358EE"/>
    <w:rsid w:val="0073595D"/>
    <w:rsid w:val="007359B0"/>
    <w:rsid w:val="007359BA"/>
    <w:rsid w:val="007359D9"/>
    <w:rsid w:val="00735A1D"/>
    <w:rsid w:val="00735C38"/>
    <w:rsid w:val="00735EBF"/>
    <w:rsid w:val="00735EDE"/>
    <w:rsid w:val="00735F3B"/>
    <w:rsid w:val="0073606F"/>
    <w:rsid w:val="007361D8"/>
    <w:rsid w:val="007364CE"/>
    <w:rsid w:val="00736524"/>
    <w:rsid w:val="0073657B"/>
    <w:rsid w:val="007367DF"/>
    <w:rsid w:val="007367E5"/>
    <w:rsid w:val="0073693B"/>
    <w:rsid w:val="0073697F"/>
    <w:rsid w:val="00736A3C"/>
    <w:rsid w:val="00736B51"/>
    <w:rsid w:val="00736DE6"/>
    <w:rsid w:val="00736E0D"/>
    <w:rsid w:val="00736E50"/>
    <w:rsid w:val="0073710D"/>
    <w:rsid w:val="00737149"/>
    <w:rsid w:val="0073720F"/>
    <w:rsid w:val="0073723B"/>
    <w:rsid w:val="00737259"/>
    <w:rsid w:val="00737361"/>
    <w:rsid w:val="007373FD"/>
    <w:rsid w:val="0073759C"/>
    <w:rsid w:val="007375A3"/>
    <w:rsid w:val="007375F8"/>
    <w:rsid w:val="0073768F"/>
    <w:rsid w:val="0073774B"/>
    <w:rsid w:val="0073779B"/>
    <w:rsid w:val="007377D0"/>
    <w:rsid w:val="00737821"/>
    <w:rsid w:val="0073785D"/>
    <w:rsid w:val="007378BD"/>
    <w:rsid w:val="007378E0"/>
    <w:rsid w:val="00737A23"/>
    <w:rsid w:val="00737C0D"/>
    <w:rsid w:val="00737C2F"/>
    <w:rsid w:val="00737C41"/>
    <w:rsid w:val="00737D4D"/>
    <w:rsid w:val="00737EC4"/>
    <w:rsid w:val="00737F0A"/>
    <w:rsid w:val="00740041"/>
    <w:rsid w:val="0074007C"/>
    <w:rsid w:val="00740174"/>
    <w:rsid w:val="0074028A"/>
    <w:rsid w:val="00740322"/>
    <w:rsid w:val="0074036E"/>
    <w:rsid w:val="0074057E"/>
    <w:rsid w:val="00740881"/>
    <w:rsid w:val="00740887"/>
    <w:rsid w:val="007408A5"/>
    <w:rsid w:val="00740940"/>
    <w:rsid w:val="007409BA"/>
    <w:rsid w:val="007409F1"/>
    <w:rsid w:val="00740ABC"/>
    <w:rsid w:val="00740AC5"/>
    <w:rsid w:val="00740AF3"/>
    <w:rsid w:val="00740B16"/>
    <w:rsid w:val="00740BA3"/>
    <w:rsid w:val="00740E27"/>
    <w:rsid w:val="00740FB7"/>
    <w:rsid w:val="00741025"/>
    <w:rsid w:val="007411AF"/>
    <w:rsid w:val="00741331"/>
    <w:rsid w:val="00741371"/>
    <w:rsid w:val="0074144A"/>
    <w:rsid w:val="007415C0"/>
    <w:rsid w:val="00741A5C"/>
    <w:rsid w:val="00741B45"/>
    <w:rsid w:val="00741B86"/>
    <w:rsid w:val="00741C33"/>
    <w:rsid w:val="00741C9E"/>
    <w:rsid w:val="00741CAF"/>
    <w:rsid w:val="00741D58"/>
    <w:rsid w:val="00741E39"/>
    <w:rsid w:val="00741EF2"/>
    <w:rsid w:val="00741FA0"/>
    <w:rsid w:val="00742000"/>
    <w:rsid w:val="00742087"/>
    <w:rsid w:val="007420BE"/>
    <w:rsid w:val="00742119"/>
    <w:rsid w:val="007422DB"/>
    <w:rsid w:val="00742455"/>
    <w:rsid w:val="00742494"/>
    <w:rsid w:val="007425D1"/>
    <w:rsid w:val="007426E3"/>
    <w:rsid w:val="007429DA"/>
    <w:rsid w:val="00742A4A"/>
    <w:rsid w:val="00742B13"/>
    <w:rsid w:val="00742C5C"/>
    <w:rsid w:val="00742C7F"/>
    <w:rsid w:val="00742D05"/>
    <w:rsid w:val="00742D80"/>
    <w:rsid w:val="00742D83"/>
    <w:rsid w:val="00742DA0"/>
    <w:rsid w:val="00742EA1"/>
    <w:rsid w:val="00742EBE"/>
    <w:rsid w:val="00742FE1"/>
    <w:rsid w:val="0074305E"/>
    <w:rsid w:val="007432AF"/>
    <w:rsid w:val="007433AD"/>
    <w:rsid w:val="007433D3"/>
    <w:rsid w:val="0074347B"/>
    <w:rsid w:val="00743616"/>
    <w:rsid w:val="007436A7"/>
    <w:rsid w:val="00743769"/>
    <w:rsid w:val="0074376B"/>
    <w:rsid w:val="007437F8"/>
    <w:rsid w:val="007438A4"/>
    <w:rsid w:val="007438B0"/>
    <w:rsid w:val="00743C12"/>
    <w:rsid w:val="00743DFB"/>
    <w:rsid w:val="00743E0C"/>
    <w:rsid w:val="00743F97"/>
    <w:rsid w:val="00743FDA"/>
    <w:rsid w:val="00744090"/>
    <w:rsid w:val="00744303"/>
    <w:rsid w:val="00744369"/>
    <w:rsid w:val="0074456D"/>
    <w:rsid w:val="0074461C"/>
    <w:rsid w:val="00744694"/>
    <w:rsid w:val="007449A3"/>
    <w:rsid w:val="007449FF"/>
    <w:rsid w:val="00744A01"/>
    <w:rsid w:val="00744DE1"/>
    <w:rsid w:val="00744E40"/>
    <w:rsid w:val="00744EC2"/>
    <w:rsid w:val="00744EF8"/>
    <w:rsid w:val="00744FCD"/>
    <w:rsid w:val="00745102"/>
    <w:rsid w:val="007451E5"/>
    <w:rsid w:val="007451F1"/>
    <w:rsid w:val="0074526D"/>
    <w:rsid w:val="00745475"/>
    <w:rsid w:val="0074550F"/>
    <w:rsid w:val="007455B8"/>
    <w:rsid w:val="007457C9"/>
    <w:rsid w:val="007457DA"/>
    <w:rsid w:val="00745A60"/>
    <w:rsid w:val="00745B2E"/>
    <w:rsid w:val="00745B41"/>
    <w:rsid w:val="00745B46"/>
    <w:rsid w:val="00745B7F"/>
    <w:rsid w:val="00745C86"/>
    <w:rsid w:val="00745DFA"/>
    <w:rsid w:val="00745F2E"/>
    <w:rsid w:val="00746371"/>
    <w:rsid w:val="007463A1"/>
    <w:rsid w:val="0074641D"/>
    <w:rsid w:val="0074655C"/>
    <w:rsid w:val="00746594"/>
    <w:rsid w:val="007465D4"/>
    <w:rsid w:val="007465EE"/>
    <w:rsid w:val="007466CC"/>
    <w:rsid w:val="0074672D"/>
    <w:rsid w:val="00746869"/>
    <w:rsid w:val="00746893"/>
    <w:rsid w:val="007469FC"/>
    <w:rsid w:val="00746A40"/>
    <w:rsid w:val="00746D2F"/>
    <w:rsid w:val="00747023"/>
    <w:rsid w:val="007471B3"/>
    <w:rsid w:val="0074739E"/>
    <w:rsid w:val="0074743F"/>
    <w:rsid w:val="007475C1"/>
    <w:rsid w:val="00747784"/>
    <w:rsid w:val="00747879"/>
    <w:rsid w:val="007478F0"/>
    <w:rsid w:val="00747A62"/>
    <w:rsid w:val="00747AD7"/>
    <w:rsid w:val="00747B7E"/>
    <w:rsid w:val="00747C44"/>
    <w:rsid w:val="00747C4E"/>
    <w:rsid w:val="00747FD2"/>
    <w:rsid w:val="00747FDA"/>
    <w:rsid w:val="00750067"/>
    <w:rsid w:val="0075012C"/>
    <w:rsid w:val="007501DC"/>
    <w:rsid w:val="0075035F"/>
    <w:rsid w:val="00750414"/>
    <w:rsid w:val="00750418"/>
    <w:rsid w:val="0075043F"/>
    <w:rsid w:val="00750495"/>
    <w:rsid w:val="0075052A"/>
    <w:rsid w:val="007505B8"/>
    <w:rsid w:val="0075060A"/>
    <w:rsid w:val="007507A1"/>
    <w:rsid w:val="007507BE"/>
    <w:rsid w:val="00750BB9"/>
    <w:rsid w:val="00750D55"/>
    <w:rsid w:val="00750E48"/>
    <w:rsid w:val="00750F28"/>
    <w:rsid w:val="00750F2D"/>
    <w:rsid w:val="00751406"/>
    <w:rsid w:val="0075141C"/>
    <w:rsid w:val="007516A1"/>
    <w:rsid w:val="00751728"/>
    <w:rsid w:val="00751810"/>
    <w:rsid w:val="00751932"/>
    <w:rsid w:val="00751BCD"/>
    <w:rsid w:val="00751C7A"/>
    <w:rsid w:val="00751CAF"/>
    <w:rsid w:val="00751EDE"/>
    <w:rsid w:val="00751F15"/>
    <w:rsid w:val="00751F7F"/>
    <w:rsid w:val="00752171"/>
    <w:rsid w:val="00752288"/>
    <w:rsid w:val="0075241C"/>
    <w:rsid w:val="00752468"/>
    <w:rsid w:val="0075249D"/>
    <w:rsid w:val="007524B1"/>
    <w:rsid w:val="007525E5"/>
    <w:rsid w:val="00752626"/>
    <w:rsid w:val="00752711"/>
    <w:rsid w:val="007527BD"/>
    <w:rsid w:val="00752834"/>
    <w:rsid w:val="00752985"/>
    <w:rsid w:val="007529CB"/>
    <w:rsid w:val="00752A50"/>
    <w:rsid w:val="00752AF3"/>
    <w:rsid w:val="00752C72"/>
    <w:rsid w:val="00752DF4"/>
    <w:rsid w:val="00752E4D"/>
    <w:rsid w:val="00752EBA"/>
    <w:rsid w:val="00752F13"/>
    <w:rsid w:val="00752FFA"/>
    <w:rsid w:val="00753067"/>
    <w:rsid w:val="0075310B"/>
    <w:rsid w:val="00753121"/>
    <w:rsid w:val="00753240"/>
    <w:rsid w:val="0075325F"/>
    <w:rsid w:val="0075338C"/>
    <w:rsid w:val="0075340C"/>
    <w:rsid w:val="0075348F"/>
    <w:rsid w:val="007534F6"/>
    <w:rsid w:val="0075367C"/>
    <w:rsid w:val="00753692"/>
    <w:rsid w:val="0075376F"/>
    <w:rsid w:val="0075391D"/>
    <w:rsid w:val="0075394C"/>
    <w:rsid w:val="00753A82"/>
    <w:rsid w:val="00753B2B"/>
    <w:rsid w:val="00753C99"/>
    <w:rsid w:val="00753CA5"/>
    <w:rsid w:val="00753CC1"/>
    <w:rsid w:val="00753D06"/>
    <w:rsid w:val="00753D0C"/>
    <w:rsid w:val="00753DC9"/>
    <w:rsid w:val="00753EF6"/>
    <w:rsid w:val="00753F23"/>
    <w:rsid w:val="007541C0"/>
    <w:rsid w:val="007542D4"/>
    <w:rsid w:val="00754314"/>
    <w:rsid w:val="00754476"/>
    <w:rsid w:val="007544D5"/>
    <w:rsid w:val="007545D5"/>
    <w:rsid w:val="00754696"/>
    <w:rsid w:val="007547E2"/>
    <w:rsid w:val="00754844"/>
    <w:rsid w:val="00754942"/>
    <w:rsid w:val="00754B01"/>
    <w:rsid w:val="00754BA2"/>
    <w:rsid w:val="00754BE7"/>
    <w:rsid w:val="00754C3A"/>
    <w:rsid w:val="00754CC4"/>
    <w:rsid w:val="00754D28"/>
    <w:rsid w:val="00754EC0"/>
    <w:rsid w:val="00755097"/>
    <w:rsid w:val="007551CB"/>
    <w:rsid w:val="007552D9"/>
    <w:rsid w:val="00755475"/>
    <w:rsid w:val="00755491"/>
    <w:rsid w:val="00755534"/>
    <w:rsid w:val="0075565C"/>
    <w:rsid w:val="00755668"/>
    <w:rsid w:val="00755774"/>
    <w:rsid w:val="0075581B"/>
    <w:rsid w:val="0075583F"/>
    <w:rsid w:val="00755881"/>
    <w:rsid w:val="007558A4"/>
    <w:rsid w:val="007558A8"/>
    <w:rsid w:val="0075596D"/>
    <w:rsid w:val="007559D5"/>
    <w:rsid w:val="00755A22"/>
    <w:rsid w:val="00755A85"/>
    <w:rsid w:val="00755AFB"/>
    <w:rsid w:val="00755D19"/>
    <w:rsid w:val="00755E5F"/>
    <w:rsid w:val="00755E86"/>
    <w:rsid w:val="00755EEC"/>
    <w:rsid w:val="00755FF1"/>
    <w:rsid w:val="00756397"/>
    <w:rsid w:val="00756741"/>
    <w:rsid w:val="00756D15"/>
    <w:rsid w:val="00756D42"/>
    <w:rsid w:val="00756DFB"/>
    <w:rsid w:val="00756ED7"/>
    <w:rsid w:val="00756EE3"/>
    <w:rsid w:val="00756EFB"/>
    <w:rsid w:val="00757000"/>
    <w:rsid w:val="00757086"/>
    <w:rsid w:val="00757471"/>
    <w:rsid w:val="00757477"/>
    <w:rsid w:val="00757529"/>
    <w:rsid w:val="007577DA"/>
    <w:rsid w:val="00757808"/>
    <w:rsid w:val="00757859"/>
    <w:rsid w:val="007579C9"/>
    <w:rsid w:val="007579DB"/>
    <w:rsid w:val="00757CDD"/>
    <w:rsid w:val="00757DC0"/>
    <w:rsid w:val="00757EAD"/>
    <w:rsid w:val="00757F0E"/>
    <w:rsid w:val="00757F6F"/>
    <w:rsid w:val="00760165"/>
    <w:rsid w:val="0076016D"/>
    <w:rsid w:val="007601DB"/>
    <w:rsid w:val="007602F4"/>
    <w:rsid w:val="00760402"/>
    <w:rsid w:val="007606BC"/>
    <w:rsid w:val="0076070B"/>
    <w:rsid w:val="0076082E"/>
    <w:rsid w:val="007608A3"/>
    <w:rsid w:val="00760A9A"/>
    <w:rsid w:val="00760C31"/>
    <w:rsid w:val="00760D5D"/>
    <w:rsid w:val="00760E2A"/>
    <w:rsid w:val="00760F14"/>
    <w:rsid w:val="00760F29"/>
    <w:rsid w:val="00760FE3"/>
    <w:rsid w:val="00760FEB"/>
    <w:rsid w:val="00761149"/>
    <w:rsid w:val="007614CB"/>
    <w:rsid w:val="007615DD"/>
    <w:rsid w:val="007617EE"/>
    <w:rsid w:val="00761965"/>
    <w:rsid w:val="007619BF"/>
    <w:rsid w:val="00761AAE"/>
    <w:rsid w:val="00761B48"/>
    <w:rsid w:val="00761F29"/>
    <w:rsid w:val="00761F80"/>
    <w:rsid w:val="00761FD9"/>
    <w:rsid w:val="00762018"/>
    <w:rsid w:val="00762183"/>
    <w:rsid w:val="00762362"/>
    <w:rsid w:val="00762547"/>
    <w:rsid w:val="0076269F"/>
    <w:rsid w:val="00762937"/>
    <w:rsid w:val="00762A27"/>
    <w:rsid w:val="00762BA1"/>
    <w:rsid w:val="00762C98"/>
    <w:rsid w:val="00762D97"/>
    <w:rsid w:val="00762F4A"/>
    <w:rsid w:val="00762FC4"/>
    <w:rsid w:val="00763404"/>
    <w:rsid w:val="007634CA"/>
    <w:rsid w:val="007634F9"/>
    <w:rsid w:val="00763638"/>
    <w:rsid w:val="00763680"/>
    <w:rsid w:val="0076368E"/>
    <w:rsid w:val="007636F8"/>
    <w:rsid w:val="00763751"/>
    <w:rsid w:val="007638F9"/>
    <w:rsid w:val="00763921"/>
    <w:rsid w:val="00763948"/>
    <w:rsid w:val="007639D4"/>
    <w:rsid w:val="00763BEA"/>
    <w:rsid w:val="00763CE4"/>
    <w:rsid w:val="00763DB2"/>
    <w:rsid w:val="00763E4F"/>
    <w:rsid w:val="00764029"/>
    <w:rsid w:val="00764104"/>
    <w:rsid w:val="00764202"/>
    <w:rsid w:val="00764239"/>
    <w:rsid w:val="00764283"/>
    <w:rsid w:val="00764406"/>
    <w:rsid w:val="007644AA"/>
    <w:rsid w:val="007645BC"/>
    <w:rsid w:val="00764617"/>
    <w:rsid w:val="007646EE"/>
    <w:rsid w:val="007647C3"/>
    <w:rsid w:val="00764A6D"/>
    <w:rsid w:val="00764AFB"/>
    <w:rsid w:val="00764C14"/>
    <w:rsid w:val="00764D8D"/>
    <w:rsid w:val="00764ED3"/>
    <w:rsid w:val="00764F11"/>
    <w:rsid w:val="007651D5"/>
    <w:rsid w:val="00765342"/>
    <w:rsid w:val="0076536D"/>
    <w:rsid w:val="007653E0"/>
    <w:rsid w:val="007653F9"/>
    <w:rsid w:val="0076541C"/>
    <w:rsid w:val="0076550C"/>
    <w:rsid w:val="0076563C"/>
    <w:rsid w:val="0076571C"/>
    <w:rsid w:val="00765804"/>
    <w:rsid w:val="00765A35"/>
    <w:rsid w:val="00765A95"/>
    <w:rsid w:val="00765ADD"/>
    <w:rsid w:val="00765C6F"/>
    <w:rsid w:val="00765C8D"/>
    <w:rsid w:val="00765CD3"/>
    <w:rsid w:val="00765D6E"/>
    <w:rsid w:val="0076601A"/>
    <w:rsid w:val="0076609D"/>
    <w:rsid w:val="00766373"/>
    <w:rsid w:val="0076652F"/>
    <w:rsid w:val="00766623"/>
    <w:rsid w:val="0076669A"/>
    <w:rsid w:val="00766748"/>
    <w:rsid w:val="00766AA7"/>
    <w:rsid w:val="00766B53"/>
    <w:rsid w:val="00766BE6"/>
    <w:rsid w:val="00766D23"/>
    <w:rsid w:val="00766E80"/>
    <w:rsid w:val="0076704A"/>
    <w:rsid w:val="00767095"/>
    <w:rsid w:val="007672BA"/>
    <w:rsid w:val="00767300"/>
    <w:rsid w:val="0076737B"/>
    <w:rsid w:val="007673A5"/>
    <w:rsid w:val="007673FE"/>
    <w:rsid w:val="00767524"/>
    <w:rsid w:val="00767582"/>
    <w:rsid w:val="0076768D"/>
    <w:rsid w:val="007676BB"/>
    <w:rsid w:val="00767771"/>
    <w:rsid w:val="00767795"/>
    <w:rsid w:val="00767914"/>
    <w:rsid w:val="00767956"/>
    <w:rsid w:val="00767D21"/>
    <w:rsid w:val="00767DC6"/>
    <w:rsid w:val="00767E98"/>
    <w:rsid w:val="00767EAD"/>
    <w:rsid w:val="00767ECF"/>
    <w:rsid w:val="00767F98"/>
    <w:rsid w:val="00767FCA"/>
    <w:rsid w:val="00770026"/>
    <w:rsid w:val="007700A3"/>
    <w:rsid w:val="007700E6"/>
    <w:rsid w:val="0077044B"/>
    <w:rsid w:val="007704EF"/>
    <w:rsid w:val="0077053A"/>
    <w:rsid w:val="0077058B"/>
    <w:rsid w:val="007705A8"/>
    <w:rsid w:val="00770843"/>
    <w:rsid w:val="0077088F"/>
    <w:rsid w:val="00770AA7"/>
    <w:rsid w:val="00770AE0"/>
    <w:rsid w:val="00770B85"/>
    <w:rsid w:val="00770BDF"/>
    <w:rsid w:val="00770C90"/>
    <w:rsid w:val="00770D10"/>
    <w:rsid w:val="0077107F"/>
    <w:rsid w:val="007710CA"/>
    <w:rsid w:val="00771180"/>
    <w:rsid w:val="007713A8"/>
    <w:rsid w:val="0077146D"/>
    <w:rsid w:val="007716C6"/>
    <w:rsid w:val="00771798"/>
    <w:rsid w:val="0077182C"/>
    <w:rsid w:val="0077198E"/>
    <w:rsid w:val="00771ACD"/>
    <w:rsid w:val="00771AD3"/>
    <w:rsid w:val="00771B10"/>
    <w:rsid w:val="00771B1A"/>
    <w:rsid w:val="00771CAE"/>
    <w:rsid w:val="00771CF0"/>
    <w:rsid w:val="00771DD4"/>
    <w:rsid w:val="00772044"/>
    <w:rsid w:val="0077204B"/>
    <w:rsid w:val="007720B0"/>
    <w:rsid w:val="0077221E"/>
    <w:rsid w:val="007723A8"/>
    <w:rsid w:val="007723E3"/>
    <w:rsid w:val="00772597"/>
    <w:rsid w:val="007725B3"/>
    <w:rsid w:val="007725CA"/>
    <w:rsid w:val="007725F2"/>
    <w:rsid w:val="0077260F"/>
    <w:rsid w:val="0077262B"/>
    <w:rsid w:val="007726CA"/>
    <w:rsid w:val="0077286C"/>
    <w:rsid w:val="00772C0E"/>
    <w:rsid w:val="00772CD6"/>
    <w:rsid w:val="00772EB4"/>
    <w:rsid w:val="007733CC"/>
    <w:rsid w:val="00773551"/>
    <w:rsid w:val="0077358F"/>
    <w:rsid w:val="00773617"/>
    <w:rsid w:val="0077369B"/>
    <w:rsid w:val="007739FD"/>
    <w:rsid w:val="00773B38"/>
    <w:rsid w:val="00773B52"/>
    <w:rsid w:val="00773E4A"/>
    <w:rsid w:val="00774003"/>
    <w:rsid w:val="00774050"/>
    <w:rsid w:val="0077406C"/>
    <w:rsid w:val="007741ED"/>
    <w:rsid w:val="007743D8"/>
    <w:rsid w:val="00774682"/>
    <w:rsid w:val="007747D6"/>
    <w:rsid w:val="00774A18"/>
    <w:rsid w:val="00774A4F"/>
    <w:rsid w:val="00774CDE"/>
    <w:rsid w:val="00774D36"/>
    <w:rsid w:val="00774D71"/>
    <w:rsid w:val="00774DD1"/>
    <w:rsid w:val="00774E9C"/>
    <w:rsid w:val="00774EF7"/>
    <w:rsid w:val="00774FC4"/>
    <w:rsid w:val="00774FD8"/>
    <w:rsid w:val="00775068"/>
    <w:rsid w:val="0077514A"/>
    <w:rsid w:val="0077515B"/>
    <w:rsid w:val="00775306"/>
    <w:rsid w:val="00775339"/>
    <w:rsid w:val="007753E3"/>
    <w:rsid w:val="0077553D"/>
    <w:rsid w:val="007755CE"/>
    <w:rsid w:val="0077565E"/>
    <w:rsid w:val="0077566D"/>
    <w:rsid w:val="00775727"/>
    <w:rsid w:val="007757C1"/>
    <w:rsid w:val="007758C8"/>
    <w:rsid w:val="007758CB"/>
    <w:rsid w:val="007758D5"/>
    <w:rsid w:val="0077599E"/>
    <w:rsid w:val="00775A0D"/>
    <w:rsid w:val="00775A5B"/>
    <w:rsid w:val="00775A8E"/>
    <w:rsid w:val="00775AA0"/>
    <w:rsid w:val="00775EA3"/>
    <w:rsid w:val="00775EC9"/>
    <w:rsid w:val="0077606C"/>
    <w:rsid w:val="007762FD"/>
    <w:rsid w:val="00776319"/>
    <w:rsid w:val="0077636B"/>
    <w:rsid w:val="007764A9"/>
    <w:rsid w:val="0077655E"/>
    <w:rsid w:val="00776814"/>
    <w:rsid w:val="00776BA0"/>
    <w:rsid w:val="00776BD9"/>
    <w:rsid w:val="00776C2C"/>
    <w:rsid w:val="00776CB3"/>
    <w:rsid w:val="00776E49"/>
    <w:rsid w:val="00776E79"/>
    <w:rsid w:val="0077713F"/>
    <w:rsid w:val="007771BC"/>
    <w:rsid w:val="00777273"/>
    <w:rsid w:val="0077734F"/>
    <w:rsid w:val="007773C8"/>
    <w:rsid w:val="00777484"/>
    <w:rsid w:val="007775BD"/>
    <w:rsid w:val="00777642"/>
    <w:rsid w:val="00777669"/>
    <w:rsid w:val="0077766D"/>
    <w:rsid w:val="00777706"/>
    <w:rsid w:val="0077794D"/>
    <w:rsid w:val="00777A7B"/>
    <w:rsid w:val="00777D2F"/>
    <w:rsid w:val="00777D3A"/>
    <w:rsid w:val="00777E6A"/>
    <w:rsid w:val="00777F5D"/>
    <w:rsid w:val="007803CB"/>
    <w:rsid w:val="007803D1"/>
    <w:rsid w:val="00780581"/>
    <w:rsid w:val="007806E9"/>
    <w:rsid w:val="00780A94"/>
    <w:rsid w:val="00780C27"/>
    <w:rsid w:val="00780C35"/>
    <w:rsid w:val="00780C42"/>
    <w:rsid w:val="00780FAC"/>
    <w:rsid w:val="0078120A"/>
    <w:rsid w:val="0078123B"/>
    <w:rsid w:val="00781276"/>
    <w:rsid w:val="0078136C"/>
    <w:rsid w:val="007813A9"/>
    <w:rsid w:val="00781688"/>
    <w:rsid w:val="00781709"/>
    <w:rsid w:val="00781713"/>
    <w:rsid w:val="007817B7"/>
    <w:rsid w:val="00781822"/>
    <w:rsid w:val="00781998"/>
    <w:rsid w:val="00781A0F"/>
    <w:rsid w:val="00781AC1"/>
    <w:rsid w:val="00781B81"/>
    <w:rsid w:val="00781C1D"/>
    <w:rsid w:val="00781F53"/>
    <w:rsid w:val="00781FEF"/>
    <w:rsid w:val="0078206A"/>
    <w:rsid w:val="0078207D"/>
    <w:rsid w:val="00782130"/>
    <w:rsid w:val="00782233"/>
    <w:rsid w:val="007822D8"/>
    <w:rsid w:val="00782350"/>
    <w:rsid w:val="00782434"/>
    <w:rsid w:val="0078249B"/>
    <w:rsid w:val="00782654"/>
    <w:rsid w:val="007827F5"/>
    <w:rsid w:val="007828CA"/>
    <w:rsid w:val="007829CE"/>
    <w:rsid w:val="00782CEA"/>
    <w:rsid w:val="00782DE0"/>
    <w:rsid w:val="00783223"/>
    <w:rsid w:val="00783411"/>
    <w:rsid w:val="007835E6"/>
    <w:rsid w:val="00783718"/>
    <w:rsid w:val="0078371E"/>
    <w:rsid w:val="00783797"/>
    <w:rsid w:val="00783923"/>
    <w:rsid w:val="00783935"/>
    <w:rsid w:val="007839B4"/>
    <w:rsid w:val="00783D6F"/>
    <w:rsid w:val="007843D1"/>
    <w:rsid w:val="0078443E"/>
    <w:rsid w:val="00784467"/>
    <w:rsid w:val="007844D4"/>
    <w:rsid w:val="00784614"/>
    <w:rsid w:val="00784729"/>
    <w:rsid w:val="0078492C"/>
    <w:rsid w:val="00784A15"/>
    <w:rsid w:val="00784C50"/>
    <w:rsid w:val="00784C63"/>
    <w:rsid w:val="00784E5B"/>
    <w:rsid w:val="00785192"/>
    <w:rsid w:val="007854DE"/>
    <w:rsid w:val="00785510"/>
    <w:rsid w:val="007856F0"/>
    <w:rsid w:val="007857FB"/>
    <w:rsid w:val="00785863"/>
    <w:rsid w:val="00785871"/>
    <w:rsid w:val="007858D0"/>
    <w:rsid w:val="00785A20"/>
    <w:rsid w:val="00785A3B"/>
    <w:rsid w:val="00785C86"/>
    <w:rsid w:val="00785CF3"/>
    <w:rsid w:val="00785CF5"/>
    <w:rsid w:val="00785E31"/>
    <w:rsid w:val="00785E83"/>
    <w:rsid w:val="0078611E"/>
    <w:rsid w:val="0078615D"/>
    <w:rsid w:val="007861DB"/>
    <w:rsid w:val="007864F3"/>
    <w:rsid w:val="007865C4"/>
    <w:rsid w:val="007867AC"/>
    <w:rsid w:val="007867C3"/>
    <w:rsid w:val="007869A0"/>
    <w:rsid w:val="007869BC"/>
    <w:rsid w:val="007869E3"/>
    <w:rsid w:val="00786AD7"/>
    <w:rsid w:val="00786AE9"/>
    <w:rsid w:val="00786DF1"/>
    <w:rsid w:val="00786E7E"/>
    <w:rsid w:val="00786EF8"/>
    <w:rsid w:val="007870EB"/>
    <w:rsid w:val="00787133"/>
    <w:rsid w:val="0078713C"/>
    <w:rsid w:val="00787161"/>
    <w:rsid w:val="0078717F"/>
    <w:rsid w:val="00787311"/>
    <w:rsid w:val="00787453"/>
    <w:rsid w:val="0078750B"/>
    <w:rsid w:val="00787578"/>
    <w:rsid w:val="007875F6"/>
    <w:rsid w:val="00787602"/>
    <w:rsid w:val="00787828"/>
    <w:rsid w:val="0078787A"/>
    <w:rsid w:val="007879DB"/>
    <w:rsid w:val="007879EF"/>
    <w:rsid w:val="00787B4F"/>
    <w:rsid w:val="00787B79"/>
    <w:rsid w:val="00787BD2"/>
    <w:rsid w:val="00787C1F"/>
    <w:rsid w:val="00787C3F"/>
    <w:rsid w:val="00787DFE"/>
    <w:rsid w:val="00787EF7"/>
    <w:rsid w:val="00787FB1"/>
    <w:rsid w:val="00787FD3"/>
    <w:rsid w:val="007900D8"/>
    <w:rsid w:val="0079014F"/>
    <w:rsid w:val="007901C6"/>
    <w:rsid w:val="007901E3"/>
    <w:rsid w:val="00790211"/>
    <w:rsid w:val="00790216"/>
    <w:rsid w:val="0079024E"/>
    <w:rsid w:val="00790324"/>
    <w:rsid w:val="007903A3"/>
    <w:rsid w:val="00790440"/>
    <w:rsid w:val="00790554"/>
    <w:rsid w:val="007906C8"/>
    <w:rsid w:val="00790764"/>
    <w:rsid w:val="00790783"/>
    <w:rsid w:val="007907D5"/>
    <w:rsid w:val="007907E6"/>
    <w:rsid w:val="0079082D"/>
    <w:rsid w:val="00790868"/>
    <w:rsid w:val="00790873"/>
    <w:rsid w:val="007908AB"/>
    <w:rsid w:val="007908C4"/>
    <w:rsid w:val="0079092D"/>
    <w:rsid w:val="00790995"/>
    <w:rsid w:val="00790ABE"/>
    <w:rsid w:val="00790AC1"/>
    <w:rsid w:val="00790BD1"/>
    <w:rsid w:val="00790BD7"/>
    <w:rsid w:val="00790E51"/>
    <w:rsid w:val="0079125B"/>
    <w:rsid w:val="0079157A"/>
    <w:rsid w:val="007915F8"/>
    <w:rsid w:val="00791622"/>
    <w:rsid w:val="007916E8"/>
    <w:rsid w:val="00791733"/>
    <w:rsid w:val="00791789"/>
    <w:rsid w:val="00791842"/>
    <w:rsid w:val="007918E7"/>
    <w:rsid w:val="00791B01"/>
    <w:rsid w:val="00791B71"/>
    <w:rsid w:val="00791BA1"/>
    <w:rsid w:val="00791C0B"/>
    <w:rsid w:val="00791F09"/>
    <w:rsid w:val="00791F19"/>
    <w:rsid w:val="00791F22"/>
    <w:rsid w:val="00791F5B"/>
    <w:rsid w:val="00791F6C"/>
    <w:rsid w:val="00792050"/>
    <w:rsid w:val="007920C9"/>
    <w:rsid w:val="007920F0"/>
    <w:rsid w:val="00792310"/>
    <w:rsid w:val="0079250D"/>
    <w:rsid w:val="0079274D"/>
    <w:rsid w:val="00792756"/>
    <w:rsid w:val="00792944"/>
    <w:rsid w:val="00792B89"/>
    <w:rsid w:val="00792C0D"/>
    <w:rsid w:val="00792E61"/>
    <w:rsid w:val="00792F46"/>
    <w:rsid w:val="00792F74"/>
    <w:rsid w:val="00792F84"/>
    <w:rsid w:val="007930E1"/>
    <w:rsid w:val="007931B2"/>
    <w:rsid w:val="00793205"/>
    <w:rsid w:val="00793304"/>
    <w:rsid w:val="007933A1"/>
    <w:rsid w:val="007936BE"/>
    <w:rsid w:val="00793875"/>
    <w:rsid w:val="0079391C"/>
    <w:rsid w:val="00793993"/>
    <w:rsid w:val="00793A61"/>
    <w:rsid w:val="00793A82"/>
    <w:rsid w:val="00793A8F"/>
    <w:rsid w:val="00793AA2"/>
    <w:rsid w:val="00793B12"/>
    <w:rsid w:val="00793B7A"/>
    <w:rsid w:val="00793B84"/>
    <w:rsid w:val="00793C2F"/>
    <w:rsid w:val="00793CCE"/>
    <w:rsid w:val="00793CF5"/>
    <w:rsid w:val="00793D00"/>
    <w:rsid w:val="00793D40"/>
    <w:rsid w:val="00793DAE"/>
    <w:rsid w:val="0079400F"/>
    <w:rsid w:val="0079406E"/>
    <w:rsid w:val="00794088"/>
    <w:rsid w:val="0079424E"/>
    <w:rsid w:val="00794348"/>
    <w:rsid w:val="007943AB"/>
    <w:rsid w:val="0079452D"/>
    <w:rsid w:val="00794745"/>
    <w:rsid w:val="007948DB"/>
    <w:rsid w:val="00794932"/>
    <w:rsid w:val="00794958"/>
    <w:rsid w:val="00794A05"/>
    <w:rsid w:val="00794AB2"/>
    <w:rsid w:val="00794B81"/>
    <w:rsid w:val="00794F44"/>
    <w:rsid w:val="00794F89"/>
    <w:rsid w:val="00794FD6"/>
    <w:rsid w:val="00795056"/>
    <w:rsid w:val="00795059"/>
    <w:rsid w:val="007950D8"/>
    <w:rsid w:val="00795113"/>
    <w:rsid w:val="0079539A"/>
    <w:rsid w:val="007954AA"/>
    <w:rsid w:val="007955FF"/>
    <w:rsid w:val="007956E3"/>
    <w:rsid w:val="00795724"/>
    <w:rsid w:val="0079591B"/>
    <w:rsid w:val="00795C21"/>
    <w:rsid w:val="00795C2C"/>
    <w:rsid w:val="00795CB6"/>
    <w:rsid w:val="00795D5D"/>
    <w:rsid w:val="00795E73"/>
    <w:rsid w:val="00795F4D"/>
    <w:rsid w:val="00796011"/>
    <w:rsid w:val="00796065"/>
    <w:rsid w:val="00796069"/>
    <w:rsid w:val="007961C8"/>
    <w:rsid w:val="007961F1"/>
    <w:rsid w:val="00796304"/>
    <w:rsid w:val="00796568"/>
    <w:rsid w:val="0079674F"/>
    <w:rsid w:val="0079676F"/>
    <w:rsid w:val="00796915"/>
    <w:rsid w:val="007969C7"/>
    <w:rsid w:val="00796B00"/>
    <w:rsid w:val="00796B34"/>
    <w:rsid w:val="00796B81"/>
    <w:rsid w:val="00796C29"/>
    <w:rsid w:val="00796D63"/>
    <w:rsid w:val="00796E6B"/>
    <w:rsid w:val="00796E8D"/>
    <w:rsid w:val="007972D8"/>
    <w:rsid w:val="0079747D"/>
    <w:rsid w:val="00797514"/>
    <w:rsid w:val="0079753F"/>
    <w:rsid w:val="00797723"/>
    <w:rsid w:val="007977A8"/>
    <w:rsid w:val="00797842"/>
    <w:rsid w:val="007978BF"/>
    <w:rsid w:val="00797976"/>
    <w:rsid w:val="00797A5D"/>
    <w:rsid w:val="00797D60"/>
    <w:rsid w:val="00797E4F"/>
    <w:rsid w:val="00797FE2"/>
    <w:rsid w:val="007A0047"/>
    <w:rsid w:val="007A009A"/>
    <w:rsid w:val="007A01A6"/>
    <w:rsid w:val="007A0298"/>
    <w:rsid w:val="007A03F4"/>
    <w:rsid w:val="007A04A8"/>
    <w:rsid w:val="007A06A9"/>
    <w:rsid w:val="007A06AB"/>
    <w:rsid w:val="007A0784"/>
    <w:rsid w:val="007A08F6"/>
    <w:rsid w:val="007A0942"/>
    <w:rsid w:val="007A09A5"/>
    <w:rsid w:val="007A09F1"/>
    <w:rsid w:val="007A0B12"/>
    <w:rsid w:val="007A0B63"/>
    <w:rsid w:val="007A0CCA"/>
    <w:rsid w:val="007A0D1D"/>
    <w:rsid w:val="007A0D4E"/>
    <w:rsid w:val="007A0D66"/>
    <w:rsid w:val="007A0F12"/>
    <w:rsid w:val="007A0F25"/>
    <w:rsid w:val="007A114D"/>
    <w:rsid w:val="007A1378"/>
    <w:rsid w:val="007A14D8"/>
    <w:rsid w:val="007A160D"/>
    <w:rsid w:val="007A18CB"/>
    <w:rsid w:val="007A1A40"/>
    <w:rsid w:val="007A1FC5"/>
    <w:rsid w:val="007A1FE4"/>
    <w:rsid w:val="007A2160"/>
    <w:rsid w:val="007A219C"/>
    <w:rsid w:val="007A21D4"/>
    <w:rsid w:val="007A21F4"/>
    <w:rsid w:val="007A236B"/>
    <w:rsid w:val="007A23F7"/>
    <w:rsid w:val="007A25D1"/>
    <w:rsid w:val="007A270C"/>
    <w:rsid w:val="007A27CE"/>
    <w:rsid w:val="007A2809"/>
    <w:rsid w:val="007A28BF"/>
    <w:rsid w:val="007A2AA8"/>
    <w:rsid w:val="007A2B71"/>
    <w:rsid w:val="007A2C17"/>
    <w:rsid w:val="007A2CB8"/>
    <w:rsid w:val="007A2CBD"/>
    <w:rsid w:val="007A2CC1"/>
    <w:rsid w:val="007A2DCB"/>
    <w:rsid w:val="007A2DDE"/>
    <w:rsid w:val="007A2F3E"/>
    <w:rsid w:val="007A309E"/>
    <w:rsid w:val="007A30F3"/>
    <w:rsid w:val="007A320F"/>
    <w:rsid w:val="007A332A"/>
    <w:rsid w:val="007A33AA"/>
    <w:rsid w:val="007A347C"/>
    <w:rsid w:val="007A3507"/>
    <w:rsid w:val="007A3543"/>
    <w:rsid w:val="007A3604"/>
    <w:rsid w:val="007A36E0"/>
    <w:rsid w:val="007A3705"/>
    <w:rsid w:val="007A3986"/>
    <w:rsid w:val="007A3A63"/>
    <w:rsid w:val="007A3A8E"/>
    <w:rsid w:val="007A3B59"/>
    <w:rsid w:val="007A3CAE"/>
    <w:rsid w:val="007A3D67"/>
    <w:rsid w:val="007A3DE5"/>
    <w:rsid w:val="007A3E9F"/>
    <w:rsid w:val="007A3F71"/>
    <w:rsid w:val="007A41F5"/>
    <w:rsid w:val="007A41F8"/>
    <w:rsid w:val="007A4386"/>
    <w:rsid w:val="007A4836"/>
    <w:rsid w:val="007A4873"/>
    <w:rsid w:val="007A4894"/>
    <w:rsid w:val="007A490F"/>
    <w:rsid w:val="007A4A6B"/>
    <w:rsid w:val="007A4CFA"/>
    <w:rsid w:val="007A4DA5"/>
    <w:rsid w:val="007A4EDA"/>
    <w:rsid w:val="007A4F63"/>
    <w:rsid w:val="007A5009"/>
    <w:rsid w:val="007A5014"/>
    <w:rsid w:val="007A50D0"/>
    <w:rsid w:val="007A5146"/>
    <w:rsid w:val="007A52A9"/>
    <w:rsid w:val="007A54B0"/>
    <w:rsid w:val="007A54C1"/>
    <w:rsid w:val="007A55D3"/>
    <w:rsid w:val="007A55DF"/>
    <w:rsid w:val="007A569E"/>
    <w:rsid w:val="007A56E9"/>
    <w:rsid w:val="007A56FC"/>
    <w:rsid w:val="007A571F"/>
    <w:rsid w:val="007A57B7"/>
    <w:rsid w:val="007A5982"/>
    <w:rsid w:val="007A5B3B"/>
    <w:rsid w:val="007A5B8B"/>
    <w:rsid w:val="007A5BE1"/>
    <w:rsid w:val="007A5C79"/>
    <w:rsid w:val="007A5CA4"/>
    <w:rsid w:val="007A5D98"/>
    <w:rsid w:val="007A5DDA"/>
    <w:rsid w:val="007A5FFC"/>
    <w:rsid w:val="007A6167"/>
    <w:rsid w:val="007A6172"/>
    <w:rsid w:val="007A6192"/>
    <w:rsid w:val="007A61D5"/>
    <w:rsid w:val="007A61E7"/>
    <w:rsid w:val="007A621A"/>
    <w:rsid w:val="007A62BB"/>
    <w:rsid w:val="007A6300"/>
    <w:rsid w:val="007A6718"/>
    <w:rsid w:val="007A67A8"/>
    <w:rsid w:val="007A6883"/>
    <w:rsid w:val="007A68BA"/>
    <w:rsid w:val="007A6918"/>
    <w:rsid w:val="007A69B3"/>
    <w:rsid w:val="007A6A9E"/>
    <w:rsid w:val="007A6DE9"/>
    <w:rsid w:val="007A6E13"/>
    <w:rsid w:val="007A7050"/>
    <w:rsid w:val="007A7130"/>
    <w:rsid w:val="007A743E"/>
    <w:rsid w:val="007A7506"/>
    <w:rsid w:val="007A7522"/>
    <w:rsid w:val="007A7610"/>
    <w:rsid w:val="007A7651"/>
    <w:rsid w:val="007A7860"/>
    <w:rsid w:val="007A78BE"/>
    <w:rsid w:val="007A7A75"/>
    <w:rsid w:val="007A7AE8"/>
    <w:rsid w:val="007A7B17"/>
    <w:rsid w:val="007A7B95"/>
    <w:rsid w:val="007A7C36"/>
    <w:rsid w:val="007A7C47"/>
    <w:rsid w:val="007A7C71"/>
    <w:rsid w:val="007A7CC5"/>
    <w:rsid w:val="007A7D33"/>
    <w:rsid w:val="007B00D3"/>
    <w:rsid w:val="007B00EB"/>
    <w:rsid w:val="007B0386"/>
    <w:rsid w:val="007B03C1"/>
    <w:rsid w:val="007B05A8"/>
    <w:rsid w:val="007B0774"/>
    <w:rsid w:val="007B0848"/>
    <w:rsid w:val="007B0866"/>
    <w:rsid w:val="007B08C9"/>
    <w:rsid w:val="007B08E9"/>
    <w:rsid w:val="007B08FC"/>
    <w:rsid w:val="007B098F"/>
    <w:rsid w:val="007B0B49"/>
    <w:rsid w:val="007B0B58"/>
    <w:rsid w:val="007B0D46"/>
    <w:rsid w:val="007B0DAD"/>
    <w:rsid w:val="007B0E9C"/>
    <w:rsid w:val="007B0F9D"/>
    <w:rsid w:val="007B0FE1"/>
    <w:rsid w:val="007B124B"/>
    <w:rsid w:val="007B12DD"/>
    <w:rsid w:val="007B1378"/>
    <w:rsid w:val="007B1396"/>
    <w:rsid w:val="007B1424"/>
    <w:rsid w:val="007B143A"/>
    <w:rsid w:val="007B148A"/>
    <w:rsid w:val="007B149B"/>
    <w:rsid w:val="007B14E7"/>
    <w:rsid w:val="007B16EB"/>
    <w:rsid w:val="007B171E"/>
    <w:rsid w:val="007B17A5"/>
    <w:rsid w:val="007B1905"/>
    <w:rsid w:val="007B1945"/>
    <w:rsid w:val="007B1950"/>
    <w:rsid w:val="007B1A3E"/>
    <w:rsid w:val="007B1A97"/>
    <w:rsid w:val="007B1B7A"/>
    <w:rsid w:val="007B1B85"/>
    <w:rsid w:val="007B1BDE"/>
    <w:rsid w:val="007B1CDE"/>
    <w:rsid w:val="007B1E58"/>
    <w:rsid w:val="007B1ED9"/>
    <w:rsid w:val="007B1F4E"/>
    <w:rsid w:val="007B20F8"/>
    <w:rsid w:val="007B214D"/>
    <w:rsid w:val="007B215F"/>
    <w:rsid w:val="007B21E1"/>
    <w:rsid w:val="007B21E7"/>
    <w:rsid w:val="007B2306"/>
    <w:rsid w:val="007B2396"/>
    <w:rsid w:val="007B23C6"/>
    <w:rsid w:val="007B23E2"/>
    <w:rsid w:val="007B26BA"/>
    <w:rsid w:val="007B28DD"/>
    <w:rsid w:val="007B2A4E"/>
    <w:rsid w:val="007B2A69"/>
    <w:rsid w:val="007B2B39"/>
    <w:rsid w:val="007B2C68"/>
    <w:rsid w:val="007B2CDA"/>
    <w:rsid w:val="007B2D3A"/>
    <w:rsid w:val="007B2D86"/>
    <w:rsid w:val="007B2FC2"/>
    <w:rsid w:val="007B322B"/>
    <w:rsid w:val="007B339B"/>
    <w:rsid w:val="007B3598"/>
    <w:rsid w:val="007B36DE"/>
    <w:rsid w:val="007B373E"/>
    <w:rsid w:val="007B377E"/>
    <w:rsid w:val="007B378B"/>
    <w:rsid w:val="007B38F4"/>
    <w:rsid w:val="007B3BB1"/>
    <w:rsid w:val="007B3CA0"/>
    <w:rsid w:val="007B3D65"/>
    <w:rsid w:val="007B3DFE"/>
    <w:rsid w:val="007B3EF7"/>
    <w:rsid w:val="007B3F16"/>
    <w:rsid w:val="007B3F3B"/>
    <w:rsid w:val="007B4224"/>
    <w:rsid w:val="007B4298"/>
    <w:rsid w:val="007B4312"/>
    <w:rsid w:val="007B436F"/>
    <w:rsid w:val="007B4464"/>
    <w:rsid w:val="007B4514"/>
    <w:rsid w:val="007B4539"/>
    <w:rsid w:val="007B4566"/>
    <w:rsid w:val="007B461E"/>
    <w:rsid w:val="007B48CD"/>
    <w:rsid w:val="007B4940"/>
    <w:rsid w:val="007B4A01"/>
    <w:rsid w:val="007B4B31"/>
    <w:rsid w:val="007B4BA7"/>
    <w:rsid w:val="007B4CF3"/>
    <w:rsid w:val="007B4F3F"/>
    <w:rsid w:val="007B5025"/>
    <w:rsid w:val="007B51AF"/>
    <w:rsid w:val="007B5257"/>
    <w:rsid w:val="007B52CD"/>
    <w:rsid w:val="007B5472"/>
    <w:rsid w:val="007B56A0"/>
    <w:rsid w:val="007B570D"/>
    <w:rsid w:val="007B5886"/>
    <w:rsid w:val="007B5A1C"/>
    <w:rsid w:val="007B5A53"/>
    <w:rsid w:val="007B5A6B"/>
    <w:rsid w:val="007B5C78"/>
    <w:rsid w:val="007B5CC8"/>
    <w:rsid w:val="007B5D29"/>
    <w:rsid w:val="007B5DB6"/>
    <w:rsid w:val="007B5EAC"/>
    <w:rsid w:val="007B60AC"/>
    <w:rsid w:val="007B61F9"/>
    <w:rsid w:val="007B620A"/>
    <w:rsid w:val="007B630E"/>
    <w:rsid w:val="007B6470"/>
    <w:rsid w:val="007B658A"/>
    <w:rsid w:val="007B65CC"/>
    <w:rsid w:val="007B6766"/>
    <w:rsid w:val="007B67B4"/>
    <w:rsid w:val="007B6965"/>
    <w:rsid w:val="007B6984"/>
    <w:rsid w:val="007B6994"/>
    <w:rsid w:val="007B6C8D"/>
    <w:rsid w:val="007B6DFB"/>
    <w:rsid w:val="007B6E9A"/>
    <w:rsid w:val="007B6FF3"/>
    <w:rsid w:val="007B7039"/>
    <w:rsid w:val="007B7053"/>
    <w:rsid w:val="007B708F"/>
    <w:rsid w:val="007B7123"/>
    <w:rsid w:val="007B7228"/>
    <w:rsid w:val="007B7238"/>
    <w:rsid w:val="007B727D"/>
    <w:rsid w:val="007B729D"/>
    <w:rsid w:val="007B74F6"/>
    <w:rsid w:val="007B76C8"/>
    <w:rsid w:val="007B77D9"/>
    <w:rsid w:val="007B7847"/>
    <w:rsid w:val="007B7958"/>
    <w:rsid w:val="007B7AFF"/>
    <w:rsid w:val="007B7CE6"/>
    <w:rsid w:val="007B7CEB"/>
    <w:rsid w:val="007B7D32"/>
    <w:rsid w:val="007B7EBE"/>
    <w:rsid w:val="007C0097"/>
    <w:rsid w:val="007C00FE"/>
    <w:rsid w:val="007C0182"/>
    <w:rsid w:val="007C02B6"/>
    <w:rsid w:val="007C02BE"/>
    <w:rsid w:val="007C02FA"/>
    <w:rsid w:val="007C053C"/>
    <w:rsid w:val="007C077E"/>
    <w:rsid w:val="007C078D"/>
    <w:rsid w:val="007C07D2"/>
    <w:rsid w:val="007C09FC"/>
    <w:rsid w:val="007C0A21"/>
    <w:rsid w:val="007C0A29"/>
    <w:rsid w:val="007C0BED"/>
    <w:rsid w:val="007C0C27"/>
    <w:rsid w:val="007C0CB2"/>
    <w:rsid w:val="007C0EFF"/>
    <w:rsid w:val="007C0F22"/>
    <w:rsid w:val="007C1241"/>
    <w:rsid w:val="007C1281"/>
    <w:rsid w:val="007C142F"/>
    <w:rsid w:val="007C1548"/>
    <w:rsid w:val="007C15B6"/>
    <w:rsid w:val="007C161C"/>
    <w:rsid w:val="007C16FA"/>
    <w:rsid w:val="007C186B"/>
    <w:rsid w:val="007C18A8"/>
    <w:rsid w:val="007C19D4"/>
    <w:rsid w:val="007C1AB6"/>
    <w:rsid w:val="007C1BDF"/>
    <w:rsid w:val="007C1C02"/>
    <w:rsid w:val="007C1C44"/>
    <w:rsid w:val="007C1C87"/>
    <w:rsid w:val="007C1EB9"/>
    <w:rsid w:val="007C1EFE"/>
    <w:rsid w:val="007C1F8E"/>
    <w:rsid w:val="007C1FDA"/>
    <w:rsid w:val="007C208A"/>
    <w:rsid w:val="007C212B"/>
    <w:rsid w:val="007C2242"/>
    <w:rsid w:val="007C22B5"/>
    <w:rsid w:val="007C2421"/>
    <w:rsid w:val="007C24A3"/>
    <w:rsid w:val="007C25AF"/>
    <w:rsid w:val="007C28CD"/>
    <w:rsid w:val="007C2921"/>
    <w:rsid w:val="007C2983"/>
    <w:rsid w:val="007C29D2"/>
    <w:rsid w:val="007C2A27"/>
    <w:rsid w:val="007C2AB1"/>
    <w:rsid w:val="007C2D5B"/>
    <w:rsid w:val="007C2FDF"/>
    <w:rsid w:val="007C3185"/>
    <w:rsid w:val="007C318C"/>
    <w:rsid w:val="007C3387"/>
    <w:rsid w:val="007C33A5"/>
    <w:rsid w:val="007C33C8"/>
    <w:rsid w:val="007C3423"/>
    <w:rsid w:val="007C342A"/>
    <w:rsid w:val="007C34BA"/>
    <w:rsid w:val="007C3765"/>
    <w:rsid w:val="007C3810"/>
    <w:rsid w:val="007C3962"/>
    <w:rsid w:val="007C3992"/>
    <w:rsid w:val="007C3A0B"/>
    <w:rsid w:val="007C3A40"/>
    <w:rsid w:val="007C3A89"/>
    <w:rsid w:val="007C3D7D"/>
    <w:rsid w:val="007C3EE3"/>
    <w:rsid w:val="007C3F11"/>
    <w:rsid w:val="007C4058"/>
    <w:rsid w:val="007C4093"/>
    <w:rsid w:val="007C40A1"/>
    <w:rsid w:val="007C431E"/>
    <w:rsid w:val="007C4388"/>
    <w:rsid w:val="007C4390"/>
    <w:rsid w:val="007C4463"/>
    <w:rsid w:val="007C45AB"/>
    <w:rsid w:val="007C4883"/>
    <w:rsid w:val="007C49BD"/>
    <w:rsid w:val="007C4A62"/>
    <w:rsid w:val="007C4A72"/>
    <w:rsid w:val="007C4C08"/>
    <w:rsid w:val="007C4D9D"/>
    <w:rsid w:val="007C4EB4"/>
    <w:rsid w:val="007C4EDB"/>
    <w:rsid w:val="007C4F8B"/>
    <w:rsid w:val="007C4FE6"/>
    <w:rsid w:val="007C51B7"/>
    <w:rsid w:val="007C53E6"/>
    <w:rsid w:val="007C542A"/>
    <w:rsid w:val="007C5499"/>
    <w:rsid w:val="007C5531"/>
    <w:rsid w:val="007C5546"/>
    <w:rsid w:val="007C55CD"/>
    <w:rsid w:val="007C5669"/>
    <w:rsid w:val="007C570C"/>
    <w:rsid w:val="007C5728"/>
    <w:rsid w:val="007C573A"/>
    <w:rsid w:val="007C5886"/>
    <w:rsid w:val="007C5AEB"/>
    <w:rsid w:val="007C5B76"/>
    <w:rsid w:val="007C5BAF"/>
    <w:rsid w:val="007C5BDF"/>
    <w:rsid w:val="007C5BE8"/>
    <w:rsid w:val="007C5EC3"/>
    <w:rsid w:val="007C5F14"/>
    <w:rsid w:val="007C5F24"/>
    <w:rsid w:val="007C5FD2"/>
    <w:rsid w:val="007C6057"/>
    <w:rsid w:val="007C6116"/>
    <w:rsid w:val="007C617B"/>
    <w:rsid w:val="007C61EE"/>
    <w:rsid w:val="007C626D"/>
    <w:rsid w:val="007C6272"/>
    <w:rsid w:val="007C62BF"/>
    <w:rsid w:val="007C64AA"/>
    <w:rsid w:val="007C656E"/>
    <w:rsid w:val="007C6570"/>
    <w:rsid w:val="007C663D"/>
    <w:rsid w:val="007C6663"/>
    <w:rsid w:val="007C6976"/>
    <w:rsid w:val="007C6C59"/>
    <w:rsid w:val="007C6DF2"/>
    <w:rsid w:val="007C6EAE"/>
    <w:rsid w:val="007C6F27"/>
    <w:rsid w:val="007C6F5E"/>
    <w:rsid w:val="007C70B7"/>
    <w:rsid w:val="007C7146"/>
    <w:rsid w:val="007C71B1"/>
    <w:rsid w:val="007C7256"/>
    <w:rsid w:val="007C72AD"/>
    <w:rsid w:val="007C738F"/>
    <w:rsid w:val="007C7509"/>
    <w:rsid w:val="007C752D"/>
    <w:rsid w:val="007C7557"/>
    <w:rsid w:val="007C7568"/>
    <w:rsid w:val="007C75B8"/>
    <w:rsid w:val="007C7705"/>
    <w:rsid w:val="007C7BDB"/>
    <w:rsid w:val="007C7E26"/>
    <w:rsid w:val="007C7E8B"/>
    <w:rsid w:val="007D0056"/>
    <w:rsid w:val="007D0181"/>
    <w:rsid w:val="007D0198"/>
    <w:rsid w:val="007D022F"/>
    <w:rsid w:val="007D0234"/>
    <w:rsid w:val="007D03B3"/>
    <w:rsid w:val="007D070A"/>
    <w:rsid w:val="007D0768"/>
    <w:rsid w:val="007D090C"/>
    <w:rsid w:val="007D0AD4"/>
    <w:rsid w:val="007D0AFC"/>
    <w:rsid w:val="007D0C6C"/>
    <w:rsid w:val="007D0E0D"/>
    <w:rsid w:val="007D1001"/>
    <w:rsid w:val="007D1120"/>
    <w:rsid w:val="007D117D"/>
    <w:rsid w:val="007D1220"/>
    <w:rsid w:val="007D1264"/>
    <w:rsid w:val="007D12FE"/>
    <w:rsid w:val="007D139B"/>
    <w:rsid w:val="007D13FC"/>
    <w:rsid w:val="007D1732"/>
    <w:rsid w:val="007D187D"/>
    <w:rsid w:val="007D19A9"/>
    <w:rsid w:val="007D1AFC"/>
    <w:rsid w:val="007D1B6E"/>
    <w:rsid w:val="007D1CEF"/>
    <w:rsid w:val="007D1D83"/>
    <w:rsid w:val="007D1EC8"/>
    <w:rsid w:val="007D1EF9"/>
    <w:rsid w:val="007D1FA7"/>
    <w:rsid w:val="007D206B"/>
    <w:rsid w:val="007D2120"/>
    <w:rsid w:val="007D2207"/>
    <w:rsid w:val="007D23F2"/>
    <w:rsid w:val="007D2452"/>
    <w:rsid w:val="007D25DB"/>
    <w:rsid w:val="007D26B2"/>
    <w:rsid w:val="007D26F4"/>
    <w:rsid w:val="007D271E"/>
    <w:rsid w:val="007D273C"/>
    <w:rsid w:val="007D27A2"/>
    <w:rsid w:val="007D2AE6"/>
    <w:rsid w:val="007D2C48"/>
    <w:rsid w:val="007D2C84"/>
    <w:rsid w:val="007D2CE7"/>
    <w:rsid w:val="007D2D5F"/>
    <w:rsid w:val="007D2D89"/>
    <w:rsid w:val="007D2D8F"/>
    <w:rsid w:val="007D2DA4"/>
    <w:rsid w:val="007D311E"/>
    <w:rsid w:val="007D315A"/>
    <w:rsid w:val="007D323D"/>
    <w:rsid w:val="007D332C"/>
    <w:rsid w:val="007D34E1"/>
    <w:rsid w:val="007D3529"/>
    <w:rsid w:val="007D35EE"/>
    <w:rsid w:val="007D362E"/>
    <w:rsid w:val="007D3656"/>
    <w:rsid w:val="007D37E6"/>
    <w:rsid w:val="007D39D7"/>
    <w:rsid w:val="007D3A21"/>
    <w:rsid w:val="007D3C63"/>
    <w:rsid w:val="007D3D0B"/>
    <w:rsid w:val="007D3F77"/>
    <w:rsid w:val="007D3FF4"/>
    <w:rsid w:val="007D40D0"/>
    <w:rsid w:val="007D4160"/>
    <w:rsid w:val="007D4176"/>
    <w:rsid w:val="007D417F"/>
    <w:rsid w:val="007D4195"/>
    <w:rsid w:val="007D4515"/>
    <w:rsid w:val="007D455E"/>
    <w:rsid w:val="007D4614"/>
    <w:rsid w:val="007D4642"/>
    <w:rsid w:val="007D4673"/>
    <w:rsid w:val="007D46B6"/>
    <w:rsid w:val="007D483C"/>
    <w:rsid w:val="007D4883"/>
    <w:rsid w:val="007D488E"/>
    <w:rsid w:val="007D48D2"/>
    <w:rsid w:val="007D4911"/>
    <w:rsid w:val="007D4BDD"/>
    <w:rsid w:val="007D4DB2"/>
    <w:rsid w:val="007D4F98"/>
    <w:rsid w:val="007D520D"/>
    <w:rsid w:val="007D5675"/>
    <w:rsid w:val="007D56C7"/>
    <w:rsid w:val="007D57DF"/>
    <w:rsid w:val="007D590B"/>
    <w:rsid w:val="007D5A4C"/>
    <w:rsid w:val="007D5AFA"/>
    <w:rsid w:val="007D5B0C"/>
    <w:rsid w:val="007D5C38"/>
    <w:rsid w:val="007D5E3D"/>
    <w:rsid w:val="007D6054"/>
    <w:rsid w:val="007D607B"/>
    <w:rsid w:val="007D612D"/>
    <w:rsid w:val="007D62B0"/>
    <w:rsid w:val="007D63BD"/>
    <w:rsid w:val="007D63DA"/>
    <w:rsid w:val="007D64C1"/>
    <w:rsid w:val="007D65FC"/>
    <w:rsid w:val="007D66D7"/>
    <w:rsid w:val="007D68D2"/>
    <w:rsid w:val="007D6967"/>
    <w:rsid w:val="007D69C1"/>
    <w:rsid w:val="007D6A3B"/>
    <w:rsid w:val="007D6A68"/>
    <w:rsid w:val="007D6B1A"/>
    <w:rsid w:val="007D6C04"/>
    <w:rsid w:val="007D6C90"/>
    <w:rsid w:val="007D6D71"/>
    <w:rsid w:val="007D6DCE"/>
    <w:rsid w:val="007D6E6B"/>
    <w:rsid w:val="007D6EFE"/>
    <w:rsid w:val="007D6F22"/>
    <w:rsid w:val="007D6F38"/>
    <w:rsid w:val="007D70C0"/>
    <w:rsid w:val="007D736A"/>
    <w:rsid w:val="007D7440"/>
    <w:rsid w:val="007D748A"/>
    <w:rsid w:val="007D74AA"/>
    <w:rsid w:val="007D7767"/>
    <w:rsid w:val="007D7860"/>
    <w:rsid w:val="007D7AEF"/>
    <w:rsid w:val="007D7B6D"/>
    <w:rsid w:val="007D7C68"/>
    <w:rsid w:val="007D7C8D"/>
    <w:rsid w:val="007D7CDB"/>
    <w:rsid w:val="007D7D68"/>
    <w:rsid w:val="007D7E2A"/>
    <w:rsid w:val="007D7EEC"/>
    <w:rsid w:val="007D7F15"/>
    <w:rsid w:val="007E00CF"/>
    <w:rsid w:val="007E0369"/>
    <w:rsid w:val="007E0594"/>
    <w:rsid w:val="007E05DD"/>
    <w:rsid w:val="007E0629"/>
    <w:rsid w:val="007E0643"/>
    <w:rsid w:val="007E0671"/>
    <w:rsid w:val="007E0708"/>
    <w:rsid w:val="007E07AC"/>
    <w:rsid w:val="007E082C"/>
    <w:rsid w:val="007E0901"/>
    <w:rsid w:val="007E0A4F"/>
    <w:rsid w:val="007E0A61"/>
    <w:rsid w:val="007E0BC2"/>
    <w:rsid w:val="007E0BC7"/>
    <w:rsid w:val="007E0D1E"/>
    <w:rsid w:val="007E0D5C"/>
    <w:rsid w:val="007E0E73"/>
    <w:rsid w:val="007E0F41"/>
    <w:rsid w:val="007E0FBD"/>
    <w:rsid w:val="007E101C"/>
    <w:rsid w:val="007E133B"/>
    <w:rsid w:val="007E1377"/>
    <w:rsid w:val="007E1381"/>
    <w:rsid w:val="007E1525"/>
    <w:rsid w:val="007E157E"/>
    <w:rsid w:val="007E15AB"/>
    <w:rsid w:val="007E191A"/>
    <w:rsid w:val="007E1C03"/>
    <w:rsid w:val="007E1C2A"/>
    <w:rsid w:val="007E1E70"/>
    <w:rsid w:val="007E1F18"/>
    <w:rsid w:val="007E2128"/>
    <w:rsid w:val="007E223C"/>
    <w:rsid w:val="007E2283"/>
    <w:rsid w:val="007E228B"/>
    <w:rsid w:val="007E231A"/>
    <w:rsid w:val="007E2339"/>
    <w:rsid w:val="007E2368"/>
    <w:rsid w:val="007E247B"/>
    <w:rsid w:val="007E25DB"/>
    <w:rsid w:val="007E26FB"/>
    <w:rsid w:val="007E29CA"/>
    <w:rsid w:val="007E2C78"/>
    <w:rsid w:val="007E2CB4"/>
    <w:rsid w:val="007E2D64"/>
    <w:rsid w:val="007E2E25"/>
    <w:rsid w:val="007E2FDF"/>
    <w:rsid w:val="007E30B0"/>
    <w:rsid w:val="007E3108"/>
    <w:rsid w:val="007E31E5"/>
    <w:rsid w:val="007E32CB"/>
    <w:rsid w:val="007E336D"/>
    <w:rsid w:val="007E33E2"/>
    <w:rsid w:val="007E356C"/>
    <w:rsid w:val="007E3691"/>
    <w:rsid w:val="007E375F"/>
    <w:rsid w:val="007E3A67"/>
    <w:rsid w:val="007E3B52"/>
    <w:rsid w:val="007E3BB7"/>
    <w:rsid w:val="007E3C08"/>
    <w:rsid w:val="007E3C33"/>
    <w:rsid w:val="007E3C3E"/>
    <w:rsid w:val="007E3C55"/>
    <w:rsid w:val="007E3D52"/>
    <w:rsid w:val="007E3E97"/>
    <w:rsid w:val="007E3F2A"/>
    <w:rsid w:val="007E4077"/>
    <w:rsid w:val="007E409F"/>
    <w:rsid w:val="007E427A"/>
    <w:rsid w:val="007E4338"/>
    <w:rsid w:val="007E4347"/>
    <w:rsid w:val="007E4388"/>
    <w:rsid w:val="007E457B"/>
    <w:rsid w:val="007E458B"/>
    <w:rsid w:val="007E47B8"/>
    <w:rsid w:val="007E486A"/>
    <w:rsid w:val="007E49F9"/>
    <w:rsid w:val="007E4A2A"/>
    <w:rsid w:val="007E4A4A"/>
    <w:rsid w:val="007E4A98"/>
    <w:rsid w:val="007E4B82"/>
    <w:rsid w:val="007E4D67"/>
    <w:rsid w:val="007E4E16"/>
    <w:rsid w:val="007E4E9E"/>
    <w:rsid w:val="007E4F56"/>
    <w:rsid w:val="007E507C"/>
    <w:rsid w:val="007E509B"/>
    <w:rsid w:val="007E5141"/>
    <w:rsid w:val="007E520A"/>
    <w:rsid w:val="007E522E"/>
    <w:rsid w:val="007E53E0"/>
    <w:rsid w:val="007E544D"/>
    <w:rsid w:val="007E5562"/>
    <w:rsid w:val="007E5579"/>
    <w:rsid w:val="007E55CB"/>
    <w:rsid w:val="007E55E2"/>
    <w:rsid w:val="007E5617"/>
    <w:rsid w:val="007E5632"/>
    <w:rsid w:val="007E5839"/>
    <w:rsid w:val="007E5937"/>
    <w:rsid w:val="007E5941"/>
    <w:rsid w:val="007E59AF"/>
    <w:rsid w:val="007E5BB5"/>
    <w:rsid w:val="007E5CA2"/>
    <w:rsid w:val="007E5CFB"/>
    <w:rsid w:val="007E5DB1"/>
    <w:rsid w:val="007E5F10"/>
    <w:rsid w:val="007E5FD5"/>
    <w:rsid w:val="007E5FE1"/>
    <w:rsid w:val="007E603E"/>
    <w:rsid w:val="007E608E"/>
    <w:rsid w:val="007E609A"/>
    <w:rsid w:val="007E60AC"/>
    <w:rsid w:val="007E62D7"/>
    <w:rsid w:val="007E638A"/>
    <w:rsid w:val="007E6497"/>
    <w:rsid w:val="007E6717"/>
    <w:rsid w:val="007E672E"/>
    <w:rsid w:val="007E6736"/>
    <w:rsid w:val="007E67DC"/>
    <w:rsid w:val="007E692D"/>
    <w:rsid w:val="007E6931"/>
    <w:rsid w:val="007E69C0"/>
    <w:rsid w:val="007E700F"/>
    <w:rsid w:val="007E708A"/>
    <w:rsid w:val="007E70CF"/>
    <w:rsid w:val="007E710D"/>
    <w:rsid w:val="007E73ED"/>
    <w:rsid w:val="007E7460"/>
    <w:rsid w:val="007E74BF"/>
    <w:rsid w:val="007E75E1"/>
    <w:rsid w:val="007E76F5"/>
    <w:rsid w:val="007E775D"/>
    <w:rsid w:val="007E7779"/>
    <w:rsid w:val="007E77F5"/>
    <w:rsid w:val="007E7877"/>
    <w:rsid w:val="007E7B11"/>
    <w:rsid w:val="007E7D46"/>
    <w:rsid w:val="007F00AD"/>
    <w:rsid w:val="007F00D6"/>
    <w:rsid w:val="007F00DC"/>
    <w:rsid w:val="007F022E"/>
    <w:rsid w:val="007F02B9"/>
    <w:rsid w:val="007F0470"/>
    <w:rsid w:val="007F056F"/>
    <w:rsid w:val="007F0576"/>
    <w:rsid w:val="007F0605"/>
    <w:rsid w:val="007F0778"/>
    <w:rsid w:val="007F0792"/>
    <w:rsid w:val="007F08CB"/>
    <w:rsid w:val="007F09D7"/>
    <w:rsid w:val="007F0AD2"/>
    <w:rsid w:val="007F0B92"/>
    <w:rsid w:val="007F0BDC"/>
    <w:rsid w:val="007F0CA0"/>
    <w:rsid w:val="007F0E12"/>
    <w:rsid w:val="007F0F36"/>
    <w:rsid w:val="007F0F66"/>
    <w:rsid w:val="007F0F8C"/>
    <w:rsid w:val="007F1050"/>
    <w:rsid w:val="007F11E3"/>
    <w:rsid w:val="007F126B"/>
    <w:rsid w:val="007F12BC"/>
    <w:rsid w:val="007F138D"/>
    <w:rsid w:val="007F13FD"/>
    <w:rsid w:val="007F142A"/>
    <w:rsid w:val="007F1432"/>
    <w:rsid w:val="007F1437"/>
    <w:rsid w:val="007F154D"/>
    <w:rsid w:val="007F15E9"/>
    <w:rsid w:val="007F1641"/>
    <w:rsid w:val="007F1771"/>
    <w:rsid w:val="007F17C5"/>
    <w:rsid w:val="007F18FB"/>
    <w:rsid w:val="007F1ADD"/>
    <w:rsid w:val="007F1BEA"/>
    <w:rsid w:val="007F1C3D"/>
    <w:rsid w:val="007F1CBD"/>
    <w:rsid w:val="007F1E48"/>
    <w:rsid w:val="007F1EB7"/>
    <w:rsid w:val="007F1F18"/>
    <w:rsid w:val="007F2174"/>
    <w:rsid w:val="007F23FC"/>
    <w:rsid w:val="007F24EE"/>
    <w:rsid w:val="007F252E"/>
    <w:rsid w:val="007F25CB"/>
    <w:rsid w:val="007F264C"/>
    <w:rsid w:val="007F265B"/>
    <w:rsid w:val="007F2679"/>
    <w:rsid w:val="007F26E0"/>
    <w:rsid w:val="007F2749"/>
    <w:rsid w:val="007F28FD"/>
    <w:rsid w:val="007F29BF"/>
    <w:rsid w:val="007F2B55"/>
    <w:rsid w:val="007F2D02"/>
    <w:rsid w:val="007F2D61"/>
    <w:rsid w:val="007F2E99"/>
    <w:rsid w:val="007F3056"/>
    <w:rsid w:val="007F31A5"/>
    <w:rsid w:val="007F33A2"/>
    <w:rsid w:val="007F33CF"/>
    <w:rsid w:val="007F35A8"/>
    <w:rsid w:val="007F3655"/>
    <w:rsid w:val="007F3843"/>
    <w:rsid w:val="007F392B"/>
    <w:rsid w:val="007F397B"/>
    <w:rsid w:val="007F399D"/>
    <w:rsid w:val="007F3B47"/>
    <w:rsid w:val="007F3C09"/>
    <w:rsid w:val="007F3F24"/>
    <w:rsid w:val="007F3F50"/>
    <w:rsid w:val="007F3F73"/>
    <w:rsid w:val="007F402C"/>
    <w:rsid w:val="007F41AF"/>
    <w:rsid w:val="007F4212"/>
    <w:rsid w:val="007F428A"/>
    <w:rsid w:val="007F4372"/>
    <w:rsid w:val="007F4478"/>
    <w:rsid w:val="007F4519"/>
    <w:rsid w:val="007F469B"/>
    <w:rsid w:val="007F470B"/>
    <w:rsid w:val="007F47D2"/>
    <w:rsid w:val="007F486C"/>
    <w:rsid w:val="007F48E6"/>
    <w:rsid w:val="007F499F"/>
    <w:rsid w:val="007F49A6"/>
    <w:rsid w:val="007F4A9D"/>
    <w:rsid w:val="007F4BD0"/>
    <w:rsid w:val="007F4C1C"/>
    <w:rsid w:val="007F4C93"/>
    <w:rsid w:val="007F4CB2"/>
    <w:rsid w:val="007F4D69"/>
    <w:rsid w:val="007F4E84"/>
    <w:rsid w:val="007F50CB"/>
    <w:rsid w:val="007F515B"/>
    <w:rsid w:val="007F5172"/>
    <w:rsid w:val="007F52C8"/>
    <w:rsid w:val="007F530B"/>
    <w:rsid w:val="007F537D"/>
    <w:rsid w:val="007F55C1"/>
    <w:rsid w:val="007F5664"/>
    <w:rsid w:val="007F5670"/>
    <w:rsid w:val="007F56C3"/>
    <w:rsid w:val="007F5A10"/>
    <w:rsid w:val="007F5C6F"/>
    <w:rsid w:val="007F5C92"/>
    <w:rsid w:val="007F5FFB"/>
    <w:rsid w:val="007F60AB"/>
    <w:rsid w:val="007F6100"/>
    <w:rsid w:val="007F6146"/>
    <w:rsid w:val="007F6149"/>
    <w:rsid w:val="007F6150"/>
    <w:rsid w:val="007F6163"/>
    <w:rsid w:val="007F6221"/>
    <w:rsid w:val="007F62DD"/>
    <w:rsid w:val="007F635A"/>
    <w:rsid w:val="007F641C"/>
    <w:rsid w:val="007F6556"/>
    <w:rsid w:val="007F65C0"/>
    <w:rsid w:val="007F6675"/>
    <w:rsid w:val="007F680D"/>
    <w:rsid w:val="007F692A"/>
    <w:rsid w:val="007F69C2"/>
    <w:rsid w:val="007F69CE"/>
    <w:rsid w:val="007F6A51"/>
    <w:rsid w:val="007F6D5D"/>
    <w:rsid w:val="007F6D8E"/>
    <w:rsid w:val="007F6E00"/>
    <w:rsid w:val="007F709E"/>
    <w:rsid w:val="007F716D"/>
    <w:rsid w:val="007F718B"/>
    <w:rsid w:val="007F720A"/>
    <w:rsid w:val="007F72DD"/>
    <w:rsid w:val="007F7365"/>
    <w:rsid w:val="007F73F8"/>
    <w:rsid w:val="007F7510"/>
    <w:rsid w:val="007F76B9"/>
    <w:rsid w:val="007F7700"/>
    <w:rsid w:val="007F772E"/>
    <w:rsid w:val="007F7748"/>
    <w:rsid w:val="007F785E"/>
    <w:rsid w:val="007F7A0E"/>
    <w:rsid w:val="007F7A83"/>
    <w:rsid w:val="007F7B1C"/>
    <w:rsid w:val="007F7CAD"/>
    <w:rsid w:val="007F7DC2"/>
    <w:rsid w:val="007F7F3A"/>
    <w:rsid w:val="007F7F44"/>
    <w:rsid w:val="00800051"/>
    <w:rsid w:val="008000D2"/>
    <w:rsid w:val="00800213"/>
    <w:rsid w:val="00800308"/>
    <w:rsid w:val="0080074A"/>
    <w:rsid w:val="008008CB"/>
    <w:rsid w:val="008008DB"/>
    <w:rsid w:val="008008E0"/>
    <w:rsid w:val="00800A1F"/>
    <w:rsid w:val="00800BEA"/>
    <w:rsid w:val="00800CB4"/>
    <w:rsid w:val="00800CD4"/>
    <w:rsid w:val="00800D81"/>
    <w:rsid w:val="00800EDF"/>
    <w:rsid w:val="00801069"/>
    <w:rsid w:val="00801130"/>
    <w:rsid w:val="0080116B"/>
    <w:rsid w:val="008012AB"/>
    <w:rsid w:val="00801368"/>
    <w:rsid w:val="008013AE"/>
    <w:rsid w:val="0080142F"/>
    <w:rsid w:val="00801585"/>
    <w:rsid w:val="008015EE"/>
    <w:rsid w:val="008017AF"/>
    <w:rsid w:val="0080184E"/>
    <w:rsid w:val="00801859"/>
    <w:rsid w:val="008018E9"/>
    <w:rsid w:val="008019C8"/>
    <w:rsid w:val="008019F7"/>
    <w:rsid w:val="00801CF5"/>
    <w:rsid w:val="00801D17"/>
    <w:rsid w:val="00801E5B"/>
    <w:rsid w:val="0080215A"/>
    <w:rsid w:val="0080230B"/>
    <w:rsid w:val="00802629"/>
    <w:rsid w:val="008027C4"/>
    <w:rsid w:val="00802860"/>
    <w:rsid w:val="00802917"/>
    <w:rsid w:val="00802961"/>
    <w:rsid w:val="008029D0"/>
    <w:rsid w:val="00802DAF"/>
    <w:rsid w:val="00802E2E"/>
    <w:rsid w:val="00802E3D"/>
    <w:rsid w:val="00802F30"/>
    <w:rsid w:val="00802FA3"/>
    <w:rsid w:val="0080309E"/>
    <w:rsid w:val="008030A9"/>
    <w:rsid w:val="00803203"/>
    <w:rsid w:val="00803339"/>
    <w:rsid w:val="00803351"/>
    <w:rsid w:val="0080337F"/>
    <w:rsid w:val="0080346F"/>
    <w:rsid w:val="0080349E"/>
    <w:rsid w:val="00803576"/>
    <w:rsid w:val="0080359F"/>
    <w:rsid w:val="008036AB"/>
    <w:rsid w:val="00803882"/>
    <w:rsid w:val="00803A0C"/>
    <w:rsid w:val="00803A4C"/>
    <w:rsid w:val="00803A6F"/>
    <w:rsid w:val="00803B1C"/>
    <w:rsid w:val="00803C4D"/>
    <w:rsid w:val="00804034"/>
    <w:rsid w:val="00804049"/>
    <w:rsid w:val="00804080"/>
    <w:rsid w:val="0080423F"/>
    <w:rsid w:val="008042BD"/>
    <w:rsid w:val="0080437B"/>
    <w:rsid w:val="0080451E"/>
    <w:rsid w:val="00804520"/>
    <w:rsid w:val="0080460D"/>
    <w:rsid w:val="00804610"/>
    <w:rsid w:val="00804628"/>
    <w:rsid w:val="00804848"/>
    <w:rsid w:val="008048D6"/>
    <w:rsid w:val="00804901"/>
    <w:rsid w:val="0080497C"/>
    <w:rsid w:val="00804994"/>
    <w:rsid w:val="008049EE"/>
    <w:rsid w:val="00804ABA"/>
    <w:rsid w:val="00804C1A"/>
    <w:rsid w:val="00804C68"/>
    <w:rsid w:val="00804DDB"/>
    <w:rsid w:val="00804E04"/>
    <w:rsid w:val="00804F60"/>
    <w:rsid w:val="0080508B"/>
    <w:rsid w:val="00805142"/>
    <w:rsid w:val="00805156"/>
    <w:rsid w:val="008052E3"/>
    <w:rsid w:val="00805384"/>
    <w:rsid w:val="00805482"/>
    <w:rsid w:val="0080562B"/>
    <w:rsid w:val="0080585B"/>
    <w:rsid w:val="0080586F"/>
    <w:rsid w:val="0080587A"/>
    <w:rsid w:val="00805907"/>
    <w:rsid w:val="00805996"/>
    <w:rsid w:val="008059E1"/>
    <w:rsid w:val="00805AA3"/>
    <w:rsid w:val="00805C75"/>
    <w:rsid w:val="00805D76"/>
    <w:rsid w:val="00805D8C"/>
    <w:rsid w:val="00805FAF"/>
    <w:rsid w:val="00805FB1"/>
    <w:rsid w:val="00806002"/>
    <w:rsid w:val="00806067"/>
    <w:rsid w:val="008061FC"/>
    <w:rsid w:val="00806200"/>
    <w:rsid w:val="00806214"/>
    <w:rsid w:val="00806283"/>
    <w:rsid w:val="008062F9"/>
    <w:rsid w:val="0080641A"/>
    <w:rsid w:val="0080652F"/>
    <w:rsid w:val="0080673A"/>
    <w:rsid w:val="00806769"/>
    <w:rsid w:val="00806770"/>
    <w:rsid w:val="008067E4"/>
    <w:rsid w:val="00806849"/>
    <w:rsid w:val="008068C3"/>
    <w:rsid w:val="008068F2"/>
    <w:rsid w:val="00806AD1"/>
    <w:rsid w:val="00806C14"/>
    <w:rsid w:val="00806C39"/>
    <w:rsid w:val="00806C84"/>
    <w:rsid w:val="00806E89"/>
    <w:rsid w:val="00806EEC"/>
    <w:rsid w:val="00806EED"/>
    <w:rsid w:val="0080716D"/>
    <w:rsid w:val="0080736B"/>
    <w:rsid w:val="008073CE"/>
    <w:rsid w:val="00807439"/>
    <w:rsid w:val="0080750D"/>
    <w:rsid w:val="00807812"/>
    <w:rsid w:val="00807976"/>
    <w:rsid w:val="008079AC"/>
    <w:rsid w:val="00807B58"/>
    <w:rsid w:val="00807B6B"/>
    <w:rsid w:val="00807B8B"/>
    <w:rsid w:val="00807D0A"/>
    <w:rsid w:val="00807D88"/>
    <w:rsid w:val="00807D91"/>
    <w:rsid w:val="00807D9E"/>
    <w:rsid w:val="00807E66"/>
    <w:rsid w:val="00810068"/>
    <w:rsid w:val="008102F0"/>
    <w:rsid w:val="00810308"/>
    <w:rsid w:val="00810334"/>
    <w:rsid w:val="008103B6"/>
    <w:rsid w:val="0081052A"/>
    <w:rsid w:val="00810619"/>
    <w:rsid w:val="00810680"/>
    <w:rsid w:val="00810777"/>
    <w:rsid w:val="008107C4"/>
    <w:rsid w:val="00810878"/>
    <w:rsid w:val="008108A2"/>
    <w:rsid w:val="008108B6"/>
    <w:rsid w:val="008108D2"/>
    <w:rsid w:val="00810A2D"/>
    <w:rsid w:val="00810A8C"/>
    <w:rsid w:val="00810B11"/>
    <w:rsid w:val="00810BD8"/>
    <w:rsid w:val="00810E46"/>
    <w:rsid w:val="00810F31"/>
    <w:rsid w:val="00811158"/>
    <w:rsid w:val="00811170"/>
    <w:rsid w:val="008112B7"/>
    <w:rsid w:val="008113F3"/>
    <w:rsid w:val="00811540"/>
    <w:rsid w:val="008116D6"/>
    <w:rsid w:val="0081178D"/>
    <w:rsid w:val="0081187A"/>
    <w:rsid w:val="00811AC7"/>
    <w:rsid w:val="00811B0C"/>
    <w:rsid w:val="00811B8C"/>
    <w:rsid w:val="00811BC8"/>
    <w:rsid w:val="00811ECA"/>
    <w:rsid w:val="00811EE9"/>
    <w:rsid w:val="00811F8E"/>
    <w:rsid w:val="00811F90"/>
    <w:rsid w:val="00811FA0"/>
    <w:rsid w:val="00811FC1"/>
    <w:rsid w:val="00811FD5"/>
    <w:rsid w:val="00811FD6"/>
    <w:rsid w:val="00811FE6"/>
    <w:rsid w:val="0081201F"/>
    <w:rsid w:val="008121C5"/>
    <w:rsid w:val="0081243F"/>
    <w:rsid w:val="00812693"/>
    <w:rsid w:val="00812739"/>
    <w:rsid w:val="0081276E"/>
    <w:rsid w:val="008127A1"/>
    <w:rsid w:val="008128AC"/>
    <w:rsid w:val="008128E4"/>
    <w:rsid w:val="0081290B"/>
    <w:rsid w:val="0081294E"/>
    <w:rsid w:val="008129B6"/>
    <w:rsid w:val="00812BB5"/>
    <w:rsid w:val="00812EC0"/>
    <w:rsid w:val="00812FF2"/>
    <w:rsid w:val="008130B2"/>
    <w:rsid w:val="00813184"/>
    <w:rsid w:val="00813269"/>
    <w:rsid w:val="0081336A"/>
    <w:rsid w:val="008133D9"/>
    <w:rsid w:val="00813433"/>
    <w:rsid w:val="008135BD"/>
    <w:rsid w:val="00813650"/>
    <w:rsid w:val="008137FE"/>
    <w:rsid w:val="008139E2"/>
    <w:rsid w:val="00813A25"/>
    <w:rsid w:val="00813B1B"/>
    <w:rsid w:val="00813DC9"/>
    <w:rsid w:val="00813DE9"/>
    <w:rsid w:val="00813E90"/>
    <w:rsid w:val="00814089"/>
    <w:rsid w:val="00814154"/>
    <w:rsid w:val="00814404"/>
    <w:rsid w:val="00814491"/>
    <w:rsid w:val="00814527"/>
    <w:rsid w:val="0081459F"/>
    <w:rsid w:val="008145EE"/>
    <w:rsid w:val="0081461A"/>
    <w:rsid w:val="0081471D"/>
    <w:rsid w:val="008147D5"/>
    <w:rsid w:val="00814880"/>
    <w:rsid w:val="0081488D"/>
    <w:rsid w:val="008149A8"/>
    <w:rsid w:val="00814A25"/>
    <w:rsid w:val="00814B13"/>
    <w:rsid w:val="00814C8D"/>
    <w:rsid w:val="00814C90"/>
    <w:rsid w:val="00814EA7"/>
    <w:rsid w:val="00814F2A"/>
    <w:rsid w:val="00814F73"/>
    <w:rsid w:val="00814F78"/>
    <w:rsid w:val="00814FBF"/>
    <w:rsid w:val="0081507E"/>
    <w:rsid w:val="008151B6"/>
    <w:rsid w:val="008152F3"/>
    <w:rsid w:val="00815395"/>
    <w:rsid w:val="0081542C"/>
    <w:rsid w:val="008154A9"/>
    <w:rsid w:val="008154C6"/>
    <w:rsid w:val="008154F1"/>
    <w:rsid w:val="0081556E"/>
    <w:rsid w:val="00815CD1"/>
    <w:rsid w:val="00816016"/>
    <w:rsid w:val="008162C2"/>
    <w:rsid w:val="008162F1"/>
    <w:rsid w:val="008164F8"/>
    <w:rsid w:val="00816586"/>
    <w:rsid w:val="008165AD"/>
    <w:rsid w:val="00816694"/>
    <w:rsid w:val="00816697"/>
    <w:rsid w:val="0081672C"/>
    <w:rsid w:val="0081675F"/>
    <w:rsid w:val="008168A9"/>
    <w:rsid w:val="008169B8"/>
    <w:rsid w:val="008169CC"/>
    <w:rsid w:val="00816AB6"/>
    <w:rsid w:val="00816AC9"/>
    <w:rsid w:val="00816B17"/>
    <w:rsid w:val="00816ECC"/>
    <w:rsid w:val="00816F60"/>
    <w:rsid w:val="00817000"/>
    <w:rsid w:val="00817027"/>
    <w:rsid w:val="0081704B"/>
    <w:rsid w:val="008170F9"/>
    <w:rsid w:val="00817353"/>
    <w:rsid w:val="00817445"/>
    <w:rsid w:val="0081788F"/>
    <w:rsid w:val="00817A89"/>
    <w:rsid w:val="00817A99"/>
    <w:rsid w:val="00817B81"/>
    <w:rsid w:val="00817E25"/>
    <w:rsid w:val="00817E50"/>
    <w:rsid w:val="00817E53"/>
    <w:rsid w:val="00817F93"/>
    <w:rsid w:val="00817FA8"/>
    <w:rsid w:val="008200F9"/>
    <w:rsid w:val="0082011F"/>
    <w:rsid w:val="00820159"/>
    <w:rsid w:val="00820160"/>
    <w:rsid w:val="008204C9"/>
    <w:rsid w:val="008205FE"/>
    <w:rsid w:val="0082078A"/>
    <w:rsid w:val="008207BE"/>
    <w:rsid w:val="008207DA"/>
    <w:rsid w:val="00820997"/>
    <w:rsid w:val="008209D2"/>
    <w:rsid w:val="008209E7"/>
    <w:rsid w:val="00820A8F"/>
    <w:rsid w:val="00820A99"/>
    <w:rsid w:val="00820BCC"/>
    <w:rsid w:val="00820E1F"/>
    <w:rsid w:val="00820EA8"/>
    <w:rsid w:val="00820ED0"/>
    <w:rsid w:val="00820F72"/>
    <w:rsid w:val="0082102B"/>
    <w:rsid w:val="00821147"/>
    <w:rsid w:val="0082121A"/>
    <w:rsid w:val="008213EA"/>
    <w:rsid w:val="00821642"/>
    <w:rsid w:val="0082166A"/>
    <w:rsid w:val="00821878"/>
    <w:rsid w:val="00821902"/>
    <w:rsid w:val="00821941"/>
    <w:rsid w:val="00821957"/>
    <w:rsid w:val="00821AEA"/>
    <w:rsid w:val="00821B43"/>
    <w:rsid w:val="00821B95"/>
    <w:rsid w:val="00821CCB"/>
    <w:rsid w:val="00821DA3"/>
    <w:rsid w:val="00821F8C"/>
    <w:rsid w:val="0082201E"/>
    <w:rsid w:val="0082217F"/>
    <w:rsid w:val="0082226C"/>
    <w:rsid w:val="0082227A"/>
    <w:rsid w:val="008222E1"/>
    <w:rsid w:val="00822361"/>
    <w:rsid w:val="00822396"/>
    <w:rsid w:val="00822492"/>
    <w:rsid w:val="008224A6"/>
    <w:rsid w:val="00822669"/>
    <w:rsid w:val="0082269A"/>
    <w:rsid w:val="00822882"/>
    <w:rsid w:val="00822909"/>
    <w:rsid w:val="00822994"/>
    <w:rsid w:val="00822B78"/>
    <w:rsid w:val="00822B7A"/>
    <w:rsid w:val="00822CCE"/>
    <w:rsid w:val="00822D80"/>
    <w:rsid w:val="00823142"/>
    <w:rsid w:val="00823145"/>
    <w:rsid w:val="008231B8"/>
    <w:rsid w:val="008232F5"/>
    <w:rsid w:val="0082332E"/>
    <w:rsid w:val="00823451"/>
    <w:rsid w:val="008237FC"/>
    <w:rsid w:val="00823866"/>
    <w:rsid w:val="00823A77"/>
    <w:rsid w:val="00823BC8"/>
    <w:rsid w:val="00823BF8"/>
    <w:rsid w:val="00823C95"/>
    <w:rsid w:val="00823CA1"/>
    <w:rsid w:val="008240C4"/>
    <w:rsid w:val="00824150"/>
    <w:rsid w:val="008241B1"/>
    <w:rsid w:val="0082429F"/>
    <w:rsid w:val="008242F6"/>
    <w:rsid w:val="008243F0"/>
    <w:rsid w:val="0082443C"/>
    <w:rsid w:val="008244B4"/>
    <w:rsid w:val="008244FB"/>
    <w:rsid w:val="0082450F"/>
    <w:rsid w:val="008246A2"/>
    <w:rsid w:val="008246BD"/>
    <w:rsid w:val="008247DE"/>
    <w:rsid w:val="008248CE"/>
    <w:rsid w:val="008248FA"/>
    <w:rsid w:val="00824A6B"/>
    <w:rsid w:val="00824B1B"/>
    <w:rsid w:val="00824BBE"/>
    <w:rsid w:val="00824CE2"/>
    <w:rsid w:val="00824DAD"/>
    <w:rsid w:val="00824E39"/>
    <w:rsid w:val="00825036"/>
    <w:rsid w:val="00825104"/>
    <w:rsid w:val="00825108"/>
    <w:rsid w:val="00825233"/>
    <w:rsid w:val="008252B2"/>
    <w:rsid w:val="008253A2"/>
    <w:rsid w:val="0082552B"/>
    <w:rsid w:val="00825636"/>
    <w:rsid w:val="0082568A"/>
    <w:rsid w:val="00825C36"/>
    <w:rsid w:val="00825C41"/>
    <w:rsid w:val="00825D6F"/>
    <w:rsid w:val="00825D83"/>
    <w:rsid w:val="00825F63"/>
    <w:rsid w:val="00826058"/>
    <w:rsid w:val="00826117"/>
    <w:rsid w:val="00826321"/>
    <w:rsid w:val="0082634E"/>
    <w:rsid w:val="008263A6"/>
    <w:rsid w:val="0082646D"/>
    <w:rsid w:val="00826478"/>
    <w:rsid w:val="008264B8"/>
    <w:rsid w:val="00826544"/>
    <w:rsid w:val="008267DF"/>
    <w:rsid w:val="008268AF"/>
    <w:rsid w:val="00826986"/>
    <w:rsid w:val="008269AC"/>
    <w:rsid w:val="008269D0"/>
    <w:rsid w:val="00826A4B"/>
    <w:rsid w:val="00826ABF"/>
    <w:rsid w:val="00826AD5"/>
    <w:rsid w:val="00826B51"/>
    <w:rsid w:val="00826C24"/>
    <w:rsid w:val="00826C47"/>
    <w:rsid w:val="00826D41"/>
    <w:rsid w:val="00826D87"/>
    <w:rsid w:val="00826E66"/>
    <w:rsid w:val="00826E7A"/>
    <w:rsid w:val="00826EFD"/>
    <w:rsid w:val="008270C0"/>
    <w:rsid w:val="008270D8"/>
    <w:rsid w:val="0082713E"/>
    <w:rsid w:val="0082717A"/>
    <w:rsid w:val="0082719A"/>
    <w:rsid w:val="008271D6"/>
    <w:rsid w:val="008273AA"/>
    <w:rsid w:val="008273CA"/>
    <w:rsid w:val="008273CE"/>
    <w:rsid w:val="0082747E"/>
    <w:rsid w:val="0082759C"/>
    <w:rsid w:val="008275A3"/>
    <w:rsid w:val="00827836"/>
    <w:rsid w:val="00827843"/>
    <w:rsid w:val="00827B09"/>
    <w:rsid w:val="00827B35"/>
    <w:rsid w:val="00827C28"/>
    <w:rsid w:val="00827D70"/>
    <w:rsid w:val="00830008"/>
    <w:rsid w:val="0083015F"/>
    <w:rsid w:val="0083016E"/>
    <w:rsid w:val="00830302"/>
    <w:rsid w:val="0083039E"/>
    <w:rsid w:val="008303F6"/>
    <w:rsid w:val="008304A1"/>
    <w:rsid w:val="00830500"/>
    <w:rsid w:val="00830825"/>
    <w:rsid w:val="0083084C"/>
    <w:rsid w:val="00830A61"/>
    <w:rsid w:val="00830B1C"/>
    <w:rsid w:val="00830BDB"/>
    <w:rsid w:val="008310DE"/>
    <w:rsid w:val="008311F8"/>
    <w:rsid w:val="00831468"/>
    <w:rsid w:val="008314E0"/>
    <w:rsid w:val="00831664"/>
    <w:rsid w:val="00831672"/>
    <w:rsid w:val="00831674"/>
    <w:rsid w:val="0083167F"/>
    <w:rsid w:val="00831818"/>
    <w:rsid w:val="008319AF"/>
    <w:rsid w:val="00831C28"/>
    <w:rsid w:val="00831DE4"/>
    <w:rsid w:val="00831F71"/>
    <w:rsid w:val="00831FAB"/>
    <w:rsid w:val="00831FC5"/>
    <w:rsid w:val="0083206B"/>
    <w:rsid w:val="008320E9"/>
    <w:rsid w:val="008321C5"/>
    <w:rsid w:val="008322BF"/>
    <w:rsid w:val="00832349"/>
    <w:rsid w:val="008324EB"/>
    <w:rsid w:val="00832880"/>
    <w:rsid w:val="00832B03"/>
    <w:rsid w:val="00832B0B"/>
    <w:rsid w:val="00832D76"/>
    <w:rsid w:val="00832D77"/>
    <w:rsid w:val="0083311D"/>
    <w:rsid w:val="008331EE"/>
    <w:rsid w:val="008332B2"/>
    <w:rsid w:val="008332F6"/>
    <w:rsid w:val="00833367"/>
    <w:rsid w:val="00833399"/>
    <w:rsid w:val="008333B1"/>
    <w:rsid w:val="00833460"/>
    <w:rsid w:val="008337AB"/>
    <w:rsid w:val="00833844"/>
    <w:rsid w:val="00833892"/>
    <w:rsid w:val="0083398F"/>
    <w:rsid w:val="008339F1"/>
    <w:rsid w:val="00833A09"/>
    <w:rsid w:val="00833BC3"/>
    <w:rsid w:val="00833BEF"/>
    <w:rsid w:val="00833C8C"/>
    <w:rsid w:val="00833D52"/>
    <w:rsid w:val="00833D9F"/>
    <w:rsid w:val="00833E94"/>
    <w:rsid w:val="00834131"/>
    <w:rsid w:val="008341D5"/>
    <w:rsid w:val="008341D6"/>
    <w:rsid w:val="00834476"/>
    <w:rsid w:val="008344E6"/>
    <w:rsid w:val="00834682"/>
    <w:rsid w:val="008347A8"/>
    <w:rsid w:val="0083480B"/>
    <w:rsid w:val="0083488B"/>
    <w:rsid w:val="008349E4"/>
    <w:rsid w:val="00834ADA"/>
    <w:rsid w:val="00834BBB"/>
    <w:rsid w:val="00834D17"/>
    <w:rsid w:val="00834DE8"/>
    <w:rsid w:val="00834EA1"/>
    <w:rsid w:val="00834EBB"/>
    <w:rsid w:val="00834FEE"/>
    <w:rsid w:val="008351A3"/>
    <w:rsid w:val="008351E2"/>
    <w:rsid w:val="00835436"/>
    <w:rsid w:val="0083545D"/>
    <w:rsid w:val="0083547B"/>
    <w:rsid w:val="00835590"/>
    <w:rsid w:val="00835616"/>
    <w:rsid w:val="00835736"/>
    <w:rsid w:val="0083574D"/>
    <w:rsid w:val="0083575D"/>
    <w:rsid w:val="00835910"/>
    <w:rsid w:val="008359C2"/>
    <w:rsid w:val="00835A64"/>
    <w:rsid w:val="00835B2B"/>
    <w:rsid w:val="00835BA8"/>
    <w:rsid w:val="00835CBA"/>
    <w:rsid w:val="00835E6F"/>
    <w:rsid w:val="00835F6B"/>
    <w:rsid w:val="00836208"/>
    <w:rsid w:val="00836304"/>
    <w:rsid w:val="0083646E"/>
    <w:rsid w:val="00836592"/>
    <w:rsid w:val="008365EE"/>
    <w:rsid w:val="0083662E"/>
    <w:rsid w:val="008366F3"/>
    <w:rsid w:val="008367B9"/>
    <w:rsid w:val="008367BE"/>
    <w:rsid w:val="0083682C"/>
    <w:rsid w:val="0083685B"/>
    <w:rsid w:val="008368A0"/>
    <w:rsid w:val="00836910"/>
    <w:rsid w:val="0083692C"/>
    <w:rsid w:val="008369F3"/>
    <w:rsid w:val="00836B79"/>
    <w:rsid w:val="00836BAA"/>
    <w:rsid w:val="00836CBA"/>
    <w:rsid w:val="00836CCC"/>
    <w:rsid w:val="00836D00"/>
    <w:rsid w:val="00836EBB"/>
    <w:rsid w:val="00836F22"/>
    <w:rsid w:val="008370FC"/>
    <w:rsid w:val="008371F5"/>
    <w:rsid w:val="00837261"/>
    <w:rsid w:val="008373DC"/>
    <w:rsid w:val="00837621"/>
    <w:rsid w:val="0083797D"/>
    <w:rsid w:val="00837B4A"/>
    <w:rsid w:val="00837B62"/>
    <w:rsid w:val="00837CD1"/>
    <w:rsid w:val="00837DA4"/>
    <w:rsid w:val="00837E26"/>
    <w:rsid w:val="00840213"/>
    <w:rsid w:val="00840276"/>
    <w:rsid w:val="0084046A"/>
    <w:rsid w:val="0084057E"/>
    <w:rsid w:val="008405AF"/>
    <w:rsid w:val="008405C2"/>
    <w:rsid w:val="00840621"/>
    <w:rsid w:val="00840648"/>
    <w:rsid w:val="008406DC"/>
    <w:rsid w:val="00840904"/>
    <w:rsid w:val="00840950"/>
    <w:rsid w:val="00840955"/>
    <w:rsid w:val="00840AB2"/>
    <w:rsid w:val="00840B23"/>
    <w:rsid w:val="00840D5D"/>
    <w:rsid w:val="00840D6E"/>
    <w:rsid w:val="00840DA9"/>
    <w:rsid w:val="00840DFF"/>
    <w:rsid w:val="00841060"/>
    <w:rsid w:val="0084136F"/>
    <w:rsid w:val="008413BC"/>
    <w:rsid w:val="008413D5"/>
    <w:rsid w:val="0084155A"/>
    <w:rsid w:val="0084166F"/>
    <w:rsid w:val="00841835"/>
    <w:rsid w:val="0084195D"/>
    <w:rsid w:val="008419E9"/>
    <w:rsid w:val="00841AB3"/>
    <w:rsid w:val="00841BA0"/>
    <w:rsid w:val="00841BD0"/>
    <w:rsid w:val="00841CED"/>
    <w:rsid w:val="00841E12"/>
    <w:rsid w:val="00841E5F"/>
    <w:rsid w:val="00841E8E"/>
    <w:rsid w:val="008420E6"/>
    <w:rsid w:val="00842102"/>
    <w:rsid w:val="00842150"/>
    <w:rsid w:val="008422AB"/>
    <w:rsid w:val="008422B6"/>
    <w:rsid w:val="00842395"/>
    <w:rsid w:val="0084262E"/>
    <w:rsid w:val="008426A4"/>
    <w:rsid w:val="008426DB"/>
    <w:rsid w:val="00842740"/>
    <w:rsid w:val="008428AE"/>
    <w:rsid w:val="0084290D"/>
    <w:rsid w:val="00842AC0"/>
    <w:rsid w:val="00842C4D"/>
    <w:rsid w:val="00842DB0"/>
    <w:rsid w:val="00842F97"/>
    <w:rsid w:val="00843206"/>
    <w:rsid w:val="00843247"/>
    <w:rsid w:val="008432CB"/>
    <w:rsid w:val="008434AB"/>
    <w:rsid w:val="008436DB"/>
    <w:rsid w:val="0084370B"/>
    <w:rsid w:val="00843726"/>
    <w:rsid w:val="00843756"/>
    <w:rsid w:val="008439B8"/>
    <w:rsid w:val="008439FA"/>
    <w:rsid w:val="00843A2E"/>
    <w:rsid w:val="00843C92"/>
    <w:rsid w:val="00843FB8"/>
    <w:rsid w:val="00843FD9"/>
    <w:rsid w:val="008441FB"/>
    <w:rsid w:val="008442E7"/>
    <w:rsid w:val="0084456D"/>
    <w:rsid w:val="0084457D"/>
    <w:rsid w:val="0084463D"/>
    <w:rsid w:val="008446E5"/>
    <w:rsid w:val="00844823"/>
    <w:rsid w:val="00844B69"/>
    <w:rsid w:val="00844D6E"/>
    <w:rsid w:val="00844DFA"/>
    <w:rsid w:val="00844EA1"/>
    <w:rsid w:val="00844EAE"/>
    <w:rsid w:val="00844ED6"/>
    <w:rsid w:val="00844F6A"/>
    <w:rsid w:val="00844FA1"/>
    <w:rsid w:val="00845032"/>
    <w:rsid w:val="00845042"/>
    <w:rsid w:val="008451CC"/>
    <w:rsid w:val="00845266"/>
    <w:rsid w:val="00845596"/>
    <w:rsid w:val="00845614"/>
    <w:rsid w:val="00845736"/>
    <w:rsid w:val="00845757"/>
    <w:rsid w:val="008457AD"/>
    <w:rsid w:val="0084598E"/>
    <w:rsid w:val="00845AF7"/>
    <w:rsid w:val="00845C0F"/>
    <w:rsid w:val="00845C16"/>
    <w:rsid w:val="00845D13"/>
    <w:rsid w:val="00845E5A"/>
    <w:rsid w:val="00845F26"/>
    <w:rsid w:val="008460CB"/>
    <w:rsid w:val="0084649F"/>
    <w:rsid w:val="00846581"/>
    <w:rsid w:val="00846750"/>
    <w:rsid w:val="0084698E"/>
    <w:rsid w:val="008469CA"/>
    <w:rsid w:val="00846A1C"/>
    <w:rsid w:val="00846A83"/>
    <w:rsid w:val="00846DBC"/>
    <w:rsid w:val="00846F51"/>
    <w:rsid w:val="00846F53"/>
    <w:rsid w:val="008470EA"/>
    <w:rsid w:val="0084716F"/>
    <w:rsid w:val="00847391"/>
    <w:rsid w:val="008476AB"/>
    <w:rsid w:val="00847941"/>
    <w:rsid w:val="00847B92"/>
    <w:rsid w:val="00847C29"/>
    <w:rsid w:val="00847CCE"/>
    <w:rsid w:val="00847CFB"/>
    <w:rsid w:val="00847E4E"/>
    <w:rsid w:val="00847E84"/>
    <w:rsid w:val="00847F7C"/>
    <w:rsid w:val="00850047"/>
    <w:rsid w:val="00850089"/>
    <w:rsid w:val="008500B0"/>
    <w:rsid w:val="00850292"/>
    <w:rsid w:val="008503E6"/>
    <w:rsid w:val="00850521"/>
    <w:rsid w:val="00850524"/>
    <w:rsid w:val="0085059F"/>
    <w:rsid w:val="0085067A"/>
    <w:rsid w:val="0085078E"/>
    <w:rsid w:val="00850873"/>
    <w:rsid w:val="008508C4"/>
    <w:rsid w:val="008508CC"/>
    <w:rsid w:val="008508E4"/>
    <w:rsid w:val="00850BBE"/>
    <w:rsid w:val="00850C90"/>
    <w:rsid w:val="00850D08"/>
    <w:rsid w:val="00850D4D"/>
    <w:rsid w:val="00850F4F"/>
    <w:rsid w:val="00850F97"/>
    <w:rsid w:val="00851066"/>
    <w:rsid w:val="00851161"/>
    <w:rsid w:val="008511F4"/>
    <w:rsid w:val="00851263"/>
    <w:rsid w:val="008512E6"/>
    <w:rsid w:val="008513D7"/>
    <w:rsid w:val="008514B4"/>
    <w:rsid w:val="00851526"/>
    <w:rsid w:val="008515B5"/>
    <w:rsid w:val="008515EA"/>
    <w:rsid w:val="008515F4"/>
    <w:rsid w:val="0085178F"/>
    <w:rsid w:val="0085197C"/>
    <w:rsid w:val="00851B14"/>
    <w:rsid w:val="00851B31"/>
    <w:rsid w:val="00851C2E"/>
    <w:rsid w:val="00851F12"/>
    <w:rsid w:val="0085200E"/>
    <w:rsid w:val="0085240F"/>
    <w:rsid w:val="0085243A"/>
    <w:rsid w:val="008525D0"/>
    <w:rsid w:val="008526FA"/>
    <w:rsid w:val="00852738"/>
    <w:rsid w:val="0085295D"/>
    <w:rsid w:val="008529EB"/>
    <w:rsid w:val="00852B0C"/>
    <w:rsid w:val="00852BAA"/>
    <w:rsid w:val="00852D10"/>
    <w:rsid w:val="00852D57"/>
    <w:rsid w:val="00852E80"/>
    <w:rsid w:val="00852F02"/>
    <w:rsid w:val="00852FA9"/>
    <w:rsid w:val="00853028"/>
    <w:rsid w:val="008530FB"/>
    <w:rsid w:val="0085331C"/>
    <w:rsid w:val="0085343C"/>
    <w:rsid w:val="00853486"/>
    <w:rsid w:val="008534D7"/>
    <w:rsid w:val="008534EA"/>
    <w:rsid w:val="00853541"/>
    <w:rsid w:val="00853636"/>
    <w:rsid w:val="008536B5"/>
    <w:rsid w:val="0085372F"/>
    <w:rsid w:val="008539FE"/>
    <w:rsid w:val="00853A57"/>
    <w:rsid w:val="00853BD9"/>
    <w:rsid w:val="00853C4D"/>
    <w:rsid w:val="00853CD3"/>
    <w:rsid w:val="00853D5D"/>
    <w:rsid w:val="00853D9D"/>
    <w:rsid w:val="00853DCD"/>
    <w:rsid w:val="00853E26"/>
    <w:rsid w:val="00853E38"/>
    <w:rsid w:val="00853E3C"/>
    <w:rsid w:val="00853EB9"/>
    <w:rsid w:val="00853FD4"/>
    <w:rsid w:val="00854149"/>
    <w:rsid w:val="008541CD"/>
    <w:rsid w:val="008541EF"/>
    <w:rsid w:val="008542F6"/>
    <w:rsid w:val="0085448A"/>
    <w:rsid w:val="00854551"/>
    <w:rsid w:val="008545B6"/>
    <w:rsid w:val="008547B0"/>
    <w:rsid w:val="008548E0"/>
    <w:rsid w:val="00854961"/>
    <w:rsid w:val="00854A12"/>
    <w:rsid w:val="00854A39"/>
    <w:rsid w:val="00854A91"/>
    <w:rsid w:val="00854F09"/>
    <w:rsid w:val="00854F61"/>
    <w:rsid w:val="00855071"/>
    <w:rsid w:val="008554BB"/>
    <w:rsid w:val="0085551D"/>
    <w:rsid w:val="0085555C"/>
    <w:rsid w:val="008555D9"/>
    <w:rsid w:val="008555DD"/>
    <w:rsid w:val="0085560A"/>
    <w:rsid w:val="00855846"/>
    <w:rsid w:val="00855A45"/>
    <w:rsid w:val="00855AF3"/>
    <w:rsid w:val="00855BC3"/>
    <w:rsid w:val="00855CE2"/>
    <w:rsid w:val="00855E92"/>
    <w:rsid w:val="008560B0"/>
    <w:rsid w:val="00856128"/>
    <w:rsid w:val="00856238"/>
    <w:rsid w:val="0085628D"/>
    <w:rsid w:val="0085631C"/>
    <w:rsid w:val="00856321"/>
    <w:rsid w:val="008563B5"/>
    <w:rsid w:val="0085648D"/>
    <w:rsid w:val="008565FD"/>
    <w:rsid w:val="0085690E"/>
    <w:rsid w:val="00856919"/>
    <w:rsid w:val="0085693D"/>
    <w:rsid w:val="008569FB"/>
    <w:rsid w:val="00856A01"/>
    <w:rsid w:val="00856A7A"/>
    <w:rsid w:val="00856BBB"/>
    <w:rsid w:val="00856C41"/>
    <w:rsid w:val="00856EAE"/>
    <w:rsid w:val="00856F0A"/>
    <w:rsid w:val="00856F7A"/>
    <w:rsid w:val="008572A9"/>
    <w:rsid w:val="008572DC"/>
    <w:rsid w:val="008572E6"/>
    <w:rsid w:val="008572F6"/>
    <w:rsid w:val="008573DC"/>
    <w:rsid w:val="008574AC"/>
    <w:rsid w:val="00857649"/>
    <w:rsid w:val="0085766D"/>
    <w:rsid w:val="008576CC"/>
    <w:rsid w:val="008576CD"/>
    <w:rsid w:val="00857735"/>
    <w:rsid w:val="008577D9"/>
    <w:rsid w:val="00857B6E"/>
    <w:rsid w:val="00857BF3"/>
    <w:rsid w:val="00857CAF"/>
    <w:rsid w:val="00857ECA"/>
    <w:rsid w:val="00857F81"/>
    <w:rsid w:val="00860291"/>
    <w:rsid w:val="0086033E"/>
    <w:rsid w:val="00860383"/>
    <w:rsid w:val="0086068D"/>
    <w:rsid w:val="0086070A"/>
    <w:rsid w:val="0086075D"/>
    <w:rsid w:val="008608A5"/>
    <w:rsid w:val="00860948"/>
    <w:rsid w:val="00860994"/>
    <w:rsid w:val="00860997"/>
    <w:rsid w:val="008609AE"/>
    <w:rsid w:val="008609F4"/>
    <w:rsid w:val="00860A04"/>
    <w:rsid w:val="00860A3B"/>
    <w:rsid w:val="00860A81"/>
    <w:rsid w:val="00860B61"/>
    <w:rsid w:val="00860BD0"/>
    <w:rsid w:val="00860C48"/>
    <w:rsid w:val="00860C90"/>
    <w:rsid w:val="00861078"/>
    <w:rsid w:val="00861133"/>
    <w:rsid w:val="008611FA"/>
    <w:rsid w:val="0086179B"/>
    <w:rsid w:val="008617D1"/>
    <w:rsid w:val="0086181E"/>
    <w:rsid w:val="008618A9"/>
    <w:rsid w:val="00861931"/>
    <w:rsid w:val="00861A22"/>
    <w:rsid w:val="00861AF2"/>
    <w:rsid w:val="00861B73"/>
    <w:rsid w:val="00861C2E"/>
    <w:rsid w:val="00861CF8"/>
    <w:rsid w:val="00861FD5"/>
    <w:rsid w:val="00862031"/>
    <w:rsid w:val="00862509"/>
    <w:rsid w:val="00862519"/>
    <w:rsid w:val="0086252C"/>
    <w:rsid w:val="0086253E"/>
    <w:rsid w:val="00862593"/>
    <w:rsid w:val="00862628"/>
    <w:rsid w:val="0086272D"/>
    <w:rsid w:val="0086280D"/>
    <w:rsid w:val="00862871"/>
    <w:rsid w:val="00862882"/>
    <w:rsid w:val="00862BB2"/>
    <w:rsid w:val="00862BC7"/>
    <w:rsid w:val="00862C27"/>
    <w:rsid w:val="00862E1A"/>
    <w:rsid w:val="00862EAB"/>
    <w:rsid w:val="00862EEB"/>
    <w:rsid w:val="00862FDE"/>
    <w:rsid w:val="00862FE6"/>
    <w:rsid w:val="0086304B"/>
    <w:rsid w:val="0086306F"/>
    <w:rsid w:val="00863218"/>
    <w:rsid w:val="0086328E"/>
    <w:rsid w:val="00863372"/>
    <w:rsid w:val="008633C7"/>
    <w:rsid w:val="008633EB"/>
    <w:rsid w:val="008634BB"/>
    <w:rsid w:val="0086359D"/>
    <w:rsid w:val="0086362D"/>
    <w:rsid w:val="00863637"/>
    <w:rsid w:val="008638B0"/>
    <w:rsid w:val="0086396F"/>
    <w:rsid w:val="008639A4"/>
    <w:rsid w:val="00863ACC"/>
    <w:rsid w:val="00863B5E"/>
    <w:rsid w:val="00863B6B"/>
    <w:rsid w:val="00863CE3"/>
    <w:rsid w:val="00863FA5"/>
    <w:rsid w:val="00864040"/>
    <w:rsid w:val="00864062"/>
    <w:rsid w:val="00864098"/>
    <w:rsid w:val="00864134"/>
    <w:rsid w:val="00864229"/>
    <w:rsid w:val="008642AC"/>
    <w:rsid w:val="008642DB"/>
    <w:rsid w:val="008644E8"/>
    <w:rsid w:val="00864553"/>
    <w:rsid w:val="00864564"/>
    <w:rsid w:val="008645FF"/>
    <w:rsid w:val="00864640"/>
    <w:rsid w:val="00864832"/>
    <w:rsid w:val="00864836"/>
    <w:rsid w:val="00864934"/>
    <w:rsid w:val="00864953"/>
    <w:rsid w:val="0086498F"/>
    <w:rsid w:val="008649F2"/>
    <w:rsid w:val="00864B66"/>
    <w:rsid w:val="00864BED"/>
    <w:rsid w:val="00864C8C"/>
    <w:rsid w:val="00864D1E"/>
    <w:rsid w:val="00864E04"/>
    <w:rsid w:val="00865046"/>
    <w:rsid w:val="008650F9"/>
    <w:rsid w:val="00865111"/>
    <w:rsid w:val="00865141"/>
    <w:rsid w:val="008651EB"/>
    <w:rsid w:val="00865357"/>
    <w:rsid w:val="00865396"/>
    <w:rsid w:val="008655AF"/>
    <w:rsid w:val="008655B1"/>
    <w:rsid w:val="008655D5"/>
    <w:rsid w:val="008656C0"/>
    <w:rsid w:val="0086577D"/>
    <w:rsid w:val="008657E8"/>
    <w:rsid w:val="008657FF"/>
    <w:rsid w:val="00865974"/>
    <w:rsid w:val="008659F9"/>
    <w:rsid w:val="00865A4E"/>
    <w:rsid w:val="00865CD5"/>
    <w:rsid w:val="00865D30"/>
    <w:rsid w:val="00865E73"/>
    <w:rsid w:val="00865EC7"/>
    <w:rsid w:val="00866099"/>
    <w:rsid w:val="00866108"/>
    <w:rsid w:val="00866235"/>
    <w:rsid w:val="0086638A"/>
    <w:rsid w:val="0086658B"/>
    <w:rsid w:val="0086684C"/>
    <w:rsid w:val="00866873"/>
    <w:rsid w:val="00866951"/>
    <w:rsid w:val="008669B0"/>
    <w:rsid w:val="00866AFC"/>
    <w:rsid w:val="00866D6F"/>
    <w:rsid w:val="00867072"/>
    <w:rsid w:val="00867088"/>
    <w:rsid w:val="00867112"/>
    <w:rsid w:val="00867165"/>
    <w:rsid w:val="008671E8"/>
    <w:rsid w:val="008672EE"/>
    <w:rsid w:val="008673A4"/>
    <w:rsid w:val="00867482"/>
    <w:rsid w:val="00867568"/>
    <w:rsid w:val="00867598"/>
    <w:rsid w:val="008675AD"/>
    <w:rsid w:val="0086761D"/>
    <w:rsid w:val="0086771B"/>
    <w:rsid w:val="008677B7"/>
    <w:rsid w:val="008677B9"/>
    <w:rsid w:val="008677E0"/>
    <w:rsid w:val="00867928"/>
    <w:rsid w:val="00867A05"/>
    <w:rsid w:val="00867A5C"/>
    <w:rsid w:val="00867AE6"/>
    <w:rsid w:val="00867B6F"/>
    <w:rsid w:val="00867F78"/>
    <w:rsid w:val="00870047"/>
    <w:rsid w:val="00870149"/>
    <w:rsid w:val="0087029F"/>
    <w:rsid w:val="008702B2"/>
    <w:rsid w:val="008702E0"/>
    <w:rsid w:val="008702F5"/>
    <w:rsid w:val="008704BD"/>
    <w:rsid w:val="008705E6"/>
    <w:rsid w:val="0087065C"/>
    <w:rsid w:val="008707EB"/>
    <w:rsid w:val="00870838"/>
    <w:rsid w:val="00870A24"/>
    <w:rsid w:val="00870A38"/>
    <w:rsid w:val="00870A66"/>
    <w:rsid w:val="00870DAD"/>
    <w:rsid w:val="00870DCB"/>
    <w:rsid w:val="00870F69"/>
    <w:rsid w:val="008710B4"/>
    <w:rsid w:val="008710BE"/>
    <w:rsid w:val="0087123D"/>
    <w:rsid w:val="008712F5"/>
    <w:rsid w:val="008713D3"/>
    <w:rsid w:val="0087151F"/>
    <w:rsid w:val="008715DA"/>
    <w:rsid w:val="00871610"/>
    <w:rsid w:val="00871624"/>
    <w:rsid w:val="0087167A"/>
    <w:rsid w:val="00871724"/>
    <w:rsid w:val="008717F9"/>
    <w:rsid w:val="00871C2D"/>
    <w:rsid w:val="00871C65"/>
    <w:rsid w:val="00871CCC"/>
    <w:rsid w:val="00871D3B"/>
    <w:rsid w:val="00871E56"/>
    <w:rsid w:val="00871F78"/>
    <w:rsid w:val="00872036"/>
    <w:rsid w:val="00872044"/>
    <w:rsid w:val="008720F0"/>
    <w:rsid w:val="008722CE"/>
    <w:rsid w:val="008722D9"/>
    <w:rsid w:val="00872303"/>
    <w:rsid w:val="008723D7"/>
    <w:rsid w:val="0087250C"/>
    <w:rsid w:val="008726A9"/>
    <w:rsid w:val="0087270F"/>
    <w:rsid w:val="0087271B"/>
    <w:rsid w:val="00872770"/>
    <w:rsid w:val="008727A2"/>
    <w:rsid w:val="0087297A"/>
    <w:rsid w:val="008729C0"/>
    <w:rsid w:val="00872BC2"/>
    <w:rsid w:val="00872CE0"/>
    <w:rsid w:val="008730AE"/>
    <w:rsid w:val="00873134"/>
    <w:rsid w:val="008731C7"/>
    <w:rsid w:val="008732FA"/>
    <w:rsid w:val="008733D5"/>
    <w:rsid w:val="00873438"/>
    <w:rsid w:val="00873631"/>
    <w:rsid w:val="00873676"/>
    <w:rsid w:val="0087369C"/>
    <w:rsid w:val="008736C3"/>
    <w:rsid w:val="008737BD"/>
    <w:rsid w:val="00873826"/>
    <w:rsid w:val="008738D9"/>
    <w:rsid w:val="00873A38"/>
    <w:rsid w:val="00873BD1"/>
    <w:rsid w:val="00873C1A"/>
    <w:rsid w:val="00873C5B"/>
    <w:rsid w:val="00873C63"/>
    <w:rsid w:val="00873E4F"/>
    <w:rsid w:val="00873F4E"/>
    <w:rsid w:val="00874216"/>
    <w:rsid w:val="008742F6"/>
    <w:rsid w:val="00874378"/>
    <w:rsid w:val="008744B0"/>
    <w:rsid w:val="008744EF"/>
    <w:rsid w:val="0087461C"/>
    <w:rsid w:val="00874653"/>
    <w:rsid w:val="00874845"/>
    <w:rsid w:val="008748B2"/>
    <w:rsid w:val="008748CF"/>
    <w:rsid w:val="008748FA"/>
    <w:rsid w:val="0087490B"/>
    <w:rsid w:val="00874971"/>
    <w:rsid w:val="008749C2"/>
    <w:rsid w:val="008749E9"/>
    <w:rsid w:val="00874B2E"/>
    <w:rsid w:val="00874CA0"/>
    <w:rsid w:val="00874CB0"/>
    <w:rsid w:val="00874D51"/>
    <w:rsid w:val="00874E43"/>
    <w:rsid w:val="00874E67"/>
    <w:rsid w:val="0087539C"/>
    <w:rsid w:val="00875756"/>
    <w:rsid w:val="0087586D"/>
    <w:rsid w:val="00875B0E"/>
    <w:rsid w:val="00875B31"/>
    <w:rsid w:val="00875B39"/>
    <w:rsid w:val="00875C52"/>
    <w:rsid w:val="00875C64"/>
    <w:rsid w:val="00875DB7"/>
    <w:rsid w:val="00875EBB"/>
    <w:rsid w:val="00876274"/>
    <w:rsid w:val="008763A7"/>
    <w:rsid w:val="008764E7"/>
    <w:rsid w:val="00876513"/>
    <w:rsid w:val="008765BC"/>
    <w:rsid w:val="008766F6"/>
    <w:rsid w:val="0087674F"/>
    <w:rsid w:val="00876760"/>
    <w:rsid w:val="00876778"/>
    <w:rsid w:val="0087680A"/>
    <w:rsid w:val="00876839"/>
    <w:rsid w:val="00876A28"/>
    <w:rsid w:val="00876A65"/>
    <w:rsid w:val="00876A74"/>
    <w:rsid w:val="00876C9D"/>
    <w:rsid w:val="00876CAF"/>
    <w:rsid w:val="00876D91"/>
    <w:rsid w:val="00876DA4"/>
    <w:rsid w:val="00876DA7"/>
    <w:rsid w:val="00876E25"/>
    <w:rsid w:val="00876E8C"/>
    <w:rsid w:val="00876F4E"/>
    <w:rsid w:val="00876F60"/>
    <w:rsid w:val="00876FA7"/>
    <w:rsid w:val="00876FE4"/>
    <w:rsid w:val="008771BF"/>
    <w:rsid w:val="0087721A"/>
    <w:rsid w:val="00877431"/>
    <w:rsid w:val="0087764B"/>
    <w:rsid w:val="008776F1"/>
    <w:rsid w:val="0087773A"/>
    <w:rsid w:val="00877817"/>
    <w:rsid w:val="00877898"/>
    <w:rsid w:val="0087792D"/>
    <w:rsid w:val="008779F3"/>
    <w:rsid w:val="00877AF0"/>
    <w:rsid w:val="00877CF2"/>
    <w:rsid w:val="00877EBE"/>
    <w:rsid w:val="00877F40"/>
    <w:rsid w:val="00877FD1"/>
    <w:rsid w:val="00877FF6"/>
    <w:rsid w:val="00880051"/>
    <w:rsid w:val="0088008E"/>
    <w:rsid w:val="00880175"/>
    <w:rsid w:val="008801EF"/>
    <w:rsid w:val="00880227"/>
    <w:rsid w:val="00880279"/>
    <w:rsid w:val="00880337"/>
    <w:rsid w:val="008803D8"/>
    <w:rsid w:val="0088045D"/>
    <w:rsid w:val="00880474"/>
    <w:rsid w:val="0088058D"/>
    <w:rsid w:val="0088065D"/>
    <w:rsid w:val="0088067B"/>
    <w:rsid w:val="00880688"/>
    <w:rsid w:val="008807C0"/>
    <w:rsid w:val="008807CB"/>
    <w:rsid w:val="0088094D"/>
    <w:rsid w:val="008809F8"/>
    <w:rsid w:val="00880A1C"/>
    <w:rsid w:val="00880ABA"/>
    <w:rsid w:val="00880AEC"/>
    <w:rsid w:val="00880BF0"/>
    <w:rsid w:val="00880C59"/>
    <w:rsid w:val="00881208"/>
    <w:rsid w:val="00881234"/>
    <w:rsid w:val="0088125A"/>
    <w:rsid w:val="008812A8"/>
    <w:rsid w:val="008812CD"/>
    <w:rsid w:val="008812D6"/>
    <w:rsid w:val="008813D3"/>
    <w:rsid w:val="0088146E"/>
    <w:rsid w:val="008817D3"/>
    <w:rsid w:val="00881853"/>
    <w:rsid w:val="008818E6"/>
    <w:rsid w:val="00881AA3"/>
    <w:rsid w:val="00881B05"/>
    <w:rsid w:val="00881C26"/>
    <w:rsid w:val="00881C86"/>
    <w:rsid w:val="00881DD3"/>
    <w:rsid w:val="00881E3C"/>
    <w:rsid w:val="008820E9"/>
    <w:rsid w:val="00882254"/>
    <w:rsid w:val="00882304"/>
    <w:rsid w:val="008823A8"/>
    <w:rsid w:val="008823D1"/>
    <w:rsid w:val="00882412"/>
    <w:rsid w:val="008825EF"/>
    <w:rsid w:val="00882643"/>
    <w:rsid w:val="00882800"/>
    <w:rsid w:val="00882811"/>
    <w:rsid w:val="008828E7"/>
    <w:rsid w:val="008829CB"/>
    <w:rsid w:val="008829D5"/>
    <w:rsid w:val="00882C73"/>
    <w:rsid w:val="00882DD3"/>
    <w:rsid w:val="0088308C"/>
    <w:rsid w:val="00883116"/>
    <w:rsid w:val="008831E7"/>
    <w:rsid w:val="008831E9"/>
    <w:rsid w:val="008831F8"/>
    <w:rsid w:val="00883301"/>
    <w:rsid w:val="008833B4"/>
    <w:rsid w:val="00883407"/>
    <w:rsid w:val="0088353B"/>
    <w:rsid w:val="00883551"/>
    <w:rsid w:val="00883628"/>
    <w:rsid w:val="0088380B"/>
    <w:rsid w:val="00883938"/>
    <w:rsid w:val="00883B52"/>
    <w:rsid w:val="00883B94"/>
    <w:rsid w:val="00883C12"/>
    <w:rsid w:val="00883C2E"/>
    <w:rsid w:val="00883D45"/>
    <w:rsid w:val="00883E90"/>
    <w:rsid w:val="00883F19"/>
    <w:rsid w:val="00883F55"/>
    <w:rsid w:val="008841DD"/>
    <w:rsid w:val="008844BC"/>
    <w:rsid w:val="008845DC"/>
    <w:rsid w:val="00884744"/>
    <w:rsid w:val="00884853"/>
    <w:rsid w:val="0088492A"/>
    <w:rsid w:val="00884A74"/>
    <w:rsid w:val="00884AB0"/>
    <w:rsid w:val="00884C80"/>
    <w:rsid w:val="00884CCE"/>
    <w:rsid w:val="00884D53"/>
    <w:rsid w:val="00884DBC"/>
    <w:rsid w:val="00884E0C"/>
    <w:rsid w:val="00884EA9"/>
    <w:rsid w:val="00884FBC"/>
    <w:rsid w:val="00885060"/>
    <w:rsid w:val="0088520E"/>
    <w:rsid w:val="0088523F"/>
    <w:rsid w:val="008852A0"/>
    <w:rsid w:val="008852AF"/>
    <w:rsid w:val="0088531D"/>
    <w:rsid w:val="00885408"/>
    <w:rsid w:val="0088540C"/>
    <w:rsid w:val="008854E2"/>
    <w:rsid w:val="00885523"/>
    <w:rsid w:val="0088555D"/>
    <w:rsid w:val="00885575"/>
    <w:rsid w:val="0088569C"/>
    <w:rsid w:val="00885A71"/>
    <w:rsid w:val="00885DD9"/>
    <w:rsid w:val="00885DE1"/>
    <w:rsid w:val="00885ECC"/>
    <w:rsid w:val="00885ECE"/>
    <w:rsid w:val="00885FFA"/>
    <w:rsid w:val="0088615E"/>
    <w:rsid w:val="0088638D"/>
    <w:rsid w:val="0088640A"/>
    <w:rsid w:val="008864BD"/>
    <w:rsid w:val="00886878"/>
    <w:rsid w:val="00886937"/>
    <w:rsid w:val="00886ACE"/>
    <w:rsid w:val="00886D53"/>
    <w:rsid w:val="00886DC0"/>
    <w:rsid w:val="00886EEF"/>
    <w:rsid w:val="00886F1F"/>
    <w:rsid w:val="00886F9B"/>
    <w:rsid w:val="00887040"/>
    <w:rsid w:val="00887205"/>
    <w:rsid w:val="00887209"/>
    <w:rsid w:val="00887234"/>
    <w:rsid w:val="00887381"/>
    <w:rsid w:val="00887521"/>
    <w:rsid w:val="00887525"/>
    <w:rsid w:val="0088759A"/>
    <w:rsid w:val="00887660"/>
    <w:rsid w:val="00887662"/>
    <w:rsid w:val="008877DC"/>
    <w:rsid w:val="00887952"/>
    <w:rsid w:val="008879C4"/>
    <w:rsid w:val="008879F6"/>
    <w:rsid w:val="00887B94"/>
    <w:rsid w:val="00887CDD"/>
    <w:rsid w:val="00887CFD"/>
    <w:rsid w:val="00887DEC"/>
    <w:rsid w:val="00887E3F"/>
    <w:rsid w:val="00887E58"/>
    <w:rsid w:val="00890361"/>
    <w:rsid w:val="0089038F"/>
    <w:rsid w:val="00890588"/>
    <w:rsid w:val="00890800"/>
    <w:rsid w:val="0089080E"/>
    <w:rsid w:val="00890921"/>
    <w:rsid w:val="00890B68"/>
    <w:rsid w:val="00890BBD"/>
    <w:rsid w:val="00890C49"/>
    <w:rsid w:val="00890D40"/>
    <w:rsid w:val="00890D58"/>
    <w:rsid w:val="00890E23"/>
    <w:rsid w:val="00890E5B"/>
    <w:rsid w:val="00890F48"/>
    <w:rsid w:val="00890F58"/>
    <w:rsid w:val="00890F72"/>
    <w:rsid w:val="008910C9"/>
    <w:rsid w:val="00891175"/>
    <w:rsid w:val="008911ED"/>
    <w:rsid w:val="00891263"/>
    <w:rsid w:val="00891426"/>
    <w:rsid w:val="0089149F"/>
    <w:rsid w:val="0089156E"/>
    <w:rsid w:val="00891752"/>
    <w:rsid w:val="00891906"/>
    <w:rsid w:val="00891AAE"/>
    <w:rsid w:val="00891AEE"/>
    <w:rsid w:val="00891C4B"/>
    <w:rsid w:val="00891D71"/>
    <w:rsid w:val="00891FFC"/>
    <w:rsid w:val="008921BB"/>
    <w:rsid w:val="008922E2"/>
    <w:rsid w:val="00892326"/>
    <w:rsid w:val="00892368"/>
    <w:rsid w:val="00892428"/>
    <w:rsid w:val="008924FA"/>
    <w:rsid w:val="00892520"/>
    <w:rsid w:val="008929B9"/>
    <w:rsid w:val="00892A3C"/>
    <w:rsid w:val="00892FD1"/>
    <w:rsid w:val="00892FFF"/>
    <w:rsid w:val="0089313F"/>
    <w:rsid w:val="00893217"/>
    <w:rsid w:val="00893291"/>
    <w:rsid w:val="00893334"/>
    <w:rsid w:val="00893448"/>
    <w:rsid w:val="0089347F"/>
    <w:rsid w:val="00893493"/>
    <w:rsid w:val="00893616"/>
    <w:rsid w:val="008936CD"/>
    <w:rsid w:val="00893703"/>
    <w:rsid w:val="008937CF"/>
    <w:rsid w:val="008939D5"/>
    <w:rsid w:val="00893ABC"/>
    <w:rsid w:val="00893D12"/>
    <w:rsid w:val="00893DAE"/>
    <w:rsid w:val="00893E4F"/>
    <w:rsid w:val="00894163"/>
    <w:rsid w:val="0089417D"/>
    <w:rsid w:val="008942F2"/>
    <w:rsid w:val="00894404"/>
    <w:rsid w:val="008945D9"/>
    <w:rsid w:val="00894659"/>
    <w:rsid w:val="0089473A"/>
    <w:rsid w:val="0089485C"/>
    <w:rsid w:val="00894871"/>
    <w:rsid w:val="00894896"/>
    <w:rsid w:val="00894A9C"/>
    <w:rsid w:val="00894C83"/>
    <w:rsid w:val="00894CC7"/>
    <w:rsid w:val="00894D1B"/>
    <w:rsid w:val="00894DBE"/>
    <w:rsid w:val="00895056"/>
    <w:rsid w:val="008952D5"/>
    <w:rsid w:val="008953BC"/>
    <w:rsid w:val="008953F7"/>
    <w:rsid w:val="00895497"/>
    <w:rsid w:val="0089564F"/>
    <w:rsid w:val="00895789"/>
    <w:rsid w:val="00895872"/>
    <w:rsid w:val="00895A3A"/>
    <w:rsid w:val="00895B53"/>
    <w:rsid w:val="00895C4B"/>
    <w:rsid w:val="00895E1D"/>
    <w:rsid w:val="00895E57"/>
    <w:rsid w:val="00895F9A"/>
    <w:rsid w:val="00896048"/>
    <w:rsid w:val="008961F7"/>
    <w:rsid w:val="0089620B"/>
    <w:rsid w:val="0089638F"/>
    <w:rsid w:val="008964C7"/>
    <w:rsid w:val="00896500"/>
    <w:rsid w:val="00896615"/>
    <w:rsid w:val="008966CE"/>
    <w:rsid w:val="00896723"/>
    <w:rsid w:val="008968AB"/>
    <w:rsid w:val="00896ADD"/>
    <w:rsid w:val="00896DC6"/>
    <w:rsid w:val="00896E20"/>
    <w:rsid w:val="008971B0"/>
    <w:rsid w:val="00897233"/>
    <w:rsid w:val="0089728B"/>
    <w:rsid w:val="008972EF"/>
    <w:rsid w:val="00897314"/>
    <w:rsid w:val="008973B0"/>
    <w:rsid w:val="008973B9"/>
    <w:rsid w:val="00897434"/>
    <w:rsid w:val="00897506"/>
    <w:rsid w:val="008976C8"/>
    <w:rsid w:val="008976D5"/>
    <w:rsid w:val="00897706"/>
    <w:rsid w:val="008978B2"/>
    <w:rsid w:val="00897967"/>
    <w:rsid w:val="00897993"/>
    <w:rsid w:val="00897BD3"/>
    <w:rsid w:val="00897BE7"/>
    <w:rsid w:val="00897CA3"/>
    <w:rsid w:val="00897CC8"/>
    <w:rsid w:val="00897D5C"/>
    <w:rsid w:val="00897EB8"/>
    <w:rsid w:val="00897F06"/>
    <w:rsid w:val="00897F59"/>
    <w:rsid w:val="008A0247"/>
    <w:rsid w:val="008A02AB"/>
    <w:rsid w:val="008A0449"/>
    <w:rsid w:val="008A04CA"/>
    <w:rsid w:val="008A0502"/>
    <w:rsid w:val="008A064D"/>
    <w:rsid w:val="008A083D"/>
    <w:rsid w:val="008A084C"/>
    <w:rsid w:val="008A088A"/>
    <w:rsid w:val="008A0993"/>
    <w:rsid w:val="008A0A93"/>
    <w:rsid w:val="008A0AAC"/>
    <w:rsid w:val="008A0B18"/>
    <w:rsid w:val="008A0B60"/>
    <w:rsid w:val="008A0CB1"/>
    <w:rsid w:val="008A0DB0"/>
    <w:rsid w:val="008A1255"/>
    <w:rsid w:val="008A1321"/>
    <w:rsid w:val="008A13CB"/>
    <w:rsid w:val="008A14F7"/>
    <w:rsid w:val="008A1767"/>
    <w:rsid w:val="008A18A1"/>
    <w:rsid w:val="008A18C4"/>
    <w:rsid w:val="008A18E2"/>
    <w:rsid w:val="008A1B49"/>
    <w:rsid w:val="008A1BDA"/>
    <w:rsid w:val="008A1C92"/>
    <w:rsid w:val="008A1D70"/>
    <w:rsid w:val="008A1E96"/>
    <w:rsid w:val="008A20C4"/>
    <w:rsid w:val="008A21D2"/>
    <w:rsid w:val="008A2265"/>
    <w:rsid w:val="008A24D6"/>
    <w:rsid w:val="008A2767"/>
    <w:rsid w:val="008A2915"/>
    <w:rsid w:val="008A2B55"/>
    <w:rsid w:val="008A2BA7"/>
    <w:rsid w:val="008A2BA9"/>
    <w:rsid w:val="008A2BEB"/>
    <w:rsid w:val="008A2BF2"/>
    <w:rsid w:val="008A2CA4"/>
    <w:rsid w:val="008A2DEA"/>
    <w:rsid w:val="008A2E03"/>
    <w:rsid w:val="008A2E39"/>
    <w:rsid w:val="008A2E9F"/>
    <w:rsid w:val="008A2F7F"/>
    <w:rsid w:val="008A2FD1"/>
    <w:rsid w:val="008A3120"/>
    <w:rsid w:val="008A3136"/>
    <w:rsid w:val="008A3264"/>
    <w:rsid w:val="008A3349"/>
    <w:rsid w:val="008A33EC"/>
    <w:rsid w:val="008A347F"/>
    <w:rsid w:val="008A352E"/>
    <w:rsid w:val="008A35D2"/>
    <w:rsid w:val="008A377A"/>
    <w:rsid w:val="008A3921"/>
    <w:rsid w:val="008A3A18"/>
    <w:rsid w:val="008A3C77"/>
    <w:rsid w:val="008A3DD7"/>
    <w:rsid w:val="008A3E29"/>
    <w:rsid w:val="008A3E6C"/>
    <w:rsid w:val="008A3ED6"/>
    <w:rsid w:val="008A4061"/>
    <w:rsid w:val="008A419A"/>
    <w:rsid w:val="008A4380"/>
    <w:rsid w:val="008A44C6"/>
    <w:rsid w:val="008A44FD"/>
    <w:rsid w:val="008A4762"/>
    <w:rsid w:val="008A4788"/>
    <w:rsid w:val="008A4856"/>
    <w:rsid w:val="008A48BD"/>
    <w:rsid w:val="008A493F"/>
    <w:rsid w:val="008A49CF"/>
    <w:rsid w:val="008A49D1"/>
    <w:rsid w:val="008A4A13"/>
    <w:rsid w:val="008A4A9A"/>
    <w:rsid w:val="008A4BE2"/>
    <w:rsid w:val="008A4E7F"/>
    <w:rsid w:val="008A4EEE"/>
    <w:rsid w:val="008A4FFA"/>
    <w:rsid w:val="008A51B8"/>
    <w:rsid w:val="008A539B"/>
    <w:rsid w:val="008A56A5"/>
    <w:rsid w:val="008A5930"/>
    <w:rsid w:val="008A59C4"/>
    <w:rsid w:val="008A5B70"/>
    <w:rsid w:val="008A5BF9"/>
    <w:rsid w:val="008A5CB4"/>
    <w:rsid w:val="008A5D87"/>
    <w:rsid w:val="008A5DE2"/>
    <w:rsid w:val="008A5E2B"/>
    <w:rsid w:val="008A5E51"/>
    <w:rsid w:val="008A5FA6"/>
    <w:rsid w:val="008A612C"/>
    <w:rsid w:val="008A6223"/>
    <w:rsid w:val="008A6341"/>
    <w:rsid w:val="008A64A3"/>
    <w:rsid w:val="008A65A2"/>
    <w:rsid w:val="008A669A"/>
    <w:rsid w:val="008A68EE"/>
    <w:rsid w:val="008A6903"/>
    <w:rsid w:val="008A6ADB"/>
    <w:rsid w:val="008A6C4E"/>
    <w:rsid w:val="008A6C50"/>
    <w:rsid w:val="008A6CD1"/>
    <w:rsid w:val="008A6F28"/>
    <w:rsid w:val="008A6F6F"/>
    <w:rsid w:val="008A6F73"/>
    <w:rsid w:val="008A70CE"/>
    <w:rsid w:val="008A7247"/>
    <w:rsid w:val="008A72A5"/>
    <w:rsid w:val="008A738E"/>
    <w:rsid w:val="008A741E"/>
    <w:rsid w:val="008A7598"/>
    <w:rsid w:val="008A75FE"/>
    <w:rsid w:val="008A77AD"/>
    <w:rsid w:val="008A790C"/>
    <w:rsid w:val="008A7ABA"/>
    <w:rsid w:val="008A7AF4"/>
    <w:rsid w:val="008A7B4C"/>
    <w:rsid w:val="008A7CE2"/>
    <w:rsid w:val="008A7D2C"/>
    <w:rsid w:val="008A7DFF"/>
    <w:rsid w:val="008A7F85"/>
    <w:rsid w:val="008B006C"/>
    <w:rsid w:val="008B03EE"/>
    <w:rsid w:val="008B047A"/>
    <w:rsid w:val="008B04A5"/>
    <w:rsid w:val="008B0596"/>
    <w:rsid w:val="008B05AE"/>
    <w:rsid w:val="008B05B5"/>
    <w:rsid w:val="008B0936"/>
    <w:rsid w:val="008B0994"/>
    <w:rsid w:val="008B0AA6"/>
    <w:rsid w:val="008B0AB0"/>
    <w:rsid w:val="008B0B16"/>
    <w:rsid w:val="008B0B45"/>
    <w:rsid w:val="008B0E31"/>
    <w:rsid w:val="008B0EBB"/>
    <w:rsid w:val="008B0ECA"/>
    <w:rsid w:val="008B0F5C"/>
    <w:rsid w:val="008B10AE"/>
    <w:rsid w:val="008B1137"/>
    <w:rsid w:val="008B128B"/>
    <w:rsid w:val="008B12AB"/>
    <w:rsid w:val="008B1549"/>
    <w:rsid w:val="008B15D8"/>
    <w:rsid w:val="008B15E8"/>
    <w:rsid w:val="008B17C3"/>
    <w:rsid w:val="008B189D"/>
    <w:rsid w:val="008B19A3"/>
    <w:rsid w:val="008B1B1D"/>
    <w:rsid w:val="008B1C93"/>
    <w:rsid w:val="008B1E39"/>
    <w:rsid w:val="008B1E50"/>
    <w:rsid w:val="008B1ECE"/>
    <w:rsid w:val="008B1F33"/>
    <w:rsid w:val="008B20CC"/>
    <w:rsid w:val="008B2173"/>
    <w:rsid w:val="008B25EF"/>
    <w:rsid w:val="008B2811"/>
    <w:rsid w:val="008B2CAA"/>
    <w:rsid w:val="008B2CD6"/>
    <w:rsid w:val="008B2D76"/>
    <w:rsid w:val="008B2DCD"/>
    <w:rsid w:val="008B2E79"/>
    <w:rsid w:val="008B2F71"/>
    <w:rsid w:val="008B2F7C"/>
    <w:rsid w:val="008B309B"/>
    <w:rsid w:val="008B30DC"/>
    <w:rsid w:val="008B3237"/>
    <w:rsid w:val="008B32EE"/>
    <w:rsid w:val="008B33B5"/>
    <w:rsid w:val="008B3618"/>
    <w:rsid w:val="008B3619"/>
    <w:rsid w:val="008B3738"/>
    <w:rsid w:val="008B38B5"/>
    <w:rsid w:val="008B3907"/>
    <w:rsid w:val="008B3B21"/>
    <w:rsid w:val="008B3B57"/>
    <w:rsid w:val="008B3C23"/>
    <w:rsid w:val="008B3D1E"/>
    <w:rsid w:val="008B3E4A"/>
    <w:rsid w:val="008B3E9F"/>
    <w:rsid w:val="008B3ED8"/>
    <w:rsid w:val="008B3F18"/>
    <w:rsid w:val="008B3FBA"/>
    <w:rsid w:val="008B4026"/>
    <w:rsid w:val="008B405E"/>
    <w:rsid w:val="008B40E1"/>
    <w:rsid w:val="008B4205"/>
    <w:rsid w:val="008B42C6"/>
    <w:rsid w:val="008B4362"/>
    <w:rsid w:val="008B4386"/>
    <w:rsid w:val="008B4462"/>
    <w:rsid w:val="008B448F"/>
    <w:rsid w:val="008B44EB"/>
    <w:rsid w:val="008B4527"/>
    <w:rsid w:val="008B4539"/>
    <w:rsid w:val="008B4546"/>
    <w:rsid w:val="008B4547"/>
    <w:rsid w:val="008B4662"/>
    <w:rsid w:val="008B472A"/>
    <w:rsid w:val="008B4763"/>
    <w:rsid w:val="008B47BF"/>
    <w:rsid w:val="008B48AC"/>
    <w:rsid w:val="008B49EC"/>
    <w:rsid w:val="008B4ABA"/>
    <w:rsid w:val="008B4BBA"/>
    <w:rsid w:val="008B4BCD"/>
    <w:rsid w:val="008B4DEF"/>
    <w:rsid w:val="008B4E83"/>
    <w:rsid w:val="008B4ECF"/>
    <w:rsid w:val="008B50FC"/>
    <w:rsid w:val="008B51F2"/>
    <w:rsid w:val="008B52F4"/>
    <w:rsid w:val="008B5303"/>
    <w:rsid w:val="008B53BB"/>
    <w:rsid w:val="008B546F"/>
    <w:rsid w:val="008B576F"/>
    <w:rsid w:val="008B57E7"/>
    <w:rsid w:val="008B5959"/>
    <w:rsid w:val="008B5CF5"/>
    <w:rsid w:val="008B5CFB"/>
    <w:rsid w:val="008B5DC7"/>
    <w:rsid w:val="008B6028"/>
    <w:rsid w:val="008B6062"/>
    <w:rsid w:val="008B606A"/>
    <w:rsid w:val="008B629B"/>
    <w:rsid w:val="008B659F"/>
    <w:rsid w:val="008B666D"/>
    <w:rsid w:val="008B670C"/>
    <w:rsid w:val="008B68E4"/>
    <w:rsid w:val="008B69F8"/>
    <w:rsid w:val="008B6C8D"/>
    <w:rsid w:val="008B6D1F"/>
    <w:rsid w:val="008B6DB2"/>
    <w:rsid w:val="008B6DE5"/>
    <w:rsid w:val="008B6EAF"/>
    <w:rsid w:val="008B6F0B"/>
    <w:rsid w:val="008B7392"/>
    <w:rsid w:val="008B7511"/>
    <w:rsid w:val="008B7770"/>
    <w:rsid w:val="008B78A6"/>
    <w:rsid w:val="008B7A30"/>
    <w:rsid w:val="008B7D2F"/>
    <w:rsid w:val="008B7D93"/>
    <w:rsid w:val="008B7E37"/>
    <w:rsid w:val="008B7F0C"/>
    <w:rsid w:val="008C020A"/>
    <w:rsid w:val="008C0338"/>
    <w:rsid w:val="008C0437"/>
    <w:rsid w:val="008C044F"/>
    <w:rsid w:val="008C0584"/>
    <w:rsid w:val="008C05DF"/>
    <w:rsid w:val="008C064A"/>
    <w:rsid w:val="008C067B"/>
    <w:rsid w:val="008C06B2"/>
    <w:rsid w:val="008C06B4"/>
    <w:rsid w:val="008C06CD"/>
    <w:rsid w:val="008C06E7"/>
    <w:rsid w:val="008C0850"/>
    <w:rsid w:val="008C08FD"/>
    <w:rsid w:val="008C09B2"/>
    <w:rsid w:val="008C09D2"/>
    <w:rsid w:val="008C0B2A"/>
    <w:rsid w:val="008C0B79"/>
    <w:rsid w:val="008C103F"/>
    <w:rsid w:val="008C1101"/>
    <w:rsid w:val="008C111F"/>
    <w:rsid w:val="008C1198"/>
    <w:rsid w:val="008C12CC"/>
    <w:rsid w:val="008C137C"/>
    <w:rsid w:val="008C1441"/>
    <w:rsid w:val="008C160A"/>
    <w:rsid w:val="008C1610"/>
    <w:rsid w:val="008C16DC"/>
    <w:rsid w:val="008C16E4"/>
    <w:rsid w:val="008C1861"/>
    <w:rsid w:val="008C1B0D"/>
    <w:rsid w:val="008C1C80"/>
    <w:rsid w:val="008C1D30"/>
    <w:rsid w:val="008C1E04"/>
    <w:rsid w:val="008C1F8E"/>
    <w:rsid w:val="008C1FEF"/>
    <w:rsid w:val="008C2036"/>
    <w:rsid w:val="008C2057"/>
    <w:rsid w:val="008C2242"/>
    <w:rsid w:val="008C2243"/>
    <w:rsid w:val="008C225C"/>
    <w:rsid w:val="008C2333"/>
    <w:rsid w:val="008C2352"/>
    <w:rsid w:val="008C240B"/>
    <w:rsid w:val="008C2415"/>
    <w:rsid w:val="008C24E7"/>
    <w:rsid w:val="008C250B"/>
    <w:rsid w:val="008C2587"/>
    <w:rsid w:val="008C2615"/>
    <w:rsid w:val="008C28B2"/>
    <w:rsid w:val="008C28EF"/>
    <w:rsid w:val="008C290D"/>
    <w:rsid w:val="008C29FC"/>
    <w:rsid w:val="008C2AFA"/>
    <w:rsid w:val="008C2B2A"/>
    <w:rsid w:val="008C2C2F"/>
    <w:rsid w:val="008C2C8A"/>
    <w:rsid w:val="008C2E03"/>
    <w:rsid w:val="008C2E73"/>
    <w:rsid w:val="008C3035"/>
    <w:rsid w:val="008C3095"/>
    <w:rsid w:val="008C30F3"/>
    <w:rsid w:val="008C3154"/>
    <w:rsid w:val="008C3299"/>
    <w:rsid w:val="008C35EE"/>
    <w:rsid w:val="008C3929"/>
    <w:rsid w:val="008C3A6E"/>
    <w:rsid w:val="008C3A87"/>
    <w:rsid w:val="008C3B23"/>
    <w:rsid w:val="008C3BCD"/>
    <w:rsid w:val="008C3C3A"/>
    <w:rsid w:val="008C3E0C"/>
    <w:rsid w:val="008C3E18"/>
    <w:rsid w:val="008C3E2A"/>
    <w:rsid w:val="008C3EBF"/>
    <w:rsid w:val="008C3F2E"/>
    <w:rsid w:val="008C3FB0"/>
    <w:rsid w:val="008C42E7"/>
    <w:rsid w:val="008C447E"/>
    <w:rsid w:val="008C4497"/>
    <w:rsid w:val="008C44D8"/>
    <w:rsid w:val="008C45B5"/>
    <w:rsid w:val="008C4629"/>
    <w:rsid w:val="008C4972"/>
    <w:rsid w:val="008C4A47"/>
    <w:rsid w:val="008C4AAD"/>
    <w:rsid w:val="008C4B69"/>
    <w:rsid w:val="008C4CED"/>
    <w:rsid w:val="008C4DAD"/>
    <w:rsid w:val="008C4E09"/>
    <w:rsid w:val="008C4ED1"/>
    <w:rsid w:val="008C50D0"/>
    <w:rsid w:val="008C519A"/>
    <w:rsid w:val="008C526B"/>
    <w:rsid w:val="008C5270"/>
    <w:rsid w:val="008C577B"/>
    <w:rsid w:val="008C57FA"/>
    <w:rsid w:val="008C59EC"/>
    <w:rsid w:val="008C5B07"/>
    <w:rsid w:val="008C5C80"/>
    <w:rsid w:val="008C5C90"/>
    <w:rsid w:val="008C5CEB"/>
    <w:rsid w:val="008C5EAD"/>
    <w:rsid w:val="008C6006"/>
    <w:rsid w:val="008C6042"/>
    <w:rsid w:val="008C60F9"/>
    <w:rsid w:val="008C6115"/>
    <w:rsid w:val="008C6119"/>
    <w:rsid w:val="008C614A"/>
    <w:rsid w:val="008C6290"/>
    <w:rsid w:val="008C6365"/>
    <w:rsid w:val="008C640E"/>
    <w:rsid w:val="008C648D"/>
    <w:rsid w:val="008C6838"/>
    <w:rsid w:val="008C6989"/>
    <w:rsid w:val="008C69AE"/>
    <w:rsid w:val="008C69D2"/>
    <w:rsid w:val="008C69F3"/>
    <w:rsid w:val="008C6A01"/>
    <w:rsid w:val="008C6A26"/>
    <w:rsid w:val="008C6BC0"/>
    <w:rsid w:val="008C6C00"/>
    <w:rsid w:val="008C6C25"/>
    <w:rsid w:val="008C6F09"/>
    <w:rsid w:val="008C6F78"/>
    <w:rsid w:val="008C702C"/>
    <w:rsid w:val="008C70CB"/>
    <w:rsid w:val="008C70E4"/>
    <w:rsid w:val="008C7640"/>
    <w:rsid w:val="008C76E3"/>
    <w:rsid w:val="008C76E8"/>
    <w:rsid w:val="008C7761"/>
    <w:rsid w:val="008C7857"/>
    <w:rsid w:val="008C792D"/>
    <w:rsid w:val="008C792F"/>
    <w:rsid w:val="008C7931"/>
    <w:rsid w:val="008C794C"/>
    <w:rsid w:val="008C7A1D"/>
    <w:rsid w:val="008C7B64"/>
    <w:rsid w:val="008C7BC6"/>
    <w:rsid w:val="008C7C2C"/>
    <w:rsid w:val="008C7CA1"/>
    <w:rsid w:val="008C7E6A"/>
    <w:rsid w:val="008D0032"/>
    <w:rsid w:val="008D03B4"/>
    <w:rsid w:val="008D0553"/>
    <w:rsid w:val="008D0676"/>
    <w:rsid w:val="008D0760"/>
    <w:rsid w:val="008D07C0"/>
    <w:rsid w:val="008D0B39"/>
    <w:rsid w:val="008D0B5D"/>
    <w:rsid w:val="008D0C48"/>
    <w:rsid w:val="008D0D69"/>
    <w:rsid w:val="008D0E52"/>
    <w:rsid w:val="008D0F52"/>
    <w:rsid w:val="008D0FC1"/>
    <w:rsid w:val="008D1002"/>
    <w:rsid w:val="008D12A0"/>
    <w:rsid w:val="008D1301"/>
    <w:rsid w:val="008D13BC"/>
    <w:rsid w:val="008D140B"/>
    <w:rsid w:val="008D1410"/>
    <w:rsid w:val="008D1573"/>
    <w:rsid w:val="008D1587"/>
    <w:rsid w:val="008D1786"/>
    <w:rsid w:val="008D19F9"/>
    <w:rsid w:val="008D1A4C"/>
    <w:rsid w:val="008D1C90"/>
    <w:rsid w:val="008D1D1B"/>
    <w:rsid w:val="008D1FBD"/>
    <w:rsid w:val="008D20BF"/>
    <w:rsid w:val="008D2128"/>
    <w:rsid w:val="008D2253"/>
    <w:rsid w:val="008D238B"/>
    <w:rsid w:val="008D23FE"/>
    <w:rsid w:val="008D254D"/>
    <w:rsid w:val="008D2615"/>
    <w:rsid w:val="008D2669"/>
    <w:rsid w:val="008D26E4"/>
    <w:rsid w:val="008D26F1"/>
    <w:rsid w:val="008D280C"/>
    <w:rsid w:val="008D28BC"/>
    <w:rsid w:val="008D2A7C"/>
    <w:rsid w:val="008D2A89"/>
    <w:rsid w:val="008D2ADE"/>
    <w:rsid w:val="008D2B66"/>
    <w:rsid w:val="008D2CDF"/>
    <w:rsid w:val="008D2D4C"/>
    <w:rsid w:val="008D2DFD"/>
    <w:rsid w:val="008D2E29"/>
    <w:rsid w:val="008D2EFA"/>
    <w:rsid w:val="008D30DB"/>
    <w:rsid w:val="008D3147"/>
    <w:rsid w:val="008D341C"/>
    <w:rsid w:val="008D37DD"/>
    <w:rsid w:val="008D37E3"/>
    <w:rsid w:val="008D3C37"/>
    <w:rsid w:val="008D3D44"/>
    <w:rsid w:val="008D3D81"/>
    <w:rsid w:val="008D3DAD"/>
    <w:rsid w:val="008D3DE8"/>
    <w:rsid w:val="008D3F39"/>
    <w:rsid w:val="008D4305"/>
    <w:rsid w:val="008D446A"/>
    <w:rsid w:val="008D459D"/>
    <w:rsid w:val="008D4624"/>
    <w:rsid w:val="008D46D7"/>
    <w:rsid w:val="008D483D"/>
    <w:rsid w:val="008D4AF8"/>
    <w:rsid w:val="008D4B51"/>
    <w:rsid w:val="008D4C2C"/>
    <w:rsid w:val="008D4D57"/>
    <w:rsid w:val="008D4E86"/>
    <w:rsid w:val="008D5102"/>
    <w:rsid w:val="008D51B9"/>
    <w:rsid w:val="008D51C7"/>
    <w:rsid w:val="008D51DA"/>
    <w:rsid w:val="008D52E6"/>
    <w:rsid w:val="008D5472"/>
    <w:rsid w:val="008D54E2"/>
    <w:rsid w:val="008D54F5"/>
    <w:rsid w:val="008D556E"/>
    <w:rsid w:val="008D57FB"/>
    <w:rsid w:val="008D5873"/>
    <w:rsid w:val="008D5A27"/>
    <w:rsid w:val="008D5A8D"/>
    <w:rsid w:val="008D5B60"/>
    <w:rsid w:val="008D5C7B"/>
    <w:rsid w:val="008D5DEE"/>
    <w:rsid w:val="008D60FD"/>
    <w:rsid w:val="008D61DC"/>
    <w:rsid w:val="008D622E"/>
    <w:rsid w:val="008D649C"/>
    <w:rsid w:val="008D658A"/>
    <w:rsid w:val="008D658B"/>
    <w:rsid w:val="008D666B"/>
    <w:rsid w:val="008D66F3"/>
    <w:rsid w:val="008D678B"/>
    <w:rsid w:val="008D6A61"/>
    <w:rsid w:val="008D6D1C"/>
    <w:rsid w:val="008D6DD7"/>
    <w:rsid w:val="008D6F40"/>
    <w:rsid w:val="008D7195"/>
    <w:rsid w:val="008D724B"/>
    <w:rsid w:val="008D745F"/>
    <w:rsid w:val="008D749D"/>
    <w:rsid w:val="008D7538"/>
    <w:rsid w:val="008D75EC"/>
    <w:rsid w:val="008D76AB"/>
    <w:rsid w:val="008D7878"/>
    <w:rsid w:val="008D7A20"/>
    <w:rsid w:val="008D7BD1"/>
    <w:rsid w:val="008D7BD8"/>
    <w:rsid w:val="008D7C7C"/>
    <w:rsid w:val="008D7E88"/>
    <w:rsid w:val="008D7F0E"/>
    <w:rsid w:val="008D7FF7"/>
    <w:rsid w:val="008E0040"/>
    <w:rsid w:val="008E0266"/>
    <w:rsid w:val="008E0338"/>
    <w:rsid w:val="008E0434"/>
    <w:rsid w:val="008E046F"/>
    <w:rsid w:val="008E049D"/>
    <w:rsid w:val="008E059C"/>
    <w:rsid w:val="008E06EA"/>
    <w:rsid w:val="008E06FA"/>
    <w:rsid w:val="008E0702"/>
    <w:rsid w:val="008E0768"/>
    <w:rsid w:val="008E078F"/>
    <w:rsid w:val="008E080F"/>
    <w:rsid w:val="008E08D3"/>
    <w:rsid w:val="008E0921"/>
    <w:rsid w:val="008E0A4F"/>
    <w:rsid w:val="008E0B31"/>
    <w:rsid w:val="008E0B86"/>
    <w:rsid w:val="008E0BCB"/>
    <w:rsid w:val="008E0CB4"/>
    <w:rsid w:val="008E0CB8"/>
    <w:rsid w:val="008E0E11"/>
    <w:rsid w:val="008E0E2A"/>
    <w:rsid w:val="008E0FC3"/>
    <w:rsid w:val="008E1085"/>
    <w:rsid w:val="008E1198"/>
    <w:rsid w:val="008E128E"/>
    <w:rsid w:val="008E13A9"/>
    <w:rsid w:val="008E13E8"/>
    <w:rsid w:val="008E1440"/>
    <w:rsid w:val="008E14F1"/>
    <w:rsid w:val="008E1572"/>
    <w:rsid w:val="008E16FD"/>
    <w:rsid w:val="008E1746"/>
    <w:rsid w:val="008E1772"/>
    <w:rsid w:val="008E17B2"/>
    <w:rsid w:val="008E1981"/>
    <w:rsid w:val="008E1A76"/>
    <w:rsid w:val="008E1B72"/>
    <w:rsid w:val="008E1B81"/>
    <w:rsid w:val="008E1BF2"/>
    <w:rsid w:val="008E1C72"/>
    <w:rsid w:val="008E1D8B"/>
    <w:rsid w:val="008E2129"/>
    <w:rsid w:val="008E22A8"/>
    <w:rsid w:val="008E22E5"/>
    <w:rsid w:val="008E22E9"/>
    <w:rsid w:val="008E231E"/>
    <w:rsid w:val="008E2454"/>
    <w:rsid w:val="008E2486"/>
    <w:rsid w:val="008E24E2"/>
    <w:rsid w:val="008E25CB"/>
    <w:rsid w:val="008E268B"/>
    <w:rsid w:val="008E276E"/>
    <w:rsid w:val="008E28E6"/>
    <w:rsid w:val="008E2A77"/>
    <w:rsid w:val="008E2D38"/>
    <w:rsid w:val="008E2D82"/>
    <w:rsid w:val="008E2DDF"/>
    <w:rsid w:val="008E2EB2"/>
    <w:rsid w:val="008E2F81"/>
    <w:rsid w:val="008E2F83"/>
    <w:rsid w:val="008E2FE3"/>
    <w:rsid w:val="008E34D7"/>
    <w:rsid w:val="008E3600"/>
    <w:rsid w:val="008E36D7"/>
    <w:rsid w:val="008E37C7"/>
    <w:rsid w:val="008E38CC"/>
    <w:rsid w:val="008E39AF"/>
    <w:rsid w:val="008E3E0C"/>
    <w:rsid w:val="008E3E2B"/>
    <w:rsid w:val="008E3F76"/>
    <w:rsid w:val="008E4004"/>
    <w:rsid w:val="008E4044"/>
    <w:rsid w:val="008E4257"/>
    <w:rsid w:val="008E4515"/>
    <w:rsid w:val="008E47B8"/>
    <w:rsid w:val="008E486B"/>
    <w:rsid w:val="008E49AA"/>
    <w:rsid w:val="008E49C4"/>
    <w:rsid w:val="008E4B43"/>
    <w:rsid w:val="008E4BFB"/>
    <w:rsid w:val="008E4CFA"/>
    <w:rsid w:val="008E4D1E"/>
    <w:rsid w:val="008E4D46"/>
    <w:rsid w:val="008E4F17"/>
    <w:rsid w:val="008E4FA7"/>
    <w:rsid w:val="008E513F"/>
    <w:rsid w:val="008E536E"/>
    <w:rsid w:val="008E554C"/>
    <w:rsid w:val="008E5659"/>
    <w:rsid w:val="008E5689"/>
    <w:rsid w:val="008E56CC"/>
    <w:rsid w:val="008E56DC"/>
    <w:rsid w:val="008E5774"/>
    <w:rsid w:val="008E577A"/>
    <w:rsid w:val="008E57D0"/>
    <w:rsid w:val="008E5814"/>
    <w:rsid w:val="008E589B"/>
    <w:rsid w:val="008E59D7"/>
    <w:rsid w:val="008E5A1D"/>
    <w:rsid w:val="008E5B10"/>
    <w:rsid w:val="008E5C33"/>
    <w:rsid w:val="008E5CB6"/>
    <w:rsid w:val="008E5D9C"/>
    <w:rsid w:val="008E5E43"/>
    <w:rsid w:val="008E609A"/>
    <w:rsid w:val="008E6171"/>
    <w:rsid w:val="008E62A0"/>
    <w:rsid w:val="008E634A"/>
    <w:rsid w:val="008E637A"/>
    <w:rsid w:val="008E63AC"/>
    <w:rsid w:val="008E6535"/>
    <w:rsid w:val="008E65C8"/>
    <w:rsid w:val="008E65D8"/>
    <w:rsid w:val="008E66F9"/>
    <w:rsid w:val="008E675A"/>
    <w:rsid w:val="008E682C"/>
    <w:rsid w:val="008E6931"/>
    <w:rsid w:val="008E6A8B"/>
    <w:rsid w:val="008E6AAA"/>
    <w:rsid w:val="008E6AD5"/>
    <w:rsid w:val="008E6B8B"/>
    <w:rsid w:val="008E6B93"/>
    <w:rsid w:val="008E6C94"/>
    <w:rsid w:val="008E6D18"/>
    <w:rsid w:val="008E6D46"/>
    <w:rsid w:val="008E6E64"/>
    <w:rsid w:val="008E6F1C"/>
    <w:rsid w:val="008E6F25"/>
    <w:rsid w:val="008E71A8"/>
    <w:rsid w:val="008E71C0"/>
    <w:rsid w:val="008E72CA"/>
    <w:rsid w:val="008E7377"/>
    <w:rsid w:val="008E73E1"/>
    <w:rsid w:val="008E760C"/>
    <w:rsid w:val="008E7651"/>
    <w:rsid w:val="008E78F9"/>
    <w:rsid w:val="008E79EB"/>
    <w:rsid w:val="008E7BBE"/>
    <w:rsid w:val="008E7CAB"/>
    <w:rsid w:val="008E7CC4"/>
    <w:rsid w:val="008E7E3D"/>
    <w:rsid w:val="008E7E78"/>
    <w:rsid w:val="008E7F50"/>
    <w:rsid w:val="008F00A2"/>
    <w:rsid w:val="008F023D"/>
    <w:rsid w:val="008F0245"/>
    <w:rsid w:val="008F0339"/>
    <w:rsid w:val="008F033A"/>
    <w:rsid w:val="008F04BC"/>
    <w:rsid w:val="008F0595"/>
    <w:rsid w:val="008F061D"/>
    <w:rsid w:val="008F0791"/>
    <w:rsid w:val="008F07DE"/>
    <w:rsid w:val="008F085C"/>
    <w:rsid w:val="008F08D1"/>
    <w:rsid w:val="008F0B2B"/>
    <w:rsid w:val="008F0BFB"/>
    <w:rsid w:val="008F0EA1"/>
    <w:rsid w:val="008F0F26"/>
    <w:rsid w:val="008F0F46"/>
    <w:rsid w:val="008F0FD1"/>
    <w:rsid w:val="008F1027"/>
    <w:rsid w:val="008F10BB"/>
    <w:rsid w:val="008F10E8"/>
    <w:rsid w:val="008F11B8"/>
    <w:rsid w:val="008F120C"/>
    <w:rsid w:val="008F12DB"/>
    <w:rsid w:val="008F1429"/>
    <w:rsid w:val="008F1455"/>
    <w:rsid w:val="008F14CA"/>
    <w:rsid w:val="008F1514"/>
    <w:rsid w:val="008F152D"/>
    <w:rsid w:val="008F161E"/>
    <w:rsid w:val="008F16B5"/>
    <w:rsid w:val="008F1890"/>
    <w:rsid w:val="008F18A0"/>
    <w:rsid w:val="008F18EF"/>
    <w:rsid w:val="008F190B"/>
    <w:rsid w:val="008F1C27"/>
    <w:rsid w:val="008F1C68"/>
    <w:rsid w:val="008F1CB2"/>
    <w:rsid w:val="008F1E75"/>
    <w:rsid w:val="008F1F37"/>
    <w:rsid w:val="008F1FCE"/>
    <w:rsid w:val="008F2038"/>
    <w:rsid w:val="008F218B"/>
    <w:rsid w:val="008F2236"/>
    <w:rsid w:val="008F23A4"/>
    <w:rsid w:val="008F23D0"/>
    <w:rsid w:val="008F2434"/>
    <w:rsid w:val="008F24E5"/>
    <w:rsid w:val="008F2528"/>
    <w:rsid w:val="008F2664"/>
    <w:rsid w:val="008F28D3"/>
    <w:rsid w:val="008F28F5"/>
    <w:rsid w:val="008F28FA"/>
    <w:rsid w:val="008F2CDE"/>
    <w:rsid w:val="008F2D54"/>
    <w:rsid w:val="008F2F9F"/>
    <w:rsid w:val="008F2FF8"/>
    <w:rsid w:val="008F318C"/>
    <w:rsid w:val="008F330E"/>
    <w:rsid w:val="008F33BA"/>
    <w:rsid w:val="008F3524"/>
    <w:rsid w:val="008F35CC"/>
    <w:rsid w:val="008F365E"/>
    <w:rsid w:val="008F3740"/>
    <w:rsid w:val="008F38E5"/>
    <w:rsid w:val="008F3A6A"/>
    <w:rsid w:val="008F3B5E"/>
    <w:rsid w:val="008F3B80"/>
    <w:rsid w:val="008F3DDA"/>
    <w:rsid w:val="008F3EE4"/>
    <w:rsid w:val="008F4032"/>
    <w:rsid w:val="008F4053"/>
    <w:rsid w:val="008F405A"/>
    <w:rsid w:val="008F419C"/>
    <w:rsid w:val="008F41ED"/>
    <w:rsid w:val="008F425F"/>
    <w:rsid w:val="008F42BC"/>
    <w:rsid w:val="008F4354"/>
    <w:rsid w:val="008F439A"/>
    <w:rsid w:val="008F478B"/>
    <w:rsid w:val="008F47BB"/>
    <w:rsid w:val="008F47EA"/>
    <w:rsid w:val="008F4932"/>
    <w:rsid w:val="008F4A1B"/>
    <w:rsid w:val="008F4AA3"/>
    <w:rsid w:val="008F4AEC"/>
    <w:rsid w:val="008F4B70"/>
    <w:rsid w:val="008F4E22"/>
    <w:rsid w:val="008F4EC1"/>
    <w:rsid w:val="008F4EF2"/>
    <w:rsid w:val="008F4F84"/>
    <w:rsid w:val="008F5042"/>
    <w:rsid w:val="008F50F1"/>
    <w:rsid w:val="008F5118"/>
    <w:rsid w:val="008F518D"/>
    <w:rsid w:val="008F52A1"/>
    <w:rsid w:val="008F53A2"/>
    <w:rsid w:val="008F54AA"/>
    <w:rsid w:val="008F5518"/>
    <w:rsid w:val="008F55CE"/>
    <w:rsid w:val="008F5728"/>
    <w:rsid w:val="008F5815"/>
    <w:rsid w:val="008F5968"/>
    <w:rsid w:val="008F59B7"/>
    <w:rsid w:val="008F5D37"/>
    <w:rsid w:val="008F5E25"/>
    <w:rsid w:val="008F602C"/>
    <w:rsid w:val="008F609E"/>
    <w:rsid w:val="008F60D5"/>
    <w:rsid w:val="008F626C"/>
    <w:rsid w:val="008F6479"/>
    <w:rsid w:val="008F6508"/>
    <w:rsid w:val="008F6585"/>
    <w:rsid w:val="008F6587"/>
    <w:rsid w:val="008F6741"/>
    <w:rsid w:val="008F68B4"/>
    <w:rsid w:val="008F6A66"/>
    <w:rsid w:val="008F6CD6"/>
    <w:rsid w:val="008F6D9F"/>
    <w:rsid w:val="008F6EDA"/>
    <w:rsid w:val="008F6F79"/>
    <w:rsid w:val="008F70B6"/>
    <w:rsid w:val="008F710D"/>
    <w:rsid w:val="008F7191"/>
    <w:rsid w:val="008F73D1"/>
    <w:rsid w:val="008F7672"/>
    <w:rsid w:val="008F768B"/>
    <w:rsid w:val="008F76CC"/>
    <w:rsid w:val="008F76DD"/>
    <w:rsid w:val="008F76EC"/>
    <w:rsid w:val="008F7709"/>
    <w:rsid w:val="008F77D2"/>
    <w:rsid w:val="008F7A34"/>
    <w:rsid w:val="008F7B78"/>
    <w:rsid w:val="008F7C2E"/>
    <w:rsid w:val="008F7D64"/>
    <w:rsid w:val="008F7EAD"/>
    <w:rsid w:val="00900094"/>
    <w:rsid w:val="00900178"/>
    <w:rsid w:val="009002DA"/>
    <w:rsid w:val="00900355"/>
    <w:rsid w:val="00900522"/>
    <w:rsid w:val="0090060B"/>
    <w:rsid w:val="009006D1"/>
    <w:rsid w:val="009006FC"/>
    <w:rsid w:val="00900916"/>
    <w:rsid w:val="0090093D"/>
    <w:rsid w:val="009009BF"/>
    <w:rsid w:val="00900A03"/>
    <w:rsid w:val="00900BB3"/>
    <w:rsid w:val="00900CE5"/>
    <w:rsid w:val="009010AC"/>
    <w:rsid w:val="00901668"/>
    <w:rsid w:val="00901689"/>
    <w:rsid w:val="00901700"/>
    <w:rsid w:val="00901AE7"/>
    <w:rsid w:val="00901CA6"/>
    <w:rsid w:val="00901E65"/>
    <w:rsid w:val="00901F20"/>
    <w:rsid w:val="00902155"/>
    <w:rsid w:val="0090229A"/>
    <w:rsid w:val="009022CA"/>
    <w:rsid w:val="0090244E"/>
    <w:rsid w:val="00902662"/>
    <w:rsid w:val="00902732"/>
    <w:rsid w:val="0090273B"/>
    <w:rsid w:val="009029A6"/>
    <w:rsid w:val="009029AD"/>
    <w:rsid w:val="00902A67"/>
    <w:rsid w:val="00902CCA"/>
    <w:rsid w:val="009031EE"/>
    <w:rsid w:val="00903202"/>
    <w:rsid w:val="00903227"/>
    <w:rsid w:val="00903487"/>
    <w:rsid w:val="009034FD"/>
    <w:rsid w:val="009036ED"/>
    <w:rsid w:val="0090382B"/>
    <w:rsid w:val="009039B5"/>
    <w:rsid w:val="00903BC8"/>
    <w:rsid w:val="00903C33"/>
    <w:rsid w:val="00903DC5"/>
    <w:rsid w:val="00903E58"/>
    <w:rsid w:val="00903ECC"/>
    <w:rsid w:val="00903F52"/>
    <w:rsid w:val="00903FFB"/>
    <w:rsid w:val="009040ED"/>
    <w:rsid w:val="00904136"/>
    <w:rsid w:val="00904288"/>
    <w:rsid w:val="009044DB"/>
    <w:rsid w:val="009045A4"/>
    <w:rsid w:val="00904619"/>
    <w:rsid w:val="00904722"/>
    <w:rsid w:val="00904773"/>
    <w:rsid w:val="00904779"/>
    <w:rsid w:val="009049B8"/>
    <w:rsid w:val="00904BD3"/>
    <w:rsid w:val="00904BD4"/>
    <w:rsid w:val="00904C71"/>
    <w:rsid w:val="00904D57"/>
    <w:rsid w:val="00904E06"/>
    <w:rsid w:val="00904E65"/>
    <w:rsid w:val="00904F90"/>
    <w:rsid w:val="00904FF6"/>
    <w:rsid w:val="0090503D"/>
    <w:rsid w:val="00905459"/>
    <w:rsid w:val="00905488"/>
    <w:rsid w:val="0090548D"/>
    <w:rsid w:val="00905511"/>
    <w:rsid w:val="009058C1"/>
    <w:rsid w:val="00905A74"/>
    <w:rsid w:val="00905D48"/>
    <w:rsid w:val="00905D7C"/>
    <w:rsid w:val="009063B4"/>
    <w:rsid w:val="00906807"/>
    <w:rsid w:val="00906872"/>
    <w:rsid w:val="009068C8"/>
    <w:rsid w:val="009069CA"/>
    <w:rsid w:val="00906B2F"/>
    <w:rsid w:val="00906E13"/>
    <w:rsid w:val="00906E80"/>
    <w:rsid w:val="00906F17"/>
    <w:rsid w:val="00906FD9"/>
    <w:rsid w:val="0090710A"/>
    <w:rsid w:val="00907253"/>
    <w:rsid w:val="00907441"/>
    <w:rsid w:val="0090763B"/>
    <w:rsid w:val="009076FE"/>
    <w:rsid w:val="00907745"/>
    <w:rsid w:val="009077E7"/>
    <w:rsid w:val="00907993"/>
    <w:rsid w:val="00907C44"/>
    <w:rsid w:val="00907DA2"/>
    <w:rsid w:val="0091015E"/>
    <w:rsid w:val="009103D2"/>
    <w:rsid w:val="009104E5"/>
    <w:rsid w:val="0091077C"/>
    <w:rsid w:val="0091077E"/>
    <w:rsid w:val="00910985"/>
    <w:rsid w:val="00910A02"/>
    <w:rsid w:val="00910AA5"/>
    <w:rsid w:val="00910AFC"/>
    <w:rsid w:val="00910BFA"/>
    <w:rsid w:val="00910DC8"/>
    <w:rsid w:val="00910DFF"/>
    <w:rsid w:val="00910FF4"/>
    <w:rsid w:val="0091108B"/>
    <w:rsid w:val="00911131"/>
    <w:rsid w:val="00911181"/>
    <w:rsid w:val="00911228"/>
    <w:rsid w:val="00911481"/>
    <w:rsid w:val="009118E9"/>
    <w:rsid w:val="00911A90"/>
    <w:rsid w:val="00911B7F"/>
    <w:rsid w:val="00911C75"/>
    <w:rsid w:val="00911D9D"/>
    <w:rsid w:val="00911FA8"/>
    <w:rsid w:val="0091225B"/>
    <w:rsid w:val="00912368"/>
    <w:rsid w:val="009124D2"/>
    <w:rsid w:val="009127CA"/>
    <w:rsid w:val="0091281E"/>
    <w:rsid w:val="0091293E"/>
    <w:rsid w:val="009129A7"/>
    <w:rsid w:val="00912A55"/>
    <w:rsid w:val="00912A88"/>
    <w:rsid w:val="00912B12"/>
    <w:rsid w:val="00912BFB"/>
    <w:rsid w:val="00912D46"/>
    <w:rsid w:val="00912D97"/>
    <w:rsid w:val="00912DAD"/>
    <w:rsid w:val="00912E74"/>
    <w:rsid w:val="00912FCA"/>
    <w:rsid w:val="00913131"/>
    <w:rsid w:val="0091339B"/>
    <w:rsid w:val="0091339C"/>
    <w:rsid w:val="009133C2"/>
    <w:rsid w:val="009134D2"/>
    <w:rsid w:val="0091357F"/>
    <w:rsid w:val="0091359C"/>
    <w:rsid w:val="009135B8"/>
    <w:rsid w:val="009135FA"/>
    <w:rsid w:val="0091364A"/>
    <w:rsid w:val="0091368B"/>
    <w:rsid w:val="009136D0"/>
    <w:rsid w:val="009136DF"/>
    <w:rsid w:val="009136E6"/>
    <w:rsid w:val="00913887"/>
    <w:rsid w:val="009138CB"/>
    <w:rsid w:val="0091397B"/>
    <w:rsid w:val="00913AF2"/>
    <w:rsid w:val="00913BF5"/>
    <w:rsid w:val="00913DD2"/>
    <w:rsid w:val="00913F60"/>
    <w:rsid w:val="009140CC"/>
    <w:rsid w:val="009141B4"/>
    <w:rsid w:val="0091426B"/>
    <w:rsid w:val="0091439D"/>
    <w:rsid w:val="009143D9"/>
    <w:rsid w:val="009143EB"/>
    <w:rsid w:val="0091443F"/>
    <w:rsid w:val="00914470"/>
    <w:rsid w:val="00914487"/>
    <w:rsid w:val="00914686"/>
    <w:rsid w:val="00914972"/>
    <w:rsid w:val="00914A86"/>
    <w:rsid w:val="00914AAC"/>
    <w:rsid w:val="00914AF9"/>
    <w:rsid w:val="00914E19"/>
    <w:rsid w:val="00914E37"/>
    <w:rsid w:val="00914E58"/>
    <w:rsid w:val="00914E96"/>
    <w:rsid w:val="00914EA3"/>
    <w:rsid w:val="009150FF"/>
    <w:rsid w:val="009151C2"/>
    <w:rsid w:val="00915271"/>
    <w:rsid w:val="00915424"/>
    <w:rsid w:val="009154E9"/>
    <w:rsid w:val="0091552D"/>
    <w:rsid w:val="009155DF"/>
    <w:rsid w:val="009156EA"/>
    <w:rsid w:val="009156F4"/>
    <w:rsid w:val="009158E3"/>
    <w:rsid w:val="009158F8"/>
    <w:rsid w:val="00915916"/>
    <w:rsid w:val="00915923"/>
    <w:rsid w:val="00915A76"/>
    <w:rsid w:val="00915B68"/>
    <w:rsid w:val="00915BA6"/>
    <w:rsid w:val="00915C96"/>
    <w:rsid w:val="00915DC9"/>
    <w:rsid w:val="00915E85"/>
    <w:rsid w:val="00915F08"/>
    <w:rsid w:val="00915F90"/>
    <w:rsid w:val="00915FD3"/>
    <w:rsid w:val="0091612B"/>
    <w:rsid w:val="00916194"/>
    <w:rsid w:val="0091621B"/>
    <w:rsid w:val="00916474"/>
    <w:rsid w:val="00916584"/>
    <w:rsid w:val="009165B6"/>
    <w:rsid w:val="009165B8"/>
    <w:rsid w:val="00916681"/>
    <w:rsid w:val="00916837"/>
    <w:rsid w:val="009168DE"/>
    <w:rsid w:val="00916948"/>
    <w:rsid w:val="00916C46"/>
    <w:rsid w:val="00916C6E"/>
    <w:rsid w:val="00916CDD"/>
    <w:rsid w:val="00916E4C"/>
    <w:rsid w:val="00916F99"/>
    <w:rsid w:val="00916FFD"/>
    <w:rsid w:val="0091719E"/>
    <w:rsid w:val="0091723F"/>
    <w:rsid w:val="009172EC"/>
    <w:rsid w:val="009173C9"/>
    <w:rsid w:val="00917532"/>
    <w:rsid w:val="0091760E"/>
    <w:rsid w:val="0091763C"/>
    <w:rsid w:val="009176A4"/>
    <w:rsid w:val="00917861"/>
    <w:rsid w:val="00917881"/>
    <w:rsid w:val="00917886"/>
    <w:rsid w:val="00917ABE"/>
    <w:rsid w:val="0092003E"/>
    <w:rsid w:val="0092019D"/>
    <w:rsid w:val="0092044C"/>
    <w:rsid w:val="00920544"/>
    <w:rsid w:val="00920640"/>
    <w:rsid w:val="00920728"/>
    <w:rsid w:val="0092096A"/>
    <w:rsid w:val="00920A98"/>
    <w:rsid w:val="00920AD3"/>
    <w:rsid w:val="00920B82"/>
    <w:rsid w:val="00920D63"/>
    <w:rsid w:val="00920E7A"/>
    <w:rsid w:val="00920ECF"/>
    <w:rsid w:val="00921050"/>
    <w:rsid w:val="00921144"/>
    <w:rsid w:val="0092119A"/>
    <w:rsid w:val="009211C5"/>
    <w:rsid w:val="009211F4"/>
    <w:rsid w:val="0092128C"/>
    <w:rsid w:val="009213CE"/>
    <w:rsid w:val="00921420"/>
    <w:rsid w:val="00921530"/>
    <w:rsid w:val="0092156C"/>
    <w:rsid w:val="00921625"/>
    <w:rsid w:val="0092171E"/>
    <w:rsid w:val="00921794"/>
    <w:rsid w:val="0092191D"/>
    <w:rsid w:val="00921D26"/>
    <w:rsid w:val="00921D97"/>
    <w:rsid w:val="00921DFF"/>
    <w:rsid w:val="00921E92"/>
    <w:rsid w:val="00921EF1"/>
    <w:rsid w:val="00921F37"/>
    <w:rsid w:val="00921F6E"/>
    <w:rsid w:val="00922179"/>
    <w:rsid w:val="009222F5"/>
    <w:rsid w:val="009224A2"/>
    <w:rsid w:val="0092250D"/>
    <w:rsid w:val="00922564"/>
    <w:rsid w:val="009226BB"/>
    <w:rsid w:val="0092289F"/>
    <w:rsid w:val="00922951"/>
    <w:rsid w:val="0092295F"/>
    <w:rsid w:val="00922A4D"/>
    <w:rsid w:val="00922B33"/>
    <w:rsid w:val="00922BE2"/>
    <w:rsid w:val="00922DC3"/>
    <w:rsid w:val="00922FFB"/>
    <w:rsid w:val="009230A5"/>
    <w:rsid w:val="009230C7"/>
    <w:rsid w:val="009231CD"/>
    <w:rsid w:val="0092324C"/>
    <w:rsid w:val="009232C8"/>
    <w:rsid w:val="009233E0"/>
    <w:rsid w:val="009233F3"/>
    <w:rsid w:val="009235EF"/>
    <w:rsid w:val="00923781"/>
    <w:rsid w:val="0092382A"/>
    <w:rsid w:val="00923B75"/>
    <w:rsid w:val="00923BB4"/>
    <w:rsid w:val="00923C4C"/>
    <w:rsid w:val="00923E10"/>
    <w:rsid w:val="00923FAD"/>
    <w:rsid w:val="0092407C"/>
    <w:rsid w:val="00924208"/>
    <w:rsid w:val="009242C5"/>
    <w:rsid w:val="00924347"/>
    <w:rsid w:val="0092436F"/>
    <w:rsid w:val="00924493"/>
    <w:rsid w:val="00924505"/>
    <w:rsid w:val="009246F6"/>
    <w:rsid w:val="0092477B"/>
    <w:rsid w:val="0092479D"/>
    <w:rsid w:val="009247D0"/>
    <w:rsid w:val="00924821"/>
    <w:rsid w:val="0092486B"/>
    <w:rsid w:val="009248BE"/>
    <w:rsid w:val="009249D2"/>
    <w:rsid w:val="00924A04"/>
    <w:rsid w:val="00924ABB"/>
    <w:rsid w:val="00924B74"/>
    <w:rsid w:val="00924BAB"/>
    <w:rsid w:val="00924BDE"/>
    <w:rsid w:val="00924DC7"/>
    <w:rsid w:val="00924E41"/>
    <w:rsid w:val="00924F6F"/>
    <w:rsid w:val="009253AD"/>
    <w:rsid w:val="0092560B"/>
    <w:rsid w:val="00925615"/>
    <w:rsid w:val="0092564F"/>
    <w:rsid w:val="009256A5"/>
    <w:rsid w:val="009256D7"/>
    <w:rsid w:val="009259EE"/>
    <w:rsid w:val="00925D05"/>
    <w:rsid w:val="00925DAF"/>
    <w:rsid w:val="00925E93"/>
    <w:rsid w:val="00925F69"/>
    <w:rsid w:val="00926017"/>
    <w:rsid w:val="00926109"/>
    <w:rsid w:val="0092614F"/>
    <w:rsid w:val="0092615B"/>
    <w:rsid w:val="009262E7"/>
    <w:rsid w:val="0092631E"/>
    <w:rsid w:val="0092631F"/>
    <w:rsid w:val="00926585"/>
    <w:rsid w:val="0092664B"/>
    <w:rsid w:val="0092676D"/>
    <w:rsid w:val="00926808"/>
    <w:rsid w:val="009268C8"/>
    <w:rsid w:val="00926913"/>
    <w:rsid w:val="00926944"/>
    <w:rsid w:val="00926956"/>
    <w:rsid w:val="0092699E"/>
    <w:rsid w:val="009269B3"/>
    <w:rsid w:val="00926A3C"/>
    <w:rsid w:val="00926C7E"/>
    <w:rsid w:val="00926CB8"/>
    <w:rsid w:val="00926CE1"/>
    <w:rsid w:val="00926D3B"/>
    <w:rsid w:val="00926D72"/>
    <w:rsid w:val="00926EB8"/>
    <w:rsid w:val="00926F1B"/>
    <w:rsid w:val="0092716A"/>
    <w:rsid w:val="009271A0"/>
    <w:rsid w:val="00927398"/>
    <w:rsid w:val="009273CD"/>
    <w:rsid w:val="009274BD"/>
    <w:rsid w:val="009274FB"/>
    <w:rsid w:val="0092760B"/>
    <w:rsid w:val="00927710"/>
    <w:rsid w:val="0092771F"/>
    <w:rsid w:val="00927786"/>
    <w:rsid w:val="0092779B"/>
    <w:rsid w:val="0092779C"/>
    <w:rsid w:val="00927833"/>
    <w:rsid w:val="00927A8D"/>
    <w:rsid w:val="00927A9E"/>
    <w:rsid w:val="00927CC3"/>
    <w:rsid w:val="00927CED"/>
    <w:rsid w:val="00927E9D"/>
    <w:rsid w:val="00927ED7"/>
    <w:rsid w:val="009300ED"/>
    <w:rsid w:val="0093014D"/>
    <w:rsid w:val="009302DA"/>
    <w:rsid w:val="009302E9"/>
    <w:rsid w:val="0093030F"/>
    <w:rsid w:val="00930390"/>
    <w:rsid w:val="009303D9"/>
    <w:rsid w:val="00930528"/>
    <w:rsid w:val="00930533"/>
    <w:rsid w:val="009307C9"/>
    <w:rsid w:val="009307DE"/>
    <w:rsid w:val="0093089F"/>
    <w:rsid w:val="0093093D"/>
    <w:rsid w:val="00930954"/>
    <w:rsid w:val="009309EC"/>
    <w:rsid w:val="00930ABE"/>
    <w:rsid w:val="00930B5F"/>
    <w:rsid w:val="00930BAF"/>
    <w:rsid w:val="00930BF8"/>
    <w:rsid w:val="00930C1A"/>
    <w:rsid w:val="00930C36"/>
    <w:rsid w:val="00930C39"/>
    <w:rsid w:val="00930C43"/>
    <w:rsid w:val="00930E25"/>
    <w:rsid w:val="00930E7E"/>
    <w:rsid w:val="009310C8"/>
    <w:rsid w:val="0093130A"/>
    <w:rsid w:val="0093130F"/>
    <w:rsid w:val="00931365"/>
    <w:rsid w:val="009314A5"/>
    <w:rsid w:val="009315EE"/>
    <w:rsid w:val="00931667"/>
    <w:rsid w:val="00931710"/>
    <w:rsid w:val="00931877"/>
    <w:rsid w:val="00931A6E"/>
    <w:rsid w:val="00931AB7"/>
    <w:rsid w:val="00931B5D"/>
    <w:rsid w:val="00931C82"/>
    <w:rsid w:val="00931D86"/>
    <w:rsid w:val="00931E13"/>
    <w:rsid w:val="00931E33"/>
    <w:rsid w:val="00931E56"/>
    <w:rsid w:val="00931E5C"/>
    <w:rsid w:val="00931EAD"/>
    <w:rsid w:val="00931F02"/>
    <w:rsid w:val="00931F91"/>
    <w:rsid w:val="009320A4"/>
    <w:rsid w:val="009321A7"/>
    <w:rsid w:val="009322FE"/>
    <w:rsid w:val="009323B9"/>
    <w:rsid w:val="0093256A"/>
    <w:rsid w:val="009326F5"/>
    <w:rsid w:val="00932838"/>
    <w:rsid w:val="0093285D"/>
    <w:rsid w:val="0093291F"/>
    <w:rsid w:val="0093295C"/>
    <w:rsid w:val="00932B15"/>
    <w:rsid w:val="00932B72"/>
    <w:rsid w:val="00932D4D"/>
    <w:rsid w:val="00932E5C"/>
    <w:rsid w:val="00932E64"/>
    <w:rsid w:val="00932EB0"/>
    <w:rsid w:val="009330BB"/>
    <w:rsid w:val="009330BE"/>
    <w:rsid w:val="00933188"/>
    <w:rsid w:val="00933227"/>
    <w:rsid w:val="00933396"/>
    <w:rsid w:val="009333C5"/>
    <w:rsid w:val="009334C2"/>
    <w:rsid w:val="00933663"/>
    <w:rsid w:val="009336BC"/>
    <w:rsid w:val="00933758"/>
    <w:rsid w:val="00933834"/>
    <w:rsid w:val="009338BC"/>
    <w:rsid w:val="00933ADC"/>
    <w:rsid w:val="00933B99"/>
    <w:rsid w:val="00933B9A"/>
    <w:rsid w:val="00933BA6"/>
    <w:rsid w:val="00933BE3"/>
    <w:rsid w:val="00933C6F"/>
    <w:rsid w:val="00933C9D"/>
    <w:rsid w:val="00933D45"/>
    <w:rsid w:val="00933E42"/>
    <w:rsid w:val="00933F84"/>
    <w:rsid w:val="00933FBF"/>
    <w:rsid w:val="009340B3"/>
    <w:rsid w:val="009340C3"/>
    <w:rsid w:val="009342EC"/>
    <w:rsid w:val="00934310"/>
    <w:rsid w:val="00934332"/>
    <w:rsid w:val="0093435E"/>
    <w:rsid w:val="00934496"/>
    <w:rsid w:val="00934508"/>
    <w:rsid w:val="00934566"/>
    <w:rsid w:val="00934A8B"/>
    <w:rsid w:val="00934B18"/>
    <w:rsid w:val="00934BA6"/>
    <w:rsid w:val="00934D1C"/>
    <w:rsid w:val="00934DA0"/>
    <w:rsid w:val="00934DDE"/>
    <w:rsid w:val="00934E66"/>
    <w:rsid w:val="00934E72"/>
    <w:rsid w:val="009350BB"/>
    <w:rsid w:val="0093511E"/>
    <w:rsid w:val="00935165"/>
    <w:rsid w:val="0093524B"/>
    <w:rsid w:val="009352FA"/>
    <w:rsid w:val="00935443"/>
    <w:rsid w:val="009354E9"/>
    <w:rsid w:val="009356B4"/>
    <w:rsid w:val="009357DA"/>
    <w:rsid w:val="00935862"/>
    <w:rsid w:val="009358DE"/>
    <w:rsid w:val="00935A9F"/>
    <w:rsid w:val="00935C02"/>
    <w:rsid w:val="00935C1F"/>
    <w:rsid w:val="00935CC2"/>
    <w:rsid w:val="00935E71"/>
    <w:rsid w:val="00935F50"/>
    <w:rsid w:val="00936051"/>
    <w:rsid w:val="009360F4"/>
    <w:rsid w:val="00936102"/>
    <w:rsid w:val="0093617E"/>
    <w:rsid w:val="009362BB"/>
    <w:rsid w:val="009364CF"/>
    <w:rsid w:val="009367AC"/>
    <w:rsid w:val="00936A96"/>
    <w:rsid w:val="00936B10"/>
    <w:rsid w:val="00936E37"/>
    <w:rsid w:val="00937060"/>
    <w:rsid w:val="00937286"/>
    <w:rsid w:val="009372B7"/>
    <w:rsid w:val="00937331"/>
    <w:rsid w:val="00937363"/>
    <w:rsid w:val="009373E1"/>
    <w:rsid w:val="0093764B"/>
    <w:rsid w:val="00937728"/>
    <w:rsid w:val="00937730"/>
    <w:rsid w:val="00937784"/>
    <w:rsid w:val="009377E4"/>
    <w:rsid w:val="009378D4"/>
    <w:rsid w:val="0093790A"/>
    <w:rsid w:val="0093790E"/>
    <w:rsid w:val="00937D4D"/>
    <w:rsid w:val="00937E3D"/>
    <w:rsid w:val="00937E4F"/>
    <w:rsid w:val="00937EFF"/>
    <w:rsid w:val="00937F54"/>
    <w:rsid w:val="00940118"/>
    <w:rsid w:val="00940198"/>
    <w:rsid w:val="00940477"/>
    <w:rsid w:val="0094049A"/>
    <w:rsid w:val="00940507"/>
    <w:rsid w:val="009406B5"/>
    <w:rsid w:val="009406BC"/>
    <w:rsid w:val="009407C9"/>
    <w:rsid w:val="00940834"/>
    <w:rsid w:val="00940923"/>
    <w:rsid w:val="0094093F"/>
    <w:rsid w:val="00940A5D"/>
    <w:rsid w:val="00940AB3"/>
    <w:rsid w:val="00940B53"/>
    <w:rsid w:val="00940D5E"/>
    <w:rsid w:val="009411CF"/>
    <w:rsid w:val="00941435"/>
    <w:rsid w:val="0094143A"/>
    <w:rsid w:val="00941548"/>
    <w:rsid w:val="0094168A"/>
    <w:rsid w:val="00941738"/>
    <w:rsid w:val="0094173D"/>
    <w:rsid w:val="0094177E"/>
    <w:rsid w:val="00941A8A"/>
    <w:rsid w:val="00941AC1"/>
    <w:rsid w:val="00941AD5"/>
    <w:rsid w:val="00941B08"/>
    <w:rsid w:val="00941BFC"/>
    <w:rsid w:val="00941C50"/>
    <w:rsid w:val="00941FC5"/>
    <w:rsid w:val="00942336"/>
    <w:rsid w:val="009423D9"/>
    <w:rsid w:val="00942600"/>
    <w:rsid w:val="0094281D"/>
    <w:rsid w:val="0094291F"/>
    <w:rsid w:val="00942928"/>
    <w:rsid w:val="009429A8"/>
    <w:rsid w:val="00942A01"/>
    <w:rsid w:val="00942AFE"/>
    <w:rsid w:val="00942D3D"/>
    <w:rsid w:val="00942E09"/>
    <w:rsid w:val="00942E19"/>
    <w:rsid w:val="00942E67"/>
    <w:rsid w:val="00943086"/>
    <w:rsid w:val="00943465"/>
    <w:rsid w:val="00943498"/>
    <w:rsid w:val="00943536"/>
    <w:rsid w:val="00943564"/>
    <w:rsid w:val="00943730"/>
    <w:rsid w:val="009437BF"/>
    <w:rsid w:val="0094389D"/>
    <w:rsid w:val="009439AC"/>
    <w:rsid w:val="009439FD"/>
    <w:rsid w:val="00943C7C"/>
    <w:rsid w:val="00943CA3"/>
    <w:rsid w:val="00943D18"/>
    <w:rsid w:val="00943F37"/>
    <w:rsid w:val="0094400D"/>
    <w:rsid w:val="009440AF"/>
    <w:rsid w:val="00944354"/>
    <w:rsid w:val="00944369"/>
    <w:rsid w:val="0094436F"/>
    <w:rsid w:val="009444EF"/>
    <w:rsid w:val="00944552"/>
    <w:rsid w:val="0094457F"/>
    <w:rsid w:val="00944670"/>
    <w:rsid w:val="009446E7"/>
    <w:rsid w:val="009447B4"/>
    <w:rsid w:val="009447C3"/>
    <w:rsid w:val="0094482F"/>
    <w:rsid w:val="00944898"/>
    <w:rsid w:val="009449C3"/>
    <w:rsid w:val="009449F7"/>
    <w:rsid w:val="00944F3B"/>
    <w:rsid w:val="00944FEE"/>
    <w:rsid w:val="00945169"/>
    <w:rsid w:val="009453C4"/>
    <w:rsid w:val="0094546B"/>
    <w:rsid w:val="009457C3"/>
    <w:rsid w:val="00945854"/>
    <w:rsid w:val="009459B6"/>
    <w:rsid w:val="009459C2"/>
    <w:rsid w:val="00945ACF"/>
    <w:rsid w:val="00945B32"/>
    <w:rsid w:val="00945BC4"/>
    <w:rsid w:val="00945C16"/>
    <w:rsid w:val="00945D17"/>
    <w:rsid w:val="00945DCE"/>
    <w:rsid w:val="00945E92"/>
    <w:rsid w:val="00945F79"/>
    <w:rsid w:val="00945F80"/>
    <w:rsid w:val="0094601C"/>
    <w:rsid w:val="00946136"/>
    <w:rsid w:val="009461A6"/>
    <w:rsid w:val="0094651D"/>
    <w:rsid w:val="00946560"/>
    <w:rsid w:val="00946830"/>
    <w:rsid w:val="009468B2"/>
    <w:rsid w:val="009468E2"/>
    <w:rsid w:val="00946B58"/>
    <w:rsid w:val="00946C09"/>
    <w:rsid w:val="00946C17"/>
    <w:rsid w:val="00946C1B"/>
    <w:rsid w:val="00946C2B"/>
    <w:rsid w:val="00946C83"/>
    <w:rsid w:val="00946CC2"/>
    <w:rsid w:val="00946E59"/>
    <w:rsid w:val="00946E80"/>
    <w:rsid w:val="0094740C"/>
    <w:rsid w:val="0094742C"/>
    <w:rsid w:val="009474EF"/>
    <w:rsid w:val="009475D2"/>
    <w:rsid w:val="00947706"/>
    <w:rsid w:val="009477C5"/>
    <w:rsid w:val="009477EB"/>
    <w:rsid w:val="009478DD"/>
    <w:rsid w:val="00947929"/>
    <w:rsid w:val="00947996"/>
    <w:rsid w:val="00947A08"/>
    <w:rsid w:val="00947AFB"/>
    <w:rsid w:val="00947C87"/>
    <w:rsid w:val="00947DA2"/>
    <w:rsid w:val="00947F01"/>
    <w:rsid w:val="00950064"/>
    <w:rsid w:val="00950083"/>
    <w:rsid w:val="00950131"/>
    <w:rsid w:val="0095023D"/>
    <w:rsid w:val="00950293"/>
    <w:rsid w:val="009502B9"/>
    <w:rsid w:val="00950300"/>
    <w:rsid w:val="0095045D"/>
    <w:rsid w:val="00950749"/>
    <w:rsid w:val="0095076E"/>
    <w:rsid w:val="009507C2"/>
    <w:rsid w:val="0095081D"/>
    <w:rsid w:val="00950CCB"/>
    <w:rsid w:val="00950D98"/>
    <w:rsid w:val="00951071"/>
    <w:rsid w:val="009511F6"/>
    <w:rsid w:val="00951340"/>
    <w:rsid w:val="00951347"/>
    <w:rsid w:val="009513A6"/>
    <w:rsid w:val="009513FB"/>
    <w:rsid w:val="0095149A"/>
    <w:rsid w:val="009514DA"/>
    <w:rsid w:val="009515C0"/>
    <w:rsid w:val="00951674"/>
    <w:rsid w:val="00951711"/>
    <w:rsid w:val="00951737"/>
    <w:rsid w:val="00951760"/>
    <w:rsid w:val="009517F5"/>
    <w:rsid w:val="0095199E"/>
    <w:rsid w:val="009519EA"/>
    <w:rsid w:val="00951A0B"/>
    <w:rsid w:val="00951B81"/>
    <w:rsid w:val="00951C22"/>
    <w:rsid w:val="00951C5A"/>
    <w:rsid w:val="00951C82"/>
    <w:rsid w:val="00951E12"/>
    <w:rsid w:val="00951F9A"/>
    <w:rsid w:val="00952113"/>
    <w:rsid w:val="0095211C"/>
    <w:rsid w:val="00952177"/>
    <w:rsid w:val="00952231"/>
    <w:rsid w:val="009523F6"/>
    <w:rsid w:val="00952558"/>
    <w:rsid w:val="0095278E"/>
    <w:rsid w:val="009527A2"/>
    <w:rsid w:val="00952847"/>
    <w:rsid w:val="00952966"/>
    <w:rsid w:val="00952C73"/>
    <w:rsid w:val="00952E6E"/>
    <w:rsid w:val="00952E73"/>
    <w:rsid w:val="00952EA7"/>
    <w:rsid w:val="00952EE9"/>
    <w:rsid w:val="00952EF0"/>
    <w:rsid w:val="00953050"/>
    <w:rsid w:val="0095308A"/>
    <w:rsid w:val="0095310D"/>
    <w:rsid w:val="009532DC"/>
    <w:rsid w:val="009532F5"/>
    <w:rsid w:val="0095361B"/>
    <w:rsid w:val="0095385B"/>
    <w:rsid w:val="009538AF"/>
    <w:rsid w:val="009538E3"/>
    <w:rsid w:val="009539EC"/>
    <w:rsid w:val="00953ACC"/>
    <w:rsid w:val="00953C48"/>
    <w:rsid w:val="00953F14"/>
    <w:rsid w:val="00953F24"/>
    <w:rsid w:val="00953F78"/>
    <w:rsid w:val="00954078"/>
    <w:rsid w:val="009540D3"/>
    <w:rsid w:val="009544B7"/>
    <w:rsid w:val="0095461E"/>
    <w:rsid w:val="00954687"/>
    <w:rsid w:val="0095485A"/>
    <w:rsid w:val="0095494D"/>
    <w:rsid w:val="00954987"/>
    <w:rsid w:val="009549C3"/>
    <w:rsid w:val="009549F3"/>
    <w:rsid w:val="00954ABA"/>
    <w:rsid w:val="00954CB8"/>
    <w:rsid w:val="00954CD4"/>
    <w:rsid w:val="00954D15"/>
    <w:rsid w:val="00954E3C"/>
    <w:rsid w:val="00954F81"/>
    <w:rsid w:val="00954FF1"/>
    <w:rsid w:val="009552E8"/>
    <w:rsid w:val="009553C8"/>
    <w:rsid w:val="009553CD"/>
    <w:rsid w:val="00955541"/>
    <w:rsid w:val="009557E8"/>
    <w:rsid w:val="009557E9"/>
    <w:rsid w:val="009558E2"/>
    <w:rsid w:val="00955B1D"/>
    <w:rsid w:val="00955CDF"/>
    <w:rsid w:val="00955D0A"/>
    <w:rsid w:val="00955D75"/>
    <w:rsid w:val="00955D9D"/>
    <w:rsid w:val="00955F54"/>
    <w:rsid w:val="0095607C"/>
    <w:rsid w:val="009560C7"/>
    <w:rsid w:val="00956128"/>
    <w:rsid w:val="00956257"/>
    <w:rsid w:val="009562FE"/>
    <w:rsid w:val="009563AC"/>
    <w:rsid w:val="009564C1"/>
    <w:rsid w:val="0095665F"/>
    <w:rsid w:val="00956719"/>
    <w:rsid w:val="009568A7"/>
    <w:rsid w:val="0095690E"/>
    <w:rsid w:val="009569DE"/>
    <w:rsid w:val="00956A9A"/>
    <w:rsid w:val="00956C15"/>
    <w:rsid w:val="00956D6F"/>
    <w:rsid w:val="00956DE1"/>
    <w:rsid w:val="00956DF3"/>
    <w:rsid w:val="00956E5D"/>
    <w:rsid w:val="00956E7A"/>
    <w:rsid w:val="009570D6"/>
    <w:rsid w:val="00957151"/>
    <w:rsid w:val="0095718F"/>
    <w:rsid w:val="009573B4"/>
    <w:rsid w:val="009574CF"/>
    <w:rsid w:val="0095759C"/>
    <w:rsid w:val="009575FB"/>
    <w:rsid w:val="009576FD"/>
    <w:rsid w:val="00957732"/>
    <w:rsid w:val="00957823"/>
    <w:rsid w:val="009578AB"/>
    <w:rsid w:val="009578BD"/>
    <w:rsid w:val="009578F2"/>
    <w:rsid w:val="009579BF"/>
    <w:rsid w:val="00957AB9"/>
    <w:rsid w:val="00957BB7"/>
    <w:rsid w:val="00957EF4"/>
    <w:rsid w:val="00957EFD"/>
    <w:rsid w:val="00957F17"/>
    <w:rsid w:val="00957F8E"/>
    <w:rsid w:val="00957FD5"/>
    <w:rsid w:val="009601A2"/>
    <w:rsid w:val="009601A8"/>
    <w:rsid w:val="00960278"/>
    <w:rsid w:val="0096030D"/>
    <w:rsid w:val="009604EE"/>
    <w:rsid w:val="009604F4"/>
    <w:rsid w:val="0096057B"/>
    <w:rsid w:val="00960632"/>
    <w:rsid w:val="00960667"/>
    <w:rsid w:val="0096085A"/>
    <w:rsid w:val="009608F8"/>
    <w:rsid w:val="00960BFE"/>
    <w:rsid w:val="00960F26"/>
    <w:rsid w:val="009612DA"/>
    <w:rsid w:val="00961423"/>
    <w:rsid w:val="00961766"/>
    <w:rsid w:val="00961771"/>
    <w:rsid w:val="009617BC"/>
    <w:rsid w:val="00961882"/>
    <w:rsid w:val="00961AB7"/>
    <w:rsid w:val="00961D11"/>
    <w:rsid w:val="00961DB1"/>
    <w:rsid w:val="00961EF1"/>
    <w:rsid w:val="009620EE"/>
    <w:rsid w:val="009622A2"/>
    <w:rsid w:val="0096235A"/>
    <w:rsid w:val="009624AA"/>
    <w:rsid w:val="00962595"/>
    <w:rsid w:val="0096265A"/>
    <w:rsid w:val="009627A4"/>
    <w:rsid w:val="00962909"/>
    <w:rsid w:val="009629E8"/>
    <w:rsid w:val="00962AC5"/>
    <w:rsid w:val="00962B45"/>
    <w:rsid w:val="00962BD9"/>
    <w:rsid w:val="00962C7F"/>
    <w:rsid w:val="00962CC6"/>
    <w:rsid w:val="00962F50"/>
    <w:rsid w:val="00963099"/>
    <w:rsid w:val="00963265"/>
    <w:rsid w:val="0096327B"/>
    <w:rsid w:val="00963280"/>
    <w:rsid w:val="00963576"/>
    <w:rsid w:val="009635AA"/>
    <w:rsid w:val="0096377E"/>
    <w:rsid w:val="009637F2"/>
    <w:rsid w:val="0096393A"/>
    <w:rsid w:val="00963975"/>
    <w:rsid w:val="00963A29"/>
    <w:rsid w:val="00963A6A"/>
    <w:rsid w:val="00963C9E"/>
    <w:rsid w:val="00963D24"/>
    <w:rsid w:val="00963D54"/>
    <w:rsid w:val="00963DAB"/>
    <w:rsid w:val="00963E2D"/>
    <w:rsid w:val="00963E98"/>
    <w:rsid w:val="00963EBB"/>
    <w:rsid w:val="00963FAD"/>
    <w:rsid w:val="009641F5"/>
    <w:rsid w:val="0096435E"/>
    <w:rsid w:val="009644AB"/>
    <w:rsid w:val="009644BE"/>
    <w:rsid w:val="009646FD"/>
    <w:rsid w:val="0096472D"/>
    <w:rsid w:val="009647E3"/>
    <w:rsid w:val="009648B3"/>
    <w:rsid w:val="00964B1A"/>
    <w:rsid w:val="00964D07"/>
    <w:rsid w:val="00964D66"/>
    <w:rsid w:val="00964DE4"/>
    <w:rsid w:val="00964E61"/>
    <w:rsid w:val="00964EB5"/>
    <w:rsid w:val="00964F6C"/>
    <w:rsid w:val="00965122"/>
    <w:rsid w:val="00965189"/>
    <w:rsid w:val="009652B8"/>
    <w:rsid w:val="0096541D"/>
    <w:rsid w:val="009654BA"/>
    <w:rsid w:val="00965517"/>
    <w:rsid w:val="00965659"/>
    <w:rsid w:val="009656DB"/>
    <w:rsid w:val="00965728"/>
    <w:rsid w:val="0096581E"/>
    <w:rsid w:val="00965ABC"/>
    <w:rsid w:val="00965D71"/>
    <w:rsid w:val="00965DC1"/>
    <w:rsid w:val="00965E8D"/>
    <w:rsid w:val="00965F1D"/>
    <w:rsid w:val="0096621E"/>
    <w:rsid w:val="009662E0"/>
    <w:rsid w:val="009662FE"/>
    <w:rsid w:val="0096631D"/>
    <w:rsid w:val="0096636E"/>
    <w:rsid w:val="009663DF"/>
    <w:rsid w:val="009663EC"/>
    <w:rsid w:val="00966419"/>
    <w:rsid w:val="0096642A"/>
    <w:rsid w:val="009665C5"/>
    <w:rsid w:val="0096663F"/>
    <w:rsid w:val="00966680"/>
    <w:rsid w:val="00966A3A"/>
    <w:rsid w:val="00966BBF"/>
    <w:rsid w:val="00966BD7"/>
    <w:rsid w:val="00966C1E"/>
    <w:rsid w:val="00966C5C"/>
    <w:rsid w:val="00966CD1"/>
    <w:rsid w:val="00966E45"/>
    <w:rsid w:val="00966E5A"/>
    <w:rsid w:val="00966E66"/>
    <w:rsid w:val="00967167"/>
    <w:rsid w:val="00967333"/>
    <w:rsid w:val="009674F1"/>
    <w:rsid w:val="009675BE"/>
    <w:rsid w:val="009676FF"/>
    <w:rsid w:val="0096780D"/>
    <w:rsid w:val="0096787B"/>
    <w:rsid w:val="00967916"/>
    <w:rsid w:val="00967BDD"/>
    <w:rsid w:val="00967CB6"/>
    <w:rsid w:val="00967D7E"/>
    <w:rsid w:val="00967DFD"/>
    <w:rsid w:val="00967E03"/>
    <w:rsid w:val="00967FEF"/>
    <w:rsid w:val="00970296"/>
    <w:rsid w:val="009703BB"/>
    <w:rsid w:val="009704D4"/>
    <w:rsid w:val="009705AB"/>
    <w:rsid w:val="009706BF"/>
    <w:rsid w:val="0097085A"/>
    <w:rsid w:val="009708B5"/>
    <w:rsid w:val="009708DE"/>
    <w:rsid w:val="00970982"/>
    <w:rsid w:val="009709E2"/>
    <w:rsid w:val="00970A91"/>
    <w:rsid w:val="00970B5A"/>
    <w:rsid w:val="00970BE5"/>
    <w:rsid w:val="00970CE5"/>
    <w:rsid w:val="00970D1D"/>
    <w:rsid w:val="00970E6C"/>
    <w:rsid w:val="00970FD5"/>
    <w:rsid w:val="009711EE"/>
    <w:rsid w:val="0097123E"/>
    <w:rsid w:val="009713AC"/>
    <w:rsid w:val="00971489"/>
    <w:rsid w:val="0097153F"/>
    <w:rsid w:val="00971869"/>
    <w:rsid w:val="00971AA1"/>
    <w:rsid w:val="00971AA9"/>
    <w:rsid w:val="00971B5A"/>
    <w:rsid w:val="00971C85"/>
    <w:rsid w:val="00971F7E"/>
    <w:rsid w:val="009721A2"/>
    <w:rsid w:val="00972284"/>
    <w:rsid w:val="0097247A"/>
    <w:rsid w:val="0097249E"/>
    <w:rsid w:val="0097263A"/>
    <w:rsid w:val="00972804"/>
    <w:rsid w:val="009728FA"/>
    <w:rsid w:val="00972904"/>
    <w:rsid w:val="00972983"/>
    <w:rsid w:val="00972A20"/>
    <w:rsid w:val="00972AF4"/>
    <w:rsid w:val="00972B7E"/>
    <w:rsid w:val="00972DD3"/>
    <w:rsid w:val="00972EC1"/>
    <w:rsid w:val="00973074"/>
    <w:rsid w:val="009731CA"/>
    <w:rsid w:val="00973243"/>
    <w:rsid w:val="00973270"/>
    <w:rsid w:val="009733D2"/>
    <w:rsid w:val="009733E6"/>
    <w:rsid w:val="00973541"/>
    <w:rsid w:val="009735A4"/>
    <w:rsid w:val="0097361C"/>
    <w:rsid w:val="009736AC"/>
    <w:rsid w:val="00973720"/>
    <w:rsid w:val="0097374B"/>
    <w:rsid w:val="009737F3"/>
    <w:rsid w:val="00973A01"/>
    <w:rsid w:val="00973A31"/>
    <w:rsid w:val="00973B4B"/>
    <w:rsid w:val="00973E35"/>
    <w:rsid w:val="00974119"/>
    <w:rsid w:val="009741C6"/>
    <w:rsid w:val="00974228"/>
    <w:rsid w:val="009742DF"/>
    <w:rsid w:val="0097432F"/>
    <w:rsid w:val="00974335"/>
    <w:rsid w:val="00974490"/>
    <w:rsid w:val="009744E1"/>
    <w:rsid w:val="00974599"/>
    <w:rsid w:val="009749AE"/>
    <w:rsid w:val="00974A5A"/>
    <w:rsid w:val="00974BEA"/>
    <w:rsid w:val="00974CD8"/>
    <w:rsid w:val="00974F3F"/>
    <w:rsid w:val="009750E1"/>
    <w:rsid w:val="00975133"/>
    <w:rsid w:val="009752ED"/>
    <w:rsid w:val="00975391"/>
    <w:rsid w:val="0097543D"/>
    <w:rsid w:val="00975585"/>
    <w:rsid w:val="0097559D"/>
    <w:rsid w:val="00975662"/>
    <w:rsid w:val="0097575C"/>
    <w:rsid w:val="009757FF"/>
    <w:rsid w:val="00975824"/>
    <w:rsid w:val="009759EB"/>
    <w:rsid w:val="00975A41"/>
    <w:rsid w:val="00975B94"/>
    <w:rsid w:val="00975C33"/>
    <w:rsid w:val="00975CFE"/>
    <w:rsid w:val="00975D1A"/>
    <w:rsid w:val="00975D50"/>
    <w:rsid w:val="00975DCD"/>
    <w:rsid w:val="00975FB6"/>
    <w:rsid w:val="0097609A"/>
    <w:rsid w:val="0097637E"/>
    <w:rsid w:val="009763B6"/>
    <w:rsid w:val="0097647A"/>
    <w:rsid w:val="0097648D"/>
    <w:rsid w:val="009764BC"/>
    <w:rsid w:val="00976813"/>
    <w:rsid w:val="00976B0A"/>
    <w:rsid w:val="00976B6D"/>
    <w:rsid w:val="00976DAC"/>
    <w:rsid w:val="00976DDE"/>
    <w:rsid w:val="00976F81"/>
    <w:rsid w:val="00976FEA"/>
    <w:rsid w:val="00977056"/>
    <w:rsid w:val="00977065"/>
    <w:rsid w:val="00977084"/>
    <w:rsid w:val="00977257"/>
    <w:rsid w:val="00977331"/>
    <w:rsid w:val="0097734A"/>
    <w:rsid w:val="00977516"/>
    <w:rsid w:val="00977538"/>
    <w:rsid w:val="009778DA"/>
    <w:rsid w:val="00977902"/>
    <w:rsid w:val="00977B53"/>
    <w:rsid w:val="00977C71"/>
    <w:rsid w:val="00977F1A"/>
    <w:rsid w:val="009800DD"/>
    <w:rsid w:val="009802DC"/>
    <w:rsid w:val="00980416"/>
    <w:rsid w:val="00980561"/>
    <w:rsid w:val="009805FA"/>
    <w:rsid w:val="00980663"/>
    <w:rsid w:val="009806DD"/>
    <w:rsid w:val="009806F4"/>
    <w:rsid w:val="009807B9"/>
    <w:rsid w:val="00980A1C"/>
    <w:rsid w:val="00980B5A"/>
    <w:rsid w:val="00980C1A"/>
    <w:rsid w:val="00980D6A"/>
    <w:rsid w:val="00980DDE"/>
    <w:rsid w:val="0098103C"/>
    <w:rsid w:val="0098107D"/>
    <w:rsid w:val="009811BE"/>
    <w:rsid w:val="0098127B"/>
    <w:rsid w:val="00981321"/>
    <w:rsid w:val="0098153B"/>
    <w:rsid w:val="009817EC"/>
    <w:rsid w:val="009819C3"/>
    <w:rsid w:val="00981A0E"/>
    <w:rsid w:val="00981B92"/>
    <w:rsid w:val="00981C87"/>
    <w:rsid w:val="00981D2E"/>
    <w:rsid w:val="00981D37"/>
    <w:rsid w:val="00981E86"/>
    <w:rsid w:val="00981EA1"/>
    <w:rsid w:val="00981FB7"/>
    <w:rsid w:val="00982017"/>
    <w:rsid w:val="009820A6"/>
    <w:rsid w:val="00982144"/>
    <w:rsid w:val="0098216B"/>
    <w:rsid w:val="00982294"/>
    <w:rsid w:val="009822A7"/>
    <w:rsid w:val="00982502"/>
    <w:rsid w:val="00982570"/>
    <w:rsid w:val="00982600"/>
    <w:rsid w:val="00982653"/>
    <w:rsid w:val="009826C4"/>
    <w:rsid w:val="0098277C"/>
    <w:rsid w:val="009827B6"/>
    <w:rsid w:val="009827F9"/>
    <w:rsid w:val="00982828"/>
    <w:rsid w:val="0098298D"/>
    <w:rsid w:val="009829AE"/>
    <w:rsid w:val="00982C26"/>
    <w:rsid w:val="00982C49"/>
    <w:rsid w:val="009830AC"/>
    <w:rsid w:val="00983184"/>
    <w:rsid w:val="00983381"/>
    <w:rsid w:val="009833A4"/>
    <w:rsid w:val="00983434"/>
    <w:rsid w:val="009834D2"/>
    <w:rsid w:val="009837DC"/>
    <w:rsid w:val="009837ED"/>
    <w:rsid w:val="00983855"/>
    <w:rsid w:val="00983889"/>
    <w:rsid w:val="00983A75"/>
    <w:rsid w:val="00983A7D"/>
    <w:rsid w:val="00983ABA"/>
    <w:rsid w:val="00983C38"/>
    <w:rsid w:val="00983C76"/>
    <w:rsid w:val="00983DD6"/>
    <w:rsid w:val="00983DDE"/>
    <w:rsid w:val="00983EFF"/>
    <w:rsid w:val="00983FC4"/>
    <w:rsid w:val="0098448A"/>
    <w:rsid w:val="009845B6"/>
    <w:rsid w:val="009845D9"/>
    <w:rsid w:val="009845F0"/>
    <w:rsid w:val="00984666"/>
    <w:rsid w:val="00984A54"/>
    <w:rsid w:val="00984ADA"/>
    <w:rsid w:val="00984BBD"/>
    <w:rsid w:val="00984DBA"/>
    <w:rsid w:val="00984E1B"/>
    <w:rsid w:val="00984F97"/>
    <w:rsid w:val="009850C7"/>
    <w:rsid w:val="009850D5"/>
    <w:rsid w:val="009852E5"/>
    <w:rsid w:val="00985339"/>
    <w:rsid w:val="00985964"/>
    <w:rsid w:val="00985992"/>
    <w:rsid w:val="009859AD"/>
    <w:rsid w:val="00985B51"/>
    <w:rsid w:val="00985B58"/>
    <w:rsid w:val="00985CCF"/>
    <w:rsid w:val="00985D31"/>
    <w:rsid w:val="00985DCF"/>
    <w:rsid w:val="00985E5A"/>
    <w:rsid w:val="00985EA8"/>
    <w:rsid w:val="00985F45"/>
    <w:rsid w:val="00985F6C"/>
    <w:rsid w:val="009860B6"/>
    <w:rsid w:val="00986121"/>
    <w:rsid w:val="0098612B"/>
    <w:rsid w:val="0098615C"/>
    <w:rsid w:val="0098633B"/>
    <w:rsid w:val="0098638B"/>
    <w:rsid w:val="009863A3"/>
    <w:rsid w:val="009863E7"/>
    <w:rsid w:val="0098649D"/>
    <w:rsid w:val="009864DA"/>
    <w:rsid w:val="009865DB"/>
    <w:rsid w:val="00986728"/>
    <w:rsid w:val="009867E9"/>
    <w:rsid w:val="00986955"/>
    <w:rsid w:val="009869FA"/>
    <w:rsid w:val="00986AB1"/>
    <w:rsid w:val="00986B10"/>
    <w:rsid w:val="00986CE3"/>
    <w:rsid w:val="00986EB4"/>
    <w:rsid w:val="00986EFB"/>
    <w:rsid w:val="00987056"/>
    <w:rsid w:val="00987202"/>
    <w:rsid w:val="00987271"/>
    <w:rsid w:val="009872AD"/>
    <w:rsid w:val="0098738D"/>
    <w:rsid w:val="009873E6"/>
    <w:rsid w:val="009876BF"/>
    <w:rsid w:val="00987806"/>
    <w:rsid w:val="0098784B"/>
    <w:rsid w:val="00987959"/>
    <w:rsid w:val="00987962"/>
    <w:rsid w:val="009879A7"/>
    <w:rsid w:val="00987A30"/>
    <w:rsid w:val="00987B72"/>
    <w:rsid w:val="00987CD1"/>
    <w:rsid w:val="00987D2E"/>
    <w:rsid w:val="00987DEF"/>
    <w:rsid w:val="00990023"/>
    <w:rsid w:val="009901E7"/>
    <w:rsid w:val="00990208"/>
    <w:rsid w:val="00990221"/>
    <w:rsid w:val="00990270"/>
    <w:rsid w:val="00990290"/>
    <w:rsid w:val="00990292"/>
    <w:rsid w:val="009902AE"/>
    <w:rsid w:val="00990531"/>
    <w:rsid w:val="00990637"/>
    <w:rsid w:val="0099064B"/>
    <w:rsid w:val="009907AC"/>
    <w:rsid w:val="00990805"/>
    <w:rsid w:val="00990824"/>
    <w:rsid w:val="0099099E"/>
    <w:rsid w:val="009909DA"/>
    <w:rsid w:val="00990B6A"/>
    <w:rsid w:val="00990C07"/>
    <w:rsid w:val="00990DDE"/>
    <w:rsid w:val="00990E79"/>
    <w:rsid w:val="0099109C"/>
    <w:rsid w:val="009912E0"/>
    <w:rsid w:val="0099130D"/>
    <w:rsid w:val="00991382"/>
    <w:rsid w:val="00991463"/>
    <w:rsid w:val="00991520"/>
    <w:rsid w:val="009916E5"/>
    <w:rsid w:val="00991712"/>
    <w:rsid w:val="00991ABC"/>
    <w:rsid w:val="00991AF0"/>
    <w:rsid w:val="00991BD6"/>
    <w:rsid w:val="00991BF0"/>
    <w:rsid w:val="00991D30"/>
    <w:rsid w:val="00991D33"/>
    <w:rsid w:val="00991EEC"/>
    <w:rsid w:val="00991F52"/>
    <w:rsid w:val="00991F7A"/>
    <w:rsid w:val="0099205F"/>
    <w:rsid w:val="00992261"/>
    <w:rsid w:val="00992476"/>
    <w:rsid w:val="009924F5"/>
    <w:rsid w:val="009925AC"/>
    <w:rsid w:val="009925B5"/>
    <w:rsid w:val="009925E9"/>
    <w:rsid w:val="0099264D"/>
    <w:rsid w:val="00992670"/>
    <w:rsid w:val="00992676"/>
    <w:rsid w:val="0099269C"/>
    <w:rsid w:val="00992885"/>
    <w:rsid w:val="009928E2"/>
    <w:rsid w:val="0099293B"/>
    <w:rsid w:val="00992999"/>
    <w:rsid w:val="00992A7C"/>
    <w:rsid w:val="00992B44"/>
    <w:rsid w:val="00992B62"/>
    <w:rsid w:val="00992C14"/>
    <w:rsid w:val="00992C48"/>
    <w:rsid w:val="00992D0B"/>
    <w:rsid w:val="00992D6D"/>
    <w:rsid w:val="00992D89"/>
    <w:rsid w:val="00992F3F"/>
    <w:rsid w:val="00993065"/>
    <w:rsid w:val="00993078"/>
    <w:rsid w:val="009932DF"/>
    <w:rsid w:val="00993313"/>
    <w:rsid w:val="00993363"/>
    <w:rsid w:val="0099337C"/>
    <w:rsid w:val="009933EA"/>
    <w:rsid w:val="00993419"/>
    <w:rsid w:val="00993452"/>
    <w:rsid w:val="00993575"/>
    <w:rsid w:val="0099377E"/>
    <w:rsid w:val="00993794"/>
    <w:rsid w:val="00993833"/>
    <w:rsid w:val="00993A0A"/>
    <w:rsid w:val="00993B54"/>
    <w:rsid w:val="00993D69"/>
    <w:rsid w:val="00993DA6"/>
    <w:rsid w:val="00993DCE"/>
    <w:rsid w:val="009941E8"/>
    <w:rsid w:val="009942E1"/>
    <w:rsid w:val="009943CC"/>
    <w:rsid w:val="009943D0"/>
    <w:rsid w:val="00994951"/>
    <w:rsid w:val="00994A0B"/>
    <w:rsid w:val="00994C4A"/>
    <w:rsid w:val="009950EE"/>
    <w:rsid w:val="009950EF"/>
    <w:rsid w:val="0099527F"/>
    <w:rsid w:val="0099538E"/>
    <w:rsid w:val="00995513"/>
    <w:rsid w:val="009955EE"/>
    <w:rsid w:val="0099568C"/>
    <w:rsid w:val="0099569C"/>
    <w:rsid w:val="0099569F"/>
    <w:rsid w:val="00995C0C"/>
    <w:rsid w:val="00995C9E"/>
    <w:rsid w:val="00995D17"/>
    <w:rsid w:val="00995F99"/>
    <w:rsid w:val="00996102"/>
    <w:rsid w:val="0099629A"/>
    <w:rsid w:val="009962C0"/>
    <w:rsid w:val="00996326"/>
    <w:rsid w:val="009964EE"/>
    <w:rsid w:val="00996627"/>
    <w:rsid w:val="009966AB"/>
    <w:rsid w:val="009966D1"/>
    <w:rsid w:val="00996768"/>
    <w:rsid w:val="0099676B"/>
    <w:rsid w:val="0099679D"/>
    <w:rsid w:val="0099684B"/>
    <w:rsid w:val="00996B42"/>
    <w:rsid w:val="00996CD3"/>
    <w:rsid w:val="00996E64"/>
    <w:rsid w:val="00996F3B"/>
    <w:rsid w:val="00996F76"/>
    <w:rsid w:val="0099737A"/>
    <w:rsid w:val="009973AA"/>
    <w:rsid w:val="009974E2"/>
    <w:rsid w:val="009977F1"/>
    <w:rsid w:val="009978D3"/>
    <w:rsid w:val="00997940"/>
    <w:rsid w:val="009979B6"/>
    <w:rsid w:val="00997ABB"/>
    <w:rsid w:val="00997BAD"/>
    <w:rsid w:val="00997BB5"/>
    <w:rsid w:val="00997D2B"/>
    <w:rsid w:val="00997E4C"/>
    <w:rsid w:val="00997FA4"/>
    <w:rsid w:val="00997FAE"/>
    <w:rsid w:val="00997FD5"/>
    <w:rsid w:val="009A0029"/>
    <w:rsid w:val="009A002A"/>
    <w:rsid w:val="009A006E"/>
    <w:rsid w:val="009A0178"/>
    <w:rsid w:val="009A0247"/>
    <w:rsid w:val="009A0254"/>
    <w:rsid w:val="009A02C3"/>
    <w:rsid w:val="009A02ED"/>
    <w:rsid w:val="009A0503"/>
    <w:rsid w:val="009A0555"/>
    <w:rsid w:val="009A05FA"/>
    <w:rsid w:val="009A06A9"/>
    <w:rsid w:val="009A06E4"/>
    <w:rsid w:val="009A0810"/>
    <w:rsid w:val="009A0927"/>
    <w:rsid w:val="009A0A82"/>
    <w:rsid w:val="009A0B8D"/>
    <w:rsid w:val="009A0CA4"/>
    <w:rsid w:val="009A0DA2"/>
    <w:rsid w:val="009A10D4"/>
    <w:rsid w:val="009A10FC"/>
    <w:rsid w:val="009A1281"/>
    <w:rsid w:val="009A1385"/>
    <w:rsid w:val="009A1399"/>
    <w:rsid w:val="009A1434"/>
    <w:rsid w:val="009A14B4"/>
    <w:rsid w:val="009A1869"/>
    <w:rsid w:val="009A195D"/>
    <w:rsid w:val="009A1B04"/>
    <w:rsid w:val="009A1BE2"/>
    <w:rsid w:val="009A1C65"/>
    <w:rsid w:val="009A1EBB"/>
    <w:rsid w:val="009A1F6A"/>
    <w:rsid w:val="009A1F7A"/>
    <w:rsid w:val="009A1F9C"/>
    <w:rsid w:val="009A1FA2"/>
    <w:rsid w:val="009A2004"/>
    <w:rsid w:val="009A2126"/>
    <w:rsid w:val="009A21AD"/>
    <w:rsid w:val="009A2253"/>
    <w:rsid w:val="009A225E"/>
    <w:rsid w:val="009A252C"/>
    <w:rsid w:val="009A2551"/>
    <w:rsid w:val="009A25A9"/>
    <w:rsid w:val="009A2618"/>
    <w:rsid w:val="009A2673"/>
    <w:rsid w:val="009A2745"/>
    <w:rsid w:val="009A2762"/>
    <w:rsid w:val="009A2A7D"/>
    <w:rsid w:val="009A2B50"/>
    <w:rsid w:val="009A2C33"/>
    <w:rsid w:val="009A2D3C"/>
    <w:rsid w:val="009A2D42"/>
    <w:rsid w:val="009A2DC8"/>
    <w:rsid w:val="009A2DE0"/>
    <w:rsid w:val="009A2E53"/>
    <w:rsid w:val="009A2F37"/>
    <w:rsid w:val="009A3068"/>
    <w:rsid w:val="009A30D2"/>
    <w:rsid w:val="009A32EE"/>
    <w:rsid w:val="009A345C"/>
    <w:rsid w:val="009A367C"/>
    <w:rsid w:val="009A3893"/>
    <w:rsid w:val="009A3934"/>
    <w:rsid w:val="009A3963"/>
    <w:rsid w:val="009A3A6E"/>
    <w:rsid w:val="009A3E4A"/>
    <w:rsid w:val="009A3E64"/>
    <w:rsid w:val="009A3F24"/>
    <w:rsid w:val="009A3FE5"/>
    <w:rsid w:val="009A4264"/>
    <w:rsid w:val="009A433C"/>
    <w:rsid w:val="009A4452"/>
    <w:rsid w:val="009A4458"/>
    <w:rsid w:val="009A463B"/>
    <w:rsid w:val="009A4A04"/>
    <w:rsid w:val="009A4A25"/>
    <w:rsid w:val="009A4A80"/>
    <w:rsid w:val="009A4B91"/>
    <w:rsid w:val="009A4EAE"/>
    <w:rsid w:val="009A4F9D"/>
    <w:rsid w:val="009A5022"/>
    <w:rsid w:val="009A503C"/>
    <w:rsid w:val="009A523C"/>
    <w:rsid w:val="009A5321"/>
    <w:rsid w:val="009A5461"/>
    <w:rsid w:val="009A5482"/>
    <w:rsid w:val="009A555D"/>
    <w:rsid w:val="009A58A1"/>
    <w:rsid w:val="009A58D7"/>
    <w:rsid w:val="009A5906"/>
    <w:rsid w:val="009A59BB"/>
    <w:rsid w:val="009A5A58"/>
    <w:rsid w:val="009A5A75"/>
    <w:rsid w:val="009A5B81"/>
    <w:rsid w:val="009A5BBB"/>
    <w:rsid w:val="009A5CE0"/>
    <w:rsid w:val="009A5D07"/>
    <w:rsid w:val="009A5D5C"/>
    <w:rsid w:val="009A61E9"/>
    <w:rsid w:val="009A6250"/>
    <w:rsid w:val="009A62AD"/>
    <w:rsid w:val="009A63EA"/>
    <w:rsid w:val="009A6627"/>
    <w:rsid w:val="009A662A"/>
    <w:rsid w:val="009A6872"/>
    <w:rsid w:val="009A6A61"/>
    <w:rsid w:val="009A6B7F"/>
    <w:rsid w:val="009A6BBC"/>
    <w:rsid w:val="009A6C15"/>
    <w:rsid w:val="009A6D26"/>
    <w:rsid w:val="009A6F67"/>
    <w:rsid w:val="009A70A6"/>
    <w:rsid w:val="009A71C9"/>
    <w:rsid w:val="009A7277"/>
    <w:rsid w:val="009A72CF"/>
    <w:rsid w:val="009A73BC"/>
    <w:rsid w:val="009A7525"/>
    <w:rsid w:val="009A7529"/>
    <w:rsid w:val="009A75FC"/>
    <w:rsid w:val="009A7956"/>
    <w:rsid w:val="009A79C7"/>
    <w:rsid w:val="009A79CF"/>
    <w:rsid w:val="009A7C1A"/>
    <w:rsid w:val="009A7D33"/>
    <w:rsid w:val="009A7D40"/>
    <w:rsid w:val="009A7E28"/>
    <w:rsid w:val="009A7E63"/>
    <w:rsid w:val="009A7F69"/>
    <w:rsid w:val="009B0001"/>
    <w:rsid w:val="009B017B"/>
    <w:rsid w:val="009B0237"/>
    <w:rsid w:val="009B0260"/>
    <w:rsid w:val="009B02A0"/>
    <w:rsid w:val="009B03C1"/>
    <w:rsid w:val="009B0408"/>
    <w:rsid w:val="009B05F3"/>
    <w:rsid w:val="009B06C6"/>
    <w:rsid w:val="009B076B"/>
    <w:rsid w:val="009B07C9"/>
    <w:rsid w:val="009B07F6"/>
    <w:rsid w:val="009B0802"/>
    <w:rsid w:val="009B0A6B"/>
    <w:rsid w:val="009B0AD7"/>
    <w:rsid w:val="009B0AFD"/>
    <w:rsid w:val="009B0E58"/>
    <w:rsid w:val="009B1095"/>
    <w:rsid w:val="009B1102"/>
    <w:rsid w:val="009B12E2"/>
    <w:rsid w:val="009B1351"/>
    <w:rsid w:val="009B1369"/>
    <w:rsid w:val="009B1386"/>
    <w:rsid w:val="009B138A"/>
    <w:rsid w:val="009B1618"/>
    <w:rsid w:val="009B16D6"/>
    <w:rsid w:val="009B18A8"/>
    <w:rsid w:val="009B1915"/>
    <w:rsid w:val="009B1918"/>
    <w:rsid w:val="009B1A7F"/>
    <w:rsid w:val="009B1B92"/>
    <w:rsid w:val="009B1CD4"/>
    <w:rsid w:val="009B1CE6"/>
    <w:rsid w:val="009B1D46"/>
    <w:rsid w:val="009B1ED5"/>
    <w:rsid w:val="009B1EFD"/>
    <w:rsid w:val="009B2114"/>
    <w:rsid w:val="009B2127"/>
    <w:rsid w:val="009B223E"/>
    <w:rsid w:val="009B2517"/>
    <w:rsid w:val="009B2605"/>
    <w:rsid w:val="009B2664"/>
    <w:rsid w:val="009B2681"/>
    <w:rsid w:val="009B284E"/>
    <w:rsid w:val="009B28FB"/>
    <w:rsid w:val="009B2A0E"/>
    <w:rsid w:val="009B2B7C"/>
    <w:rsid w:val="009B2DE6"/>
    <w:rsid w:val="009B2E20"/>
    <w:rsid w:val="009B2E30"/>
    <w:rsid w:val="009B2F66"/>
    <w:rsid w:val="009B310C"/>
    <w:rsid w:val="009B31B2"/>
    <w:rsid w:val="009B32A3"/>
    <w:rsid w:val="009B34DF"/>
    <w:rsid w:val="009B34FF"/>
    <w:rsid w:val="009B353F"/>
    <w:rsid w:val="009B3598"/>
    <w:rsid w:val="009B36D0"/>
    <w:rsid w:val="009B37DB"/>
    <w:rsid w:val="009B3944"/>
    <w:rsid w:val="009B3A3E"/>
    <w:rsid w:val="009B3A69"/>
    <w:rsid w:val="009B3AF3"/>
    <w:rsid w:val="009B3BD3"/>
    <w:rsid w:val="009B3D27"/>
    <w:rsid w:val="009B3D4B"/>
    <w:rsid w:val="009B3DF4"/>
    <w:rsid w:val="009B3E06"/>
    <w:rsid w:val="009B428F"/>
    <w:rsid w:val="009B4377"/>
    <w:rsid w:val="009B43B1"/>
    <w:rsid w:val="009B4412"/>
    <w:rsid w:val="009B4513"/>
    <w:rsid w:val="009B46DA"/>
    <w:rsid w:val="009B4766"/>
    <w:rsid w:val="009B494E"/>
    <w:rsid w:val="009B4ACD"/>
    <w:rsid w:val="009B4AF7"/>
    <w:rsid w:val="009B4B0C"/>
    <w:rsid w:val="009B4F2B"/>
    <w:rsid w:val="009B4F84"/>
    <w:rsid w:val="009B502D"/>
    <w:rsid w:val="009B51CC"/>
    <w:rsid w:val="009B5399"/>
    <w:rsid w:val="009B5414"/>
    <w:rsid w:val="009B5556"/>
    <w:rsid w:val="009B55A8"/>
    <w:rsid w:val="009B56C7"/>
    <w:rsid w:val="009B571D"/>
    <w:rsid w:val="009B5768"/>
    <w:rsid w:val="009B597C"/>
    <w:rsid w:val="009B5B9B"/>
    <w:rsid w:val="009B5CD1"/>
    <w:rsid w:val="009B5D10"/>
    <w:rsid w:val="009B5D98"/>
    <w:rsid w:val="009B5F12"/>
    <w:rsid w:val="009B5F15"/>
    <w:rsid w:val="009B5FCE"/>
    <w:rsid w:val="009B617A"/>
    <w:rsid w:val="009B6303"/>
    <w:rsid w:val="009B63C3"/>
    <w:rsid w:val="009B641F"/>
    <w:rsid w:val="009B650A"/>
    <w:rsid w:val="009B6573"/>
    <w:rsid w:val="009B65B2"/>
    <w:rsid w:val="009B65D3"/>
    <w:rsid w:val="009B65EA"/>
    <w:rsid w:val="009B6673"/>
    <w:rsid w:val="009B68C0"/>
    <w:rsid w:val="009B6971"/>
    <w:rsid w:val="009B698E"/>
    <w:rsid w:val="009B6BF9"/>
    <w:rsid w:val="009B6D7E"/>
    <w:rsid w:val="009B7007"/>
    <w:rsid w:val="009B71BA"/>
    <w:rsid w:val="009B71F5"/>
    <w:rsid w:val="009B72F5"/>
    <w:rsid w:val="009B7376"/>
    <w:rsid w:val="009B7392"/>
    <w:rsid w:val="009B73F3"/>
    <w:rsid w:val="009B741A"/>
    <w:rsid w:val="009B744F"/>
    <w:rsid w:val="009B7592"/>
    <w:rsid w:val="009B7649"/>
    <w:rsid w:val="009B76EF"/>
    <w:rsid w:val="009B77C9"/>
    <w:rsid w:val="009B77EC"/>
    <w:rsid w:val="009B7838"/>
    <w:rsid w:val="009B7935"/>
    <w:rsid w:val="009B798E"/>
    <w:rsid w:val="009B7A8D"/>
    <w:rsid w:val="009B7B0B"/>
    <w:rsid w:val="009B7B4E"/>
    <w:rsid w:val="009B7D9C"/>
    <w:rsid w:val="009B7EAA"/>
    <w:rsid w:val="009B7F54"/>
    <w:rsid w:val="009C0007"/>
    <w:rsid w:val="009C0090"/>
    <w:rsid w:val="009C0173"/>
    <w:rsid w:val="009C019D"/>
    <w:rsid w:val="009C026E"/>
    <w:rsid w:val="009C02BA"/>
    <w:rsid w:val="009C05F7"/>
    <w:rsid w:val="009C0644"/>
    <w:rsid w:val="009C06B9"/>
    <w:rsid w:val="009C06F8"/>
    <w:rsid w:val="009C0796"/>
    <w:rsid w:val="009C07C1"/>
    <w:rsid w:val="009C089A"/>
    <w:rsid w:val="009C09D5"/>
    <w:rsid w:val="009C0A22"/>
    <w:rsid w:val="009C0AA9"/>
    <w:rsid w:val="009C0ADC"/>
    <w:rsid w:val="009C0C66"/>
    <w:rsid w:val="009C0E61"/>
    <w:rsid w:val="009C0E75"/>
    <w:rsid w:val="009C0EF9"/>
    <w:rsid w:val="009C0F51"/>
    <w:rsid w:val="009C1111"/>
    <w:rsid w:val="009C119E"/>
    <w:rsid w:val="009C1271"/>
    <w:rsid w:val="009C12DE"/>
    <w:rsid w:val="009C146F"/>
    <w:rsid w:val="009C14CE"/>
    <w:rsid w:val="009C150E"/>
    <w:rsid w:val="009C1696"/>
    <w:rsid w:val="009C170A"/>
    <w:rsid w:val="009C17C3"/>
    <w:rsid w:val="009C1830"/>
    <w:rsid w:val="009C19DD"/>
    <w:rsid w:val="009C1AFC"/>
    <w:rsid w:val="009C1D40"/>
    <w:rsid w:val="009C1E6C"/>
    <w:rsid w:val="009C1F20"/>
    <w:rsid w:val="009C1F81"/>
    <w:rsid w:val="009C1FC5"/>
    <w:rsid w:val="009C21DF"/>
    <w:rsid w:val="009C22BE"/>
    <w:rsid w:val="009C22F7"/>
    <w:rsid w:val="009C2694"/>
    <w:rsid w:val="009C26E1"/>
    <w:rsid w:val="009C28C9"/>
    <w:rsid w:val="009C29F1"/>
    <w:rsid w:val="009C2A55"/>
    <w:rsid w:val="009C2A76"/>
    <w:rsid w:val="009C2AD0"/>
    <w:rsid w:val="009C2B80"/>
    <w:rsid w:val="009C2C64"/>
    <w:rsid w:val="009C2ED5"/>
    <w:rsid w:val="009C2F2A"/>
    <w:rsid w:val="009C2F58"/>
    <w:rsid w:val="009C2F5F"/>
    <w:rsid w:val="009C2F62"/>
    <w:rsid w:val="009C2F66"/>
    <w:rsid w:val="009C311E"/>
    <w:rsid w:val="009C3200"/>
    <w:rsid w:val="009C329B"/>
    <w:rsid w:val="009C34B2"/>
    <w:rsid w:val="009C34D1"/>
    <w:rsid w:val="009C3565"/>
    <w:rsid w:val="009C3650"/>
    <w:rsid w:val="009C3788"/>
    <w:rsid w:val="009C39B3"/>
    <w:rsid w:val="009C3A87"/>
    <w:rsid w:val="009C3AFA"/>
    <w:rsid w:val="009C3B90"/>
    <w:rsid w:val="009C3B98"/>
    <w:rsid w:val="009C3BAC"/>
    <w:rsid w:val="009C3C3B"/>
    <w:rsid w:val="009C3DAE"/>
    <w:rsid w:val="009C3ED1"/>
    <w:rsid w:val="009C43DF"/>
    <w:rsid w:val="009C4414"/>
    <w:rsid w:val="009C45DE"/>
    <w:rsid w:val="009C46BD"/>
    <w:rsid w:val="009C4701"/>
    <w:rsid w:val="009C47C8"/>
    <w:rsid w:val="009C47DC"/>
    <w:rsid w:val="009C48C8"/>
    <w:rsid w:val="009C4916"/>
    <w:rsid w:val="009C4AFD"/>
    <w:rsid w:val="009C4C57"/>
    <w:rsid w:val="009C4C96"/>
    <w:rsid w:val="009C4DE8"/>
    <w:rsid w:val="009C4FFA"/>
    <w:rsid w:val="009C5077"/>
    <w:rsid w:val="009C507B"/>
    <w:rsid w:val="009C51A6"/>
    <w:rsid w:val="009C523B"/>
    <w:rsid w:val="009C5366"/>
    <w:rsid w:val="009C542C"/>
    <w:rsid w:val="009C55A1"/>
    <w:rsid w:val="009C56A9"/>
    <w:rsid w:val="009C579B"/>
    <w:rsid w:val="009C5929"/>
    <w:rsid w:val="009C5976"/>
    <w:rsid w:val="009C5C27"/>
    <w:rsid w:val="009C5D15"/>
    <w:rsid w:val="009C5D53"/>
    <w:rsid w:val="009C5D7B"/>
    <w:rsid w:val="009C5EF8"/>
    <w:rsid w:val="009C5FEC"/>
    <w:rsid w:val="009C653E"/>
    <w:rsid w:val="009C65BD"/>
    <w:rsid w:val="009C6638"/>
    <w:rsid w:val="009C6760"/>
    <w:rsid w:val="009C67D6"/>
    <w:rsid w:val="009C685D"/>
    <w:rsid w:val="009C6913"/>
    <w:rsid w:val="009C69D2"/>
    <w:rsid w:val="009C6A3A"/>
    <w:rsid w:val="009C6B6E"/>
    <w:rsid w:val="009C6BB5"/>
    <w:rsid w:val="009C6DA7"/>
    <w:rsid w:val="009C6ED8"/>
    <w:rsid w:val="009C6F02"/>
    <w:rsid w:val="009C70CD"/>
    <w:rsid w:val="009C74C4"/>
    <w:rsid w:val="009C7504"/>
    <w:rsid w:val="009C7524"/>
    <w:rsid w:val="009C769D"/>
    <w:rsid w:val="009C7881"/>
    <w:rsid w:val="009C789C"/>
    <w:rsid w:val="009C797E"/>
    <w:rsid w:val="009C7BA9"/>
    <w:rsid w:val="009C7C18"/>
    <w:rsid w:val="009C7F73"/>
    <w:rsid w:val="009D0064"/>
    <w:rsid w:val="009D00D2"/>
    <w:rsid w:val="009D01E6"/>
    <w:rsid w:val="009D01FD"/>
    <w:rsid w:val="009D024A"/>
    <w:rsid w:val="009D027A"/>
    <w:rsid w:val="009D0308"/>
    <w:rsid w:val="009D056E"/>
    <w:rsid w:val="009D05CD"/>
    <w:rsid w:val="009D0714"/>
    <w:rsid w:val="009D0759"/>
    <w:rsid w:val="009D0A09"/>
    <w:rsid w:val="009D0A79"/>
    <w:rsid w:val="009D0A7F"/>
    <w:rsid w:val="009D0ABE"/>
    <w:rsid w:val="009D0B63"/>
    <w:rsid w:val="009D0D48"/>
    <w:rsid w:val="009D0DE0"/>
    <w:rsid w:val="009D11F3"/>
    <w:rsid w:val="009D1466"/>
    <w:rsid w:val="009D14A8"/>
    <w:rsid w:val="009D15C7"/>
    <w:rsid w:val="009D1674"/>
    <w:rsid w:val="009D16BC"/>
    <w:rsid w:val="009D1795"/>
    <w:rsid w:val="009D185A"/>
    <w:rsid w:val="009D198B"/>
    <w:rsid w:val="009D19F4"/>
    <w:rsid w:val="009D1A06"/>
    <w:rsid w:val="009D1A45"/>
    <w:rsid w:val="009D1ADC"/>
    <w:rsid w:val="009D1B62"/>
    <w:rsid w:val="009D1B87"/>
    <w:rsid w:val="009D1BE3"/>
    <w:rsid w:val="009D1EB8"/>
    <w:rsid w:val="009D1FB2"/>
    <w:rsid w:val="009D1FFE"/>
    <w:rsid w:val="009D205D"/>
    <w:rsid w:val="009D217C"/>
    <w:rsid w:val="009D2311"/>
    <w:rsid w:val="009D2494"/>
    <w:rsid w:val="009D24E6"/>
    <w:rsid w:val="009D254A"/>
    <w:rsid w:val="009D2567"/>
    <w:rsid w:val="009D27B5"/>
    <w:rsid w:val="009D27D7"/>
    <w:rsid w:val="009D27EA"/>
    <w:rsid w:val="009D28B2"/>
    <w:rsid w:val="009D28E8"/>
    <w:rsid w:val="009D2956"/>
    <w:rsid w:val="009D2BEF"/>
    <w:rsid w:val="009D2D1E"/>
    <w:rsid w:val="009D2DB6"/>
    <w:rsid w:val="009D2E2E"/>
    <w:rsid w:val="009D2ECF"/>
    <w:rsid w:val="009D2FA1"/>
    <w:rsid w:val="009D2FAA"/>
    <w:rsid w:val="009D2FEC"/>
    <w:rsid w:val="009D3129"/>
    <w:rsid w:val="009D31B7"/>
    <w:rsid w:val="009D33F7"/>
    <w:rsid w:val="009D3463"/>
    <w:rsid w:val="009D34E7"/>
    <w:rsid w:val="009D354B"/>
    <w:rsid w:val="009D357F"/>
    <w:rsid w:val="009D37F0"/>
    <w:rsid w:val="009D383D"/>
    <w:rsid w:val="009D38C4"/>
    <w:rsid w:val="009D38EE"/>
    <w:rsid w:val="009D3AE0"/>
    <w:rsid w:val="009D3CC7"/>
    <w:rsid w:val="009D3F24"/>
    <w:rsid w:val="009D3F90"/>
    <w:rsid w:val="009D3FCF"/>
    <w:rsid w:val="009D41C5"/>
    <w:rsid w:val="009D42B3"/>
    <w:rsid w:val="009D436B"/>
    <w:rsid w:val="009D43D7"/>
    <w:rsid w:val="009D4491"/>
    <w:rsid w:val="009D46CD"/>
    <w:rsid w:val="009D47AA"/>
    <w:rsid w:val="009D48B5"/>
    <w:rsid w:val="009D491D"/>
    <w:rsid w:val="009D495A"/>
    <w:rsid w:val="009D4994"/>
    <w:rsid w:val="009D4A17"/>
    <w:rsid w:val="009D4C93"/>
    <w:rsid w:val="009D4D76"/>
    <w:rsid w:val="009D4DE6"/>
    <w:rsid w:val="009D4FCB"/>
    <w:rsid w:val="009D5167"/>
    <w:rsid w:val="009D5483"/>
    <w:rsid w:val="009D5538"/>
    <w:rsid w:val="009D586B"/>
    <w:rsid w:val="009D592F"/>
    <w:rsid w:val="009D59EC"/>
    <w:rsid w:val="009D5AEB"/>
    <w:rsid w:val="009D5BEF"/>
    <w:rsid w:val="009D5C83"/>
    <w:rsid w:val="009D5D56"/>
    <w:rsid w:val="009D5DB0"/>
    <w:rsid w:val="009D5E08"/>
    <w:rsid w:val="009D5F43"/>
    <w:rsid w:val="009D60B4"/>
    <w:rsid w:val="009D60E5"/>
    <w:rsid w:val="009D6327"/>
    <w:rsid w:val="009D661E"/>
    <w:rsid w:val="009D66FF"/>
    <w:rsid w:val="009D673F"/>
    <w:rsid w:val="009D684E"/>
    <w:rsid w:val="009D69E1"/>
    <w:rsid w:val="009D6AA3"/>
    <w:rsid w:val="009D6B2B"/>
    <w:rsid w:val="009D6B65"/>
    <w:rsid w:val="009D6BE9"/>
    <w:rsid w:val="009D6D5C"/>
    <w:rsid w:val="009D6E5C"/>
    <w:rsid w:val="009D7060"/>
    <w:rsid w:val="009D707E"/>
    <w:rsid w:val="009D7103"/>
    <w:rsid w:val="009D7130"/>
    <w:rsid w:val="009D7221"/>
    <w:rsid w:val="009D72B3"/>
    <w:rsid w:val="009D73DC"/>
    <w:rsid w:val="009D7410"/>
    <w:rsid w:val="009D749A"/>
    <w:rsid w:val="009D74A7"/>
    <w:rsid w:val="009D75E9"/>
    <w:rsid w:val="009D781D"/>
    <w:rsid w:val="009D7896"/>
    <w:rsid w:val="009D79F9"/>
    <w:rsid w:val="009D7AD6"/>
    <w:rsid w:val="009D7C2A"/>
    <w:rsid w:val="009D7D08"/>
    <w:rsid w:val="009D7F4D"/>
    <w:rsid w:val="009D7FDC"/>
    <w:rsid w:val="009E014A"/>
    <w:rsid w:val="009E0246"/>
    <w:rsid w:val="009E0304"/>
    <w:rsid w:val="009E0543"/>
    <w:rsid w:val="009E054E"/>
    <w:rsid w:val="009E05B0"/>
    <w:rsid w:val="009E06AE"/>
    <w:rsid w:val="009E073F"/>
    <w:rsid w:val="009E078A"/>
    <w:rsid w:val="009E092F"/>
    <w:rsid w:val="009E099B"/>
    <w:rsid w:val="009E0A69"/>
    <w:rsid w:val="009E0B62"/>
    <w:rsid w:val="009E0BB5"/>
    <w:rsid w:val="009E0DB4"/>
    <w:rsid w:val="009E0DDD"/>
    <w:rsid w:val="009E0F48"/>
    <w:rsid w:val="009E0FED"/>
    <w:rsid w:val="009E100C"/>
    <w:rsid w:val="009E13A9"/>
    <w:rsid w:val="009E17FF"/>
    <w:rsid w:val="009E1846"/>
    <w:rsid w:val="009E194E"/>
    <w:rsid w:val="009E19DC"/>
    <w:rsid w:val="009E1A56"/>
    <w:rsid w:val="009E1B6D"/>
    <w:rsid w:val="009E1CA8"/>
    <w:rsid w:val="009E1D33"/>
    <w:rsid w:val="009E1DBC"/>
    <w:rsid w:val="009E1DC1"/>
    <w:rsid w:val="009E2167"/>
    <w:rsid w:val="009E2238"/>
    <w:rsid w:val="009E234E"/>
    <w:rsid w:val="009E23F3"/>
    <w:rsid w:val="009E241E"/>
    <w:rsid w:val="009E25CA"/>
    <w:rsid w:val="009E2660"/>
    <w:rsid w:val="009E273A"/>
    <w:rsid w:val="009E28D0"/>
    <w:rsid w:val="009E28F3"/>
    <w:rsid w:val="009E293A"/>
    <w:rsid w:val="009E2AA9"/>
    <w:rsid w:val="009E2BAE"/>
    <w:rsid w:val="009E2C5F"/>
    <w:rsid w:val="009E2CCA"/>
    <w:rsid w:val="009E2E9B"/>
    <w:rsid w:val="009E2F61"/>
    <w:rsid w:val="009E30D9"/>
    <w:rsid w:val="009E3242"/>
    <w:rsid w:val="009E340F"/>
    <w:rsid w:val="009E38FA"/>
    <w:rsid w:val="009E392E"/>
    <w:rsid w:val="009E3D0D"/>
    <w:rsid w:val="009E3EE3"/>
    <w:rsid w:val="009E405E"/>
    <w:rsid w:val="009E4258"/>
    <w:rsid w:val="009E42F3"/>
    <w:rsid w:val="009E4481"/>
    <w:rsid w:val="009E45C0"/>
    <w:rsid w:val="009E4647"/>
    <w:rsid w:val="009E4756"/>
    <w:rsid w:val="009E4765"/>
    <w:rsid w:val="009E483D"/>
    <w:rsid w:val="009E4AAA"/>
    <w:rsid w:val="009E4ACB"/>
    <w:rsid w:val="009E4B02"/>
    <w:rsid w:val="009E4B51"/>
    <w:rsid w:val="009E4B8F"/>
    <w:rsid w:val="009E4BB8"/>
    <w:rsid w:val="009E4DC0"/>
    <w:rsid w:val="009E4E36"/>
    <w:rsid w:val="009E4EB6"/>
    <w:rsid w:val="009E4ECF"/>
    <w:rsid w:val="009E4F07"/>
    <w:rsid w:val="009E4F87"/>
    <w:rsid w:val="009E5113"/>
    <w:rsid w:val="009E5290"/>
    <w:rsid w:val="009E5456"/>
    <w:rsid w:val="009E54E5"/>
    <w:rsid w:val="009E5520"/>
    <w:rsid w:val="009E55A0"/>
    <w:rsid w:val="009E5648"/>
    <w:rsid w:val="009E573E"/>
    <w:rsid w:val="009E5901"/>
    <w:rsid w:val="009E593F"/>
    <w:rsid w:val="009E5AB6"/>
    <w:rsid w:val="009E5B2B"/>
    <w:rsid w:val="009E5B3E"/>
    <w:rsid w:val="009E5D98"/>
    <w:rsid w:val="009E627A"/>
    <w:rsid w:val="009E63BD"/>
    <w:rsid w:val="009E6488"/>
    <w:rsid w:val="009E6515"/>
    <w:rsid w:val="009E655D"/>
    <w:rsid w:val="009E657E"/>
    <w:rsid w:val="009E686B"/>
    <w:rsid w:val="009E68CE"/>
    <w:rsid w:val="009E6969"/>
    <w:rsid w:val="009E696B"/>
    <w:rsid w:val="009E6C3A"/>
    <w:rsid w:val="009E6CC4"/>
    <w:rsid w:val="009E6D3F"/>
    <w:rsid w:val="009E6D85"/>
    <w:rsid w:val="009E6EFA"/>
    <w:rsid w:val="009E6F5A"/>
    <w:rsid w:val="009E6F83"/>
    <w:rsid w:val="009E6FFD"/>
    <w:rsid w:val="009E711B"/>
    <w:rsid w:val="009E7147"/>
    <w:rsid w:val="009E7231"/>
    <w:rsid w:val="009E72CE"/>
    <w:rsid w:val="009E7313"/>
    <w:rsid w:val="009E743D"/>
    <w:rsid w:val="009E754E"/>
    <w:rsid w:val="009E755D"/>
    <w:rsid w:val="009E7576"/>
    <w:rsid w:val="009E7663"/>
    <w:rsid w:val="009E76FF"/>
    <w:rsid w:val="009E7727"/>
    <w:rsid w:val="009E777B"/>
    <w:rsid w:val="009E7898"/>
    <w:rsid w:val="009E79B8"/>
    <w:rsid w:val="009E79E0"/>
    <w:rsid w:val="009E79E7"/>
    <w:rsid w:val="009E7C39"/>
    <w:rsid w:val="009E7C76"/>
    <w:rsid w:val="009E7D6B"/>
    <w:rsid w:val="009E7D7F"/>
    <w:rsid w:val="009E7DA4"/>
    <w:rsid w:val="009E7E98"/>
    <w:rsid w:val="009E7FDB"/>
    <w:rsid w:val="009F0011"/>
    <w:rsid w:val="009F001F"/>
    <w:rsid w:val="009F0028"/>
    <w:rsid w:val="009F00EA"/>
    <w:rsid w:val="009F012B"/>
    <w:rsid w:val="009F019F"/>
    <w:rsid w:val="009F0260"/>
    <w:rsid w:val="009F04A3"/>
    <w:rsid w:val="009F0504"/>
    <w:rsid w:val="009F0A6D"/>
    <w:rsid w:val="009F0ACD"/>
    <w:rsid w:val="009F0BB3"/>
    <w:rsid w:val="009F0E2F"/>
    <w:rsid w:val="009F0F99"/>
    <w:rsid w:val="009F0FB2"/>
    <w:rsid w:val="009F10F4"/>
    <w:rsid w:val="009F12DD"/>
    <w:rsid w:val="009F137B"/>
    <w:rsid w:val="009F1404"/>
    <w:rsid w:val="009F147F"/>
    <w:rsid w:val="009F1663"/>
    <w:rsid w:val="009F166D"/>
    <w:rsid w:val="009F179B"/>
    <w:rsid w:val="009F17CE"/>
    <w:rsid w:val="009F1826"/>
    <w:rsid w:val="009F1884"/>
    <w:rsid w:val="009F188D"/>
    <w:rsid w:val="009F1897"/>
    <w:rsid w:val="009F1965"/>
    <w:rsid w:val="009F1A09"/>
    <w:rsid w:val="009F1A96"/>
    <w:rsid w:val="009F1B9D"/>
    <w:rsid w:val="009F1C31"/>
    <w:rsid w:val="009F1D47"/>
    <w:rsid w:val="009F1E81"/>
    <w:rsid w:val="009F1F22"/>
    <w:rsid w:val="009F1F5A"/>
    <w:rsid w:val="009F2002"/>
    <w:rsid w:val="009F208C"/>
    <w:rsid w:val="009F2241"/>
    <w:rsid w:val="009F2385"/>
    <w:rsid w:val="009F23D8"/>
    <w:rsid w:val="009F23DC"/>
    <w:rsid w:val="009F249C"/>
    <w:rsid w:val="009F24A5"/>
    <w:rsid w:val="009F25BD"/>
    <w:rsid w:val="009F26A6"/>
    <w:rsid w:val="009F2931"/>
    <w:rsid w:val="009F29E9"/>
    <w:rsid w:val="009F2A84"/>
    <w:rsid w:val="009F2B16"/>
    <w:rsid w:val="009F2C8C"/>
    <w:rsid w:val="009F2D25"/>
    <w:rsid w:val="009F2DFB"/>
    <w:rsid w:val="009F30B9"/>
    <w:rsid w:val="009F3110"/>
    <w:rsid w:val="009F3113"/>
    <w:rsid w:val="009F312F"/>
    <w:rsid w:val="009F3181"/>
    <w:rsid w:val="009F3191"/>
    <w:rsid w:val="009F32CE"/>
    <w:rsid w:val="009F33B8"/>
    <w:rsid w:val="009F3479"/>
    <w:rsid w:val="009F34A9"/>
    <w:rsid w:val="009F35A5"/>
    <w:rsid w:val="009F38E3"/>
    <w:rsid w:val="009F392A"/>
    <w:rsid w:val="009F398F"/>
    <w:rsid w:val="009F3AF7"/>
    <w:rsid w:val="009F3B5D"/>
    <w:rsid w:val="009F3B73"/>
    <w:rsid w:val="009F3B84"/>
    <w:rsid w:val="009F3BDE"/>
    <w:rsid w:val="009F3E69"/>
    <w:rsid w:val="009F3E74"/>
    <w:rsid w:val="009F3FA3"/>
    <w:rsid w:val="009F4023"/>
    <w:rsid w:val="009F440E"/>
    <w:rsid w:val="009F4417"/>
    <w:rsid w:val="009F4455"/>
    <w:rsid w:val="009F45FC"/>
    <w:rsid w:val="009F4613"/>
    <w:rsid w:val="009F4A32"/>
    <w:rsid w:val="009F4B33"/>
    <w:rsid w:val="009F4BC5"/>
    <w:rsid w:val="009F4E76"/>
    <w:rsid w:val="009F518E"/>
    <w:rsid w:val="009F51AF"/>
    <w:rsid w:val="009F523D"/>
    <w:rsid w:val="009F527D"/>
    <w:rsid w:val="009F52C3"/>
    <w:rsid w:val="009F52D8"/>
    <w:rsid w:val="009F53EF"/>
    <w:rsid w:val="009F544E"/>
    <w:rsid w:val="009F5467"/>
    <w:rsid w:val="009F54C2"/>
    <w:rsid w:val="009F55C7"/>
    <w:rsid w:val="009F56AE"/>
    <w:rsid w:val="009F56B6"/>
    <w:rsid w:val="009F57A8"/>
    <w:rsid w:val="009F57FD"/>
    <w:rsid w:val="009F5822"/>
    <w:rsid w:val="009F5895"/>
    <w:rsid w:val="009F58F7"/>
    <w:rsid w:val="009F594F"/>
    <w:rsid w:val="009F5970"/>
    <w:rsid w:val="009F5978"/>
    <w:rsid w:val="009F59DA"/>
    <w:rsid w:val="009F5A2C"/>
    <w:rsid w:val="009F5C01"/>
    <w:rsid w:val="009F5DA0"/>
    <w:rsid w:val="009F5E46"/>
    <w:rsid w:val="009F5EF4"/>
    <w:rsid w:val="009F605A"/>
    <w:rsid w:val="009F62E3"/>
    <w:rsid w:val="009F633D"/>
    <w:rsid w:val="009F649A"/>
    <w:rsid w:val="009F6506"/>
    <w:rsid w:val="009F651F"/>
    <w:rsid w:val="009F658E"/>
    <w:rsid w:val="009F65A6"/>
    <w:rsid w:val="009F6606"/>
    <w:rsid w:val="009F6832"/>
    <w:rsid w:val="009F6850"/>
    <w:rsid w:val="009F6966"/>
    <w:rsid w:val="009F6C3B"/>
    <w:rsid w:val="009F6CAD"/>
    <w:rsid w:val="009F6CFC"/>
    <w:rsid w:val="009F6E39"/>
    <w:rsid w:val="009F6E7E"/>
    <w:rsid w:val="009F6F41"/>
    <w:rsid w:val="009F703A"/>
    <w:rsid w:val="009F7047"/>
    <w:rsid w:val="009F7077"/>
    <w:rsid w:val="009F72C5"/>
    <w:rsid w:val="009F7329"/>
    <w:rsid w:val="009F7633"/>
    <w:rsid w:val="009F765E"/>
    <w:rsid w:val="009F76DC"/>
    <w:rsid w:val="009F77AE"/>
    <w:rsid w:val="009F77B4"/>
    <w:rsid w:val="009F781F"/>
    <w:rsid w:val="009F7926"/>
    <w:rsid w:val="009F7A2C"/>
    <w:rsid w:val="009F7A50"/>
    <w:rsid w:val="009F7A72"/>
    <w:rsid w:val="009F7B99"/>
    <w:rsid w:val="009F7BA1"/>
    <w:rsid w:val="009F7CE3"/>
    <w:rsid w:val="009F7CFB"/>
    <w:rsid w:val="009F7E3B"/>
    <w:rsid w:val="009F7EB0"/>
    <w:rsid w:val="009F7EC5"/>
    <w:rsid w:val="009F7EF8"/>
    <w:rsid w:val="009F7F84"/>
    <w:rsid w:val="00A000AD"/>
    <w:rsid w:val="00A001F0"/>
    <w:rsid w:val="00A0026F"/>
    <w:rsid w:val="00A002E8"/>
    <w:rsid w:val="00A004AA"/>
    <w:rsid w:val="00A0050C"/>
    <w:rsid w:val="00A005E3"/>
    <w:rsid w:val="00A00653"/>
    <w:rsid w:val="00A00759"/>
    <w:rsid w:val="00A007A7"/>
    <w:rsid w:val="00A007E6"/>
    <w:rsid w:val="00A00945"/>
    <w:rsid w:val="00A00CDF"/>
    <w:rsid w:val="00A00D0F"/>
    <w:rsid w:val="00A00D17"/>
    <w:rsid w:val="00A00D6B"/>
    <w:rsid w:val="00A01609"/>
    <w:rsid w:val="00A01671"/>
    <w:rsid w:val="00A01774"/>
    <w:rsid w:val="00A017CB"/>
    <w:rsid w:val="00A01865"/>
    <w:rsid w:val="00A018E8"/>
    <w:rsid w:val="00A019E7"/>
    <w:rsid w:val="00A01BE6"/>
    <w:rsid w:val="00A01E04"/>
    <w:rsid w:val="00A01E4E"/>
    <w:rsid w:val="00A01FB1"/>
    <w:rsid w:val="00A0206E"/>
    <w:rsid w:val="00A022E7"/>
    <w:rsid w:val="00A023DD"/>
    <w:rsid w:val="00A0244F"/>
    <w:rsid w:val="00A025F4"/>
    <w:rsid w:val="00A02613"/>
    <w:rsid w:val="00A02719"/>
    <w:rsid w:val="00A0275A"/>
    <w:rsid w:val="00A02794"/>
    <w:rsid w:val="00A029AD"/>
    <w:rsid w:val="00A029C3"/>
    <w:rsid w:val="00A02A3D"/>
    <w:rsid w:val="00A02CC4"/>
    <w:rsid w:val="00A02F30"/>
    <w:rsid w:val="00A02F47"/>
    <w:rsid w:val="00A0308F"/>
    <w:rsid w:val="00A03097"/>
    <w:rsid w:val="00A030C9"/>
    <w:rsid w:val="00A030D0"/>
    <w:rsid w:val="00A031C1"/>
    <w:rsid w:val="00A032B1"/>
    <w:rsid w:val="00A032C8"/>
    <w:rsid w:val="00A034A7"/>
    <w:rsid w:val="00A034E5"/>
    <w:rsid w:val="00A0370A"/>
    <w:rsid w:val="00A03755"/>
    <w:rsid w:val="00A03798"/>
    <w:rsid w:val="00A037A9"/>
    <w:rsid w:val="00A037F6"/>
    <w:rsid w:val="00A038A8"/>
    <w:rsid w:val="00A03916"/>
    <w:rsid w:val="00A03A1D"/>
    <w:rsid w:val="00A03AF0"/>
    <w:rsid w:val="00A03B9C"/>
    <w:rsid w:val="00A03C54"/>
    <w:rsid w:val="00A03C7D"/>
    <w:rsid w:val="00A03D26"/>
    <w:rsid w:val="00A03DA2"/>
    <w:rsid w:val="00A03F36"/>
    <w:rsid w:val="00A041B8"/>
    <w:rsid w:val="00A0429A"/>
    <w:rsid w:val="00A0429B"/>
    <w:rsid w:val="00A04362"/>
    <w:rsid w:val="00A04382"/>
    <w:rsid w:val="00A043BA"/>
    <w:rsid w:val="00A04409"/>
    <w:rsid w:val="00A04587"/>
    <w:rsid w:val="00A0467F"/>
    <w:rsid w:val="00A0481C"/>
    <w:rsid w:val="00A04857"/>
    <w:rsid w:val="00A04859"/>
    <w:rsid w:val="00A048AF"/>
    <w:rsid w:val="00A04A47"/>
    <w:rsid w:val="00A04A86"/>
    <w:rsid w:val="00A04C35"/>
    <w:rsid w:val="00A04C6E"/>
    <w:rsid w:val="00A04CB0"/>
    <w:rsid w:val="00A04D55"/>
    <w:rsid w:val="00A04D82"/>
    <w:rsid w:val="00A04DE4"/>
    <w:rsid w:val="00A04E49"/>
    <w:rsid w:val="00A04F06"/>
    <w:rsid w:val="00A04F42"/>
    <w:rsid w:val="00A04FD0"/>
    <w:rsid w:val="00A04FE9"/>
    <w:rsid w:val="00A0504A"/>
    <w:rsid w:val="00A0520C"/>
    <w:rsid w:val="00A05260"/>
    <w:rsid w:val="00A05268"/>
    <w:rsid w:val="00A05300"/>
    <w:rsid w:val="00A05399"/>
    <w:rsid w:val="00A0547B"/>
    <w:rsid w:val="00A05533"/>
    <w:rsid w:val="00A055C0"/>
    <w:rsid w:val="00A05634"/>
    <w:rsid w:val="00A0572A"/>
    <w:rsid w:val="00A05796"/>
    <w:rsid w:val="00A05809"/>
    <w:rsid w:val="00A05991"/>
    <w:rsid w:val="00A05A03"/>
    <w:rsid w:val="00A05ADF"/>
    <w:rsid w:val="00A05B93"/>
    <w:rsid w:val="00A05D81"/>
    <w:rsid w:val="00A05DE0"/>
    <w:rsid w:val="00A05E7E"/>
    <w:rsid w:val="00A05F15"/>
    <w:rsid w:val="00A05FE8"/>
    <w:rsid w:val="00A06002"/>
    <w:rsid w:val="00A06137"/>
    <w:rsid w:val="00A0622C"/>
    <w:rsid w:val="00A06257"/>
    <w:rsid w:val="00A062BE"/>
    <w:rsid w:val="00A062C3"/>
    <w:rsid w:val="00A0634D"/>
    <w:rsid w:val="00A063A1"/>
    <w:rsid w:val="00A063C4"/>
    <w:rsid w:val="00A064C1"/>
    <w:rsid w:val="00A06699"/>
    <w:rsid w:val="00A06788"/>
    <w:rsid w:val="00A067AB"/>
    <w:rsid w:val="00A067D3"/>
    <w:rsid w:val="00A067DC"/>
    <w:rsid w:val="00A06807"/>
    <w:rsid w:val="00A0695B"/>
    <w:rsid w:val="00A06A6D"/>
    <w:rsid w:val="00A06ACD"/>
    <w:rsid w:val="00A06C8D"/>
    <w:rsid w:val="00A06D4B"/>
    <w:rsid w:val="00A06DEA"/>
    <w:rsid w:val="00A06E0D"/>
    <w:rsid w:val="00A06ECF"/>
    <w:rsid w:val="00A06F96"/>
    <w:rsid w:val="00A0704D"/>
    <w:rsid w:val="00A070E0"/>
    <w:rsid w:val="00A07187"/>
    <w:rsid w:val="00A071E8"/>
    <w:rsid w:val="00A073C8"/>
    <w:rsid w:val="00A0741D"/>
    <w:rsid w:val="00A0742E"/>
    <w:rsid w:val="00A074C9"/>
    <w:rsid w:val="00A07504"/>
    <w:rsid w:val="00A075E8"/>
    <w:rsid w:val="00A07646"/>
    <w:rsid w:val="00A0773C"/>
    <w:rsid w:val="00A07751"/>
    <w:rsid w:val="00A07969"/>
    <w:rsid w:val="00A07A54"/>
    <w:rsid w:val="00A07A63"/>
    <w:rsid w:val="00A07A95"/>
    <w:rsid w:val="00A07AEF"/>
    <w:rsid w:val="00A07B46"/>
    <w:rsid w:val="00A07D24"/>
    <w:rsid w:val="00A07F2B"/>
    <w:rsid w:val="00A07F6D"/>
    <w:rsid w:val="00A10017"/>
    <w:rsid w:val="00A1035B"/>
    <w:rsid w:val="00A10459"/>
    <w:rsid w:val="00A10479"/>
    <w:rsid w:val="00A104A4"/>
    <w:rsid w:val="00A1050B"/>
    <w:rsid w:val="00A10529"/>
    <w:rsid w:val="00A1068A"/>
    <w:rsid w:val="00A107E3"/>
    <w:rsid w:val="00A10809"/>
    <w:rsid w:val="00A109D6"/>
    <w:rsid w:val="00A10A4C"/>
    <w:rsid w:val="00A10ACE"/>
    <w:rsid w:val="00A10B38"/>
    <w:rsid w:val="00A10B77"/>
    <w:rsid w:val="00A10CD4"/>
    <w:rsid w:val="00A10D8A"/>
    <w:rsid w:val="00A11084"/>
    <w:rsid w:val="00A11122"/>
    <w:rsid w:val="00A11346"/>
    <w:rsid w:val="00A11633"/>
    <w:rsid w:val="00A11697"/>
    <w:rsid w:val="00A117F6"/>
    <w:rsid w:val="00A11812"/>
    <w:rsid w:val="00A1184C"/>
    <w:rsid w:val="00A11988"/>
    <w:rsid w:val="00A119E4"/>
    <w:rsid w:val="00A11A21"/>
    <w:rsid w:val="00A11B3A"/>
    <w:rsid w:val="00A11F21"/>
    <w:rsid w:val="00A1203B"/>
    <w:rsid w:val="00A1213A"/>
    <w:rsid w:val="00A12160"/>
    <w:rsid w:val="00A125A7"/>
    <w:rsid w:val="00A1269D"/>
    <w:rsid w:val="00A126DC"/>
    <w:rsid w:val="00A127DA"/>
    <w:rsid w:val="00A128E1"/>
    <w:rsid w:val="00A12933"/>
    <w:rsid w:val="00A12A12"/>
    <w:rsid w:val="00A12B56"/>
    <w:rsid w:val="00A12C5B"/>
    <w:rsid w:val="00A12C77"/>
    <w:rsid w:val="00A1306C"/>
    <w:rsid w:val="00A1309E"/>
    <w:rsid w:val="00A131A1"/>
    <w:rsid w:val="00A132DD"/>
    <w:rsid w:val="00A13349"/>
    <w:rsid w:val="00A1334B"/>
    <w:rsid w:val="00A13372"/>
    <w:rsid w:val="00A134EC"/>
    <w:rsid w:val="00A136C0"/>
    <w:rsid w:val="00A137EE"/>
    <w:rsid w:val="00A13819"/>
    <w:rsid w:val="00A139BB"/>
    <w:rsid w:val="00A13A45"/>
    <w:rsid w:val="00A13ED7"/>
    <w:rsid w:val="00A13EF7"/>
    <w:rsid w:val="00A13FE9"/>
    <w:rsid w:val="00A14148"/>
    <w:rsid w:val="00A1415B"/>
    <w:rsid w:val="00A1417A"/>
    <w:rsid w:val="00A14207"/>
    <w:rsid w:val="00A14325"/>
    <w:rsid w:val="00A14453"/>
    <w:rsid w:val="00A14668"/>
    <w:rsid w:val="00A14822"/>
    <w:rsid w:val="00A14891"/>
    <w:rsid w:val="00A14902"/>
    <w:rsid w:val="00A14A62"/>
    <w:rsid w:val="00A14BD6"/>
    <w:rsid w:val="00A14D12"/>
    <w:rsid w:val="00A14E21"/>
    <w:rsid w:val="00A14EBA"/>
    <w:rsid w:val="00A15055"/>
    <w:rsid w:val="00A150BE"/>
    <w:rsid w:val="00A15139"/>
    <w:rsid w:val="00A1516A"/>
    <w:rsid w:val="00A151F1"/>
    <w:rsid w:val="00A1544D"/>
    <w:rsid w:val="00A1544F"/>
    <w:rsid w:val="00A1557E"/>
    <w:rsid w:val="00A155A3"/>
    <w:rsid w:val="00A1578E"/>
    <w:rsid w:val="00A157D2"/>
    <w:rsid w:val="00A158F5"/>
    <w:rsid w:val="00A15993"/>
    <w:rsid w:val="00A15A5A"/>
    <w:rsid w:val="00A15B01"/>
    <w:rsid w:val="00A15B3B"/>
    <w:rsid w:val="00A15E42"/>
    <w:rsid w:val="00A15E5E"/>
    <w:rsid w:val="00A160B6"/>
    <w:rsid w:val="00A16193"/>
    <w:rsid w:val="00A161DC"/>
    <w:rsid w:val="00A16254"/>
    <w:rsid w:val="00A1632F"/>
    <w:rsid w:val="00A163C4"/>
    <w:rsid w:val="00A16427"/>
    <w:rsid w:val="00A165F7"/>
    <w:rsid w:val="00A165F9"/>
    <w:rsid w:val="00A16610"/>
    <w:rsid w:val="00A16807"/>
    <w:rsid w:val="00A16979"/>
    <w:rsid w:val="00A16AAE"/>
    <w:rsid w:val="00A16ABC"/>
    <w:rsid w:val="00A16AF6"/>
    <w:rsid w:val="00A16DAD"/>
    <w:rsid w:val="00A16F74"/>
    <w:rsid w:val="00A1719E"/>
    <w:rsid w:val="00A17220"/>
    <w:rsid w:val="00A17236"/>
    <w:rsid w:val="00A172BF"/>
    <w:rsid w:val="00A17555"/>
    <w:rsid w:val="00A175C1"/>
    <w:rsid w:val="00A17604"/>
    <w:rsid w:val="00A176D5"/>
    <w:rsid w:val="00A1772C"/>
    <w:rsid w:val="00A17860"/>
    <w:rsid w:val="00A178DA"/>
    <w:rsid w:val="00A178F6"/>
    <w:rsid w:val="00A179FC"/>
    <w:rsid w:val="00A17BFB"/>
    <w:rsid w:val="00A17CF1"/>
    <w:rsid w:val="00A2000D"/>
    <w:rsid w:val="00A20168"/>
    <w:rsid w:val="00A20191"/>
    <w:rsid w:val="00A201FB"/>
    <w:rsid w:val="00A20537"/>
    <w:rsid w:val="00A209B2"/>
    <w:rsid w:val="00A209F8"/>
    <w:rsid w:val="00A20A89"/>
    <w:rsid w:val="00A20AA2"/>
    <w:rsid w:val="00A20D19"/>
    <w:rsid w:val="00A21027"/>
    <w:rsid w:val="00A210CB"/>
    <w:rsid w:val="00A2116D"/>
    <w:rsid w:val="00A21250"/>
    <w:rsid w:val="00A212AB"/>
    <w:rsid w:val="00A212C0"/>
    <w:rsid w:val="00A212FD"/>
    <w:rsid w:val="00A2133C"/>
    <w:rsid w:val="00A21391"/>
    <w:rsid w:val="00A214F7"/>
    <w:rsid w:val="00A21541"/>
    <w:rsid w:val="00A21559"/>
    <w:rsid w:val="00A21690"/>
    <w:rsid w:val="00A216B0"/>
    <w:rsid w:val="00A21726"/>
    <w:rsid w:val="00A2196A"/>
    <w:rsid w:val="00A219EA"/>
    <w:rsid w:val="00A21D30"/>
    <w:rsid w:val="00A21DCC"/>
    <w:rsid w:val="00A21F2F"/>
    <w:rsid w:val="00A220B1"/>
    <w:rsid w:val="00A2213F"/>
    <w:rsid w:val="00A222D4"/>
    <w:rsid w:val="00A2231B"/>
    <w:rsid w:val="00A2231E"/>
    <w:rsid w:val="00A2271B"/>
    <w:rsid w:val="00A22AD6"/>
    <w:rsid w:val="00A22AF5"/>
    <w:rsid w:val="00A22B8C"/>
    <w:rsid w:val="00A22BA2"/>
    <w:rsid w:val="00A22CB3"/>
    <w:rsid w:val="00A22D3C"/>
    <w:rsid w:val="00A23087"/>
    <w:rsid w:val="00A23101"/>
    <w:rsid w:val="00A231D1"/>
    <w:rsid w:val="00A231DA"/>
    <w:rsid w:val="00A232FC"/>
    <w:rsid w:val="00A233E2"/>
    <w:rsid w:val="00A234F2"/>
    <w:rsid w:val="00A23514"/>
    <w:rsid w:val="00A23628"/>
    <w:rsid w:val="00A236CB"/>
    <w:rsid w:val="00A236EE"/>
    <w:rsid w:val="00A237A4"/>
    <w:rsid w:val="00A23991"/>
    <w:rsid w:val="00A23ADD"/>
    <w:rsid w:val="00A23B1D"/>
    <w:rsid w:val="00A23DC4"/>
    <w:rsid w:val="00A23FCB"/>
    <w:rsid w:val="00A240E8"/>
    <w:rsid w:val="00A240EE"/>
    <w:rsid w:val="00A2416A"/>
    <w:rsid w:val="00A24230"/>
    <w:rsid w:val="00A24309"/>
    <w:rsid w:val="00A2437B"/>
    <w:rsid w:val="00A244AF"/>
    <w:rsid w:val="00A2466C"/>
    <w:rsid w:val="00A248FD"/>
    <w:rsid w:val="00A2498E"/>
    <w:rsid w:val="00A24ADB"/>
    <w:rsid w:val="00A24BA0"/>
    <w:rsid w:val="00A24BA1"/>
    <w:rsid w:val="00A24C1D"/>
    <w:rsid w:val="00A24CBF"/>
    <w:rsid w:val="00A24DDC"/>
    <w:rsid w:val="00A25040"/>
    <w:rsid w:val="00A250CE"/>
    <w:rsid w:val="00A2514F"/>
    <w:rsid w:val="00A251DD"/>
    <w:rsid w:val="00A252EC"/>
    <w:rsid w:val="00A252F4"/>
    <w:rsid w:val="00A254EB"/>
    <w:rsid w:val="00A257B8"/>
    <w:rsid w:val="00A257C7"/>
    <w:rsid w:val="00A25896"/>
    <w:rsid w:val="00A25A4A"/>
    <w:rsid w:val="00A25AE2"/>
    <w:rsid w:val="00A25B30"/>
    <w:rsid w:val="00A25BFC"/>
    <w:rsid w:val="00A25E50"/>
    <w:rsid w:val="00A25E9D"/>
    <w:rsid w:val="00A25EFF"/>
    <w:rsid w:val="00A25FEC"/>
    <w:rsid w:val="00A26284"/>
    <w:rsid w:val="00A262EB"/>
    <w:rsid w:val="00A265A4"/>
    <w:rsid w:val="00A265D6"/>
    <w:rsid w:val="00A2664C"/>
    <w:rsid w:val="00A2671A"/>
    <w:rsid w:val="00A26747"/>
    <w:rsid w:val="00A2691B"/>
    <w:rsid w:val="00A26947"/>
    <w:rsid w:val="00A26983"/>
    <w:rsid w:val="00A26ADE"/>
    <w:rsid w:val="00A26C5D"/>
    <w:rsid w:val="00A26C6E"/>
    <w:rsid w:val="00A26D15"/>
    <w:rsid w:val="00A26D90"/>
    <w:rsid w:val="00A26FAC"/>
    <w:rsid w:val="00A27025"/>
    <w:rsid w:val="00A270B4"/>
    <w:rsid w:val="00A271F5"/>
    <w:rsid w:val="00A27239"/>
    <w:rsid w:val="00A27281"/>
    <w:rsid w:val="00A2749F"/>
    <w:rsid w:val="00A274BA"/>
    <w:rsid w:val="00A274C0"/>
    <w:rsid w:val="00A274C1"/>
    <w:rsid w:val="00A274FD"/>
    <w:rsid w:val="00A2759F"/>
    <w:rsid w:val="00A277BE"/>
    <w:rsid w:val="00A27802"/>
    <w:rsid w:val="00A27986"/>
    <w:rsid w:val="00A27B0A"/>
    <w:rsid w:val="00A27D26"/>
    <w:rsid w:val="00A27FB6"/>
    <w:rsid w:val="00A30009"/>
    <w:rsid w:val="00A300E8"/>
    <w:rsid w:val="00A30675"/>
    <w:rsid w:val="00A306F3"/>
    <w:rsid w:val="00A30839"/>
    <w:rsid w:val="00A308D7"/>
    <w:rsid w:val="00A30982"/>
    <w:rsid w:val="00A30A4F"/>
    <w:rsid w:val="00A30AF6"/>
    <w:rsid w:val="00A30B40"/>
    <w:rsid w:val="00A30BA9"/>
    <w:rsid w:val="00A30C1D"/>
    <w:rsid w:val="00A30D2F"/>
    <w:rsid w:val="00A30F3D"/>
    <w:rsid w:val="00A310D9"/>
    <w:rsid w:val="00A310FB"/>
    <w:rsid w:val="00A311CF"/>
    <w:rsid w:val="00A3133A"/>
    <w:rsid w:val="00A314FD"/>
    <w:rsid w:val="00A31635"/>
    <w:rsid w:val="00A31673"/>
    <w:rsid w:val="00A316C4"/>
    <w:rsid w:val="00A31767"/>
    <w:rsid w:val="00A3198C"/>
    <w:rsid w:val="00A319CF"/>
    <w:rsid w:val="00A31AB9"/>
    <w:rsid w:val="00A31B20"/>
    <w:rsid w:val="00A31D0C"/>
    <w:rsid w:val="00A31DA6"/>
    <w:rsid w:val="00A31F51"/>
    <w:rsid w:val="00A3204C"/>
    <w:rsid w:val="00A320BF"/>
    <w:rsid w:val="00A3226B"/>
    <w:rsid w:val="00A3233B"/>
    <w:rsid w:val="00A32347"/>
    <w:rsid w:val="00A3254A"/>
    <w:rsid w:val="00A327BC"/>
    <w:rsid w:val="00A3290A"/>
    <w:rsid w:val="00A32A62"/>
    <w:rsid w:val="00A32BCB"/>
    <w:rsid w:val="00A32C02"/>
    <w:rsid w:val="00A32D17"/>
    <w:rsid w:val="00A32E13"/>
    <w:rsid w:val="00A32E57"/>
    <w:rsid w:val="00A32E60"/>
    <w:rsid w:val="00A32F14"/>
    <w:rsid w:val="00A3302E"/>
    <w:rsid w:val="00A3313E"/>
    <w:rsid w:val="00A331B9"/>
    <w:rsid w:val="00A3327E"/>
    <w:rsid w:val="00A33373"/>
    <w:rsid w:val="00A333F7"/>
    <w:rsid w:val="00A33672"/>
    <w:rsid w:val="00A336E1"/>
    <w:rsid w:val="00A33981"/>
    <w:rsid w:val="00A33BDF"/>
    <w:rsid w:val="00A33C66"/>
    <w:rsid w:val="00A33CCE"/>
    <w:rsid w:val="00A33D14"/>
    <w:rsid w:val="00A33F62"/>
    <w:rsid w:val="00A33F78"/>
    <w:rsid w:val="00A34025"/>
    <w:rsid w:val="00A340C0"/>
    <w:rsid w:val="00A34316"/>
    <w:rsid w:val="00A34346"/>
    <w:rsid w:val="00A34386"/>
    <w:rsid w:val="00A343B3"/>
    <w:rsid w:val="00A3445D"/>
    <w:rsid w:val="00A344DE"/>
    <w:rsid w:val="00A3451A"/>
    <w:rsid w:val="00A34550"/>
    <w:rsid w:val="00A3477A"/>
    <w:rsid w:val="00A347E8"/>
    <w:rsid w:val="00A34858"/>
    <w:rsid w:val="00A348D9"/>
    <w:rsid w:val="00A34915"/>
    <w:rsid w:val="00A3491C"/>
    <w:rsid w:val="00A3497D"/>
    <w:rsid w:val="00A34989"/>
    <w:rsid w:val="00A349BA"/>
    <w:rsid w:val="00A349D9"/>
    <w:rsid w:val="00A34AB2"/>
    <w:rsid w:val="00A34B64"/>
    <w:rsid w:val="00A34BB4"/>
    <w:rsid w:val="00A34CD5"/>
    <w:rsid w:val="00A34CF6"/>
    <w:rsid w:val="00A34DE0"/>
    <w:rsid w:val="00A34E88"/>
    <w:rsid w:val="00A34F86"/>
    <w:rsid w:val="00A34FA2"/>
    <w:rsid w:val="00A34FFC"/>
    <w:rsid w:val="00A35030"/>
    <w:rsid w:val="00A350AC"/>
    <w:rsid w:val="00A350DC"/>
    <w:rsid w:val="00A3511B"/>
    <w:rsid w:val="00A35157"/>
    <w:rsid w:val="00A35206"/>
    <w:rsid w:val="00A352B7"/>
    <w:rsid w:val="00A352FB"/>
    <w:rsid w:val="00A354C7"/>
    <w:rsid w:val="00A354D7"/>
    <w:rsid w:val="00A35512"/>
    <w:rsid w:val="00A35579"/>
    <w:rsid w:val="00A35757"/>
    <w:rsid w:val="00A3582E"/>
    <w:rsid w:val="00A35A3B"/>
    <w:rsid w:val="00A35B32"/>
    <w:rsid w:val="00A35B65"/>
    <w:rsid w:val="00A35BDB"/>
    <w:rsid w:val="00A35D29"/>
    <w:rsid w:val="00A35E16"/>
    <w:rsid w:val="00A35E54"/>
    <w:rsid w:val="00A35F6B"/>
    <w:rsid w:val="00A3602F"/>
    <w:rsid w:val="00A361BA"/>
    <w:rsid w:val="00A36222"/>
    <w:rsid w:val="00A36302"/>
    <w:rsid w:val="00A365F4"/>
    <w:rsid w:val="00A36894"/>
    <w:rsid w:val="00A368D5"/>
    <w:rsid w:val="00A3694F"/>
    <w:rsid w:val="00A36D3D"/>
    <w:rsid w:val="00A36EAB"/>
    <w:rsid w:val="00A36ED6"/>
    <w:rsid w:val="00A36FDF"/>
    <w:rsid w:val="00A37130"/>
    <w:rsid w:val="00A372ED"/>
    <w:rsid w:val="00A37379"/>
    <w:rsid w:val="00A37628"/>
    <w:rsid w:val="00A377AB"/>
    <w:rsid w:val="00A3785E"/>
    <w:rsid w:val="00A379F8"/>
    <w:rsid w:val="00A37B1A"/>
    <w:rsid w:val="00A37B92"/>
    <w:rsid w:val="00A37D94"/>
    <w:rsid w:val="00A37DF9"/>
    <w:rsid w:val="00A37E10"/>
    <w:rsid w:val="00A37F42"/>
    <w:rsid w:val="00A4002A"/>
    <w:rsid w:val="00A40181"/>
    <w:rsid w:val="00A40284"/>
    <w:rsid w:val="00A403DE"/>
    <w:rsid w:val="00A404EE"/>
    <w:rsid w:val="00A40532"/>
    <w:rsid w:val="00A4055F"/>
    <w:rsid w:val="00A40A68"/>
    <w:rsid w:val="00A40B60"/>
    <w:rsid w:val="00A40B64"/>
    <w:rsid w:val="00A40D1D"/>
    <w:rsid w:val="00A40D2F"/>
    <w:rsid w:val="00A40E1B"/>
    <w:rsid w:val="00A40F2A"/>
    <w:rsid w:val="00A41000"/>
    <w:rsid w:val="00A41029"/>
    <w:rsid w:val="00A4136B"/>
    <w:rsid w:val="00A415A5"/>
    <w:rsid w:val="00A416CC"/>
    <w:rsid w:val="00A41773"/>
    <w:rsid w:val="00A417C5"/>
    <w:rsid w:val="00A418AB"/>
    <w:rsid w:val="00A41983"/>
    <w:rsid w:val="00A41A0C"/>
    <w:rsid w:val="00A41A36"/>
    <w:rsid w:val="00A41A57"/>
    <w:rsid w:val="00A41A96"/>
    <w:rsid w:val="00A41AA5"/>
    <w:rsid w:val="00A41BAA"/>
    <w:rsid w:val="00A41DA4"/>
    <w:rsid w:val="00A41E41"/>
    <w:rsid w:val="00A41E74"/>
    <w:rsid w:val="00A41EBB"/>
    <w:rsid w:val="00A41F0B"/>
    <w:rsid w:val="00A41F99"/>
    <w:rsid w:val="00A4203A"/>
    <w:rsid w:val="00A421C4"/>
    <w:rsid w:val="00A422AA"/>
    <w:rsid w:val="00A42396"/>
    <w:rsid w:val="00A4239F"/>
    <w:rsid w:val="00A424D8"/>
    <w:rsid w:val="00A425D2"/>
    <w:rsid w:val="00A427BA"/>
    <w:rsid w:val="00A428FE"/>
    <w:rsid w:val="00A42953"/>
    <w:rsid w:val="00A429B8"/>
    <w:rsid w:val="00A42AD9"/>
    <w:rsid w:val="00A42B51"/>
    <w:rsid w:val="00A42C43"/>
    <w:rsid w:val="00A42C67"/>
    <w:rsid w:val="00A42FB4"/>
    <w:rsid w:val="00A42FD9"/>
    <w:rsid w:val="00A42FEB"/>
    <w:rsid w:val="00A43228"/>
    <w:rsid w:val="00A433CB"/>
    <w:rsid w:val="00A43427"/>
    <w:rsid w:val="00A43549"/>
    <w:rsid w:val="00A43894"/>
    <w:rsid w:val="00A43964"/>
    <w:rsid w:val="00A439EA"/>
    <w:rsid w:val="00A43A9C"/>
    <w:rsid w:val="00A43B52"/>
    <w:rsid w:val="00A43B9F"/>
    <w:rsid w:val="00A43BB7"/>
    <w:rsid w:val="00A43C07"/>
    <w:rsid w:val="00A43DE1"/>
    <w:rsid w:val="00A43E27"/>
    <w:rsid w:val="00A43F2C"/>
    <w:rsid w:val="00A44017"/>
    <w:rsid w:val="00A44089"/>
    <w:rsid w:val="00A4427A"/>
    <w:rsid w:val="00A442DA"/>
    <w:rsid w:val="00A44359"/>
    <w:rsid w:val="00A443D6"/>
    <w:rsid w:val="00A444AE"/>
    <w:rsid w:val="00A444F3"/>
    <w:rsid w:val="00A4455D"/>
    <w:rsid w:val="00A44663"/>
    <w:rsid w:val="00A44D0B"/>
    <w:rsid w:val="00A44D5E"/>
    <w:rsid w:val="00A44E92"/>
    <w:rsid w:val="00A44F25"/>
    <w:rsid w:val="00A44FA8"/>
    <w:rsid w:val="00A44FE2"/>
    <w:rsid w:val="00A4512A"/>
    <w:rsid w:val="00A45147"/>
    <w:rsid w:val="00A45152"/>
    <w:rsid w:val="00A453DF"/>
    <w:rsid w:val="00A4546F"/>
    <w:rsid w:val="00A454E3"/>
    <w:rsid w:val="00A454E4"/>
    <w:rsid w:val="00A45961"/>
    <w:rsid w:val="00A45A34"/>
    <w:rsid w:val="00A45BBA"/>
    <w:rsid w:val="00A45EA9"/>
    <w:rsid w:val="00A45EB7"/>
    <w:rsid w:val="00A46050"/>
    <w:rsid w:val="00A460AF"/>
    <w:rsid w:val="00A461E3"/>
    <w:rsid w:val="00A4657F"/>
    <w:rsid w:val="00A465DF"/>
    <w:rsid w:val="00A465E8"/>
    <w:rsid w:val="00A46625"/>
    <w:rsid w:val="00A466D2"/>
    <w:rsid w:val="00A466E3"/>
    <w:rsid w:val="00A467DC"/>
    <w:rsid w:val="00A46832"/>
    <w:rsid w:val="00A46952"/>
    <w:rsid w:val="00A46BF2"/>
    <w:rsid w:val="00A46CA6"/>
    <w:rsid w:val="00A46CE6"/>
    <w:rsid w:val="00A46DDA"/>
    <w:rsid w:val="00A46E5F"/>
    <w:rsid w:val="00A46F87"/>
    <w:rsid w:val="00A47013"/>
    <w:rsid w:val="00A4704D"/>
    <w:rsid w:val="00A47054"/>
    <w:rsid w:val="00A4716E"/>
    <w:rsid w:val="00A4718B"/>
    <w:rsid w:val="00A472D5"/>
    <w:rsid w:val="00A47334"/>
    <w:rsid w:val="00A47347"/>
    <w:rsid w:val="00A473C2"/>
    <w:rsid w:val="00A473C9"/>
    <w:rsid w:val="00A47557"/>
    <w:rsid w:val="00A475F6"/>
    <w:rsid w:val="00A47777"/>
    <w:rsid w:val="00A47852"/>
    <w:rsid w:val="00A47920"/>
    <w:rsid w:val="00A50002"/>
    <w:rsid w:val="00A50159"/>
    <w:rsid w:val="00A501FA"/>
    <w:rsid w:val="00A5033A"/>
    <w:rsid w:val="00A50360"/>
    <w:rsid w:val="00A50536"/>
    <w:rsid w:val="00A5060D"/>
    <w:rsid w:val="00A50699"/>
    <w:rsid w:val="00A506C9"/>
    <w:rsid w:val="00A50717"/>
    <w:rsid w:val="00A50C70"/>
    <w:rsid w:val="00A50EAC"/>
    <w:rsid w:val="00A50F38"/>
    <w:rsid w:val="00A50F3D"/>
    <w:rsid w:val="00A50FB3"/>
    <w:rsid w:val="00A5101F"/>
    <w:rsid w:val="00A51087"/>
    <w:rsid w:val="00A5108B"/>
    <w:rsid w:val="00A513B7"/>
    <w:rsid w:val="00A514B6"/>
    <w:rsid w:val="00A51534"/>
    <w:rsid w:val="00A51556"/>
    <w:rsid w:val="00A51618"/>
    <w:rsid w:val="00A51670"/>
    <w:rsid w:val="00A51842"/>
    <w:rsid w:val="00A51903"/>
    <w:rsid w:val="00A51904"/>
    <w:rsid w:val="00A51989"/>
    <w:rsid w:val="00A519DB"/>
    <w:rsid w:val="00A51A75"/>
    <w:rsid w:val="00A51B3E"/>
    <w:rsid w:val="00A51FBA"/>
    <w:rsid w:val="00A51FCF"/>
    <w:rsid w:val="00A520B8"/>
    <w:rsid w:val="00A52275"/>
    <w:rsid w:val="00A52545"/>
    <w:rsid w:val="00A5276A"/>
    <w:rsid w:val="00A5278D"/>
    <w:rsid w:val="00A528A6"/>
    <w:rsid w:val="00A52919"/>
    <w:rsid w:val="00A529D7"/>
    <w:rsid w:val="00A52ABC"/>
    <w:rsid w:val="00A52ADB"/>
    <w:rsid w:val="00A52B3E"/>
    <w:rsid w:val="00A52D9D"/>
    <w:rsid w:val="00A52DF1"/>
    <w:rsid w:val="00A52E38"/>
    <w:rsid w:val="00A52F19"/>
    <w:rsid w:val="00A5306D"/>
    <w:rsid w:val="00A530CE"/>
    <w:rsid w:val="00A5325C"/>
    <w:rsid w:val="00A534DE"/>
    <w:rsid w:val="00A535BF"/>
    <w:rsid w:val="00A53794"/>
    <w:rsid w:val="00A5379D"/>
    <w:rsid w:val="00A5395C"/>
    <w:rsid w:val="00A539DF"/>
    <w:rsid w:val="00A53A11"/>
    <w:rsid w:val="00A53A74"/>
    <w:rsid w:val="00A53AA4"/>
    <w:rsid w:val="00A53C4F"/>
    <w:rsid w:val="00A53C61"/>
    <w:rsid w:val="00A53CE5"/>
    <w:rsid w:val="00A53D00"/>
    <w:rsid w:val="00A5421D"/>
    <w:rsid w:val="00A54365"/>
    <w:rsid w:val="00A54376"/>
    <w:rsid w:val="00A54399"/>
    <w:rsid w:val="00A5439A"/>
    <w:rsid w:val="00A5443F"/>
    <w:rsid w:val="00A544D6"/>
    <w:rsid w:val="00A54694"/>
    <w:rsid w:val="00A546DB"/>
    <w:rsid w:val="00A54725"/>
    <w:rsid w:val="00A548AF"/>
    <w:rsid w:val="00A54946"/>
    <w:rsid w:val="00A549BE"/>
    <w:rsid w:val="00A54AF3"/>
    <w:rsid w:val="00A54CE5"/>
    <w:rsid w:val="00A54E5F"/>
    <w:rsid w:val="00A54E9B"/>
    <w:rsid w:val="00A54EA1"/>
    <w:rsid w:val="00A5505D"/>
    <w:rsid w:val="00A550BA"/>
    <w:rsid w:val="00A55186"/>
    <w:rsid w:val="00A551F5"/>
    <w:rsid w:val="00A55311"/>
    <w:rsid w:val="00A55384"/>
    <w:rsid w:val="00A553FA"/>
    <w:rsid w:val="00A55471"/>
    <w:rsid w:val="00A555F8"/>
    <w:rsid w:val="00A5578E"/>
    <w:rsid w:val="00A55859"/>
    <w:rsid w:val="00A558E2"/>
    <w:rsid w:val="00A55D88"/>
    <w:rsid w:val="00A55DF1"/>
    <w:rsid w:val="00A55E19"/>
    <w:rsid w:val="00A55E9B"/>
    <w:rsid w:val="00A56089"/>
    <w:rsid w:val="00A560BC"/>
    <w:rsid w:val="00A5639B"/>
    <w:rsid w:val="00A563EA"/>
    <w:rsid w:val="00A56459"/>
    <w:rsid w:val="00A5647B"/>
    <w:rsid w:val="00A564B7"/>
    <w:rsid w:val="00A565C7"/>
    <w:rsid w:val="00A56624"/>
    <w:rsid w:val="00A56AE3"/>
    <w:rsid w:val="00A56B31"/>
    <w:rsid w:val="00A56C92"/>
    <w:rsid w:val="00A56CD4"/>
    <w:rsid w:val="00A56F71"/>
    <w:rsid w:val="00A56F73"/>
    <w:rsid w:val="00A57072"/>
    <w:rsid w:val="00A570A3"/>
    <w:rsid w:val="00A571DD"/>
    <w:rsid w:val="00A5725D"/>
    <w:rsid w:val="00A57273"/>
    <w:rsid w:val="00A572E0"/>
    <w:rsid w:val="00A5730A"/>
    <w:rsid w:val="00A574B3"/>
    <w:rsid w:val="00A576AE"/>
    <w:rsid w:val="00A57738"/>
    <w:rsid w:val="00A57C1A"/>
    <w:rsid w:val="00A57C39"/>
    <w:rsid w:val="00A57CBE"/>
    <w:rsid w:val="00A57F27"/>
    <w:rsid w:val="00A57FBB"/>
    <w:rsid w:val="00A6015C"/>
    <w:rsid w:val="00A60243"/>
    <w:rsid w:val="00A602D4"/>
    <w:rsid w:val="00A602FE"/>
    <w:rsid w:val="00A6031C"/>
    <w:rsid w:val="00A6034B"/>
    <w:rsid w:val="00A6036D"/>
    <w:rsid w:val="00A6045E"/>
    <w:rsid w:val="00A604DD"/>
    <w:rsid w:val="00A605DA"/>
    <w:rsid w:val="00A60682"/>
    <w:rsid w:val="00A606D3"/>
    <w:rsid w:val="00A60721"/>
    <w:rsid w:val="00A609B2"/>
    <w:rsid w:val="00A60CCC"/>
    <w:rsid w:val="00A60EDB"/>
    <w:rsid w:val="00A60FBE"/>
    <w:rsid w:val="00A61139"/>
    <w:rsid w:val="00A61196"/>
    <w:rsid w:val="00A61204"/>
    <w:rsid w:val="00A61222"/>
    <w:rsid w:val="00A61680"/>
    <w:rsid w:val="00A616CA"/>
    <w:rsid w:val="00A61A13"/>
    <w:rsid w:val="00A61D90"/>
    <w:rsid w:val="00A61DFC"/>
    <w:rsid w:val="00A61FB1"/>
    <w:rsid w:val="00A61FF7"/>
    <w:rsid w:val="00A6222A"/>
    <w:rsid w:val="00A6231F"/>
    <w:rsid w:val="00A62427"/>
    <w:rsid w:val="00A6275F"/>
    <w:rsid w:val="00A62B36"/>
    <w:rsid w:val="00A62BD7"/>
    <w:rsid w:val="00A62C73"/>
    <w:rsid w:val="00A62E80"/>
    <w:rsid w:val="00A62F92"/>
    <w:rsid w:val="00A6300D"/>
    <w:rsid w:val="00A63124"/>
    <w:rsid w:val="00A632FE"/>
    <w:rsid w:val="00A632FF"/>
    <w:rsid w:val="00A63588"/>
    <w:rsid w:val="00A635B9"/>
    <w:rsid w:val="00A63667"/>
    <w:rsid w:val="00A63678"/>
    <w:rsid w:val="00A636E0"/>
    <w:rsid w:val="00A63A8B"/>
    <w:rsid w:val="00A63B91"/>
    <w:rsid w:val="00A63D3F"/>
    <w:rsid w:val="00A63D90"/>
    <w:rsid w:val="00A63E1E"/>
    <w:rsid w:val="00A63F7F"/>
    <w:rsid w:val="00A63F88"/>
    <w:rsid w:val="00A641C3"/>
    <w:rsid w:val="00A64351"/>
    <w:rsid w:val="00A64647"/>
    <w:rsid w:val="00A6467B"/>
    <w:rsid w:val="00A64746"/>
    <w:rsid w:val="00A6475B"/>
    <w:rsid w:val="00A6480C"/>
    <w:rsid w:val="00A649F7"/>
    <w:rsid w:val="00A64A7F"/>
    <w:rsid w:val="00A64B8C"/>
    <w:rsid w:val="00A64D52"/>
    <w:rsid w:val="00A64E45"/>
    <w:rsid w:val="00A64E88"/>
    <w:rsid w:val="00A64EF0"/>
    <w:rsid w:val="00A64F85"/>
    <w:rsid w:val="00A650E7"/>
    <w:rsid w:val="00A651E1"/>
    <w:rsid w:val="00A6531F"/>
    <w:rsid w:val="00A65390"/>
    <w:rsid w:val="00A6547E"/>
    <w:rsid w:val="00A654D4"/>
    <w:rsid w:val="00A6567B"/>
    <w:rsid w:val="00A65ACA"/>
    <w:rsid w:val="00A65AF5"/>
    <w:rsid w:val="00A65B40"/>
    <w:rsid w:val="00A65C50"/>
    <w:rsid w:val="00A65D2F"/>
    <w:rsid w:val="00A65DA0"/>
    <w:rsid w:val="00A65EBA"/>
    <w:rsid w:val="00A65EE3"/>
    <w:rsid w:val="00A65FC8"/>
    <w:rsid w:val="00A66219"/>
    <w:rsid w:val="00A66238"/>
    <w:rsid w:val="00A662DB"/>
    <w:rsid w:val="00A66357"/>
    <w:rsid w:val="00A6655A"/>
    <w:rsid w:val="00A66613"/>
    <w:rsid w:val="00A66618"/>
    <w:rsid w:val="00A66654"/>
    <w:rsid w:val="00A66683"/>
    <w:rsid w:val="00A66687"/>
    <w:rsid w:val="00A6675D"/>
    <w:rsid w:val="00A66932"/>
    <w:rsid w:val="00A66A91"/>
    <w:rsid w:val="00A66C5D"/>
    <w:rsid w:val="00A66D1F"/>
    <w:rsid w:val="00A66DD1"/>
    <w:rsid w:val="00A66DE9"/>
    <w:rsid w:val="00A66F75"/>
    <w:rsid w:val="00A6704D"/>
    <w:rsid w:val="00A671AA"/>
    <w:rsid w:val="00A671C0"/>
    <w:rsid w:val="00A671DA"/>
    <w:rsid w:val="00A67238"/>
    <w:rsid w:val="00A672E7"/>
    <w:rsid w:val="00A673E9"/>
    <w:rsid w:val="00A6764E"/>
    <w:rsid w:val="00A67708"/>
    <w:rsid w:val="00A677D5"/>
    <w:rsid w:val="00A67821"/>
    <w:rsid w:val="00A67948"/>
    <w:rsid w:val="00A67C79"/>
    <w:rsid w:val="00A67CB7"/>
    <w:rsid w:val="00A67D4D"/>
    <w:rsid w:val="00A67EE8"/>
    <w:rsid w:val="00A67F96"/>
    <w:rsid w:val="00A70017"/>
    <w:rsid w:val="00A70035"/>
    <w:rsid w:val="00A7035B"/>
    <w:rsid w:val="00A704CF"/>
    <w:rsid w:val="00A705F8"/>
    <w:rsid w:val="00A706A2"/>
    <w:rsid w:val="00A70872"/>
    <w:rsid w:val="00A70BBC"/>
    <w:rsid w:val="00A70CE9"/>
    <w:rsid w:val="00A70D47"/>
    <w:rsid w:val="00A70ED2"/>
    <w:rsid w:val="00A710DE"/>
    <w:rsid w:val="00A71189"/>
    <w:rsid w:val="00A711C7"/>
    <w:rsid w:val="00A711D9"/>
    <w:rsid w:val="00A71561"/>
    <w:rsid w:val="00A719B9"/>
    <w:rsid w:val="00A719E1"/>
    <w:rsid w:val="00A71B73"/>
    <w:rsid w:val="00A71C1B"/>
    <w:rsid w:val="00A71E0D"/>
    <w:rsid w:val="00A71E9A"/>
    <w:rsid w:val="00A71EC6"/>
    <w:rsid w:val="00A71FBB"/>
    <w:rsid w:val="00A720D1"/>
    <w:rsid w:val="00A7228E"/>
    <w:rsid w:val="00A724AD"/>
    <w:rsid w:val="00A72621"/>
    <w:rsid w:val="00A726DE"/>
    <w:rsid w:val="00A7271F"/>
    <w:rsid w:val="00A72775"/>
    <w:rsid w:val="00A728B5"/>
    <w:rsid w:val="00A72981"/>
    <w:rsid w:val="00A729CC"/>
    <w:rsid w:val="00A72AEE"/>
    <w:rsid w:val="00A72AFF"/>
    <w:rsid w:val="00A72C79"/>
    <w:rsid w:val="00A72D62"/>
    <w:rsid w:val="00A72DD6"/>
    <w:rsid w:val="00A72FC6"/>
    <w:rsid w:val="00A7309D"/>
    <w:rsid w:val="00A731D5"/>
    <w:rsid w:val="00A732A3"/>
    <w:rsid w:val="00A732F6"/>
    <w:rsid w:val="00A733CE"/>
    <w:rsid w:val="00A73435"/>
    <w:rsid w:val="00A7344B"/>
    <w:rsid w:val="00A735AB"/>
    <w:rsid w:val="00A73629"/>
    <w:rsid w:val="00A736D9"/>
    <w:rsid w:val="00A737ED"/>
    <w:rsid w:val="00A73990"/>
    <w:rsid w:val="00A73A93"/>
    <w:rsid w:val="00A73AA1"/>
    <w:rsid w:val="00A73AB1"/>
    <w:rsid w:val="00A73C5F"/>
    <w:rsid w:val="00A73D5E"/>
    <w:rsid w:val="00A73E7D"/>
    <w:rsid w:val="00A7414D"/>
    <w:rsid w:val="00A74173"/>
    <w:rsid w:val="00A7420B"/>
    <w:rsid w:val="00A742C1"/>
    <w:rsid w:val="00A7432B"/>
    <w:rsid w:val="00A7433B"/>
    <w:rsid w:val="00A743CC"/>
    <w:rsid w:val="00A74547"/>
    <w:rsid w:val="00A7469F"/>
    <w:rsid w:val="00A7472B"/>
    <w:rsid w:val="00A7472E"/>
    <w:rsid w:val="00A747E3"/>
    <w:rsid w:val="00A74833"/>
    <w:rsid w:val="00A74932"/>
    <w:rsid w:val="00A74A60"/>
    <w:rsid w:val="00A74A69"/>
    <w:rsid w:val="00A74AF4"/>
    <w:rsid w:val="00A74B21"/>
    <w:rsid w:val="00A74BAC"/>
    <w:rsid w:val="00A74CA1"/>
    <w:rsid w:val="00A74CD0"/>
    <w:rsid w:val="00A74D18"/>
    <w:rsid w:val="00A74D20"/>
    <w:rsid w:val="00A74D49"/>
    <w:rsid w:val="00A74DBE"/>
    <w:rsid w:val="00A74E7A"/>
    <w:rsid w:val="00A74F61"/>
    <w:rsid w:val="00A74FDA"/>
    <w:rsid w:val="00A75006"/>
    <w:rsid w:val="00A75325"/>
    <w:rsid w:val="00A75628"/>
    <w:rsid w:val="00A75648"/>
    <w:rsid w:val="00A756A9"/>
    <w:rsid w:val="00A758D7"/>
    <w:rsid w:val="00A75B52"/>
    <w:rsid w:val="00A75CB2"/>
    <w:rsid w:val="00A75CBF"/>
    <w:rsid w:val="00A75CE9"/>
    <w:rsid w:val="00A75D55"/>
    <w:rsid w:val="00A75DBE"/>
    <w:rsid w:val="00A75DC8"/>
    <w:rsid w:val="00A75E13"/>
    <w:rsid w:val="00A75E1F"/>
    <w:rsid w:val="00A75EC8"/>
    <w:rsid w:val="00A75F07"/>
    <w:rsid w:val="00A75F4A"/>
    <w:rsid w:val="00A75FE7"/>
    <w:rsid w:val="00A76054"/>
    <w:rsid w:val="00A760B8"/>
    <w:rsid w:val="00A7613A"/>
    <w:rsid w:val="00A761D0"/>
    <w:rsid w:val="00A7632B"/>
    <w:rsid w:val="00A76377"/>
    <w:rsid w:val="00A764CD"/>
    <w:rsid w:val="00A76538"/>
    <w:rsid w:val="00A765DB"/>
    <w:rsid w:val="00A765FA"/>
    <w:rsid w:val="00A766FE"/>
    <w:rsid w:val="00A7678A"/>
    <w:rsid w:val="00A7697E"/>
    <w:rsid w:val="00A76A07"/>
    <w:rsid w:val="00A76BD9"/>
    <w:rsid w:val="00A76C42"/>
    <w:rsid w:val="00A76DA9"/>
    <w:rsid w:val="00A76DD8"/>
    <w:rsid w:val="00A76E34"/>
    <w:rsid w:val="00A76F50"/>
    <w:rsid w:val="00A77008"/>
    <w:rsid w:val="00A7703A"/>
    <w:rsid w:val="00A771A4"/>
    <w:rsid w:val="00A772D0"/>
    <w:rsid w:val="00A77300"/>
    <w:rsid w:val="00A7739E"/>
    <w:rsid w:val="00A77437"/>
    <w:rsid w:val="00A77602"/>
    <w:rsid w:val="00A77760"/>
    <w:rsid w:val="00A777DA"/>
    <w:rsid w:val="00A778D9"/>
    <w:rsid w:val="00A7790D"/>
    <w:rsid w:val="00A77A02"/>
    <w:rsid w:val="00A77A5D"/>
    <w:rsid w:val="00A77AB2"/>
    <w:rsid w:val="00A77BCF"/>
    <w:rsid w:val="00A77CFC"/>
    <w:rsid w:val="00A77F1D"/>
    <w:rsid w:val="00A77FC7"/>
    <w:rsid w:val="00A80035"/>
    <w:rsid w:val="00A80307"/>
    <w:rsid w:val="00A80339"/>
    <w:rsid w:val="00A80351"/>
    <w:rsid w:val="00A80392"/>
    <w:rsid w:val="00A80489"/>
    <w:rsid w:val="00A804B5"/>
    <w:rsid w:val="00A80570"/>
    <w:rsid w:val="00A805E3"/>
    <w:rsid w:val="00A80614"/>
    <w:rsid w:val="00A80677"/>
    <w:rsid w:val="00A808B6"/>
    <w:rsid w:val="00A8094F"/>
    <w:rsid w:val="00A8097B"/>
    <w:rsid w:val="00A80CAF"/>
    <w:rsid w:val="00A80DFD"/>
    <w:rsid w:val="00A80FEF"/>
    <w:rsid w:val="00A8115D"/>
    <w:rsid w:val="00A81186"/>
    <w:rsid w:val="00A81226"/>
    <w:rsid w:val="00A81330"/>
    <w:rsid w:val="00A81570"/>
    <w:rsid w:val="00A81879"/>
    <w:rsid w:val="00A8188B"/>
    <w:rsid w:val="00A8188E"/>
    <w:rsid w:val="00A819E3"/>
    <w:rsid w:val="00A81CA8"/>
    <w:rsid w:val="00A81D15"/>
    <w:rsid w:val="00A81D60"/>
    <w:rsid w:val="00A81DCD"/>
    <w:rsid w:val="00A821BE"/>
    <w:rsid w:val="00A824E1"/>
    <w:rsid w:val="00A82671"/>
    <w:rsid w:val="00A82686"/>
    <w:rsid w:val="00A82802"/>
    <w:rsid w:val="00A82816"/>
    <w:rsid w:val="00A829A8"/>
    <w:rsid w:val="00A82BD2"/>
    <w:rsid w:val="00A82C43"/>
    <w:rsid w:val="00A83063"/>
    <w:rsid w:val="00A83068"/>
    <w:rsid w:val="00A83220"/>
    <w:rsid w:val="00A83297"/>
    <w:rsid w:val="00A83413"/>
    <w:rsid w:val="00A83428"/>
    <w:rsid w:val="00A83511"/>
    <w:rsid w:val="00A835BE"/>
    <w:rsid w:val="00A837C6"/>
    <w:rsid w:val="00A83984"/>
    <w:rsid w:val="00A83A8A"/>
    <w:rsid w:val="00A83AF3"/>
    <w:rsid w:val="00A83CBC"/>
    <w:rsid w:val="00A83D0F"/>
    <w:rsid w:val="00A83D7B"/>
    <w:rsid w:val="00A83D88"/>
    <w:rsid w:val="00A83EC6"/>
    <w:rsid w:val="00A83F0D"/>
    <w:rsid w:val="00A84006"/>
    <w:rsid w:val="00A8401F"/>
    <w:rsid w:val="00A84045"/>
    <w:rsid w:val="00A840BF"/>
    <w:rsid w:val="00A840F1"/>
    <w:rsid w:val="00A84158"/>
    <w:rsid w:val="00A84189"/>
    <w:rsid w:val="00A842CE"/>
    <w:rsid w:val="00A843BE"/>
    <w:rsid w:val="00A843F3"/>
    <w:rsid w:val="00A84476"/>
    <w:rsid w:val="00A84583"/>
    <w:rsid w:val="00A846EB"/>
    <w:rsid w:val="00A84760"/>
    <w:rsid w:val="00A8484E"/>
    <w:rsid w:val="00A84881"/>
    <w:rsid w:val="00A848AD"/>
    <w:rsid w:val="00A84B4B"/>
    <w:rsid w:val="00A84C19"/>
    <w:rsid w:val="00A84C8A"/>
    <w:rsid w:val="00A84D9D"/>
    <w:rsid w:val="00A85211"/>
    <w:rsid w:val="00A85324"/>
    <w:rsid w:val="00A853C6"/>
    <w:rsid w:val="00A85463"/>
    <w:rsid w:val="00A855CB"/>
    <w:rsid w:val="00A85655"/>
    <w:rsid w:val="00A8582B"/>
    <w:rsid w:val="00A85A36"/>
    <w:rsid w:val="00A85AB8"/>
    <w:rsid w:val="00A85AFF"/>
    <w:rsid w:val="00A85B0E"/>
    <w:rsid w:val="00A85D44"/>
    <w:rsid w:val="00A85E2D"/>
    <w:rsid w:val="00A85EAD"/>
    <w:rsid w:val="00A86019"/>
    <w:rsid w:val="00A861ED"/>
    <w:rsid w:val="00A86236"/>
    <w:rsid w:val="00A86256"/>
    <w:rsid w:val="00A8625A"/>
    <w:rsid w:val="00A86319"/>
    <w:rsid w:val="00A86353"/>
    <w:rsid w:val="00A8637E"/>
    <w:rsid w:val="00A86414"/>
    <w:rsid w:val="00A8654D"/>
    <w:rsid w:val="00A86553"/>
    <w:rsid w:val="00A865A9"/>
    <w:rsid w:val="00A86655"/>
    <w:rsid w:val="00A86A84"/>
    <w:rsid w:val="00A86B06"/>
    <w:rsid w:val="00A86BB9"/>
    <w:rsid w:val="00A86C84"/>
    <w:rsid w:val="00A86CD2"/>
    <w:rsid w:val="00A86D4F"/>
    <w:rsid w:val="00A86D54"/>
    <w:rsid w:val="00A86DF9"/>
    <w:rsid w:val="00A86F03"/>
    <w:rsid w:val="00A86FE4"/>
    <w:rsid w:val="00A871CA"/>
    <w:rsid w:val="00A87215"/>
    <w:rsid w:val="00A8725A"/>
    <w:rsid w:val="00A87373"/>
    <w:rsid w:val="00A873DA"/>
    <w:rsid w:val="00A874F2"/>
    <w:rsid w:val="00A876BD"/>
    <w:rsid w:val="00A8774B"/>
    <w:rsid w:val="00A877CA"/>
    <w:rsid w:val="00A87827"/>
    <w:rsid w:val="00A8799F"/>
    <w:rsid w:val="00A879F2"/>
    <w:rsid w:val="00A87A35"/>
    <w:rsid w:val="00A87BD5"/>
    <w:rsid w:val="00A87CD4"/>
    <w:rsid w:val="00A87D4C"/>
    <w:rsid w:val="00A87EA7"/>
    <w:rsid w:val="00A87ED7"/>
    <w:rsid w:val="00A87FEE"/>
    <w:rsid w:val="00A8D918"/>
    <w:rsid w:val="00A900B1"/>
    <w:rsid w:val="00A900BE"/>
    <w:rsid w:val="00A90105"/>
    <w:rsid w:val="00A90139"/>
    <w:rsid w:val="00A9017B"/>
    <w:rsid w:val="00A9018E"/>
    <w:rsid w:val="00A902F7"/>
    <w:rsid w:val="00A90368"/>
    <w:rsid w:val="00A90407"/>
    <w:rsid w:val="00A9049C"/>
    <w:rsid w:val="00A90505"/>
    <w:rsid w:val="00A90509"/>
    <w:rsid w:val="00A906CB"/>
    <w:rsid w:val="00A907D3"/>
    <w:rsid w:val="00A90814"/>
    <w:rsid w:val="00A90817"/>
    <w:rsid w:val="00A90AB4"/>
    <w:rsid w:val="00A90B2F"/>
    <w:rsid w:val="00A90DD4"/>
    <w:rsid w:val="00A90E0C"/>
    <w:rsid w:val="00A90EA9"/>
    <w:rsid w:val="00A90F04"/>
    <w:rsid w:val="00A90F49"/>
    <w:rsid w:val="00A91032"/>
    <w:rsid w:val="00A91112"/>
    <w:rsid w:val="00A914F1"/>
    <w:rsid w:val="00A915A1"/>
    <w:rsid w:val="00A9167D"/>
    <w:rsid w:val="00A916BA"/>
    <w:rsid w:val="00A91706"/>
    <w:rsid w:val="00A917C7"/>
    <w:rsid w:val="00A918E4"/>
    <w:rsid w:val="00A9196F"/>
    <w:rsid w:val="00A919E5"/>
    <w:rsid w:val="00A91A02"/>
    <w:rsid w:val="00A91CFB"/>
    <w:rsid w:val="00A91EDE"/>
    <w:rsid w:val="00A91FA2"/>
    <w:rsid w:val="00A920CF"/>
    <w:rsid w:val="00A92172"/>
    <w:rsid w:val="00A92286"/>
    <w:rsid w:val="00A92416"/>
    <w:rsid w:val="00A924C1"/>
    <w:rsid w:val="00A92595"/>
    <w:rsid w:val="00A9272A"/>
    <w:rsid w:val="00A92765"/>
    <w:rsid w:val="00A92843"/>
    <w:rsid w:val="00A92892"/>
    <w:rsid w:val="00A928B5"/>
    <w:rsid w:val="00A928BC"/>
    <w:rsid w:val="00A929A9"/>
    <w:rsid w:val="00A92B63"/>
    <w:rsid w:val="00A92C2A"/>
    <w:rsid w:val="00A92C86"/>
    <w:rsid w:val="00A92D37"/>
    <w:rsid w:val="00A92FB8"/>
    <w:rsid w:val="00A9305D"/>
    <w:rsid w:val="00A93093"/>
    <w:rsid w:val="00A93188"/>
    <w:rsid w:val="00A932CD"/>
    <w:rsid w:val="00A9336E"/>
    <w:rsid w:val="00A93381"/>
    <w:rsid w:val="00A934A4"/>
    <w:rsid w:val="00A93657"/>
    <w:rsid w:val="00A9369B"/>
    <w:rsid w:val="00A937C4"/>
    <w:rsid w:val="00A937DC"/>
    <w:rsid w:val="00A93977"/>
    <w:rsid w:val="00A93A9A"/>
    <w:rsid w:val="00A93AFD"/>
    <w:rsid w:val="00A93B48"/>
    <w:rsid w:val="00A93BF2"/>
    <w:rsid w:val="00A93C78"/>
    <w:rsid w:val="00A93E1D"/>
    <w:rsid w:val="00A93F7E"/>
    <w:rsid w:val="00A94079"/>
    <w:rsid w:val="00A9409B"/>
    <w:rsid w:val="00A9409D"/>
    <w:rsid w:val="00A9423F"/>
    <w:rsid w:val="00A943EF"/>
    <w:rsid w:val="00A94646"/>
    <w:rsid w:val="00A946B2"/>
    <w:rsid w:val="00A946B3"/>
    <w:rsid w:val="00A947D6"/>
    <w:rsid w:val="00A9486D"/>
    <w:rsid w:val="00A94A7F"/>
    <w:rsid w:val="00A94C2E"/>
    <w:rsid w:val="00A94D98"/>
    <w:rsid w:val="00A94DF5"/>
    <w:rsid w:val="00A94E3B"/>
    <w:rsid w:val="00A950ED"/>
    <w:rsid w:val="00A9545A"/>
    <w:rsid w:val="00A95647"/>
    <w:rsid w:val="00A9565A"/>
    <w:rsid w:val="00A9576A"/>
    <w:rsid w:val="00A95790"/>
    <w:rsid w:val="00A9587D"/>
    <w:rsid w:val="00A95978"/>
    <w:rsid w:val="00A9599A"/>
    <w:rsid w:val="00A959C6"/>
    <w:rsid w:val="00A95ABF"/>
    <w:rsid w:val="00A95AF6"/>
    <w:rsid w:val="00A95B9F"/>
    <w:rsid w:val="00A95EE1"/>
    <w:rsid w:val="00A95EFA"/>
    <w:rsid w:val="00A95F66"/>
    <w:rsid w:val="00A95FBA"/>
    <w:rsid w:val="00A95FEA"/>
    <w:rsid w:val="00A96086"/>
    <w:rsid w:val="00A960AF"/>
    <w:rsid w:val="00A9614A"/>
    <w:rsid w:val="00A96228"/>
    <w:rsid w:val="00A9623A"/>
    <w:rsid w:val="00A9623E"/>
    <w:rsid w:val="00A96316"/>
    <w:rsid w:val="00A963BA"/>
    <w:rsid w:val="00A9656D"/>
    <w:rsid w:val="00A965E0"/>
    <w:rsid w:val="00A96660"/>
    <w:rsid w:val="00A966A6"/>
    <w:rsid w:val="00A967A1"/>
    <w:rsid w:val="00A967E0"/>
    <w:rsid w:val="00A9685D"/>
    <w:rsid w:val="00A9687F"/>
    <w:rsid w:val="00A968C2"/>
    <w:rsid w:val="00A968D9"/>
    <w:rsid w:val="00A96A02"/>
    <w:rsid w:val="00A96A0F"/>
    <w:rsid w:val="00A96AF6"/>
    <w:rsid w:val="00A96CFD"/>
    <w:rsid w:val="00A96D3D"/>
    <w:rsid w:val="00A96DE5"/>
    <w:rsid w:val="00A96E88"/>
    <w:rsid w:val="00A96F0E"/>
    <w:rsid w:val="00A96F4F"/>
    <w:rsid w:val="00A96FD6"/>
    <w:rsid w:val="00A97034"/>
    <w:rsid w:val="00A970A7"/>
    <w:rsid w:val="00A97164"/>
    <w:rsid w:val="00A971E1"/>
    <w:rsid w:val="00A97228"/>
    <w:rsid w:val="00A975EC"/>
    <w:rsid w:val="00A976FE"/>
    <w:rsid w:val="00A97910"/>
    <w:rsid w:val="00A97983"/>
    <w:rsid w:val="00A97CFE"/>
    <w:rsid w:val="00A97D19"/>
    <w:rsid w:val="00A97F59"/>
    <w:rsid w:val="00A97FE7"/>
    <w:rsid w:val="00AA00C1"/>
    <w:rsid w:val="00AA045D"/>
    <w:rsid w:val="00AA046F"/>
    <w:rsid w:val="00AA055D"/>
    <w:rsid w:val="00AA05FB"/>
    <w:rsid w:val="00AA0B2D"/>
    <w:rsid w:val="00AA0BA1"/>
    <w:rsid w:val="00AA0D3A"/>
    <w:rsid w:val="00AA0F1E"/>
    <w:rsid w:val="00AA0F28"/>
    <w:rsid w:val="00AA104C"/>
    <w:rsid w:val="00AA107D"/>
    <w:rsid w:val="00AA10D1"/>
    <w:rsid w:val="00AA11E3"/>
    <w:rsid w:val="00AA12A4"/>
    <w:rsid w:val="00AA137D"/>
    <w:rsid w:val="00AA1399"/>
    <w:rsid w:val="00AA15A1"/>
    <w:rsid w:val="00AA17A6"/>
    <w:rsid w:val="00AA17EF"/>
    <w:rsid w:val="00AA1979"/>
    <w:rsid w:val="00AA19D8"/>
    <w:rsid w:val="00AA1A07"/>
    <w:rsid w:val="00AA1AB5"/>
    <w:rsid w:val="00AA1B25"/>
    <w:rsid w:val="00AA1B42"/>
    <w:rsid w:val="00AA1BDA"/>
    <w:rsid w:val="00AA1D8E"/>
    <w:rsid w:val="00AA1DE7"/>
    <w:rsid w:val="00AA1EC8"/>
    <w:rsid w:val="00AA2058"/>
    <w:rsid w:val="00AA22A1"/>
    <w:rsid w:val="00AA22A9"/>
    <w:rsid w:val="00AA2335"/>
    <w:rsid w:val="00AA23FD"/>
    <w:rsid w:val="00AA2521"/>
    <w:rsid w:val="00AA265D"/>
    <w:rsid w:val="00AA2733"/>
    <w:rsid w:val="00AA2734"/>
    <w:rsid w:val="00AA28EF"/>
    <w:rsid w:val="00AA2951"/>
    <w:rsid w:val="00AA2A62"/>
    <w:rsid w:val="00AA2A90"/>
    <w:rsid w:val="00AA2BD5"/>
    <w:rsid w:val="00AA2CC1"/>
    <w:rsid w:val="00AA2CCD"/>
    <w:rsid w:val="00AA2CF6"/>
    <w:rsid w:val="00AA2D32"/>
    <w:rsid w:val="00AA2F20"/>
    <w:rsid w:val="00AA3040"/>
    <w:rsid w:val="00AA3092"/>
    <w:rsid w:val="00AA3093"/>
    <w:rsid w:val="00AA309E"/>
    <w:rsid w:val="00AA30AB"/>
    <w:rsid w:val="00AA31E3"/>
    <w:rsid w:val="00AA32C3"/>
    <w:rsid w:val="00AA333E"/>
    <w:rsid w:val="00AA334F"/>
    <w:rsid w:val="00AA3587"/>
    <w:rsid w:val="00AA365D"/>
    <w:rsid w:val="00AA3795"/>
    <w:rsid w:val="00AA37FF"/>
    <w:rsid w:val="00AA396E"/>
    <w:rsid w:val="00AA3AE6"/>
    <w:rsid w:val="00AA3AE8"/>
    <w:rsid w:val="00AA3B2D"/>
    <w:rsid w:val="00AA3CA8"/>
    <w:rsid w:val="00AA3CC7"/>
    <w:rsid w:val="00AA4079"/>
    <w:rsid w:val="00AA40E9"/>
    <w:rsid w:val="00AA4375"/>
    <w:rsid w:val="00AA4452"/>
    <w:rsid w:val="00AA4700"/>
    <w:rsid w:val="00AA47A6"/>
    <w:rsid w:val="00AA47B5"/>
    <w:rsid w:val="00AA47B7"/>
    <w:rsid w:val="00AA4800"/>
    <w:rsid w:val="00AA4836"/>
    <w:rsid w:val="00AA48A0"/>
    <w:rsid w:val="00AA48AF"/>
    <w:rsid w:val="00AA48BB"/>
    <w:rsid w:val="00AA4A17"/>
    <w:rsid w:val="00AA4BE0"/>
    <w:rsid w:val="00AA4CD4"/>
    <w:rsid w:val="00AA4E47"/>
    <w:rsid w:val="00AA517A"/>
    <w:rsid w:val="00AA5249"/>
    <w:rsid w:val="00AA526E"/>
    <w:rsid w:val="00AA52FA"/>
    <w:rsid w:val="00AA5330"/>
    <w:rsid w:val="00AA53B5"/>
    <w:rsid w:val="00AA53F8"/>
    <w:rsid w:val="00AA5438"/>
    <w:rsid w:val="00AA55C5"/>
    <w:rsid w:val="00AA5689"/>
    <w:rsid w:val="00AA5791"/>
    <w:rsid w:val="00AA5881"/>
    <w:rsid w:val="00AA59EA"/>
    <w:rsid w:val="00AA5A2B"/>
    <w:rsid w:val="00AA5BF6"/>
    <w:rsid w:val="00AA5C91"/>
    <w:rsid w:val="00AA6034"/>
    <w:rsid w:val="00AA608F"/>
    <w:rsid w:val="00AA60A6"/>
    <w:rsid w:val="00AA60AC"/>
    <w:rsid w:val="00AA612F"/>
    <w:rsid w:val="00AA6334"/>
    <w:rsid w:val="00AA6391"/>
    <w:rsid w:val="00AA63A6"/>
    <w:rsid w:val="00AA6668"/>
    <w:rsid w:val="00AA66E0"/>
    <w:rsid w:val="00AA68B5"/>
    <w:rsid w:val="00AA68E0"/>
    <w:rsid w:val="00AA693A"/>
    <w:rsid w:val="00AA6A8B"/>
    <w:rsid w:val="00AA6B21"/>
    <w:rsid w:val="00AA6B31"/>
    <w:rsid w:val="00AA6B3E"/>
    <w:rsid w:val="00AA6C1F"/>
    <w:rsid w:val="00AA6D44"/>
    <w:rsid w:val="00AA6D8E"/>
    <w:rsid w:val="00AA6F05"/>
    <w:rsid w:val="00AA6FDB"/>
    <w:rsid w:val="00AA6FEA"/>
    <w:rsid w:val="00AA7018"/>
    <w:rsid w:val="00AA7135"/>
    <w:rsid w:val="00AA7151"/>
    <w:rsid w:val="00AA71D2"/>
    <w:rsid w:val="00AA71E6"/>
    <w:rsid w:val="00AA7286"/>
    <w:rsid w:val="00AA72CF"/>
    <w:rsid w:val="00AA7301"/>
    <w:rsid w:val="00AA73F5"/>
    <w:rsid w:val="00AA74B0"/>
    <w:rsid w:val="00AA7841"/>
    <w:rsid w:val="00AA7849"/>
    <w:rsid w:val="00AA7A5E"/>
    <w:rsid w:val="00AA7A6B"/>
    <w:rsid w:val="00AA7D48"/>
    <w:rsid w:val="00AA7DD1"/>
    <w:rsid w:val="00AA7E77"/>
    <w:rsid w:val="00AA7EA9"/>
    <w:rsid w:val="00AB0063"/>
    <w:rsid w:val="00AB00EF"/>
    <w:rsid w:val="00AB013F"/>
    <w:rsid w:val="00AB01A7"/>
    <w:rsid w:val="00AB0273"/>
    <w:rsid w:val="00AB0301"/>
    <w:rsid w:val="00AB03AB"/>
    <w:rsid w:val="00AB0469"/>
    <w:rsid w:val="00AB0489"/>
    <w:rsid w:val="00AB04CD"/>
    <w:rsid w:val="00AB05B3"/>
    <w:rsid w:val="00AB0611"/>
    <w:rsid w:val="00AB06D9"/>
    <w:rsid w:val="00AB075E"/>
    <w:rsid w:val="00AB08CC"/>
    <w:rsid w:val="00AB0944"/>
    <w:rsid w:val="00AB09AE"/>
    <w:rsid w:val="00AB0A13"/>
    <w:rsid w:val="00AB0AB4"/>
    <w:rsid w:val="00AB0B1F"/>
    <w:rsid w:val="00AB0EF6"/>
    <w:rsid w:val="00AB0FD6"/>
    <w:rsid w:val="00AB1288"/>
    <w:rsid w:val="00AB12C6"/>
    <w:rsid w:val="00AB12EC"/>
    <w:rsid w:val="00AB13E4"/>
    <w:rsid w:val="00AB151D"/>
    <w:rsid w:val="00AB157F"/>
    <w:rsid w:val="00AB15A9"/>
    <w:rsid w:val="00AB16E8"/>
    <w:rsid w:val="00AB1959"/>
    <w:rsid w:val="00AB195E"/>
    <w:rsid w:val="00AB19EF"/>
    <w:rsid w:val="00AB1A67"/>
    <w:rsid w:val="00AB1A84"/>
    <w:rsid w:val="00AB1DA9"/>
    <w:rsid w:val="00AB1EC6"/>
    <w:rsid w:val="00AB204F"/>
    <w:rsid w:val="00AB20C0"/>
    <w:rsid w:val="00AB20CA"/>
    <w:rsid w:val="00AB22BD"/>
    <w:rsid w:val="00AB22E8"/>
    <w:rsid w:val="00AB2312"/>
    <w:rsid w:val="00AB2338"/>
    <w:rsid w:val="00AB243C"/>
    <w:rsid w:val="00AB24B3"/>
    <w:rsid w:val="00AB24EF"/>
    <w:rsid w:val="00AB255C"/>
    <w:rsid w:val="00AB25A1"/>
    <w:rsid w:val="00AB25C0"/>
    <w:rsid w:val="00AB2745"/>
    <w:rsid w:val="00AB27EE"/>
    <w:rsid w:val="00AB28A6"/>
    <w:rsid w:val="00AB28EB"/>
    <w:rsid w:val="00AB2A49"/>
    <w:rsid w:val="00AB2C28"/>
    <w:rsid w:val="00AB2C43"/>
    <w:rsid w:val="00AB2CC4"/>
    <w:rsid w:val="00AB2E4B"/>
    <w:rsid w:val="00AB3016"/>
    <w:rsid w:val="00AB305C"/>
    <w:rsid w:val="00AB31D2"/>
    <w:rsid w:val="00AB31E6"/>
    <w:rsid w:val="00AB322B"/>
    <w:rsid w:val="00AB32F7"/>
    <w:rsid w:val="00AB34C1"/>
    <w:rsid w:val="00AB3636"/>
    <w:rsid w:val="00AB365F"/>
    <w:rsid w:val="00AB3675"/>
    <w:rsid w:val="00AB379C"/>
    <w:rsid w:val="00AB387A"/>
    <w:rsid w:val="00AB38B8"/>
    <w:rsid w:val="00AB38FC"/>
    <w:rsid w:val="00AB39C8"/>
    <w:rsid w:val="00AB3A05"/>
    <w:rsid w:val="00AB3A91"/>
    <w:rsid w:val="00AB3B6B"/>
    <w:rsid w:val="00AB3B74"/>
    <w:rsid w:val="00AB3C5E"/>
    <w:rsid w:val="00AB3D3D"/>
    <w:rsid w:val="00AB3E43"/>
    <w:rsid w:val="00AB3F33"/>
    <w:rsid w:val="00AB3F83"/>
    <w:rsid w:val="00AB3FF2"/>
    <w:rsid w:val="00AB40CE"/>
    <w:rsid w:val="00AB40F9"/>
    <w:rsid w:val="00AB4190"/>
    <w:rsid w:val="00AB41A0"/>
    <w:rsid w:val="00AB4234"/>
    <w:rsid w:val="00AB425A"/>
    <w:rsid w:val="00AB42AE"/>
    <w:rsid w:val="00AB4301"/>
    <w:rsid w:val="00AB4431"/>
    <w:rsid w:val="00AB445E"/>
    <w:rsid w:val="00AB448B"/>
    <w:rsid w:val="00AB4510"/>
    <w:rsid w:val="00AB4614"/>
    <w:rsid w:val="00AB4846"/>
    <w:rsid w:val="00AB4878"/>
    <w:rsid w:val="00AB497C"/>
    <w:rsid w:val="00AB4A57"/>
    <w:rsid w:val="00AB4A8C"/>
    <w:rsid w:val="00AB4C33"/>
    <w:rsid w:val="00AB4C99"/>
    <w:rsid w:val="00AB4CCC"/>
    <w:rsid w:val="00AB4DE2"/>
    <w:rsid w:val="00AB4E28"/>
    <w:rsid w:val="00AB4E47"/>
    <w:rsid w:val="00AB4F8D"/>
    <w:rsid w:val="00AB5024"/>
    <w:rsid w:val="00AB50CF"/>
    <w:rsid w:val="00AB5156"/>
    <w:rsid w:val="00AB517A"/>
    <w:rsid w:val="00AB518B"/>
    <w:rsid w:val="00AB5487"/>
    <w:rsid w:val="00AB554C"/>
    <w:rsid w:val="00AB5573"/>
    <w:rsid w:val="00AB5658"/>
    <w:rsid w:val="00AB577A"/>
    <w:rsid w:val="00AB59B6"/>
    <w:rsid w:val="00AB5A3B"/>
    <w:rsid w:val="00AB5A5E"/>
    <w:rsid w:val="00AB5B74"/>
    <w:rsid w:val="00AB5D21"/>
    <w:rsid w:val="00AB5D5F"/>
    <w:rsid w:val="00AB5DB9"/>
    <w:rsid w:val="00AB5DE7"/>
    <w:rsid w:val="00AB5E58"/>
    <w:rsid w:val="00AB5F02"/>
    <w:rsid w:val="00AB5F14"/>
    <w:rsid w:val="00AB5F78"/>
    <w:rsid w:val="00AB624C"/>
    <w:rsid w:val="00AB6256"/>
    <w:rsid w:val="00AB62BC"/>
    <w:rsid w:val="00AB6495"/>
    <w:rsid w:val="00AB657F"/>
    <w:rsid w:val="00AB65A9"/>
    <w:rsid w:val="00AB6989"/>
    <w:rsid w:val="00AB6B87"/>
    <w:rsid w:val="00AB6C5A"/>
    <w:rsid w:val="00AB6D5E"/>
    <w:rsid w:val="00AB6EC1"/>
    <w:rsid w:val="00AB6FD8"/>
    <w:rsid w:val="00AB704D"/>
    <w:rsid w:val="00AB70FB"/>
    <w:rsid w:val="00AB719C"/>
    <w:rsid w:val="00AB7298"/>
    <w:rsid w:val="00AB754D"/>
    <w:rsid w:val="00AB75AD"/>
    <w:rsid w:val="00AB774A"/>
    <w:rsid w:val="00AB780B"/>
    <w:rsid w:val="00AB7848"/>
    <w:rsid w:val="00AB7AA6"/>
    <w:rsid w:val="00AB7C64"/>
    <w:rsid w:val="00AB7C6D"/>
    <w:rsid w:val="00AB7CA2"/>
    <w:rsid w:val="00AB7CB6"/>
    <w:rsid w:val="00AB7D7F"/>
    <w:rsid w:val="00AB7ECF"/>
    <w:rsid w:val="00AB7F16"/>
    <w:rsid w:val="00AB7F64"/>
    <w:rsid w:val="00AC0073"/>
    <w:rsid w:val="00AC0289"/>
    <w:rsid w:val="00AC02CB"/>
    <w:rsid w:val="00AC032F"/>
    <w:rsid w:val="00AC04BD"/>
    <w:rsid w:val="00AC0511"/>
    <w:rsid w:val="00AC0639"/>
    <w:rsid w:val="00AC063E"/>
    <w:rsid w:val="00AC0827"/>
    <w:rsid w:val="00AC085A"/>
    <w:rsid w:val="00AC093E"/>
    <w:rsid w:val="00AC0C2B"/>
    <w:rsid w:val="00AC0CA6"/>
    <w:rsid w:val="00AC0CB0"/>
    <w:rsid w:val="00AC0D22"/>
    <w:rsid w:val="00AC0D6C"/>
    <w:rsid w:val="00AC0E68"/>
    <w:rsid w:val="00AC0F84"/>
    <w:rsid w:val="00AC0FA3"/>
    <w:rsid w:val="00AC0FAE"/>
    <w:rsid w:val="00AC107E"/>
    <w:rsid w:val="00AC10E5"/>
    <w:rsid w:val="00AC12FE"/>
    <w:rsid w:val="00AC1350"/>
    <w:rsid w:val="00AC145E"/>
    <w:rsid w:val="00AC1475"/>
    <w:rsid w:val="00AC17E7"/>
    <w:rsid w:val="00AC1802"/>
    <w:rsid w:val="00AC1A12"/>
    <w:rsid w:val="00AC1B4A"/>
    <w:rsid w:val="00AC1B9B"/>
    <w:rsid w:val="00AC1CC7"/>
    <w:rsid w:val="00AC1CE1"/>
    <w:rsid w:val="00AC1F5E"/>
    <w:rsid w:val="00AC1FEE"/>
    <w:rsid w:val="00AC2094"/>
    <w:rsid w:val="00AC20B9"/>
    <w:rsid w:val="00AC21F4"/>
    <w:rsid w:val="00AC222D"/>
    <w:rsid w:val="00AC22B0"/>
    <w:rsid w:val="00AC22C4"/>
    <w:rsid w:val="00AC23DB"/>
    <w:rsid w:val="00AC26D6"/>
    <w:rsid w:val="00AC277E"/>
    <w:rsid w:val="00AC27AD"/>
    <w:rsid w:val="00AC293A"/>
    <w:rsid w:val="00AC2B0D"/>
    <w:rsid w:val="00AC2C76"/>
    <w:rsid w:val="00AC2D8E"/>
    <w:rsid w:val="00AC323A"/>
    <w:rsid w:val="00AC32E5"/>
    <w:rsid w:val="00AC336F"/>
    <w:rsid w:val="00AC3409"/>
    <w:rsid w:val="00AC34AC"/>
    <w:rsid w:val="00AC34DE"/>
    <w:rsid w:val="00AC361E"/>
    <w:rsid w:val="00AC3E85"/>
    <w:rsid w:val="00AC3F6A"/>
    <w:rsid w:val="00AC4012"/>
    <w:rsid w:val="00AC42FF"/>
    <w:rsid w:val="00AC4333"/>
    <w:rsid w:val="00AC43FB"/>
    <w:rsid w:val="00AC449C"/>
    <w:rsid w:val="00AC4508"/>
    <w:rsid w:val="00AC452C"/>
    <w:rsid w:val="00AC475B"/>
    <w:rsid w:val="00AC482D"/>
    <w:rsid w:val="00AC4A64"/>
    <w:rsid w:val="00AC4AD6"/>
    <w:rsid w:val="00AC4C19"/>
    <w:rsid w:val="00AC4C2D"/>
    <w:rsid w:val="00AC4D41"/>
    <w:rsid w:val="00AC4DB5"/>
    <w:rsid w:val="00AC4DE7"/>
    <w:rsid w:val="00AC50CE"/>
    <w:rsid w:val="00AC511E"/>
    <w:rsid w:val="00AC5142"/>
    <w:rsid w:val="00AC5232"/>
    <w:rsid w:val="00AC535D"/>
    <w:rsid w:val="00AC551E"/>
    <w:rsid w:val="00AC55AA"/>
    <w:rsid w:val="00AC564D"/>
    <w:rsid w:val="00AC57A8"/>
    <w:rsid w:val="00AC581E"/>
    <w:rsid w:val="00AC582C"/>
    <w:rsid w:val="00AC5957"/>
    <w:rsid w:val="00AC5A18"/>
    <w:rsid w:val="00AC5AE2"/>
    <w:rsid w:val="00AC5B49"/>
    <w:rsid w:val="00AC5CE2"/>
    <w:rsid w:val="00AC5D4A"/>
    <w:rsid w:val="00AC5DB0"/>
    <w:rsid w:val="00AC5DDE"/>
    <w:rsid w:val="00AC5ED2"/>
    <w:rsid w:val="00AC6077"/>
    <w:rsid w:val="00AC61FA"/>
    <w:rsid w:val="00AC6296"/>
    <w:rsid w:val="00AC62C2"/>
    <w:rsid w:val="00AC6373"/>
    <w:rsid w:val="00AC639D"/>
    <w:rsid w:val="00AC63D9"/>
    <w:rsid w:val="00AC64B5"/>
    <w:rsid w:val="00AC6502"/>
    <w:rsid w:val="00AC65C0"/>
    <w:rsid w:val="00AC66D4"/>
    <w:rsid w:val="00AC674F"/>
    <w:rsid w:val="00AC6AFC"/>
    <w:rsid w:val="00AC6C07"/>
    <w:rsid w:val="00AC6E90"/>
    <w:rsid w:val="00AC6F1B"/>
    <w:rsid w:val="00AC704B"/>
    <w:rsid w:val="00AC7265"/>
    <w:rsid w:val="00AC727B"/>
    <w:rsid w:val="00AC73BF"/>
    <w:rsid w:val="00AC7441"/>
    <w:rsid w:val="00AC7519"/>
    <w:rsid w:val="00AC7665"/>
    <w:rsid w:val="00AC7742"/>
    <w:rsid w:val="00AC77C3"/>
    <w:rsid w:val="00AC7AE6"/>
    <w:rsid w:val="00AC7AF9"/>
    <w:rsid w:val="00AC7AFC"/>
    <w:rsid w:val="00AC7B83"/>
    <w:rsid w:val="00AC7B94"/>
    <w:rsid w:val="00AC7BA4"/>
    <w:rsid w:val="00AC7C0E"/>
    <w:rsid w:val="00AC7C46"/>
    <w:rsid w:val="00AC7D5B"/>
    <w:rsid w:val="00AC7E23"/>
    <w:rsid w:val="00AC7ED4"/>
    <w:rsid w:val="00AC7F5C"/>
    <w:rsid w:val="00AD016C"/>
    <w:rsid w:val="00AD01C6"/>
    <w:rsid w:val="00AD020B"/>
    <w:rsid w:val="00AD02AC"/>
    <w:rsid w:val="00AD02DA"/>
    <w:rsid w:val="00AD0312"/>
    <w:rsid w:val="00AD03DC"/>
    <w:rsid w:val="00AD046A"/>
    <w:rsid w:val="00AD04D8"/>
    <w:rsid w:val="00AD05C9"/>
    <w:rsid w:val="00AD06E9"/>
    <w:rsid w:val="00AD081C"/>
    <w:rsid w:val="00AD0986"/>
    <w:rsid w:val="00AD0A0A"/>
    <w:rsid w:val="00AD0A78"/>
    <w:rsid w:val="00AD0A7F"/>
    <w:rsid w:val="00AD0ACC"/>
    <w:rsid w:val="00AD0C71"/>
    <w:rsid w:val="00AD0EF8"/>
    <w:rsid w:val="00AD0F36"/>
    <w:rsid w:val="00AD0F8F"/>
    <w:rsid w:val="00AD102A"/>
    <w:rsid w:val="00AD12F9"/>
    <w:rsid w:val="00AD133A"/>
    <w:rsid w:val="00AD14F5"/>
    <w:rsid w:val="00AD161B"/>
    <w:rsid w:val="00AD178A"/>
    <w:rsid w:val="00AD17CB"/>
    <w:rsid w:val="00AD1910"/>
    <w:rsid w:val="00AD1D84"/>
    <w:rsid w:val="00AD1DD3"/>
    <w:rsid w:val="00AD1FB5"/>
    <w:rsid w:val="00AD20D5"/>
    <w:rsid w:val="00AD21E8"/>
    <w:rsid w:val="00AD22A7"/>
    <w:rsid w:val="00AD24BA"/>
    <w:rsid w:val="00AD2575"/>
    <w:rsid w:val="00AD257F"/>
    <w:rsid w:val="00AD2609"/>
    <w:rsid w:val="00AD2648"/>
    <w:rsid w:val="00AD264D"/>
    <w:rsid w:val="00AD2674"/>
    <w:rsid w:val="00AD268B"/>
    <w:rsid w:val="00AD26B6"/>
    <w:rsid w:val="00AD2860"/>
    <w:rsid w:val="00AD2983"/>
    <w:rsid w:val="00AD29E6"/>
    <w:rsid w:val="00AD2A45"/>
    <w:rsid w:val="00AD2CCD"/>
    <w:rsid w:val="00AD2CD3"/>
    <w:rsid w:val="00AD2CF1"/>
    <w:rsid w:val="00AD2DC4"/>
    <w:rsid w:val="00AD2FA2"/>
    <w:rsid w:val="00AD30BF"/>
    <w:rsid w:val="00AD31AD"/>
    <w:rsid w:val="00AD3255"/>
    <w:rsid w:val="00AD32EC"/>
    <w:rsid w:val="00AD33A4"/>
    <w:rsid w:val="00AD3569"/>
    <w:rsid w:val="00AD3713"/>
    <w:rsid w:val="00AD371C"/>
    <w:rsid w:val="00AD376C"/>
    <w:rsid w:val="00AD3857"/>
    <w:rsid w:val="00AD3896"/>
    <w:rsid w:val="00AD39A9"/>
    <w:rsid w:val="00AD3A2C"/>
    <w:rsid w:val="00AD3A90"/>
    <w:rsid w:val="00AD3BCE"/>
    <w:rsid w:val="00AD3C7C"/>
    <w:rsid w:val="00AD3D45"/>
    <w:rsid w:val="00AD3E23"/>
    <w:rsid w:val="00AD3E2A"/>
    <w:rsid w:val="00AD3EB8"/>
    <w:rsid w:val="00AD4076"/>
    <w:rsid w:val="00AD410A"/>
    <w:rsid w:val="00AD4163"/>
    <w:rsid w:val="00AD41D1"/>
    <w:rsid w:val="00AD41E7"/>
    <w:rsid w:val="00AD4279"/>
    <w:rsid w:val="00AD42A5"/>
    <w:rsid w:val="00AD42F6"/>
    <w:rsid w:val="00AD4348"/>
    <w:rsid w:val="00AD47E6"/>
    <w:rsid w:val="00AD491D"/>
    <w:rsid w:val="00AD494B"/>
    <w:rsid w:val="00AD49CF"/>
    <w:rsid w:val="00AD4A63"/>
    <w:rsid w:val="00AD4AEC"/>
    <w:rsid w:val="00AD4BC8"/>
    <w:rsid w:val="00AD50CE"/>
    <w:rsid w:val="00AD5124"/>
    <w:rsid w:val="00AD5447"/>
    <w:rsid w:val="00AD55CD"/>
    <w:rsid w:val="00AD56AF"/>
    <w:rsid w:val="00AD5703"/>
    <w:rsid w:val="00AD57A8"/>
    <w:rsid w:val="00AD57C9"/>
    <w:rsid w:val="00AD584D"/>
    <w:rsid w:val="00AD5943"/>
    <w:rsid w:val="00AD597D"/>
    <w:rsid w:val="00AD5A91"/>
    <w:rsid w:val="00AD5B18"/>
    <w:rsid w:val="00AD5B6E"/>
    <w:rsid w:val="00AD5C6A"/>
    <w:rsid w:val="00AD5CE0"/>
    <w:rsid w:val="00AD5DF9"/>
    <w:rsid w:val="00AD5FBA"/>
    <w:rsid w:val="00AD5FF0"/>
    <w:rsid w:val="00AD62F1"/>
    <w:rsid w:val="00AD6726"/>
    <w:rsid w:val="00AD6739"/>
    <w:rsid w:val="00AD6742"/>
    <w:rsid w:val="00AD6757"/>
    <w:rsid w:val="00AD6773"/>
    <w:rsid w:val="00AD67FD"/>
    <w:rsid w:val="00AD6870"/>
    <w:rsid w:val="00AD6980"/>
    <w:rsid w:val="00AD6B7D"/>
    <w:rsid w:val="00AD6EC4"/>
    <w:rsid w:val="00AD6FB5"/>
    <w:rsid w:val="00AD7156"/>
    <w:rsid w:val="00AD7205"/>
    <w:rsid w:val="00AD73F2"/>
    <w:rsid w:val="00AD7407"/>
    <w:rsid w:val="00AD7428"/>
    <w:rsid w:val="00AD747A"/>
    <w:rsid w:val="00AD74C2"/>
    <w:rsid w:val="00AD755F"/>
    <w:rsid w:val="00AD785D"/>
    <w:rsid w:val="00AD788F"/>
    <w:rsid w:val="00AD7B9A"/>
    <w:rsid w:val="00AD7C25"/>
    <w:rsid w:val="00AD7ED0"/>
    <w:rsid w:val="00AD7FD0"/>
    <w:rsid w:val="00AE013D"/>
    <w:rsid w:val="00AE0165"/>
    <w:rsid w:val="00AE0173"/>
    <w:rsid w:val="00AE01DA"/>
    <w:rsid w:val="00AE03FE"/>
    <w:rsid w:val="00AE04B0"/>
    <w:rsid w:val="00AE0514"/>
    <w:rsid w:val="00AE0615"/>
    <w:rsid w:val="00AE0701"/>
    <w:rsid w:val="00AE072E"/>
    <w:rsid w:val="00AE0850"/>
    <w:rsid w:val="00AE0956"/>
    <w:rsid w:val="00AE09E3"/>
    <w:rsid w:val="00AE0A0D"/>
    <w:rsid w:val="00AE0A2B"/>
    <w:rsid w:val="00AE0A2D"/>
    <w:rsid w:val="00AE0AB2"/>
    <w:rsid w:val="00AE0B16"/>
    <w:rsid w:val="00AE0B3E"/>
    <w:rsid w:val="00AE0E0F"/>
    <w:rsid w:val="00AE0F37"/>
    <w:rsid w:val="00AE0FEF"/>
    <w:rsid w:val="00AE11B4"/>
    <w:rsid w:val="00AE13F0"/>
    <w:rsid w:val="00AE1585"/>
    <w:rsid w:val="00AE17C2"/>
    <w:rsid w:val="00AE181C"/>
    <w:rsid w:val="00AE19E2"/>
    <w:rsid w:val="00AE1A0A"/>
    <w:rsid w:val="00AE1AE0"/>
    <w:rsid w:val="00AE1B21"/>
    <w:rsid w:val="00AE1B5F"/>
    <w:rsid w:val="00AE1C3F"/>
    <w:rsid w:val="00AE1D83"/>
    <w:rsid w:val="00AE1EE7"/>
    <w:rsid w:val="00AE1FBE"/>
    <w:rsid w:val="00AE1FEA"/>
    <w:rsid w:val="00AE216B"/>
    <w:rsid w:val="00AE2320"/>
    <w:rsid w:val="00AE2327"/>
    <w:rsid w:val="00AE23D6"/>
    <w:rsid w:val="00AE2471"/>
    <w:rsid w:val="00AE24BF"/>
    <w:rsid w:val="00AE271F"/>
    <w:rsid w:val="00AE273E"/>
    <w:rsid w:val="00AE287B"/>
    <w:rsid w:val="00AE28E6"/>
    <w:rsid w:val="00AE2975"/>
    <w:rsid w:val="00AE2A61"/>
    <w:rsid w:val="00AE2B91"/>
    <w:rsid w:val="00AE2DA5"/>
    <w:rsid w:val="00AE2E0B"/>
    <w:rsid w:val="00AE2EE8"/>
    <w:rsid w:val="00AE2FA8"/>
    <w:rsid w:val="00AE31E0"/>
    <w:rsid w:val="00AE3258"/>
    <w:rsid w:val="00AE3281"/>
    <w:rsid w:val="00AE3336"/>
    <w:rsid w:val="00AE3357"/>
    <w:rsid w:val="00AE34AC"/>
    <w:rsid w:val="00AE34E0"/>
    <w:rsid w:val="00AE358A"/>
    <w:rsid w:val="00AE3600"/>
    <w:rsid w:val="00AE3646"/>
    <w:rsid w:val="00AE3794"/>
    <w:rsid w:val="00AE390A"/>
    <w:rsid w:val="00AE3A64"/>
    <w:rsid w:val="00AE3AD5"/>
    <w:rsid w:val="00AE3B68"/>
    <w:rsid w:val="00AE3B97"/>
    <w:rsid w:val="00AE3BC8"/>
    <w:rsid w:val="00AE4058"/>
    <w:rsid w:val="00AE4114"/>
    <w:rsid w:val="00AE4160"/>
    <w:rsid w:val="00AE4599"/>
    <w:rsid w:val="00AE4606"/>
    <w:rsid w:val="00AE4854"/>
    <w:rsid w:val="00AE4A13"/>
    <w:rsid w:val="00AE4AB2"/>
    <w:rsid w:val="00AE4ABE"/>
    <w:rsid w:val="00AE4B67"/>
    <w:rsid w:val="00AE4C31"/>
    <w:rsid w:val="00AE4D7A"/>
    <w:rsid w:val="00AE4DB0"/>
    <w:rsid w:val="00AE50F5"/>
    <w:rsid w:val="00AE52B1"/>
    <w:rsid w:val="00AE52E6"/>
    <w:rsid w:val="00AE5314"/>
    <w:rsid w:val="00AE5380"/>
    <w:rsid w:val="00AE53B1"/>
    <w:rsid w:val="00AE551D"/>
    <w:rsid w:val="00AE56DF"/>
    <w:rsid w:val="00AE5792"/>
    <w:rsid w:val="00AE57FA"/>
    <w:rsid w:val="00AE5994"/>
    <w:rsid w:val="00AE5998"/>
    <w:rsid w:val="00AE59D1"/>
    <w:rsid w:val="00AE5AEE"/>
    <w:rsid w:val="00AE5B12"/>
    <w:rsid w:val="00AE5DB8"/>
    <w:rsid w:val="00AE5E08"/>
    <w:rsid w:val="00AE5FA3"/>
    <w:rsid w:val="00AE5FCA"/>
    <w:rsid w:val="00AE6060"/>
    <w:rsid w:val="00AE62BD"/>
    <w:rsid w:val="00AE6305"/>
    <w:rsid w:val="00AE63D9"/>
    <w:rsid w:val="00AE63DF"/>
    <w:rsid w:val="00AE64F5"/>
    <w:rsid w:val="00AE651F"/>
    <w:rsid w:val="00AE6555"/>
    <w:rsid w:val="00AE662D"/>
    <w:rsid w:val="00AE6634"/>
    <w:rsid w:val="00AE666D"/>
    <w:rsid w:val="00AE6749"/>
    <w:rsid w:val="00AE676D"/>
    <w:rsid w:val="00AE67D3"/>
    <w:rsid w:val="00AE699F"/>
    <w:rsid w:val="00AE69D4"/>
    <w:rsid w:val="00AE6A9B"/>
    <w:rsid w:val="00AE6BC6"/>
    <w:rsid w:val="00AE6E94"/>
    <w:rsid w:val="00AE6EA5"/>
    <w:rsid w:val="00AE700C"/>
    <w:rsid w:val="00AE7012"/>
    <w:rsid w:val="00AE7110"/>
    <w:rsid w:val="00AE74AA"/>
    <w:rsid w:val="00AE756A"/>
    <w:rsid w:val="00AE7572"/>
    <w:rsid w:val="00AE764D"/>
    <w:rsid w:val="00AE76B0"/>
    <w:rsid w:val="00AE7742"/>
    <w:rsid w:val="00AE7743"/>
    <w:rsid w:val="00AE78A3"/>
    <w:rsid w:val="00AE794E"/>
    <w:rsid w:val="00AE796A"/>
    <w:rsid w:val="00AE7B33"/>
    <w:rsid w:val="00AE7C50"/>
    <w:rsid w:val="00AE7DAD"/>
    <w:rsid w:val="00AE7E7E"/>
    <w:rsid w:val="00AF0093"/>
    <w:rsid w:val="00AF00F6"/>
    <w:rsid w:val="00AF00F8"/>
    <w:rsid w:val="00AF018A"/>
    <w:rsid w:val="00AF02D5"/>
    <w:rsid w:val="00AF0400"/>
    <w:rsid w:val="00AF059C"/>
    <w:rsid w:val="00AF0727"/>
    <w:rsid w:val="00AF07CC"/>
    <w:rsid w:val="00AF08A9"/>
    <w:rsid w:val="00AF09F1"/>
    <w:rsid w:val="00AF0A2E"/>
    <w:rsid w:val="00AF0A6C"/>
    <w:rsid w:val="00AF0AA1"/>
    <w:rsid w:val="00AF0C65"/>
    <w:rsid w:val="00AF0CD4"/>
    <w:rsid w:val="00AF0FA9"/>
    <w:rsid w:val="00AF0FE1"/>
    <w:rsid w:val="00AF1017"/>
    <w:rsid w:val="00AF1024"/>
    <w:rsid w:val="00AF109B"/>
    <w:rsid w:val="00AF1185"/>
    <w:rsid w:val="00AF121D"/>
    <w:rsid w:val="00AF1387"/>
    <w:rsid w:val="00AF1413"/>
    <w:rsid w:val="00AF145E"/>
    <w:rsid w:val="00AF14AC"/>
    <w:rsid w:val="00AF1640"/>
    <w:rsid w:val="00AF1717"/>
    <w:rsid w:val="00AF171B"/>
    <w:rsid w:val="00AF1867"/>
    <w:rsid w:val="00AF1886"/>
    <w:rsid w:val="00AF1B03"/>
    <w:rsid w:val="00AF1BAF"/>
    <w:rsid w:val="00AF1C2D"/>
    <w:rsid w:val="00AF1DF5"/>
    <w:rsid w:val="00AF1E1D"/>
    <w:rsid w:val="00AF1E9A"/>
    <w:rsid w:val="00AF2057"/>
    <w:rsid w:val="00AF20BB"/>
    <w:rsid w:val="00AF216E"/>
    <w:rsid w:val="00AF2472"/>
    <w:rsid w:val="00AF2494"/>
    <w:rsid w:val="00AF2495"/>
    <w:rsid w:val="00AF24B4"/>
    <w:rsid w:val="00AF27DB"/>
    <w:rsid w:val="00AF288B"/>
    <w:rsid w:val="00AF2A25"/>
    <w:rsid w:val="00AF2AA1"/>
    <w:rsid w:val="00AF2F4A"/>
    <w:rsid w:val="00AF30E2"/>
    <w:rsid w:val="00AF317A"/>
    <w:rsid w:val="00AF3447"/>
    <w:rsid w:val="00AF35B0"/>
    <w:rsid w:val="00AF367C"/>
    <w:rsid w:val="00AF37D5"/>
    <w:rsid w:val="00AF3A04"/>
    <w:rsid w:val="00AF3B1A"/>
    <w:rsid w:val="00AF3C1D"/>
    <w:rsid w:val="00AF3C2D"/>
    <w:rsid w:val="00AF3D34"/>
    <w:rsid w:val="00AF3DDD"/>
    <w:rsid w:val="00AF3DDE"/>
    <w:rsid w:val="00AF3EC8"/>
    <w:rsid w:val="00AF425C"/>
    <w:rsid w:val="00AF4367"/>
    <w:rsid w:val="00AF43F6"/>
    <w:rsid w:val="00AF45F8"/>
    <w:rsid w:val="00AF470D"/>
    <w:rsid w:val="00AF471B"/>
    <w:rsid w:val="00AF47D0"/>
    <w:rsid w:val="00AF47FC"/>
    <w:rsid w:val="00AF4864"/>
    <w:rsid w:val="00AF4AAB"/>
    <w:rsid w:val="00AF4BB4"/>
    <w:rsid w:val="00AF4BBD"/>
    <w:rsid w:val="00AF4C26"/>
    <w:rsid w:val="00AF4DD6"/>
    <w:rsid w:val="00AF4E62"/>
    <w:rsid w:val="00AF4F9C"/>
    <w:rsid w:val="00AF505A"/>
    <w:rsid w:val="00AF50C1"/>
    <w:rsid w:val="00AF510C"/>
    <w:rsid w:val="00AF520C"/>
    <w:rsid w:val="00AF5583"/>
    <w:rsid w:val="00AF55A3"/>
    <w:rsid w:val="00AF5702"/>
    <w:rsid w:val="00AF5BB5"/>
    <w:rsid w:val="00AF5C2A"/>
    <w:rsid w:val="00AF5F3A"/>
    <w:rsid w:val="00AF5FB7"/>
    <w:rsid w:val="00AF600B"/>
    <w:rsid w:val="00AF60CC"/>
    <w:rsid w:val="00AF61AE"/>
    <w:rsid w:val="00AF623D"/>
    <w:rsid w:val="00AF62F2"/>
    <w:rsid w:val="00AF6382"/>
    <w:rsid w:val="00AF64E1"/>
    <w:rsid w:val="00AF652C"/>
    <w:rsid w:val="00AF6552"/>
    <w:rsid w:val="00AF659C"/>
    <w:rsid w:val="00AF66A9"/>
    <w:rsid w:val="00AF66AE"/>
    <w:rsid w:val="00AF67FE"/>
    <w:rsid w:val="00AF6802"/>
    <w:rsid w:val="00AF680E"/>
    <w:rsid w:val="00AF69BC"/>
    <w:rsid w:val="00AF6A18"/>
    <w:rsid w:val="00AF6A71"/>
    <w:rsid w:val="00AF6B6A"/>
    <w:rsid w:val="00AF6B9C"/>
    <w:rsid w:val="00AF6DFC"/>
    <w:rsid w:val="00AF6F37"/>
    <w:rsid w:val="00AF7030"/>
    <w:rsid w:val="00AF70F1"/>
    <w:rsid w:val="00AF71EC"/>
    <w:rsid w:val="00AF73C4"/>
    <w:rsid w:val="00AF740F"/>
    <w:rsid w:val="00AF75AD"/>
    <w:rsid w:val="00AF77A0"/>
    <w:rsid w:val="00AF7824"/>
    <w:rsid w:val="00AF7846"/>
    <w:rsid w:val="00AF79DA"/>
    <w:rsid w:val="00AF7A8F"/>
    <w:rsid w:val="00AF7BDE"/>
    <w:rsid w:val="00AF7C3C"/>
    <w:rsid w:val="00AF7C64"/>
    <w:rsid w:val="00AF7CCE"/>
    <w:rsid w:val="00AF7CED"/>
    <w:rsid w:val="00AF7DCE"/>
    <w:rsid w:val="00AF7DFF"/>
    <w:rsid w:val="00AF7E30"/>
    <w:rsid w:val="00AF7EBD"/>
    <w:rsid w:val="00AF7EC8"/>
    <w:rsid w:val="00AF7F2F"/>
    <w:rsid w:val="00AF7F78"/>
    <w:rsid w:val="00B00039"/>
    <w:rsid w:val="00B00065"/>
    <w:rsid w:val="00B00081"/>
    <w:rsid w:val="00B00132"/>
    <w:rsid w:val="00B001D1"/>
    <w:rsid w:val="00B00455"/>
    <w:rsid w:val="00B004EA"/>
    <w:rsid w:val="00B00537"/>
    <w:rsid w:val="00B00746"/>
    <w:rsid w:val="00B00796"/>
    <w:rsid w:val="00B0083E"/>
    <w:rsid w:val="00B0091D"/>
    <w:rsid w:val="00B00954"/>
    <w:rsid w:val="00B00B70"/>
    <w:rsid w:val="00B00B71"/>
    <w:rsid w:val="00B00B7E"/>
    <w:rsid w:val="00B00CA8"/>
    <w:rsid w:val="00B00D3F"/>
    <w:rsid w:val="00B00D5C"/>
    <w:rsid w:val="00B00D84"/>
    <w:rsid w:val="00B00E78"/>
    <w:rsid w:val="00B00F02"/>
    <w:rsid w:val="00B0113A"/>
    <w:rsid w:val="00B011BF"/>
    <w:rsid w:val="00B0125B"/>
    <w:rsid w:val="00B014EC"/>
    <w:rsid w:val="00B015B4"/>
    <w:rsid w:val="00B015BC"/>
    <w:rsid w:val="00B016B2"/>
    <w:rsid w:val="00B016D7"/>
    <w:rsid w:val="00B016DA"/>
    <w:rsid w:val="00B0178D"/>
    <w:rsid w:val="00B01794"/>
    <w:rsid w:val="00B017CB"/>
    <w:rsid w:val="00B0183D"/>
    <w:rsid w:val="00B018BE"/>
    <w:rsid w:val="00B01999"/>
    <w:rsid w:val="00B019F0"/>
    <w:rsid w:val="00B01D95"/>
    <w:rsid w:val="00B01DB8"/>
    <w:rsid w:val="00B01FBD"/>
    <w:rsid w:val="00B02315"/>
    <w:rsid w:val="00B02719"/>
    <w:rsid w:val="00B02762"/>
    <w:rsid w:val="00B02932"/>
    <w:rsid w:val="00B029CC"/>
    <w:rsid w:val="00B02A67"/>
    <w:rsid w:val="00B02B47"/>
    <w:rsid w:val="00B02D2B"/>
    <w:rsid w:val="00B02D39"/>
    <w:rsid w:val="00B02DE7"/>
    <w:rsid w:val="00B0309D"/>
    <w:rsid w:val="00B03418"/>
    <w:rsid w:val="00B03621"/>
    <w:rsid w:val="00B0372A"/>
    <w:rsid w:val="00B03776"/>
    <w:rsid w:val="00B03793"/>
    <w:rsid w:val="00B03827"/>
    <w:rsid w:val="00B03893"/>
    <w:rsid w:val="00B038F3"/>
    <w:rsid w:val="00B03928"/>
    <w:rsid w:val="00B03B5C"/>
    <w:rsid w:val="00B03D96"/>
    <w:rsid w:val="00B03DA9"/>
    <w:rsid w:val="00B03ED0"/>
    <w:rsid w:val="00B03F86"/>
    <w:rsid w:val="00B0401C"/>
    <w:rsid w:val="00B04072"/>
    <w:rsid w:val="00B04096"/>
    <w:rsid w:val="00B040F4"/>
    <w:rsid w:val="00B04114"/>
    <w:rsid w:val="00B04376"/>
    <w:rsid w:val="00B043D5"/>
    <w:rsid w:val="00B0441A"/>
    <w:rsid w:val="00B0443A"/>
    <w:rsid w:val="00B0444E"/>
    <w:rsid w:val="00B0457A"/>
    <w:rsid w:val="00B04699"/>
    <w:rsid w:val="00B0469A"/>
    <w:rsid w:val="00B0469F"/>
    <w:rsid w:val="00B0471F"/>
    <w:rsid w:val="00B048A7"/>
    <w:rsid w:val="00B04932"/>
    <w:rsid w:val="00B04981"/>
    <w:rsid w:val="00B04B1A"/>
    <w:rsid w:val="00B04C5C"/>
    <w:rsid w:val="00B04C95"/>
    <w:rsid w:val="00B04EC1"/>
    <w:rsid w:val="00B050AB"/>
    <w:rsid w:val="00B050CF"/>
    <w:rsid w:val="00B05132"/>
    <w:rsid w:val="00B05456"/>
    <w:rsid w:val="00B054B6"/>
    <w:rsid w:val="00B054E6"/>
    <w:rsid w:val="00B055A8"/>
    <w:rsid w:val="00B0565A"/>
    <w:rsid w:val="00B056AF"/>
    <w:rsid w:val="00B056F2"/>
    <w:rsid w:val="00B05763"/>
    <w:rsid w:val="00B057F8"/>
    <w:rsid w:val="00B059C6"/>
    <w:rsid w:val="00B05A53"/>
    <w:rsid w:val="00B05A98"/>
    <w:rsid w:val="00B05B17"/>
    <w:rsid w:val="00B05BEF"/>
    <w:rsid w:val="00B05CD7"/>
    <w:rsid w:val="00B06088"/>
    <w:rsid w:val="00B060FD"/>
    <w:rsid w:val="00B062B6"/>
    <w:rsid w:val="00B062E3"/>
    <w:rsid w:val="00B062F8"/>
    <w:rsid w:val="00B0635F"/>
    <w:rsid w:val="00B0645A"/>
    <w:rsid w:val="00B06461"/>
    <w:rsid w:val="00B06480"/>
    <w:rsid w:val="00B06626"/>
    <w:rsid w:val="00B06630"/>
    <w:rsid w:val="00B06650"/>
    <w:rsid w:val="00B06681"/>
    <w:rsid w:val="00B067A5"/>
    <w:rsid w:val="00B067F0"/>
    <w:rsid w:val="00B06877"/>
    <w:rsid w:val="00B06A10"/>
    <w:rsid w:val="00B06DAA"/>
    <w:rsid w:val="00B06E37"/>
    <w:rsid w:val="00B07087"/>
    <w:rsid w:val="00B0712C"/>
    <w:rsid w:val="00B07173"/>
    <w:rsid w:val="00B07292"/>
    <w:rsid w:val="00B072CC"/>
    <w:rsid w:val="00B07318"/>
    <w:rsid w:val="00B0748B"/>
    <w:rsid w:val="00B0756E"/>
    <w:rsid w:val="00B07603"/>
    <w:rsid w:val="00B0784E"/>
    <w:rsid w:val="00B07AEC"/>
    <w:rsid w:val="00B07C04"/>
    <w:rsid w:val="00B07DCA"/>
    <w:rsid w:val="00B07F87"/>
    <w:rsid w:val="00B10020"/>
    <w:rsid w:val="00B10096"/>
    <w:rsid w:val="00B1009D"/>
    <w:rsid w:val="00B1080B"/>
    <w:rsid w:val="00B108CF"/>
    <w:rsid w:val="00B10970"/>
    <w:rsid w:val="00B10A28"/>
    <w:rsid w:val="00B10AAC"/>
    <w:rsid w:val="00B10B20"/>
    <w:rsid w:val="00B10C4A"/>
    <w:rsid w:val="00B10C57"/>
    <w:rsid w:val="00B10D12"/>
    <w:rsid w:val="00B10DC3"/>
    <w:rsid w:val="00B10E86"/>
    <w:rsid w:val="00B10EB8"/>
    <w:rsid w:val="00B10F7E"/>
    <w:rsid w:val="00B11029"/>
    <w:rsid w:val="00B11056"/>
    <w:rsid w:val="00B110F4"/>
    <w:rsid w:val="00B11110"/>
    <w:rsid w:val="00B11135"/>
    <w:rsid w:val="00B113CD"/>
    <w:rsid w:val="00B116C1"/>
    <w:rsid w:val="00B1177F"/>
    <w:rsid w:val="00B11881"/>
    <w:rsid w:val="00B118A2"/>
    <w:rsid w:val="00B118E9"/>
    <w:rsid w:val="00B119C8"/>
    <w:rsid w:val="00B11B61"/>
    <w:rsid w:val="00B11D35"/>
    <w:rsid w:val="00B11E28"/>
    <w:rsid w:val="00B121A6"/>
    <w:rsid w:val="00B12400"/>
    <w:rsid w:val="00B12409"/>
    <w:rsid w:val="00B12587"/>
    <w:rsid w:val="00B12597"/>
    <w:rsid w:val="00B12672"/>
    <w:rsid w:val="00B126D4"/>
    <w:rsid w:val="00B12786"/>
    <w:rsid w:val="00B12A6F"/>
    <w:rsid w:val="00B12C85"/>
    <w:rsid w:val="00B12CB5"/>
    <w:rsid w:val="00B12CE5"/>
    <w:rsid w:val="00B12DB2"/>
    <w:rsid w:val="00B12DFC"/>
    <w:rsid w:val="00B12E74"/>
    <w:rsid w:val="00B12F8F"/>
    <w:rsid w:val="00B12FFD"/>
    <w:rsid w:val="00B1305A"/>
    <w:rsid w:val="00B130BB"/>
    <w:rsid w:val="00B131B9"/>
    <w:rsid w:val="00B13243"/>
    <w:rsid w:val="00B13245"/>
    <w:rsid w:val="00B134A1"/>
    <w:rsid w:val="00B134C6"/>
    <w:rsid w:val="00B13636"/>
    <w:rsid w:val="00B13691"/>
    <w:rsid w:val="00B1377B"/>
    <w:rsid w:val="00B13860"/>
    <w:rsid w:val="00B139A6"/>
    <w:rsid w:val="00B139D1"/>
    <w:rsid w:val="00B13A50"/>
    <w:rsid w:val="00B13B3A"/>
    <w:rsid w:val="00B13C5B"/>
    <w:rsid w:val="00B13CD8"/>
    <w:rsid w:val="00B13CEC"/>
    <w:rsid w:val="00B13D31"/>
    <w:rsid w:val="00B13DAE"/>
    <w:rsid w:val="00B13DCB"/>
    <w:rsid w:val="00B13FB6"/>
    <w:rsid w:val="00B1419D"/>
    <w:rsid w:val="00B14203"/>
    <w:rsid w:val="00B143E7"/>
    <w:rsid w:val="00B144B3"/>
    <w:rsid w:val="00B144F0"/>
    <w:rsid w:val="00B14580"/>
    <w:rsid w:val="00B145BB"/>
    <w:rsid w:val="00B1471F"/>
    <w:rsid w:val="00B14738"/>
    <w:rsid w:val="00B1478A"/>
    <w:rsid w:val="00B1481E"/>
    <w:rsid w:val="00B14906"/>
    <w:rsid w:val="00B149AD"/>
    <w:rsid w:val="00B14AEA"/>
    <w:rsid w:val="00B14BD9"/>
    <w:rsid w:val="00B14C6B"/>
    <w:rsid w:val="00B14DED"/>
    <w:rsid w:val="00B14E32"/>
    <w:rsid w:val="00B15004"/>
    <w:rsid w:val="00B1510D"/>
    <w:rsid w:val="00B15118"/>
    <w:rsid w:val="00B151F4"/>
    <w:rsid w:val="00B15205"/>
    <w:rsid w:val="00B1528E"/>
    <w:rsid w:val="00B1538A"/>
    <w:rsid w:val="00B153B5"/>
    <w:rsid w:val="00B15410"/>
    <w:rsid w:val="00B1541A"/>
    <w:rsid w:val="00B15548"/>
    <w:rsid w:val="00B155E1"/>
    <w:rsid w:val="00B156AA"/>
    <w:rsid w:val="00B159BD"/>
    <w:rsid w:val="00B15B96"/>
    <w:rsid w:val="00B15BE5"/>
    <w:rsid w:val="00B15C52"/>
    <w:rsid w:val="00B15C72"/>
    <w:rsid w:val="00B15DDB"/>
    <w:rsid w:val="00B15FB6"/>
    <w:rsid w:val="00B161B4"/>
    <w:rsid w:val="00B161CF"/>
    <w:rsid w:val="00B162F5"/>
    <w:rsid w:val="00B164B6"/>
    <w:rsid w:val="00B165D0"/>
    <w:rsid w:val="00B1660A"/>
    <w:rsid w:val="00B166C7"/>
    <w:rsid w:val="00B167AC"/>
    <w:rsid w:val="00B16855"/>
    <w:rsid w:val="00B168E2"/>
    <w:rsid w:val="00B16A51"/>
    <w:rsid w:val="00B16ACD"/>
    <w:rsid w:val="00B16ADA"/>
    <w:rsid w:val="00B16AFE"/>
    <w:rsid w:val="00B16CE0"/>
    <w:rsid w:val="00B16F7D"/>
    <w:rsid w:val="00B17092"/>
    <w:rsid w:val="00B1724B"/>
    <w:rsid w:val="00B172B6"/>
    <w:rsid w:val="00B17348"/>
    <w:rsid w:val="00B17383"/>
    <w:rsid w:val="00B1740D"/>
    <w:rsid w:val="00B175D9"/>
    <w:rsid w:val="00B175DC"/>
    <w:rsid w:val="00B176AE"/>
    <w:rsid w:val="00B1775C"/>
    <w:rsid w:val="00B179AD"/>
    <w:rsid w:val="00B17A3E"/>
    <w:rsid w:val="00B17DB6"/>
    <w:rsid w:val="00B17E18"/>
    <w:rsid w:val="00B17F2A"/>
    <w:rsid w:val="00B20290"/>
    <w:rsid w:val="00B203B5"/>
    <w:rsid w:val="00B20517"/>
    <w:rsid w:val="00B20544"/>
    <w:rsid w:val="00B20559"/>
    <w:rsid w:val="00B205B0"/>
    <w:rsid w:val="00B205B1"/>
    <w:rsid w:val="00B205D4"/>
    <w:rsid w:val="00B20633"/>
    <w:rsid w:val="00B20822"/>
    <w:rsid w:val="00B20875"/>
    <w:rsid w:val="00B2088C"/>
    <w:rsid w:val="00B2089F"/>
    <w:rsid w:val="00B208FF"/>
    <w:rsid w:val="00B20907"/>
    <w:rsid w:val="00B2092A"/>
    <w:rsid w:val="00B209B3"/>
    <w:rsid w:val="00B20ACB"/>
    <w:rsid w:val="00B20B03"/>
    <w:rsid w:val="00B20B5C"/>
    <w:rsid w:val="00B20B73"/>
    <w:rsid w:val="00B20C77"/>
    <w:rsid w:val="00B20C89"/>
    <w:rsid w:val="00B20CB7"/>
    <w:rsid w:val="00B20CC5"/>
    <w:rsid w:val="00B20DA7"/>
    <w:rsid w:val="00B20F97"/>
    <w:rsid w:val="00B20FC9"/>
    <w:rsid w:val="00B20FEA"/>
    <w:rsid w:val="00B21162"/>
    <w:rsid w:val="00B212E2"/>
    <w:rsid w:val="00B212F0"/>
    <w:rsid w:val="00B21367"/>
    <w:rsid w:val="00B214E0"/>
    <w:rsid w:val="00B2166C"/>
    <w:rsid w:val="00B2166D"/>
    <w:rsid w:val="00B21778"/>
    <w:rsid w:val="00B21867"/>
    <w:rsid w:val="00B21883"/>
    <w:rsid w:val="00B21892"/>
    <w:rsid w:val="00B21905"/>
    <w:rsid w:val="00B21960"/>
    <w:rsid w:val="00B21A09"/>
    <w:rsid w:val="00B21B09"/>
    <w:rsid w:val="00B21BB1"/>
    <w:rsid w:val="00B21C5A"/>
    <w:rsid w:val="00B21EBF"/>
    <w:rsid w:val="00B21FD2"/>
    <w:rsid w:val="00B2202A"/>
    <w:rsid w:val="00B221FB"/>
    <w:rsid w:val="00B222EC"/>
    <w:rsid w:val="00B224E2"/>
    <w:rsid w:val="00B22570"/>
    <w:rsid w:val="00B2269A"/>
    <w:rsid w:val="00B2273A"/>
    <w:rsid w:val="00B22850"/>
    <w:rsid w:val="00B22B70"/>
    <w:rsid w:val="00B22E29"/>
    <w:rsid w:val="00B22E82"/>
    <w:rsid w:val="00B22EE5"/>
    <w:rsid w:val="00B22F57"/>
    <w:rsid w:val="00B22FE2"/>
    <w:rsid w:val="00B22FFC"/>
    <w:rsid w:val="00B2304F"/>
    <w:rsid w:val="00B2305E"/>
    <w:rsid w:val="00B23081"/>
    <w:rsid w:val="00B230DA"/>
    <w:rsid w:val="00B2310F"/>
    <w:rsid w:val="00B232A3"/>
    <w:rsid w:val="00B232D9"/>
    <w:rsid w:val="00B234C5"/>
    <w:rsid w:val="00B2355C"/>
    <w:rsid w:val="00B23588"/>
    <w:rsid w:val="00B237DB"/>
    <w:rsid w:val="00B23812"/>
    <w:rsid w:val="00B23829"/>
    <w:rsid w:val="00B23B35"/>
    <w:rsid w:val="00B23B76"/>
    <w:rsid w:val="00B23CB9"/>
    <w:rsid w:val="00B23E21"/>
    <w:rsid w:val="00B23E5C"/>
    <w:rsid w:val="00B23E8B"/>
    <w:rsid w:val="00B2406B"/>
    <w:rsid w:val="00B24143"/>
    <w:rsid w:val="00B24231"/>
    <w:rsid w:val="00B2428D"/>
    <w:rsid w:val="00B243BA"/>
    <w:rsid w:val="00B243DB"/>
    <w:rsid w:val="00B2459D"/>
    <w:rsid w:val="00B2460F"/>
    <w:rsid w:val="00B246BF"/>
    <w:rsid w:val="00B24827"/>
    <w:rsid w:val="00B24872"/>
    <w:rsid w:val="00B24877"/>
    <w:rsid w:val="00B24989"/>
    <w:rsid w:val="00B24AC1"/>
    <w:rsid w:val="00B24B16"/>
    <w:rsid w:val="00B24C5F"/>
    <w:rsid w:val="00B24E28"/>
    <w:rsid w:val="00B24E45"/>
    <w:rsid w:val="00B24E95"/>
    <w:rsid w:val="00B25170"/>
    <w:rsid w:val="00B2519F"/>
    <w:rsid w:val="00B252E1"/>
    <w:rsid w:val="00B2542C"/>
    <w:rsid w:val="00B257E1"/>
    <w:rsid w:val="00B257FB"/>
    <w:rsid w:val="00B2584D"/>
    <w:rsid w:val="00B25893"/>
    <w:rsid w:val="00B258CF"/>
    <w:rsid w:val="00B25A04"/>
    <w:rsid w:val="00B25C65"/>
    <w:rsid w:val="00B25CA7"/>
    <w:rsid w:val="00B26039"/>
    <w:rsid w:val="00B261C7"/>
    <w:rsid w:val="00B262AC"/>
    <w:rsid w:val="00B2635B"/>
    <w:rsid w:val="00B2635D"/>
    <w:rsid w:val="00B26403"/>
    <w:rsid w:val="00B2646C"/>
    <w:rsid w:val="00B2658F"/>
    <w:rsid w:val="00B26795"/>
    <w:rsid w:val="00B26A27"/>
    <w:rsid w:val="00B26A61"/>
    <w:rsid w:val="00B26A6F"/>
    <w:rsid w:val="00B26BDA"/>
    <w:rsid w:val="00B26C46"/>
    <w:rsid w:val="00B26CC5"/>
    <w:rsid w:val="00B26D04"/>
    <w:rsid w:val="00B26DFD"/>
    <w:rsid w:val="00B27091"/>
    <w:rsid w:val="00B27259"/>
    <w:rsid w:val="00B2762D"/>
    <w:rsid w:val="00B27726"/>
    <w:rsid w:val="00B2778C"/>
    <w:rsid w:val="00B277A5"/>
    <w:rsid w:val="00B278FE"/>
    <w:rsid w:val="00B27A39"/>
    <w:rsid w:val="00B27AE0"/>
    <w:rsid w:val="00B27B18"/>
    <w:rsid w:val="00B27C05"/>
    <w:rsid w:val="00B27CD9"/>
    <w:rsid w:val="00B27D38"/>
    <w:rsid w:val="00B30042"/>
    <w:rsid w:val="00B3007D"/>
    <w:rsid w:val="00B300FC"/>
    <w:rsid w:val="00B30130"/>
    <w:rsid w:val="00B30275"/>
    <w:rsid w:val="00B30352"/>
    <w:rsid w:val="00B303A9"/>
    <w:rsid w:val="00B30640"/>
    <w:rsid w:val="00B307A4"/>
    <w:rsid w:val="00B30845"/>
    <w:rsid w:val="00B308B0"/>
    <w:rsid w:val="00B30B57"/>
    <w:rsid w:val="00B30BF6"/>
    <w:rsid w:val="00B30C1D"/>
    <w:rsid w:val="00B30C92"/>
    <w:rsid w:val="00B30C96"/>
    <w:rsid w:val="00B30FC1"/>
    <w:rsid w:val="00B31022"/>
    <w:rsid w:val="00B310A7"/>
    <w:rsid w:val="00B311AD"/>
    <w:rsid w:val="00B312ED"/>
    <w:rsid w:val="00B31433"/>
    <w:rsid w:val="00B31529"/>
    <w:rsid w:val="00B3165A"/>
    <w:rsid w:val="00B31695"/>
    <w:rsid w:val="00B3175F"/>
    <w:rsid w:val="00B31972"/>
    <w:rsid w:val="00B31994"/>
    <w:rsid w:val="00B319EA"/>
    <w:rsid w:val="00B31C45"/>
    <w:rsid w:val="00B31CA1"/>
    <w:rsid w:val="00B31D5B"/>
    <w:rsid w:val="00B3208D"/>
    <w:rsid w:val="00B32142"/>
    <w:rsid w:val="00B321B3"/>
    <w:rsid w:val="00B3220B"/>
    <w:rsid w:val="00B32539"/>
    <w:rsid w:val="00B32577"/>
    <w:rsid w:val="00B32651"/>
    <w:rsid w:val="00B3270B"/>
    <w:rsid w:val="00B3298A"/>
    <w:rsid w:val="00B329C4"/>
    <w:rsid w:val="00B32A43"/>
    <w:rsid w:val="00B32AF1"/>
    <w:rsid w:val="00B32B17"/>
    <w:rsid w:val="00B32B46"/>
    <w:rsid w:val="00B32B5E"/>
    <w:rsid w:val="00B32BFD"/>
    <w:rsid w:val="00B32C1E"/>
    <w:rsid w:val="00B32C4A"/>
    <w:rsid w:val="00B32D3B"/>
    <w:rsid w:val="00B32F06"/>
    <w:rsid w:val="00B33381"/>
    <w:rsid w:val="00B3344A"/>
    <w:rsid w:val="00B3345E"/>
    <w:rsid w:val="00B33AE0"/>
    <w:rsid w:val="00B33D62"/>
    <w:rsid w:val="00B33EA1"/>
    <w:rsid w:val="00B33F6D"/>
    <w:rsid w:val="00B33FCE"/>
    <w:rsid w:val="00B3426A"/>
    <w:rsid w:val="00B34271"/>
    <w:rsid w:val="00B34304"/>
    <w:rsid w:val="00B34402"/>
    <w:rsid w:val="00B3445C"/>
    <w:rsid w:val="00B34661"/>
    <w:rsid w:val="00B346E6"/>
    <w:rsid w:val="00B34903"/>
    <w:rsid w:val="00B34A30"/>
    <w:rsid w:val="00B34B4A"/>
    <w:rsid w:val="00B34B52"/>
    <w:rsid w:val="00B34B6F"/>
    <w:rsid w:val="00B34BB6"/>
    <w:rsid w:val="00B34D76"/>
    <w:rsid w:val="00B34E13"/>
    <w:rsid w:val="00B34F0F"/>
    <w:rsid w:val="00B34F33"/>
    <w:rsid w:val="00B34F5A"/>
    <w:rsid w:val="00B34F97"/>
    <w:rsid w:val="00B34FA6"/>
    <w:rsid w:val="00B351E8"/>
    <w:rsid w:val="00B3520C"/>
    <w:rsid w:val="00B3529D"/>
    <w:rsid w:val="00B35461"/>
    <w:rsid w:val="00B35541"/>
    <w:rsid w:val="00B3557B"/>
    <w:rsid w:val="00B356FC"/>
    <w:rsid w:val="00B3578C"/>
    <w:rsid w:val="00B357E3"/>
    <w:rsid w:val="00B3593B"/>
    <w:rsid w:val="00B35A81"/>
    <w:rsid w:val="00B35B7F"/>
    <w:rsid w:val="00B35C64"/>
    <w:rsid w:val="00B35C6C"/>
    <w:rsid w:val="00B35D3F"/>
    <w:rsid w:val="00B35E7A"/>
    <w:rsid w:val="00B35EC4"/>
    <w:rsid w:val="00B35EFA"/>
    <w:rsid w:val="00B35F02"/>
    <w:rsid w:val="00B35F5A"/>
    <w:rsid w:val="00B3615A"/>
    <w:rsid w:val="00B361C9"/>
    <w:rsid w:val="00B361E9"/>
    <w:rsid w:val="00B3622A"/>
    <w:rsid w:val="00B363D2"/>
    <w:rsid w:val="00B3658C"/>
    <w:rsid w:val="00B3658E"/>
    <w:rsid w:val="00B365EA"/>
    <w:rsid w:val="00B36660"/>
    <w:rsid w:val="00B366D8"/>
    <w:rsid w:val="00B3671C"/>
    <w:rsid w:val="00B368BA"/>
    <w:rsid w:val="00B368FD"/>
    <w:rsid w:val="00B36D79"/>
    <w:rsid w:val="00B36DBD"/>
    <w:rsid w:val="00B36DD8"/>
    <w:rsid w:val="00B36EF8"/>
    <w:rsid w:val="00B36F32"/>
    <w:rsid w:val="00B370A4"/>
    <w:rsid w:val="00B370ED"/>
    <w:rsid w:val="00B373FE"/>
    <w:rsid w:val="00B374C1"/>
    <w:rsid w:val="00B37554"/>
    <w:rsid w:val="00B376B7"/>
    <w:rsid w:val="00B3777B"/>
    <w:rsid w:val="00B377D3"/>
    <w:rsid w:val="00B37A5D"/>
    <w:rsid w:val="00B37B68"/>
    <w:rsid w:val="00B37C04"/>
    <w:rsid w:val="00B37CB1"/>
    <w:rsid w:val="00B37CB9"/>
    <w:rsid w:val="00B37DBF"/>
    <w:rsid w:val="00B37EA6"/>
    <w:rsid w:val="00B37F71"/>
    <w:rsid w:val="00B400F4"/>
    <w:rsid w:val="00B40130"/>
    <w:rsid w:val="00B401B6"/>
    <w:rsid w:val="00B4023E"/>
    <w:rsid w:val="00B40253"/>
    <w:rsid w:val="00B4041C"/>
    <w:rsid w:val="00B40713"/>
    <w:rsid w:val="00B40819"/>
    <w:rsid w:val="00B40897"/>
    <w:rsid w:val="00B409EE"/>
    <w:rsid w:val="00B40C00"/>
    <w:rsid w:val="00B40C6F"/>
    <w:rsid w:val="00B40D1C"/>
    <w:rsid w:val="00B40D70"/>
    <w:rsid w:val="00B40DB5"/>
    <w:rsid w:val="00B40F1C"/>
    <w:rsid w:val="00B410DE"/>
    <w:rsid w:val="00B4122F"/>
    <w:rsid w:val="00B412F8"/>
    <w:rsid w:val="00B4139E"/>
    <w:rsid w:val="00B4141C"/>
    <w:rsid w:val="00B4142B"/>
    <w:rsid w:val="00B414B6"/>
    <w:rsid w:val="00B414D6"/>
    <w:rsid w:val="00B417E1"/>
    <w:rsid w:val="00B4189C"/>
    <w:rsid w:val="00B419E1"/>
    <w:rsid w:val="00B41AFE"/>
    <w:rsid w:val="00B41B0C"/>
    <w:rsid w:val="00B41CBA"/>
    <w:rsid w:val="00B41E80"/>
    <w:rsid w:val="00B41EE8"/>
    <w:rsid w:val="00B421AC"/>
    <w:rsid w:val="00B42453"/>
    <w:rsid w:val="00B4245F"/>
    <w:rsid w:val="00B4276F"/>
    <w:rsid w:val="00B427CB"/>
    <w:rsid w:val="00B429DC"/>
    <w:rsid w:val="00B42BD2"/>
    <w:rsid w:val="00B42C66"/>
    <w:rsid w:val="00B42D8D"/>
    <w:rsid w:val="00B42E17"/>
    <w:rsid w:val="00B42E43"/>
    <w:rsid w:val="00B42F86"/>
    <w:rsid w:val="00B42FA2"/>
    <w:rsid w:val="00B430D1"/>
    <w:rsid w:val="00B4329C"/>
    <w:rsid w:val="00B4345E"/>
    <w:rsid w:val="00B434D5"/>
    <w:rsid w:val="00B435D4"/>
    <w:rsid w:val="00B435F9"/>
    <w:rsid w:val="00B43638"/>
    <w:rsid w:val="00B4379D"/>
    <w:rsid w:val="00B438A5"/>
    <w:rsid w:val="00B43AF5"/>
    <w:rsid w:val="00B43BD3"/>
    <w:rsid w:val="00B43C85"/>
    <w:rsid w:val="00B43D3A"/>
    <w:rsid w:val="00B43E41"/>
    <w:rsid w:val="00B43ECE"/>
    <w:rsid w:val="00B4403C"/>
    <w:rsid w:val="00B44085"/>
    <w:rsid w:val="00B44348"/>
    <w:rsid w:val="00B44366"/>
    <w:rsid w:val="00B445A4"/>
    <w:rsid w:val="00B445B1"/>
    <w:rsid w:val="00B445C3"/>
    <w:rsid w:val="00B4466A"/>
    <w:rsid w:val="00B44697"/>
    <w:rsid w:val="00B4490E"/>
    <w:rsid w:val="00B44A82"/>
    <w:rsid w:val="00B44AB3"/>
    <w:rsid w:val="00B44B48"/>
    <w:rsid w:val="00B44B58"/>
    <w:rsid w:val="00B44B65"/>
    <w:rsid w:val="00B44C87"/>
    <w:rsid w:val="00B44CA6"/>
    <w:rsid w:val="00B44E2F"/>
    <w:rsid w:val="00B44E67"/>
    <w:rsid w:val="00B44F54"/>
    <w:rsid w:val="00B44F58"/>
    <w:rsid w:val="00B4501C"/>
    <w:rsid w:val="00B4505D"/>
    <w:rsid w:val="00B450DD"/>
    <w:rsid w:val="00B45376"/>
    <w:rsid w:val="00B45456"/>
    <w:rsid w:val="00B454C1"/>
    <w:rsid w:val="00B4565E"/>
    <w:rsid w:val="00B45668"/>
    <w:rsid w:val="00B45722"/>
    <w:rsid w:val="00B4572D"/>
    <w:rsid w:val="00B4579B"/>
    <w:rsid w:val="00B457B5"/>
    <w:rsid w:val="00B457D7"/>
    <w:rsid w:val="00B45B1E"/>
    <w:rsid w:val="00B45CA3"/>
    <w:rsid w:val="00B45CEB"/>
    <w:rsid w:val="00B45D12"/>
    <w:rsid w:val="00B45D26"/>
    <w:rsid w:val="00B45DEF"/>
    <w:rsid w:val="00B45EB1"/>
    <w:rsid w:val="00B45FE7"/>
    <w:rsid w:val="00B462A5"/>
    <w:rsid w:val="00B462B7"/>
    <w:rsid w:val="00B467B6"/>
    <w:rsid w:val="00B468B1"/>
    <w:rsid w:val="00B468E2"/>
    <w:rsid w:val="00B46A66"/>
    <w:rsid w:val="00B46B24"/>
    <w:rsid w:val="00B46BF8"/>
    <w:rsid w:val="00B46D97"/>
    <w:rsid w:val="00B46E74"/>
    <w:rsid w:val="00B46EC3"/>
    <w:rsid w:val="00B46F61"/>
    <w:rsid w:val="00B46F68"/>
    <w:rsid w:val="00B47072"/>
    <w:rsid w:val="00B47107"/>
    <w:rsid w:val="00B472E5"/>
    <w:rsid w:val="00B473BC"/>
    <w:rsid w:val="00B4761E"/>
    <w:rsid w:val="00B4763C"/>
    <w:rsid w:val="00B4780A"/>
    <w:rsid w:val="00B479BC"/>
    <w:rsid w:val="00B479C6"/>
    <w:rsid w:val="00B47A96"/>
    <w:rsid w:val="00B47AAD"/>
    <w:rsid w:val="00B47B80"/>
    <w:rsid w:val="00B47BE1"/>
    <w:rsid w:val="00B47D19"/>
    <w:rsid w:val="00B47D35"/>
    <w:rsid w:val="00B47E28"/>
    <w:rsid w:val="00B47E59"/>
    <w:rsid w:val="00B47F35"/>
    <w:rsid w:val="00B501F4"/>
    <w:rsid w:val="00B50272"/>
    <w:rsid w:val="00B50410"/>
    <w:rsid w:val="00B505C8"/>
    <w:rsid w:val="00B50654"/>
    <w:rsid w:val="00B50695"/>
    <w:rsid w:val="00B507CF"/>
    <w:rsid w:val="00B50812"/>
    <w:rsid w:val="00B50B0F"/>
    <w:rsid w:val="00B50DEB"/>
    <w:rsid w:val="00B50E95"/>
    <w:rsid w:val="00B50F28"/>
    <w:rsid w:val="00B50F67"/>
    <w:rsid w:val="00B51006"/>
    <w:rsid w:val="00B51074"/>
    <w:rsid w:val="00B510B1"/>
    <w:rsid w:val="00B511CC"/>
    <w:rsid w:val="00B511DF"/>
    <w:rsid w:val="00B511F2"/>
    <w:rsid w:val="00B51460"/>
    <w:rsid w:val="00B5154B"/>
    <w:rsid w:val="00B5177C"/>
    <w:rsid w:val="00B51915"/>
    <w:rsid w:val="00B51999"/>
    <w:rsid w:val="00B519F3"/>
    <w:rsid w:val="00B51AAA"/>
    <w:rsid w:val="00B51BDB"/>
    <w:rsid w:val="00B51BF0"/>
    <w:rsid w:val="00B51D53"/>
    <w:rsid w:val="00B51D8A"/>
    <w:rsid w:val="00B51E08"/>
    <w:rsid w:val="00B51E0E"/>
    <w:rsid w:val="00B51E9A"/>
    <w:rsid w:val="00B52247"/>
    <w:rsid w:val="00B523FA"/>
    <w:rsid w:val="00B5262F"/>
    <w:rsid w:val="00B526C5"/>
    <w:rsid w:val="00B528C9"/>
    <w:rsid w:val="00B52A0A"/>
    <w:rsid w:val="00B52A1F"/>
    <w:rsid w:val="00B52A4F"/>
    <w:rsid w:val="00B52A97"/>
    <w:rsid w:val="00B52B70"/>
    <w:rsid w:val="00B52C1E"/>
    <w:rsid w:val="00B52DA9"/>
    <w:rsid w:val="00B52F53"/>
    <w:rsid w:val="00B52FC1"/>
    <w:rsid w:val="00B53107"/>
    <w:rsid w:val="00B534FE"/>
    <w:rsid w:val="00B53682"/>
    <w:rsid w:val="00B53686"/>
    <w:rsid w:val="00B53717"/>
    <w:rsid w:val="00B53777"/>
    <w:rsid w:val="00B53A3A"/>
    <w:rsid w:val="00B53A3F"/>
    <w:rsid w:val="00B53B25"/>
    <w:rsid w:val="00B53BB8"/>
    <w:rsid w:val="00B53DD9"/>
    <w:rsid w:val="00B53EC0"/>
    <w:rsid w:val="00B53FAD"/>
    <w:rsid w:val="00B53FF3"/>
    <w:rsid w:val="00B540F2"/>
    <w:rsid w:val="00B540F6"/>
    <w:rsid w:val="00B541A1"/>
    <w:rsid w:val="00B541DB"/>
    <w:rsid w:val="00B542C2"/>
    <w:rsid w:val="00B542DD"/>
    <w:rsid w:val="00B5435F"/>
    <w:rsid w:val="00B54394"/>
    <w:rsid w:val="00B54565"/>
    <w:rsid w:val="00B54647"/>
    <w:rsid w:val="00B5465C"/>
    <w:rsid w:val="00B546E3"/>
    <w:rsid w:val="00B5481C"/>
    <w:rsid w:val="00B54839"/>
    <w:rsid w:val="00B548B7"/>
    <w:rsid w:val="00B54918"/>
    <w:rsid w:val="00B549F1"/>
    <w:rsid w:val="00B54B7E"/>
    <w:rsid w:val="00B54B9A"/>
    <w:rsid w:val="00B54D97"/>
    <w:rsid w:val="00B54E46"/>
    <w:rsid w:val="00B54F96"/>
    <w:rsid w:val="00B550E3"/>
    <w:rsid w:val="00B553CD"/>
    <w:rsid w:val="00B55448"/>
    <w:rsid w:val="00B55953"/>
    <w:rsid w:val="00B55A12"/>
    <w:rsid w:val="00B55B1E"/>
    <w:rsid w:val="00B55B58"/>
    <w:rsid w:val="00B55B9E"/>
    <w:rsid w:val="00B55F41"/>
    <w:rsid w:val="00B56216"/>
    <w:rsid w:val="00B56727"/>
    <w:rsid w:val="00B56799"/>
    <w:rsid w:val="00B568F6"/>
    <w:rsid w:val="00B568F9"/>
    <w:rsid w:val="00B56ABC"/>
    <w:rsid w:val="00B56BA1"/>
    <w:rsid w:val="00B56D4C"/>
    <w:rsid w:val="00B56E08"/>
    <w:rsid w:val="00B56E9E"/>
    <w:rsid w:val="00B56EED"/>
    <w:rsid w:val="00B57071"/>
    <w:rsid w:val="00B570FA"/>
    <w:rsid w:val="00B571F1"/>
    <w:rsid w:val="00B57341"/>
    <w:rsid w:val="00B57414"/>
    <w:rsid w:val="00B574EA"/>
    <w:rsid w:val="00B5750D"/>
    <w:rsid w:val="00B5751D"/>
    <w:rsid w:val="00B577B0"/>
    <w:rsid w:val="00B57977"/>
    <w:rsid w:val="00B579DD"/>
    <w:rsid w:val="00B57DFF"/>
    <w:rsid w:val="00B57F55"/>
    <w:rsid w:val="00B6033A"/>
    <w:rsid w:val="00B60450"/>
    <w:rsid w:val="00B6048C"/>
    <w:rsid w:val="00B60503"/>
    <w:rsid w:val="00B60AE6"/>
    <w:rsid w:val="00B60C5C"/>
    <w:rsid w:val="00B60C8E"/>
    <w:rsid w:val="00B60CC8"/>
    <w:rsid w:val="00B60D92"/>
    <w:rsid w:val="00B60DC9"/>
    <w:rsid w:val="00B60E67"/>
    <w:rsid w:val="00B6123D"/>
    <w:rsid w:val="00B6134B"/>
    <w:rsid w:val="00B613AD"/>
    <w:rsid w:val="00B613EC"/>
    <w:rsid w:val="00B614B3"/>
    <w:rsid w:val="00B614F7"/>
    <w:rsid w:val="00B61507"/>
    <w:rsid w:val="00B615B1"/>
    <w:rsid w:val="00B616D1"/>
    <w:rsid w:val="00B61778"/>
    <w:rsid w:val="00B617D0"/>
    <w:rsid w:val="00B6181A"/>
    <w:rsid w:val="00B61829"/>
    <w:rsid w:val="00B61836"/>
    <w:rsid w:val="00B618C5"/>
    <w:rsid w:val="00B618DE"/>
    <w:rsid w:val="00B61960"/>
    <w:rsid w:val="00B61A80"/>
    <w:rsid w:val="00B61A9A"/>
    <w:rsid w:val="00B61BFB"/>
    <w:rsid w:val="00B61C21"/>
    <w:rsid w:val="00B61DE9"/>
    <w:rsid w:val="00B62038"/>
    <w:rsid w:val="00B62233"/>
    <w:rsid w:val="00B62375"/>
    <w:rsid w:val="00B62376"/>
    <w:rsid w:val="00B62514"/>
    <w:rsid w:val="00B62578"/>
    <w:rsid w:val="00B628C5"/>
    <w:rsid w:val="00B62935"/>
    <w:rsid w:val="00B62985"/>
    <w:rsid w:val="00B62B93"/>
    <w:rsid w:val="00B62BBE"/>
    <w:rsid w:val="00B62BD9"/>
    <w:rsid w:val="00B62C1F"/>
    <w:rsid w:val="00B62C64"/>
    <w:rsid w:val="00B62C89"/>
    <w:rsid w:val="00B62D84"/>
    <w:rsid w:val="00B62F60"/>
    <w:rsid w:val="00B62F99"/>
    <w:rsid w:val="00B630CA"/>
    <w:rsid w:val="00B63168"/>
    <w:rsid w:val="00B631F5"/>
    <w:rsid w:val="00B63260"/>
    <w:rsid w:val="00B635A8"/>
    <w:rsid w:val="00B6365D"/>
    <w:rsid w:val="00B639C7"/>
    <w:rsid w:val="00B63AE1"/>
    <w:rsid w:val="00B63B2F"/>
    <w:rsid w:val="00B63BCB"/>
    <w:rsid w:val="00B63F44"/>
    <w:rsid w:val="00B63F86"/>
    <w:rsid w:val="00B63FAD"/>
    <w:rsid w:val="00B64069"/>
    <w:rsid w:val="00B64154"/>
    <w:rsid w:val="00B64156"/>
    <w:rsid w:val="00B64212"/>
    <w:rsid w:val="00B64250"/>
    <w:rsid w:val="00B642AF"/>
    <w:rsid w:val="00B643B7"/>
    <w:rsid w:val="00B64425"/>
    <w:rsid w:val="00B64651"/>
    <w:rsid w:val="00B64656"/>
    <w:rsid w:val="00B6465C"/>
    <w:rsid w:val="00B64679"/>
    <w:rsid w:val="00B648A4"/>
    <w:rsid w:val="00B64902"/>
    <w:rsid w:val="00B64AD4"/>
    <w:rsid w:val="00B64CC6"/>
    <w:rsid w:val="00B64E3A"/>
    <w:rsid w:val="00B65198"/>
    <w:rsid w:val="00B651A0"/>
    <w:rsid w:val="00B65291"/>
    <w:rsid w:val="00B653FE"/>
    <w:rsid w:val="00B657C5"/>
    <w:rsid w:val="00B65996"/>
    <w:rsid w:val="00B6599A"/>
    <w:rsid w:val="00B659D9"/>
    <w:rsid w:val="00B65BA9"/>
    <w:rsid w:val="00B65C26"/>
    <w:rsid w:val="00B65C7B"/>
    <w:rsid w:val="00B65DB8"/>
    <w:rsid w:val="00B65E5B"/>
    <w:rsid w:val="00B65EA7"/>
    <w:rsid w:val="00B65ED6"/>
    <w:rsid w:val="00B663AC"/>
    <w:rsid w:val="00B66582"/>
    <w:rsid w:val="00B665C9"/>
    <w:rsid w:val="00B6661C"/>
    <w:rsid w:val="00B66657"/>
    <w:rsid w:val="00B6677E"/>
    <w:rsid w:val="00B66A04"/>
    <w:rsid w:val="00B66A0B"/>
    <w:rsid w:val="00B66A3F"/>
    <w:rsid w:val="00B66C7A"/>
    <w:rsid w:val="00B67174"/>
    <w:rsid w:val="00B67257"/>
    <w:rsid w:val="00B672C4"/>
    <w:rsid w:val="00B67344"/>
    <w:rsid w:val="00B67469"/>
    <w:rsid w:val="00B678CC"/>
    <w:rsid w:val="00B67E34"/>
    <w:rsid w:val="00B7002B"/>
    <w:rsid w:val="00B70030"/>
    <w:rsid w:val="00B7006C"/>
    <w:rsid w:val="00B70466"/>
    <w:rsid w:val="00B70485"/>
    <w:rsid w:val="00B705DF"/>
    <w:rsid w:val="00B7074C"/>
    <w:rsid w:val="00B7077B"/>
    <w:rsid w:val="00B708AD"/>
    <w:rsid w:val="00B70BAF"/>
    <w:rsid w:val="00B70D3F"/>
    <w:rsid w:val="00B70DB4"/>
    <w:rsid w:val="00B710D5"/>
    <w:rsid w:val="00B711E5"/>
    <w:rsid w:val="00B71235"/>
    <w:rsid w:val="00B7135D"/>
    <w:rsid w:val="00B7159E"/>
    <w:rsid w:val="00B71663"/>
    <w:rsid w:val="00B716FB"/>
    <w:rsid w:val="00B7174F"/>
    <w:rsid w:val="00B717BC"/>
    <w:rsid w:val="00B717C4"/>
    <w:rsid w:val="00B7186A"/>
    <w:rsid w:val="00B71887"/>
    <w:rsid w:val="00B71951"/>
    <w:rsid w:val="00B71B35"/>
    <w:rsid w:val="00B71D03"/>
    <w:rsid w:val="00B71E35"/>
    <w:rsid w:val="00B71E92"/>
    <w:rsid w:val="00B71ECC"/>
    <w:rsid w:val="00B71F47"/>
    <w:rsid w:val="00B72080"/>
    <w:rsid w:val="00B721C3"/>
    <w:rsid w:val="00B72353"/>
    <w:rsid w:val="00B72553"/>
    <w:rsid w:val="00B72558"/>
    <w:rsid w:val="00B725C0"/>
    <w:rsid w:val="00B726C7"/>
    <w:rsid w:val="00B72B4E"/>
    <w:rsid w:val="00B72EC2"/>
    <w:rsid w:val="00B72EC6"/>
    <w:rsid w:val="00B72F53"/>
    <w:rsid w:val="00B72FBA"/>
    <w:rsid w:val="00B72FE4"/>
    <w:rsid w:val="00B730CA"/>
    <w:rsid w:val="00B73152"/>
    <w:rsid w:val="00B7318D"/>
    <w:rsid w:val="00B73229"/>
    <w:rsid w:val="00B7353B"/>
    <w:rsid w:val="00B735D0"/>
    <w:rsid w:val="00B73641"/>
    <w:rsid w:val="00B73658"/>
    <w:rsid w:val="00B737DF"/>
    <w:rsid w:val="00B73864"/>
    <w:rsid w:val="00B7391C"/>
    <w:rsid w:val="00B73A42"/>
    <w:rsid w:val="00B73ACD"/>
    <w:rsid w:val="00B73B49"/>
    <w:rsid w:val="00B73C55"/>
    <w:rsid w:val="00B73D9D"/>
    <w:rsid w:val="00B73E6F"/>
    <w:rsid w:val="00B73E90"/>
    <w:rsid w:val="00B73FF0"/>
    <w:rsid w:val="00B740CA"/>
    <w:rsid w:val="00B741F4"/>
    <w:rsid w:val="00B74271"/>
    <w:rsid w:val="00B7431F"/>
    <w:rsid w:val="00B74324"/>
    <w:rsid w:val="00B74332"/>
    <w:rsid w:val="00B743BF"/>
    <w:rsid w:val="00B744C7"/>
    <w:rsid w:val="00B7476B"/>
    <w:rsid w:val="00B747F1"/>
    <w:rsid w:val="00B7487C"/>
    <w:rsid w:val="00B7490A"/>
    <w:rsid w:val="00B74A00"/>
    <w:rsid w:val="00B74A2D"/>
    <w:rsid w:val="00B74A68"/>
    <w:rsid w:val="00B74AD1"/>
    <w:rsid w:val="00B74B85"/>
    <w:rsid w:val="00B74D5C"/>
    <w:rsid w:val="00B74D91"/>
    <w:rsid w:val="00B74E27"/>
    <w:rsid w:val="00B75018"/>
    <w:rsid w:val="00B751D7"/>
    <w:rsid w:val="00B7527C"/>
    <w:rsid w:val="00B75314"/>
    <w:rsid w:val="00B75536"/>
    <w:rsid w:val="00B7553E"/>
    <w:rsid w:val="00B756BC"/>
    <w:rsid w:val="00B7577C"/>
    <w:rsid w:val="00B7578A"/>
    <w:rsid w:val="00B75A65"/>
    <w:rsid w:val="00B75D4A"/>
    <w:rsid w:val="00B75FE9"/>
    <w:rsid w:val="00B75FF6"/>
    <w:rsid w:val="00B76056"/>
    <w:rsid w:val="00B76189"/>
    <w:rsid w:val="00B763E9"/>
    <w:rsid w:val="00B763F0"/>
    <w:rsid w:val="00B765C6"/>
    <w:rsid w:val="00B765CA"/>
    <w:rsid w:val="00B7673D"/>
    <w:rsid w:val="00B7688F"/>
    <w:rsid w:val="00B768F0"/>
    <w:rsid w:val="00B76942"/>
    <w:rsid w:val="00B76B1D"/>
    <w:rsid w:val="00B76BFC"/>
    <w:rsid w:val="00B76C35"/>
    <w:rsid w:val="00B76C40"/>
    <w:rsid w:val="00B76E74"/>
    <w:rsid w:val="00B77157"/>
    <w:rsid w:val="00B771BA"/>
    <w:rsid w:val="00B771BF"/>
    <w:rsid w:val="00B77215"/>
    <w:rsid w:val="00B77216"/>
    <w:rsid w:val="00B7747A"/>
    <w:rsid w:val="00B77743"/>
    <w:rsid w:val="00B777B5"/>
    <w:rsid w:val="00B77985"/>
    <w:rsid w:val="00B77A7C"/>
    <w:rsid w:val="00B77B43"/>
    <w:rsid w:val="00B77B93"/>
    <w:rsid w:val="00B77BF6"/>
    <w:rsid w:val="00B77CAD"/>
    <w:rsid w:val="00B77E80"/>
    <w:rsid w:val="00B77E8B"/>
    <w:rsid w:val="00B77EF4"/>
    <w:rsid w:val="00B80013"/>
    <w:rsid w:val="00B800E8"/>
    <w:rsid w:val="00B80179"/>
    <w:rsid w:val="00B8022F"/>
    <w:rsid w:val="00B80313"/>
    <w:rsid w:val="00B8032D"/>
    <w:rsid w:val="00B80519"/>
    <w:rsid w:val="00B805A0"/>
    <w:rsid w:val="00B805BA"/>
    <w:rsid w:val="00B80644"/>
    <w:rsid w:val="00B806E8"/>
    <w:rsid w:val="00B80795"/>
    <w:rsid w:val="00B80859"/>
    <w:rsid w:val="00B80939"/>
    <w:rsid w:val="00B80A3E"/>
    <w:rsid w:val="00B80AD2"/>
    <w:rsid w:val="00B80C0B"/>
    <w:rsid w:val="00B80C46"/>
    <w:rsid w:val="00B80CD5"/>
    <w:rsid w:val="00B80D9F"/>
    <w:rsid w:val="00B80DC8"/>
    <w:rsid w:val="00B80E56"/>
    <w:rsid w:val="00B80E71"/>
    <w:rsid w:val="00B80EA1"/>
    <w:rsid w:val="00B80EBE"/>
    <w:rsid w:val="00B80F01"/>
    <w:rsid w:val="00B80FF4"/>
    <w:rsid w:val="00B810C0"/>
    <w:rsid w:val="00B81190"/>
    <w:rsid w:val="00B8119D"/>
    <w:rsid w:val="00B8134B"/>
    <w:rsid w:val="00B81385"/>
    <w:rsid w:val="00B8139F"/>
    <w:rsid w:val="00B81506"/>
    <w:rsid w:val="00B8152C"/>
    <w:rsid w:val="00B81551"/>
    <w:rsid w:val="00B815D2"/>
    <w:rsid w:val="00B81623"/>
    <w:rsid w:val="00B816A6"/>
    <w:rsid w:val="00B81728"/>
    <w:rsid w:val="00B8177D"/>
    <w:rsid w:val="00B817E6"/>
    <w:rsid w:val="00B818A9"/>
    <w:rsid w:val="00B81903"/>
    <w:rsid w:val="00B81920"/>
    <w:rsid w:val="00B81B87"/>
    <w:rsid w:val="00B81C10"/>
    <w:rsid w:val="00B81D95"/>
    <w:rsid w:val="00B81F95"/>
    <w:rsid w:val="00B8210C"/>
    <w:rsid w:val="00B8215D"/>
    <w:rsid w:val="00B82167"/>
    <w:rsid w:val="00B8223F"/>
    <w:rsid w:val="00B823FD"/>
    <w:rsid w:val="00B8249D"/>
    <w:rsid w:val="00B826AB"/>
    <w:rsid w:val="00B826E6"/>
    <w:rsid w:val="00B827C7"/>
    <w:rsid w:val="00B82A65"/>
    <w:rsid w:val="00B82A71"/>
    <w:rsid w:val="00B82B06"/>
    <w:rsid w:val="00B82BF6"/>
    <w:rsid w:val="00B82C3F"/>
    <w:rsid w:val="00B83002"/>
    <w:rsid w:val="00B8304E"/>
    <w:rsid w:val="00B83172"/>
    <w:rsid w:val="00B83343"/>
    <w:rsid w:val="00B8345E"/>
    <w:rsid w:val="00B83501"/>
    <w:rsid w:val="00B8368E"/>
    <w:rsid w:val="00B8369B"/>
    <w:rsid w:val="00B83844"/>
    <w:rsid w:val="00B838B1"/>
    <w:rsid w:val="00B838B6"/>
    <w:rsid w:val="00B8395D"/>
    <w:rsid w:val="00B83A42"/>
    <w:rsid w:val="00B83BA6"/>
    <w:rsid w:val="00B83C14"/>
    <w:rsid w:val="00B83DD2"/>
    <w:rsid w:val="00B83DF8"/>
    <w:rsid w:val="00B83E82"/>
    <w:rsid w:val="00B841F0"/>
    <w:rsid w:val="00B8428A"/>
    <w:rsid w:val="00B8448F"/>
    <w:rsid w:val="00B8469E"/>
    <w:rsid w:val="00B8474D"/>
    <w:rsid w:val="00B84898"/>
    <w:rsid w:val="00B849A3"/>
    <w:rsid w:val="00B849CC"/>
    <w:rsid w:val="00B849D3"/>
    <w:rsid w:val="00B849E7"/>
    <w:rsid w:val="00B84B10"/>
    <w:rsid w:val="00B84C58"/>
    <w:rsid w:val="00B84F6E"/>
    <w:rsid w:val="00B850DA"/>
    <w:rsid w:val="00B8518F"/>
    <w:rsid w:val="00B851A9"/>
    <w:rsid w:val="00B85240"/>
    <w:rsid w:val="00B8525F"/>
    <w:rsid w:val="00B85285"/>
    <w:rsid w:val="00B85290"/>
    <w:rsid w:val="00B852B1"/>
    <w:rsid w:val="00B85608"/>
    <w:rsid w:val="00B85735"/>
    <w:rsid w:val="00B857CA"/>
    <w:rsid w:val="00B85847"/>
    <w:rsid w:val="00B85A9F"/>
    <w:rsid w:val="00B85AE4"/>
    <w:rsid w:val="00B85EB4"/>
    <w:rsid w:val="00B85F4D"/>
    <w:rsid w:val="00B862B6"/>
    <w:rsid w:val="00B86351"/>
    <w:rsid w:val="00B8655C"/>
    <w:rsid w:val="00B86575"/>
    <w:rsid w:val="00B86688"/>
    <w:rsid w:val="00B866F0"/>
    <w:rsid w:val="00B867B5"/>
    <w:rsid w:val="00B867BF"/>
    <w:rsid w:val="00B86954"/>
    <w:rsid w:val="00B86A24"/>
    <w:rsid w:val="00B86A72"/>
    <w:rsid w:val="00B86A86"/>
    <w:rsid w:val="00B86D83"/>
    <w:rsid w:val="00B86DBC"/>
    <w:rsid w:val="00B86E5F"/>
    <w:rsid w:val="00B86EA4"/>
    <w:rsid w:val="00B8700D"/>
    <w:rsid w:val="00B870CA"/>
    <w:rsid w:val="00B8713A"/>
    <w:rsid w:val="00B87225"/>
    <w:rsid w:val="00B8725B"/>
    <w:rsid w:val="00B8726D"/>
    <w:rsid w:val="00B872EA"/>
    <w:rsid w:val="00B8732A"/>
    <w:rsid w:val="00B87342"/>
    <w:rsid w:val="00B873B7"/>
    <w:rsid w:val="00B873D4"/>
    <w:rsid w:val="00B874C4"/>
    <w:rsid w:val="00B8777B"/>
    <w:rsid w:val="00B87790"/>
    <w:rsid w:val="00B87844"/>
    <w:rsid w:val="00B878CA"/>
    <w:rsid w:val="00B87B24"/>
    <w:rsid w:val="00B87B48"/>
    <w:rsid w:val="00B87BD2"/>
    <w:rsid w:val="00B87C15"/>
    <w:rsid w:val="00B87C1F"/>
    <w:rsid w:val="00B87C59"/>
    <w:rsid w:val="00B87D22"/>
    <w:rsid w:val="00B87E49"/>
    <w:rsid w:val="00B87EFB"/>
    <w:rsid w:val="00B90012"/>
    <w:rsid w:val="00B90093"/>
    <w:rsid w:val="00B901B7"/>
    <w:rsid w:val="00B90319"/>
    <w:rsid w:val="00B90355"/>
    <w:rsid w:val="00B90389"/>
    <w:rsid w:val="00B903F2"/>
    <w:rsid w:val="00B90435"/>
    <w:rsid w:val="00B904FE"/>
    <w:rsid w:val="00B9055D"/>
    <w:rsid w:val="00B905CA"/>
    <w:rsid w:val="00B90611"/>
    <w:rsid w:val="00B90681"/>
    <w:rsid w:val="00B90685"/>
    <w:rsid w:val="00B9068D"/>
    <w:rsid w:val="00B9084F"/>
    <w:rsid w:val="00B90871"/>
    <w:rsid w:val="00B9099D"/>
    <w:rsid w:val="00B90A42"/>
    <w:rsid w:val="00B90A46"/>
    <w:rsid w:val="00B90B79"/>
    <w:rsid w:val="00B90BE1"/>
    <w:rsid w:val="00B90DE5"/>
    <w:rsid w:val="00B90E12"/>
    <w:rsid w:val="00B90EFB"/>
    <w:rsid w:val="00B91002"/>
    <w:rsid w:val="00B9103F"/>
    <w:rsid w:val="00B91282"/>
    <w:rsid w:val="00B91302"/>
    <w:rsid w:val="00B9140A"/>
    <w:rsid w:val="00B91434"/>
    <w:rsid w:val="00B91491"/>
    <w:rsid w:val="00B914ED"/>
    <w:rsid w:val="00B916FB"/>
    <w:rsid w:val="00B91762"/>
    <w:rsid w:val="00B91810"/>
    <w:rsid w:val="00B918AC"/>
    <w:rsid w:val="00B919FA"/>
    <w:rsid w:val="00B91A0C"/>
    <w:rsid w:val="00B91CA2"/>
    <w:rsid w:val="00B91CD9"/>
    <w:rsid w:val="00B91CF0"/>
    <w:rsid w:val="00B91DC7"/>
    <w:rsid w:val="00B91F61"/>
    <w:rsid w:val="00B921B3"/>
    <w:rsid w:val="00B923BE"/>
    <w:rsid w:val="00B92492"/>
    <w:rsid w:val="00B92507"/>
    <w:rsid w:val="00B9254B"/>
    <w:rsid w:val="00B92589"/>
    <w:rsid w:val="00B926FA"/>
    <w:rsid w:val="00B927BA"/>
    <w:rsid w:val="00B92909"/>
    <w:rsid w:val="00B9292C"/>
    <w:rsid w:val="00B92933"/>
    <w:rsid w:val="00B92B01"/>
    <w:rsid w:val="00B92B7E"/>
    <w:rsid w:val="00B92CFE"/>
    <w:rsid w:val="00B92DB8"/>
    <w:rsid w:val="00B92FE6"/>
    <w:rsid w:val="00B9313A"/>
    <w:rsid w:val="00B93184"/>
    <w:rsid w:val="00B932B7"/>
    <w:rsid w:val="00B9337D"/>
    <w:rsid w:val="00B933EB"/>
    <w:rsid w:val="00B93582"/>
    <w:rsid w:val="00B936CF"/>
    <w:rsid w:val="00B93796"/>
    <w:rsid w:val="00B93B05"/>
    <w:rsid w:val="00B93C0B"/>
    <w:rsid w:val="00B93D30"/>
    <w:rsid w:val="00B93EE1"/>
    <w:rsid w:val="00B94314"/>
    <w:rsid w:val="00B944ED"/>
    <w:rsid w:val="00B944F8"/>
    <w:rsid w:val="00B9454D"/>
    <w:rsid w:val="00B9457B"/>
    <w:rsid w:val="00B945AC"/>
    <w:rsid w:val="00B9486E"/>
    <w:rsid w:val="00B94C10"/>
    <w:rsid w:val="00B94CF0"/>
    <w:rsid w:val="00B94D7D"/>
    <w:rsid w:val="00B94EC2"/>
    <w:rsid w:val="00B9502C"/>
    <w:rsid w:val="00B95071"/>
    <w:rsid w:val="00B950F1"/>
    <w:rsid w:val="00B9523D"/>
    <w:rsid w:val="00B95262"/>
    <w:rsid w:val="00B952AB"/>
    <w:rsid w:val="00B956BE"/>
    <w:rsid w:val="00B956C7"/>
    <w:rsid w:val="00B956DD"/>
    <w:rsid w:val="00B9587F"/>
    <w:rsid w:val="00B95BAD"/>
    <w:rsid w:val="00B95C01"/>
    <w:rsid w:val="00B95C5D"/>
    <w:rsid w:val="00B95EBC"/>
    <w:rsid w:val="00B95F55"/>
    <w:rsid w:val="00B96027"/>
    <w:rsid w:val="00B9625F"/>
    <w:rsid w:val="00B962A8"/>
    <w:rsid w:val="00B9632C"/>
    <w:rsid w:val="00B9640F"/>
    <w:rsid w:val="00B964A6"/>
    <w:rsid w:val="00B96589"/>
    <w:rsid w:val="00B96671"/>
    <w:rsid w:val="00B967CC"/>
    <w:rsid w:val="00B96846"/>
    <w:rsid w:val="00B96A90"/>
    <w:rsid w:val="00B96B23"/>
    <w:rsid w:val="00B96B2D"/>
    <w:rsid w:val="00B96BB6"/>
    <w:rsid w:val="00B96C3A"/>
    <w:rsid w:val="00B96CD6"/>
    <w:rsid w:val="00B96D68"/>
    <w:rsid w:val="00B96D77"/>
    <w:rsid w:val="00B96DF7"/>
    <w:rsid w:val="00B96EAE"/>
    <w:rsid w:val="00B96FBF"/>
    <w:rsid w:val="00B96FCB"/>
    <w:rsid w:val="00B97055"/>
    <w:rsid w:val="00B9719F"/>
    <w:rsid w:val="00B97200"/>
    <w:rsid w:val="00B97256"/>
    <w:rsid w:val="00B97356"/>
    <w:rsid w:val="00B973E4"/>
    <w:rsid w:val="00B97512"/>
    <w:rsid w:val="00B9788C"/>
    <w:rsid w:val="00B978D3"/>
    <w:rsid w:val="00B97B0F"/>
    <w:rsid w:val="00B97B93"/>
    <w:rsid w:val="00B97BC5"/>
    <w:rsid w:val="00B97C92"/>
    <w:rsid w:val="00B97F3B"/>
    <w:rsid w:val="00BA00C1"/>
    <w:rsid w:val="00BA0160"/>
    <w:rsid w:val="00BA04F0"/>
    <w:rsid w:val="00BA058E"/>
    <w:rsid w:val="00BA0596"/>
    <w:rsid w:val="00BA0640"/>
    <w:rsid w:val="00BA06C0"/>
    <w:rsid w:val="00BA06CB"/>
    <w:rsid w:val="00BA0897"/>
    <w:rsid w:val="00BA0A97"/>
    <w:rsid w:val="00BA0D97"/>
    <w:rsid w:val="00BA0FC1"/>
    <w:rsid w:val="00BA104C"/>
    <w:rsid w:val="00BA12B4"/>
    <w:rsid w:val="00BA132A"/>
    <w:rsid w:val="00BA13BD"/>
    <w:rsid w:val="00BA16E9"/>
    <w:rsid w:val="00BA17C1"/>
    <w:rsid w:val="00BA17FA"/>
    <w:rsid w:val="00BA197A"/>
    <w:rsid w:val="00BA19DB"/>
    <w:rsid w:val="00BA1A26"/>
    <w:rsid w:val="00BA1A71"/>
    <w:rsid w:val="00BA1A9D"/>
    <w:rsid w:val="00BA1ED0"/>
    <w:rsid w:val="00BA1F07"/>
    <w:rsid w:val="00BA1FEA"/>
    <w:rsid w:val="00BA221F"/>
    <w:rsid w:val="00BA2381"/>
    <w:rsid w:val="00BA2387"/>
    <w:rsid w:val="00BA23E0"/>
    <w:rsid w:val="00BA257D"/>
    <w:rsid w:val="00BA271C"/>
    <w:rsid w:val="00BA2785"/>
    <w:rsid w:val="00BA2826"/>
    <w:rsid w:val="00BA2895"/>
    <w:rsid w:val="00BA28A6"/>
    <w:rsid w:val="00BA2996"/>
    <w:rsid w:val="00BA2C3E"/>
    <w:rsid w:val="00BA2CAD"/>
    <w:rsid w:val="00BA2D70"/>
    <w:rsid w:val="00BA2ED6"/>
    <w:rsid w:val="00BA2FB9"/>
    <w:rsid w:val="00BA2FBD"/>
    <w:rsid w:val="00BA30D6"/>
    <w:rsid w:val="00BA3116"/>
    <w:rsid w:val="00BA327A"/>
    <w:rsid w:val="00BA3402"/>
    <w:rsid w:val="00BA34FF"/>
    <w:rsid w:val="00BA3617"/>
    <w:rsid w:val="00BA37F4"/>
    <w:rsid w:val="00BA38C6"/>
    <w:rsid w:val="00BA3980"/>
    <w:rsid w:val="00BA3FA8"/>
    <w:rsid w:val="00BA403B"/>
    <w:rsid w:val="00BA41AA"/>
    <w:rsid w:val="00BA45AC"/>
    <w:rsid w:val="00BA468D"/>
    <w:rsid w:val="00BA46E8"/>
    <w:rsid w:val="00BA47A0"/>
    <w:rsid w:val="00BA4A90"/>
    <w:rsid w:val="00BA4AFF"/>
    <w:rsid w:val="00BA4C91"/>
    <w:rsid w:val="00BA4D28"/>
    <w:rsid w:val="00BA4DC8"/>
    <w:rsid w:val="00BA4DEF"/>
    <w:rsid w:val="00BA4E62"/>
    <w:rsid w:val="00BA4F64"/>
    <w:rsid w:val="00BA5176"/>
    <w:rsid w:val="00BA5203"/>
    <w:rsid w:val="00BA521A"/>
    <w:rsid w:val="00BA542E"/>
    <w:rsid w:val="00BA544C"/>
    <w:rsid w:val="00BA5510"/>
    <w:rsid w:val="00BA5618"/>
    <w:rsid w:val="00BA56DB"/>
    <w:rsid w:val="00BA5A88"/>
    <w:rsid w:val="00BA5C21"/>
    <w:rsid w:val="00BA5CD2"/>
    <w:rsid w:val="00BA5D17"/>
    <w:rsid w:val="00BA5D87"/>
    <w:rsid w:val="00BA5DF8"/>
    <w:rsid w:val="00BA5EBC"/>
    <w:rsid w:val="00BA616D"/>
    <w:rsid w:val="00BA627F"/>
    <w:rsid w:val="00BA6422"/>
    <w:rsid w:val="00BA64A9"/>
    <w:rsid w:val="00BA64FF"/>
    <w:rsid w:val="00BA6547"/>
    <w:rsid w:val="00BA6550"/>
    <w:rsid w:val="00BA65BE"/>
    <w:rsid w:val="00BA6641"/>
    <w:rsid w:val="00BA666A"/>
    <w:rsid w:val="00BA66ED"/>
    <w:rsid w:val="00BA680A"/>
    <w:rsid w:val="00BA6A57"/>
    <w:rsid w:val="00BA6C75"/>
    <w:rsid w:val="00BA6D7B"/>
    <w:rsid w:val="00BA6ED6"/>
    <w:rsid w:val="00BA7236"/>
    <w:rsid w:val="00BA747E"/>
    <w:rsid w:val="00BA7486"/>
    <w:rsid w:val="00BA74C7"/>
    <w:rsid w:val="00BA7854"/>
    <w:rsid w:val="00BA7872"/>
    <w:rsid w:val="00BA78DB"/>
    <w:rsid w:val="00BA7931"/>
    <w:rsid w:val="00BA7946"/>
    <w:rsid w:val="00BA79AD"/>
    <w:rsid w:val="00BA7AFA"/>
    <w:rsid w:val="00BA7C8C"/>
    <w:rsid w:val="00BA7CB4"/>
    <w:rsid w:val="00BA7CC4"/>
    <w:rsid w:val="00BA7EF3"/>
    <w:rsid w:val="00BA7F2B"/>
    <w:rsid w:val="00BB000E"/>
    <w:rsid w:val="00BB0032"/>
    <w:rsid w:val="00BB0088"/>
    <w:rsid w:val="00BB0178"/>
    <w:rsid w:val="00BB0180"/>
    <w:rsid w:val="00BB0182"/>
    <w:rsid w:val="00BB01E4"/>
    <w:rsid w:val="00BB024A"/>
    <w:rsid w:val="00BB026C"/>
    <w:rsid w:val="00BB02D7"/>
    <w:rsid w:val="00BB050C"/>
    <w:rsid w:val="00BB065D"/>
    <w:rsid w:val="00BB069D"/>
    <w:rsid w:val="00BB06EA"/>
    <w:rsid w:val="00BB074B"/>
    <w:rsid w:val="00BB07C1"/>
    <w:rsid w:val="00BB083A"/>
    <w:rsid w:val="00BB096C"/>
    <w:rsid w:val="00BB0CDD"/>
    <w:rsid w:val="00BB0D07"/>
    <w:rsid w:val="00BB0D2D"/>
    <w:rsid w:val="00BB0E89"/>
    <w:rsid w:val="00BB0F75"/>
    <w:rsid w:val="00BB0FC4"/>
    <w:rsid w:val="00BB0FF7"/>
    <w:rsid w:val="00BB102C"/>
    <w:rsid w:val="00BB1083"/>
    <w:rsid w:val="00BB10AF"/>
    <w:rsid w:val="00BB1292"/>
    <w:rsid w:val="00BB12D6"/>
    <w:rsid w:val="00BB13DE"/>
    <w:rsid w:val="00BB1479"/>
    <w:rsid w:val="00BB1541"/>
    <w:rsid w:val="00BB15D2"/>
    <w:rsid w:val="00BB1600"/>
    <w:rsid w:val="00BB17B9"/>
    <w:rsid w:val="00BB1815"/>
    <w:rsid w:val="00BB195C"/>
    <w:rsid w:val="00BB19E6"/>
    <w:rsid w:val="00BB1A54"/>
    <w:rsid w:val="00BB1AFF"/>
    <w:rsid w:val="00BB1B8E"/>
    <w:rsid w:val="00BB1BD8"/>
    <w:rsid w:val="00BB1CBB"/>
    <w:rsid w:val="00BB1D0A"/>
    <w:rsid w:val="00BB1F24"/>
    <w:rsid w:val="00BB1F43"/>
    <w:rsid w:val="00BB1F50"/>
    <w:rsid w:val="00BB20C0"/>
    <w:rsid w:val="00BB20D0"/>
    <w:rsid w:val="00BB21A0"/>
    <w:rsid w:val="00BB228E"/>
    <w:rsid w:val="00BB22EB"/>
    <w:rsid w:val="00BB23BF"/>
    <w:rsid w:val="00BB2418"/>
    <w:rsid w:val="00BB2483"/>
    <w:rsid w:val="00BB25BB"/>
    <w:rsid w:val="00BB27F2"/>
    <w:rsid w:val="00BB289A"/>
    <w:rsid w:val="00BB291C"/>
    <w:rsid w:val="00BB2D2C"/>
    <w:rsid w:val="00BB2D34"/>
    <w:rsid w:val="00BB2D71"/>
    <w:rsid w:val="00BB2DCE"/>
    <w:rsid w:val="00BB2E57"/>
    <w:rsid w:val="00BB2E8C"/>
    <w:rsid w:val="00BB2EC9"/>
    <w:rsid w:val="00BB2FB4"/>
    <w:rsid w:val="00BB2FD4"/>
    <w:rsid w:val="00BB3118"/>
    <w:rsid w:val="00BB31E4"/>
    <w:rsid w:val="00BB31FF"/>
    <w:rsid w:val="00BB32A5"/>
    <w:rsid w:val="00BB3342"/>
    <w:rsid w:val="00BB3384"/>
    <w:rsid w:val="00BB33CB"/>
    <w:rsid w:val="00BB3684"/>
    <w:rsid w:val="00BB3A2B"/>
    <w:rsid w:val="00BB3A7E"/>
    <w:rsid w:val="00BB3C2F"/>
    <w:rsid w:val="00BB3C8B"/>
    <w:rsid w:val="00BB3D8F"/>
    <w:rsid w:val="00BB3DA2"/>
    <w:rsid w:val="00BB3E75"/>
    <w:rsid w:val="00BB3FB0"/>
    <w:rsid w:val="00BB3FD6"/>
    <w:rsid w:val="00BB3FF7"/>
    <w:rsid w:val="00BB4097"/>
    <w:rsid w:val="00BB444E"/>
    <w:rsid w:val="00BB4598"/>
    <w:rsid w:val="00BB46FA"/>
    <w:rsid w:val="00BB4723"/>
    <w:rsid w:val="00BB478A"/>
    <w:rsid w:val="00BB498C"/>
    <w:rsid w:val="00BB4A7D"/>
    <w:rsid w:val="00BB4B99"/>
    <w:rsid w:val="00BB4D10"/>
    <w:rsid w:val="00BB4D70"/>
    <w:rsid w:val="00BB4D7E"/>
    <w:rsid w:val="00BB4FE4"/>
    <w:rsid w:val="00BB5206"/>
    <w:rsid w:val="00BB5270"/>
    <w:rsid w:val="00BB54C4"/>
    <w:rsid w:val="00BB5766"/>
    <w:rsid w:val="00BB578B"/>
    <w:rsid w:val="00BB59AC"/>
    <w:rsid w:val="00BB5A31"/>
    <w:rsid w:val="00BB5BDE"/>
    <w:rsid w:val="00BB5BF2"/>
    <w:rsid w:val="00BB5CCD"/>
    <w:rsid w:val="00BB5E62"/>
    <w:rsid w:val="00BB5E6C"/>
    <w:rsid w:val="00BB5FE2"/>
    <w:rsid w:val="00BB62BE"/>
    <w:rsid w:val="00BB644B"/>
    <w:rsid w:val="00BB64DC"/>
    <w:rsid w:val="00BB64FF"/>
    <w:rsid w:val="00BB655A"/>
    <w:rsid w:val="00BB65EB"/>
    <w:rsid w:val="00BB67F0"/>
    <w:rsid w:val="00BB69FC"/>
    <w:rsid w:val="00BB6A30"/>
    <w:rsid w:val="00BB6AA0"/>
    <w:rsid w:val="00BB6B71"/>
    <w:rsid w:val="00BB6CA9"/>
    <w:rsid w:val="00BB6EC1"/>
    <w:rsid w:val="00BB6EDB"/>
    <w:rsid w:val="00BB6F22"/>
    <w:rsid w:val="00BB6F2E"/>
    <w:rsid w:val="00BB6F53"/>
    <w:rsid w:val="00BB7083"/>
    <w:rsid w:val="00BB70CE"/>
    <w:rsid w:val="00BB712B"/>
    <w:rsid w:val="00BB72CA"/>
    <w:rsid w:val="00BB74A1"/>
    <w:rsid w:val="00BB7584"/>
    <w:rsid w:val="00BB77A4"/>
    <w:rsid w:val="00BB77D6"/>
    <w:rsid w:val="00BB7828"/>
    <w:rsid w:val="00BB7975"/>
    <w:rsid w:val="00BB7AA1"/>
    <w:rsid w:val="00BB7B4E"/>
    <w:rsid w:val="00BB7C88"/>
    <w:rsid w:val="00BB7E29"/>
    <w:rsid w:val="00BB7E34"/>
    <w:rsid w:val="00BB7EF4"/>
    <w:rsid w:val="00BB7F66"/>
    <w:rsid w:val="00BB7F73"/>
    <w:rsid w:val="00BC005D"/>
    <w:rsid w:val="00BC00DA"/>
    <w:rsid w:val="00BC00FA"/>
    <w:rsid w:val="00BC019F"/>
    <w:rsid w:val="00BC02C9"/>
    <w:rsid w:val="00BC036A"/>
    <w:rsid w:val="00BC0454"/>
    <w:rsid w:val="00BC04A8"/>
    <w:rsid w:val="00BC0553"/>
    <w:rsid w:val="00BC0634"/>
    <w:rsid w:val="00BC064B"/>
    <w:rsid w:val="00BC06BB"/>
    <w:rsid w:val="00BC0733"/>
    <w:rsid w:val="00BC09A1"/>
    <w:rsid w:val="00BC09D2"/>
    <w:rsid w:val="00BC0A11"/>
    <w:rsid w:val="00BC0B60"/>
    <w:rsid w:val="00BC0C5D"/>
    <w:rsid w:val="00BC0C75"/>
    <w:rsid w:val="00BC0E95"/>
    <w:rsid w:val="00BC1017"/>
    <w:rsid w:val="00BC1123"/>
    <w:rsid w:val="00BC13EB"/>
    <w:rsid w:val="00BC152E"/>
    <w:rsid w:val="00BC15A9"/>
    <w:rsid w:val="00BC174A"/>
    <w:rsid w:val="00BC17F3"/>
    <w:rsid w:val="00BC186A"/>
    <w:rsid w:val="00BC192A"/>
    <w:rsid w:val="00BC1BB5"/>
    <w:rsid w:val="00BC1F64"/>
    <w:rsid w:val="00BC2137"/>
    <w:rsid w:val="00BC2219"/>
    <w:rsid w:val="00BC2408"/>
    <w:rsid w:val="00BC2452"/>
    <w:rsid w:val="00BC258F"/>
    <w:rsid w:val="00BC26C0"/>
    <w:rsid w:val="00BC2790"/>
    <w:rsid w:val="00BC29A4"/>
    <w:rsid w:val="00BC29CB"/>
    <w:rsid w:val="00BC2B96"/>
    <w:rsid w:val="00BC2BE4"/>
    <w:rsid w:val="00BC2CB4"/>
    <w:rsid w:val="00BC2E8C"/>
    <w:rsid w:val="00BC2FA3"/>
    <w:rsid w:val="00BC3024"/>
    <w:rsid w:val="00BC3153"/>
    <w:rsid w:val="00BC31F0"/>
    <w:rsid w:val="00BC32E2"/>
    <w:rsid w:val="00BC3307"/>
    <w:rsid w:val="00BC335D"/>
    <w:rsid w:val="00BC36E2"/>
    <w:rsid w:val="00BC379B"/>
    <w:rsid w:val="00BC381F"/>
    <w:rsid w:val="00BC3BEE"/>
    <w:rsid w:val="00BC3F33"/>
    <w:rsid w:val="00BC3F97"/>
    <w:rsid w:val="00BC415C"/>
    <w:rsid w:val="00BC41C7"/>
    <w:rsid w:val="00BC42D2"/>
    <w:rsid w:val="00BC44A1"/>
    <w:rsid w:val="00BC453B"/>
    <w:rsid w:val="00BC47C3"/>
    <w:rsid w:val="00BC47F8"/>
    <w:rsid w:val="00BC4A76"/>
    <w:rsid w:val="00BC4AD2"/>
    <w:rsid w:val="00BC4B24"/>
    <w:rsid w:val="00BC4B49"/>
    <w:rsid w:val="00BC4B75"/>
    <w:rsid w:val="00BC4B83"/>
    <w:rsid w:val="00BC4BBA"/>
    <w:rsid w:val="00BC4CD6"/>
    <w:rsid w:val="00BC4CE6"/>
    <w:rsid w:val="00BC4F09"/>
    <w:rsid w:val="00BC4FD4"/>
    <w:rsid w:val="00BC50AF"/>
    <w:rsid w:val="00BC516D"/>
    <w:rsid w:val="00BC519B"/>
    <w:rsid w:val="00BC5274"/>
    <w:rsid w:val="00BC54B1"/>
    <w:rsid w:val="00BC5561"/>
    <w:rsid w:val="00BC561E"/>
    <w:rsid w:val="00BC5830"/>
    <w:rsid w:val="00BC5B31"/>
    <w:rsid w:val="00BC5B3D"/>
    <w:rsid w:val="00BC5B7E"/>
    <w:rsid w:val="00BC5BD7"/>
    <w:rsid w:val="00BC5E72"/>
    <w:rsid w:val="00BC5FBF"/>
    <w:rsid w:val="00BC60D9"/>
    <w:rsid w:val="00BC6168"/>
    <w:rsid w:val="00BC6191"/>
    <w:rsid w:val="00BC63C9"/>
    <w:rsid w:val="00BC6548"/>
    <w:rsid w:val="00BC655D"/>
    <w:rsid w:val="00BC659C"/>
    <w:rsid w:val="00BC6A21"/>
    <w:rsid w:val="00BC6C6A"/>
    <w:rsid w:val="00BC6CEF"/>
    <w:rsid w:val="00BC6EB6"/>
    <w:rsid w:val="00BC70BF"/>
    <w:rsid w:val="00BC722C"/>
    <w:rsid w:val="00BC7343"/>
    <w:rsid w:val="00BC7362"/>
    <w:rsid w:val="00BC740B"/>
    <w:rsid w:val="00BC749D"/>
    <w:rsid w:val="00BC776F"/>
    <w:rsid w:val="00BC7875"/>
    <w:rsid w:val="00BC78CC"/>
    <w:rsid w:val="00BC7AB1"/>
    <w:rsid w:val="00BC7B25"/>
    <w:rsid w:val="00BC7BF7"/>
    <w:rsid w:val="00BC7C20"/>
    <w:rsid w:val="00BC7E43"/>
    <w:rsid w:val="00BC7E78"/>
    <w:rsid w:val="00BC7F01"/>
    <w:rsid w:val="00BC7F96"/>
    <w:rsid w:val="00BD0050"/>
    <w:rsid w:val="00BD00C3"/>
    <w:rsid w:val="00BD0217"/>
    <w:rsid w:val="00BD029D"/>
    <w:rsid w:val="00BD05F2"/>
    <w:rsid w:val="00BD0678"/>
    <w:rsid w:val="00BD070F"/>
    <w:rsid w:val="00BD074E"/>
    <w:rsid w:val="00BD089D"/>
    <w:rsid w:val="00BD0A8E"/>
    <w:rsid w:val="00BD0F28"/>
    <w:rsid w:val="00BD0FA7"/>
    <w:rsid w:val="00BD107D"/>
    <w:rsid w:val="00BD109C"/>
    <w:rsid w:val="00BD124A"/>
    <w:rsid w:val="00BD135E"/>
    <w:rsid w:val="00BD1626"/>
    <w:rsid w:val="00BD17E4"/>
    <w:rsid w:val="00BD185A"/>
    <w:rsid w:val="00BD1892"/>
    <w:rsid w:val="00BD19BE"/>
    <w:rsid w:val="00BD1A38"/>
    <w:rsid w:val="00BD1B06"/>
    <w:rsid w:val="00BD1C15"/>
    <w:rsid w:val="00BD1CBD"/>
    <w:rsid w:val="00BD1D7C"/>
    <w:rsid w:val="00BD1DCF"/>
    <w:rsid w:val="00BD1EE8"/>
    <w:rsid w:val="00BD1F42"/>
    <w:rsid w:val="00BD1F4E"/>
    <w:rsid w:val="00BD1F82"/>
    <w:rsid w:val="00BD2009"/>
    <w:rsid w:val="00BD2051"/>
    <w:rsid w:val="00BD2092"/>
    <w:rsid w:val="00BD20BE"/>
    <w:rsid w:val="00BD217C"/>
    <w:rsid w:val="00BD249E"/>
    <w:rsid w:val="00BD24A6"/>
    <w:rsid w:val="00BD24EA"/>
    <w:rsid w:val="00BD2623"/>
    <w:rsid w:val="00BD2657"/>
    <w:rsid w:val="00BD269F"/>
    <w:rsid w:val="00BD2731"/>
    <w:rsid w:val="00BD275B"/>
    <w:rsid w:val="00BD2780"/>
    <w:rsid w:val="00BD27C0"/>
    <w:rsid w:val="00BD2841"/>
    <w:rsid w:val="00BD285D"/>
    <w:rsid w:val="00BD2F10"/>
    <w:rsid w:val="00BD2F62"/>
    <w:rsid w:val="00BD306D"/>
    <w:rsid w:val="00BD3088"/>
    <w:rsid w:val="00BD31A3"/>
    <w:rsid w:val="00BD32C4"/>
    <w:rsid w:val="00BD32FD"/>
    <w:rsid w:val="00BD334E"/>
    <w:rsid w:val="00BD338B"/>
    <w:rsid w:val="00BD34BC"/>
    <w:rsid w:val="00BD3558"/>
    <w:rsid w:val="00BD3593"/>
    <w:rsid w:val="00BD3778"/>
    <w:rsid w:val="00BD37FB"/>
    <w:rsid w:val="00BD39C4"/>
    <w:rsid w:val="00BD3AF6"/>
    <w:rsid w:val="00BD3B9A"/>
    <w:rsid w:val="00BD3BD6"/>
    <w:rsid w:val="00BD3C6A"/>
    <w:rsid w:val="00BD3F47"/>
    <w:rsid w:val="00BD3F96"/>
    <w:rsid w:val="00BD4201"/>
    <w:rsid w:val="00BD45EB"/>
    <w:rsid w:val="00BD4607"/>
    <w:rsid w:val="00BD46BA"/>
    <w:rsid w:val="00BD48A9"/>
    <w:rsid w:val="00BD4999"/>
    <w:rsid w:val="00BD4A31"/>
    <w:rsid w:val="00BD4AE5"/>
    <w:rsid w:val="00BD4C2A"/>
    <w:rsid w:val="00BD4E32"/>
    <w:rsid w:val="00BD4F1A"/>
    <w:rsid w:val="00BD50D9"/>
    <w:rsid w:val="00BD51A6"/>
    <w:rsid w:val="00BD5272"/>
    <w:rsid w:val="00BD531D"/>
    <w:rsid w:val="00BD5403"/>
    <w:rsid w:val="00BD54C0"/>
    <w:rsid w:val="00BD54CC"/>
    <w:rsid w:val="00BD55EF"/>
    <w:rsid w:val="00BD570B"/>
    <w:rsid w:val="00BD5737"/>
    <w:rsid w:val="00BD5740"/>
    <w:rsid w:val="00BD576E"/>
    <w:rsid w:val="00BD5808"/>
    <w:rsid w:val="00BD5A87"/>
    <w:rsid w:val="00BD5B38"/>
    <w:rsid w:val="00BD5CB9"/>
    <w:rsid w:val="00BD5D1F"/>
    <w:rsid w:val="00BD5D56"/>
    <w:rsid w:val="00BD5E98"/>
    <w:rsid w:val="00BD5EF4"/>
    <w:rsid w:val="00BD5F3C"/>
    <w:rsid w:val="00BD5F9D"/>
    <w:rsid w:val="00BD6028"/>
    <w:rsid w:val="00BD60BB"/>
    <w:rsid w:val="00BD611B"/>
    <w:rsid w:val="00BD6338"/>
    <w:rsid w:val="00BD6419"/>
    <w:rsid w:val="00BD641F"/>
    <w:rsid w:val="00BD6450"/>
    <w:rsid w:val="00BD65D5"/>
    <w:rsid w:val="00BD65E0"/>
    <w:rsid w:val="00BD6636"/>
    <w:rsid w:val="00BD6671"/>
    <w:rsid w:val="00BD6800"/>
    <w:rsid w:val="00BD6A93"/>
    <w:rsid w:val="00BD6B0A"/>
    <w:rsid w:val="00BD6C92"/>
    <w:rsid w:val="00BD6E9B"/>
    <w:rsid w:val="00BD6FE6"/>
    <w:rsid w:val="00BD73CA"/>
    <w:rsid w:val="00BD74E6"/>
    <w:rsid w:val="00BD75C4"/>
    <w:rsid w:val="00BD75F0"/>
    <w:rsid w:val="00BD75F2"/>
    <w:rsid w:val="00BD762D"/>
    <w:rsid w:val="00BD7793"/>
    <w:rsid w:val="00BD77D4"/>
    <w:rsid w:val="00BD78F1"/>
    <w:rsid w:val="00BD7A36"/>
    <w:rsid w:val="00BD7A4E"/>
    <w:rsid w:val="00BD7B6E"/>
    <w:rsid w:val="00BD7BA5"/>
    <w:rsid w:val="00BD7D08"/>
    <w:rsid w:val="00BD7F93"/>
    <w:rsid w:val="00BD7FB0"/>
    <w:rsid w:val="00BE0078"/>
    <w:rsid w:val="00BE00AD"/>
    <w:rsid w:val="00BE02DA"/>
    <w:rsid w:val="00BE04CF"/>
    <w:rsid w:val="00BE0526"/>
    <w:rsid w:val="00BE076C"/>
    <w:rsid w:val="00BE0909"/>
    <w:rsid w:val="00BE09C8"/>
    <w:rsid w:val="00BE0A9D"/>
    <w:rsid w:val="00BE0DCC"/>
    <w:rsid w:val="00BE0DD0"/>
    <w:rsid w:val="00BE0EA8"/>
    <w:rsid w:val="00BE0FF8"/>
    <w:rsid w:val="00BE1015"/>
    <w:rsid w:val="00BE1142"/>
    <w:rsid w:val="00BE11FB"/>
    <w:rsid w:val="00BE1288"/>
    <w:rsid w:val="00BE12CA"/>
    <w:rsid w:val="00BE1455"/>
    <w:rsid w:val="00BE192D"/>
    <w:rsid w:val="00BE1A01"/>
    <w:rsid w:val="00BE1CCF"/>
    <w:rsid w:val="00BE1D8F"/>
    <w:rsid w:val="00BE1E84"/>
    <w:rsid w:val="00BE1F1A"/>
    <w:rsid w:val="00BE201B"/>
    <w:rsid w:val="00BE2079"/>
    <w:rsid w:val="00BE2094"/>
    <w:rsid w:val="00BE20CD"/>
    <w:rsid w:val="00BE20D7"/>
    <w:rsid w:val="00BE20EA"/>
    <w:rsid w:val="00BE21F7"/>
    <w:rsid w:val="00BE23FB"/>
    <w:rsid w:val="00BE24F0"/>
    <w:rsid w:val="00BE2635"/>
    <w:rsid w:val="00BE26D9"/>
    <w:rsid w:val="00BE2782"/>
    <w:rsid w:val="00BE2789"/>
    <w:rsid w:val="00BE28DC"/>
    <w:rsid w:val="00BE28FC"/>
    <w:rsid w:val="00BE2F21"/>
    <w:rsid w:val="00BE3019"/>
    <w:rsid w:val="00BE3059"/>
    <w:rsid w:val="00BE320A"/>
    <w:rsid w:val="00BE32F0"/>
    <w:rsid w:val="00BE3467"/>
    <w:rsid w:val="00BE3491"/>
    <w:rsid w:val="00BE3706"/>
    <w:rsid w:val="00BE374A"/>
    <w:rsid w:val="00BE3879"/>
    <w:rsid w:val="00BE3AF0"/>
    <w:rsid w:val="00BE3B0E"/>
    <w:rsid w:val="00BE3B86"/>
    <w:rsid w:val="00BE3C68"/>
    <w:rsid w:val="00BE3C82"/>
    <w:rsid w:val="00BE3D09"/>
    <w:rsid w:val="00BE3D20"/>
    <w:rsid w:val="00BE3D68"/>
    <w:rsid w:val="00BE3F02"/>
    <w:rsid w:val="00BE3F36"/>
    <w:rsid w:val="00BE3FDB"/>
    <w:rsid w:val="00BE415C"/>
    <w:rsid w:val="00BE4229"/>
    <w:rsid w:val="00BE4271"/>
    <w:rsid w:val="00BE4413"/>
    <w:rsid w:val="00BE4565"/>
    <w:rsid w:val="00BE4587"/>
    <w:rsid w:val="00BE475E"/>
    <w:rsid w:val="00BE47AB"/>
    <w:rsid w:val="00BE4B44"/>
    <w:rsid w:val="00BE4DD2"/>
    <w:rsid w:val="00BE4F93"/>
    <w:rsid w:val="00BE50D3"/>
    <w:rsid w:val="00BE52C8"/>
    <w:rsid w:val="00BE5418"/>
    <w:rsid w:val="00BE5442"/>
    <w:rsid w:val="00BE547E"/>
    <w:rsid w:val="00BE5574"/>
    <w:rsid w:val="00BE5588"/>
    <w:rsid w:val="00BE56C5"/>
    <w:rsid w:val="00BE5719"/>
    <w:rsid w:val="00BE595A"/>
    <w:rsid w:val="00BE595B"/>
    <w:rsid w:val="00BE5AA6"/>
    <w:rsid w:val="00BE5ADB"/>
    <w:rsid w:val="00BE5AFA"/>
    <w:rsid w:val="00BE5B0E"/>
    <w:rsid w:val="00BE5C35"/>
    <w:rsid w:val="00BE6084"/>
    <w:rsid w:val="00BE6105"/>
    <w:rsid w:val="00BE6221"/>
    <w:rsid w:val="00BE64CD"/>
    <w:rsid w:val="00BE6522"/>
    <w:rsid w:val="00BE6642"/>
    <w:rsid w:val="00BE6646"/>
    <w:rsid w:val="00BE6832"/>
    <w:rsid w:val="00BE68F1"/>
    <w:rsid w:val="00BE6A29"/>
    <w:rsid w:val="00BE6A35"/>
    <w:rsid w:val="00BE6CB4"/>
    <w:rsid w:val="00BE6CDC"/>
    <w:rsid w:val="00BE6D0E"/>
    <w:rsid w:val="00BE6E6E"/>
    <w:rsid w:val="00BE6EFF"/>
    <w:rsid w:val="00BE70E0"/>
    <w:rsid w:val="00BE715F"/>
    <w:rsid w:val="00BE716F"/>
    <w:rsid w:val="00BE7235"/>
    <w:rsid w:val="00BE7406"/>
    <w:rsid w:val="00BE742D"/>
    <w:rsid w:val="00BE74A9"/>
    <w:rsid w:val="00BE74E6"/>
    <w:rsid w:val="00BE7A51"/>
    <w:rsid w:val="00BE7AB7"/>
    <w:rsid w:val="00BE7AF0"/>
    <w:rsid w:val="00BE7B56"/>
    <w:rsid w:val="00BE7BB8"/>
    <w:rsid w:val="00BE7CDC"/>
    <w:rsid w:val="00BF0021"/>
    <w:rsid w:val="00BF01F1"/>
    <w:rsid w:val="00BF02BC"/>
    <w:rsid w:val="00BF032F"/>
    <w:rsid w:val="00BF0392"/>
    <w:rsid w:val="00BF03B9"/>
    <w:rsid w:val="00BF03F4"/>
    <w:rsid w:val="00BF053E"/>
    <w:rsid w:val="00BF0742"/>
    <w:rsid w:val="00BF07CB"/>
    <w:rsid w:val="00BF0A2B"/>
    <w:rsid w:val="00BF0B11"/>
    <w:rsid w:val="00BF0C22"/>
    <w:rsid w:val="00BF0D5B"/>
    <w:rsid w:val="00BF0DDF"/>
    <w:rsid w:val="00BF0E2E"/>
    <w:rsid w:val="00BF0E4D"/>
    <w:rsid w:val="00BF0F1F"/>
    <w:rsid w:val="00BF13A3"/>
    <w:rsid w:val="00BF14DE"/>
    <w:rsid w:val="00BF1548"/>
    <w:rsid w:val="00BF171F"/>
    <w:rsid w:val="00BF172B"/>
    <w:rsid w:val="00BF176D"/>
    <w:rsid w:val="00BF1803"/>
    <w:rsid w:val="00BF19CD"/>
    <w:rsid w:val="00BF1CB1"/>
    <w:rsid w:val="00BF1E2A"/>
    <w:rsid w:val="00BF1E65"/>
    <w:rsid w:val="00BF1EC1"/>
    <w:rsid w:val="00BF1EE0"/>
    <w:rsid w:val="00BF21A3"/>
    <w:rsid w:val="00BF22A2"/>
    <w:rsid w:val="00BF2305"/>
    <w:rsid w:val="00BF2364"/>
    <w:rsid w:val="00BF2376"/>
    <w:rsid w:val="00BF23DD"/>
    <w:rsid w:val="00BF2666"/>
    <w:rsid w:val="00BF269C"/>
    <w:rsid w:val="00BF2887"/>
    <w:rsid w:val="00BF292C"/>
    <w:rsid w:val="00BF2A68"/>
    <w:rsid w:val="00BF2E18"/>
    <w:rsid w:val="00BF2E32"/>
    <w:rsid w:val="00BF2F6A"/>
    <w:rsid w:val="00BF303C"/>
    <w:rsid w:val="00BF3287"/>
    <w:rsid w:val="00BF3293"/>
    <w:rsid w:val="00BF32CA"/>
    <w:rsid w:val="00BF3307"/>
    <w:rsid w:val="00BF3357"/>
    <w:rsid w:val="00BF3394"/>
    <w:rsid w:val="00BF3663"/>
    <w:rsid w:val="00BF36C8"/>
    <w:rsid w:val="00BF3885"/>
    <w:rsid w:val="00BF38B3"/>
    <w:rsid w:val="00BF39ED"/>
    <w:rsid w:val="00BF3ACA"/>
    <w:rsid w:val="00BF3AD9"/>
    <w:rsid w:val="00BF3BE8"/>
    <w:rsid w:val="00BF3C52"/>
    <w:rsid w:val="00BF3EFC"/>
    <w:rsid w:val="00BF3F92"/>
    <w:rsid w:val="00BF3FDC"/>
    <w:rsid w:val="00BF41D6"/>
    <w:rsid w:val="00BF43C0"/>
    <w:rsid w:val="00BF4547"/>
    <w:rsid w:val="00BF456F"/>
    <w:rsid w:val="00BF45CA"/>
    <w:rsid w:val="00BF45FB"/>
    <w:rsid w:val="00BF46D4"/>
    <w:rsid w:val="00BF46E9"/>
    <w:rsid w:val="00BF475E"/>
    <w:rsid w:val="00BF477B"/>
    <w:rsid w:val="00BF47B7"/>
    <w:rsid w:val="00BF4819"/>
    <w:rsid w:val="00BF4971"/>
    <w:rsid w:val="00BF4D2E"/>
    <w:rsid w:val="00BF4EDB"/>
    <w:rsid w:val="00BF4F0F"/>
    <w:rsid w:val="00BF51FA"/>
    <w:rsid w:val="00BF524B"/>
    <w:rsid w:val="00BF5318"/>
    <w:rsid w:val="00BF5350"/>
    <w:rsid w:val="00BF5840"/>
    <w:rsid w:val="00BF5848"/>
    <w:rsid w:val="00BF5863"/>
    <w:rsid w:val="00BF5B84"/>
    <w:rsid w:val="00BF5E5B"/>
    <w:rsid w:val="00BF5FFF"/>
    <w:rsid w:val="00BF6189"/>
    <w:rsid w:val="00BF6273"/>
    <w:rsid w:val="00BF660B"/>
    <w:rsid w:val="00BF6978"/>
    <w:rsid w:val="00BF699F"/>
    <w:rsid w:val="00BF6C42"/>
    <w:rsid w:val="00BF6CDC"/>
    <w:rsid w:val="00BF6D08"/>
    <w:rsid w:val="00BF6DBA"/>
    <w:rsid w:val="00BF6DD6"/>
    <w:rsid w:val="00BF6DE1"/>
    <w:rsid w:val="00BF6EA4"/>
    <w:rsid w:val="00BF6EA5"/>
    <w:rsid w:val="00BF6ED5"/>
    <w:rsid w:val="00BF7256"/>
    <w:rsid w:val="00BF73AC"/>
    <w:rsid w:val="00BF746D"/>
    <w:rsid w:val="00BF7555"/>
    <w:rsid w:val="00BF75F3"/>
    <w:rsid w:val="00BF769B"/>
    <w:rsid w:val="00BF77A8"/>
    <w:rsid w:val="00BF77B8"/>
    <w:rsid w:val="00BF7E0F"/>
    <w:rsid w:val="00BF7E9C"/>
    <w:rsid w:val="00BF7F2A"/>
    <w:rsid w:val="00BF7F36"/>
    <w:rsid w:val="00C00058"/>
    <w:rsid w:val="00C0009B"/>
    <w:rsid w:val="00C00116"/>
    <w:rsid w:val="00C00125"/>
    <w:rsid w:val="00C001AB"/>
    <w:rsid w:val="00C001BD"/>
    <w:rsid w:val="00C00209"/>
    <w:rsid w:val="00C0020A"/>
    <w:rsid w:val="00C0035E"/>
    <w:rsid w:val="00C00785"/>
    <w:rsid w:val="00C0082B"/>
    <w:rsid w:val="00C00887"/>
    <w:rsid w:val="00C0091C"/>
    <w:rsid w:val="00C00D8E"/>
    <w:rsid w:val="00C00E0A"/>
    <w:rsid w:val="00C00E25"/>
    <w:rsid w:val="00C00F31"/>
    <w:rsid w:val="00C00F32"/>
    <w:rsid w:val="00C00F64"/>
    <w:rsid w:val="00C00FF0"/>
    <w:rsid w:val="00C010F7"/>
    <w:rsid w:val="00C01127"/>
    <w:rsid w:val="00C0114E"/>
    <w:rsid w:val="00C0137E"/>
    <w:rsid w:val="00C0138B"/>
    <w:rsid w:val="00C0148A"/>
    <w:rsid w:val="00C015D7"/>
    <w:rsid w:val="00C015E5"/>
    <w:rsid w:val="00C0181A"/>
    <w:rsid w:val="00C01895"/>
    <w:rsid w:val="00C018EA"/>
    <w:rsid w:val="00C01B14"/>
    <w:rsid w:val="00C01CA9"/>
    <w:rsid w:val="00C01DCB"/>
    <w:rsid w:val="00C01E31"/>
    <w:rsid w:val="00C01E36"/>
    <w:rsid w:val="00C01EED"/>
    <w:rsid w:val="00C01FE0"/>
    <w:rsid w:val="00C020F1"/>
    <w:rsid w:val="00C02146"/>
    <w:rsid w:val="00C0227D"/>
    <w:rsid w:val="00C02302"/>
    <w:rsid w:val="00C02430"/>
    <w:rsid w:val="00C024A7"/>
    <w:rsid w:val="00C02719"/>
    <w:rsid w:val="00C02772"/>
    <w:rsid w:val="00C02780"/>
    <w:rsid w:val="00C027BE"/>
    <w:rsid w:val="00C02845"/>
    <w:rsid w:val="00C0294A"/>
    <w:rsid w:val="00C02957"/>
    <w:rsid w:val="00C029E2"/>
    <w:rsid w:val="00C02CF8"/>
    <w:rsid w:val="00C02E4D"/>
    <w:rsid w:val="00C02E78"/>
    <w:rsid w:val="00C0307D"/>
    <w:rsid w:val="00C0326C"/>
    <w:rsid w:val="00C03286"/>
    <w:rsid w:val="00C03348"/>
    <w:rsid w:val="00C03463"/>
    <w:rsid w:val="00C034DD"/>
    <w:rsid w:val="00C034F7"/>
    <w:rsid w:val="00C037E6"/>
    <w:rsid w:val="00C03857"/>
    <w:rsid w:val="00C038B7"/>
    <w:rsid w:val="00C039D0"/>
    <w:rsid w:val="00C039F6"/>
    <w:rsid w:val="00C03B38"/>
    <w:rsid w:val="00C03B43"/>
    <w:rsid w:val="00C03C59"/>
    <w:rsid w:val="00C03C76"/>
    <w:rsid w:val="00C03CDA"/>
    <w:rsid w:val="00C042BF"/>
    <w:rsid w:val="00C043B0"/>
    <w:rsid w:val="00C043F5"/>
    <w:rsid w:val="00C04409"/>
    <w:rsid w:val="00C044D5"/>
    <w:rsid w:val="00C048C8"/>
    <w:rsid w:val="00C04A11"/>
    <w:rsid w:val="00C04A8C"/>
    <w:rsid w:val="00C04AC3"/>
    <w:rsid w:val="00C04BCD"/>
    <w:rsid w:val="00C04F33"/>
    <w:rsid w:val="00C04FC1"/>
    <w:rsid w:val="00C050EE"/>
    <w:rsid w:val="00C0520B"/>
    <w:rsid w:val="00C052D5"/>
    <w:rsid w:val="00C053E3"/>
    <w:rsid w:val="00C05649"/>
    <w:rsid w:val="00C0580F"/>
    <w:rsid w:val="00C058CD"/>
    <w:rsid w:val="00C058D7"/>
    <w:rsid w:val="00C0591C"/>
    <w:rsid w:val="00C059B2"/>
    <w:rsid w:val="00C05A90"/>
    <w:rsid w:val="00C05AE4"/>
    <w:rsid w:val="00C05BF4"/>
    <w:rsid w:val="00C05C25"/>
    <w:rsid w:val="00C05CDD"/>
    <w:rsid w:val="00C05CED"/>
    <w:rsid w:val="00C05D9B"/>
    <w:rsid w:val="00C05DCE"/>
    <w:rsid w:val="00C05DD2"/>
    <w:rsid w:val="00C05F26"/>
    <w:rsid w:val="00C06009"/>
    <w:rsid w:val="00C06021"/>
    <w:rsid w:val="00C060BA"/>
    <w:rsid w:val="00C06305"/>
    <w:rsid w:val="00C0631F"/>
    <w:rsid w:val="00C0640B"/>
    <w:rsid w:val="00C06482"/>
    <w:rsid w:val="00C06488"/>
    <w:rsid w:val="00C06515"/>
    <w:rsid w:val="00C0652D"/>
    <w:rsid w:val="00C065E9"/>
    <w:rsid w:val="00C06882"/>
    <w:rsid w:val="00C0695D"/>
    <w:rsid w:val="00C069B8"/>
    <w:rsid w:val="00C06A13"/>
    <w:rsid w:val="00C06AFF"/>
    <w:rsid w:val="00C06B62"/>
    <w:rsid w:val="00C06BB8"/>
    <w:rsid w:val="00C06C17"/>
    <w:rsid w:val="00C06CB5"/>
    <w:rsid w:val="00C06D4F"/>
    <w:rsid w:val="00C06D50"/>
    <w:rsid w:val="00C06DED"/>
    <w:rsid w:val="00C06E50"/>
    <w:rsid w:val="00C06E9A"/>
    <w:rsid w:val="00C06F13"/>
    <w:rsid w:val="00C06FD7"/>
    <w:rsid w:val="00C071C5"/>
    <w:rsid w:val="00C071E9"/>
    <w:rsid w:val="00C072BD"/>
    <w:rsid w:val="00C0741C"/>
    <w:rsid w:val="00C074EA"/>
    <w:rsid w:val="00C07501"/>
    <w:rsid w:val="00C07616"/>
    <w:rsid w:val="00C0762E"/>
    <w:rsid w:val="00C0776A"/>
    <w:rsid w:val="00C077A9"/>
    <w:rsid w:val="00C078FE"/>
    <w:rsid w:val="00C079AA"/>
    <w:rsid w:val="00C079BC"/>
    <w:rsid w:val="00C07A23"/>
    <w:rsid w:val="00C07AAE"/>
    <w:rsid w:val="00C07B4A"/>
    <w:rsid w:val="00C07BD7"/>
    <w:rsid w:val="00C07BE6"/>
    <w:rsid w:val="00C07BED"/>
    <w:rsid w:val="00C07F42"/>
    <w:rsid w:val="00C07FE7"/>
    <w:rsid w:val="00C100CA"/>
    <w:rsid w:val="00C102E2"/>
    <w:rsid w:val="00C10392"/>
    <w:rsid w:val="00C106E7"/>
    <w:rsid w:val="00C10800"/>
    <w:rsid w:val="00C1082A"/>
    <w:rsid w:val="00C10898"/>
    <w:rsid w:val="00C108D8"/>
    <w:rsid w:val="00C109A1"/>
    <w:rsid w:val="00C10ACD"/>
    <w:rsid w:val="00C10B47"/>
    <w:rsid w:val="00C10CF9"/>
    <w:rsid w:val="00C10D44"/>
    <w:rsid w:val="00C10E8A"/>
    <w:rsid w:val="00C110E8"/>
    <w:rsid w:val="00C111C5"/>
    <w:rsid w:val="00C11204"/>
    <w:rsid w:val="00C112D5"/>
    <w:rsid w:val="00C1147E"/>
    <w:rsid w:val="00C11611"/>
    <w:rsid w:val="00C11772"/>
    <w:rsid w:val="00C118C8"/>
    <w:rsid w:val="00C11A71"/>
    <w:rsid w:val="00C11AA0"/>
    <w:rsid w:val="00C11C4D"/>
    <w:rsid w:val="00C11C87"/>
    <w:rsid w:val="00C11D85"/>
    <w:rsid w:val="00C11D86"/>
    <w:rsid w:val="00C11DD7"/>
    <w:rsid w:val="00C11EC0"/>
    <w:rsid w:val="00C11F16"/>
    <w:rsid w:val="00C12034"/>
    <w:rsid w:val="00C12051"/>
    <w:rsid w:val="00C121F0"/>
    <w:rsid w:val="00C12219"/>
    <w:rsid w:val="00C122B6"/>
    <w:rsid w:val="00C12300"/>
    <w:rsid w:val="00C1234D"/>
    <w:rsid w:val="00C124EB"/>
    <w:rsid w:val="00C1263E"/>
    <w:rsid w:val="00C12680"/>
    <w:rsid w:val="00C12691"/>
    <w:rsid w:val="00C127D5"/>
    <w:rsid w:val="00C12977"/>
    <w:rsid w:val="00C129CE"/>
    <w:rsid w:val="00C12A89"/>
    <w:rsid w:val="00C12AE3"/>
    <w:rsid w:val="00C12BB8"/>
    <w:rsid w:val="00C12C76"/>
    <w:rsid w:val="00C12D54"/>
    <w:rsid w:val="00C12F53"/>
    <w:rsid w:val="00C12FB1"/>
    <w:rsid w:val="00C13208"/>
    <w:rsid w:val="00C13298"/>
    <w:rsid w:val="00C132F3"/>
    <w:rsid w:val="00C133E3"/>
    <w:rsid w:val="00C133F4"/>
    <w:rsid w:val="00C13443"/>
    <w:rsid w:val="00C1347A"/>
    <w:rsid w:val="00C1348E"/>
    <w:rsid w:val="00C1356A"/>
    <w:rsid w:val="00C1366A"/>
    <w:rsid w:val="00C1377F"/>
    <w:rsid w:val="00C138E0"/>
    <w:rsid w:val="00C1390F"/>
    <w:rsid w:val="00C139A8"/>
    <w:rsid w:val="00C13AED"/>
    <w:rsid w:val="00C13D0B"/>
    <w:rsid w:val="00C14374"/>
    <w:rsid w:val="00C1440B"/>
    <w:rsid w:val="00C14511"/>
    <w:rsid w:val="00C14792"/>
    <w:rsid w:val="00C14A86"/>
    <w:rsid w:val="00C14BB0"/>
    <w:rsid w:val="00C14CCF"/>
    <w:rsid w:val="00C14D21"/>
    <w:rsid w:val="00C14E2F"/>
    <w:rsid w:val="00C14E69"/>
    <w:rsid w:val="00C14FB1"/>
    <w:rsid w:val="00C1500F"/>
    <w:rsid w:val="00C15047"/>
    <w:rsid w:val="00C15096"/>
    <w:rsid w:val="00C1515F"/>
    <w:rsid w:val="00C15254"/>
    <w:rsid w:val="00C15347"/>
    <w:rsid w:val="00C153F4"/>
    <w:rsid w:val="00C15497"/>
    <w:rsid w:val="00C1555F"/>
    <w:rsid w:val="00C1573F"/>
    <w:rsid w:val="00C15894"/>
    <w:rsid w:val="00C1598A"/>
    <w:rsid w:val="00C15C05"/>
    <w:rsid w:val="00C15C92"/>
    <w:rsid w:val="00C15E64"/>
    <w:rsid w:val="00C15EBC"/>
    <w:rsid w:val="00C15EC3"/>
    <w:rsid w:val="00C15EDA"/>
    <w:rsid w:val="00C15F8A"/>
    <w:rsid w:val="00C16024"/>
    <w:rsid w:val="00C160B4"/>
    <w:rsid w:val="00C16317"/>
    <w:rsid w:val="00C1671E"/>
    <w:rsid w:val="00C16805"/>
    <w:rsid w:val="00C1699C"/>
    <w:rsid w:val="00C169A5"/>
    <w:rsid w:val="00C16B8C"/>
    <w:rsid w:val="00C16D05"/>
    <w:rsid w:val="00C16DEC"/>
    <w:rsid w:val="00C16E1D"/>
    <w:rsid w:val="00C16E27"/>
    <w:rsid w:val="00C16EA7"/>
    <w:rsid w:val="00C16FC3"/>
    <w:rsid w:val="00C17002"/>
    <w:rsid w:val="00C17124"/>
    <w:rsid w:val="00C17694"/>
    <w:rsid w:val="00C178D3"/>
    <w:rsid w:val="00C1796A"/>
    <w:rsid w:val="00C179A3"/>
    <w:rsid w:val="00C179F7"/>
    <w:rsid w:val="00C17A0A"/>
    <w:rsid w:val="00C17A13"/>
    <w:rsid w:val="00C17CC8"/>
    <w:rsid w:val="00C17CFB"/>
    <w:rsid w:val="00C17F70"/>
    <w:rsid w:val="00C17FC7"/>
    <w:rsid w:val="00C17FF5"/>
    <w:rsid w:val="00C200DF"/>
    <w:rsid w:val="00C2012B"/>
    <w:rsid w:val="00C2015B"/>
    <w:rsid w:val="00C206B8"/>
    <w:rsid w:val="00C2077A"/>
    <w:rsid w:val="00C20916"/>
    <w:rsid w:val="00C209CE"/>
    <w:rsid w:val="00C20A05"/>
    <w:rsid w:val="00C20BBE"/>
    <w:rsid w:val="00C20D75"/>
    <w:rsid w:val="00C20E28"/>
    <w:rsid w:val="00C20E46"/>
    <w:rsid w:val="00C20F62"/>
    <w:rsid w:val="00C21125"/>
    <w:rsid w:val="00C212DF"/>
    <w:rsid w:val="00C214B4"/>
    <w:rsid w:val="00C21814"/>
    <w:rsid w:val="00C218C6"/>
    <w:rsid w:val="00C218E1"/>
    <w:rsid w:val="00C219DE"/>
    <w:rsid w:val="00C21AA0"/>
    <w:rsid w:val="00C21B98"/>
    <w:rsid w:val="00C21C50"/>
    <w:rsid w:val="00C21D80"/>
    <w:rsid w:val="00C21D94"/>
    <w:rsid w:val="00C21E1A"/>
    <w:rsid w:val="00C21EA1"/>
    <w:rsid w:val="00C21ECD"/>
    <w:rsid w:val="00C21FC9"/>
    <w:rsid w:val="00C21FDB"/>
    <w:rsid w:val="00C2208E"/>
    <w:rsid w:val="00C2223F"/>
    <w:rsid w:val="00C222C3"/>
    <w:rsid w:val="00C224FA"/>
    <w:rsid w:val="00C225A5"/>
    <w:rsid w:val="00C227F4"/>
    <w:rsid w:val="00C229EA"/>
    <w:rsid w:val="00C229EF"/>
    <w:rsid w:val="00C22BDB"/>
    <w:rsid w:val="00C22C08"/>
    <w:rsid w:val="00C22C55"/>
    <w:rsid w:val="00C22D28"/>
    <w:rsid w:val="00C22F7F"/>
    <w:rsid w:val="00C22FD4"/>
    <w:rsid w:val="00C23234"/>
    <w:rsid w:val="00C23251"/>
    <w:rsid w:val="00C2339F"/>
    <w:rsid w:val="00C23406"/>
    <w:rsid w:val="00C234E2"/>
    <w:rsid w:val="00C234EE"/>
    <w:rsid w:val="00C235E4"/>
    <w:rsid w:val="00C235EC"/>
    <w:rsid w:val="00C23627"/>
    <w:rsid w:val="00C23755"/>
    <w:rsid w:val="00C239CC"/>
    <w:rsid w:val="00C239FA"/>
    <w:rsid w:val="00C23A25"/>
    <w:rsid w:val="00C23A5C"/>
    <w:rsid w:val="00C23B20"/>
    <w:rsid w:val="00C23B49"/>
    <w:rsid w:val="00C23BFE"/>
    <w:rsid w:val="00C23C12"/>
    <w:rsid w:val="00C23D3F"/>
    <w:rsid w:val="00C23EE9"/>
    <w:rsid w:val="00C24204"/>
    <w:rsid w:val="00C24225"/>
    <w:rsid w:val="00C242A8"/>
    <w:rsid w:val="00C242C4"/>
    <w:rsid w:val="00C24402"/>
    <w:rsid w:val="00C244A9"/>
    <w:rsid w:val="00C244F7"/>
    <w:rsid w:val="00C2455F"/>
    <w:rsid w:val="00C24562"/>
    <w:rsid w:val="00C2470A"/>
    <w:rsid w:val="00C247B7"/>
    <w:rsid w:val="00C24A8F"/>
    <w:rsid w:val="00C24B45"/>
    <w:rsid w:val="00C24BF7"/>
    <w:rsid w:val="00C24CAB"/>
    <w:rsid w:val="00C24D31"/>
    <w:rsid w:val="00C24D83"/>
    <w:rsid w:val="00C24DD1"/>
    <w:rsid w:val="00C250D5"/>
    <w:rsid w:val="00C251CA"/>
    <w:rsid w:val="00C25273"/>
    <w:rsid w:val="00C253A5"/>
    <w:rsid w:val="00C2544E"/>
    <w:rsid w:val="00C2549F"/>
    <w:rsid w:val="00C25551"/>
    <w:rsid w:val="00C25599"/>
    <w:rsid w:val="00C256C7"/>
    <w:rsid w:val="00C25744"/>
    <w:rsid w:val="00C25839"/>
    <w:rsid w:val="00C25904"/>
    <w:rsid w:val="00C25927"/>
    <w:rsid w:val="00C25A1D"/>
    <w:rsid w:val="00C25AAA"/>
    <w:rsid w:val="00C25AC2"/>
    <w:rsid w:val="00C25C66"/>
    <w:rsid w:val="00C25C8F"/>
    <w:rsid w:val="00C25DB9"/>
    <w:rsid w:val="00C25E1E"/>
    <w:rsid w:val="00C2602B"/>
    <w:rsid w:val="00C26078"/>
    <w:rsid w:val="00C2609D"/>
    <w:rsid w:val="00C260B7"/>
    <w:rsid w:val="00C26134"/>
    <w:rsid w:val="00C2623E"/>
    <w:rsid w:val="00C26298"/>
    <w:rsid w:val="00C263AB"/>
    <w:rsid w:val="00C2645E"/>
    <w:rsid w:val="00C2651B"/>
    <w:rsid w:val="00C266B9"/>
    <w:rsid w:val="00C26820"/>
    <w:rsid w:val="00C268E7"/>
    <w:rsid w:val="00C269BD"/>
    <w:rsid w:val="00C269EC"/>
    <w:rsid w:val="00C269F8"/>
    <w:rsid w:val="00C26B22"/>
    <w:rsid w:val="00C26D55"/>
    <w:rsid w:val="00C26DC1"/>
    <w:rsid w:val="00C26F24"/>
    <w:rsid w:val="00C26FF9"/>
    <w:rsid w:val="00C27017"/>
    <w:rsid w:val="00C270B1"/>
    <w:rsid w:val="00C2714B"/>
    <w:rsid w:val="00C27324"/>
    <w:rsid w:val="00C27487"/>
    <w:rsid w:val="00C27733"/>
    <w:rsid w:val="00C2778C"/>
    <w:rsid w:val="00C277A8"/>
    <w:rsid w:val="00C2799D"/>
    <w:rsid w:val="00C27D53"/>
    <w:rsid w:val="00C27EDF"/>
    <w:rsid w:val="00C3002C"/>
    <w:rsid w:val="00C3015B"/>
    <w:rsid w:val="00C3019C"/>
    <w:rsid w:val="00C30226"/>
    <w:rsid w:val="00C303C8"/>
    <w:rsid w:val="00C3051B"/>
    <w:rsid w:val="00C30659"/>
    <w:rsid w:val="00C3074F"/>
    <w:rsid w:val="00C30B6A"/>
    <w:rsid w:val="00C30BB1"/>
    <w:rsid w:val="00C30D50"/>
    <w:rsid w:val="00C30DF0"/>
    <w:rsid w:val="00C30E54"/>
    <w:rsid w:val="00C30EC0"/>
    <w:rsid w:val="00C30F62"/>
    <w:rsid w:val="00C310AD"/>
    <w:rsid w:val="00C3111D"/>
    <w:rsid w:val="00C3111E"/>
    <w:rsid w:val="00C31216"/>
    <w:rsid w:val="00C31761"/>
    <w:rsid w:val="00C3176D"/>
    <w:rsid w:val="00C319CE"/>
    <w:rsid w:val="00C31B84"/>
    <w:rsid w:val="00C31E9B"/>
    <w:rsid w:val="00C31FFE"/>
    <w:rsid w:val="00C3202D"/>
    <w:rsid w:val="00C32170"/>
    <w:rsid w:val="00C321A6"/>
    <w:rsid w:val="00C32200"/>
    <w:rsid w:val="00C32215"/>
    <w:rsid w:val="00C322D7"/>
    <w:rsid w:val="00C322E5"/>
    <w:rsid w:val="00C3258F"/>
    <w:rsid w:val="00C32625"/>
    <w:rsid w:val="00C326A0"/>
    <w:rsid w:val="00C3292C"/>
    <w:rsid w:val="00C329B0"/>
    <w:rsid w:val="00C32A11"/>
    <w:rsid w:val="00C32A87"/>
    <w:rsid w:val="00C32D1B"/>
    <w:rsid w:val="00C3305E"/>
    <w:rsid w:val="00C33077"/>
    <w:rsid w:val="00C33151"/>
    <w:rsid w:val="00C33251"/>
    <w:rsid w:val="00C33291"/>
    <w:rsid w:val="00C3343C"/>
    <w:rsid w:val="00C33487"/>
    <w:rsid w:val="00C3351A"/>
    <w:rsid w:val="00C33659"/>
    <w:rsid w:val="00C336D0"/>
    <w:rsid w:val="00C336FC"/>
    <w:rsid w:val="00C33817"/>
    <w:rsid w:val="00C3382A"/>
    <w:rsid w:val="00C3395C"/>
    <w:rsid w:val="00C33961"/>
    <w:rsid w:val="00C33970"/>
    <w:rsid w:val="00C33A6B"/>
    <w:rsid w:val="00C33AA9"/>
    <w:rsid w:val="00C33CCB"/>
    <w:rsid w:val="00C33CF9"/>
    <w:rsid w:val="00C33D5C"/>
    <w:rsid w:val="00C33D7E"/>
    <w:rsid w:val="00C33DAF"/>
    <w:rsid w:val="00C33E1A"/>
    <w:rsid w:val="00C3412A"/>
    <w:rsid w:val="00C3417D"/>
    <w:rsid w:val="00C341F2"/>
    <w:rsid w:val="00C34493"/>
    <w:rsid w:val="00C34527"/>
    <w:rsid w:val="00C346A9"/>
    <w:rsid w:val="00C347D8"/>
    <w:rsid w:val="00C34826"/>
    <w:rsid w:val="00C34AD1"/>
    <w:rsid w:val="00C34BD7"/>
    <w:rsid w:val="00C34C57"/>
    <w:rsid w:val="00C34D06"/>
    <w:rsid w:val="00C34D5D"/>
    <w:rsid w:val="00C34EB7"/>
    <w:rsid w:val="00C350AB"/>
    <w:rsid w:val="00C3517E"/>
    <w:rsid w:val="00C352EA"/>
    <w:rsid w:val="00C35327"/>
    <w:rsid w:val="00C35413"/>
    <w:rsid w:val="00C35458"/>
    <w:rsid w:val="00C3587D"/>
    <w:rsid w:val="00C35C20"/>
    <w:rsid w:val="00C35C31"/>
    <w:rsid w:val="00C35D23"/>
    <w:rsid w:val="00C35D24"/>
    <w:rsid w:val="00C36192"/>
    <w:rsid w:val="00C361AD"/>
    <w:rsid w:val="00C36310"/>
    <w:rsid w:val="00C363A2"/>
    <w:rsid w:val="00C36579"/>
    <w:rsid w:val="00C36666"/>
    <w:rsid w:val="00C366F8"/>
    <w:rsid w:val="00C3671F"/>
    <w:rsid w:val="00C3673F"/>
    <w:rsid w:val="00C36783"/>
    <w:rsid w:val="00C36921"/>
    <w:rsid w:val="00C3696B"/>
    <w:rsid w:val="00C369B5"/>
    <w:rsid w:val="00C36A0E"/>
    <w:rsid w:val="00C36A5F"/>
    <w:rsid w:val="00C36ADA"/>
    <w:rsid w:val="00C36ADC"/>
    <w:rsid w:val="00C36AE1"/>
    <w:rsid w:val="00C36C39"/>
    <w:rsid w:val="00C36C5F"/>
    <w:rsid w:val="00C36DA8"/>
    <w:rsid w:val="00C36E12"/>
    <w:rsid w:val="00C36E48"/>
    <w:rsid w:val="00C37184"/>
    <w:rsid w:val="00C374E5"/>
    <w:rsid w:val="00C37530"/>
    <w:rsid w:val="00C37576"/>
    <w:rsid w:val="00C375D2"/>
    <w:rsid w:val="00C3764F"/>
    <w:rsid w:val="00C37728"/>
    <w:rsid w:val="00C378EA"/>
    <w:rsid w:val="00C37906"/>
    <w:rsid w:val="00C37932"/>
    <w:rsid w:val="00C37999"/>
    <w:rsid w:val="00C379E2"/>
    <w:rsid w:val="00C37A8D"/>
    <w:rsid w:val="00C37D0A"/>
    <w:rsid w:val="00C37D2A"/>
    <w:rsid w:val="00C37E98"/>
    <w:rsid w:val="00C37EBC"/>
    <w:rsid w:val="00C40054"/>
    <w:rsid w:val="00C4005F"/>
    <w:rsid w:val="00C4017B"/>
    <w:rsid w:val="00C40304"/>
    <w:rsid w:val="00C4041F"/>
    <w:rsid w:val="00C406AE"/>
    <w:rsid w:val="00C4078E"/>
    <w:rsid w:val="00C40851"/>
    <w:rsid w:val="00C408CB"/>
    <w:rsid w:val="00C40939"/>
    <w:rsid w:val="00C40955"/>
    <w:rsid w:val="00C409F5"/>
    <w:rsid w:val="00C40B1D"/>
    <w:rsid w:val="00C410B5"/>
    <w:rsid w:val="00C410BC"/>
    <w:rsid w:val="00C41101"/>
    <w:rsid w:val="00C41194"/>
    <w:rsid w:val="00C4119F"/>
    <w:rsid w:val="00C412CB"/>
    <w:rsid w:val="00C414CE"/>
    <w:rsid w:val="00C41673"/>
    <w:rsid w:val="00C418AB"/>
    <w:rsid w:val="00C419CB"/>
    <w:rsid w:val="00C41B95"/>
    <w:rsid w:val="00C41B98"/>
    <w:rsid w:val="00C41C86"/>
    <w:rsid w:val="00C41CAA"/>
    <w:rsid w:val="00C41D4B"/>
    <w:rsid w:val="00C41D85"/>
    <w:rsid w:val="00C41FEE"/>
    <w:rsid w:val="00C42077"/>
    <w:rsid w:val="00C420F1"/>
    <w:rsid w:val="00C42198"/>
    <w:rsid w:val="00C421F9"/>
    <w:rsid w:val="00C422C9"/>
    <w:rsid w:val="00C42313"/>
    <w:rsid w:val="00C4238B"/>
    <w:rsid w:val="00C42430"/>
    <w:rsid w:val="00C426EF"/>
    <w:rsid w:val="00C429C4"/>
    <w:rsid w:val="00C42A06"/>
    <w:rsid w:val="00C42A27"/>
    <w:rsid w:val="00C42AB1"/>
    <w:rsid w:val="00C42B27"/>
    <w:rsid w:val="00C42B76"/>
    <w:rsid w:val="00C42BBC"/>
    <w:rsid w:val="00C42C48"/>
    <w:rsid w:val="00C42CFC"/>
    <w:rsid w:val="00C42E17"/>
    <w:rsid w:val="00C42E2A"/>
    <w:rsid w:val="00C42E50"/>
    <w:rsid w:val="00C42F2C"/>
    <w:rsid w:val="00C43190"/>
    <w:rsid w:val="00C432A5"/>
    <w:rsid w:val="00C432F0"/>
    <w:rsid w:val="00C43406"/>
    <w:rsid w:val="00C434AB"/>
    <w:rsid w:val="00C43850"/>
    <w:rsid w:val="00C438B1"/>
    <w:rsid w:val="00C43C7C"/>
    <w:rsid w:val="00C43DFC"/>
    <w:rsid w:val="00C43ED0"/>
    <w:rsid w:val="00C44020"/>
    <w:rsid w:val="00C441D7"/>
    <w:rsid w:val="00C44300"/>
    <w:rsid w:val="00C44319"/>
    <w:rsid w:val="00C44372"/>
    <w:rsid w:val="00C4442C"/>
    <w:rsid w:val="00C44531"/>
    <w:rsid w:val="00C445F2"/>
    <w:rsid w:val="00C446C2"/>
    <w:rsid w:val="00C44721"/>
    <w:rsid w:val="00C447D1"/>
    <w:rsid w:val="00C44B4E"/>
    <w:rsid w:val="00C44B5F"/>
    <w:rsid w:val="00C44D3D"/>
    <w:rsid w:val="00C44DD5"/>
    <w:rsid w:val="00C44DE8"/>
    <w:rsid w:val="00C44DF2"/>
    <w:rsid w:val="00C44FF7"/>
    <w:rsid w:val="00C4510A"/>
    <w:rsid w:val="00C45288"/>
    <w:rsid w:val="00C4543F"/>
    <w:rsid w:val="00C455A0"/>
    <w:rsid w:val="00C455A3"/>
    <w:rsid w:val="00C456DA"/>
    <w:rsid w:val="00C45A56"/>
    <w:rsid w:val="00C45AA1"/>
    <w:rsid w:val="00C45B19"/>
    <w:rsid w:val="00C45DB8"/>
    <w:rsid w:val="00C45DFF"/>
    <w:rsid w:val="00C45EE8"/>
    <w:rsid w:val="00C45F04"/>
    <w:rsid w:val="00C45F08"/>
    <w:rsid w:val="00C460AA"/>
    <w:rsid w:val="00C46124"/>
    <w:rsid w:val="00C461AE"/>
    <w:rsid w:val="00C462A3"/>
    <w:rsid w:val="00C462FD"/>
    <w:rsid w:val="00C465D6"/>
    <w:rsid w:val="00C46631"/>
    <w:rsid w:val="00C4669F"/>
    <w:rsid w:val="00C466FE"/>
    <w:rsid w:val="00C46819"/>
    <w:rsid w:val="00C468F2"/>
    <w:rsid w:val="00C46909"/>
    <w:rsid w:val="00C46A25"/>
    <w:rsid w:val="00C46BF7"/>
    <w:rsid w:val="00C46C08"/>
    <w:rsid w:val="00C46D14"/>
    <w:rsid w:val="00C46D3D"/>
    <w:rsid w:val="00C46DAF"/>
    <w:rsid w:val="00C47136"/>
    <w:rsid w:val="00C4717D"/>
    <w:rsid w:val="00C4722C"/>
    <w:rsid w:val="00C473F5"/>
    <w:rsid w:val="00C4743A"/>
    <w:rsid w:val="00C4754F"/>
    <w:rsid w:val="00C47593"/>
    <w:rsid w:val="00C475C8"/>
    <w:rsid w:val="00C47646"/>
    <w:rsid w:val="00C4764B"/>
    <w:rsid w:val="00C477DE"/>
    <w:rsid w:val="00C479BD"/>
    <w:rsid w:val="00C47A84"/>
    <w:rsid w:val="00C47ABB"/>
    <w:rsid w:val="00C47B2E"/>
    <w:rsid w:val="00C47B4D"/>
    <w:rsid w:val="00C47B59"/>
    <w:rsid w:val="00C47B5C"/>
    <w:rsid w:val="00C47B5E"/>
    <w:rsid w:val="00C47B92"/>
    <w:rsid w:val="00C47CAE"/>
    <w:rsid w:val="00C47DE4"/>
    <w:rsid w:val="00C47E4E"/>
    <w:rsid w:val="00C47EBE"/>
    <w:rsid w:val="00C500ED"/>
    <w:rsid w:val="00C50101"/>
    <w:rsid w:val="00C50126"/>
    <w:rsid w:val="00C50163"/>
    <w:rsid w:val="00C50381"/>
    <w:rsid w:val="00C503F3"/>
    <w:rsid w:val="00C5041F"/>
    <w:rsid w:val="00C504C0"/>
    <w:rsid w:val="00C50619"/>
    <w:rsid w:val="00C506DE"/>
    <w:rsid w:val="00C5087F"/>
    <w:rsid w:val="00C508AB"/>
    <w:rsid w:val="00C50952"/>
    <w:rsid w:val="00C50D26"/>
    <w:rsid w:val="00C50E8D"/>
    <w:rsid w:val="00C50E98"/>
    <w:rsid w:val="00C511ED"/>
    <w:rsid w:val="00C51259"/>
    <w:rsid w:val="00C5130F"/>
    <w:rsid w:val="00C51369"/>
    <w:rsid w:val="00C51582"/>
    <w:rsid w:val="00C515EC"/>
    <w:rsid w:val="00C5165C"/>
    <w:rsid w:val="00C51674"/>
    <w:rsid w:val="00C5173C"/>
    <w:rsid w:val="00C51765"/>
    <w:rsid w:val="00C51884"/>
    <w:rsid w:val="00C518BD"/>
    <w:rsid w:val="00C5198C"/>
    <w:rsid w:val="00C51D48"/>
    <w:rsid w:val="00C51E20"/>
    <w:rsid w:val="00C51E34"/>
    <w:rsid w:val="00C51F27"/>
    <w:rsid w:val="00C51F9B"/>
    <w:rsid w:val="00C520A3"/>
    <w:rsid w:val="00C521F7"/>
    <w:rsid w:val="00C52266"/>
    <w:rsid w:val="00C52375"/>
    <w:rsid w:val="00C52479"/>
    <w:rsid w:val="00C5247A"/>
    <w:rsid w:val="00C524DD"/>
    <w:rsid w:val="00C52563"/>
    <w:rsid w:val="00C52581"/>
    <w:rsid w:val="00C525B0"/>
    <w:rsid w:val="00C526B1"/>
    <w:rsid w:val="00C52744"/>
    <w:rsid w:val="00C52754"/>
    <w:rsid w:val="00C528D0"/>
    <w:rsid w:val="00C528D5"/>
    <w:rsid w:val="00C52935"/>
    <w:rsid w:val="00C5297A"/>
    <w:rsid w:val="00C5298C"/>
    <w:rsid w:val="00C52CFF"/>
    <w:rsid w:val="00C52DBA"/>
    <w:rsid w:val="00C52E5D"/>
    <w:rsid w:val="00C531F1"/>
    <w:rsid w:val="00C53216"/>
    <w:rsid w:val="00C5326C"/>
    <w:rsid w:val="00C53287"/>
    <w:rsid w:val="00C5330D"/>
    <w:rsid w:val="00C534D8"/>
    <w:rsid w:val="00C53501"/>
    <w:rsid w:val="00C53559"/>
    <w:rsid w:val="00C535E5"/>
    <w:rsid w:val="00C537E0"/>
    <w:rsid w:val="00C53859"/>
    <w:rsid w:val="00C53ECD"/>
    <w:rsid w:val="00C53F94"/>
    <w:rsid w:val="00C5402D"/>
    <w:rsid w:val="00C54101"/>
    <w:rsid w:val="00C542A0"/>
    <w:rsid w:val="00C54316"/>
    <w:rsid w:val="00C5450D"/>
    <w:rsid w:val="00C54559"/>
    <w:rsid w:val="00C5466A"/>
    <w:rsid w:val="00C547A5"/>
    <w:rsid w:val="00C5487D"/>
    <w:rsid w:val="00C54A54"/>
    <w:rsid w:val="00C54AA3"/>
    <w:rsid w:val="00C54AAA"/>
    <w:rsid w:val="00C54ADE"/>
    <w:rsid w:val="00C54B96"/>
    <w:rsid w:val="00C54C24"/>
    <w:rsid w:val="00C54C93"/>
    <w:rsid w:val="00C54DE2"/>
    <w:rsid w:val="00C54E8D"/>
    <w:rsid w:val="00C54F94"/>
    <w:rsid w:val="00C550DE"/>
    <w:rsid w:val="00C55148"/>
    <w:rsid w:val="00C5528D"/>
    <w:rsid w:val="00C5542F"/>
    <w:rsid w:val="00C554D6"/>
    <w:rsid w:val="00C55636"/>
    <w:rsid w:val="00C5565D"/>
    <w:rsid w:val="00C556A1"/>
    <w:rsid w:val="00C55782"/>
    <w:rsid w:val="00C55A5D"/>
    <w:rsid w:val="00C55B7A"/>
    <w:rsid w:val="00C55C0F"/>
    <w:rsid w:val="00C55CB9"/>
    <w:rsid w:val="00C55D1B"/>
    <w:rsid w:val="00C55E84"/>
    <w:rsid w:val="00C55F63"/>
    <w:rsid w:val="00C55F72"/>
    <w:rsid w:val="00C56133"/>
    <w:rsid w:val="00C56153"/>
    <w:rsid w:val="00C561AA"/>
    <w:rsid w:val="00C56259"/>
    <w:rsid w:val="00C5625B"/>
    <w:rsid w:val="00C5638D"/>
    <w:rsid w:val="00C563B4"/>
    <w:rsid w:val="00C563BE"/>
    <w:rsid w:val="00C56707"/>
    <w:rsid w:val="00C5686C"/>
    <w:rsid w:val="00C56A26"/>
    <w:rsid w:val="00C56AFB"/>
    <w:rsid w:val="00C56B98"/>
    <w:rsid w:val="00C56BA0"/>
    <w:rsid w:val="00C56CD5"/>
    <w:rsid w:val="00C56D7D"/>
    <w:rsid w:val="00C56D82"/>
    <w:rsid w:val="00C56DE5"/>
    <w:rsid w:val="00C56E15"/>
    <w:rsid w:val="00C56F36"/>
    <w:rsid w:val="00C570BC"/>
    <w:rsid w:val="00C57104"/>
    <w:rsid w:val="00C57106"/>
    <w:rsid w:val="00C571E9"/>
    <w:rsid w:val="00C5724A"/>
    <w:rsid w:val="00C57258"/>
    <w:rsid w:val="00C57266"/>
    <w:rsid w:val="00C574E9"/>
    <w:rsid w:val="00C5750A"/>
    <w:rsid w:val="00C57549"/>
    <w:rsid w:val="00C575BF"/>
    <w:rsid w:val="00C577C1"/>
    <w:rsid w:val="00C577E7"/>
    <w:rsid w:val="00C57847"/>
    <w:rsid w:val="00C578C1"/>
    <w:rsid w:val="00C5792C"/>
    <w:rsid w:val="00C5798C"/>
    <w:rsid w:val="00C57CA1"/>
    <w:rsid w:val="00C57CE7"/>
    <w:rsid w:val="00C57CEB"/>
    <w:rsid w:val="00C57FD6"/>
    <w:rsid w:val="00C60149"/>
    <w:rsid w:val="00C6032B"/>
    <w:rsid w:val="00C60463"/>
    <w:rsid w:val="00C606CA"/>
    <w:rsid w:val="00C60ABE"/>
    <w:rsid w:val="00C60B10"/>
    <w:rsid w:val="00C60B38"/>
    <w:rsid w:val="00C60E9F"/>
    <w:rsid w:val="00C60EB8"/>
    <w:rsid w:val="00C60F84"/>
    <w:rsid w:val="00C60FD7"/>
    <w:rsid w:val="00C60FE3"/>
    <w:rsid w:val="00C61046"/>
    <w:rsid w:val="00C61069"/>
    <w:rsid w:val="00C612D1"/>
    <w:rsid w:val="00C61307"/>
    <w:rsid w:val="00C61308"/>
    <w:rsid w:val="00C61524"/>
    <w:rsid w:val="00C61580"/>
    <w:rsid w:val="00C61878"/>
    <w:rsid w:val="00C619E9"/>
    <w:rsid w:val="00C61A86"/>
    <w:rsid w:val="00C61B15"/>
    <w:rsid w:val="00C61D8C"/>
    <w:rsid w:val="00C61E75"/>
    <w:rsid w:val="00C61EB7"/>
    <w:rsid w:val="00C61FEE"/>
    <w:rsid w:val="00C62064"/>
    <w:rsid w:val="00C6212B"/>
    <w:rsid w:val="00C622B3"/>
    <w:rsid w:val="00C6237A"/>
    <w:rsid w:val="00C62445"/>
    <w:rsid w:val="00C62664"/>
    <w:rsid w:val="00C6293D"/>
    <w:rsid w:val="00C62975"/>
    <w:rsid w:val="00C629B5"/>
    <w:rsid w:val="00C629D5"/>
    <w:rsid w:val="00C62A1C"/>
    <w:rsid w:val="00C62B5F"/>
    <w:rsid w:val="00C62B7C"/>
    <w:rsid w:val="00C62BDC"/>
    <w:rsid w:val="00C62C03"/>
    <w:rsid w:val="00C62D79"/>
    <w:rsid w:val="00C62F6F"/>
    <w:rsid w:val="00C62FE3"/>
    <w:rsid w:val="00C630C0"/>
    <w:rsid w:val="00C630C1"/>
    <w:rsid w:val="00C630F2"/>
    <w:rsid w:val="00C630FD"/>
    <w:rsid w:val="00C63123"/>
    <w:rsid w:val="00C63243"/>
    <w:rsid w:val="00C632CA"/>
    <w:rsid w:val="00C63309"/>
    <w:rsid w:val="00C6335F"/>
    <w:rsid w:val="00C63438"/>
    <w:rsid w:val="00C634F9"/>
    <w:rsid w:val="00C6357F"/>
    <w:rsid w:val="00C635A2"/>
    <w:rsid w:val="00C635DC"/>
    <w:rsid w:val="00C6366E"/>
    <w:rsid w:val="00C63790"/>
    <w:rsid w:val="00C63853"/>
    <w:rsid w:val="00C63890"/>
    <w:rsid w:val="00C638D7"/>
    <w:rsid w:val="00C63926"/>
    <w:rsid w:val="00C63983"/>
    <w:rsid w:val="00C639F0"/>
    <w:rsid w:val="00C63B19"/>
    <w:rsid w:val="00C63BF3"/>
    <w:rsid w:val="00C63D80"/>
    <w:rsid w:val="00C63D8C"/>
    <w:rsid w:val="00C63E2A"/>
    <w:rsid w:val="00C63E88"/>
    <w:rsid w:val="00C63F07"/>
    <w:rsid w:val="00C640B5"/>
    <w:rsid w:val="00C641A1"/>
    <w:rsid w:val="00C64455"/>
    <w:rsid w:val="00C64540"/>
    <w:rsid w:val="00C64591"/>
    <w:rsid w:val="00C6483A"/>
    <w:rsid w:val="00C64949"/>
    <w:rsid w:val="00C649C5"/>
    <w:rsid w:val="00C64AD9"/>
    <w:rsid w:val="00C64C0D"/>
    <w:rsid w:val="00C64DFE"/>
    <w:rsid w:val="00C64E87"/>
    <w:rsid w:val="00C64F7B"/>
    <w:rsid w:val="00C650A8"/>
    <w:rsid w:val="00C6513B"/>
    <w:rsid w:val="00C6521D"/>
    <w:rsid w:val="00C6534B"/>
    <w:rsid w:val="00C653B4"/>
    <w:rsid w:val="00C653D5"/>
    <w:rsid w:val="00C654B4"/>
    <w:rsid w:val="00C655F6"/>
    <w:rsid w:val="00C656D8"/>
    <w:rsid w:val="00C65782"/>
    <w:rsid w:val="00C657FF"/>
    <w:rsid w:val="00C658FF"/>
    <w:rsid w:val="00C6593A"/>
    <w:rsid w:val="00C6594A"/>
    <w:rsid w:val="00C65957"/>
    <w:rsid w:val="00C65A2F"/>
    <w:rsid w:val="00C65BE4"/>
    <w:rsid w:val="00C65BF8"/>
    <w:rsid w:val="00C65C1E"/>
    <w:rsid w:val="00C65CA5"/>
    <w:rsid w:val="00C65E60"/>
    <w:rsid w:val="00C65EC0"/>
    <w:rsid w:val="00C65F63"/>
    <w:rsid w:val="00C65F72"/>
    <w:rsid w:val="00C65FBA"/>
    <w:rsid w:val="00C6606F"/>
    <w:rsid w:val="00C660CB"/>
    <w:rsid w:val="00C660FE"/>
    <w:rsid w:val="00C6612A"/>
    <w:rsid w:val="00C664A3"/>
    <w:rsid w:val="00C665E3"/>
    <w:rsid w:val="00C66897"/>
    <w:rsid w:val="00C66ADF"/>
    <w:rsid w:val="00C66AF6"/>
    <w:rsid w:val="00C66B18"/>
    <w:rsid w:val="00C66C55"/>
    <w:rsid w:val="00C66CBD"/>
    <w:rsid w:val="00C67326"/>
    <w:rsid w:val="00C67406"/>
    <w:rsid w:val="00C67493"/>
    <w:rsid w:val="00C6750C"/>
    <w:rsid w:val="00C6755D"/>
    <w:rsid w:val="00C675E0"/>
    <w:rsid w:val="00C67635"/>
    <w:rsid w:val="00C678BF"/>
    <w:rsid w:val="00C679C2"/>
    <w:rsid w:val="00C679D0"/>
    <w:rsid w:val="00C67BFA"/>
    <w:rsid w:val="00C67C47"/>
    <w:rsid w:val="00C67E7A"/>
    <w:rsid w:val="00C70362"/>
    <w:rsid w:val="00C704D9"/>
    <w:rsid w:val="00C7054D"/>
    <w:rsid w:val="00C706DA"/>
    <w:rsid w:val="00C707CC"/>
    <w:rsid w:val="00C707D7"/>
    <w:rsid w:val="00C707F6"/>
    <w:rsid w:val="00C7082F"/>
    <w:rsid w:val="00C70A3B"/>
    <w:rsid w:val="00C70B22"/>
    <w:rsid w:val="00C70C35"/>
    <w:rsid w:val="00C70C63"/>
    <w:rsid w:val="00C70C64"/>
    <w:rsid w:val="00C70C6C"/>
    <w:rsid w:val="00C70DF2"/>
    <w:rsid w:val="00C70E44"/>
    <w:rsid w:val="00C70FA9"/>
    <w:rsid w:val="00C70FC4"/>
    <w:rsid w:val="00C71011"/>
    <w:rsid w:val="00C71387"/>
    <w:rsid w:val="00C713B2"/>
    <w:rsid w:val="00C71435"/>
    <w:rsid w:val="00C716E0"/>
    <w:rsid w:val="00C7173A"/>
    <w:rsid w:val="00C71842"/>
    <w:rsid w:val="00C71BF2"/>
    <w:rsid w:val="00C71CBB"/>
    <w:rsid w:val="00C71D16"/>
    <w:rsid w:val="00C71DB6"/>
    <w:rsid w:val="00C71DBA"/>
    <w:rsid w:val="00C71DE6"/>
    <w:rsid w:val="00C71E1B"/>
    <w:rsid w:val="00C71FD2"/>
    <w:rsid w:val="00C722FD"/>
    <w:rsid w:val="00C72360"/>
    <w:rsid w:val="00C723CA"/>
    <w:rsid w:val="00C7244B"/>
    <w:rsid w:val="00C724C5"/>
    <w:rsid w:val="00C72585"/>
    <w:rsid w:val="00C726FF"/>
    <w:rsid w:val="00C7280C"/>
    <w:rsid w:val="00C72903"/>
    <w:rsid w:val="00C72909"/>
    <w:rsid w:val="00C729E6"/>
    <w:rsid w:val="00C72D38"/>
    <w:rsid w:val="00C73014"/>
    <w:rsid w:val="00C73041"/>
    <w:rsid w:val="00C73044"/>
    <w:rsid w:val="00C734D3"/>
    <w:rsid w:val="00C73664"/>
    <w:rsid w:val="00C736E8"/>
    <w:rsid w:val="00C739D7"/>
    <w:rsid w:val="00C73B55"/>
    <w:rsid w:val="00C73E04"/>
    <w:rsid w:val="00C73E13"/>
    <w:rsid w:val="00C73F33"/>
    <w:rsid w:val="00C740AB"/>
    <w:rsid w:val="00C74101"/>
    <w:rsid w:val="00C742B3"/>
    <w:rsid w:val="00C74338"/>
    <w:rsid w:val="00C74470"/>
    <w:rsid w:val="00C74532"/>
    <w:rsid w:val="00C7469D"/>
    <w:rsid w:val="00C74872"/>
    <w:rsid w:val="00C74902"/>
    <w:rsid w:val="00C74936"/>
    <w:rsid w:val="00C74A4C"/>
    <w:rsid w:val="00C74A8E"/>
    <w:rsid w:val="00C74C5C"/>
    <w:rsid w:val="00C74D11"/>
    <w:rsid w:val="00C74D36"/>
    <w:rsid w:val="00C74FAD"/>
    <w:rsid w:val="00C75009"/>
    <w:rsid w:val="00C7511F"/>
    <w:rsid w:val="00C75212"/>
    <w:rsid w:val="00C75239"/>
    <w:rsid w:val="00C7526B"/>
    <w:rsid w:val="00C75337"/>
    <w:rsid w:val="00C75340"/>
    <w:rsid w:val="00C753C8"/>
    <w:rsid w:val="00C75453"/>
    <w:rsid w:val="00C75514"/>
    <w:rsid w:val="00C755DE"/>
    <w:rsid w:val="00C756B0"/>
    <w:rsid w:val="00C7580D"/>
    <w:rsid w:val="00C75856"/>
    <w:rsid w:val="00C75935"/>
    <w:rsid w:val="00C759E1"/>
    <w:rsid w:val="00C75B00"/>
    <w:rsid w:val="00C75B29"/>
    <w:rsid w:val="00C75E43"/>
    <w:rsid w:val="00C75EAC"/>
    <w:rsid w:val="00C75EFC"/>
    <w:rsid w:val="00C75F4E"/>
    <w:rsid w:val="00C75FA7"/>
    <w:rsid w:val="00C75FE7"/>
    <w:rsid w:val="00C760D5"/>
    <w:rsid w:val="00C76121"/>
    <w:rsid w:val="00C76230"/>
    <w:rsid w:val="00C76273"/>
    <w:rsid w:val="00C76294"/>
    <w:rsid w:val="00C762AE"/>
    <w:rsid w:val="00C762CB"/>
    <w:rsid w:val="00C76363"/>
    <w:rsid w:val="00C76391"/>
    <w:rsid w:val="00C763B6"/>
    <w:rsid w:val="00C76685"/>
    <w:rsid w:val="00C76775"/>
    <w:rsid w:val="00C767B6"/>
    <w:rsid w:val="00C76A00"/>
    <w:rsid w:val="00C76A9B"/>
    <w:rsid w:val="00C76ABA"/>
    <w:rsid w:val="00C76AE6"/>
    <w:rsid w:val="00C76CEC"/>
    <w:rsid w:val="00C76D2F"/>
    <w:rsid w:val="00C76E8F"/>
    <w:rsid w:val="00C76EBE"/>
    <w:rsid w:val="00C76FB1"/>
    <w:rsid w:val="00C7701B"/>
    <w:rsid w:val="00C77074"/>
    <w:rsid w:val="00C771A3"/>
    <w:rsid w:val="00C772A7"/>
    <w:rsid w:val="00C77503"/>
    <w:rsid w:val="00C7756D"/>
    <w:rsid w:val="00C775D6"/>
    <w:rsid w:val="00C775F7"/>
    <w:rsid w:val="00C7773A"/>
    <w:rsid w:val="00C7782D"/>
    <w:rsid w:val="00C779E8"/>
    <w:rsid w:val="00C77A37"/>
    <w:rsid w:val="00C77A48"/>
    <w:rsid w:val="00C77D7E"/>
    <w:rsid w:val="00C77DB5"/>
    <w:rsid w:val="00C77EFE"/>
    <w:rsid w:val="00C77F10"/>
    <w:rsid w:val="00C77F45"/>
    <w:rsid w:val="00C80040"/>
    <w:rsid w:val="00C800A5"/>
    <w:rsid w:val="00C800F8"/>
    <w:rsid w:val="00C800FD"/>
    <w:rsid w:val="00C80150"/>
    <w:rsid w:val="00C80676"/>
    <w:rsid w:val="00C8078F"/>
    <w:rsid w:val="00C80790"/>
    <w:rsid w:val="00C807C3"/>
    <w:rsid w:val="00C807E4"/>
    <w:rsid w:val="00C80948"/>
    <w:rsid w:val="00C80EE6"/>
    <w:rsid w:val="00C80F6C"/>
    <w:rsid w:val="00C80FDC"/>
    <w:rsid w:val="00C810E9"/>
    <w:rsid w:val="00C81133"/>
    <w:rsid w:val="00C8131A"/>
    <w:rsid w:val="00C8134E"/>
    <w:rsid w:val="00C816B3"/>
    <w:rsid w:val="00C81759"/>
    <w:rsid w:val="00C819C2"/>
    <w:rsid w:val="00C81C40"/>
    <w:rsid w:val="00C81C91"/>
    <w:rsid w:val="00C81DCB"/>
    <w:rsid w:val="00C81E6C"/>
    <w:rsid w:val="00C81ED2"/>
    <w:rsid w:val="00C820A8"/>
    <w:rsid w:val="00C820D5"/>
    <w:rsid w:val="00C82209"/>
    <w:rsid w:val="00C82219"/>
    <w:rsid w:val="00C82390"/>
    <w:rsid w:val="00C823C1"/>
    <w:rsid w:val="00C82408"/>
    <w:rsid w:val="00C82564"/>
    <w:rsid w:val="00C825BE"/>
    <w:rsid w:val="00C82618"/>
    <w:rsid w:val="00C828E6"/>
    <w:rsid w:val="00C82BB5"/>
    <w:rsid w:val="00C82C61"/>
    <w:rsid w:val="00C82D4A"/>
    <w:rsid w:val="00C82E2E"/>
    <w:rsid w:val="00C8303E"/>
    <w:rsid w:val="00C8315C"/>
    <w:rsid w:val="00C8317E"/>
    <w:rsid w:val="00C83211"/>
    <w:rsid w:val="00C83312"/>
    <w:rsid w:val="00C8335E"/>
    <w:rsid w:val="00C8344B"/>
    <w:rsid w:val="00C8345D"/>
    <w:rsid w:val="00C8346C"/>
    <w:rsid w:val="00C8351C"/>
    <w:rsid w:val="00C835BC"/>
    <w:rsid w:val="00C835C5"/>
    <w:rsid w:val="00C83827"/>
    <w:rsid w:val="00C8385C"/>
    <w:rsid w:val="00C838A9"/>
    <w:rsid w:val="00C83A36"/>
    <w:rsid w:val="00C83BD1"/>
    <w:rsid w:val="00C83C39"/>
    <w:rsid w:val="00C83C92"/>
    <w:rsid w:val="00C83D16"/>
    <w:rsid w:val="00C83EAB"/>
    <w:rsid w:val="00C83F9A"/>
    <w:rsid w:val="00C84096"/>
    <w:rsid w:val="00C8426A"/>
    <w:rsid w:val="00C8461D"/>
    <w:rsid w:val="00C84641"/>
    <w:rsid w:val="00C846DF"/>
    <w:rsid w:val="00C84742"/>
    <w:rsid w:val="00C847F9"/>
    <w:rsid w:val="00C8481D"/>
    <w:rsid w:val="00C84860"/>
    <w:rsid w:val="00C849A9"/>
    <w:rsid w:val="00C84B14"/>
    <w:rsid w:val="00C84CCD"/>
    <w:rsid w:val="00C84CD0"/>
    <w:rsid w:val="00C84DC2"/>
    <w:rsid w:val="00C84E31"/>
    <w:rsid w:val="00C84FBA"/>
    <w:rsid w:val="00C8531D"/>
    <w:rsid w:val="00C853D4"/>
    <w:rsid w:val="00C8543C"/>
    <w:rsid w:val="00C854AA"/>
    <w:rsid w:val="00C856BC"/>
    <w:rsid w:val="00C85725"/>
    <w:rsid w:val="00C8576B"/>
    <w:rsid w:val="00C8577A"/>
    <w:rsid w:val="00C85B38"/>
    <w:rsid w:val="00C85D7D"/>
    <w:rsid w:val="00C85F53"/>
    <w:rsid w:val="00C85FA3"/>
    <w:rsid w:val="00C86271"/>
    <w:rsid w:val="00C862DA"/>
    <w:rsid w:val="00C8634B"/>
    <w:rsid w:val="00C86427"/>
    <w:rsid w:val="00C8655C"/>
    <w:rsid w:val="00C86658"/>
    <w:rsid w:val="00C8677F"/>
    <w:rsid w:val="00C869A1"/>
    <w:rsid w:val="00C86D58"/>
    <w:rsid w:val="00C86ED9"/>
    <w:rsid w:val="00C86F8C"/>
    <w:rsid w:val="00C87163"/>
    <w:rsid w:val="00C8717F"/>
    <w:rsid w:val="00C8753B"/>
    <w:rsid w:val="00C8758F"/>
    <w:rsid w:val="00C875A5"/>
    <w:rsid w:val="00C878D5"/>
    <w:rsid w:val="00C87974"/>
    <w:rsid w:val="00C879B9"/>
    <w:rsid w:val="00C87BD7"/>
    <w:rsid w:val="00C87C21"/>
    <w:rsid w:val="00C87D23"/>
    <w:rsid w:val="00C87D5B"/>
    <w:rsid w:val="00C87DA9"/>
    <w:rsid w:val="00C87E64"/>
    <w:rsid w:val="00C87F24"/>
    <w:rsid w:val="00C90006"/>
    <w:rsid w:val="00C90022"/>
    <w:rsid w:val="00C9004C"/>
    <w:rsid w:val="00C9005D"/>
    <w:rsid w:val="00C90102"/>
    <w:rsid w:val="00C9015F"/>
    <w:rsid w:val="00C902C9"/>
    <w:rsid w:val="00C90399"/>
    <w:rsid w:val="00C9044F"/>
    <w:rsid w:val="00C9046B"/>
    <w:rsid w:val="00C90481"/>
    <w:rsid w:val="00C9051F"/>
    <w:rsid w:val="00C9059C"/>
    <w:rsid w:val="00C90A2D"/>
    <w:rsid w:val="00C90A57"/>
    <w:rsid w:val="00C90A5B"/>
    <w:rsid w:val="00C90A6E"/>
    <w:rsid w:val="00C90AE5"/>
    <w:rsid w:val="00C90B52"/>
    <w:rsid w:val="00C90BC3"/>
    <w:rsid w:val="00C90CCD"/>
    <w:rsid w:val="00C90DDB"/>
    <w:rsid w:val="00C9105B"/>
    <w:rsid w:val="00C9107C"/>
    <w:rsid w:val="00C910B3"/>
    <w:rsid w:val="00C9117B"/>
    <w:rsid w:val="00C911AA"/>
    <w:rsid w:val="00C9162E"/>
    <w:rsid w:val="00C91636"/>
    <w:rsid w:val="00C91682"/>
    <w:rsid w:val="00C916C3"/>
    <w:rsid w:val="00C916F4"/>
    <w:rsid w:val="00C91793"/>
    <w:rsid w:val="00C9190E"/>
    <w:rsid w:val="00C9193F"/>
    <w:rsid w:val="00C91989"/>
    <w:rsid w:val="00C91A9B"/>
    <w:rsid w:val="00C91D18"/>
    <w:rsid w:val="00C91E7A"/>
    <w:rsid w:val="00C91F12"/>
    <w:rsid w:val="00C925AE"/>
    <w:rsid w:val="00C9268D"/>
    <w:rsid w:val="00C926A3"/>
    <w:rsid w:val="00C9287A"/>
    <w:rsid w:val="00C92C14"/>
    <w:rsid w:val="00C92DDD"/>
    <w:rsid w:val="00C92ED2"/>
    <w:rsid w:val="00C93106"/>
    <w:rsid w:val="00C93577"/>
    <w:rsid w:val="00C9362F"/>
    <w:rsid w:val="00C936D4"/>
    <w:rsid w:val="00C9388E"/>
    <w:rsid w:val="00C938FB"/>
    <w:rsid w:val="00C93AA6"/>
    <w:rsid w:val="00C93AD5"/>
    <w:rsid w:val="00C93C25"/>
    <w:rsid w:val="00C93E38"/>
    <w:rsid w:val="00C93F0F"/>
    <w:rsid w:val="00C9401E"/>
    <w:rsid w:val="00C94098"/>
    <w:rsid w:val="00C9429C"/>
    <w:rsid w:val="00C943A2"/>
    <w:rsid w:val="00C94564"/>
    <w:rsid w:val="00C94705"/>
    <w:rsid w:val="00C94712"/>
    <w:rsid w:val="00C94A41"/>
    <w:rsid w:val="00C94D27"/>
    <w:rsid w:val="00C94DEC"/>
    <w:rsid w:val="00C94E3D"/>
    <w:rsid w:val="00C94F7D"/>
    <w:rsid w:val="00C9509D"/>
    <w:rsid w:val="00C951C1"/>
    <w:rsid w:val="00C95213"/>
    <w:rsid w:val="00C95268"/>
    <w:rsid w:val="00C95311"/>
    <w:rsid w:val="00C95521"/>
    <w:rsid w:val="00C95583"/>
    <w:rsid w:val="00C95629"/>
    <w:rsid w:val="00C9565F"/>
    <w:rsid w:val="00C95736"/>
    <w:rsid w:val="00C9574A"/>
    <w:rsid w:val="00C95753"/>
    <w:rsid w:val="00C95825"/>
    <w:rsid w:val="00C9583B"/>
    <w:rsid w:val="00C95889"/>
    <w:rsid w:val="00C958A9"/>
    <w:rsid w:val="00C958C6"/>
    <w:rsid w:val="00C95B80"/>
    <w:rsid w:val="00C95F76"/>
    <w:rsid w:val="00C95F8E"/>
    <w:rsid w:val="00C95FCE"/>
    <w:rsid w:val="00C9601D"/>
    <w:rsid w:val="00C960A4"/>
    <w:rsid w:val="00C9645F"/>
    <w:rsid w:val="00C964C8"/>
    <w:rsid w:val="00C964C9"/>
    <w:rsid w:val="00C96A87"/>
    <w:rsid w:val="00C96B3C"/>
    <w:rsid w:val="00C96B4E"/>
    <w:rsid w:val="00C96C4C"/>
    <w:rsid w:val="00C96CE8"/>
    <w:rsid w:val="00C96DF4"/>
    <w:rsid w:val="00C96FA4"/>
    <w:rsid w:val="00C96FB0"/>
    <w:rsid w:val="00C96FE2"/>
    <w:rsid w:val="00C97063"/>
    <w:rsid w:val="00C970FC"/>
    <w:rsid w:val="00C97195"/>
    <w:rsid w:val="00C971C7"/>
    <w:rsid w:val="00C971CE"/>
    <w:rsid w:val="00C97325"/>
    <w:rsid w:val="00C973D5"/>
    <w:rsid w:val="00C9745D"/>
    <w:rsid w:val="00C974CF"/>
    <w:rsid w:val="00C97501"/>
    <w:rsid w:val="00C9773A"/>
    <w:rsid w:val="00C97949"/>
    <w:rsid w:val="00C97959"/>
    <w:rsid w:val="00C979A0"/>
    <w:rsid w:val="00C97A74"/>
    <w:rsid w:val="00C97C67"/>
    <w:rsid w:val="00C97D4B"/>
    <w:rsid w:val="00C97D86"/>
    <w:rsid w:val="00C97E72"/>
    <w:rsid w:val="00C97F29"/>
    <w:rsid w:val="00C97F6C"/>
    <w:rsid w:val="00CA0103"/>
    <w:rsid w:val="00CA02F9"/>
    <w:rsid w:val="00CA0365"/>
    <w:rsid w:val="00CA045E"/>
    <w:rsid w:val="00CA04B2"/>
    <w:rsid w:val="00CA0520"/>
    <w:rsid w:val="00CA0563"/>
    <w:rsid w:val="00CA058D"/>
    <w:rsid w:val="00CA0594"/>
    <w:rsid w:val="00CA079A"/>
    <w:rsid w:val="00CA07CD"/>
    <w:rsid w:val="00CA0A47"/>
    <w:rsid w:val="00CA0B4E"/>
    <w:rsid w:val="00CA0BF6"/>
    <w:rsid w:val="00CA0DD9"/>
    <w:rsid w:val="00CA102E"/>
    <w:rsid w:val="00CA104D"/>
    <w:rsid w:val="00CA10B7"/>
    <w:rsid w:val="00CA110E"/>
    <w:rsid w:val="00CA11F3"/>
    <w:rsid w:val="00CA131F"/>
    <w:rsid w:val="00CA16DA"/>
    <w:rsid w:val="00CA1757"/>
    <w:rsid w:val="00CA17E4"/>
    <w:rsid w:val="00CA1A4D"/>
    <w:rsid w:val="00CA1B2F"/>
    <w:rsid w:val="00CA1B6F"/>
    <w:rsid w:val="00CA1C0B"/>
    <w:rsid w:val="00CA1C47"/>
    <w:rsid w:val="00CA1CE4"/>
    <w:rsid w:val="00CA1CED"/>
    <w:rsid w:val="00CA2005"/>
    <w:rsid w:val="00CA2074"/>
    <w:rsid w:val="00CA2128"/>
    <w:rsid w:val="00CA219D"/>
    <w:rsid w:val="00CA23AA"/>
    <w:rsid w:val="00CA2447"/>
    <w:rsid w:val="00CA2454"/>
    <w:rsid w:val="00CA2470"/>
    <w:rsid w:val="00CA24DB"/>
    <w:rsid w:val="00CA259F"/>
    <w:rsid w:val="00CA25C9"/>
    <w:rsid w:val="00CA25DD"/>
    <w:rsid w:val="00CA27BA"/>
    <w:rsid w:val="00CA2876"/>
    <w:rsid w:val="00CA2A2E"/>
    <w:rsid w:val="00CA2D08"/>
    <w:rsid w:val="00CA2DFA"/>
    <w:rsid w:val="00CA30DD"/>
    <w:rsid w:val="00CA3151"/>
    <w:rsid w:val="00CA3175"/>
    <w:rsid w:val="00CA31B8"/>
    <w:rsid w:val="00CA33CF"/>
    <w:rsid w:val="00CA34A1"/>
    <w:rsid w:val="00CA3523"/>
    <w:rsid w:val="00CA3721"/>
    <w:rsid w:val="00CA3805"/>
    <w:rsid w:val="00CA3858"/>
    <w:rsid w:val="00CA3892"/>
    <w:rsid w:val="00CA39DC"/>
    <w:rsid w:val="00CA3ABA"/>
    <w:rsid w:val="00CA3BD0"/>
    <w:rsid w:val="00CA3BF7"/>
    <w:rsid w:val="00CA3C85"/>
    <w:rsid w:val="00CA3FA1"/>
    <w:rsid w:val="00CA3FE4"/>
    <w:rsid w:val="00CA4066"/>
    <w:rsid w:val="00CA4188"/>
    <w:rsid w:val="00CA420D"/>
    <w:rsid w:val="00CA4290"/>
    <w:rsid w:val="00CA434E"/>
    <w:rsid w:val="00CA4362"/>
    <w:rsid w:val="00CA43B2"/>
    <w:rsid w:val="00CA43DB"/>
    <w:rsid w:val="00CA458E"/>
    <w:rsid w:val="00CA45E0"/>
    <w:rsid w:val="00CA46AD"/>
    <w:rsid w:val="00CA4777"/>
    <w:rsid w:val="00CA47EF"/>
    <w:rsid w:val="00CA482E"/>
    <w:rsid w:val="00CA4843"/>
    <w:rsid w:val="00CA498C"/>
    <w:rsid w:val="00CA4AB0"/>
    <w:rsid w:val="00CA4B99"/>
    <w:rsid w:val="00CA4C66"/>
    <w:rsid w:val="00CA4C92"/>
    <w:rsid w:val="00CA4CD2"/>
    <w:rsid w:val="00CA4D6D"/>
    <w:rsid w:val="00CA4DFC"/>
    <w:rsid w:val="00CA4FD0"/>
    <w:rsid w:val="00CA4FF3"/>
    <w:rsid w:val="00CA5197"/>
    <w:rsid w:val="00CA521C"/>
    <w:rsid w:val="00CA5236"/>
    <w:rsid w:val="00CA5361"/>
    <w:rsid w:val="00CA56BC"/>
    <w:rsid w:val="00CA5876"/>
    <w:rsid w:val="00CA59DD"/>
    <w:rsid w:val="00CA59F6"/>
    <w:rsid w:val="00CA5AB8"/>
    <w:rsid w:val="00CA5ADE"/>
    <w:rsid w:val="00CA5DF4"/>
    <w:rsid w:val="00CA5F07"/>
    <w:rsid w:val="00CA6175"/>
    <w:rsid w:val="00CA617A"/>
    <w:rsid w:val="00CA62EE"/>
    <w:rsid w:val="00CA638E"/>
    <w:rsid w:val="00CA63F2"/>
    <w:rsid w:val="00CA68F4"/>
    <w:rsid w:val="00CA6CF8"/>
    <w:rsid w:val="00CA6D2E"/>
    <w:rsid w:val="00CA6DC7"/>
    <w:rsid w:val="00CA6E28"/>
    <w:rsid w:val="00CA6F1E"/>
    <w:rsid w:val="00CA7021"/>
    <w:rsid w:val="00CA70EC"/>
    <w:rsid w:val="00CA7115"/>
    <w:rsid w:val="00CA7126"/>
    <w:rsid w:val="00CA7289"/>
    <w:rsid w:val="00CA7385"/>
    <w:rsid w:val="00CA74C6"/>
    <w:rsid w:val="00CA7772"/>
    <w:rsid w:val="00CA7960"/>
    <w:rsid w:val="00CA7B58"/>
    <w:rsid w:val="00CA7C45"/>
    <w:rsid w:val="00CA7E22"/>
    <w:rsid w:val="00CA7E67"/>
    <w:rsid w:val="00CA7E8D"/>
    <w:rsid w:val="00CA7F7B"/>
    <w:rsid w:val="00CA7F7C"/>
    <w:rsid w:val="00CB03A3"/>
    <w:rsid w:val="00CB0410"/>
    <w:rsid w:val="00CB051E"/>
    <w:rsid w:val="00CB0566"/>
    <w:rsid w:val="00CB0569"/>
    <w:rsid w:val="00CB0649"/>
    <w:rsid w:val="00CB0650"/>
    <w:rsid w:val="00CB097A"/>
    <w:rsid w:val="00CB09F1"/>
    <w:rsid w:val="00CB0D5A"/>
    <w:rsid w:val="00CB0E58"/>
    <w:rsid w:val="00CB0EE9"/>
    <w:rsid w:val="00CB10A1"/>
    <w:rsid w:val="00CB11B6"/>
    <w:rsid w:val="00CB120D"/>
    <w:rsid w:val="00CB135D"/>
    <w:rsid w:val="00CB149D"/>
    <w:rsid w:val="00CB15A9"/>
    <w:rsid w:val="00CB1631"/>
    <w:rsid w:val="00CB16BF"/>
    <w:rsid w:val="00CB175A"/>
    <w:rsid w:val="00CB17BB"/>
    <w:rsid w:val="00CB1924"/>
    <w:rsid w:val="00CB1A2F"/>
    <w:rsid w:val="00CB1AFF"/>
    <w:rsid w:val="00CB1B1C"/>
    <w:rsid w:val="00CB1D78"/>
    <w:rsid w:val="00CB1E4E"/>
    <w:rsid w:val="00CB1E6B"/>
    <w:rsid w:val="00CB1EAB"/>
    <w:rsid w:val="00CB2002"/>
    <w:rsid w:val="00CB23E9"/>
    <w:rsid w:val="00CB2572"/>
    <w:rsid w:val="00CB25DE"/>
    <w:rsid w:val="00CB2673"/>
    <w:rsid w:val="00CB2920"/>
    <w:rsid w:val="00CB2977"/>
    <w:rsid w:val="00CB2993"/>
    <w:rsid w:val="00CB29DF"/>
    <w:rsid w:val="00CB2B47"/>
    <w:rsid w:val="00CB2C27"/>
    <w:rsid w:val="00CB2C9F"/>
    <w:rsid w:val="00CB2CE4"/>
    <w:rsid w:val="00CB3067"/>
    <w:rsid w:val="00CB30A2"/>
    <w:rsid w:val="00CB30A6"/>
    <w:rsid w:val="00CB31BB"/>
    <w:rsid w:val="00CB3219"/>
    <w:rsid w:val="00CB329E"/>
    <w:rsid w:val="00CB33AE"/>
    <w:rsid w:val="00CB35A6"/>
    <w:rsid w:val="00CB35D4"/>
    <w:rsid w:val="00CB37A9"/>
    <w:rsid w:val="00CB3809"/>
    <w:rsid w:val="00CB3AC7"/>
    <w:rsid w:val="00CB3BCA"/>
    <w:rsid w:val="00CB3CC3"/>
    <w:rsid w:val="00CB3E2B"/>
    <w:rsid w:val="00CB41CA"/>
    <w:rsid w:val="00CB41CF"/>
    <w:rsid w:val="00CB41DB"/>
    <w:rsid w:val="00CB421D"/>
    <w:rsid w:val="00CB4467"/>
    <w:rsid w:val="00CB453C"/>
    <w:rsid w:val="00CB4721"/>
    <w:rsid w:val="00CB475C"/>
    <w:rsid w:val="00CB47F0"/>
    <w:rsid w:val="00CB49D5"/>
    <w:rsid w:val="00CB49F9"/>
    <w:rsid w:val="00CB4A3B"/>
    <w:rsid w:val="00CB4C40"/>
    <w:rsid w:val="00CB4D65"/>
    <w:rsid w:val="00CB4EB1"/>
    <w:rsid w:val="00CB4F57"/>
    <w:rsid w:val="00CB4F78"/>
    <w:rsid w:val="00CB506F"/>
    <w:rsid w:val="00CB53D7"/>
    <w:rsid w:val="00CB53E3"/>
    <w:rsid w:val="00CB5419"/>
    <w:rsid w:val="00CB5548"/>
    <w:rsid w:val="00CB5706"/>
    <w:rsid w:val="00CB5724"/>
    <w:rsid w:val="00CB5831"/>
    <w:rsid w:val="00CB5992"/>
    <w:rsid w:val="00CB5AA3"/>
    <w:rsid w:val="00CB5B6C"/>
    <w:rsid w:val="00CB5DA8"/>
    <w:rsid w:val="00CB5E63"/>
    <w:rsid w:val="00CB61AA"/>
    <w:rsid w:val="00CB61DA"/>
    <w:rsid w:val="00CB61E2"/>
    <w:rsid w:val="00CB6239"/>
    <w:rsid w:val="00CB62F8"/>
    <w:rsid w:val="00CB64DD"/>
    <w:rsid w:val="00CB65C1"/>
    <w:rsid w:val="00CB66DF"/>
    <w:rsid w:val="00CB6787"/>
    <w:rsid w:val="00CB6995"/>
    <w:rsid w:val="00CB6A04"/>
    <w:rsid w:val="00CB6A5A"/>
    <w:rsid w:val="00CB6A90"/>
    <w:rsid w:val="00CB6B74"/>
    <w:rsid w:val="00CB6C58"/>
    <w:rsid w:val="00CB6E37"/>
    <w:rsid w:val="00CB6F21"/>
    <w:rsid w:val="00CB6F47"/>
    <w:rsid w:val="00CB6FBD"/>
    <w:rsid w:val="00CB713F"/>
    <w:rsid w:val="00CB7156"/>
    <w:rsid w:val="00CB72D4"/>
    <w:rsid w:val="00CB72DA"/>
    <w:rsid w:val="00CB73DD"/>
    <w:rsid w:val="00CB742A"/>
    <w:rsid w:val="00CB7460"/>
    <w:rsid w:val="00CB74B0"/>
    <w:rsid w:val="00CB7554"/>
    <w:rsid w:val="00CB757F"/>
    <w:rsid w:val="00CB7602"/>
    <w:rsid w:val="00CB764E"/>
    <w:rsid w:val="00CB7738"/>
    <w:rsid w:val="00CB779E"/>
    <w:rsid w:val="00CB79AF"/>
    <w:rsid w:val="00CB7B3B"/>
    <w:rsid w:val="00CB7D72"/>
    <w:rsid w:val="00CB7E34"/>
    <w:rsid w:val="00CC000E"/>
    <w:rsid w:val="00CC01B9"/>
    <w:rsid w:val="00CC01EC"/>
    <w:rsid w:val="00CC0314"/>
    <w:rsid w:val="00CC036E"/>
    <w:rsid w:val="00CC03AA"/>
    <w:rsid w:val="00CC03DC"/>
    <w:rsid w:val="00CC04CF"/>
    <w:rsid w:val="00CC0506"/>
    <w:rsid w:val="00CC0508"/>
    <w:rsid w:val="00CC0541"/>
    <w:rsid w:val="00CC0636"/>
    <w:rsid w:val="00CC0672"/>
    <w:rsid w:val="00CC08E2"/>
    <w:rsid w:val="00CC09C4"/>
    <w:rsid w:val="00CC0AD3"/>
    <w:rsid w:val="00CC0BDE"/>
    <w:rsid w:val="00CC0BE8"/>
    <w:rsid w:val="00CC0C7F"/>
    <w:rsid w:val="00CC0CBA"/>
    <w:rsid w:val="00CC0DCD"/>
    <w:rsid w:val="00CC0EA5"/>
    <w:rsid w:val="00CC0EA9"/>
    <w:rsid w:val="00CC0EE1"/>
    <w:rsid w:val="00CC0EF8"/>
    <w:rsid w:val="00CC105D"/>
    <w:rsid w:val="00CC1215"/>
    <w:rsid w:val="00CC12C0"/>
    <w:rsid w:val="00CC14E1"/>
    <w:rsid w:val="00CC165D"/>
    <w:rsid w:val="00CC1677"/>
    <w:rsid w:val="00CC1882"/>
    <w:rsid w:val="00CC1891"/>
    <w:rsid w:val="00CC195A"/>
    <w:rsid w:val="00CC1A9A"/>
    <w:rsid w:val="00CC1AB4"/>
    <w:rsid w:val="00CC1B6A"/>
    <w:rsid w:val="00CC1BB3"/>
    <w:rsid w:val="00CC1BF3"/>
    <w:rsid w:val="00CC1C4F"/>
    <w:rsid w:val="00CC1CEB"/>
    <w:rsid w:val="00CC2109"/>
    <w:rsid w:val="00CC2124"/>
    <w:rsid w:val="00CC21CC"/>
    <w:rsid w:val="00CC22C9"/>
    <w:rsid w:val="00CC231B"/>
    <w:rsid w:val="00CC242D"/>
    <w:rsid w:val="00CC24FC"/>
    <w:rsid w:val="00CC2526"/>
    <w:rsid w:val="00CC2773"/>
    <w:rsid w:val="00CC2838"/>
    <w:rsid w:val="00CC28C5"/>
    <w:rsid w:val="00CC29D9"/>
    <w:rsid w:val="00CC2DD6"/>
    <w:rsid w:val="00CC2EE6"/>
    <w:rsid w:val="00CC306D"/>
    <w:rsid w:val="00CC3257"/>
    <w:rsid w:val="00CC34BF"/>
    <w:rsid w:val="00CC3511"/>
    <w:rsid w:val="00CC3541"/>
    <w:rsid w:val="00CC35D1"/>
    <w:rsid w:val="00CC36F7"/>
    <w:rsid w:val="00CC3728"/>
    <w:rsid w:val="00CC37FF"/>
    <w:rsid w:val="00CC383B"/>
    <w:rsid w:val="00CC389A"/>
    <w:rsid w:val="00CC3A28"/>
    <w:rsid w:val="00CC3A3D"/>
    <w:rsid w:val="00CC3D1E"/>
    <w:rsid w:val="00CC3F1C"/>
    <w:rsid w:val="00CC3FC3"/>
    <w:rsid w:val="00CC3FCC"/>
    <w:rsid w:val="00CC3FEB"/>
    <w:rsid w:val="00CC4001"/>
    <w:rsid w:val="00CC405B"/>
    <w:rsid w:val="00CC4192"/>
    <w:rsid w:val="00CC4240"/>
    <w:rsid w:val="00CC43FE"/>
    <w:rsid w:val="00CC4404"/>
    <w:rsid w:val="00CC4409"/>
    <w:rsid w:val="00CC4481"/>
    <w:rsid w:val="00CC4530"/>
    <w:rsid w:val="00CC4609"/>
    <w:rsid w:val="00CC4652"/>
    <w:rsid w:val="00CC471F"/>
    <w:rsid w:val="00CC47C9"/>
    <w:rsid w:val="00CC4867"/>
    <w:rsid w:val="00CC4BDA"/>
    <w:rsid w:val="00CC4C4A"/>
    <w:rsid w:val="00CC4C59"/>
    <w:rsid w:val="00CC4C8A"/>
    <w:rsid w:val="00CC4D97"/>
    <w:rsid w:val="00CC4E33"/>
    <w:rsid w:val="00CC502D"/>
    <w:rsid w:val="00CC51D1"/>
    <w:rsid w:val="00CC53EB"/>
    <w:rsid w:val="00CC548B"/>
    <w:rsid w:val="00CC5493"/>
    <w:rsid w:val="00CC59B3"/>
    <w:rsid w:val="00CC5BCC"/>
    <w:rsid w:val="00CC5CEC"/>
    <w:rsid w:val="00CC5D20"/>
    <w:rsid w:val="00CC5D39"/>
    <w:rsid w:val="00CC5E53"/>
    <w:rsid w:val="00CC5E71"/>
    <w:rsid w:val="00CC5FEF"/>
    <w:rsid w:val="00CC608F"/>
    <w:rsid w:val="00CC60CC"/>
    <w:rsid w:val="00CC6323"/>
    <w:rsid w:val="00CC63C2"/>
    <w:rsid w:val="00CC644F"/>
    <w:rsid w:val="00CC646C"/>
    <w:rsid w:val="00CC6626"/>
    <w:rsid w:val="00CC6633"/>
    <w:rsid w:val="00CC68E9"/>
    <w:rsid w:val="00CC695E"/>
    <w:rsid w:val="00CC6A63"/>
    <w:rsid w:val="00CC6AA8"/>
    <w:rsid w:val="00CC6C31"/>
    <w:rsid w:val="00CC6CCF"/>
    <w:rsid w:val="00CC6F8E"/>
    <w:rsid w:val="00CC7138"/>
    <w:rsid w:val="00CC7156"/>
    <w:rsid w:val="00CC7220"/>
    <w:rsid w:val="00CC7296"/>
    <w:rsid w:val="00CC72AB"/>
    <w:rsid w:val="00CC734F"/>
    <w:rsid w:val="00CC7361"/>
    <w:rsid w:val="00CC7443"/>
    <w:rsid w:val="00CC74FB"/>
    <w:rsid w:val="00CC7648"/>
    <w:rsid w:val="00CC7685"/>
    <w:rsid w:val="00CC76FE"/>
    <w:rsid w:val="00CC77E7"/>
    <w:rsid w:val="00CC78DC"/>
    <w:rsid w:val="00CC7A73"/>
    <w:rsid w:val="00CC7B6C"/>
    <w:rsid w:val="00CC7C2C"/>
    <w:rsid w:val="00CC7C86"/>
    <w:rsid w:val="00CC7CDA"/>
    <w:rsid w:val="00CC7CDC"/>
    <w:rsid w:val="00CC7E26"/>
    <w:rsid w:val="00CC7EB7"/>
    <w:rsid w:val="00CC7F11"/>
    <w:rsid w:val="00CC7FB6"/>
    <w:rsid w:val="00CD008D"/>
    <w:rsid w:val="00CD012D"/>
    <w:rsid w:val="00CD02E3"/>
    <w:rsid w:val="00CD0444"/>
    <w:rsid w:val="00CD0559"/>
    <w:rsid w:val="00CD0584"/>
    <w:rsid w:val="00CD05DF"/>
    <w:rsid w:val="00CD0655"/>
    <w:rsid w:val="00CD0688"/>
    <w:rsid w:val="00CD06C6"/>
    <w:rsid w:val="00CD07D4"/>
    <w:rsid w:val="00CD084A"/>
    <w:rsid w:val="00CD0A24"/>
    <w:rsid w:val="00CD0A59"/>
    <w:rsid w:val="00CD0C6B"/>
    <w:rsid w:val="00CD0D96"/>
    <w:rsid w:val="00CD0E64"/>
    <w:rsid w:val="00CD11C0"/>
    <w:rsid w:val="00CD11DE"/>
    <w:rsid w:val="00CD1216"/>
    <w:rsid w:val="00CD13C1"/>
    <w:rsid w:val="00CD147F"/>
    <w:rsid w:val="00CD14D1"/>
    <w:rsid w:val="00CD1543"/>
    <w:rsid w:val="00CD155B"/>
    <w:rsid w:val="00CD1576"/>
    <w:rsid w:val="00CD15C6"/>
    <w:rsid w:val="00CD16DE"/>
    <w:rsid w:val="00CD17C0"/>
    <w:rsid w:val="00CD1800"/>
    <w:rsid w:val="00CD192A"/>
    <w:rsid w:val="00CD1A16"/>
    <w:rsid w:val="00CD1D33"/>
    <w:rsid w:val="00CD1D40"/>
    <w:rsid w:val="00CD1EAE"/>
    <w:rsid w:val="00CD1F45"/>
    <w:rsid w:val="00CD1F61"/>
    <w:rsid w:val="00CD1FEB"/>
    <w:rsid w:val="00CD220C"/>
    <w:rsid w:val="00CD2279"/>
    <w:rsid w:val="00CD23C3"/>
    <w:rsid w:val="00CD251F"/>
    <w:rsid w:val="00CD260A"/>
    <w:rsid w:val="00CD2890"/>
    <w:rsid w:val="00CD2A40"/>
    <w:rsid w:val="00CD2AED"/>
    <w:rsid w:val="00CD2BA1"/>
    <w:rsid w:val="00CD2D0F"/>
    <w:rsid w:val="00CD2DE8"/>
    <w:rsid w:val="00CD2E04"/>
    <w:rsid w:val="00CD3089"/>
    <w:rsid w:val="00CD31F0"/>
    <w:rsid w:val="00CD350A"/>
    <w:rsid w:val="00CD350B"/>
    <w:rsid w:val="00CD3717"/>
    <w:rsid w:val="00CD39F8"/>
    <w:rsid w:val="00CD3A09"/>
    <w:rsid w:val="00CD3A0C"/>
    <w:rsid w:val="00CD3A28"/>
    <w:rsid w:val="00CD3AC4"/>
    <w:rsid w:val="00CD3AC5"/>
    <w:rsid w:val="00CD3B00"/>
    <w:rsid w:val="00CD3B2B"/>
    <w:rsid w:val="00CD3BCD"/>
    <w:rsid w:val="00CD3C3F"/>
    <w:rsid w:val="00CD3E6D"/>
    <w:rsid w:val="00CD3EAF"/>
    <w:rsid w:val="00CD41DD"/>
    <w:rsid w:val="00CD42A6"/>
    <w:rsid w:val="00CD440F"/>
    <w:rsid w:val="00CD44CF"/>
    <w:rsid w:val="00CD45BC"/>
    <w:rsid w:val="00CD463B"/>
    <w:rsid w:val="00CD464E"/>
    <w:rsid w:val="00CD4785"/>
    <w:rsid w:val="00CD47C5"/>
    <w:rsid w:val="00CD47CC"/>
    <w:rsid w:val="00CD482D"/>
    <w:rsid w:val="00CD4A82"/>
    <w:rsid w:val="00CD4F31"/>
    <w:rsid w:val="00CD4F92"/>
    <w:rsid w:val="00CD4FD4"/>
    <w:rsid w:val="00CD52BE"/>
    <w:rsid w:val="00CD5576"/>
    <w:rsid w:val="00CD55EC"/>
    <w:rsid w:val="00CD564B"/>
    <w:rsid w:val="00CD5745"/>
    <w:rsid w:val="00CD574B"/>
    <w:rsid w:val="00CD57F4"/>
    <w:rsid w:val="00CD5934"/>
    <w:rsid w:val="00CD5ACC"/>
    <w:rsid w:val="00CD5AE4"/>
    <w:rsid w:val="00CD5B2D"/>
    <w:rsid w:val="00CD5BFA"/>
    <w:rsid w:val="00CD5C7F"/>
    <w:rsid w:val="00CD5D89"/>
    <w:rsid w:val="00CD5F78"/>
    <w:rsid w:val="00CD60F5"/>
    <w:rsid w:val="00CD6262"/>
    <w:rsid w:val="00CD62C5"/>
    <w:rsid w:val="00CD6319"/>
    <w:rsid w:val="00CD64B5"/>
    <w:rsid w:val="00CD65A0"/>
    <w:rsid w:val="00CD65CA"/>
    <w:rsid w:val="00CD6641"/>
    <w:rsid w:val="00CD6880"/>
    <w:rsid w:val="00CD68CE"/>
    <w:rsid w:val="00CD6BFA"/>
    <w:rsid w:val="00CD6CDA"/>
    <w:rsid w:val="00CD6D19"/>
    <w:rsid w:val="00CD6D9D"/>
    <w:rsid w:val="00CD6F73"/>
    <w:rsid w:val="00CD6FC9"/>
    <w:rsid w:val="00CD705A"/>
    <w:rsid w:val="00CD720C"/>
    <w:rsid w:val="00CD7223"/>
    <w:rsid w:val="00CD724C"/>
    <w:rsid w:val="00CD74AD"/>
    <w:rsid w:val="00CD75EE"/>
    <w:rsid w:val="00CD7633"/>
    <w:rsid w:val="00CD76D7"/>
    <w:rsid w:val="00CD77E1"/>
    <w:rsid w:val="00CD7951"/>
    <w:rsid w:val="00CD7A51"/>
    <w:rsid w:val="00CD7B45"/>
    <w:rsid w:val="00CD7F09"/>
    <w:rsid w:val="00CD7FC3"/>
    <w:rsid w:val="00CE0316"/>
    <w:rsid w:val="00CE0330"/>
    <w:rsid w:val="00CE03B9"/>
    <w:rsid w:val="00CE0480"/>
    <w:rsid w:val="00CE06CE"/>
    <w:rsid w:val="00CE07E1"/>
    <w:rsid w:val="00CE0822"/>
    <w:rsid w:val="00CE0996"/>
    <w:rsid w:val="00CE0A5C"/>
    <w:rsid w:val="00CE0B03"/>
    <w:rsid w:val="00CE0B2B"/>
    <w:rsid w:val="00CE0B8B"/>
    <w:rsid w:val="00CE0BF8"/>
    <w:rsid w:val="00CE0C1A"/>
    <w:rsid w:val="00CE0C4E"/>
    <w:rsid w:val="00CE0CBD"/>
    <w:rsid w:val="00CE0D4A"/>
    <w:rsid w:val="00CE0DDC"/>
    <w:rsid w:val="00CE0DF4"/>
    <w:rsid w:val="00CE114F"/>
    <w:rsid w:val="00CE1317"/>
    <w:rsid w:val="00CE13C1"/>
    <w:rsid w:val="00CE14A5"/>
    <w:rsid w:val="00CE14DC"/>
    <w:rsid w:val="00CE15A3"/>
    <w:rsid w:val="00CE1600"/>
    <w:rsid w:val="00CE164E"/>
    <w:rsid w:val="00CE1678"/>
    <w:rsid w:val="00CE16CC"/>
    <w:rsid w:val="00CE1740"/>
    <w:rsid w:val="00CE17D2"/>
    <w:rsid w:val="00CE191A"/>
    <w:rsid w:val="00CE1B56"/>
    <w:rsid w:val="00CE1F0E"/>
    <w:rsid w:val="00CE1F16"/>
    <w:rsid w:val="00CE2034"/>
    <w:rsid w:val="00CE20FB"/>
    <w:rsid w:val="00CE21AB"/>
    <w:rsid w:val="00CE220F"/>
    <w:rsid w:val="00CE22D2"/>
    <w:rsid w:val="00CE2560"/>
    <w:rsid w:val="00CE2603"/>
    <w:rsid w:val="00CE2649"/>
    <w:rsid w:val="00CE267F"/>
    <w:rsid w:val="00CE26F3"/>
    <w:rsid w:val="00CE27A5"/>
    <w:rsid w:val="00CE2A9E"/>
    <w:rsid w:val="00CE2D59"/>
    <w:rsid w:val="00CE2E29"/>
    <w:rsid w:val="00CE2F7A"/>
    <w:rsid w:val="00CE30D6"/>
    <w:rsid w:val="00CE3175"/>
    <w:rsid w:val="00CE32E2"/>
    <w:rsid w:val="00CE3495"/>
    <w:rsid w:val="00CE39FF"/>
    <w:rsid w:val="00CE3A00"/>
    <w:rsid w:val="00CE3AAA"/>
    <w:rsid w:val="00CE3AB9"/>
    <w:rsid w:val="00CE3B86"/>
    <w:rsid w:val="00CE3C39"/>
    <w:rsid w:val="00CE3CF9"/>
    <w:rsid w:val="00CE3E2D"/>
    <w:rsid w:val="00CE40D5"/>
    <w:rsid w:val="00CE415C"/>
    <w:rsid w:val="00CE42BB"/>
    <w:rsid w:val="00CE4420"/>
    <w:rsid w:val="00CE4430"/>
    <w:rsid w:val="00CE4448"/>
    <w:rsid w:val="00CE447B"/>
    <w:rsid w:val="00CE481D"/>
    <w:rsid w:val="00CE4928"/>
    <w:rsid w:val="00CE4952"/>
    <w:rsid w:val="00CE4995"/>
    <w:rsid w:val="00CE4C67"/>
    <w:rsid w:val="00CE4DD7"/>
    <w:rsid w:val="00CE4E33"/>
    <w:rsid w:val="00CE4E38"/>
    <w:rsid w:val="00CE4F4B"/>
    <w:rsid w:val="00CE519A"/>
    <w:rsid w:val="00CE51C3"/>
    <w:rsid w:val="00CE5569"/>
    <w:rsid w:val="00CE566C"/>
    <w:rsid w:val="00CE5A43"/>
    <w:rsid w:val="00CE5C6A"/>
    <w:rsid w:val="00CE5C79"/>
    <w:rsid w:val="00CE5C9E"/>
    <w:rsid w:val="00CE5CD1"/>
    <w:rsid w:val="00CE5E98"/>
    <w:rsid w:val="00CE5F37"/>
    <w:rsid w:val="00CE60AC"/>
    <w:rsid w:val="00CE6103"/>
    <w:rsid w:val="00CE6147"/>
    <w:rsid w:val="00CE6196"/>
    <w:rsid w:val="00CE61E7"/>
    <w:rsid w:val="00CE63B4"/>
    <w:rsid w:val="00CE63EE"/>
    <w:rsid w:val="00CE6408"/>
    <w:rsid w:val="00CE6459"/>
    <w:rsid w:val="00CE649A"/>
    <w:rsid w:val="00CE64BE"/>
    <w:rsid w:val="00CE65D3"/>
    <w:rsid w:val="00CE665F"/>
    <w:rsid w:val="00CE674D"/>
    <w:rsid w:val="00CE67C3"/>
    <w:rsid w:val="00CE68D7"/>
    <w:rsid w:val="00CE6915"/>
    <w:rsid w:val="00CE69CF"/>
    <w:rsid w:val="00CE6A08"/>
    <w:rsid w:val="00CE6B63"/>
    <w:rsid w:val="00CE6BF9"/>
    <w:rsid w:val="00CE6C09"/>
    <w:rsid w:val="00CE6DA3"/>
    <w:rsid w:val="00CE6DE9"/>
    <w:rsid w:val="00CE6E14"/>
    <w:rsid w:val="00CE6F66"/>
    <w:rsid w:val="00CE7007"/>
    <w:rsid w:val="00CE727A"/>
    <w:rsid w:val="00CE73A4"/>
    <w:rsid w:val="00CE73EE"/>
    <w:rsid w:val="00CE7406"/>
    <w:rsid w:val="00CE759B"/>
    <w:rsid w:val="00CE7697"/>
    <w:rsid w:val="00CE769F"/>
    <w:rsid w:val="00CE76AC"/>
    <w:rsid w:val="00CE7A7B"/>
    <w:rsid w:val="00CE7BAC"/>
    <w:rsid w:val="00CE7C33"/>
    <w:rsid w:val="00CE7D28"/>
    <w:rsid w:val="00CE7F05"/>
    <w:rsid w:val="00CF0183"/>
    <w:rsid w:val="00CF029C"/>
    <w:rsid w:val="00CF02F7"/>
    <w:rsid w:val="00CF0322"/>
    <w:rsid w:val="00CF03D7"/>
    <w:rsid w:val="00CF07D0"/>
    <w:rsid w:val="00CF084A"/>
    <w:rsid w:val="00CF0857"/>
    <w:rsid w:val="00CF090A"/>
    <w:rsid w:val="00CF09C3"/>
    <w:rsid w:val="00CF0A40"/>
    <w:rsid w:val="00CF0A80"/>
    <w:rsid w:val="00CF0B66"/>
    <w:rsid w:val="00CF0C87"/>
    <w:rsid w:val="00CF0DB8"/>
    <w:rsid w:val="00CF13BE"/>
    <w:rsid w:val="00CF1503"/>
    <w:rsid w:val="00CF1509"/>
    <w:rsid w:val="00CF1547"/>
    <w:rsid w:val="00CF15A2"/>
    <w:rsid w:val="00CF1704"/>
    <w:rsid w:val="00CF17B9"/>
    <w:rsid w:val="00CF17D7"/>
    <w:rsid w:val="00CF17E1"/>
    <w:rsid w:val="00CF18D9"/>
    <w:rsid w:val="00CF18F7"/>
    <w:rsid w:val="00CF1994"/>
    <w:rsid w:val="00CF19D4"/>
    <w:rsid w:val="00CF1B46"/>
    <w:rsid w:val="00CF1C0D"/>
    <w:rsid w:val="00CF1CAD"/>
    <w:rsid w:val="00CF1DC5"/>
    <w:rsid w:val="00CF1F33"/>
    <w:rsid w:val="00CF201B"/>
    <w:rsid w:val="00CF2285"/>
    <w:rsid w:val="00CF2621"/>
    <w:rsid w:val="00CF269E"/>
    <w:rsid w:val="00CF2770"/>
    <w:rsid w:val="00CF28A5"/>
    <w:rsid w:val="00CF2A18"/>
    <w:rsid w:val="00CF2A64"/>
    <w:rsid w:val="00CF2B40"/>
    <w:rsid w:val="00CF2B6C"/>
    <w:rsid w:val="00CF2BD7"/>
    <w:rsid w:val="00CF2CDA"/>
    <w:rsid w:val="00CF2EEA"/>
    <w:rsid w:val="00CF31B1"/>
    <w:rsid w:val="00CF320A"/>
    <w:rsid w:val="00CF331C"/>
    <w:rsid w:val="00CF3324"/>
    <w:rsid w:val="00CF334C"/>
    <w:rsid w:val="00CF334D"/>
    <w:rsid w:val="00CF3410"/>
    <w:rsid w:val="00CF3677"/>
    <w:rsid w:val="00CF36B7"/>
    <w:rsid w:val="00CF36F9"/>
    <w:rsid w:val="00CF36FB"/>
    <w:rsid w:val="00CF378B"/>
    <w:rsid w:val="00CF391C"/>
    <w:rsid w:val="00CF3B27"/>
    <w:rsid w:val="00CF3B6D"/>
    <w:rsid w:val="00CF3B96"/>
    <w:rsid w:val="00CF3BD0"/>
    <w:rsid w:val="00CF3CF6"/>
    <w:rsid w:val="00CF3DB0"/>
    <w:rsid w:val="00CF40E0"/>
    <w:rsid w:val="00CF40F2"/>
    <w:rsid w:val="00CF4233"/>
    <w:rsid w:val="00CF4717"/>
    <w:rsid w:val="00CF47F8"/>
    <w:rsid w:val="00CF484B"/>
    <w:rsid w:val="00CF4A05"/>
    <w:rsid w:val="00CF4B17"/>
    <w:rsid w:val="00CF4C50"/>
    <w:rsid w:val="00CF4D3B"/>
    <w:rsid w:val="00CF4E1C"/>
    <w:rsid w:val="00CF4ED7"/>
    <w:rsid w:val="00CF4FCD"/>
    <w:rsid w:val="00CF5111"/>
    <w:rsid w:val="00CF52CA"/>
    <w:rsid w:val="00CF53F4"/>
    <w:rsid w:val="00CF5560"/>
    <w:rsid w:val="00CF5577"/>
    <w:rsid w:val="00CF56B1"/>
    <w:rsid w:val="00CF57AE"/>
    <w:rsid w:val="00CF5828"/>
    <w:rsid w:val="00CF58A9"/>
    <w:rsid w:val="00CF5952"/>
    <w:rsid w:val="00CF5B0E"/>
    <w:rsid w:val="00CF5CB8"/>
    <w:rsid w:val="00CF5D0D"/>
    <w:rsid w:val="00CF5DEF"/>
    <w:rsid w:val="00CF5E6F"/>
    <w:rsid w:val="00CF5FB3"/>
    <w:rsid w:val="00CF5FB8"/>
    <w:rsid w:val="00CF6148"/>
    <w:rsid w:val="00CF6151"/>
    <w:rsid w:val="00CF6154"/>
    <w:rsid w:val="00CF6167"/>
    <w:rsid w:val="00CF6183"/>
    <w:rsid w:val="00CF6415"/>
    <w:rsid w:val="00CF6546"/>
    <w:rsid w:val="00CF66A0"/>
    <w:rsid w:val="00CF6870"/>
    <w:rsid w:val="00CF68BC"/>
    <w:rsid w:val="00CF68F3"/>
    <w:rsid w:val="00CF6907"/>
    <w:rsid w:val="00CF699F"/>
    <w:rsid w:val="00CF69CA"/>
    <w:rsid w:val="00CF6A42"/>
    <w:rsid w:val="00CF6A8F"/>
    <w:rsid w:val="00CF6D62"/>
    <w:rsid w:val="00CF6DA6"/>
    <w:rsid w:val="00CF6DC1"/>
    <w:rsid w:val="00CF6E29"/>
    <w:rsid w:val="00CF6EF2"/>
    <w:rsid w:val="00CF7211"/>
    <w:rsid w:val="00CF72AD"/>
    <w:rsid w:val="00CF7359"/>
    <w:rsid w:val="00CF7388"/>
    <w:rsid w:val="00CF74F3"/>
    <w:rsid w:val="00CF7561"/>
    <w:rsid w:val="00CF78F3"/>
    <w:rsid w:val="00D0003B"/>
    <w:rsid w:val="00D0003D"/>
    <w:rsid w:val="00D001B4"/>
    <w:rsid w:val="00D0033D"/>
    <w:rsid w:val="00D0037A"/>
    <w:rsid w:val="00D0042C"/>
    <w:rsid w:val="00D004B9"/>
    <w:rsid w:val="00D004BD"/>
    <w:rsid w:val="00D004EF"/>
    <w:rsid w:val="00D005C3"/>
    <w:rsid w:val="00D00664"/>
    <w:rsid w:val="00D00739"/>
    <w:rsid w:val="00D008CC"/>
    <w:rsid w:val="00D009BE"/>
    <w:rsid w:val="00D00ADC"/>
    <w:rsid w:val="00D00BD7"/>
    <w:rsid w:val="00D00BE0"/>
    <w:rsid w:val="00D00BF4"/>
    <w:rsid w:val="00D00D27"/>
    <w:rsid w:val="00D01249"/>
    <w:rsid w:val="00D0124B"/>
    <w:rsid w:val="00D0133E"/>
    <w:rsid w:val="00D013BD"/>
    <w:rsid w:val="00D01539"/>
    <w:rsid w:val="00D01671"/>
    <w:rsid w:val="00D0167F"/>
    <w:rsid w:val="00D018CB"/>
    <w:rsid w:val="00D019F4"/>
    <w:rsid w:val="00D01C33"/>
    <w:rsid w:val="00D01C5C"/>
    <w:rsid w:val="00D01CB2"/>
    <w:rsid w:val="00D01DA0"/>
    <w:rsid w:val="00D01DB7"/>
    <w:rsid w:val="00D01E1A"/>
    <w:rsid w:val="00D01E8C"/>
    <w:rsid w:val="00D01E98"/>
    <w:rsid w:val="00D01EBF"/>
    <w:rsid w:val="00D01F1D"/>
    <w:rsid w:val="00D01FE8"/>
    <w:rsid w:val="00D0202E"/>
    <w:rsid w:val="00D02051"/>
    <w:rsid w:val="00D020A0"/>
    <w:rsid w:val="00D02141"/>
    <w:rsid w:val="00D021D3"/>
    <w:rsid w:val="00D022D4"/>
    <w:rsid w:val="00D02447"/>
    <w:rsid w:val="00D024FF"/>
    <w:rsid w:val="00D028BF"/>
    <w:rsid w:val="00D028C6"/>
    <w:rsid w:val="00D0293B"/>
    <w:rsid w:val="00D02A5B"/>
    <w:rsid w:val="00D02B69"/>
    <w:rsid w:val="00D02C49"/>
    <w:rsid w:val="00D02CED"/>
    <w:rsid w:val="00D02D6F"/>
    <w:rsid w:val="00D02DE8"/>
    <w:rsid w:val="00D02F2C"/>
    <w:rsid w:val="00D02F4F"/>
    <w:rsid w:val="00D03259"/>
    <w:rsid w:val="00D03363"/>
    <w:rsid w:val="00D034A5"/>
    <w:rsid w:val="00D03536"/>
    <w:rsid w:val="00D0357E"/>
    <w:rsid w:val="00D035C3"/>
    <w:rsid w:val="00D036EB"/>
    <w:rsid w:val="00D0384C"/>
    <w:rsid w:val="00D0395E"/>
    <w:rsid w:val="00D03B1A"/>
    <w:rsid w:val="00D03B94"/>
    <w:rsid w:val="00D03C55"/>
    <w:rsid w:val="00D03D45"/>
    <w:rsid w:val="00D03DF1"/>
    <w:rsid w:val="00D03DFA"/>
    <w:rsid w:val="00D03E79"/>
    <w:rsid w:val="00D03F4B"/>
    <w:rsid w:val="00D03FB5"/>
    <w:rsid w:val="00D04016"/>
    <w:rsid w:val="00D04217"/>
    <w:rsid w:val="00D04268"/>
    <w:rsid w:val="00D04471"/>
    <w:rsid w:val="00D045C1"/>
    <w:rsid w:val="00D045E3"/>
    <w:rsid w:val="00D04602"/>
    <w:rsid w:val="00D0484E"/>
    <w:rsid w:val="00D0486E"/>
    <w:rsid w:val="00D048EC"/>
    <w:rsid w:val="00D049D9"/>
    <w:rsid w:val="00D04B2A"/>
    <w:rsid w:val="00D04B61"/>
    <w:rsid w:val="00D04CAC"/>
    <w:rsid w:val="00D04CEC"/>
    <w:rsid w:val="00D04E7D"/>
    <w:rsid w:val="00D04EFD"/>
    <w:rsid w:val="00D04F2B"/>
    <w:rsid w:val="00D04FD2"/>
    <w:rsid w:val="00D05438"/>
    <w:rsid w:val="00D055F5"/>
    <w:rsid w:val="00D056AF"/>
    <w:rsid w:val="00D058DE"/>
    <w:rsid w:val="00D058E0"/>
    <w:rsid w:val="00D05A5E"/>
    <w:rsid w:val="00D05B53"/>
    <w:rsid w:val="00D05C26"/>
    <w:rsid w:val="00D05C4E"/>
    <w:rsid w:val="00D05D57"/>
    <w:rsid w:val="00D05E33"/>
    <w:rsid w:val="00D05EA5"/>
    <w:rsid w:val="00D05F05"/>
    <w:rsid w:val="00D05FAE"/>
    <w:rsid w:val="00D060E7"/>
    <w:rsid w:val="00D06135"/>
    <w:rsid w:val="00D06178"/>
    <w:rsid w:val="00D061DD"/>
    <w:rsid w:val="00D061F8"/>
    <w:rsid w:val="00D06426"/>
    <w:rsid w:val="00D065E4"/>
    <w:rsid w:val="00D066CE"/>
    <w:rsid w:val="00D06721"/>
    <w:rsid w:val="00D068C0"/>
    <w:rsid w:val="00D06AD6"/>
    <w:rsid w:val="00D06B0A"/>
    <w:rsid w:val="00D06F0E"/>
    <w:rsid w:val="00D06FDD"/>
    <w:rsid w:val="00D07035"/>
    <w:rsid w:val="00D0705D"/>
    <w:rsid w:val="00D0719B"/>
    <w:rsid w:val="00D07267"/>
    <w:rsid w:val="00D07628"/>
    <w:rsid w:val="00D076A4"/>
    <w:rsid w:val="00D076E6"/>
    <w:rsid w:val="00D0784E"/>
    <w:rsid w:val="00D07B6D"/>
    <w:rsid w:val="00D07B93"/>
    <w:rsid w:val="00D07C01"/>
    <w:rsid w:val="00D07D8A"/>
    <w:rsid w:val="00D07F73"/>
    <w:rsid w:val="00D07F8C"/>
    <w:rsid w:val="00D1003B"/>
    <w:rsid w:val="00D10114"/>
    <w:rsid w:val="00D101AE"/>
    <w:rsid w:val="00D102FF"/>
    <w:rsid w:val="00D103CD"/>
    <w:rsid w:val="00D1061F"/>
    <w:rsid w:val="00D10650"/>
    <w:rsid w:val="00D10A6D"/>
    <w:rsid w:val="00D10B5C"/>
    <w:rsid w:val="00D10BBF"/>
    <w:rsid w:val="00D10C5B"/>
    <w:rsid w:val="00D10D70"/>
    <w:rsid w:val="00D10F68"/>
    <w:rsid w:val="00D10FE6"/>
    <w:rsid w:val="00D11055"/>
    <w:rsid w:val="00D11207"/>
    <w:rsid w:val="00D1126E"/>
    <w:rsid w:val="00D112D2"/>
    <w:rsid w:val="00D11334"/>
    <w:rsid w:val="00D114F1"/>
    <w:rsid w:val="00D117D3"/>
    <w:rsid w:val="00D118C1"/>
    <w:rsid w:val="00D119D5"/>
    <w:rsid w:val="00D11DC4"/>
    <w:rsid w:val="00D11EF8"/>
    <w:rsid w:val="00D11F26"/>
    <w:rsid w:val="00D11FA4"/>
    <w:rsid w:val="00D12171"/>
    <w:rsid w:val="00D1217C"/>
    <w:rsid w:val="00D121B9"/>
    <w:rsid w:val="00D122B7"/>
    <w:rsid w:val="00D122FA"/>
    <w:rsid w:val="00D12409"/>
    <w:rsid w:val="00D124C5"/>
    <w:rsid w:val="00D12607"/>
    <w:rsid w:val="00D126EF"/>
    <w:rsid w:val="00D12716"/>
    <w:rsid w:val="00D127EA"/>
    <w:rsid w:val="00D1280E"/>
    <w:rsid w:val="00D12C8D"/>
    <w:rsid w:val="00D12C8F"/>
    <w:rsid w:val="00D12E2F"/>
    <w:rsid w:val="00D12FE2"/>
    <w:rsid w:val="00D133A0"/>
    <w:rsid w:val="00D133A7"/>
    <w:rsid w:val="00D133AB"/>
    <w:rsid w:val="00D135F8"/>
    <w:rsid w:val="00D1360B"/>
    <w:rsid w:val="00D13766"/>
    <w:rsid w:val="00D1382C"/>
    <w:rsid w:val="00D138FB"/>
    <w:rsid w:val="00D13C5B"/>
    <w:rsid w:val="00D13CAD"/>
    <w:rsid w:val="00D13CE7"/>
    <w:rsid w:val="00D13F1F"/>
    <w:rsid w:val="00D13F66"/>
    <w:rsid w:val="00D13F67"/>
    <w:rsid w:val="00D13F8A"/>
    <w:rsid w:val="00D13FCD"/>
    <w:rsid w:val="00D140AA"/>
    <w:rsid w:val="00D140CC"/>
    <w:rsid w:val="00D14164"/>
    <w:rsid w:val="00D14186"/>
    <w:rsid w:val="00D14209"/>
    <w:rsid w:val="00D1444E"/>
    <w:rsid w:val="00D144D9"/>
    <w:rsid w:val="00D1458D"/>
    <w:rsid w:val="00D1478E"/>
    <w:rsid w:val="00D147D6"/>
    <w:rsid w:val="00D147DE"/>
    <w:rsid w:val="00D14833"/>
    <w:rsid w:val="00D148C5"/>
    <w:rsid w:val="00D148D8"/>
    <w:rsid w:val="00D14930"/>
    <w:rsid w:val="00D14A1F"/>
    <w:rsid w:val="00D14B59"/>
    <w:rsid w:val="00D14C44"/>
    <w:rsid w:val="00D14C98"/>
    <w:rsid w:val="00D14CAD"/>
    <w:rsid w:val="00D14CE6"/>
    <w:rsid w:val="00D14D5F"/>
    <w:rsid w:val="00D14D9C"/>
    <w:rsid w:val="00D14E68"/>
    <w:rsid w:val="00D15004"/>
    <w:rsid w:val="00D15253"/>
    <w:rsid w:val="00D152C1"/>
    <w:rsid w:val="00D15376"/>
    <w:rsid w:val="00D153CC"/>
    <w:rsid w:val="00D1560C"/>
    <w:rsid w:val="00D156F7"/>
    <w:rsid w:val="00D15785"/>
    <w:rsid w:val="00D158D4"/>
    <w:rsid w:val="00D158D9"/>
    <w:rsid w:val="00D1595B"/>
    <w:rsid w:val="00D15A3C"/>
    <w:rsid w:val="00D15A49"/>
    <w:rsid w:val="00D15CE2"/>
    <w:rsid w:val="00D15DE4"/>
    <w:rsid w:val="00D15E54"/>
    <w:rsid w:val="00D15E5A"/>
    <w:rsid w:val="00D16326"/>
    <w:rsid w:val="00D16440"/>
    <w:rsid w:val="00D16448"/>
    <w:rsid w:val="00D164CA"/>
    <w:rsid w:val="00D16532"/>
    <w:rsid w:val="00D16615"/>
    <w:rsid w:val="00D16644"/>
    <w:rsid w:val="00D166C4"/>
    <w:rsid w:val="00D166F1"/>
    <w:rsid w:val="00D166FE"/>
    <w:rsid w:val="00D1680F"/>
    <w:rsid w:val="00D168D8"/>
    <w:rsid w:val="00D1690D"/>
    <w:rsid w:val="00D169EB"/>
    <w:rsid w:val="00D16A89"/>
    <w:rsid w:val="00D16C4B"/>
    <w:rsid w:val="00D16C83"/>
    <w:rsid w:val="00D16D3A"/>
    <w:rsid w:val="00D16E76"/>
    <w:rsid w:val="00D16EF0"/>
    <w:rsid w:val="00D16F26"/>
    <w:rsid w:val="00D16F64"/>
    <w:rsid w:val="00D16FAD"/>
    <w:rsid w:val="00D17047"/>
    <w:rsid w:val="00D17082"/>
    <w:rsid w:val="00D170DC"/>
    <w:rsid w:val="00D17164"/>
    <w:rsid w:val="00D1716E"/>
    <w:rsid w:val="00D171D7"/>
    <w:rsid w:val="00D17252"/>
    <w:rsid w:val="00D173FD"/>
    <w:rsid w:val="00D1755D"/>
    <w:rsid w:val="00D176D1"/>
    <w:rsid w:val="00D176F5"/>
    <w:rsid w:val="00D177F7"/>
    <w:rsid w:val="00D17887"/>
    <w:rsid w:val="00D17BAC"/>
    <w:rsid w:val="00D17BCB"/>
    <w:rsid w:val="00D17D06"/>
    <w:rsid w:val="00D17E93"/>
    <w:rsid w:val="00D17F34"/>
    <w:rsid w:val="00D17F53"/>
    <w:rsid w:val="00D17FE0"/>
    <w:rsid w:val="00D17FFD"/>
    <w:rsid w:val="00D20322"/>
    <w:rsid w:val="00D203A2"/>
    <w:rsid w:val="00D203F5"/>
    <w:rsid w:val="00D20436"/>
    <w:rsid w:val="00D204CE"/>
    <w:rsid w:val="00D20508"/>
    <w:rsid w:val="00D206DF"/>
    <w:rsid w:val="00D2070E"/>
    <w:rsid w:val="00D208AD"/>
    <w:rsid w:val="00D209F6"/>
    <w:rsid w:val="00D20F18"/>
    <w:rsid w:val="00D210CF"/>
    <w:rsid w:val="00D210E3"/>
    <w:rsid w:val="00D211B3"/>
    <w:rsid w:val="00D21347"/>
    <w:rsid w:val="00D2167E"/>
    <w:rsid w:val="00D216DB"/>
    <w:rsid w:val="00D218C3"/>
    <w:rsid w:val="00D21943"/>
    <w:rsid w:val="00D219DC"/>
    <w:rsid w:val="00D21A76"/>
    <w:rsid w:val="00D21AFA"/>
    <w:rsid w:val="00D21B64"/>
    <w:rsid w:val="00D21B9A"/>
    <w:rsid w:val="00D21D63"/>
    <w:rsid w:val="00D21E28"/>
    <w:rsid w:val="00D21E2E"/>
    <w:rsid w:val="00D2205C"/>
    <w:rsid w:val="00D22176"/>
    <w:rsid w:val="00D2219B"/>
    <w:rsid w:val="00D221F4"/>
    <w:rsid w:val="00D2236F"/>
    <w:rsid w:val="00D224CC"/>
    <w:rsid w:val="00D224EE"/>
    <w:rsid w:val="00D22652"/>
    <w:rsid w:val="00D22678"/>
    <w:rsid w:val="00D226FD"/>
    <w:rsid w:val="00D22709"/>
    <w:rsid w:val="00D227DE"/>
    <w:rsid w:val="00D22841"/>
    <w:rsid w:val="00D22B48"/>
    <w:rsid w:val="00D22CAA"/>
    <w:rsid w:val="00D22D13"/>
    <w:rsid w:val="00D22D3C"/>
    <w:rsid w:val="00D22D85"/>
    <w:rsid w:val="00D22ED7"/>
    <w:rsid w:val="00D22F16"/>
    <w:rsid w:val="00D22F86"/>
    <w:rsid w:val="00D22FB5"/>
    <w:rsid w:val="00D23045"/>
    <w:rsid w:val="00D230C2"/>
    <w:rsid w:val="00D23118"/>
    <w:rsid w:val="00D232A1"/>
    <w:rsid w:val="00D234EB"/>
    <w:rsid w:val="00D234EC"/>
    <w:rsid w:val="00D23870"/>
    <w:rsid w:val="00D23D53"/>
    <w:rsid w:val="00D23D8E"/>
    <w:rsid w:val="00D23E72"/>
    <w:rsid w:val="00D24219"/>
    <w:rsid w:val="00D24324"/>
    <w:rsid w:val="00D2437A"/>
    <w:rsid w:val="00D2442B"/>
    <w:rsid w:val="00D2458C"/>
    <w:rsid w:val="00D2464C"/>
    <w:rsid w:val="00D24756"/>
    <w:rsid w:val="00D24899"/>
    <w:rsid w:val="00D2490D"/>
    <w:rsid w:val="00D2491D"/>
    <w:rsid w:val="00D24932"/>
    <w:rsid w:val="00D24960"/>
    <w:rsid w:val="00D24AF8"/>
    <w:rsid w:val="00D24B17"/>
    <w:rsid w:val="00D24B21"/>
    <w:rsid w:val="00D24D86"/>
    <w:rsid w:val="00D24DD5"/>
    <w:rsid w:val="00D24F92"/>
    <w:rsid w:val="00D24FDB"/>
    <w:rsid w:val="00D25035"/>
    <w:rsid w:val="00D25056"/>
    <w:rsid w:val="00D25070"/>
    <w:rsid w:val="00D25139"/>
    <w:rsid w:val="00D251D2"/>
    <w:rsid w:val="00D2524D"/>
    <w:rsid w:val="00D25437"/>
    <w:rsid w:val="00D25464"/>
    <w:rsid w:val="00D256A5"/>
    <w:rsid w:val="00D257D3"/>
    <w:rsid w:val="00D25B9E"/>
    <w:rsid w:val="00D25C02"/>
    <w:rsid w:val="00D25C0D"/>
    <w:rsid w:val="00D25CB1"/>
    <w:rsid w:val="00D25DAF"/>
    <w:rsid w:val="00D25DE4"/>
    <w:rsid w:val="00D25E18"/>
    <w:rsid w:val="00D25FFE"/>
    <w:rsid w:val="00D26022"/>
    <w:rsid w:val="00D260C7"/>
    <w:rsid w:val="00D2619C"/>
    <w:rsid w:val="00D2650B"/>
    <w:rsid w:val="00D265C7"/>
    <w:rsid w:val="00D26751"/>
    <w:rsid w:val="00D26803"/>
    <w:rsid w:val="00D26835"/>
    <w:rsid w:val="00D26843"/>
    <w:rsid w:val="00D269B1"/>
    <w:rsid w:val="00D269F4"/>
    <w:rsid w:val="00D26A56"/>
    <w:rsid w:val="00D26C41"/>
    <w:rsid w:val="00D26CB6"/>
    <w:rsid w:val="00D26D69"/>
    <w:rsid w:val="00D26D8C"/>
    <w:rsid w:val="00D26E26"/>
    <w:rsid w:val="00D26E78"/>
    <w:rsid w:val="00D26F4F"/>
    <w:rsid w:val="00D27141"/>
    <w:rsid w:val="00D271AB"/>
    <w:rsid w:val="00D2721E"/>
    <w:rsid w:val="00D27260"/>
    <w:rsid w:val="00D27287"/>
    <w:rsid w:val="00D2738C"/>
    <w:rsid w:val="00D274AE"/>
    <w:rsid w:val="00D27590"/>
    <w:rsid w:val="00D27627"/>
    <w:rsid w:val="00D278EA"/>
    <w:rsid w:val="00D27909"/>
    <w:rsid w:val="00D27A7A"/>
    <w:rsid w:val="00D27B96"/>
    <w:rsid w:val="00D27BBC"/>
    <w:rsid w:val="00D27CF2"/>
    <w:rsid w:val="00D27D0C"/>
    <w:rsid w:val="00D27DD3"/>
    <w:rsid w:val="00D30295"/>
    <w:rsid w:val="00D3043E"/>
    <w:rsid w:val="00D304DF"/>
    <w:rsid w:val="00D3056A"/>
    <w:rsid w:val="00D305CA"/>
    <w:rsid w:val="00D306C7"/>
    <w:rsid w:val="00D3075E"/>
    <w:rsid w:val="00D3082B"/>
    <w:rsid w:val="00D3088A"/>
    <w:rsid w:val="00D30AD5"/>
    <w:rsid w:val="00D30AEE"/>
    <w:rsid w:val="00D30B00"/>
    <w:rsid w:val="00D30CB7"/>
    <w:rsid w:val="00D30D16"/>
    <w:rsid w:val="00D30F9A"/>
    <w:rsid w:val="00D30FB7"/>
    <w:rsid w:val="00D30FE1"/>
    <w:rsid w:val="00D310FC"/>
    <w:rsid w:val="00D31113"/>
    <w:rsid w:val="00D31238"/>
    <w:rsid w:val="00D31257"/>
    <w:rsid w:val="00D3129D"/>
    <w:rsid w:val="00D31318"/>
    <w:rsid w:val="00D313D9"/>
    <w:rsid w:val="00D314FF"/>
    <w:rsid w:val="00D315CA"/>
    <w:rsid w:val="00D315CE"/>
    <w:rsid w:val="00D31695"/>
    <w:rsid w:val="00D316AC"/>
    <w:rsid w:val="00D31955"/>
    <w:rsid w:val="00D319E1"/>
    <w:rsid w:val="00D319F9"/>
    <w:rsid w:val="00D31A6E"/>
    <w:rsid w:val="00D31C48"/>
    <w:rsid w:val="00D31E6D"/>
    <w:rsid w:val="00D322F3"/>
    <w:rsid w:val="00D323FC"/>
    <w:rsid w:val="00D3256B"/>
    <w:rsid w:val="00D3259D"/>
    <w:rsid w:val="00D32740"/>
    <w:rsid w:val="00D32773"/>
    <w:rsid w:val="00D329AF"/>
    <w:rsid w:val="00D32B3E"/>
    <w:rsid w:val="00D32BD2"/>
    <w:rsid w:val="00D32BE1"/>
    <w:rsid w:val="00D32E2A"/>
    <w:rsid w:val="00D32E79"/>
    <w:rsid w:val="00D3339A"/>
    <w:rsid w:val="00D3352C"/>
    <w:rsid w:val="00D33689"/>
    <w:rsid w:val="00D336B5"/>
    <w:rsid w:val="00D336CB"/>
    <w:rsid w:val="00D3373B"/>
    <w:rsid w:val="00D33797"/>
    <w:rsid w:val="00D338BF"/>
    <w:rsid w:val="00D33A01"/>
    <w:rsid w:val="00D33AAE"/>
    <w:rsid w:val="00D33AB2"/>
    <w:rsid w:val="00D33B77"/>
    <w:rsid w:val="00D33BC6"/>
    <w:rsid w:val="00D33C33"/>
    <w:rsid w:val="00D33C63"/>
    <w:rsid w:val="00D33CB1"/>
    <w:rsid w:val="00D33E29"/>
    <w:rsid w:val="00D33F7D"/>
    <w:rsid w:val="00D33FE4"/>
    <w:rsid w:val="00D34046"/>
    <w:rsid w:val="00D3419D"/>
    <w:rsid w:val="00D341AB"/>
    <w:rsid w:val="00D342B9"/>
    <w:rsid w:val="00D3437F"/>
    <w:rsid w:val="00D34434"/>
    <w:rsid w:val="00D3449F"/>
    <w:rsid w:val="00D3451A"/>
    <w:rsid w:val="00D345A6"/>
    <w:rsid w:val="00D349D4"/>
    <w:rsid w:val="00D34BC6"/>
    <w:rsid w:val="00D34C11"/>
    <w:rsid w:val="00D34C87"/>
    <w:rsid w:val="00D34D0A"/>
    <w:rsid w:val="00D34D92"/>
    <w:rsid w:val="00D34DC5"/>
    <w:rsid w:val="00D34E0E"/>
    <w:rsid w:val="00D34EB2"/>
    <w:rsid w:val="00D34F10"/>
    <w:rsid w:val="00D3515F"/>
    <w:rsid w:val="00D3539A"/>
    <w:rsid w:val="00D353A8"/>
    <w:rsid w:val="00D35566"/>
    <w:rsid w:val="00D35596"/>
    <w:rsid w:val="00D35623"/>
    <w:rsid w:val="00D35653"/>
    <w:rsid w:val="00D356A4"/>
    <w:rsid w:val="00D356B4"/>
    <w:rsid w:val="00D35762"/>
    <w:rsid w:val="00D35786"/>
    <w:rsid w:val="00D357DA"/>
    <w:rsid w:val="00D358CB"/>
    <w:rsid w:val="00D358DA"/>
    <w:rsid w:val="00D35937"/>
    <w:rsid w:val="00D35BAB"/>
    <w:rsid w:val="00D35C1E"/>
    <w:rsid w:val="00D35D47"/>
    <w:rsid w:val="00D35D66"/>
    <w:rsid w:val="00D35EB4"/>
    <w:rsid w:val="00D35EF4"/>
    <w:rsid w:val="00D35FFB"/>
    <w:rsid w:val="00D360FA"/>
    <w:rsid w:val="00D36157"/>
    <w:rsid w:val="00D3642B"/>
    <w:rsid w:val="00D36506"/>
    <w:rsid w:val="00D366DF"/>
    <w:rsid w:val="00D367CD"/>
    <w:rsid w:val="00D368CB"/>
    <w:rsid w:val="00D368E7"/>
    <w:rsid w:val="00D36B00"/>
    <w:rsid w:val="00D36D5C"/>
    <w:rsid w:val="00D36F26"/>
    <w:rsid w:val="00D36F74"/>
    <w:rsid w:val="00D371C8"/>
    <w:rsid w:val="00D37217"/>
    <w:rsid w:val="00D37246"/>
    <w:rsid w:val="00D37327"/>
    <w:rsid w:val="00D37403"/>
    <w:rsid w:val="00D3745A"/>
    <w:rsid w:val="00D374E3"/>
    <w:rsid w:val="00D376C6"/>
    <w:rsid w:val="00D3773A"/>
    <w:rsid w:val="00D3788D"/>
    <w:rsid w:val="00D37A00"/>
    <w:rsid w:val="00D37A0B"/>
    <w:rsid w:val="00D37A4D"/>
    <w:rsid w:val="00D37BAA"/>
    <w:rsid w:val="00D37C25"/>
    <w:rsid w:val="00D37C64"/>
    <w:rsid w:val="00D37DEA"/>
    <w:rsid w:val="00D37E95"/>
    <w:rsid w:val="00D401BC"/>
    <w:rsid w:val="00D401BD"/>
    <w:rsid w:val="00D40230"/>
    <w:rsid w:val="00D40254"/>
    <w:rsid w:val="00D40285"/>
    <w:rsid w:val="00D40292"/>
    <w:rsid w:val="00D402CB"/>
    <w:rsid w:val="00D40358"/>
    <w:rsid w:val="00D403B1"/>
    <w:rsid w:val="00D403FA"/>
    <w:rsid w:val="00D4043D"/>
    <w:rsid w:val="00D4060F"/>
    <w:rsid w:val="00D407A8"/>
    <w:rsid w:val="00D408AC"/>
    <w:rsid w:val="00D4094A"/>
    <w:rsid w:val="00D40986"/>
    <w:rsid w:val="00D40A34"/>
    <w:rsid w:val="00D40BEA"/>
    <w:rsid w:val="00D40D97"/>
    <w:rsid w:val="00D40E44"/>
    <w:rsid w:val="00D40E64"/>
    <w:rsid w:val="00D40F10"/>
    <w:rsid w:val="00D40FA7"/>
    <w:rsid w:val="00D40FD9"/>
    <w:rsid w:val="00D40FDB"/>
    <w:rsid w:val="00D411B7"/>
    <w:rsid w:val="00D412CC"/>
    <w:rsid w:val="00D4136F"/>
    <w:rsid w:val="00D41595"/>
    <w:rsid w:val="00D41667"/>
    <w:rsid w:val="00D41705"/>
    <w:rsid w:val="00D4173E"/>
    <w:rsid w:val="00D41780"/>
    <w:rsid w:val="00D41BA9"/>
    <w:rsid w:val="00D41C11"/>
    <w:rsid w:val="00D41CDE"/>
    <w:rsid w:val="00D41DD0"/>
    <w:rsid w:val="00D41E3B"/>
    <w:rsid w:val="00D41FCC"/>
    <w:rsid w:val="00D41FE3"/>
    <w:rsid w:val="00D420E9"/>
    <w:rsid w:val="00D420EC"/>
    <w:rsid w:val="00D42131"/>
    <w:rsid w:val="00D4217C"/>
    <w:rsid w:val="00D42259"/>
    <w:rsid w:val="00D4229C"/>
    <w:rsid w:val="00D423DD"/>
    <w:rsid w:val="00D42454"/>
    <w:rsid w:val="00D4272D"/>
    <w:rsid w:val="00D427BE"/>
    <w:rsid w:val="00D429C8"/>
    <w:rsid w:val="00D42B0D"/>
    <w:rsid w:val="00D42B1E"/>
    <w:rsid w:val="00D42D0B"/>
    <w:rsid w:val="00D42E4F"/>
    <w:rsid w:val="00D42F7E"/>
    <w:rsid w:val="00D42FCD"/>
    <w:rsid w:val="00D43126"/>
    <w:rsid w:val="00D43178"/>
    <w:rsid w:val="00D4348C"/>
    <w:rsid w:val="00D43686"/>
    <w:rsid w:val="00D438D2"/>
    <w:rsid w:val="00D439A7"/>
    <w:rsid w:val="00D439F2"/>
    <w:rsid w:val="00D43AF6"/>
    <w:rsid w:val="00D43B0A"/>
    <w:rsid w:val="00D43B0E"/>
    <w:rsid w:val="00D43C4D"/>
    <w:rsid w:val="00D43C7B"/>
    <w:rsid w:val="00D43D03"/>
    <w:rsid w:val="00D43F06"/>
    <w:rsid w:val="00D43F0C"/>
    <w:rsid w:val="00D44007"/>
    <w:rsid w:val="00D44067"/>
    <w:rsid w:val="00D441F7"/>
    <w:rsid w:val="00D4428C"/>
    <w:rsid w:val="00D442D7"/>
    <w:rsid w:val="00D44372"/>
    <w:rsid w:val="00D443BC"/>
    <w:rsid w:val="00D44410"/>
    <w:rsid w:val="00D444B5"/>
    <w:rsid w:val="00D4457D"/>
    <w:rsid w:val="00D445F4"/>
    <w:rsid w:val="00D4462C"/>
    <w:rsid w:val="00D446AC"/>
    <w:rsid w:val="00D44878"/>
    <w:rsid w:val="00D4491C"/>
    <w:rsid w:val="00D44A75"/>
    <w:rsid w:val="00D44B15"/>
    <w:rsid w:val="00D44B32"/>
    <w:rsid w:val="00D44B42"/>
    <w:rsid w:val="00D44C9B"/>
    <w:rsid w:val="00D44ED2"/>
    <w:rsid w:val="00D44F49"/>
    <w:rsid w:val="00D44F4F"/>
    <w:rsid w:val="00D44FAD"/>
    <w:rsid w:val="00D45004"/>
    <w:rsid w:val="00D45040"/>
    <w:rsid w:val="00D45064"/>
    <w:rsid w:val="00D45133"/>
    <w:rsid w:val="00D451E9"/>
    <w:rsid w:val="00D452B6"/>
    <w:rsid w:val="00D456CF"/>
    <w:rsid w:val="00D45860"/>
    <w:rsid w:val="00D45C47"/>
    <w:rsid w:val="00D45C52"/>
    <w:rsid w:val="00D45CF6"/>
    <w:rsid w:val="00D45DFA"/>
    <w:rsid w:val="00D45F43"/>
    <w:rsid w:val="00D45F85"/>
    <w:rsid w:val="00D460EC"/>
    <w:rsid w:val="00D4616B"/>
    <w:rsid w:val="00D46189"/>
    <w:rsid w:val="00D4635D"/>
    <w:rsid w:val="00D464BA"/>
    <w:rsid w:val="00D4658F"/>
    <w:rsid w:val="00D4673C"/>
    <w:rsid w:val="00D467D1"/>
    <w:rsid w:val="00D467D2"/>
    <w:rsid w:val="00D46892"/>
    <w:rsid w:val="00D4697C"/>
    <w:rsid w:val="00D46B39"/>
    <w:rsid w:val="00D46B8A"/>
    <w:rsid w:val="00D46C86"/>
    <w:rsid w:val="00D46E52"/>
    <w:rsid w:val="00D46ED0"/>
    <w:rsid w:val="00D4726C"/>
    <w:rsid w:val="00D47293"/>
    <w:rsid w:val="00D4734D"/>
    <w:rsid w:val="00D47496"/>
    <w:rsid w:val="00D47522"/>
    <w:rsid w:val="00D4763A"/>
    <w:rsid w:val="00D4763C"/>
    <w:rsid w:val="00D476B1"/>
    <w:rsid w:val="00D47756"/>
    <w:rsid w:val="00D477A1"/>
    <w:rsid w:val="00D477F8"/>
    <w:rsid w:val="00D4780E"/>
    <w:rsid w:val="00D478B6"/>
    <w:rsid w:val="00D47B42"/>
    <w:rsid w:val="00D47B90"/>
    <w:rsid w:val="00D47C41"/>
    <w:rsid w:val="00D47D7A"/>
    <w:rsid w:val="00D5006D"/>
    <w:rsid w:val="00D50176"/>
    <w:rsid w:val="00D5021D"/>
    <w:rsid w:val="00D505D3"/>
    <w:rsid w:val="00D50698"/>
    <w:rsid w:val="00D5099F"/>
    <w:rsid w:val="00D50A04"/>
    <w:rsid w:val="00D50A3E"/>
    <w:rsid w:val="00D50B85"/>
    <w:rsid w:val="00D50BA6"/>
    <w:rsid w:val="00D50C50"/>
    <w:rsid w:val="00D50E68"/>
    <w:rsid w:val="00D50ED8"/>
    <w:rsid w:val="00D50F8C"/>
    <w:rsid w:val="00D5112A"/>
    <w:rsid w:val="00D51182"/>
    <w:rsid w:val="00D5135B"/>
    <w:rsid w:val="00D513D5"/>
    <w:rsid w:val="00D5146F"/>
    <w:rsid w:val="00D5154E"/>
    <w:rsid w:val="00D515A3"/>
    <w:rsid w:val="00D516FA"/>
    <w:rsid w:val="00D51780"/>
    <w:rsid w:val="00D517B0"/>
    <w:rsid w:val="00D51856"/>
    <w:rsid w:val="00D518F4"/>
    <w:rsid w:val="00D51986"/>
    <w:rsid w:val="00D51B37"/>
    <w:rsid w:val="00D51C3C"/>
    <w:rsid w:val="00D51E58"/>
    <w:rsid w:val="00D51F77"/>
    <w:rsid w:val="00D5207A"/>
    <w:rsid w:val="00D5238D"/>
    <w:rsid w:val="00D52394"/>
    <w:rsid w:val="00D52438"/>
    <w:rsid w:val="00D5248F"/>
    <w:rsid w:val="00D525B3"/>
    <w:rsid w:val="00D52728"/>
    <w:rsid w:val="00D5277B"/>
    <w:rsid w:val="00D52858"/>
    <w:rsid w:val="00D52B44"/>
    <w:rsid w:val="00D52D84"/>
    <w:rsid w:val="00D5330E"/>
    <w:rsid w:val="00D53476"/>
    <w:rsid w:val="00D534B9"/>
    <w:rsid w:val="00D5351E"/>
    <w:rsid w:val="00D53607"/>
    <w:rsid w:val="00D53745"/>
    <w:rsid w:val="00D5385C"/>
    <w:rsid w:val="00D53887"/>
    <w:rsid w:val="00D53890"/>
    <w:rsid w:val="00D53DAA"/>
    <w:rsid w:val="00D540AA"/>
    <w:rsid w:val="00D54429"/>
    <w:rsid w:val="00D544FC"/>
    <w:rsid w:val="00D545ED"/>
    <w:rsid w:val="00D545FA"/>
    <w:rsid w:val="00D548EA"/>
    <w:rsid w:val="00D54A3F"/>
    <w:rsid w:val="00D54FA1"/>
    <w:rsid w:val="00D55009"/>
    <w:rsid w:val="00D55691"/>
    <w:rsid w:val="00D55700"/>
    <w:rsid w:val="00D55795"/>
    <w:rsid w:val="00D5589A"/>
    <w:rsid w:val="00D558F9"/>
    <w:rsid w:val="00D55B06"/>
    <w:rsid w:val="00D55B65"/>
    <w:rsid w:val="00D55C09"/>
    <w:rsid w:val="00D55C6E"/>
    <w:rsid w:val="00D55C70"/>
    <w:rsid w:val="00D55DFB"/>
    <w:rsid w:val="00D55F5E"/>
    <w:rsid w:val="00D55FBB"/>
    <w:rsid w:val="00D56063"/>
    <w:rsid w:val="00D561A2"/>
    <w:rsid w:val="00D56238"/>
    <w:rsid w:val="00D56344"/>
    <w:rsid w:val="00D563EE"/>
    <w:rsid w:val="00D56715"/>
    <w:rsid w:val="00D56778"/>
    <w:rsid w:val="00D56AB5"/>
    <w:rsid w:val="00D56CB2"/>
    <w:rsid w:val="00D56E4C"/>
    <w:rsid w:val="00D56FC9"/>
    <w:rsid w:val="00D5721C"/>
    <w:rsid w:val="00D572F0"/>
    <w:rsid w:val="00D573E5"/>
    <w:rsid w:val="00D57452"/>
    <w:rsid w:val="00D574D0"/>
    <w:rsid w:val="00D5757E"/>
    <w:rsid w:val="00D5760A"/>
    <w:rsid w:val="00D578E9"/>
    <w:rsid w:val="00D57A5C"/>
    <w:rsid w:val="00D57BA4"/>
    <w:rsid w:val="00D57CE9"/>
    <w:rsid w:val="00D57D33"/>
    <w:rsid w:val="00D57E91"/>
    <w:rsid w:val="00D57EB1"/>
    <w:rsid w:val="00D57F26"/>
    <w:rsid w:val="00D60063"/>
    <w:rsid w:val="00D603F5"/>
    <w:rsid w:val="00D60426"/>
    <w:rsid w:val="00D6044D"/>
    <w:rsid w:val="00D60483"/>
    <w:rsid w:val="00D604EF"/>
    <w:rsid w:val="00D60853"/>
    <w:rsid w:val="00D60872"/>
    <w:rsid w:val="00D608AD"/>
    <w:rsid w:val="00D608B4"/>
    <w:rsid w:val="00D6094F"/>
    <w:rsid w:val="00D609DD"/>
    <w:rsid w:val="00D60A64"/>
    <w:rsid w:val="00D60B96"/>
    <w:rsid w:val="00D60BA2"/>
    <w:rsid w:val="00D60C29"/>
    <w:rsid w:val="00D60CB2"/>
    <w:rsid w:val="00D611F0"/>
    <w:rsid w:val="00D6132A"/>
    <w:rsid w:val="00D61431"/>
    <w:rsid w:val="00D6152B"/>
    <w:rsid w:val="00D61638"/>
    <w:rsid w:val="00D616CE"/>
    <w:rsid w:val="00D6172E"/>
    <w:rsid w:val="00D61793"/>
    <w:rsid w:val="00D61827"/>
    <w:rsid w:val="00D61832"/>
    <w:rsid w:val="00D61849"/>
    <w:rsid w:val="00D6191B"/>
    <w:rsid w:val="00D61A9C"/>
    <w:rsid w:val="00D61B56"/>
    <w:rsid w:val="00D61B76"/>
    <w:rsid w:val="00D61BC9"/>
    <w:rsid w:val="00D61CFC"/>
    <w:rsid w:val="00D6204B"/>
    <w:rsid w:val="00D62098"/>
    <w:rsid w:val="00D62167"/>
    <w:rsid w:val="00D6221A"/>
    <w:rsid w:val="00D622B3"/>
    <w:rsid w:val="00D6236B"/>
    <w:rsid w:val="00D62371"/>
    <w:rsid w:val="00D623C4"/>
    <w:rsid w:val="00D624C5"/>
    <w:rsid w:val="00D62604"/>
    <w:rsid w:val="00D62997"/>
    <w:rsid w:val="00D62A01"/>
    <w:rsid w:val="00D62A8F"/>
    <w:rsid w:val="00D62ACB"/>
    <w:rsid w:val="00D62AE0"/>
    <w:rsid w:val="00D62BA0"/>
    <w:rsid w:val="00D62CA9"/>
    <w:rsid w:val="00D62CEE"/>
    <w:rsid w:val="00D62D40"/>
    <w:rsid w:val="00D62E19"/>
    <w:rsid w:val="00D62EB4"/>
    <w:rsid w:val="00D62EE1"/>
    <w:rsid w:val="00D62EF0"/>
    <w:rsid w:val="00D62F9D"/>
    <w:rsid w:val="00D62FA0"/>
    <w:rsid w:val="00D62FC7"/>
    <w:rsid w:val="00D63085"/>
    <w:rsid w:val="00D6320F"/>
    <w:rsid w:val="00D63321"/>
    <w:rsid w:val="00D6344F"/>
    <w:rsid w:val="00D63512"/>
    <w:rsid w:val="00D6351C"/>
    <w:rsid w:val="00D63522"/>
    <w:rsid w:val="00D635DE"/>
    <w:rsid w:val="00D63889"/>
    <w:rsid w:val="00D63890"/>
    <w:rsid w:val="00D63893"/>
    <w:rsid w:val="00D638B1"/>
    <w:rsid w:val="00D638E8"/>
    <w:rsid w:val="00D6390A"/>
    <w:rsid w:val="00D63AB8"/>
    <w:rsid w:val="00D63D09"/>
    <w:rsid w:val="00D63D1B"/>
    <w:rsid w:val="00D63FC1"/>
    <w:rsid w:val="00D63FD0"/>
    <w:rsid w:val="00D640A6"/>
    <w:rsid w:val="00D64123"/>
    <w:rsid w:val="00D64287"/>
    <w:rsid w:val="00D642E4"/>
    <w:rsid w:val="00D643A6"/>
    <w:rsid w:val="00D643BF"/>
    <w:rsid w:val="00D64474"/>
    <w:rsid w:val="00D645CC"/>
    <w:rsid w:val="00D64635"/>
    <w:rsid w:val="00D64798"/>
    <w:rsid w:val="00D6499E"/>
    <w:rsid w:val="00D64B02"/>
    <w:rsid w:val="00D64BC8"/>
    <w:rsid w:val="00D64D92"/>
    <w:rsid w:val="00D64EFB"/>
    <w:rsid w:val="00D64F09"/>
    <w:rsid w:val="00D64F90"/>
    <w:rsid w:val="00D6501B"/>
    <w:rsid w:val="00D65030"/>
    <w:rsid w:val="00D65177"/>
    <w:rsid w:val="00D65228"/>
    <w:rsid w:val="00D6538E"/>
    <w:rsid w:val="00D6559D"/>
    <w:rsid w:val="00D655E6"/>
    <w:rsid w:val="00D6577F"/>
    <w:rsid w:val="00D65819"/>
    <w:rsid w:val="00D659D0"/>
    <w:rsid w:val="00D659FC"/>
    <w:rsid w:val="00D65A76"/>
    <w:rsid w:val="00D65AE6"/>
    <w:rsid w:val="00D65AF9"/>
    <w:rsid w:val="00D65B30"/>
    <w:rsid w:val="00D65B9F"/>
    <w:rsid w:val="00D65C89"/>
    <w:rsid w:val="00D65CA7"/>
    <w:rsid w:val="00D65DCB"/>
    <w:rsid w:val="00D65FA8"/>
    <w:rsid w:val="00D66032"/>
    <w:rsid w:val="00D660B3"/>
    <w:rsid w:val="00D662BE"/>
    <w:rsid w:val="00D6642D"/>
    <w:rsid w:val="00D664E0"/>
    <w:rsid w:val="00D665B6"/>
    <w:rsid w:val="00D66967"/>
    <w:rsid w:val="00D66997"/>
    <w:rsid w:val="00D66A2B"/>
    <w:rsid w:val="00D66ABF"/>
    <w:rsid w:val="00D66B77"/>
    <w:rsid w:val="00D66BC4"/>
    <w:rsid w:val="00D66CEC"/>
    <w:rsid w:val="00D66D0B"/>
    <w:rsid w:val="00D66E7C"/>
    <w:rsid w:val="00D66F95"/>
    <w:rsid w:val="00D6702B"/>
    <w:rsid w:val="00D6705B"/>
    <w:rsid w:val="00D67065"/>
    <w:rsid w:val="00D672B2"/>
    <w:rsid w:val="00D672E7"/>
    <w:rsid w:val="00D67305"/>
    <w:rsid w:val="00D6756E"/>
    <w:rsid w:val="00D676B8"/>
    <w:rsid w:val="00D67790"/>
    <w:rsid w:val="00D67844"/>
    <w:rsid w:val="00D67948"/>
    <w:rsid w:val="00D67B51"/>
    <w:rsid w:val="00D67D23"/>
    <w:rsid w:val="00D67E53"/>
    <w:rsid w:val="00D67E9E"/>
    <w:rsid w:val="00D7016F"/>
    <w:rsid w:val="00D70464"/>
    <w:rsid w:val="00D7055C"/>
    <w:rsid w:val="00D705A1"/>
    <w:rsid w:val="00D705C3"/>
    <w:rsid w:val="00D70636"/>
    <w:rsid w:val="00D7064C"/>
    <w:rsid w:val="00D70691"/>
    <w:rsid w:val="00D7080F"/>
    <w:rsid w:val="00D70A15"/>
    <w:rsid w:val="00D70A30"/>
    <w:rsid w:val="00D70B22"/>
    <w:rsid w:val="00D70B26"/>
    <w:rsid w:val="00D710DB"/>
    <w:rsid w:val="00D711A1"/>
    <w:rsid w:val="00D71399"/>
    <w:rsid w:val="00D713E3"/>
    <w:rsid w:val="00D7156B"/>
    <w:rsid w:val="00D715E3"/>
    <w:rsid w:val="00D716F2"/>
    <w:rsid w:val="00D7170E"/>
    <w:rsid w:val="00D717F0"/>
    <w:rsid w:val="00D71A7C"/>
    <w:rsid w:val="00D71B28"/>
    <w:rsid w:val="00D71B62"/>
    <w:rsid w:val="00D71C49"/>
    <w:rsid w:val="00D71E31"/>
    <w:rsid w:val="00D71E81"/>
    <w:rsid w:val="00D720A9"/>
    <w:rsid w:val="00D72506"/>
    <w:rsid w:val="00D725DF"/>
    <w:rsid w:val="00D726ED"/>
    <w:rsid w:val="00D726FF"/>
    <w:rsid w:val="00D72933"/>
    <w:rsid w:val="00D7293F"/>
    <w:rsid w:val="00D729C9"/>
    <w:rsid w:val="00D72A07"/>
    <w:rsid w:val="00D72B5E"/>
    <w:rsid w:val="00D72BF8"/>
    <w:rsid w:val="00D72C54"/>
    <w:rsid w:val="00D72D49"/>
    <w:rsid w:val="00D72F04"/>
    <w:rsid w:val="00D72F4D"/>
    <w:rsid w:val="00D72FD6"/>
    <w:rsid w:val="00D73046"/>
    <w:rsid w:val="00D730DD"/>
    <w:rsid w:val="00D730EA"/>
    <w:rsid w:val="00D731D0"/>
    <w:rsid w:val="00D731E0"/>
    <w:rsid w:val="00D731FE"/>
    <w:rsid w:val="00D7325E"/>
    <w:rsid w:val="00D732FB"/>
    <w:rsid w:val="00D7335B"/>
    <w:rsid w:val="00D73504"/>
    <w:rsid w:val="00D739C1"/>
    <w:rsid w:val="00D73BB2"/>
    <w:rsid w:val="00D73C2E"/>
    <w:rsid w:val="00D73CAA"/>
    <w:rsid w:val="00D73CE9"/>
    <w:rsid w:val="00D73E08"/>
    <w:rsid w:val="00D73F41"/>
    <w:rsid w:val="00D73F57"/>
    <w:rsid w:val="00D740A7"/>
    <w:rsid w:val="00D740DE"/>
    <w:rsid w:val="00D740E4"/>
    <w:rsid w:val="00D740F0"/>
    <w:rsid w:val="00D741CC"/>
    <w:rsid w:val="00D741ED"/>
    <w:rsid w:val="00D74250"/>
    <w:rsid w:val="00D745CE"/>
    <w:rsid w:val="00D74623"/>
    <w:rsid w:val="00D7477A"/>
    <w:rsid w:val="00D748A5"/>
    <w:rsid w:val="00D749A3"/>
    <w:rsid w:val="00D749BF"/>
    <w:rsid w:val="00D749C7"/>
    <w:rsid w:val="00D74A39"/>
    <w:rsid w:val="00D74A67"/>
    <w:rsid w:val="00D74D28"/>
    <w:rsid w:val="00D74D53"/>
    <w:rsid w:val="00D74DE1"/>
    <w:rsid w:val="00D74E56"/>
    <w:rsid w:val="00D74E89"/>
    <w:rsid w:val="00D75097"/>
    <w:rsid w:val="00D750E6"/>
    <w:rsid w:val="00D75176"/>
    <w:rsid w:val="00D752C7"/>
    <w:rsid w:val="00D752DC"/>
    <w:rsid w:val="00D75323"/>
    <w:rsid w:val="00D7537E"/>
    <w:rsid w:val="00D75505"/>
    <w:rsid w:val="00D756F2"/>
    <w:rsid w:val="00D75BB2"/>
    <w:rsid w:val="00D75BBC"/>
    <w:rsid w:val="00D75C5E"/>
    <w:rsid w:val="00D75CB9"/>
    <w:rsid w:val="00D75DB0"/>
    <w:rsid w:val="00D75DDC"/>
    <w:rsid w:val="00D75E59"/>
    <w:rsid w:val="00D75E87"/>
    <w:rsid w:val="00D75F38"/>
    <w:rsid w:val="00D76105"/>
    <w:rsid w:val="00D761AE"/>
    <w:rsid w:val="00D7639D"/>
    <w:rsid w:val="00D764B2"/>
    <w:rsid w:val="00D765DC"/>
    <w:rsid w:val="00D76696"/>
    <w:rsid w:val="00D76809"/>
    <w:rsid w:val="00D76839"/>
    <w:rsid w:val="00D769CA"/>
    <w:rsid w:val="00D76AD9"/>
    <w:rsid w:val="00D76B4E"/>
    <w:rsid w:val="00D76C74"/>
    <w:rsid w:val="00D76D28"/>
    <w:rsid w:val="00D76E01"/>
    <w:rsid w:val="00D76EFA"/>
    <w:rsid w:val="00D77074"/>
    <w:rsid w:val="00D771A2"/>
    <w:rsid w:val="00D77339"/>
    <w:rsid w:val="00D77394"/>
    <w:rsid w:val="00D773C9"/>
    <w:rsid w:val="00D77438"/>
    <w:rsid w:val="00D7756E"/>
    <w:rsid w:val="00D777F7"/>
    <w:rsid w:val="00D7785C"/>
    <w:rsid w:val="00D77977"/>
    <w:rsid w:val="00D7797F"/>
    <w:rsid w:val="00D77AFE"/>
    <w:rsid w:val="00D77B0F"/>
    <w:rsid w:val="00D77BC2"/>
    <w:rsid w:val="00D77BE7"/>
    <w:rsid w:val="00D77C1D"/>
    <w:rsid w:val="00D77C65"/>
    <w:rsid w:val="00D77C6D"/>
    <w:rsid w:val="00D77E86"/>
    <w:rsid w:val="00D77EE9"/>
    <w:rsid w:val="00D800CA"/>
    <w:rsid w:val="00D80124"/>
    <w:rsid w:val="00D80221"/>
    <w:rsid w:val="00D802B7"/>
    <w:rsid w:val="00D803B4"/>
    <w:rsid w:val="00D80413"/>
    <w:rsid w:val="00D8042A"/>
    <w:rsid w:val="00D8057F"/>
    <w:rsid w:val="00D805A6"/>
    <w:rsid w:val="00D80695"/>
    <w:rsid w:val="00D806B7"/>
    <w:rsid w:val="00D80729"/>
    <w:rsid w:val="00D80759"/>
    <w:rsid w:val="00D8079E"/>
    <w:rsid w:val="00D80B69"/>
    <w:rsid w:val="00D80EB8"/>
    <w:rsid w:val="00D80EEC"/>
    <w:rsid w:val="00D80FEB"/>
    <w:rsid w:val="00D8110D"/>
    <w:rsid w:val="00D81181"/>
    <w:rsid w:val="00D81346"/>
    <w:rsid w:val="00D81430"/>
    <w:rsid w:val="00D81478"/>
    <w:rsid w:val="00D814E9"/>
    <w:rsid w:val="00D81608"/>
    <w:rsid w:val="00D81720"/>
    <w:rsid w:val="00D81760"/>
    <w:rsid w:val="00D81920"/>
    <w:rsid w:val="00D81A30"/>
    <w:rsid w:val="00D81AB3"/>
    <w:rsid w:val="00D81B4D"/>
    <w:rsid w:val="00D81B7C"/>
    <w:rsid w:val="00D81C6E"/>
    <w:rsid w:val="00D81CA3"/>
    <w:rsid w:val="00D81CB9"/>
    <w:rsid w:val="00D81CD3"/>
    <w:rsid w:val="00D81D5F"/>
    <w:rsid w:val="00D81E7B"/>
    <w:rsid w:val="00D81FA2"/>
    <w:rsid w:val="00D81FD0"/>
    <w:rsid w:val="00D82304"/>
    <w:rsid w:val="00D8247A"/>
    <w:rsid w:val="00D824C3"/>
    <w:rsid w:val="00D824F1"/>
    <w:rsid w:val="00D8265A"/>
    <w:rsid w:val="00D826FB"/>
    <w:rsid w:val="00D829A9"/>
    <w:rsid w:val="00D82B1E"/>
    <w:rsid w:val="00D82B36"/>
    <w:rsid w:val="00D82BBD"/>
    <w:rsid w:val="00D82C00"/>
    <w:rsid w:val="00D82C6A"/>
    <w:rsid w:val="00D82F05"/>
    <w:rsid w:val="00D82FD9"/>
    <w:rsid w:val="00D83031"/>
    <w:rsid w:val="00D831DA"/>
    <w:rsid w:val="00D831EA"/>
    <w:rsid w:val="00D83217"/>
    <w:rsid w:val="00D8322A"/>
    <w:rsid w:val="00D834FF"/>
    <w:rsid w:val="00D836D5"/>
    <w:rsid w:val="00D8375E"/>
    <w:rsid w:val="00D837AC"/>
    <w:rsid w:val="00D8388A"/>
    <w:rsid w:val="00D8391D"/>
    <w:rsid w:val="00D83B7F"/>
    <w:rsid w:val="00D83C4F"/>
    <w:rsid w:val="00D83CCC"/>
    <w:rsid w:val="00D83D64"/>
    <w:rsid w:val="00D83D7E"/>
    <w:rsid w:val="00D83E46"/>
    <w:rsid w:val="00D83FEF"/>
    <w:rsid w:val="00D84073"/>
    <w:rsid w:val="00D84075"/>
    <w:rsid w:val="00D84147"/>
    <w:rsid w:val="00D84165"/>
    <w:rsid w:val="00D84241"/>
    <w:rsid w:val="00D842EF"/>
    <w:rsid w:val="00D84417"/>
    <w:rsid w:val="00D84423"/>
    <w:rsid w:val="00D84512"/>
    <w:rsid w:val="00D8452D"/>
    <w:rsid w:val="00D84582"/>
    <w:rsid w:val="00D8460B"/>
    <w:rsid w:val="00D8479C"/>
    <w:rsid w:val="00D847CE"/>
    <w:rsid w:val="00D848E9"/>
    <w:rsid w:val="00D849F9"/>
    <w:rsid w:val="00D84A39"/>
    <w:rsid w:val="00D84AEC"/>
    <w:rsid w:val="00D84AF1"/>
    <w:rsid w:val="00D84B93"/>
    <w:rsid w:val="00D84D52"/>
    <w:rsid w:val="00D84D54"/>
    <w:rsid w:val="00D84E79"/>
    <w:rsid w:val="00D84FC0"/>
    <w:rsid w:val="00D85010"/>
    <w:rsid w:val="00D8508D"/>
    <w:rsid w:val="00D8515F"/>
    <w:rsid w:val="00D852D6"/>
    <w:rsid w:val="00D8552F"/>
    <w:rsid w:val="00D855B8"/>
    <w:rsid w:val="00D85717"/>
    <w:rsid w:val="00D85780"/>
    <w:rsid w:val="00D85B2D"/>
    <w:rsid w:val="00D85B4F"/>
    <w:rsid w:val="00D85B95"/>
    <w:rsid w:val="00D85B9A"/>
    <w:rsid w:val="00D85CE3"/>
    <w:rsid w:val="00D85D77"/>
    <w:rsid w:val="00D85DAB"/>
    <w:rsid w:val="00D85DFD"/>
    <w:rsid w:val="00D85EE9"/>
    <w:rsid w:val="00D85F58"/>
    <w:rsid w:val="00D85FC4"/>
    <w:rsid w:val="00D8602F"/>
    <w:rsid w:val="00D86254"/>
    <w:rsid w:val="00D863B0"/>
    <w:rsid w:val="00D86496"/>
    <w:rsid w:val="00D865D0"/>
    <w:rsid w:val="00D86715"/>
    <w:rsid w:val="00D867A1"/>
    <w:rsid w:val="00D86977"/>
    <w:rsid w:val="00D869DF"/>
    <w:rsid w:val="00D86A52"/>
    <w:rsid w:val="00D86D5D"/>
    <w:rsid w:val="00D8704F"/>
    <w:rsid w:val="00D87072"/>
    <w:rsid w:val="00D87162"/>
    <w:rsid w:val="00D87220"/>
    <w:rsid w:val="00D87273"/>
    <w:rsid w:val="00D8749B"/>
    <w:rsid w:val="00D879F7"/>
    <w:rsid w:val="00D87A88"/>
    <w:rsid w:val="00D87CDF"/>
    <w:rsid w:val="00D87CEC"/>
    <w:rsid w:val="00D87DE3"/>
    <w:rsid w:val="00D87ED6"/>
    <w:rsid w:val="00D87F78"/>
    <w:rsid w:val="00D87FD2"/>
    <w:rsid w:val="00D9008B"/>
    <w:rsid w:val="00D900D1"/>
    <w:rsid w:val="00D90215"/>
    <w:rsid w:val="00D902ED"/>
    <w:rsid w:val="00D90405"/>
    <w:rsid w:val="00D90714"/>
    <w:rsid w:val="00D9099F"/>
    <w:rsid w:val="00D909D3"/>
    <w:rsid w:val="00D90A3F"/>
    <w:rsid w:val="00D90B0B"/>
    <w:rsid w:val="00D90BBC"/>
    <w:rsid w:val="00D90CDD"/>
    <w:rsid w:val="00D90D79"/>
    <w:rsid w:val="00D90DBC"/>
    <w:rsid w:val="00D90E3D"/>
    <w:rsid w:val="00D90F90"/>
    <w:rsid w:val="00D91116"/>
    <w:rsid w:val="00D9119F"/>
    <w:rsid w:val="00D91222"/>
    <w:rsid w:val="00D91224"/>
    <w:rsid w:val="00D91340"/>
    <w:rsid w:val="00D914A0"/>
    <w:rsid w:val="00D91547"/>
    <w:rsid w:val="00D91576"/>
    <w:rsid w:val="00D91602"/>
    <w:rsid w:val="00D91636"/>
    <w:rsid w:val="00D91781"/>
    <w:rsid w:val="00D9186C"/>
    <w:rsid w:val="00D91A5D"/>
    <w:rsid w:val="00D91F5F"/>
    <w:rsid w:val="00D920B6"/>
    <w:rsid w:val="00D9216C"/>
    <w:rsid w:val="00D921B8"/>
    <w:rsid w:val="00D9221C"/>
    <w:rsid w:val="00D92224"/>
    <w:rsid w:val="00D9229D"/>
    <w:rsid w:val="00D92388"/>
    <w:rsid w:val="00D923D9"/>
    <w:rsid w:val="00D92523"/>
    <w:rsid w:val="00D9254D"/>
    <w:rsid w:val="00D925C5"/>
    <w:rsid w:val="00D9260B"/>
    <w:rsid w:val="00D9263E"/>
    <w:rsid w:val="00D9267A"/>
    <w:rsid w:val="00D927C5"/>
    <w:rsid w:val="00D9285B"/>
    <w:rsid w:val="00D92874"/>
    <w:rsid w:val="00D92896"/>
    <w:rsid w:val="00D928A5"/>
    <w:rsid w:val="00D928C8"/>
    <w:rsid w:val="00D9292A"/>
    <w:rsid w:val="00D929F7"/>
    <w:rsid w:val="00D92A33"/>
    <w:rsid w:val="00D92A9B"/>
    <w:rsid w:val="00D92B06"/>
    <w:rsid w:val="00D92B2B"/>
    <w:rsid w:val="00D92B50"/>
    <w:rsid w:val="00D92B8D"/>
    <w:rsid w:val="00D92C11"/>
    <w:rsid w:val="00D92C1C"/>
    <w:rsid w:val="00D92E10"/>
    <w:rsid w:val="00D92E39"/>
    <w:rsid w:val="00D92FE6"/>
    <w:rsid w:val="00D9301D"/>
    <w:rsid w:val="00D93109"/>
    <w:rsid w:val="00D93124"/>
    <w:rsid w:val="00D9317E"/>
    <w:rsid w:val="00D9318E"/>
    <w:rsid w:val="00D931B9"/>
    <w:rsid w:val="00D9323E"/>
    <w:rsid w:val="00D932C1"/>
    <w:rsid w:val="00D93397"/>
    <w:rsid w:val="00D9341A"/>
    <w:rsid w:val="00D93439"/>
    <w:rsid w:val="00D93455"/>
    <w:rsid w:val="00D93477"/>
    <w:rsid w:val="00D934E3"/>
    <w:rsid w:val="00D93506"/>
    <w:rsid w:val="00D93524"/>
    <w:rsid w:val="00D9387C"/>
    <w:rsid w:val="00D93B11"/>
    <w:rsid w:val="00D93C5E"/>
    <w:rsid w:val="00D93D08"/>
    <w:rsid w:val="00D93E34"/>
    <w:rsid w:val="00D93FAA"/>
    <w:rsid w:val="00D94160"/>
    <w:rsid w:val="00D94253"/>
    <w:rsid w:val="00D9432E"/>
    <w:rsid w:val="00D943AF"/>
    <w:rsid w:val="00D944BF"/>
    <w:rsid w:val="00D94599"/>
    <w:rsid w:val="00D94681"/>
    <w:rsid w:val="00D948C9"/>
    <w:rsid w:val="00D948D9"/>
    <w:rsid w:val="00D9498B"/>
    <w:rsid w:val="00D949DA"/>
    <w:rsid w:val="00D94CC1"/>
    <w:rsid w:val="00D94D75"/>
    <w:rsid w:val="00D94E30"/>
    <w:rsid w:val="00D94E87"/>
    <w:rsid w:val="00D9514A"/>
    <w:rsid w:val="00D95196"/>
    <w:rsid w:val="00D952E0"/>
    <w:rsid w:val="00D95451"/>
    <w:rsid w:val="00D95575"/>
    <w:rsid w:val="00D95627"/>
    <w:rsid w:val="00D956C6"/>
    <w:rsid w:val="00D95856"/>
    <w:rsid w:val="00D95888"/>
    <w:rsid w:val="00D958BD"/>
    <w:rsid w:val="00D95A32"/>
    <w:rsid w:val="00D95B55"/>
    <w:rsid w:val="00D95B84"/>
    <w:rsid w:val="00D95D27"/>
    <w:rsid w:val="00D95D57"/>
    <w:rsid w:val="00D95DD2"/>
    <w:rsid w:val="00D95E20"/>
    <w:rsid w:val="00D95E8A"/>
    <w:rsid w:val="00D95F5C"/>
    <w:rsid w:val="00D95F88"/>
    <w:rsid w:val="00D96007"/>
    <w:rsid w:val="00D96167"/>
    <w:rsid w:val="00D96197"/>
    <w:rsid w:val="00D9623A"/>
    <w:rsid w:val="00D964B6"/>
    <w:rsid w:val="00D96652"/>
    <w:rsid w:val="00D9668A"/>
    <w:rsid w:val="00D967C6"/>
    <w:rsid w:val="00D96859"/>
    <w:rsid w:val="00D968F0"/>
    <w:rsid w:val="00D9691F"/>
    <w:rsid w:val="00D96D31"/>
    <w:rsid w:val="00D96F29"/>
    <w:rsid w:val="00D96FC1"/>
    <w:rsid w:val="00D97054"/>
    <w:rsid w:val="00D9710F"/>
    <w:rsid w:val="00D9715E"/>
    <w:rsid w:val="00D97198"/>
    <w:rsid w:val="00D972D1"/>
    <w:rsid w:val="00D9743B"/>
    <w:rsid w:val="00D977EF"/>
    <w:rsid w:val="00D978CD"/>
    <w:rsid w:val="00D9793B"/>
    <w:rsid w:val="00D9794A"/>
    <w:rsid w:val="00D97AC0"/>
    <w:rsid w:val="00D97B36"/>
    <w:rsid w:val="00D97C03"/>
    <w:rsid w:val="00D97C45"/>
    <w:rsid w:val="00D97E4C"/>
    <w:rsid w:val="00D97F19"/>
    <w:rsid w:val="00D97F2D"/>
    <w:rsid w:val="00D97F50"/>
    <w:rsid w:val="00D97FE7"/>
    <w:rsid w:val="00DA009D"/>
    <w:rsid w:val="00DA0272"/>
    <w:rsid w:val="00DA0279"/>
    <w:rsid w:val="00DA03D3"/>
    <w:rsid w:val="00DA049D"/>
    <w:rsid w:val="00DA05E2"/>
    <w:rsid w:val="00DA05E8"/>
    <w:rsid w:val="00DA0638"/>
    <w:rsid w:val="00DA0708"/>
    <w:rsid w:val="00DA0755"/>
    <w:rsid w:val="00DA077B"/>
    <w:rsid w:val="00DA07D5"/>
    <w:rsid w:val="00DA0891"/>
    <w:rsid w:val="00DA0BE8"/>
    <w:rsid w:val="00DA0C57"/>
    <w:rsid w:val="00DA0D03"/>
    <w:rsid w:val="00DA0D4C"/>
    <w:rsid w:val="00DA0D9F"/>
    <w:rsid w:val="00DA10B5"/>
    <w:rsid w:val="00DA10BC"/>
    <w:rsid w:val="00DA1132"/>
    <w:rsid w:val="00DA1320"/>
    <w:rsid w:val="00DA13BE"/>
    <w:rsid w:val="00DA147D"/>
    <w:rsid w:val="00DA1518"/>
    <w:rsid w:val="00DA166A"/>
    <w:rsid w:val="00DA1697"/>
    <w:rsid w:val="00DA1DCE"/>
    <w:rsid w:val="00DA1E5C"/>
    <w:rsid w:val="00DA1FB4"/>
    <w:rsid w:val="00DA2036"/>
    <w:rsid w:val="00DA215E"/>
    <w:rsid w:val="00DA23CB"/>
    <w:rsid w:val="00DA248B"/>
    <w:rsid w:val="00DA24A0"/>
    <w:rsid w:val="00DA24BF"/>
    <w:rsid w:val="00DA2607"/>
    <w:rsid w:val="00DA2995"/>
    <w:rsid w:val="00DA2A9F"/>
    <w:rsid w:val="00DA2C1B"/>
    <w:rsid w:val="00DA2D4C"/>
    <w:rsid w:val="00DA2E50"/>
    <w:rsid w:val="00DA2E6D"/>
    <w:rsid w:val="00DA3012"/>
    <w:rsid w:val="00DA306C"/>
    <w:rsid w:val="00DA3353"/>
    <w:rsid w:val="00DA33E4"/>
    <w:rsid w:val="00DA3467"/>
    <w:rsid w:val="00DA3559"/>
    <w:rsid w:val="00DA35C1"/>
    <w:rsid w:val="00DA3661"/>
    <w:rsid w:val="00DA36EA"/>
    <w:rsid w:val="00DA38A5"/>
    <w:rsid w:val="00DA38E1"/>
    <w:rsid w:val="00DA395A"/>
    <w:rsid w:val="00DA3A4A"/>
    <w:rsid w:val="00DA3B59"/>
    <w:rsid w:val="00DA3BA9"/>
    <w:rsid w:val="00DA3C7A"/>
    <w:rsid w:val="00DA3DFF"/>
    <w:rsid w:val="00DA3E5A"/>
    <w:rsid w:val="00DA3E9A"/>
    <w:rsid w:val="00DA4037"/>
    <w:rsid w:val="00DA4583"/>
    <w:rsid w:val="00DA47C1"/>
    <w:rsid w:val="00DA4850"/>
    <w:rsid w:val="00DA4D4A"/>
    <w:rsid w:val="00DA4E0A"/>
    <w:rsid w:val="00DA4FAD"/>
    <w:rsid w:val="00DA5165"/>
    <w:rsid w:val="00DA5208"/>
    <w:rsid w:val="00DA5306"/>
    <w:rsid w:val="00DA537B"/>
    <w:rsid w:val="00DA55EA"/>
    <w:rsid w:val="00DA564A"/>
    <w:rsid w:val="00DA56B8"/>
    <w:rsid w:val="00DA5873"/>
    <w:rsid w:val="00DA5874"/>
    <w:rsid w:val="00DA5890"/>
    <w:rsid w:val="00DA58FF"/>
    <w:rsid w:val="00DA5919"/>
    <w:rsid w:val="00DA5BCF"/>
    <w:rsid w:val="00DA5D29"/>
    <w:rsid w:val="00DA5DC5"/>
    <w:rsid w:val="00DA5E5A"/>
    <w:rsid w:val="00DA5EAB"/>
    <w:rsid w:val="00DA5FFA"/>
    <w:rsid w:val="00DA60BA"/>
    <w:rsid w:val="00DA6156"/>
    <w:rsid w:val="00DA61C7"/>
    <w:rsid w:val="00DA626E"/>
    <w:rsid w:val="00DA64BD"/>
    <w:rsid w:val="00DA6535"/>
    <w:rsid w:val="00DA65D3"/>
    <w:rsid w:val="00DA68E4"/>
    <w:rsid w:val="00DA697D"/>
    <w:rsid w:val="00DA69AC"/>
    <w:rsid w:val="00DA6B80"/>
    <w:rsid w:val="00DA6B99"/>
    <w:rsid w:val="00DA6CB4"/>
    <w:rsid w:val="00DA6D4B"/>
    <w:rsid w:val="00DA6D74"/>
    <w:rsid w:val="00DA6E48"/>
    <w:rsid w:val="00DA6F2F"/>
    <w:rsid w:val="00DA6F47"/>
    <w:rsid w:val="00DA7169"/>
    <w:rsid w:val="00DA727D"/>
    <w:rsid w:val="00DA72FF"/>
    <w:rsid w:val="00DA74AC"/>
    <w:rsid w:val="00DA7563"/>
    <w:rsid w:val="00DA76BA"/>
    <w:rsid w:val="00DA7ABE"/>
    <w:rsid w:val="00DA7FD0"/>
    <w:rsid w:val="00DB0146"/>
    <w:rsid w:val="00DB03A8"/>
    <w:rsid w:val="00DB057C"/>
    <w:rsid w:val="00DB05B1"/>
    <w:rsid w:val="00DB060E"/>
    <w:rsid w:val="00DB0674"/>
    <w:rsid w:val="00DB0781"/>
    <w:rsid w:val="00DB0819"/>
    <w:rsid w:val="00DB08B5"/>
    <w:rsid w:val="00DB0911"/>
    <w:rsid w:val="00DB0A92"/>
    <w:rsid w:val="00DB0ADD"/>
    <w:rsid w:val="00DB0B7C"/>
    <w:rsid w:val="00DB0C39"/>
    <w:rsid w:val="00DB100D"/>
    <w:rsid w:val="00DB10B6"/>
    <w:rsid w:val="00DB1330"/>
    <w:rsid w:val="00DB1358"/>
    <w:rsid w:val="00DB13C1"/>
    <w:rsid w:val="00DB16A7"/>
    <w:rsid w:val="00DB17CC"/>
    <w:rsid w:val="00DB19D7"/>
    <w:rsid w:val="00DB1A51"/>
    <w:rsid w:val="00DB1DF4"/>
    <w:rsid w:val="00DB1E7D"/>
    <w:rsid w:val="00DB1FDE"/>
    <w:rsid w:val="00DB202B"/>
    <w:rsid w:val="00DB2050"/>
    <w:rsid w:val="00DB205F"/>
    <w:rsid w:val="00DB20A0"/>
    <w:rsid w:val="00DB20F8"/>
    <w:rsid w:val="00DB21AD"/>
    <w:rsid w:val="00DB2247"/>
    <w:rsid w:val="00DB23F0"/>
    <w:rsid w:val="00DB2413"/>
    <w:rsid w:val="00DB2535"/>
    <w:rsid w:val="00DB2560"/>
    <w:rsid w:val="00DB2596"/>
    <w:rsid w:val="00DB265A"/>
    <w:rsid w:val="00DB270F"/>
    <w:rsid w:val="00DB27A4"/>
    <w:rsid w:val="00DB28AB"/>
    <w:rsid w:val="00DB29D9"/>
    <w:rsid w:val="00DB2A62"/>
    <w:rsid w:val="00DB2BDF"/>
    <w:rsid w:val="00DB2C8F"/>
    <w:rsid w:val="00DB2D54"/>
    <w:rsid w:val="00DB2EE2"/>
    <w:rsid w:val="00DB2F23"/>
    <w:rsid w:val="00DB2FC7"/>
    <w:rsid w:val="00DB309C"/>
    <w:rsid w:val="00DB309F"/>
    <w:rsid w:val="00DB3310"/>
    <w:rsid w:val="00DB331D"/>
    <w:rsid w:val="00DB3408"/>
    <w:rsid w:val="00DB3449"/>
    <w:rsid w:val="00DB356D"/>
    <w:rsid w:val="00DB37D6"/>
    <w:rsid w:val="00DB386F"/>
    <w:rsid w:val="00DB38DF"/>
    <w:rsid w:val="00DB399F"/>
    <w:rsid w:val="00DB3A0E"/>
    <w:rsid w:val="00DB3C47"/>
    <w:rsid w:val="00DB3F5D"/>
    <w:rsid w:val="00DB407D"/>
    <w:rsid w:val="00DB407F"/>
    <w:rsid w:val="00DB4220"/>
    <w:rsid w:val="00DB4624"/>
    <w:rsid w:val="00DB4774"/>
    <w:rsid w:val="00DB4786"/>
    <w:rsid w:val="00DB49C3"/>
    <w:rsid w:val="00DB4BF4"/>
    <w:rsid w:val="00DB4E38"/>
    <w:rsid w:val="00DB4E63"/>
    <w:rsid w:val="00DB4E69"/>
    <w:rsid w:val="00DB4F17"/>
    <w:rsid w:val="00DB5082"/>
    <w:rsid w:val="00DB50FB"/>
    <w:rsid w:val="00DB5147"/>
    <w:rsid w:val="00DB516E"/>
    <w:rsid w:val="00DB51A8"/>
    <w:rsid w:val="00DB5208"/>
    <w:rsid w:val="00DB5454"/>
    <w:rsid w:val="00DB546A"/>
    <w:rsid w:val="00DB547A"/>
    <w:rsid w:val="00DB5534"/>
    <w:rsid w:val="00DB559F"/>
    <w:rsid w:val="00DB5673"/>
    <w:rsid w:val="00DB5690"/>
    <w:rsid w:val="00DB570B"/>
    <w:rsid w:val="00DB5851"/>
    <w:rsid w:val="00DB5859"/>
    <w:rsid w:val="00DB59C2"/>
    <w:rsid w:val="00DB5A89"/>
    <w:rsid w:val="00DB5AE0"/>
    <w:rsid w:val="00DB5B27"/>
    <w:rsid w:val="00DB5E9D"/>
    <w:rsid w:val="00DB5EC1"/>
    <w:rsid w:val="00DB6110"/>
    <w:rsid w:val="00DB61F4"/>
    <w:rsid w:val="00DB6387"/>
    <w:rsid w:val="00DB640F"/>
    <w:rsid w:val="00DB659D"/>
    <w:rsid w:val="00DB6656"/>
    <w:rsid w:val="00DB688E"/>
    <w:rsid w:val="00DB6AFC"/>
    <w:rsid w:val="00DB6B1E"/>
    <w:rsid w:val="00DB6B8C"/>
    <w:rsid w:val="00DB6E24"/>
    <w:rsid w:val="00DB6EBC"/>
    <w:rsid w:val="00DB71A1"/>
    <w:rsid w:val="00DB7317"/>
    <w:rsid w:val="00DB7489"/>
    <w:rsid w:val="00DB7501"/>
    <w:rsid w:val="00DB7541"/>
    <w:rsid w:val="00DB7701"/>
    <w:rsid w:val="00DB7740"/>
    <w:rsid w:val="00DB7799"/>
    <w:rsid w:val="00DB77AC"/>
    <w:rsid w:val="00DB79D4"/>
    <w:rsid w:val="00DB7AE0"/>
    <w:rsid w:val="00DB7BE9"/>
    <w:rsid w:val="00DB7D47"/>
    <w:rsid w:val="00DB7D49"/>
    <w:rsid w:val="00DB7E18"/>
    <w:rsid w:val="00DB7ED0"/>
    <w:rsid w:val="00DB7F73"/>
    <w:rsid w:val="00DB7FF3"/>
    <w:rsid w:val="00DC023C"/>
    <w:rsid w:val="00DC0368"/>
    <w:rsid w:val="00DC06B1"/>
    <w:rsid w:val="00DC0801"/>
    <w:rsid w:val="00DC0872"/>
    <w:rsid w:val="00DC087A"/>
    <w:rsid w:val="00DC0953"/>
    <w:rsid w:val="00DC0A09"/>
    <w:rsid w:val="00DC0B03"/>
    <w:rsid w:val="00DC0B08"/>
    <w:rsid w:val="00DC0E9B"/>
    <w:rsid w:val="00DC0EB8"/>
    <w:rsid w:val="00DC102B"/>
    <w:rsid w:val="00DC10C4"/>
    <w:rsid w:val="00DC1451"/>
    <w:rsid w:val="00DC147C"/>
    <w:rsid w:val="00DC164A"/>
    <w:rsid w:val="00DC16EC"/>
    <w:rsid w:val="00DC1768"/>
    <w:rsid w:val="00DC186A"/>
    <w:rsid w:val="00DC1BFA"/>
    <w:rsid w:val="00DC1C2A"/>
    <w:rsid w:val="00DC1C6D"/>
    <w:rsid w:val="00DC1E21"/>
    <w:rsid w:val="00DC2036"/>
    <w:rsid w:val="00DC20A6"/>
    <w:rsid w:val="00DC20D7"/>
    <w:rsid w:val="00DC21C2"/>
    <w:rsid w:val="00DC2201"/>
    <w:rsid w:val="00DC225A"/>
    <w:rsid w:val="00DC225E"/>
    <w:rsid w:val="00DC2349"/>
    <w:rsid w:val="00DC23BD"/>
    <w:rsid w:val="00DC23CF"/>
    <w:rsid w:val="00DC23F3"/>
    <w:rsid w:val="00DC27EA"/>
    <w:rsid w:val="00DC2872"/>
    <w:rsid w:val="00DC2AD4"/>
    <w:rsid w:val="00DC2BE5"/>
    <w:rsid w:val="00DC2C0B"/>
    <w:rsid w:val="00DC2CDB"/>
    <w:rsid w:val="00DC2D56"/>
    <w:rsid w:val="00DC2DDD"/>
    <w:rsid w:val="00DC2F5D"/>
    <w:rsid w:val="00DC30D3"/>
    <w:rsid w:val="00DC3290"/>
    <w:rsid w:val="00DC3419"/>
    <w:rsid w:val="00DC3478"/>
    <w:rsid w:val="00DC3777"/>
    <w:rsid w:val="00DC37CC"/>
    <w:rsid w:val="00DC37E9"/>
    <w:rsid w:val="00DC382D"/>
    <w:rsid w:val="00DC387F"/>
    <w:rsid w:val="00DC38CB"/>
    <w:rsid w:val="00DC38E7"/>
    <w:rsid w:val="00DC393D"/>
    <w:rsid w:val="00DC39F8"/>
    <w:rsid w:val="00DC3A21"/>
    <w:rsid w:val="00DC3A76"/>
    <w:rsid w:val="00DC3AD1"/>
    <w:rsid w:val="00DC3BBF"/>
    <w:rsid w:val="00DC3C8D"/>
    <w:rsid w:val="00DC3CA8"/>
    <w:rsid w:val="00DC3D0A"/>
    <w:rsid w:val="00DC3D9A"/>
    <w:rsid w:val="00DC3DC1"/>
    <w:rsid w:val="00DC3DEB"/>
    <w:rsid w:val="00DC3E8D"/>
    <w:rsid w:val="00DC3EA8"/>
    <w:rsid w:val="00DC3EE0"/>
    <w:rsid w:val="00DC3FA3"/>
    <w:rsid w:val="00DC3FFC"/>
    <w:rsid w:val="00DC40E4"/>
    <w:rsid w:val="00DC417D"/>
    <w:rsid w:val="00DC4207"/>
    <w:rsid w:val="00DC43BD"/>
    <w:rsid w:val="00DC4485"/>
    <w:rsid w:val="00DC4650"/>
    <w:rsid w:val="00DC4728"/>
    <w:rsid w:val="00DC476E"/>
    <w:rsid w:val="00DC49A9"/>
    <w:rsid w:val="00DC49E0"/>
    <w:rsid w:val="00DC4B4E"/>
    <w:rsid w:val="00DC4C0F"/>
    <w:rsid w:val="00DC4C8D"/>
    <w:rsid w:val="00DC4C99"/>
    <w:rsid w:val="00DC4DE8"/>
    <w:rsid w:val="00DC525B"/>
    <w:rsid w:val="00DC5400"/>
    <w:rsid w:val="00DC5527"/>
    <w:rsid w:val="00DC5562"/>
    <w:rsid w:val="00DC55DE"/>
    <w:rsid w:val="00DC5829"/>
    <w:rsid w:val="00DC58DB"/>
    <w:rsid w:val="00DC58F0"/>
    <w:rsid w:val="00DC5A2B"/>
    <w:rsid w:val="00DC5AB4"/>
    <w:rsid w:val="00DC5B50"/>
    <w:rsid w:val="00DC5BFD"/>
    <w:rsid w:val="00DC5C2E"/>
    <w:rsid w:val="00DC5F52"/>
    <w:rsid w:val="00DC5FA4"/>
    <w:rsid w:val="00DC608A"/>
    <w:rsid w:val="00DC6095"/>
    <w:rsid w:val="00DC60D5"/>
    <w:rsid w:val="00DC60E9"/>
    <w:rsid w:val="00DC619D"/>
    <w:rsid w:val="00DC61AF"/>
    <w:rsid w:val="00DC65B5"/>
    <w:rsid w:val="00DC6675"/>
    <w:rsid w:val="00DC66C9"/>
    <w:rsid w:val="00DC6784"/>
    <w:rsid w:val="00DC681E"/>
    <w:rsid w:val="00DC6986"/>
    <w:rsid w:val="00DC69C3"/>
    <w:rsid w:val="00DC6AE5"/>
    <w:rsid w:val="00DC6B45"/>
    <w:rsid w:val="00DC6B63"/>
    <w:rsid w:val="00DC6C50"/>
    <w:rsid w:val="00DC6CC1"/>
    <w:rsid w:val="00DC70FE"/>
    <w:rsid w:val="00DC71C8"/>
    <w:rsid w:val="00DC732E"/>
    <w:rsid w:val="00DC7382"/>
    <w:rsid w:val="00DC73FE"/>
    <w:rsid w:val="00DC7440"/>
    <w:rsid w:val="00DC7629"/>
    <w:rsid w:val="00DC78ED"/>
    <w:rsid w:val="00DC793D"/>
    <w:rsid w:val="00DC7C06"/>
    <w:rsid w:val="00DC7C40"/>
    <w:rsid w:val="00DC7C4A"/>
    <w:rsid w:val="00DC7C65"/>
    <w:rsid w:val="00DC7EDE"/>
    <w:rsid w:val="00DD0042"/>
    <w:rsid w:val="00DD0270"/>
    <w:rsid w:val="00DD027F"/>
    <w:rsid w:val="00DD0287"/>
    <w:rsid w:val="00DD02BE"/>
    <w:rsid w:val="00DD03DC"/>
    <w:rsid w:val="00DD0400"/>
    <w:rsid w:val="00DD0556"/>
    <w:rsid w:val="00DD0815"/>
    <w:rsid w:val="00DD0A6D"/>
    <w:rsid w:val="00DD0A70"/>
    <w:rsid w:val="00DD0D7F"/>
    <w:rsid w:val="00DD0DEE"/>
    <w:rsid w:val="00DD0EFC"/>
    <w:rsid w:val="00DD0F18"/>
    <w:rsid w:val="00DD11E0"/>
    <w:rsid w:val="00DD124E"/>
    <w:rsid w:val="00DD12D6"/>
    <w:rsid w:val="00DD1413"/>
    <w:rsid w:val="00DD14B8"/>
    <w:rsid w:val="00DD1547"/>
    <w:rsid w:val="00DD159E"/>
    <w:rsid w:val="00DD15EE"/>
    <w:rsid w:val="00DD16C5"/>
    <w:rsid w:val="00DD173B"/>
    <w:rsid w:val="00DD1921"/>
    <w:rsid w:val="00DD1953"/>
    <w:rsid w:val="00DD1A52"/>
    <w:rsid w:val="00DD1A6C"/>
    <w:rsid w:val="00DD1BE6"/>
    <w:rsid w:val="00DD1D26"/>
    <w:rsid w:val="00DD1E80"/>
    <w:rsid w:val="00DD2017"/>
    <w:rsid w:val="00DD23A7"/>
    <w:rsid w:val="00DD23DA"/>
    <w:rsid w:val="00DD248D"/>
    <w:rsid w:val="00DD24D3"/>
    <w:rsid w:val="00DD2569"/>
    <w:rsid w:val="00DD26D3"/>
    <w:rsid w:val="00DD2745"/>
    <w:rsid w:val="00DD288F"/>
    <w:rsid w:val="00DD2971"/>
    <w:rsid w:val="00DD2997"/>
    <w:rsid w:val="00DD29B0"/>
    <w:rsid w:val="00DD2A02"/>
    <w:rsid w:val="00DD2A95"/>
    <w:rsid w:val="00DD2A99"/>
    <w:rsid w:val="00DD2AD2"/>
    <w:rsid w:val="00DD2B0D"/>
    <w:rsid w:val="00DD2E20"/>
    <w:rsid w:val="00DD2F0C"/>
    <w:rsid w:val="00DD3036"/>
    <w:rsid w:val="00DD3060"/>
    <w:rsid w:val="00DD311D"/>
    <w:rsid w:val="00DD3326"/>
    <w:rsid w:val="00DD3404"/>
    <w:rsid w:val="00DD3442"/>
    <w:rsid w:val="00DD347B"/>
    <w:rsid w:val="00DD3684"/>
    <w:rsid w:val="00DD3744"/>
    <w:rsid w:val="00DD381A"/>
    <w:rsid w:val="00DD424F"/>
    <w:rsid w:val="00DD425F"/>
    <w:rsid w:val="00DD4287"/>
    <w:rsid w:val="00DD4316"/>
    <w:rsid w:val="00DD4386"/>
    <w:rsid w:val="00DD4394"/>
    <w:rsid w:val="00DD43AF"/>
    <w:rsid w:val="00DD441C"/>
    <w:rsid w:val="00DD44BB"/>
    <w:rsid w:val="00DD47B3"/>
    <w:rsid w:val="00DD4B7C"/>
    <w:rsid w:val="00DD4D83"/>
    <w:rsid w:val="00DD5027"/>
    <w:rsid w:val="00DD518F"/>
    <w:rsid w:val="00DD51F3"/>
    <w:rsid w:val="00DD52FF"/>
    <w:rsid w:val="00DD5308"/>
    <w:rsid w:val="00DD540F"/>
    <w:rsid w:val="00DD54F9"/>
    <w:rsid w:val="00DD5639"/>
    <w:rsid w:val="00DD5689"/>
    <w:rsid w:val="00DD56C0"/>
    <w:rsid w:val="00DD57B0"/>
    <w:rsid w:val="00DD5934"/>
    <w:rsid w:val="00DD5CC6"/>
    <w:rsid w:val="00DD5CF6"/>
    <w:rsid w:val="00DD5EBF"/>
    <w:rsid w:val="00DD6107"/>
    <w:rsid w:val="00DD614E"/>
    <w:rsid w:val="00DD6155"/>
    <w:rsid w:val="00DD64FC"/>
    <w:rsid w:val="00DD65B5"/>
    <w:rsid w:val="00DD6B36"/>
    <w:rsid w:val="00DD6C45"/>
    <w:rsid w:val="00DD6CD7"/>
    <w:rsid w:val="00DD6DDB"/>
    <w:rsid w:val="00DD6E53"/>
    <w:rsid w:val="00DD6E69"/>
    <w:rsid w:val="00DD6F2B"/>
    <w:rsid w:val="00DD6FAF"/>
    <w:rsid w:val="00DD70A6"/>
    <w:rsid w:val="00DD70DC"/>
    <w:rsid w:val="00DD7164"/>
    <w:rsid w:val="00DD79E2"/>
    <w:rsid w:val="00DD7CB1"/>
    <w:rsid w:val="00DD7DC8"/>
    <w:rsid w:val="00DD7DD8"/>
    <w:rsid w:val="00DD7E7C"/>
    <w:rsid w:val="00DD7ECB"/>
    <w:rsid w:val="00DD7EFC"/>
    <w:rsid w:val="00DE00AC"/>
    <w:rsid w:val="00DE03DF"/>
    <w:rsid w:val="00DE04D3"/>
    <w:rsid w:val="00DE0540"/>
    <w:rsid w:val="00DE055E"/>
    <w:rsid w:val="00DE0606"/>
    <w:rsid w:val="00DE07B0"/>
    <w:rsid w:val="00DE083D"/>
    <w:rsid w:val="00DE09D5"/>
    <w:rsid w:val="00DE0C0C"/>
    <w:rsid w:val="00DE0CE4"/>
    <w:rsid w:val="00DE0DC9"/>
    <w:rsid w:val="00DE0E66"/>
    <w:rsid w:val="00DE0E94"/>
    <w:rsid w:val="00DE0E99"/>
    <w:rsid w:val="00DE0EC5"/>
    <w:rsid w:val="00DE0F5B"/>
    <w:rsid w:val="00DE0FB3"/>
    <w:rsid w:val="00DE0FC1"/>
    <w:rsid w:val="00DE114E"/>
    <w:rsid w:val="00DE1326"/>
    <w:rsid w:val="00DE1387"/>
    <w:rsid w:val="00DE14E4"/>
    <w:rsid w:val="00DE1922"/>
    <w:rsid w:val="00DE19BD"/>
    <w:rsid w:val="00DE19C7"/>
    <w:rsid w:val="00DE1BFB"/>
    <w:rsid w:val="00DE1E03"/>
    <w:rsid w:val="00DE1EFC"/>
    <w:rsid w:val="00DE1FB9"/>
    <w:rsid w:val="00DE2064"/>
    <w:rsid w:val="00DE236D"/>
    <w:rsid w:val="00DE2374"/>
    <w:rsid w:val="00DE23C9"/>
    <w:rsid w:val="00DE2578"/>
    <w:rsid w:val="00DE27EC"/>
    <w:rsid w:val="00DE293B"/>
    <w:rsid w:val="00DE2972"/>
    <w:rsid w:val="00DE2988"/>
    <w:rsid w:val="00DE2B73"/>
    <w:rsid w:val="00DE2B84"/>
    <w:rsid w:val="00DE2C5A"/>
    <w:rsid w:val="00DE2DF3"/>
    <w:rsid w:val="00DE2F68"/>
    <w:rsid w:val="00DE3158"/>
    <w:rsid w:val="00DE3177"/>
    <w:rsid w:val="00DE31A0"/>
    <w:rsid w:val="00DE31FC"/>
    <w:rsid w:val="00DE332C"/>
    <w:rsid w:val="00DE3393"/>
    <w:rsid w:val="00DE3415"/>
    <w:rsid w:val="00DE343C"/>
    <w:rsid w:val="00DE363D"/>
    <w:rsid w:val="00DE367C"/>
    <w:rsid w:val="00DE36A3"/>
    <w:rsid w:val="00DE3811"/>
    <w:rsid w:val="00DE38C9"/>
    <w:rsid w:val="00DE39BD"/>
    <w:rsid w:val="00DE39E8"/>
    <w:rsid w:val="00DE3B02"/>
    <w:rsid w:val="00DE3B71"/>
    <w:rsid w:val="00DE3BC3"/>
    <w:rsid w:val="00DE3C02"/>
    <w:rsid w:val="00DE3D23"/>
    <w:rsid w:val="00DE3D2E"/>
    <w:rsid w:val="00DE3D45"/>
    <w:rsid w:val="00DE3DAD"/>
    <w:rsid w:val="00DE4037"/>
    <w:rsid w:val="00DE41D9"/>
    <w:rsid w:val="00DE4250"/>
    <w:rsid w:val="00DE425F"/>
    <w:rsid w:val="00DE4351"/>
    <w:rsid w:val="00DE444C"/>
    <w:rsid w:val="00DE4547"/>
    <w:rsid w:val="00DE46AE"/>
    <w:rsid w:val="00DE4A5F"/>
    <w:rsid w:val="00DE4A72"/>
    <w:rsid w:val="00DE4A9F"/>
    <w:rsid w:val="00DE4CC5"/>
    <w:rsid w:val="00DE4DBC"/>
    <w:rsid w:val="00DE4DF1"/>
    <w:rsid w:val="00DE4FE5"/>
    <w:rsid w:val="00DE500F"/>
    <w:rsid w:val="00DE503D"/>
    <w:rsid w:val="00DE50E1"/>
    <w:rsid w:val="00DE51A3"/>
    <w:rsid w:val="00DE51B7"/>
    <w:rsid w:val="00DE52CC"/>
    <w:rsid w:val="00DE5345"/>
    <w:rsid w:val="00DE5413"/>
    <w:rsid w:val="00DE55CB"/>
    <w:rsid w:val="00DE5A09"/>
    <w:rsid w:val="00DE5B75"/>
    <w:rsid w:val="00DE5CA5"/>
    <w:rsid w:val="00DE5D32"/>
    <w:rsid w:val="00DE5DFF"/>
    <w:rsid w:val="00DE5E41"/>
    <w:rsid w:val="00DE6002"/>
    <w:rsid w:val="00DE601C"/>
    <w:rsid w:val="00DE6113"/>
    <w:rsid w:val="00DE622F"/>
    <w:rsid w:val="00DE62DE"/>
    <w:rsid w:val="00DE632E"/>
    <w:rsid w:val="00DE63C8"/>
    <w:rsid w:val="00DE65AE"/>
    <w:rsid w:val="00DE67E6"/>
    <w:rsid w:val="00DE6B66"/>
    <w:rsid w:val="00DE6DE0"/>
    <w:rsid w:val="00DE6EFD"/>
    <w:rsid w:val="00DE7063"/>
    <w:rsid w:val="00DE7068"/>
    <w:rsid w:val="00DE7225"/>
    <w:rsid w:val="00DE730B"/>
    <w:rsid w:val="00DE73EC"/>
    <w:rsid w:val="00DE74E9"/>
    <w:rsid w:val="00DE74FD"/>
    <w:rsid w:val="00DE75F0"/>
    <w:rsid w:val="00DE7693"/>
    <w:rsid w:val="00DE7707"/>
    <w:rsid w:val="00DE7836"/>
    <w:rsid w:val="00DE7922"/>
    <w:rsid w:val="00DE7ADC"/>
    <w:rsid w:val="00DE7BB8"/>
    <w:rsid w:val="00DE7D4A"/>
    <w:rsid w:val="00DE7D8F"/>
    <w:rsid w:val="00DF005A"/>
    <w:rsid w:val="00DF0206"/>
    <w:rsid w:val="00DF0214"/>
    <w:rsid w:val="00DF03F1"/>
    <w:rsid w:val="00DF040C"/>
    <w:rsid w:val="00DF048B"/>
    <w:rsid w:val="00DF0538"/>
    <w:rsid w:val="00DF064C"/>
    <w:rsid w:val="00DF06D2"/>
    <w:rsid w:val="00DF086B"/>
    <w:rsid w:val="00DF09C6"/>
    <w:rsid w:val="00DF09F5"/>
    <w:rsid w:val="00DF0AD9"/>
    <w:rsid w:val="00DF0B68"/>
    <w:rsid w:val="00DF0B6D"/>
    <w:rsid w:val="00DF0D30"/>
    <w:rsid w:val="00DF0DC4"/>
    <w:rsid w:val="00DF0FE7"/>
    <w:rsid w:val="00DF1082"/>
    <w:rsid w:val="00DF12D2"/>
    <w:rsid w:val="00DF1356"/>
    <w:rsid w:val="00DF153B"/>
    <w:rsid w:val="00DF1635"/>
    <w:rsid w:val="00DF186F"/>
    <w:rsid w:val="00DF1A18"/>
    <w:rsid w:val="00DF1B1A"/>
    <w:rsid w:val="00DF1E9A"/>
    <w:rsid w:val="00DF1ECF"/>
    <w:rsid w:val="00DF208B"/>
    <w:rsid w:val="00DF20AC"/>
    <w:rsid w:val="00DF2164"/>
    <w:rsid w:val="00DF2233"/>
    <w:rsid w:val="00DF22A0"/>
    <w:rsid w:val="00DF24AF"/>
    <w:rsid w:val="00DF24B1"/>
    <w:rsid w:val="00DF2680"/>
    <w:rsid w:val="00DF2865"/>
    <w:rsid w:val="00DF295F"/>
    <w:rsid w:val="00DF299D"/>
    <w:rsid w:val="00DF2AEC"/>
    <w:rsid w:val="00DF2B7B"/>
    <w:rsid w:val="00DF2D38"/>
    <w:rsid w:val="00DF2D5F"/>
    <w:rsid w:val="00DF2DD6"/>
    <w:rsid w:val="00DF2F52"/>
    <w:rsid w:val="00DF31E0"/>
    <w:rsid w:val="00DF3221"/>
    <w:rsid w:val="00DF3232"/>
    <w:rsid w:val="00DF33F3"/>
    <w:rsid w:val="00DF345E"/>
    <w:rsid w:val="00DF3491"/>
    <w:rsid w:val="00DF3543"/>
    <w:rsid w:val="00DF372D"/>
    <w:rsid w:val="00DF3817"/>
    <w:rsid w:val="00DF385E"/>
    <w:rsid w:val="00DF3900"/>
    <w:rsid w:val="00DF397C"/>
    <w:rsid w:val="00DF39E2"/>
    <w:rsid w:val="00DF3B08"/>
    <w:rsid w:val="00DF3CDC"/>
    <w:rsid w:val="00DF40C2"/>
    <w:rsid w:val="00DF4127"/>
    <w:rsid w:val="00DF41B1"/>
    <w:rsid w:val="00DF4302"/>
    <w:rsid w:val="00DF4436"/>
    <w:rsid w:val="00DF4465"/>
    <w:rsid w:val="00DF45CF"/>
    <w:rsid w:val="00DF461F"/>
    <w:rsid w:val="00DF462C"/>
    <w:rsid w:val="00DF477D"/>
    <w:rsid w:val="00DF478A"/>
    <w:rsid w:val="00DF47AC"/>
    <w:rsid w:val="00DF4804"/>
    <w:rsid w:val="00DF48A8"/>
    <w:rsid w:val="00DF493F"/>
    <w:rsid w:val="00DF497D"/>
    <w:rsid w:val="00DF49AF"/>
    <w:rsid w:val="00DF4A21"/>
    <w:rsid w:val="00DF4BD7"/>
    <w:rsid w:val="00DF4C04"/>
    <w:rsid w:val="00DF4C3F"/>
    <w:rsid w:val="00DF4DF2"/>
    <w:rsid w:val="00DF4E9C"/>
    <w:rsid w:val="00DF4FB1"/>
    <w:rsid w:val="00DF5019"/>
    <w:rsid w:val="00DF52E3"/>
    <w:rsid w:val="00DF5324"/>
    <w:rsid w:val="00DF5435"/>
    <w:rsid w:val="00DF5458"/>
    <w:rsid w:val="00DF54CE"/>
    <w:rsid w:val="00DF5501"/>
    <w:rsid w:val="00DF55A6"/>
    <w:rsid w:val="00DF5609"/>
    <w:rsid w:val="00DF5652"/>
    <w:rsid w:val="00DF566E"/>
    <w:rsid w:val="00DF57FE"/>
    <w:rsid w:val="00DF5A3B"/>
    <w:rsid w:val="00DF5A77"/>
    <w:rsid w:val="00DF5BF4"/>
    <w:rsid w:val="00DF5C07"/>
    <w:rsid w:val="00DF5DC1"/>
    <w:rsid w:val="00DF5F2B"/>
    <w:rsid w:val="00DF5FC1"/>
    <w:rsid w:val="00DF6071"/>
    <w:rsid w:val="00DF6132"/>
    <w:rsid w:val="00DF6275"/>
    <w:rsid w:val="00DF628A"/>
    <w:rsid w:val="00DF6297"/>
    <w:rsid w:val="00DF6300"/>
    <w:rsid w:val="00DF6304"/>
    <w:rsid w:val="00DF641D"/>
    <w:rsid w:val="00DF6540"/>
    <w:rsid w:val="00DF6625"/>
    <w:rsid w:val="00DF6885"/>
    <w:rsid w:val="00DF6980"/>
    <w:rsid w:val="00DF69C6"/>
    <w:rsid w:val="00DF6B15"/>
    <w:rsid w:val="00DF6BBB"/>
    <w:rsid w:val="00DF6CBF"/>
    <w:rsid w:val="00DF6E0E"/>
    <w:rsid w:val="00DF6EE2"/>
    <w:rsid w:val="00DF7019"/>
    <w:rsid w:val="00DF7024"/>
    <w:rsid w:val="00DF71B5"/>
    <w:rsid w:val="00DF7397"/>
    <w:rsid w:val="00DF744E"/>
    <w:rsid w:val="00DF753E"/>
    <w:rsid w:val="00DF75B8"/>
    <w:rsid w:val="00DF77EF"/>
    <w:rsid w:val="00DF7886"/>
    <w:rsid w:val="00DF78A7"/>
    <w:rsid w:val="00DF799D"/>
    <w:rsid w:val="00DF7BBE"/>
    <w:rsid w:val="00DF7CD1"/>
    <w:rsid w:val="00DF7D72"/>
    <w:rsid w:val="00DF7E30"/>
    <w:rsid w:val="00DF7E47"/>
    <w:rsid w:val="00DF7FDC"/>
    <w:rsid w:val="00E00038"/>
    <w:rsid w:val="00E001E0"/>
    <w:rsid w:val="00E00247"/>
    <w:rsid w:val="00E0038F"/>
    <w:rsid w:val="00E004AB"/>
    <w:rsid w:val="00E004F9"/>
    <w:rsid w:val="00E00545"/>
    <w:rsid w:val="00E00700"/>
    <w:rsid w:val="00E00895"/>
    <w:rsid w:val="00E00DCF"/>
    <w:rsid w:val="00E00E06"/>
    <w:rsid w:val="00E00F25"/>
    <w:rsid w:val="00E010ED"/>
    <w:rsid w:val="00E01244"/>
    <w:rsid w:val="00E01266"/>
    <w:rsid w:val="00E01277"/>
    <w:rsid w:val="00E012D7"/>
    <w:rsid w:val="00E0131D"/>
    <w:rsid w:val="00E0150B"/>
    <w:rsid w:val="00E01560"/>
    <w:rsid w:val="00E015E1"/>
    <w:rsid w:val="00E016DA"/>
    <w:rsid w:val="00E0170C"/>
    <w:rsid w:val="00E01775"/>
    <w:rsid w:val="00E017EF"/>
    <w:rsid w:val="00E018AD"/>
    <w:rsid w:val="00E01989"/>
    <w:rsid w:val="00E01A28"/>
    <w:rsid w:val="00E01A46"/>
    <w:rsid w:val="00E01ADB"/>
    <w:rsid w:val="00E01B3E"/>
    <w:rsid w:val="00E01B6A"/>
    <w:rsid w:val="00E01C75"/>
    <w:rsid w:val="00E01C94"/>
    <w:rsid w:val="00E01EED"/>
    <w:rsid w:val="00E020AD"/>
    <w:rsid w:val="00E020D0"/>
    <w:rsid w:val="00E0225A"/>
    <w:rsid w:val="00E022BA"/>
    <w:rsid w:val="00E02360"/>
    <w:rsid w:val="00E02371"/>
    <w:rsid w:val="00E023E9"/>
    <w:rsid w:val="00E025D4"/>
    <w:rsid w:val="00E02763"/>
    <w:rsid w:val="00E027AC"/>
    <w:rsid w:val="00E0283E"/>
    <w:rsid w:val="00E02B26"/>
    <w:rsid w:val="00E02B8B"/>
    <w:rsid w:val="00E02C19"/>
    <w:rsid w:val="00E02C46"/>
    <w:rsid w:val="00E02D0C"/>
    <w:rsid w:val="00E02DBD"/>
    <w:rsid w:val="00E02DC5"/>
    <w:rsid w:val="00E02EEB"/>
    <w:rsid w:val="00E02F10"/>
    <w:rsid w:val="00E030B7"/>
    <w:rsid w:val="00E032B2"/>
    <w:rsid w:val="00E033A7"/>
    <w:rsid w:val="00E035AC"/>
    <w:rsid w:val="00E03701"/>
    <w:rsid w:val="00E03902"/>
    <w:rsid w:val="00E039A3"/>
    <w:rsid w:val="00E03A4C"/>
    <w:rsid w:val="00E03AE3"/>
    <w:rsid w:val="00E03D52"/>
    <w:rsid w:val="00E03DAE"/>
    <w:rsid w:val="00E03E64"/>
    <w:rsid w:val="00E03EE2"/>
    <w:rsid w:val="00E03EF7"/>
    <w:rsid w:val="00E04008"/>
    <w:rsid w:val="00E0402D"/>
    <w:rsid w:val="00E0402F"/>
    <w:rsid w:val="00E040E2"/>
    <w:rsid w:val="00E04204"/>
    <w:rsid w:val="00E04238"/>
    <w:rsid w:val="00E042A9"/>
    <w:rsid w:val="00E04445"/>
    <w:rsid w:val="00E044FC"/>
    <w:rsid w:val="00E045F3"/>
    <w:rsid w:val="00E046FE"/>
    <w:rsid w:val="00E04845"/>
    <w:rsid w:val="00E048D6"/>
    <w:rsid w:val="00E04924"/>
    <w:rsid w:val="00E04A9E"/>
    <w:rsid w:val="00E04D8C"/>
    <w:rsid w:val="00E04DB7"/>
    <w:rsid w:val="00E04E93"/>
    <w:rsid w:val="00E05093"/>
    <w:rsid w:val="00E050EA"/>
    <w:rsid w:val="00E0512A"/>
    <w:rsid w:val="00E052CF"/>
    <w:rsid w:val="00E053DF"/>
    <w:rsid w:val="00E053FB"/>
    <w:rsid w:val="00E054F3"/>
    <w:rsid w:val="00E05547"/>
    <w:rsid w:val="00E055B4"/>
    <w:rsid w:val="00E05676"/>
    <w:rsid w:val="00E057BC"/>
    <w:rsid w:val="00E05948"/>
    <w:rsid w:val="00E05AB0"/>
    <w:rsid w:val="00E05AD9"/>
    <w:rsid w:val="00E05DBD"/>
    <w:rsid w:val="00E05EC3"/>
    <w:rsid w:val="00E05F84"/>
    <w:rsid w:val="00E06316"/>
    <w:rsid w:val="00E06418"/>
    <w:rsid w:val="00E065B7"/>
    <w:rsid w:val="00E06660"/>
    <w:rsid w:val="00E066AE"/>
    <w:rsid w:val="00E067C6"/>
    <w:rsid w:val="00E0685E"/>
    <w:rsid w:val="00E068FA"/>
    <w:rsid w:val="00E06B1A"/>
    <w:rsid w:val="00E06C42"/>
    <w:rsid w:val="00E06C4E"/>
    <w:rsid w:val="00E06D1F"/>
    <w:rsid w:val="00E06EC1"/>
    <w:rsid w:val="00E06FAE"/>
    <w:rsid w:val="00E07011"/>
    <w:rsid w:val="00E0723F"/>
    <w:rsid w:val="00E072BB"/>
    <w:rsid w:val="00E07300"/>
    <w:rsid w:val="00E07416"/>
    <w:rsid w:val="00E07421"/>
    <w:rsid w:val="00E0757C"/>
    <w:rsid w:val="00E075BC"/>
    <w:rsid w:val="00E07636"/>
    <w:rsid w:val="00E07805"/>
    <w:rsid w:val="00E0781E"/>
    <w:rsid w:val="00E07886"/>
    <w:rsid w:val="00E078CD"/>
    <w:rsid w:val="00E0797E"/>
    <w:rsid w:val="00E07A67"/>
    <w:rsid w:val="00E07AD4"/>
    <w:rsid w:val="00E07AE3"/>
    <w:rsid w:val="00E07CDC"/>
    <w:rsid w:val="00E07FCF"/>
    <w:rsid w:val="00E101B4"/>
    <w:rsid w:val="00E101FB"/>
    <w:rsid w:val="00E10272"/>
    <w:rsid w:val="00E103FB"/>
    <w:rsid w:val="00E10525"/>
    <w:rsid w:val="00E106EE"/>
    <w:rsid w:val="00E107C1"/>
    <w:rsid w:val="00E10850"/>
    <w:rsid w:val="00E10873"/>
    <w:rsid w:val="00E109A3"/>
    <w:rsid w:val="00E10A07"/>
    <w:rsid w:val="00E10A34"/>
    <w:rsid w:val="00E10C74"/>
    <w:rsid w:val="00E10C92"/>
    <w:rsid w:val="00E10D7E"/>
    <w:rsid w:val="00E110F6"/>
    <w:rsid w:val="00E111CF"/>
    <w:rsid w:val="00E112F9"/>
    <w:rsid w:val="00E11593"/>
    <w:rsid w:val="00E11603"/>
    <w:rsid w:val="00E1199B"/>
    <w:rsid w:val="00E119EA"/>
    <w:rsid w:val="00E11A58"/>
    <w:rsid w:val="00E11AC9"/>
    <w:rsid w:val="00E11B26"/>
    <w:rsid w:val="00E11BD3"/>
    <w:rsid w:val="00E11C0A"/>
    <w:rsid w:val="00E11E3F"/>
    <w:rsid w:val="00E11E5E"/>
    <w:rsid w:val="00E11EC1"/>
    <w:rsid w:val="00E12144"/>
    <w:rsid w:val="00E12229"/>
    <w:rsid w:val="00E12230"/>
    <w:rsid w:val="00E12260"/>
    <w:rsid w:val="00E1231F"/>
    <w:rsid w:val="00E12374"/>
    <w:rsid w:val="00E12440"/>
    <w:rsid w:val="00E124A9"/>
    <w:rsid w:val="00E1258B"/>
    <w:rsid w:val="00E127A2"/>
    <w:rsid w:val="00E1290E"/>
    <w:rsid w:val="00E12A19"/>
    <w:rsid w:val="00E12A6A"/>
    <w:rsid w:val="00E12B80"/>
    <w:rsid w:val="00E12C64"/>
    <w:rsid w:val="00E12CFA"/>
    <w:rsid w:val="00E12D43"/>
    <w:rsid w:val="00E12E52"/>
    <w:rsid w:val="00E1303A"/>
    <w:rsid w:val="00E13659"/>
    <w:rsid w:val="00E13A5E"/>
    <w:rsid w:val="00E13AAF"/>
    <w:rsid w:val="00E13B03"/>
    <w:rsid w:val="00E13B35"/>
    <w:rsid w:val="00E13B4D"/>
    <w:rsid w:val="00E13B86"/>
    <w:rsid w:val="00E13BA6"/>
    <w:rsid w:val="00E13BCC"/>
    <w:rsid w:val="00E13CAF"/>
    <w:rsid w:val="00E13CF1"/>
    <w:rsid w:val="00E13E02"/>
    <w:rsid w:val="00E13E36"/>
    <w:rsid w:val="00E13F21"/>
    <w:rsid w:val="00E13F81"/>
    <w:rsid w:val="00E140BF"/>
    <w:rsid w:val="00E14105"/>
    <w:rsid w:val="00E14154"/>
    <w:rsid w:val="00E14484"/>
    <w:rsid w:val="00E14646"/>
    <w:rsid w:val="00E146DA"/>
    <w:rsid w:val="00E147D4"/>
    <w:rsid w:val="00E14974"/>
    <w:rsid w:val="00E14AA0"/>
    <w:rsid w:val="00E14C13"/>
    <w:rsid w:val="00E14CAD"/>
    <w:rsid w:val="00E14CF0"/>
    <w:rsid w:val="00E14DE3"/>
    <w:rsid w:val="00E14F7E"/>
    <w:rsid w:val="00E14FBA"/>
    <w:rsid w:val="00E15064"/>
    <w:rsid w:val="00E150C2"/>
    <w:rsid w:val="00E15143"/>
    <w:rsid w:val="00E151CA"/>
    <w:rsid w:val="00E153DA"/>
    <w:rsid w:val="00E15435"/>
    <w:rsid w:val="00E15586"/>
    <w:rsid w:val="00E155E6"/>
    <w:rsid w:val="00E156B5"/>
    <w:rsid w:val="00E157BF"/>
    <w:rsid w:val="00E15AB2"/>
    <w:rsid w:val="00E15B05"/>
    <w:rsid w:val="00E15CD5"/>
    <w:rsid w:val="00E15D7F"/>
    <w:rsid w:val="00E15EC7"/>
    <w:rsid w:val="00E15FA5"/>
    <w:rsid w:val="00E16218"/>
    <w:rsid w:val="00E1629C"/>
    <w:rsid w:val="00E16451"/>
    <w:rsid w:val="00E164CC"/>
    <w:rsid w:val="00E165E9"/>
    <w:rsid w:val="00E16652"/>
    <w:rsid w:val="00E1672B"/>
    <w:rsid w:val="00E16784"/>
    <w:rsid w:val="00E16B52"/>
    <w:rsid w:val="00E16BEE"/>
    <w:rsid w:val="00E16CB4"/>
    <w:rsid w:val="00E16D16"/>
    <w:rsid w:val="00E16D66"/>
    <w:rsid w:val="00E16D93"/>
    <w:rsid w:val="00E16DDE"/>
    <w:rsid w:val="00E16E2B"/>
    <w:rsid w:val="00E16ED0"/>
    <w:rsid w:val="00E17126"/>
    <w:rsid w:val="00E17142"/>
    <w:rsid w:val="00E173A5"/>
    <w:rsid w:val="00E17431"/>
    <w:rsid w:val="00E1747B"/>
    <w:rsid w:val="00E17491"/>
    <w:rsid w:val="00E17537"/>
    <w:rsid w:val="00E1773F"/>
    <w:rsid w:val="00E1774E"/>
    <w:rsid w:val="00E1792A"/>
    <w:rsid w:val="00E17B93"/>
    <w:rsid w:val="00E17D29"/>
    <w:rsid w:val="00E17D8E"/>
    <w:rsid w:val="00E17DC5"/>
    <w:rsid w:val="00E17ECE"/>
    <w:rsid w:val="00E17F5D"/>
    <w:rsid w:val="00E2011C"/>
    <w:rsid w:val="00E20166"/>
    <w:rsid w:val="00E20169"/>
    <w:rsid w:val="00E201A3"/>
    <w:rsid w:val="00E204AD"/>
    <w:rsid w:val="00E2050D"/>
    <w:rsid w:val="00E20559"/>
    <w:rsid w:val="00E2055D"/>
    <w:rsid w:val="00E2065B"/>
    <w:rsid w:val="00E20662"/>
    <w:rsid w:val="00E206E8"/>
    <w:rsid w:val="00E20702"/>
    <w:rsid w:val="00E20722"/>
    <w:rsid w:val="00E2078E"/>
    <w:rsid w:val="00E207ED"/>
    <w:rsid w:val="00E20934"/>
    <w:rsid w:val="00E20944"/>
    <w:rsid w:val="00E209A6"/>
    <w:rsid w:val="00E20AF0"/>
    <w:rsid w:val="00E20D2C"/>
    <w:rsid w:val="00E210C2"/>
    <w:rsid w:val="00E2122A"/>
    <w:rsid w:val="00E21433"/>
    <w:rsid w:val="00E21467"/>
    <w:rsid w:val="00E214B2"/>
    <w:rsid w:val="00E2153C"/>
    <w:rsid w:val="00E215DE"/>
    <w:rsid w:val="00E21611"/>
    <w:rsid w:val="00E2161B"/>
    <w:rsid w:val="00E2173E"/>
    <w:rsid w:val="00E21E5B"/>
    <w:rsid w:val="00E21F4F"/>
    <w:rsid w:val="00E22010"/>
    <w:rsid w:val="00E22068"/>
    <w:rsid w:val="00E22086"/>
    <w:rsid w:val="00E220AA"/>
    <w:rsid w:val="00E22160"/>
    <w:rsid w:val="00E22424"/>
    <w:rsid w:val="00E22511"/>
    <w:rsid w:val="00E2278F"/>
    <w:rsid w:val="00E22943"/>
    <w:rsid w:val="00E229B7"/>
    <w:rsid w:val="00E229D2"/>
    <w:rsid w:val="00E22ADB"/>
    <w:rsid w:val="00E22B1D"/>
    <w:rsid w:val="00E22C0B"/>
    <w:rsid w:val="00E22C30"/>
    <w:rsid w:val="00E22D3F"/>
    <w:rsid w:val="00E22D70"/>
    <w:rsid w:val="00E22DD0"/>
    <w:rsid w:val="00E22EF5"/>
    <w:rsid w:val="00E22F7A"/>
    <w:rsid w:val="00E22FAE"/>
    <w:rsid w:val="00E23168"/>
    <w:rsid w:val="00E23170"/>
    <w:rsid w:val="00E23180"/>
    <w:rsid w:val="00E2319E"/>
    <w:rsid w:val="00E233B9"/>
    <w:rsid w:val="00E23510"/>
    <w:rsid w:val="00E2352F"/>
    <w:rsid w:val="00E23670"/>
    <w:rsid w:val="00E23770"/>
    <w:rsid w:val="00E237F1"/>
    <w:rsid w:val="00E238AB"/>
    <w:rsid w:val="00E23A95"/>
    <w:rsid w:val="00E23B61"/>
    <w:rsid w:val="00E23FE4"/>
    <w:rsid w:val="00E2401A"/>
    <w:rsid w:val="00E2414D"/>
    <w:rsid w:val="00E241BB"/>
    <w:rsid w:val="00E2420E"/>
    <w:rsid w:val="00E24240"/>
    <w:rsid w:val="00E24667"/>
    <w:rsid w:val="00E2471E"/>
    <w:rsid w:val="00E247D6"/>
    <w:rsid w:val="00E24857"/>
    <w:rsid w:val="00E24A51"/>
    <w:rsid w:val="00E24AFF"/>
    <w:rsid w:val="00E24D89"/>
    <w:rsid w:val="00E24F2E"/>
    <w:rsid w:val="00E25138"/>
    <w:rsid w:val="00E2521F"/>
    <w:rsid w:val="00E25228"/>
    <w:rsid w:val="00E25244"/>
    <w:rsid w:val="00E25249"/>
    <w:rsid w:val="00E2524A"/>
    <w:rsid w:val="00E25314"/>
    <w:rsid w:val="00E2545A"/>
    <w:rsid w:val="00E254F2"/>
    <w:rsid w:val="00E255A4"/>
    <w:rsid w:val="00E256D1"/>
    <w:rsid w:val="00E257F7"/>
    <w:rsid w:val="00E25992"/>
    <w:rsid w:val="00E259B1"/>
    <w:rsid w:val="00E259BA"/>
    <w:rsid w:val="00E259D9"/>
    <w:rsid w:val="00E25BEA"/>
    <w:rsid w:val="00E25DA8"/>
    <w:rsid w:val="00E25E23"/>
    <w:rsid w:val="00E25EA9"/>
    <w:rsid w:val="00E25F64"/>
    <w:rsid w:val="00E26023"/>
    <w:rsid w:val="00E2609B"/>
    <w:rsid w:val="00E2618E"/>
    <w:rsid w:val="00E26274"/>
    <w:rsid w:val="00E262D7"/>
    <w:rsid w:val="00E2644A"/>
    <w:rsid w:val="00E26470"/>
    <w:rsid w:val="00E26682"/>
    <w:rsid w:val="00E267EC"/>
    <w:rsid w:val="00E2688B"/>
    <w:rsid w:val="00E268BA"/>
    <w:rsid w:val="00E269B1"/>
    <w:rsid w:val="00E26C3D"/>
    <w:rsid w:val="00E26C85"/>
    <w:rsid w:val="00E26CAF"/>
    <w:rsid w:val="00E26DA9"/>
    <w:rsid w:val="00E26DAA"/>
    <w:rsid w:val="00E26E1A"/>
    <w:rsid w:val="00E26F2C"/>
    <w:rsid w:val="00E26F58"/>
    <w:rsid w:val="00E27188"/>
    <w:rsid w:val="00E272C2"/>
    <w:rsid w:val="00E27389"/>
    <w:rsid w:val="00E27622"/>
    <w:rsid w:val="00E276B9"/>
    <w:rsid w:val="00E279F5"/>
    <w:rsid w:val="00E27C40"/>
    <w:rsid w:val="00E27CB7"/>
    <w:rsid w:val="00E27CC2"/>
    <w:rsid w:val="00E27DFA"/>
    <w:rsid w:val="00E27F12"/>
    <w:rsid w:val="00E27FF3"/>
    <w:rsid w:val="00E30004"/>
    <w:rsid w:val="00E30071"/>
    <w:rsid w:val="00E300D0"/>
    <w:rsid w:val="00E302A0"/>
    <w:rsid w:val="00E30484"/>
    <w:rsid w:val="00E304C9"/>
    <w:rsid w:val="00E305CC"/>
    <w:rsid w:val="00E30681"/>
    <w:rsid w:val="00E30743"/>
    <w:rsid w:val="00E30774"/>
    <w:rsid w:val="00E30933"/>
    <w:rsid w:val="00E30942"/>
    <w:rsid w:val="00E30AD2"/>
    <w:rsid w:val="00E30B7D"/>
    <w:rsid w:val="00E30B83"/>
    <w:rsid w:val="00E30C43"/>
    <w:rsid w:val="00E310CF"/>
    <w:rsid w:val="00E3130C"/>
    <w:rsid w:val="00E31329"/>
    <w:rsid w:val="00E3135F"/>
    <w:rsid w:val="00E31389"/>
    <w:rsid w:val="00E31471"/>
    <w:rsid w:val="00E314A3"/>
    <w:rsid w:val="00E314DA"/>
    <w:rsid w:val="00E31723"/>
    <w:rsid w:val="00E3176D"/>
    <w:rsid w:val="00E318B5"/>
    <w:rsid w:val="00E31914"/>
    <w:rsid w:val="00E319A7"/>
    <w:rsid w:val="00E31A72"/>
    <w:rsid w:val="00E31BB0"/>
    <w:rsid w:val="00E31BF9"/>
    <w:rsid w:val="00E31D2B"/>
    <w:rsid w:val="00E31D2E"/>
    <w:rsid w:val="00E31DA9"/>
    <w:rsid w:val="00E31E09"/>
    <w:rsid w:val="00E32032"/>
    <w:rsid w:val="00E322BF"/>
    <w:rsid w:val="00E32307"/>
    <w:rsid w:val="00E32397"/>
    <w:rsid w:val="00E32441"/>
    <w:rsid w:val="00E32745"/>
    <w:rsid w:val="00E32749"/>
    <w:rsid w:val="00E32770"/>
    <w:rsid w:val="00E328FA"/>
    <w:rsid w:val="00E32A9F"/>
    <w:rsid w:val="00E32DC5"/>
    <w:rsid w:val="00E32E1A"/>
    <w:rsid w:val="00E32E32"/>
    <w:rsid w:val="00E32E87"/>
    <w:rsid w:val="00E32F7B"/>
    <w:rsid w:val="00E3304F"/>
    <w:rsid w:val="00E33132"/>
    <w:rsid w:val="00E332E7"/>
    <w:rsid w:val="00E333FF"/>
    <w:rsid w:val="00E3345C"/>
    <w:rsid w:val="00E336C6"/>
    <w:rsid w:val="00E33782"/>
    <w:rsid w:val="00E33AE0"/>
    <w:rsid w:val="00E33C60"/>
    <w:rsid w:val="00E33C90"/>
    <w:rsid w:val="00E33E1E"/>
    <w:rsid w:val="00E34146"/>
    <w:rsid w:val="00E34261"/>
    <w:rsid w:val="00E34471"/>
    <w:rsid w:val="00E344B2"/>
    <w:rsid w:val="00E3459F"/>
    <w:rsid w:val="00E34645"/>
    <w:rsid w:val="00E34672"/>
    <w:rsid w:val="00E346FB"/>
    <w:rsid w:val="00E3472E"/>
    <w:rsid w:val="00E347D9"/>
    <w:rsid w:val="00E348E7"/>
    <w:rsid w:val="00E34BAC"/>
    <w:rsid w:val="00E34CEC"/>
    <w:rsid w:val="00E34E03"/>
    <w:rsid w:val="00E34E51"/>
    <w:rsid w:val="00E34ECC"/>
    <w:rsid w:val="00E34F5B"/>
    <w:rsid w:val="00E35087"/>
    <w:rsid w:val="00E350AA"/>
    <w:rsid w:val="00E351FE"/>
    <w:rsid w:val="00E3540E"/>
    <w:rsid w:val="00E354E6"/>
    <w:rsid w:val="00E3565B"/>
    <w:rsid w:val="00E358DD"/>
    <w:rsid w:val="00E3590B"/>
    <w:rsid w:val="00E35963"/>
    <w:rsid w:val="00E35C2F"/>
    <w:rsid w:val="00E35C75"/>
    <w:rsid w:val="00E35DD8"/>
    <w:rsid w:val="00E35E14"/>
    <w:rsid w:val="00E35E70"/>
    <w:rsid w:val="00E35F2C"/>
    <w:rsid w:val="00E3621B"/>
    <w:rsid w:val="00E3628B"/>
    <w:rsid w:val="00E363AA"/>
    <w:rsid w:val="00E365D9"/>
    <w:rsid w:val="00E365F4"/>
    <w:rsid w:val="00E36618"/>
    <w:rsid w:val="00E3693C"/>
    <w:rsid w:val="00E36A48"/>
    <w:rsid w:val="00E36A82"/>
    <w:rsid w:val="00E36A98"/>
    <w:rsid w:val="00E36CD6"/>
    <w:rsid w:val="00E36E7C"/>
    <w:rsid w:val="00E36EB8"/>
    <w:rsid w:val="00E36EE1"/>
    <w:rsid w:val="00E36F2F"/>
    <w:rsid w:val="00E37095"/>
    <w:rsid w:val="00E37136"/>
    <w:rsid w:val="00E37240"/>
    <w:rsid w:val="00E37396"/>
    <w:rsid w:val="00E37433"/>
    <w:rsid w:val="00E37451"/>
    <w:rsid w:val="00E37570"/>
    <w:rsid w:val="00E37662"/>
    <w:rsid w:val="00E377DA"/>
    <w:rsid w:val="00E377FB"/>
    <w:rsid w:val="00E3782B"/>
    <w:rsid w:val="00E378A5"/>
    <w:rsid w:val="00E378B8"/>
    <w:rsid w:val="00E378E7"/>
    <w:rsid w:val="00E37994"/>
    <w:rsid w:val="00E37B4A"/>
    <w:rsid w:val="00E37B91"/>
    <w:rsid w:val="00E37D29"/>
    <w:rsid w:val="00E37D6A"/>
    <w:rsid w:val="00E37E4D"/>
    <w:rsid w:val="00E37F19"/>
    <w:rsid w:val="00E4022D"/>
    <w:rsid w:val="00E4022F"/>
    <w:rsid w:val="00E4044B"/>
    <w:rsid w:val="00E4047B"/>
    <w:rsid w:val="00E408ED"/>
    <w:rsid w:val="00E40A2A"/>
    <w:rsid w:val="00E40A79"/>
    <w:rsid w:val="00E40B70"/>
    <w:rsid w:val="00E40D56"/>
    <w:rsid w:val="00E40DCA"/>
    <w:rsid w:val="00E40DE3"/>
    <w:rsid w:val="00E40E61"/>
    <w:rsid w:val="00E40EE6"/>
    <w:rsid w:val="00E40F82"/>
    <w:rsid w:val="00E41081"/>
    <w:rsid w:val="00E412EF"/>
    <w:rsid w:val="00E41338"/>
    <w:rsid w:val="00E4145F"/>
    <w:rsid w:val="00E4172E"/>
    <w:rsid w:val="00E41931"/>
    <w:rsid w:val="00E41980"/>
    <w:rsid w:val="00E4199C"/>
    <w:rsid w:val="00E41A93"/>
    <w:rsid w:val="00E42282"/>
    <w:rsid w:val="00E4233B"/>
    <w:rsid w:val="00E4233C"/>
    <w:rsid w:val="00E42391"/>
    <w:rsid w:val="00E4239F"/>
    <w:rsid w:val="00E423D0"/>
    <w:rsid w:val="00E4240B"/>
    <w:rsid w:val="00E42428"/>
    <w:rsid w:val="00E42435"/>
    <w:rsid w:val="00E42573"/>
    <w:rsid w:val="00E426DA"/>
    <w:rsid w:val="00E4281F"/>
    <w:rsid w:val="00E428F0"/>
    <w:rsid w:val="00E429EB"/>
    <w:rsid w:val="00E42AF6"/>
    <w:rsid w:val="00E42B9C"/>
    <w:rsid w:val="00E42CAF"/>
    <w:rsid w:val="00E42CDD"/>
    <w:rsid w:val="00E42D3F"/>
    <w:rsid w:val="00E42EDE"/>
    <w:rsid w:val="00E42F4B"/>
    <w:rsid w:val="00E42FD3"/>
    <w:rsid w:val="00E43060"/>
    <w:rsid w:val="00E43073"/>
    <w:rsid w:val="00E43188"/>
    <w:rsid w:val="00E43288"/>
    <w:rsid w:val="00E432A8"/>
    <w:rsid w:val="00E432AA"/>
    <w:rsid w:val="00E43308"/>
    <w:rsid w:val="00E43475"/>
    <w:rsid w:val="00E43576"/>
    <w:rsid w:val="00E436D8"/>
    <w:rsid w:val="00E43711"/>
    <w:rsid w:val="00E43894"/>
    <w:rsid w:val="00E43964"/>
    <w:rsid w:val="00E43D2D"/>
    <w:rsid w:val="00E43DB7"/>
    <w:rsid w:val="00E43F40"/>
    <w:rsid w:val="00E4406E"/>
    <w:rsid w:val="00E4422A"/>
    <w:rsid w:val="00E442C6"/>
    <w:rsid w:val="00E442EA"/>
    <w:rsid w:val="00E443FE"/>
    <w:rsid w:val="00E44680"/>
    <w:rsid w:val="00E447F5"/>
    <w:rsid w:val="00E448F0"/>
    <w:rsid w:val="00E448FB"/>
    <w:rsid w:val="00E44920"/>
    <w:rsid w:val="00E44993"/>
    <w:rsid w:val="00E44A26"/>
    <w:rsid w:val="00E44B43"/>
    <w:rsid w:val="00E44C27"/>
    <w:rsid w:val="00E44CE3"/>
    <w:rsid w:val="00E44D9C"/>
    <w:rsid w:val="00E450A0"/>
    <w:rsid w:val="00E450F2"/>
    <w:rsid w:val="00E45261"/>
    <w:rsid w:val="00E452C1"/>
    <w:rsid w:val="00E452C3"/>
    <w:rsid w:val="00E4542A"/>
    <w:rsid w:val="00E45470"/>
    <w:rsid w:val="00E456EF"/>
    <w:rsid w:val="00E45838"/>
    <w:rsid w:val="00E458CA"/>
    <w:rsid w:val="00E45A0D"/>
    <w:rsid w:val="00E45A15"/>
    <w:rsid w:val="00E45A24"/>
    <w:rsid w:val="00E45B31"/>
    <w:rsid w:val="00E45C97"/>
    <w:rsid w:val="00E45CA9"/>
    <w:rsid w:val="00E45F20"/>
    <w:rsid w:val="00E45F52"/>
    <w:rsid w:val="00E46007"/>
    <w:rsid w:val="00E4622B"/>
    <w:rsid w:val="00E46268"/>
    <w:rsid w:val="00E462D3"/>
    <w:rsid w:val="00E46317"/>
    <w:rsid w:val="00E46396"/>
    <w:rsid w:val="00E463BA"/>
    <w:rsid w:val="00E46644"/>
    <w:rsid w:val="00E467B4"/>
    <w:rsid w:val="00E46970"/>
    <w:rsid w:val="00E46C4E"/>
    <w:rsid w:val="00E46CED"/>
    <w:rsid w:val="00E46D26"/>
    <w:rsid w:val="00E46D56"/>
    <w:rsid w:val="00E46DD8"/>
    <w:rsid w:val="00E46E9A"/>
    <w:rsid w:val="00E46F7E"/>
    <w:rsid w:val="00E470E9"/>
    <w:rsid w:val="00E471C2"/>
    <w:rsid w:val="00E471FC"/>
    <w:rsid w:val="00E474B0"/>
    <w:rsid w:val="00E474BB"/>
    <w:rsid w:val="00E4750C"/>
    <w:rsid w:val="00E476D5"/>
    <w:rsid w:val="00E47709"/>
    <w:rsid w:val="00E477FD"/>
    <w:rsid w:val="00E4781C"/>
    <w:rsid w:val="00E47A63"/>
    <w:rsid w:val="00E47AE0"/>
    <w:rsid w:val="00E47BD5"/>
    <w:rsid w:val="00E47CC6"/>
    <w:rsid w:val="00E47DB3"/>
    <w:rsid w:val="00E47EA9"/>
    <w:rsid w:val="00E47EB9"/>
    <w:rsid w:val="00E50235"/>
    <w:rsid w:val="00E503DD"/>
    <w:rsid w:val="00E503E7"/>
    <w:rsid w:val="00E5066B"/>
    <w:rsid w:val="00E50695"/>
    <w:rsid w:val="00E50766"/>
    <w:rsid w:val="00E507AD"/>
    <w:rsid w:val="00E507B6"/>
    <w:rsid w:val="00E50960"/>
    <w:rsid w:val="00E50C1F"/>
    <w:rsid w:val="00E5104E"/>
    <w:rsid w:val="00E51189"/>
    <w:rsid w:val="00E512C9"/>
    <w:rsid w:val="00E514FD"/>
    <w:rsid w:val="00E51636"/>
    <w:rsid w:val="00E516DA"/>
    <w:rsid w:val="00E51749"/>
    <w:rsid w:val="00E51781"/>
    <w:rsid w:val="00E51B16"/>
    <w:rsid w:val="00E51B34"/>
    <w:rsid w:val="00E51BC4"/>
    <w:rsid w:val="00E51BFC"/>
    <w:rsid w:val="00E51C41"/>
    <w:rsid w:val="00E51DAE"/>
    <w:rsid w:val="00E51F70"/>
    <w:rsid w:val="00E52172"/>
    <w:rsid w:val="00E5218D"/>
    <w:rsid w:val="00E52311"/>
    <w:rsid w:val="00E52392"/>
    <w:rsid w:val="00E523A6"/>
    <w:rsid w:val="00E523DE"/>
    <w:rsid w:val="00E523EE"/>
    <w:rsid w:val="00E52435"/>
    <w:rsid w:val="00E525CD"/>
    <w:rsid w:val="00E526B6"/>
    <w:rsid w:val="00E52730"/>
    <w:rsid w:val="00E52816"/>
    <w:rsid w:val="00E52818"/>
    <w:rsid w:val="00E52831"/>
    <w:rsid w:val="00E528D0"/>
    <w:rsid w:val="00E528E0"/>
    <w:rsid w:val="00E5299D"/>
    <w:rsid w:val="00E52A35"/>
    <w:rsid w:val="00E52ACC"/>
    <w:rsid w:val="00E52AE3"/>
    <w:rsid w:val="00E52F18"/>
    <w:rsid w:val="00E531DB"/>
    <w:rsid w:val="00E53284"/>
    <w:rsid w:val="00E53358"/>
    <w:rsid w:val="00E53512"/>
    <w:rsid w:val="00E53532"/>
    <w:rsid w:val="00E53601"/>
    <w:rsid w:val="00E536EF"/>
    <w:rsid w:val="00E5371E"/>
    <w:rsid w:val="00E5373A"/>
    <w:rsid w:val="00E53B5F"/>
    <w:rsid w:val="00E53BF3"/>
    <w:rsid w:val="00E53D0B"/>
    <w:rsid w:val="00E53DC4"/>
    <w:rsid w:val="00E53DD2"/>
    <w:rsid w:val="00E53EB1"/>
    <w:rsid w:val="00E53EDF"/>
    <w:rsid w:val="00E53FE5"/>
    <w:rsid w:val="00E541A5"/>
    <w:rsid w:val="00E542BD"/>
    <w:rsid w:val="00E5443A"/>
    <w:rsid w:val="00E54571"/>
    <w:rsid w:val="00E54885"/>
    <w:rsid w:val="00E54998"/>
    <w:rsid w:val="00E549D6"/>
    <w:rsid w:val="00E54A39"/>
    <w:rsid w:val="00E54DCE"/>
    <w:rsid w:val="00E54E0E"/>
    <w:rsid w:val="00E55015"/>
    <w:rsid w:val="00E55073"/>
    <w:rsid w:val="00E552EB"/>
    <w:rsid w:val="00E55408"/>
    <w:rsid w:val="00E5562B"/>
    <w:rsid w:val="00E556B3"/>
    <w:rsid w:val="00E55730"/>
    <w:rsid w:val="00E5592F"/>
    <w:rsid w:val="00E5595A"/>
    <w:rsid w:val="00E55A01"/>
    <w:rsid w:val="00E55B7D"/>
    <w:rsid w:val="00E55C2F"/>
    <w:rsid w:val="00E55D74"/>
    <w:rsid w:val="00E55E0B"/>
    <w:rsid w:val="00E55E19"/>
    <w:rsid w:val="00E55F54"/>
    <w:rsid w:val="00E55F9C"/>
    <w:rsid w:val="00E55FDD"/>
    <w:rsid w:val="00E56057"/>
    <w:rsid w:val="00E5607C"/>
    <w:rsid w:val="00E56082"/>
    <w:rsid w:val="00E56257"/>
    <w:rsid w:val="00E5627E"/>
    <w:rsid w:val="00E56332"/>
    <w:rsid w:val="00E564CD"/>
    <w:rsid w:val="00E564F3"/>
    <w:rsid w:val="00E56729"/>
    <w:rsid w:val="00E56811"/>
    <w:rsid w:val="00E56865"/>
    <w:rsid w:val="00E568A0"/>
    <w:rsid w:val="00E568F8"/>
    <w:rsid w:val="00E56A12"/>
    <w:rsid w:val="00E56D87"/>
    <w:rsid w:val="00E56DA0"/>
    <w:rsid w:val="00E56DD7"/>
    <w:rsid w:val="00E56E56"/>
    <w:rsid w:val="00E56F39"/>
    <w:rsid w:val="00E56FF2"/>
    <w:rsid w:val="00E5700D"/>
    <w:rsid w:val="00E57105"/>
    <w:rsid w:val="00E57107"/>
    <w:rsid w:val="00E571AD"/>
    <w:rsid w:val="00E57232"/>
    <w:rsid w:val="00E57271"/>
    <w:rsid w:val="00E573D8"/>
    <w:rsid w:val="00E57434"/>
    <w:rsid w:val="00E57479"/>
    <w:rsid w:val="00E57553"/>
    <w:rsid w:val="00E57556"/>
    <w:rsid w:val="00E575E1"/>
    <w:rsid w:val="00E576DC"/>
    <w:rsid w:val="00E5788C"/>
    <w:rsid w:val="00E57ADA"/>
    <w:rsid w:val="00E57C6F"/>
    <w:rsid w:val="00E57EFB"/>
    <w:rsid w:val="00E60260"/>
    <w:rsid w:val="00E603DD"/>
    <w:rsid w:val="00E60545"/>
    <w:rsid w:val="00E60564"/>
    <w:rsid w:val="00E6080B"/>
    <w:rsid w:val="00E608C4"/>
    <w:rsid w:val="00E608D3"/>
    <w:rsid w:val="00E60A88"/>
    <w:rsid w:val="00E60ACA"/>
    <w:rsid w:val="00E60C64"/>
    <w:rsid w:val="00E60C81"/>
    <w:rsid w:val="00E60E2F"/>
    <w:rsid w:val="00E61260"/>
    <w:rsid w:val="00E61282"/>
    <w:rsid w:val="00E612BD"/>
    <w:rsid w:val="00E614F7"/>
    <w:rsid w:val="00E618A9"/>
    <w:rsid w:val="00E618C6"/>
    <w:rsid w:val="00E61909"/>
    <w:rsid w:val="00E6197C"/>
    <w:rsid w:val="00E61B43"/>
    <w:rsid w:val="00E61B44"/>
    <w:rsid w:val="00E61D30"/>
    <w:rsid w:val="00E61E05"/>
    <w:rsid w:val="00E61E92"/>
    <w:rsid w:val="00E61F28"/>
    <w:rsid w:val="00E62026"/>
    <w:rsid w:val="00E62048"/>
    <w:rsid w:val="00E62099"/>
    <w:rsid w:val="00E621B7"/>
    <w:rsid w:val="00E62399"/>
    <w:rsid w:val="00E6246F"/>
    <w:rsid w:val="00E624B7"/>
    <w:rsid w:val="00E62665"/>
    <w:rsid w:val="00E628CF"/>
    <w:rsid w:val="00E62A50"/>
    <w:rsid w:val="00E62A80"/>
    <w:rsid w:val="00E62AEC"/>
    <w:rsid w:val="00E62C81"/>
    <w:rsid w:val="00E62CE9"/>
    <w:rsid w:val="00E62E4C"/>
    <w:rsid w:val="00E62FCB"/>
    <w:rsid w:val="00E62FD5"/>
    <w:rsid w:val="00E6315D"/>
    <w:rsid w:val="00E63182"/>
    <w:rsid w:val="00E632BA"/>
    <w:rsid w:val="00E632EC"/>
    <w:rsid w:val="00E63301"/>
    <w:rsid w:val="00E6341E"/>
    <w:rsid w:val="00E636E6"/>
    <w:rsid w:val="00E63723"/>
    <w:rsid w:val="00E637A0"/>
    <w:rsid w:val="00E63952"/>
    <w:rsid w:val="00E639A8"/>
    <w:rsid w:val="00E639B1"/>
    <w:rsid w:val="00E639BE"/>
    <w:rsid w:val="00E63A7C"/>
    <w:rsid w:val="00E63B15"/>
    <w:rsid w:val="00E63C4C"/>
    <w:rsid w:val="00E63CB0"/>
    <w:rsid w:val="00E63DAF"/>
    <w:rsid w:val="00E63DDF"/>
    <w:rsid w:val="00E63FA8"/>
    <w:rsid w:val="00E64003"/>
    <w:rsid w:val="00E64041"/>
    <w:rsid w:val="00E6415A"/>
    <w:rsid w:val="00E64205"/>
    <w:rsid w:val="00E643F0"/>
    <w:rsid w:val="00E64484"/>
    <w:rsid w:val="00E644AF"/>
    <w:rsid w:val="00E6478C"/>
    <w:rsid w:val="00E64796"/>
    <w:rsid w:val="00E64858"/>
    <w:rsid w:val="00E6486C"/>
    <w:rsid w:val="00E648C2"/>
    <w:rsid w:val="00E64A6E"/>
    <w:rsid w:val="00E64AFB"/>
    <w:rsid w:val="00E64D0A"/>
    <w:rsid w:val="00E64D0D"/>
    <w:rsid w:val="00E64DAC"/>
    <w:rsid w:val="00E65014"/>
    <w:rsid w:val="00E651B8"/>
    <w:rsid w:val="00E6536F"/>
    <w:rsid w:val="00E65393"/>
    <w:rsid w:val="00E6552C"/>
    <w:rsid w:val="00E65590"/>
    <w:rsid w:val="00E65942"/>
    <w:rsid w:val="00E65AAC"/>
    <w:rsid w:val="00E65C50"/>
    <w:rsid w:val="00E65D43"/>
    <w:rsid w:val="00E65E5A"/>
    <w:rsid w:val="00E65F54"/>
    <w:rsid w:val="00E66127"/>
    <w:rsid w:val="00E66232"/>
    <w:rsid w:val="00E66252"/>
    <w:rsid w:val="00E663F9"/>
    <w:rsid w:val="00E66558"/>
    <w:rsid w:val="00E665BB"/>
    <w:rsid w:val="00E66723"/>
    <w:rsid w:val="00E667D2"/>
    <w:rsid w:val="00E66B9A"/>
    <w:rsid w:val="00E66D73"/>
    <w:rsid w:val="00E66EBD"/>
    <w:rsid w:val="00E66ED4"/>
    <w:rsid w:val="00E66FE6"/>
    <w:rsid w:val="00E670B4"/>
    <w:rsid w:val="00E6711C"/>
    <w:rsid w:val="00E67215"/>
    <w:rsid w:val="00E6727E"/>
    <w:rsid w:val="00E672E7"/>
    <w:rsid w:val="00E67406"/>
    <w:rsid w:val="00E6746C"/>
    <w:rsid w:val="00E6747F"/>
    <w:rsid w:val="00E67829"/>
    <w:rsid w:val="00E6782E"/>
    <w:rsid w:val="00E679E5"/>
    <w:rsid w:val="00E67A06"/>
    <w:rsid w:val="00E67BD0"/>
    <w:rsid w:val="00E67C77"/>
    <w:rsid w:val="00E67D2C"/>
    <w:rsid w:val="00E67D72"/>
    <w:rsid w:val="00E67FF6"/>
    <w:rsid w:val="00E7035A"/>
    <w:rsid w:val="00E704FE"/>
    <w:rsid w:val="00E7053D"/>
    <w:rsid w:val="00E7056E"/>
    <w:rsid w:val="00E70628"/>
    <w:rsid w:val="00E7084E"/>
    <w:rsid w:val="00E709CA"/>
    <w:rsid w:val="00E70AE6"/>
    <w:rsid w:val="00E70AEB"/>
    <w:rsid w:val="00E70BE2"/>
    <w:rsid w:val="00E70CF8"/>
    <w:rsid w:val="00E70D23"/>
    <w:rsid w:val="00E70D31"/>
    <w:rsid w:val="00E70DFC"/>
    <w:rsid w:val="00E70E1C"/>
    <w:rsid w:val="00E71112"/>
    <w:rsid w:val="00E71141"/>
    <w:rsid w:val="00E711ED"/>
    <w:rsid w:val="00E71215"/>
    <w:rsid w:val="00E71237"/>
    <w:rsid w:val="00E712FD"/>
    <w:rsid w:val="00E71367"/>
    <w:rsid w:val="00E71473"/>
    <w:rsid w:val="00E714CA"/>
    <w:rsid w:val="00E714E9"/>
    <w:rsid w:val="00E7165B"/>
    <w:rsid w:val="00E7166E"/>
    <w:rsid w:val="00E716B1"/>
    <w:rsid w:val="00E717C0"/>
    <w:rsid w:val="00E718E3"/>
    <w:rsid w:val="00E7191C"/>
    <w:rsid w:val="00E71948"/>
    <w:rsid w:val="00E719EE"/>
    <w:rsid w:val="00E71ACE"/>
    <w:rsid w:val="00E71B79"/>
    <w:rsid w:val="00E71D26"/>
    <w:rsid w:val="00E71E09"/>
    <w:rsid w:val="00E71E20"/>
    <w:rsid w:val="00E71E99"/>
    <w:rsid w:val="00E71F61"/>
    <w:rsid w:val="00E71F6F"/>
    <w:rsid w:val="00E72165"/>
    <w:rsid w:val="00E721E2"/>
    <w:rsid w:val="00E72211"/>
    <w:rsid w:val="00E7227D"/>
    <w:rsid w:val="00E722B5"/>
    <w:rsid w:val="00E722C1"/>
    <w:rsid w:val="00E72495"/>
    <w:rsid w:val="00E72701"/>
    <w:rsid w:val="00E7277C"/>
    <w:rsid w:val="00E727BD"/>
    <w:rsid w:val="00E727FC"/>
    <w:rsid w:val="00E72851"/>
    <w:rsid w:val="00E72910"/>
    <w:rsid w:val="00E7295E"/>
    <w:rsid w:val="00E72B1C"/>
    <w:rsid w:val="00E72CC4"/>
    <w:rsid w:val="00E72F37"/>
    <w:rsid w:val="00E7301C"/>
    <w:rsid w:val="00E73049"/>
    <w:rsid w:val="00E73155"/>
    <w:rsid w:val="00E731E6"/>
    <w:rsid w:val="00E732F0"/>
    <w:rsid w:val="00E7331E"/>
    <w:rsid w:val="00E735AA"/>
    <w:rsid w:val="00E73686"/>
    <w:rsid w:val="00E7368F"/>
    <w:rsid w:val="00E736DC"/>
    <w:rsid w:val="00E737B6"/>
    <w:rsid w:val="00E737EF"/>
    <w:rsid w:val="00E7385E"/>
    <w:rsid w:val="00E73930"/>
    <w:rsid w:val="00E73990"/>
    <w:rsid w:val="00E73A0A"/>
    <w:rsid w:val="00E73A13"/>
    <w:rsid w:val="00E73A69"/>
    <w:rsid w:val="00E73B9F"/>
    <w:rsid w:val="00E73BFA"/>
    <w:rsid w:val="00E73D1B"/>
    <w:rsid w:val="00E73D86"/>
    <w:rsid w:val="00E73DB5"/>
    <w:rsid w:val="00E73DF3"/>
    <w:rsid w:val="00E73E3D"/>
    <w:rsid w:val="00E73E72"/>
    <w:rsid w:val="00E73ED9"/>
    <w:rsid w:val="00E73F06"/>
    <w:rsid w:val="00E73FAD"/>
    <w:rsid w:val="00E74177"/>
    <w:rsid w:val="00E74360"/>
    <w:rsid w:val="00E743E1"/>
    <w:rsid w:val="00E744CA"/>
    <w:rsid w:val="00E744E4"/>
    <w:rsid w:val="00E7456E"/>
    <w:rsid w:val="00E74606"/>
    <w:rsid w:val="00E74855"/>
    <w:rsid w:val="00E7491F"/>
    <w:rsid w:val="00E74929"/>
    <w:rsid w:val="00E74998"/>
    <w:rsid w:val="00E74A64"/>
    <w:rsid w:val="00E74CD3"/>
    <w:rsid w:val="00E74F39"/>
    <w:rsid w:val="00E74FA8"/>
    <w:rsid w:val="00E7515E"/>
    <w:rsid w:val="00E7520A"/>
    <w:rsid w:val="00E75379"/>
    <w:rsid w:val="00E7538E"/>
    <w:rsid w:val="00E75445"/>
    <w:rsid w:val="00E754F9"/>
    <w:rsid w:val="00E75646"/>
    <w:rsid w:val="00E757C7"/>
    <w:rsid w:val="00E7591E"/>
    <w:rsid w:val="00E759AE"/>
    <w:rsid w:val="00E75B6D"/>
    <w:rsid w:val="00E75BCE"/>
    <w:rsid w:val="00E75BDE"/>
    <w:rsid w:val="00E75C62"/>
    <w:rsid w:val="00E75C6C"/>
    <w:rsid w:val="00E75CEE"/>
    <w:rsid w:val="00E75EF3"/>
    <w:rsid w:val="00E75F9C"/>
    <w:rsid w:val="00E76194"/>
    <w:rsid w:val="00E761F5"/>
    <w:rsid w:val="00E7638C"/>
    <w:rsid w:val="00E763E7"/>
    <w:rsid w:val="00E76491"/>
    <w:rsid w:val="00E76493"/>
    <w:rsid w:val="00E764FD"/>
    <w:rsid w:val="00E76620"/>
    <w:rsid w:val="00E766D6"/>
    <w:rsid w:val="00E76812"/>
    <w:rsid w:val="00E76849"/>
    <w:rsid w:val="00E76975"/>
    <w:rsid w:val="00E769D9"/>
    <w:rsid w:val="00E76AC8"/>
    <w:rsid w:val="00E76B79"/>
    <w:rsid w:val="00E76BD0"/>
    <w:rsid w:val="00E76BFE"/>
    <w:rsid w:val="00E76E4A"/>
    <w:rsid w:val="00E76E8E"/>
    <w:rsid w:val="00E76F16"/>
    <w:rsid w:val="00E7701F"/>
    <w:rsid w:val="00E77032"/>
    <w:rsid w:val="00E77798"/>
    <w:rsid w:val="00E777CA"/>
    <w:rsid w:val="00E778D3"/>
    <w:rsid w:val="00E778E8"/>
    <w:rsid w:val="00E7794C"/>
    <w:rsid w:val="00E77B6A"/>
    <w:rsid w:val="00E77C3D"/>
    <w:rsid w:val="00E77DE7"/>
    <w:rsid w:val="00E77E21"/>
    <w:rsid w:val="00E77EF6"/>
    <w:rsid w:val="00E77F69"/>
    <w:rsid w:val="00E80003"/>
    <w:rsid w:val="00E80308"/>
    <w:rsid w:val="00E8032F"/>
    <w:rsid w:val="00E80483"/>
    <w:rsid w:val="00E804F9"/>
    <w:rsid w:val="00E80563"/>
    <w:rsid w:val="00E80650"/>
    <w:rsid w:val="00E80758"/>
    <w:rsid w:val="00E808AC"/>
    <w:rsid w:val="00E808E3"/>
    <w:rsid w:val="00E80AB0"/>
    <w:rsid w:val="00E80BEC"/>
    <w:rsid w:val="00E80D09"/>
    <w:rsid w:val="00E810FB"/>
    <w:rsid w:val="00E81115"/>
    <w:rsid w:val="00E81206"/>
    <w:rsid w:val="00E8133A"/>
    <w:rsid w:val="00E81411"/>
    <w:rsid w:val="00E8161A"/>
    <w:rsid w:val="00E816EB"/>
    <w:rsid w:val="00E81B0E"/>
    <w:rsid w:val="00E81B45"/>
    <w:rsid w:val="00E81C1C"/>
    <w:rsid w:val="00E81CFF"/>
    <w:rsid w:val="00E81F01"/>
    <w:rsid w:val="00E81F5C"/>
    <w:rsid w:val="00E81FFA"/>
    <w:rsid w:val="00E82083"/>
    <w:rsid w:val="00E820B8"/>
    <w:rsid w:val="00E8225E"/>
    <w:rsid w:val="00E8229C"/>
    <w:rsid w:val="00E823DE"/>
    <w:rsid w:val="00E825AB"/>
    <w:rsid w:val="00E82643"/>
    <w:rsid w:val="00E827C1"/>
    <w:rsid w:val="00E82807"/>
    <w:rsid w:val="00E82993"/>
    <w:rsid w:val="00E829A9"/>
    <w:rsid w:val="00E82B0A"/>
    <w:rsid w:val="00E82B2A"/>
    <w:rsid w:val="00E82D46"/>
    <w:rsid w:val="00E82DA1"/>
    <w:rsid w:val="00E82E74"/>
    <w:rsid w:val="00E82F9C"/>
    <w:rsid w:val="00E82FF8"/>
    <w:rsid w:val="00E83177"/>
    <w:rsid w:val="00E831B0"/>
    <w:rsid w:val="00E83225"/>
    <w:rsid w:val="00E83295"/>
    <w:rsid w:val="00E832F9"/>
    <w:rsid w:val="00E83316"/>
    <w:rsid w:val="00E8333B"/>
    <w:rsid w:val="00E83679"/>
    <w:rsid w:val="00E83699"/>
    <w:rsid w:val="00E837CD"/>
    <w:rsid w:val="00E83807"/>
    <w:rsid w:val="00E83944"/>
    <w:rsid w:val="00E83C1E"/>
    <w:rsid w:val="00E83C90"/>
    <w:rsid w:val="00E83D61"/>
    <w:rsid w:val="00E83DF1"/>
    <w:rsid w:val="00E83F0E"/>
    <w:rsid w:val="00E83FCC"/>
    <w:rsid w:val="00E8407A"/>
    <w:rsid w:val="00E8420E"/>
    <w:rsid w:val="00E84237"/>
    <w:rsid w:val="00E84576"/>
    <w:rsid w:val="00E8457A"/>
    <w:rsid w:val="00E84682"/>
    <w:rsid w:val="00E848CA"/>
    <w:rsid w:val="00E849AA"/>
    <w:rsid w:val="00E849EF"/>
    <w:rsid w:val="00E84A2E"/>
    <w:rsid w:val="00E84D8C"/>
    <w:rsid w:val="00E84DA5"/>
    <w:rsid w:val="00E84E19"/>
    <w:rsid w:val="00E84EB7"/>
    <w:rsid w:val="00E8511B"/>
    <w:rsid w:val="00E852B9"/>
    <w:rsid w:val="00E85445"/>
    <w:rsid w:val="00E855BA"/>
    <w:rsid w:val="00E85779"/>
    <w:rsid w:val="00E857A3"/>
    <w:rsid w:val="00E85810"/>
    <w:rsid w:val="00E859C0"/>
    <w:rsid w:val="00E85A62"/>
    <w:rsid w:val="00E85BEC"/>
    <w:rsid w:val="00E85CDA"/>
    <w:rsid w:val="00E85D97"/>
    <w:rsid w:val="00E86169"/>
    <w:rsid w:val="00E86200"/>
    <w:rsid w:val="00E86267"/>
    <w:rsid w:val="00E8631F"/>
    <w:rsid w:val="00E8632C"/>
    <w:rsid w:val="00E86517"/>
    <w:rsid w:val="00E865A6"/>
    <w:rsid w:val="00E86619"/>
    <w:rsid w:val="00E86793"/>
    <w:rsid w:val="00E8692B"/>
    <w:rsid w:val="00E86A27"/>
    <w:rsid w:val="00E86B07"/>
    <w:rsid w:val="00E86B74"/>
    <w:rsid w:val="00E86DA2"/>
    <w:rsid w:val="00E86E5B"/>
    <w:rsid w:val="00E87079"/>
    <w:rsid w:val="00E87276"/>
    <w:rsid w:val="00E87329"/>
    <w:rsid w:val="00E87417"/>
    <w:rsid w:val="00E874F1"/>
    <w:rsid w:val="00E87551"/>
    <w:rsid w:val="00E87682"/>
    <w:rsid w:val="00E87693"/>
    <w:rsid w:val="00E8771F"/>
    <w:rsid w:val="00E878E0"/>
    <w:rsid w:val="00E87918"/>
    <w:rsid w:val="00E87A3C"/>
    <w:rsid w:val="00E87A5A"/>
    <w:rsid w:val="00E87ABB"/>
    <w:rsid w:val="00E87AF5"/>
    <w:rsid w:val="00E87B89"/>
    <w:rsid w:val="00E87CDD"/>
    <w:rsid w:val="00E87D03"/>
    <w:rsid w:val="00E87D84"/>
    <w:rsid w:val="00E87DA4"/>
    <w:rsid w:val="00E87FCB"/>
    <w:rsid w:val="00E87FE5"/>
    <w:rsid w:val="00E9001D"/>
    <w:rsid w:val="00E9008B"/>
    <w:rsid w:val="00E901DE"/>
    <w:rsid w:val="00E90276"/>
    <w:rsid w:val="00E90384"/>
    <w:rsid w:val="00E904D2"/>
    <w:rsid w:val="00E90515"/>
    <w:rsid w:val="00E9052F"/>
    <w:rsid w:val="00E905CD"/>
    <w:rsid w:val="00E906B8"/>
    <w:rsid w:val="00E9071E"/>
    <w:rsid w:val="00E9076D"/>
    <w:rsid w:val="00E9077D"/>
    <w:rsid w:val="00E907AE"/>
    <w:rsid w:val="00E9097F"/>
    <w:rsid w:val="00E90AC0"/>
    <w:rsid w:val="00E90C9A"/>
    <w:rsid w:val="00E90CD6"/>
    <w:rsid w:val="00E90CE3"/>
    <w:rsid w:val="00E90D1F"/>
    <w:rsid w:val="00E90D55"/>
    <w:rsid w:val="00E9103B"/>
    <w:rsid w:val="00E911ED"/>
    <w:rsid w:val="00E91305"/>
    <w:rsid w:val="00E91367"/>
    <w:rsid w:val="00E91382"/>
    <w:rsid w:val="00E913B0"/>
    <w:rsid w:val="00E9155C"/>
    <w:rsid w:val="00E9168D"/>
    <w:rsid w:val="00E916AB"/>
    <w:rsid w:val="00E9174F"/>
    <w:rsid w:val="00E9194C"/>
    <w:rsid w:val="00E91A9E"/>
    <w:rsid w:val="00E91AD4"/>
    <w:rsid w:val="00E91B63"/>
    <w:rsid w:val="00E91B72"/>
    <w:rsid w:val="00E91BB8"/>
    <w:rsid w:val="00E91E44"/>
    <w:rsid w:val="00E92033"/>
    <w:rsid w:val="00E92151"/>
    <w:rsid w:val="00E92182"/>
    <w:rsid w:val="00E921D6"/>
    <w:rsid w:val="00E922AD"/>
    <w:rsid w:val="00E925DF"/>
    <w:rsid w:val="00E92648"/>
    <w:rsid w:val="00E92687"/>
    <w:rsid w:val="00E92903"/>
    <w:rsid w:val="00E92953"/>
    <w:rsid w:val="00E92977"/>
    <w:rsid w:val="00E929A0"/>
    <w:rsid w:val="00E92A0F"/>
    <w:rsid w:val="00E92A29"/>
    <w:rsid w:val="00E92AEF"/>
    <w:rsid w:val="00E92B6D"/>
    <w:rsid w:val="00E92BF2"/>
    <w:rsid w:val="00E92C2E"/>
    <w:rsid w:val="00E92D95"/>
    <w:rsid w:val="00E92EE2"/>
    <w:rsid w:val="00E92EF4"/>
    <w:rsid w:val="00E92F9A"/>
    <w:rsid w:val="00E92FED"/>
    <w:rsid w:val="00E93136"/>
    <w:rsid w:val="00E9320A"/>
    <w:rsid w:val="00E93214"/>
    <w:rsid w:val="00E93297"/>
    <w:rsid w:val="00E93308"/>
    <w:rsid w:val="00E93351"/>
    <w:rsid w:val="00E9338E"/>
    <w:rsid w:val="00E93430"/>
    <w:rsid w:val="00E93546"/>
    <w:rsid w:val="00E935C0"/>
    <w:rsid w:val="00E9367A"/>
    <w:rsid w:val="00E93688"/>
    <w:rsid w:val="00E936DF"/>
    <w:rsid w:val="00E937B9"/>
    <w:rsid w:val="00E937F4"/>
    <w:rsid w:val="00E93817"/>
    <w:rsid w:val="00E93A4B"/>
    <w:rsid w:val="00E93CDE"/>
    <w:rsid w:val="00E93D67"/>
    <w:rsid w:val="00E93F38"/>
    <w:rsid w:val="00E93F40"/>
    <w:rsid w:val="00E93FF3"/>
    <w:rsid w:val="00E94049"/>
    <w:rsid w:val="00E941CA"/>
    <w:rsid w:val="00E943CF"/>
    <w:rsid w:val="00E944D3"/>
    <w:rsid w:val="00E94546"/>
    <w:rsid w:val="00E94661"/>
    <w:rsid w:val="00E946AC"/>
    <w:rsid w:val="00E9477C"/>
    <w:rsid w:val="00E947D4"/>
    <w:rsid w:val="00E9491A"/>
    <w:rsid w:val="00E949D0"/>
    <w:rsid w:val="00E949DF"/>
    <w:rsid w:val="00E94C92"/>
    <w:rsid w:val="00E94D42"/>
    <w:rsid w:val="00E94DEE"/>
    <w:rsid w:val="00E94E0F"/>
    <w:rsid w:val="00E94E44"/>
    <w:rsid w:val="00E94EBB"/>
    <w:rsid w:val="00E94F06"/>
    <w:rsid w:val="00E94F47"/>
    <w:rsid w:val="00E950D7"/>
    <w:rsid w:val="00E95253"/>
    <w:rsid w:val="00E953AF"/>
    <w:rsid w:val="00E95465"/>
    <w:rsid w:val="00E9591A"/>
    <w:rsid w:val="00E95B7B"/>
    <w:rsid w:val="00E95C07"/>
    <w:rsid w:val="00E95C38"/>
    <w:rsid w:val="00E95CA8"/>
    <w:rsid w:val="00E95E47"/>
    <w:rsid w:val="00E95ED0"/>
    <w:rsid w:val="00E95F2E"/>
    <w:rsid w:val="00E96092"/>
    <w:rsid w:val="00E960AA"/>
    <w:rsid w:val="00E961F5"/>
    <w:rsid w:val="00E9657D"/>
    <w:rsid w:val="00E9664A"/>
    <w:rsid w:val="00E967EE"/>
    <w:rsid w:val="00E968DE"/>
    <w:rsid w:val="00E969C2"/>
    <w:rsid w:val="00E96A50"/>
    <w:rsid w:val="00E96ADC"/>
    <w:rsid w:val="00E96E00"/>
    <w:rsid w:val="00E96E06"/>
    <w:rsid w:val="00E96EAB"/>
    <w:rsid w:val="00E96F5A"/>
    <w:rsid w:val="00E96FE8"/>
    <w:rsid w:val="00E9704A"/>
    <w:rsid w:val="00E97087"/>
    <w:rsid w:val="00E970B3"/>
    <w:rsid w:val="00E9713C"/>
    <w:rsid w:val="00E97190"/>
    <w:rsid w:val="00E971AA"/>
    <w:rsid w:val="00E97224"/>
    <w:rsid w:val="00E97273"/>
    <w:rsid w:val="00E9728B"/>
    <w:rsid w:val="00E97502"/>
    <w:rsid w:val="00E97597"/>
    <w:rsid w:val="00E9759F"/>
    <w:rsid w:val="00E97658"/>
    <w:rsid w:val="00E976B4"/>
    <w:rsid w:val="00E977D0"/>
    <w:rsid w:val="00E977E1"/>
    <w:rsid w:val="00E978EE"/>
    <w:rsid w:val="00E9790E"/>
    <w:rsid w:val="00E97AC2"/>
    <w:rsid w:val="00E97B60"/>
    <w:rsid w:val="00E97F3C"/>
    <w:rsid w:val="00E97F3E"/>
    <w:rsid w:val="00EA008F"/>
    <w:rsid w:val="00EA014A"/>
    <w:rsid w:val="00EA0178"/>
    <w:rsid w:val="00EA0313"/>
    <w:rsid w:val="00EA0507"/>
    <w:rsid w:val="00EA0508"/>
    <w:rsid w:val="00EA0600"/>
    <w:rsid w:val="00EA06A1"/>
    <w:rsid w:val="00EA06C5"/>
    <w:rsid w:val="00EA07E9"/>
    <w:rsid w:val="00EA080C"/>
    <w:rsid w:val="00EA08EC"/>
    <w:rsid w:val="00EA0939"/>
    <w:rsid w:val="00EA09E3"/>
    <w:rsid w:val="00EA0A6A"/>
    <w:rsid w:val="00EA0D2D"/>
    <w:rsid w:val="00EA0D5F"/>
    <w:rsid w:val="00EA10C1"/>
    <w:rsid w:val="00EA115D"/>
    <w:rsid w:val="00EA11B9"/>
    <w:rsid w:val="00EA11DB"/>
    <w:rsid w:val="00EA1236"/>
    <w:rsid w:val="00EA1320"/>
    <w:rsid w:val="00EA1568"/>
    <w:rsid w:val="00EA1711"/>
    <w:rsid w:val="00EA18D6"/>
    <w:rsid w:val="00EA197F"/>
    <w:rsid w:val="00EA1997"/>
    <w:rsid w:val="00EA19C2"/>
    <w:rsid w:val="00EA19C9"/>
    <w:rsid w:val="00EA1A8B"/>
    <w:rsid w:val="00EA1AB7"/>
    <w:rsid w:val="00EA1BAB"/>
    <w:rsid w:val="00EA1BCF"/>
    <w:rsid w:val="00EA1BF5"/>
    <w:rsid w:val="00EA1C3A"/>
    <w:rsid w:val="00EA1CF4"/>
    <w:rsid w:val="00EA1DF0"/>
    <w:rsid w:val="00EA1EC6"/>
    <w:rsid w:val="00EA1F95"/>
    <w:rsid w:val="00EA2189"/>
    <w:rsid w:val="00EA223D"/>
    <w:rsid w:val="00EA22F9"/>
    <w:rsid w:val="00EA2326"/>
    <w:rsid w:val="00EA256A"/>
    <w:rsid w:val="00EA26E4"/>
    <w:rsid w:val="00EA2880"/>
    <w:rsid w:val="00EA2883"/>
    <w:rsid w:val="00EA2886"/>
    <w:rsid w:val="00EA28F7"/>
    <w:rsid w:val="00EA299A"/>
    <w:rsid w:val="00EA2C8F"/>
    <w:rsid w:val="00EA2DEC"/>
    <w:rsid w:val="00EA2EEF"/>
    <w:rsid w:val="00EA2F03"/>
    <w:rsid w:val="00EA315A"/>
    <w:rsid w:val="00EA31B5"/>
    <w:rsid w:val="00EA323E"/>
    <w:rsid w:val="00EA329B"/>
    <w:rsid w:val="00EA32F1"/>
    <w:rsid w:val="00EA33E9"/>
    <w:rsid w:val="00EA3599"/>
    <w:rsid w:val="00EA366F"/>
    <w:rsid w:val="00EA38BB"/>
    <w:rsid w:val="00EA38FC"/>
    <w:rsid w:val="00EA3C3D"/>
    <w:rsid w:val="00EA3F15"/>
    <w:rsid w:val="00EA3F95"/>
    <w:rsid w:val="00EA3FCE"/>
    <w:rsid w:val="00EA4115"/>
    <w:rsid w:val="00EA41DC"/>
    <w:rsid w:val="00EA433D"/>
    <w:rsid w:val="00EA4533"/>
    <w:rsid w:val="00EA46D8"/>
    <w:rsid w:val="00EA4730"/>
    <w:rsid w:val="00EA4886"/>
    <w:rsid w:val="00EA48C6"/>
    <w:rsid w:val="00EA49A4"/>
    <w:rsid w:val="00EA4A0F"/>
    <w:rsid w:val="00EA4ACD"/>
    <w:rsid w:val="00EA4B3B"/>
    <w:rsid w:val="00EA4B41"/>
    <w:rsid w:val="00EA4B46"/>
    <w:rsid w:val="00EA4B77"/>
    <w:rsid w:val="00EA4D66"/>
    <w:rsid w:val="00EA4F2C"/>
    <w:rsid w:val="00EA4FAF"/>
    <w:rsid w:val="00EA4FC9"/>
    <w:rsid w:val="00EA5254"/>
    <w:rsid w:val="00EA53AA"/>
    <w:rsid w:val="00EA55CB"/>
    <w:rsid w:val="00EA5680"/>
    <w:rsid w:val="00EA5B1B"/>
    <w:rsid w:val="00EA5C24"/>
    <w:rsid w:val="00EA5C51"/>
    <w:rsid w:val="00EA5CB5"/>
    <w:rsid w:val="00EA5E10"/>
    <w:rsid w:val="00EA5F95"/>
    <w:rsid w:val="00EA61A9"/>
    <w:rsid w:val="00EA62E3"/>
    <w:rsid w:val="00EA631F"/>
    <w:rsid w:val="00EA6472"/>
    <w:rsid w:val="00EA6583"/>
    <w:rsid w:val="00EA65EB"/>
    <w:rsid w:val="00EA66EC"/>
    <w:rsid w:val="00EA6862"/>
    <w:rsid w:val="00EA6937"/>
    <w:rsid w:val="00EA69AB"/>
    <w:rsid w:val="00EA6A66"/>
    <w:rsid w:val="00EA6BF1"/>
    <w:rsid w:val="00EA6C30"/>
    <w:rsid w:val="00EA6DAE"/>
    <w:rsid w:val="00EA6E63"/>
    <w:rsid w:val="00EA6E6B"/>
    <w:rsid w:val="00EA6FCC"/>
    <w:rsid w:val="00EA6FF3"/>
    <w:rsid w:val="00EA7024"/>
    <w:rsid w:val="00EA7168"/>
    <w:rsid w:val="00EA7212"/>
    <w:rsid w:val="00EA72DF"/>
    <w:rsid w:val="00EA7301"/>
    <w:rsid w:val="00EA7340"/>
    <w:rsid w:val="00EA73B9"/>
    <w:rsid w:val="00EA750D"/>
    <w:rsid w:val="00EA76E6"/>
    <w:rsid w:val="00EA76FB"/>
    <w:rsid w:val="00EA7A4B"/>
    <w:rsid w:val="00EA7AFA"/>
    <w:rsid w:val="00EA7B1F"/>
    <w:rsid w:val="00EA7B45"/>
    <w:rsid w:val="00EA7C66"/>
    <w:rsid w:val="00EA7CCA"/>
    <w:rsid w:val="00EA7FE2"/>
    <w:rsid w:val="00EB049C"/>
    <w:rsid w:val="00EB0510"/>
    <w:rsid w:val="00EB0583"/>
    <w:rsid w:val="00EB0590"/>
    <w:rsid w:val="00EB0694"/>
    <w:rsid w:val="00EB071D"/>
    <w:rsid w:val="00EB071E"/>
    <w:rsid w:val="00EB0845"/>
    <w:rsid w:val="00EB08A7"/>
    <w:rsid w:val="00EB0992"/>
    <w:rsid w:val="00EB0AD0"/>
    <w:rsid w:val="00EB0B36"/>
    <w:rsid w:val="00EB0E42"/>
    <w:rsid w:val="00EB0EC7"/>
    <w:rsid w:val="00EB0F37"/>
    <w:rsid w:val="00EB100E"/>
    <w:rsid w:val="00EB1029"/>
    <w:rsid w:val="00EB12E4"/>
    <w:rsid w:val="00EB12E8"/>
    <w:rsid w:val="00EB166D"/>
    <w:rsid w:val="00EB1690"/>
    <w:rsid w:val="00EB1819"/>
    <w:rsid w:val="00EB1844"/>
    <w:rsid w:val="00EB18D6"/>
    <w:rsid w:val="00EB1CD4"/>
    <w:rsid w:val="00EB1E9C"/>
    <w:rsid w:val="00EB1F46"/>
    <w:rsid w:val="00EB2057"/>
    <w:rsid w:val="00EB21DA"/>
    <w:rsid w:val="00EB2213"/>
    <w:rsid w:val="00EB23DC"/>
    <w:rsid w:val="00EB2405"/>
    <w:rsid w:val="00EB241E"/>
    <w:rsid w:val="00EB2682"/>
    <w:rsid w:val="00EB26FF"/>
    <w:rsid w:val="00EB27FF"/>
    <w:rsid w:val="00EB2880"/>
    <w:rsid w:val="00EB2AF1"/>
    <w:rsid w:val="00EB2BB0"/>
    <w:rsid w:val="00EB2C16"/>
    <w:rsid w:val="00EB2C29"/>
    <w:rsid w:val="00EB2CFE"/>
    <w:rsid w:val="00EB2E3F"/>
    <w:rsid w:val="00EB2E99"/>
    <w:rsid w:val="00EB2F2B"/>
    <w:rsid w:val="00EB306D"/>
    <w:rsid w:val="00EB3091"/>
    <w:rsid w:val="00EB3153"/>
    <w:rsid w:val="00EB32C1"/>
    <w:rsid w:val="00EB33EE"/>
    <w:rsid w:val="00EB3432"/>
    <w:rsid w:val="00EB35A5"/>
    <w:rsid w:val="00EB392E"/>
    <w:rsid w:val="00EB3981"/>
    <w:rsid w:val="00EB39F2"/>
    <w:rsid w:val="00EB3B1F"/>
    <w:rsid w:val="00EB3B65"/>
    <w:rsid w:val="00EB3BA6"/>
    <w:rsid w:val="00EB3C20"/>
    <w:rsid w:val="00EB3C62"/>
    <w:rsid w:val="00EB3C89"/>
    <w:rsid w:val="00EB3CC5"/>
    <w:rsid w:val="00EB3D9C"/>
    <w:rsid w:val="00EB3DAF"/>
    <w:rsid w:val="00EB3DF2"/>
    <w:rsid w:val="00EB3E0F"/>
    <w:rsid w:val="00EB3F5A"/>
    <w:rsid w:val="00EB3FE6"/>
    <w:rsid w:val="00EB40D2"/>
    <w:rsid w:val="00EB414D"/>
    <w:rsid w:val="00EB41B7"/>
    <w:rsid w:val="00EB425E"/>
    <w:rsid w:val="00EB42DA"/>
    <w:rsid w:val="00EB455F"/>
    <w:rsid w:val="00EB4573"/>
    <w:rsid w:val="00EB466F"/>
    <w:rsid w:val="00EB4710"/>
    <w:rsid w:val="00EB477D"/>
    <w:rsid w:val="00EB47C1"/>
    <w:rsid w:val="00EB4874"/>
    <w:rsid w:val="00EB48F1"/>
    <w:rsid w:val="00EB491F"/>
    <w:rsid w:val="00EB49A1"/>
    <w:rsid w:val="00EB4ABE"/>
    <w:rsid w:val="00EB4B2B"/>
    <w:rsid w:val="00EB4B7B"/>
    <w:rsid w:val="00EB4C83"/>
    <w:rsid w:val="00EB4CEC"/>
    <w:rsid w:val="00EB4D6C"/>
    <w:rsid w:val="00EB4D8B"/>
    <w:rsid w:val="00EB4F54"/>
    <w:rsid w:val="00EB4F5B"/>
    <w:rsid w:val="00EB50BD"/>
    <w:rsid w:val="00EB514C"/>
    <w:rsid w:val="00EB51FF"/>
    <w:rsid w:val="00EB5205"/>
    <w:rsid w:val="00EB5210"/>
    <w:rsid w:val="00EB526A"/>
    <w:rsid w:val="00EB5362"/>
    <w:rsid w:val="00EB539A"/>
    <w:rsid w:val="00EB5459"/>
    <w:rsid w:val="00EB54A8"/>
    <w:rsid w:val="00EB5824"/>
    <w:rsid w:val="00EB58EE"/>
    <w:rsid w:val="00EB5AAD"/>
    <w:rsid w:val="00EB5ABD"/>
    <w:rsid w:val="00EB5B64"/>
    <w:rsid w:val="00EB5B7F"/>
    <w:rsid w:val="00EB5CC0"/>
    <w:rsid w:val="00EB5E3B"/>
    <w:rsid w:val="00EB5E82"/>
    <w:rsid w:val="00EB5F0C"/>
    <w:rsid w:val="00EB5F40"/>
    <w:rsid w:val="00EB6114"/>
    <w:rsid w:val="00EB615C"/>
    <w:rsid w:val="00EB6322"/>
    <w:rsid w:val="00EB6422"/>
    <w:rsid w:val="00EB6448"/>
    <w:rsid w:val="00EB6559"/>
    <w:rsid w:val="00EB66B2"/>
    <w:rsid w:val="00EB6999"/>
    <w:rsid w:val="00EB6AD7"/>
    <w:rsid w:val="00EB6B10"/>
    <w:rsid w:val="00EB6B71"/>
    <w:rsid w:val="00EB6B81"/>
    <w:rsid w:val="00EB6C1B"/>
    <w:rsid w:val="00EB6CFD"/>
    <w:rsid w:val="00EB6D15"/>
    <w:rsid w:val="00EB6E2F"/>
    <w:rsid w:val="00EB6E3A"/>
    <w:rsid w:val="00EB6E50"/>
    <w:rsid w:val="00EB72C3"/>
    <w:rsid w:val="00EB73F8"/>
    <w:rsid w:val="00EB7576"/>
    <w:rsid w:val="00EB759A"/>
    <w:rsid w:val="00EB7660"/>
    <w:rsid w:val="00EB7897"/>
    <w:rsid w:val="00EB7954"/>
    <w:rsid w:val="00EB799F"/>
    <w:rsid w:val="00EB7C5D"/>
    <w:rsid w:val="00EB7C78"/>
    <w:rsid w:val="00EB7C9C"/>
    <w:rsid w:val="00EB7D03"/>
    <w:rsid w:val="00EB7E0F"/>
    <w:rsid w:val="00EB7F39"/>
    <w:rsid w:val="00EB7FD4"/>
    <w:rsid w:val="00EB7FDE"/>
    <w:rsid w:val="00EB7FEE"/>
    <w:rsid w:val="00EC0062"/>
    <w:rsid w:val="00EC0261"/>
    <w:rsid w:val="00EC026E"/>
    <w:rsid w:val="00EC0287"/>
    <w:rsid w:val="00EC0363"/>
    <w:rsid w:val="00EC03BB"/>
    <w:rsid w:val="00EC03DC"/>
    <w:rsid w:val="00EC047E"/>
    <w:rsid w:val="00EC04A5"/>
    <w:rsid w:val="00EC04CC"/>
    <w:rsid w:val="00EC04FF"/>
    <w:rsid w:val="00EC0662"/>
    <w:rsid w:val="00EC079B"/>
    <w:rsid w:val="00EC0893"/>
    <w:rsid w:val="00EC08BA"/>
    <w:rsid w:val="00EC08C3"/>
    <w:rsid w:val="00EC0967"/>
    <w:rsid w:val="00EC0A24"/>
    <w:rsid w:val="00EC0A9F"/>
    <w:rsid w:val="00EC0B3C"/>
    <w:rsid w:val="00EC0B55"/>
    <w:rsid w:val="00EC0B87"/>
    <w:rsid w:val="00EC0DEE"/>
    <w:rsid w:val="00EC0DF8"/>
    <w:rsid w:val="00EC0E0E"/>
    <w:rsid w:val="00EC0FC8"/>
    <w:rsid w:val="00EC109B"/>
    <w:rsid w:val="00EC1189"/>
    <w:rsid w:val="00EC1226"/>
    <w:rsid w:val="00EC14B6"/>
    <w:rsid w:val="00EC14C8"/>
    <w:rsid w:val="00EC17A8"/>
    <w:rsid w:val="00EC1A5E"/>
    <w:rsid w:val="00EC1AEC"/>
    <w:rsid w:val="00EC1BF1"/>
    <w:rsid w:val="00EC1CC7"/>
    <w:rsid w:val="00EC1DF9"/>
    <w:rsid w:val="00EC1F78"/>
    <w:rsid w:val="00EC219B"/>
    <w:rsid w:val="00EC21E5"/>
    <w:rsid w:val="00EC228D"/>
    <w:rsid w:val="00EC23C1"/>
    <w:rsid w:val="00EC2402"/>
    <w:rsid w:val="00EC24A8"/>
    <w:rsid w:val="00EC2689"/>
    <w:rsid w:val="00EC2876"/>
    <w:rsid w:val="00EC2889"/>
    <w:rsid w:val="00EC2E35"/>
    <w:rsid w:val="00EC3017"/>
    <w:rsid w:val="00EC3027"/>
    <w:rsid w:val="00EC30D1"/>
    <w:rsid w:val="00EC321D"/>
    <w:rsid w:val="00EC334D"/>
    <w:rsid w:val="00EC335E"/>
    <w:rsid w:val="00EC338F"/>
    <w:rsid w:val="00EC3563"/>
    <w:rsid w:val="00EC35D7"/>
    <w:rsid w:val="00EC37E3"/>
    <w:rsid w:val="00EC3884"/>
    <w:rsid w:val="00EC3887"/>
    <w:rsid w:val="00EC3931"/>
    <w:rsid w:val="00EC3966"/>
    <w:rsid w:val="00EC396B"/>
    <w:rsid w:val="00EC396C"/>
    <w:rsid w:val="00EC39B1"/>
    <w:rsid w:val="00EC3B2F"/>
    <w:rsid w:val="00EC40C8"/>
    <w:rsid w:val="00EC42E3"/>
    <w:rsid w:val="00EC42FE"/>
    <w:rsid w:val="00EC4328"/>
    <w:rsid w:val="00EC4448"/>
    <w:rsid w:val="00EC44C8"/>
    <w:rsid w:val="00EC45EC"/>
    <w:rsid w:val="00EC45F0"/>
    <w:rsid w:val="00EC4664"/>
    <w:rsid w:val="00EC4708"/>
    <w:rsid w:val="00EC486F"/>
    <w:rsid w:val="00EC4878"/>
    <w:rsid w:val="00EC487D"/>
    <w:rsid w:val="00EC48DB"/>
    <w:rsid w:val="00EC48F4"/>
    <w:rsid w:val="00EC4AD2"/>
    <w:rsid w:val="00EC4B15"/>
    <w:rsid w:val="00EC4B9B"/>
    <w:rsid w:val="00EC4D75"/>
    <w:rsid w:val="00EC4EF4"/>
    <w:rsid w:val="00EC4FCD"/>
    <w:rsid w:val="00EC4FEF"/>
    <w:rsid w:val="00EC5198"/>
    <w:rsid w:val="00EC5323"/>
    <w:rsid w:val="00EC54DD"/>
    <w:rsid w:val="00EC55DD"/>
    <w:rsid w:val="00EC5993"/>
    <w:rsid w:val="00EC59A3"/>
    <w:rsid w:val="00EC5A4B"/>
    <w:rsid w:val="00EC5AA8"/>
    <w:rsid w:val="00EC5AE0"/>
    <w:rsid w:val="00EC5B4C"/>
    <w:rsid w:val="00EC5D7B"/>
    <w:rsid w:val="00EC5E24"/>
    <w:rsid w:val="00EC5F66"/>
    <w:rsid w:val="00EC617B"/>
    <w:rsid w:val="00EC6219"/>
    <w:rsid w:val="00EC6283"/>
    <w:rsid w:val="00EC6589"/>
    <w:rsid w:val="00EC6737"/>
    <w:rsid w:val="00EC690C"/>
    <w:rsid w:val="00EC69C6"/>
    <w:rsid w:val="00EC6A1F"/>
    <w:rsid w:val="00EC6F28"/>
    <w:rsid w:val="00EC6FA5"/>
    <w:rsid w:val="00EC707F"/>
    <w:rsid w:val="00EC71C8"/>
    <w:rsid w:val="00EC721E"/>
    <w:rsid w:val="00EC7339"/>
    <w:rsid w:val="00EC742C"/>
    <w:rsid w:val="00EC74DE"/>
    <w:rsid w:val="00EC7735"/>
    <w:rsid w:val="00EC77CB"/>
    <w:rsid w:val="00EC7941"/>
    <w:rsid w:val="00EC7943"/>
    <w:rsid w:val="00EC7A55"/>
    <w:rsid w:val="00EC7CBA"/>
    <w:rsid w:val="00EC7CD6"/>
    <w:rsid w:val="00EC7CE9"/>
    <w:rsid w:val="00EC7DD7"/>
    <w:rsid w:val="00EC7F6C"/>
    <w:rsid w:val="00EC7FF4"/>
    <w:rsid w:val="00ED0092"/>
    <w:rsid w:val="00ED0403"/>
    <w:rsid w:val="00ED0464"/>
    <w:rsid w:val="00ED05C4"/>
    <w:rsid w:val="00ED063E"/>
    <w:rsid w:val="00ED0799"/>
    <w:rsid w:val="00ED07FB"/>
    <w:rsid w:val="00ED0849"/>
    <w:rsid w:val="00ED08D4"/>
    <w:rsid w:val="00ED08ED"/>
    <w:rsid w:val="00ED09BF"/>
    <w:rsid w:val="00ED0A8D"/>
    <w:rsid w:val="00ED0C50"/>
    <w:rsid w:val="00ED0E44"/>
    <w:rsid w:val="00ED0FCD"/>
    <w:rsid w:val="00ED0FE8"/>
    <w:rsid w:val="00ED101E"/>
    <w:rsid w:val="00ED1096"/>
    <w:rsid w:val="00ED12C2"/>
    <w:rsid w:val="00ED1377"/>
    <w:rsid w:val="00ED13E1"/>
    <w:rsid w:val="00ED1416"/>
    <w:rsid w:val="00ED1492"/>
    <w:rsid w:val="00ED15E9"/>
    <w:rsid w:val="00ED18A2"/>
    <w:rsid w:val="00ED1A07"/>
    <w:rsid w:val="00ED1C9D"/>
    <w:rsid w:val="00ED1E14"/>
    <w:rsid w:val="00ED1E3D"/>
    <w:rsid w:val="00ED1ECA"/>
    <w:rsid w:val="00ED20AE"/>
    <w:rsid w:val="00ED20D7"/>
    <w:rsid w:val="00ED21D0"/>
    <w:rsid w:val="00ED2369"/>
    <w:rsid w:val="00ED242D"/>
    <w:rsid w:val="00ED24D9"/>
    <w:rsid w:val="00ED2611"/>
    <w:rsid w:val="00ED26BC"/>
    <w:rsid w:val="00ED26FC"/>
    <w:rsid w:val="00ED2856"/>
    <w:rsid w:val="00ED2BB3"/>
    <w:rsid w:val="00ED2E82"/>
    <w:rsid w:val="00ED3041"/>
    <w:rsid w:val="00ED30E1"/>
    <w:rsid w:val="00ED30E6"/>
    <w:rsid w:val="00ED30F9"/>
    <w:rsid w:val="00ED3194"/>
    <w:rsid w:val="00ED331C"/>
    <w:rsid w:val="00ED33AA"/>
    <w:rsid w:val="00ED33B8"/>
    <w:rsid w:val="00ED342E"/>
    <w:rsid w:val="00ED3432"/>
    <w:rsid w:val="00ED34A0"/>
    <w:rsid w:val="00ED34F8"/>
    <w:rsid w:val="00ED3988"/>
    <w:rsid w:val="00ED3A65"/>
    <w:rsid w:val="00ED3ACA"/>
    <w:rsid w:val="00ED3AE6"/>
    <w:rsid w:val="00ED3B72"/>
    <w:rsid w:val="00ED3C00"/>
    <w:rsid w:val="00ED3D5E"/>
    <w:rsid w:val="00ED3F37"/>
    <w:rsid w:val="00ED3F51"/>
    <w:rsid w:val="00ED402C"/>
    <w:rsid w:val="00ED4116"/>
    <w:rsid w:val="00ED412C"/>
    <w:rsid w:val="00ED4204"/>
    <w:rsid w:val="00ED4247"/>
    <w:rsid w:val="00ED4369"/>
    <w:rsid w:val="00ED4525"/>
    <w:rsid w:val="00ED4560"/>
    <w:rsid w:val="00ED48DC"/>
    <w:rsid w:val="00ED4A94"/>
    <w:rsid w:val="00ED4AA7"/>
    <w:rsid w:val="00ED4AF3"/>
    <w:rsid w:val="00ED4D04"/>
    <w:rsid w:val="00ED4D3F"/>
    <w:rsid w:val="00ED4D8F"/>
    <w:rsid w:val="00ED4E9E"/>
    <w:rsid w:val="00ED4FB7"/>
    <w:rsid w:val="00ED511A"/>
    <w:rsid w:val="00ED522E"/>
    <w:rsid w:val="00ED5294"/>
    <w:rsid w:val="00ED52E9"/>
    <w:rsid w:val="00ED5323"/>
    <w:rsid w:val="00ED53D1"/>
    <w:rsid w:val="00ED53FD"/>
    <w:rsid w:val="00ED549E"/>
    <w:rsid w:val="00ED55EE"/>
    <w:rsid w:val="00ED563E"/>
    <w:rsid w:val="00ED56CA"/>
    <w:rsid w:val="00ED5876"/>
    <w:rsid w:val="00ED58D0"/>
    <w:rsid w:val="00ED58E7"/>
    <w:rsid w:val="00ED594B"/>
    <w:rsid w:val="00ED597F"/>
    <w:rsid w:val="00ED5992"/>
    <w:rsid w:val="00ED5B0B"/>
    <w:rsid w:val="00ED5D01"/>
    <w:rsid w:val="00ED5D44"/>
    <w:rsid w:val="00ED5D6C"/>
    <w:rsid w:val="00ED61BB"/>
    <w:rsid w:val="00ED6265"/>
    <w:rsid w:val="00ED6369"/>
    <w:rsid w:val="00ED6470"/>
    <w:rsid w:val="00ED64E8"/>
    <w:rsid w:val="00ED64F3"/>
    <w:rsid w:val="00ED6664"/>
    <w:rsid w:val="00ED67D1"/>
    <w:rsid w:val="00ED67E5"/>
    <w:rsid w:val="00ED67E6"/>
    <w:rsid w:val="00ED6884"/>
    <w:rsid w:val="00ED6A0F"/>
    <w:rsid w:val="00ED6B6F"/>
    <w:rsid w:val="00ED6B8D"/>
    <w:rsid w:val="00ED6C4B"/>
    <w:rsid w:val="00ED6CE7"/>
    <w:rsid w:val="00ED6D31"/>
    <w:rsid w:val="00ED6D53"/>
    <w:rsid w:val="00ED7153"/>
    <w:rsid w:val="00ED7409"/>
    <w:rsid w:val="00ED7851"/>
    <w:rsid w:val="00ED7A7C"/>
    <w:rsid w:val="00ED7BD9"/>
    <w:rsid w:val="00ED7D72"/>
    <w:rsid w:val="00ED7DE3"/>
    <w:rsid w:val="00ED7E45"/>
    <w:rsid w:val="00ED7E72"/>
    <w:rsid w:val="00ED7EF8"/>
    <w:rsid w:val="00ED7F0D"/>
    <w:rsid w:val="00EE0025"/>
    <w:rsid w:val="00EE0048"/>
    <w:rsid w:val="00EE00C2"/>
    <w:rsid w:val="00EE011B"/>
    <w:rsid w:val="00EE012C"/>
    <w:rsid w:val="00EE014A"/>
    <w:rsid w:val="00EE0279"/>
    <w:rsid w:val="00EE0386"/>
    <w:rsid w:val="00EE03B7"/>
    <w:rsid w:val="00EE04D6"/>
    <w:rsid w:val="00EE0504"/>
    <w:rsid w:val="00EE05C5"/>
    <w:rsid w:val="00EE05D5"/>
    <w:rsid w:val="00EE0610"/>
    <w:rsid w:val="00EE078F"/>
    <w:rsid w:val="00EE08F3"/>
    <w:rsid w:val="00EE0951"/>
    <w:rsid w:val="00EE0980"/>
    <w:rsid w:val="00EE0A0D"/>
    <w:rsid w:val="00EE0A50"/>
    <w:rsid w:val="00EE0B47"/>
    <w:rsid w:val="00EE0BEE"/>
    <w:rsid w:val="00EE0CBC"/>
    <w:rsid w:val="00EE0D4C"/>
    <w:rsid w:val="00EE0E6A"/>
    <w:rsid w:val="00EE0F0A"/>
    <w:rsid w:val="00EE0F9F"/>
    <w:rsid w:val="00EE106E"/>
    <w:rsid w:val="00EE10FF"/>
    <w:rsid w:val="00EE11CD"/>
    <w:rsid w:val="00EE12A5"/>
    <w:rsid w:val="00EE12D8"/>
    <w:rsid w:val="00EE135A"/>
    <w:rsid w:val="00EE1414"/>
    <w:rsid w:val="00EE155B"/>
    <w:rsid w:val="00EE156C"/>
    <w:rsid w:val="00EE17EC"/>
    <w:rsid w:val="00EE18D9"/>
    <w:rsid w:val="00EE18ED"/>
    <w:rsid w:val="00EE1956"/>
    <w:rsid w:val="00EE197D"/>
    <w:rsid w:val="00EE1ADF"/>
    <w:rsid w:val="00EE1B6B"/>
    <w:rsid w:val="00EE1BD5"/>
    <w:rsid w:val="00EE1DB9"/>
    <w:rsid w:val="00EE1E9D"/>
    <w:rsid w:val="00EE1F9E"/>
    <w:rsid w:val="00EE2030"/>
    <w:rsid w:val="00EE205B"/>
    <w:rsid w:val="00EE20C3"/>
    <w:rsid w:val="00EE21B8"/>
    <w:rsid w:val="00EE22AA"/>
    <w:rsid w:val="00EE22B1"/>
    <w:rsid w:val="00EE235D"/>
    <w:rsid w:val="00EE23D8"/>
    <w:rsid w:val="00EE2529"/>
    <w:rsid w:val="00EE2652"/>
    <w:rsid w:val="00EE279B"/>
    <w:rsid w:val="00EE27BF"/>
    <w:rsid w:val="00EE2805"/>
    <w:rsid w:val="00EE287A"/>
    <w:rsid w:val="00EE28D3"/>
    <w:rsid w:val="00EE29B2"/>
    <w:rsid w:val="00EE29F0"/>
    <w:rsid w:val="00EE2A7D"/>
    <w:rsid w:val="00EE2BC3"/>
    <w:rsid w:val="00EE2BE8"/>
    <w:rsid w:val="00EE2C4A"/>
    <w:rsid w:val="00EE2C8B"/>
    <w:rsid w:val="00EE2F09"/>
    <w:rsid w:val="00EE2F31"/>
    <w:rsid w:val="00EE2F6F"/>
    <w:rsid w:val="00EE3019"/>
    <w:rsid w:val="00EE3288"/>
    <w:rsid w:val="00EE32E9"/>
    <w:rsid w:val="00EE3479"/>
    <w:rsid w:val="00EE360C"/>
    <w:rsid w:val="00EE36B8"/>
    <w:rsid w:val="00EE3718"/>
    <w:rsid w:val="00EE3742"/>
    <w:rsid w:val="00EE376A"/>
    <w:rsid w:val="00EE3852"/>
    <w:rsid w:val="00EE3870"/>
    <w:rsid w:val="00EE396E"/>
    <w:rsid w:val="00EE3ABB"/>
    <w:rsid w:val="00EE3B18"/>
    <w:rsid w:val="00EE3CD7"/>
    <w:rsid w:val="00EE3CE4"/>
    <w:rsid w:val="00EE3D8A"/>
    <w:rsid w:val="00EE3E7A"/>
    <w:rsid w:val="00EE3E7B"/>
    <w:rsid w:val="00EE41DF"/>
    <w:rsid w:val="00EE42C2"/>
    <w:rsid w:val="00EE43EB"/>
    <w:rsid w:val="00EE43FC"/>
    <w:rsid w:val="00EE4451"/>
    <w:rsid w:val="00EE4643"/>
    <w:rsid w:val="00EE46D8"/>
    <w:rsid w:val="00EE4938"/>
    <w:rsid w:val="00EE4A2B"/>
    <w:rsid w:val="00EE4AA8"/>
    <w:rsid w:val="00EE4B5A"/>
    <w:rsid w:val="00EE4D99"/>
    <w:rsid w:val="00EE5272"/>
    <w:rsid w:val="00EE542A"/>
    <w:rsid w:val="00EE54B6"/>
    <w:rsid w:val="00EE56C4"/>
    <w:rsid w:val="00EE57B4"/>
    <w:rsid w:val="00EE5801"/>
    <w:rsid w:val="00EE582A"/>
    <w:rsid w:val="00EE5882"/>
    <w:rsid w:val="00EE5AFD"/>
    <w:rsid w:val="00EE5B6D"/>
    <w:rsid w:val="00EE5CD4"/>
    <w:rsid w:val="00EE5E31"/>
    <w:rsid w:val="00EE5EDA"/>
    <w:rsid w:val="00EE5FE6"/>
    <w:rsid w:val="00EE60F6"/>
    <w:rsid w:val="00EE6142"/>
    <w:rsid w:val="00EE616A"/>
    <w:rsid w:val="00EE620E"/>
    <w:rsid w:val="00EE6537"/>
    <w:rsid w:val="00EE66B6"/>
    <w:rsid w:val="00EE6734"/>
    <w:rsid w:val="00EE67F4"/>
    <w:rsid w:val="00EE68BA"/>
    <w:rsid w:val="00EE691C"/>
    <w:rsid w:val="00EE6978"/>
    <w:rsid w:val="00EE6A4B"/>
    <w:rsid w:val="00EE6C83"/>
    <w:rsid w:val="00EE6CF8"/>
    <w:rsid w:val="00EE6CFC"/>
    <w:rsid w:val="00EE6D44"/>
    <w:rsid w:val="00EE6D6E"/>
    <w:rsid w:val="00EE6E10"/>
    <w:rsid w:val="00EE6E88"/>
    <w:rsid w:val="00EE70FA"/>
    <w:rsid w:val="00EE72C5"/>
    <w:rsid w:val="00EE748E"/>
    <w:rsid w:val="00EE74BC"/>
    <w:rsid w:val="00EE7502"/>
    <w:rsid w:val="00EE7533"/>
    <w:rsid w:val="00EE760B"/>
    <w:rsid w:val="00EE7728"/>
    <w:rsid w:val="00EE7753"/>
    <w:rsid w:val="00EE7816"/>
    <w:rsid w:val="00EE7984"/>
    <w:rsid w:val="00EE7A1D"/>
    <w:rsid w:val="00EE7A36"/>
    <w:rsid w:val="00EE7AD7"/>
    <w:rsid w:val="00EE7BFE"/>
    <w:rsid w:val="00EE7D62"/>
    <w:rsid w:val="00EE7EA9"/>
    <w:rsid w:val="00EE7EB5"/>
    <w:rsid w:val="00EE7EDC"/>
    <w:rsid w:val="00EE7F8B"/>
    <w:rsid w:val="00EF0008"/>
    <w:rsid w:val="00EF000E"/>
    <w:rsid w:val="00EF0190"/>
    <w:rsid w:val="00EF045B"/>
    <w:rsid w:val="00EF0535"/>
    <w:rsid w:val="00EF06DB"/>
    <w:rsid w:val="00EF06FF"/>
    <w:rsid w:val="00EF0853"/>
    <w:rsid w:val="00EF092F"/>
    <w:rsid w:val="00EF0BDB"/>
    <w:rsid w:val="00EF0EF6"/>
    <w:rsid w:val="00EF0EFD"/>
    <w:rsid w:val="00EF0FD4"/>
    <w:rsid w:val="00EF116F"/>
    <w:rsid w:val="00EF1189"/>
    <w:rsid w:val="00EF127D"/>
    <w:rsid w:val="00EF1477"/>
    <w:rsid w:val="00EF14E8"/>
    <w:rsid w:val="00EF154D"/>
    <w:rsid w:val="00EF15E3"/>
    <w:rsid w:val="00EF1674"/>
    <w:rsid w:val="00EF1C11"/>
    <w:rsid w:val="00EF1CFF"/>
    <w:rsid w:val="00EF1D1E"/>
    <w:rsid w:val="00EF1E24"/>
    <w:rsid w:val="00EF2073"/>
    <w:rsid w:val="00EF21F6"/>
    <w:rsid w:val="00EF240E"/>
    <w:rsid w:val="00EF24E9"/>
    <w:rsid w:val="00EF2541"/>
    <w:rsid w:val="00EF26D3"/>
    <w:rsid w:val="00EF2740"/>
    <w:rsid w:val="00EF2784"/>
    <w:rsid w:val="00EF283A"/>
    <w:rsid w:val="00EF2A3E"/>
    <w:rsid w:val="00EF2B42"/>
    <w:rsid w:val="00EF2D63"/>
    <w:rsid w:val="00EF2EBE"/>
    <w:rsid w:val="00EF2ECE"/>
    <w:rsid w:val="00EF2FA1"/>
    <w:rsid w:val="00EF2FAE"/>
    <w:rsid w:val="00EF3003"/>
    <w:rsid w:val="00EF305A"/>
    <w:rsid w:val="00EF3062"/>
    <w:rsid w:val="00EF307D"/>
    <w:rsid w:val="00EF3133"/>
    <w:rsid w:val="00EF31F3"/>
    <w:rsid w:val="00EF3306"/>
    <w:rsid w:val="00EF33EF"/>
    <w:rsid w:val="00EF34DB"/>
    <w:rsid w:val="00EF35F2"/>
    <w:rsid w:val="00EF374B"/>
    <w:rsid w:val="00EF3754"/>
    <w:rsid w:val="00EF3845"/>
    <w:rsid w:val="00EF3AFD"/>
    <w:rsid w:val="00EF3B0D"/>
    <w:rsid w:val="00EF3BEC"/>
    <w:rsid w:val="00EF3D26"/>
    <w:rsid w:val="00EF3F1E"/>
    <w:rsid w:val="00EF40BF"/>
    <w:rsid w:val="00EF40C2"/>
    <w:rsid w:val="00EF413B"/>
    <w:rsid w:val="00EF4156"/>
    <w:rsid w:val="00EF41E4"/>
    <w:rsid w:val="00EF4204"/>
    <w:rsid w:val="00EF42BB"/>
    <w:rsid w:val="00EF4794"/>
    <w:rsid w:val="00EF486C"/>
    <w:rsid w:val="00EF494C"/>
    <w:rsid w:val="00EF4997"/>
    <w:rsid w:val="00EF4A7B"/>
    <w:rsid w:val="00EF4AF7"/>
    <w:rsid w:val="00EF4CEF"/>
    <w:rsid w:val="00EF4DD3"/>
    <w:rsid w:val="00EF4E1E"/>
    <w:rsid w:val="00EF4FB4"/>
    <w:rsid w:val="00EF4FD2"/>
    <w:rsid w:val="00EF5060"/>
    <w:rsid w:val="00EF51AB"/>
    <w:rsid w:val="00EF5404"/>
    <w:rsid w:val="00EF557B"/>
    <w:rsid w:val="00EF5605"/>
    <w:rsid w:val="00EF58B6"/>
    <w:rsid w:val="00EF5A1A"/>
    <w:rsid w:val="00EF5A94"/>
    <w:rsid w:val="00EF5ABF"/>
    <w:rsid w:val="00EF5CBB"/>
    <w:rsid w:val="00EF5D3F"/>
    <w:rsid w:val="00EF5E38"/>
    <w:rsid w:val="00EF5FFA"/>
    <w:rsid w:val="00EF6127"/>
    <w:rsid w:val="00EF61FB"/>
    <w:rsid w:val="00EF62B2"/>
    <w:rsid w:val="00EF6426"/>
    <w:rsid w:val="00EF64A5"/>
    <w:rsid w:val="00EF65D8"/>
    <w:rsid w:val="00EF66C3"/>
    <w:rsid w:val="00EF691B"/>
    <w:rsid w:val="00EF6A96"/>
    <w:rsid w:val="00EF6C1E"/>
    <w:rsid w:val="00EF6C64"/>
    <w:rsid w:val="00EF6D76"/>
    <w:rsid w:val="00EF6E3F"/>
    <w:rsid w:val="00EF6F37"/>
    <w:rsid w:val="00EF7031"/>
    <w:rsid w:val="00EF7042"/>
    <w:rsid w:val="00EF70B4"/>
    <w:rsid w:val="00EF72E4"/>
    <w:rsid w:val="00EF7363"/>
    <w:rsid w:val="00EF75DD"/>
    <w:rsid w:val="00EF760E"/>
    <w:rsid w:val="00EF7647"/>
    <w:rsid w:val="00EF7685"/>
    <w:rsid w:val="00EF77C3"/>
    <w:rsid w:val="00EF7877"/>
    <w:rsid w:val="00EF79C8"/>
    <w:rsid w:val="00EF79ED"/>
    <w:rsid w:val="00EF7B8C"/>
    <w:rsid w:val="00EF7BAC"/>
    <w:rsid w:val="00EF7CAC"/>
    <w:rsid w:val="00EF7D6A"/>
    <w:rsid w:val="00EF7EBC"/>
    <w:rsid w:val="00EF7FE3"/>
    <w:rsid w:val="00EF7FF2"/>
    <w:rsid w:val="00F0006E"/>
    <w:rsid w:val="00F00424"/>
    <w:rsid w:val="00F0046A"/>
    <w:rsid w:val="00F004EC"/>
    <w:rsid w:val="00F0071C"/>
    <w:rsid w:val="00F00792"/>
    <w:rsid w:val="00F00B97"/>
    <w:rsid w:val="00F00D45"/>
    <w:rsid w:val="00F00DB0"/>
    <w:rsid w:val="00F00ECD"/>
    <w:rsid w:val="00F00ED8"/>
    <w:rsid w:val="00F0105E"/>
    <w:rsid w:val="00F01099"/>
    <w:rsid w:val="00F01140"/>
    <w:rsid w:val="00F01304"/>
    <w:rsid w:val="00F016F6"/>
    <w:rsid w:val="00F01708"/>
    <w:rsid w:val="00F01794"/>
    <w:rsid w:val="00F017AA"/>
    <w:rsid w:val="00F01A63"/>
    <w:rsid w:val="00F01E8B"/>
    <w:rsid w:val="00F01EC5"/>
    <w:rsid w:val="00F01F54"/>
    <w:rsid w:val="00F01F72"/>
    <w:rsid w:val="00F01F74"/>
    <w:rsid w:val="00F01F83"/>
    <w:rsid w:val="00F01FD0"/>
    <w:rsid w:val="00F01FE4"/>
    <w:rsid w:val="00F02034"/>
    <w:rsid w:val="00F02047"/>
    <w:rsid w:val="00F02471"/>
    <w:rsid w:val="00F024F5"/>
    <w:rsid w:val="00F02743"/>
    <w:rsid w:val="00F0275D"/>
    <w:rsid w:val="00F0281B"/>
    <w:rsid w:val="00F0289F"/>
    <w:rsid w:val="00F0291F"/>
    <w:rsid w:val="00F029BA"/>
    <w:rsid w:val="00F02A54"/>
    <w:rsid w:val="00F02AD7"/>
    <w:rsid w:val="00F02B38"/>
    <w:rsid w:val="00F02C08"/>
    <w:rsid w:val="00F02D92"/>
    <w:rsid w:val="00F02E49"/>
    <w:rsid w:val="00F03001"/>
    <w:rsid w:val="00F03429"/>
    <w:rsid w:val="00F034D7"/>
    <w:rsid w:val="00F03590"/>
    <w:rsid w:val="00F035D0"/>
    <w:rsid w:val="00F03749"/>
    <w:rsid w:val="00F03763"/>
    <w:rsid w:val="00F03769"/>
    <w:rsid w:val="00F0377E"/>
    <w:rsid w:val="00F037E5"/>
    <w:rsid w:val="00F03878"/>
    <w:rsid w:val="00F03927"/>
    <w:rsid w:val="00F039B6"/>
    <w:rsid w:val="00F03A4F"/>
    <w:rsid w:val="00F03B07"/>
    <w:rsid w:val="00F03C69"/>
    <w:rsid w:val="00F03D92"/>
    <w:rsid w:val="00F03EEA"/>
    <w:rsid w:val="00F03F66"/>
    <w:rsid w:val="00F03F9A"/>
    <w:rsid w:val="00F041E2"/>
    <w:rsid w:val="00F0422B"/>
    <w:rsid w:val="00F04246"/>
    <w:rsid w:val="00F0441B"/>
    <w:rsid w:val="00F044AB"/>
    <w:rsid w:val="00F04647"/>
    <w:rsid w:val="00F047C3"/>
    <w:rsid w:val="00F048D2"/>
    <w:rsid w:val="00F04962"/>
    <w:rsid w:val="00F04968"/>
    <w:rsid w:val="00F04B43"/>
    <w:rsid w:val="00F04C4B"/>
    <w:rsid w:val="00F04D5F"/>
    <w:rsid w:val="00F04DE5"/>
    <w:rsid w:val="00F04EEC"/>
    <w:rsid w:val="00F04F88"/>
    <w:rsid w:val="00F04FE9"/>
    <w:rsid w:val="00F04FEA"/>
    <w:rsid w:val="00F050B8"/>
    <w:rsid w:val="00F050EF"/>
    <w:rsid w:val="00F05129"/>
    <w:rsid w:val="00F05292"/>
    <w:rsid w:val="00F052E2"/>
    <w:rsid w:val="00F054EA"/>
    <w:rsid w:val="00F05568"/>
    <w:rsid w:val="00F05576"/>
    <w:rsid w:val="00F0576B"/>
    <w:rsid w:val="00F059F9"/>
    <w:rsid w:val="00F05A4E"/>
    <w:rsid w:val="00F05A7F"/>
    <w:rsid w:val="00F05A82"/>
    <w:rsid w:val="00F05C71"/>
    <w:rsid w:val="00F05C73"/>
    <w:rsid w:val="00F05DA8"/>
    <w:rsid w:val="00F05E00"/>
    <w:rsid w:val="00F05ED5"/>
    <w:rsid w:val="00F06017"/>
    <w:rsid w:val="00F06055"/>
    <w:rsid w:val="00F06477"/>
    <w:rsid w:val="00F065A6"/>
    <w:rsid w:val="00F066A8"/>
    <w:rsid w:val="00F06912"/>
    <w:rsid w:val="00F069EB"/>
    <w:rsid w:val="00F06AE9"/>
    <w:rsid w:val="00F06B2C"/>
    <w:rsid w:val="00F06B81"/>
    <w:rsid w:val="00F06C86"/>
    <w:rsid w:val="00F06CAB"/>
    <w:rsid w:val="00F06F8B"/>
    <w:rsid w:val="00F06F9B"/>
    <w:rsid w:val="00F070B6"/>
    <w:rsid w:val="00F0711D"/>
    <w:rsid w:val="00F07182"/>
    <w:rsid w:val="00F07215"/>
    <w:rsid w:val="00F072A6"/>
    <w:rsid w:val="00F073B2"/>
    <w:rsid w:val="00F07467"/>
    <w:rsid w:val="00F075F8"/>
    <w:rsid w:val="00F07819"/>
    <w:rsid w:val="00F0786A"/>
    <w:rsid w:val="00F078A6"/>
    <w:rsid w:val="00F078BB"/>
    <w:rsid w:val="00F079C5"/>
    <w:rsid w:val="00F079E3"/>
    <w:rsid w:val="00F07B1B"/>
    <w:rsid w:val="00F07CBA"/>
    <w:rsid w:val="00F07E56"/>
    <w:rsid w:val="00F07EB4"/>
    <w:rsid w:val="00F07F79"/>
    <w:rsid w:val="00F07F8C"/>
    <w:rsid w:val="00F07F9F"/>
    <w:rsid w:val="00F10032"/>
    <w:rsid w:val="00F10344"/>
    <w:rsid w:val="00F103C9"/>
    <w:rsid w:val="00F1049D"/>
    <w:rsid w:val="00F1072A"/>
    <w:rsid w:val="00F1075B"/>
    <w:rsid w:val="00F10788"/>
    <w:rsid w:val="00F10849"/>
    <w:rsid w:val="00F10858"/>
    <w:rsid w:val="00F10C7F"/>
    <w:rsid w:val="00F10E29"/>
    <w:rsid w:val="00F10F78"/>
    <w:rsid w:val="00F111D8"/>
    <w:rsid w:val="00F112C1"/>
    <w:rsid w:val="00F112ED"/>
    <w:rsid w:val="00F112FA"/>
    <w:rsid w:val="00F11428"/>
    <w:rsid w:val="00F114E2"/>
    <w:rsid w:val="00F1153B"/>
    <w:rsid w:val="00F1158B"/>
    <w:rsid w:val="00F1159B"/>
    <w:rsid w:val="00F115C2"/>
    <w:rsid w:val="00F1161F"/>
    <w:rsid w:val="00F11637"/>
    <w:rsid w:val="00F116D6"/>
    <w:rsid w:val="00F117C3"/>
    <w:rsid w:val="00F117F5"/>
    <w:rsid w:val="00F11931"/>
    <w:rsid w:val="00F119B4"/>
    <w:rsid w:val="00F119F7"/>
    <w:rsid w:val="00F11AB0"/>
    <w:rsid w:val="00F11C0D"/>
    <w:rsid w:val="00F11C34"/>
    <w:rsid w:val="00F11DC0"/>
    <w:rsid w:val="00F11DED"/>
    <w:rsid w:val="00F11E70"/>
    <w:rsid w:val="00F1203C"/>
    <w:rsid w:val="00F120FD"/>
    <w:rsid w:val="00F1212E"/>
    <w:rsid w:val="00F12133"/>
    <w:rsid w:val="00F121EB"/>
    <w:rsid w:val="00F12284"/>
    <w:rsid w:val="00F12374"/>
    <w:rsid w:val="00F123BE"/>
    <w:rsid w:val="00F1254E"/>
    <w:rsid w:val="00F12591"/>
    <w:rsid w:val="00F12667"/>
    <w:rsid w:val="00F128E4"/>
    <w:rsid w:val="00F129E9"/>
    <w:rsid w:val="00F129EB"/>
    <w:rsid w:val="00F12B14"/>
    <w:rsid w:val="00F12C52"/>
    <w:rsid w:val="00F12C99"/>
    <w:rsid w:val="00F12D51"/>
    <w:rsid w:val="00F12EEA"/>
    <w:rsid w:val="00F12F6A"/>
    <w:rsid w:val="00F12FF4"/>
    <w:rsid w:val="00F13174"/>
    <w:rsid w:val="00F133C5"/>
    <w:rsid w:val="00F133CD"/>
    <w:rsid w:val="00F1359C"/>
    <w:rsid w:val="00F136C9"/>
    <w:rsid w:val="00F1373D"/>
    <w:rsid w:val="00F1376D"/>
    <w:rsid w:val="00F1376E"/>
    <w:rsid w:val="00F138EF"/>
    <w:rsid w:val="00F13970"/>
    <w:rsid w:val="00F13AE1"/>
    <w:rsid w:val="00F13B4C"/>
    <w:rsid w:val="00F13B54"/>
    <w:rsid w:val="00F13CDC"/>
    <w:rsid w:val="00F13CFD"/>
    <w:rsid w:val="00F13DDC"/>
    <w:rsid w:val="00F13EAA"/>
    <w:rsid w:val="00F13F5B"/>
    <w:rsid w:val="00F1409C"/>
    <w:rsid w:val="00F140EC"/>
    <w:rsid w:val="00F142CF"/>
    <w:rsid w:val="00F14325"/>
    <w:rsid w:val="00F14342"/>
    <w:rsid w:val="00F14696"/>
    <w:rsid w:val="00F14770"/>
    <w:rsid w:val="00F14936"/>
    <w:rsid w:val="00F14BA5"/>
    <w:rsid w:val="00F14CA6"/>
    <w:rsid w:val="00F14CE4"/>
    <w:rsid w:val="00F14D16"/>
    <w:rsid w:val="00F14E73"/>
    <w:rsid w:val="00F14E94"/>
    <w:rsid w:val="00F14F64"/>
    <w:rsid w:val="00F14FB3"/>
    <w:rsid w:val="00F15088"/>
    <w:rsid w:val="00F15248"/>
    <w:rsid w:val="00F15275"/>
    <w:rsid w:val="00F15327"/>
    <w:rsid w:val="00F157F4"/>
    <w:rsid w:val="00F15996"/>
    <w:rsid w:val="00F15A1B"/>
    <w:rsid w:val="00F15B31"/>
    <w:rsid w:val="00F15CFD"/>
    <w:rsid w:val="00F15DC9"/>
    <w:rsid w:val="00F15E99"/>
    <w:rsid w:val="00F15EB9"/>
    <w:rsid w:val="00F15F22"/>
    <w:rsid w:val="00F15F5B"/>
    <w:rsid w:val="00F15FA8"/>
    <w:rsid w:val="00F160E1"/>
    <w:rsid w:val="00F1620C"/>
    <w:rsid w:val="00F1635F"/>
    <w:rsid w:val="00F16493"/>
    <w:rsid w:val="00F167E7"/>
    <w:rsid w:val="00F16819"/>
    <w:rsid w:val="00F16888"/>
    <w:rsid w:val="00F169AA"/>
    <w:rsid w:val="00F169C5"/>
    <w:rsid w:val="00F169D0"/>
    <w:rsid w:val="00F16D5B"/>
    <w:rsid w:val="00F16D71"/>
    <w:rsid w:val="00F16E0D"/>
    <w:rsid w:val="00F17067"/>
    <w:rsid w:val="00F171B7"/>
    <w:rsid w:val="00F17218"/>
    <w:rsid w:val="00F17284"/>
    <w:rsid w:val="00F1730B"/>
    <w:rsid w:val="00F17317"/>
    <w:rsid w:val="00F17462"/>
    <w:rsid w:val="00F174AD"/>
    <w:rsid w:val="00F1752B"/>
    <w:rsid w:val="00F175CD"/>
    <w:rsid w:val="00F17815"/>
    <w:rsid w:val="00F179C9"/>
    <w:rsid w:val="00F17B0B"/>
    <w:rsid w:val="00F17B9A"/>
    <w:rsid w:val="00F17CB7"/>
    <w:rsid w:val="00F17CC7"/>
    <w:rsid w:val="00F17D93"/>
    <w:rsid w:val="00F20214"/>
    <w:rsid w:val="00F20235"/>
    <w:rsid w:val="00F2025C"/>
    <w:rsid w:val="00F20454"/>
    <w:rsid w:val="00F2059D"/>
    <w:rsid w:val="00F2070F"/>
    <w:rsid w:val="00F208AA"/>
    <w:rsid w:val="00F208B0"/>
    <w:rsid w:val="00F20907"/>
    <w:rsid w:val="00F20AE3"/>
    <w:rsid w:val="00F20BCE"/>
    <w:rsid w:val="00F20BDA"/>
    <w:rsid w:val="00F20C88"/>
    <w:rsid w:val="00F20D75"/>
    <w:rsid w:val="00F20DB5"/>
    <w:rsid w:val="00F20EB6"/>
    <w:rsid w:val="00F20F6D"/>
    <w:rsid w:val="00F20F86"/>
    <w:rsid w:val="00F21036"/>
    <w:rsid w:val="00F2111E"/>
    <w:rsid w:val="00F2120C"/>
    <w:rsid w:val="00F212D0"/>
    <w:rsid w:val="00F212E9"/>
    <w:rsid w:val="00F21380"/>
    <w:rsid w:val="00F2148B"/>
    <w:rsid w:val="00F214FF"/>
    <w:rsid w:val="00F2169E"/>
    <w:rsid w:val="00F217B7"/>
    <w:rsid w:val="00F21973"/>
    <w:rsid w:val="00F21B34"/>
    <w:rsid w:val="00F21B93"/>
    <w:rsid w:val="00F21DF5"/>
    <w:rsid w:val="00F21E31"/>
    <w:rsid w:val="00F21EAE"/>
    <w:rsid w:val="00F21F6A"/>
    <w:rsid w:val="00F220DA"/>
    <w:rsid w:val="00F220E9"/>
    <w:rsid w:val="00F22222"/>
    <w:rsid w:val="00F2222E"/>
    <w:rsid w:val="00F2223A"/>
    <w:rsid w:val="00F2231D"/>
    <w:rsid w:val="00F223A7"/>
    <w:rsid w:val="00F224B1"/>
    <w:rsid w:val="00F224BB"/>
    <w:rsid w:val="00F2253A"/>
    <w:rsid w:val="00F22576"/>
    <w:rsid w:val="00F226B1"/>
    <w:rsid w:val="00F226E1"/>
    <w:rsid w:val="00F227C9"/>
    <w:rsid w:val="00F228B8"/>
    <w:rsid w:val="00F22936"/>
    <w:rsid w:val="00F22957"/>
    <w:rsid w:val="00F22BD1"/>
    <w:rsid w:val="00F22F3C"/>
    <w:rsid w:val="00F22FE7"/>
    <w:rsid w:val="00F230AF"/>
    <w:rsid w:val="00F23137"/>
    <w:rsid w:val="00F231E5"/>
    <w:rsid w:val="00F23230"/>
    <w:rsid w:val="00F233D9"/>
    <w:rsid w:val="00F23514"/>
    <w:rsid w:val="00F236C0"/>
    <w:rsid w:val="00F23846"/>
    <w:rsid w:val="00F23867"/>
    <w:rsid w:val="00F2386B"/>
    <w:rsid w:val="00F23A93"/>
    <w:rsid w:val="00F23A9F"/>
    <w:rsid w:val="00F23DC5"/>
    <w:rsid w:val="00F23E46"/>
    <w:rsid w:val="00F23E56"/>
    <w:rsid w:val="00F23F81"/>
    <w:rsid w:val="00F24185"/>
    <w:rsid w:val="00F242AA"/>
    <w:rsid w:val="00F243BC"/>
    <w:rsid w:val="00F243DA"/>
    <w:rsid w:val="00F24459"/>
    <w:rsid w:val="00F244AA"/>
    <w:rsid w:val="00F246B0"/>
    <w:rsid w:val="00F24777"/>
    <w:rsid w:val="00F247E9"/>
    <w:rsid w:val="00F24A6B"/>
    <w:rsid w:val="00F24ABA"/>
    <w:rsid w:val="00F24AE8"/>
    <w:rsid w:val="00F24BA7"/>
    <w:rsid w:val="00F24BCC"/>
    <w:rsid w:val="00F24C0F"/>
    <w:rsid w:val="00F24C5A"/>
    <w:rsid w:val="00F24D84"/>
    <w:rsid w:val="00F24DDF"/>
    <w:rsid w:val="00F24EFF"/>
    <w:rsid w:val="00F25019"/>
    <w:rsid w:val="00F25387"/>
    <w:rsid w:val="00F253E5"/>
    <w:rsid w:val="00F25487"/>
    <w:rsid w:val="00F254B5"/>
    <w:rsid w:val="00F2550B"/>
    <w:rsid w:val="00F25563"/>
    <w:rsid w:val="00F25599"/>
    <w:rsid w:val="00F25647"/>
    <w:rsid w:val="00F256A7"/>
    <w:rsid w:val="00F256B8"/>
    <w:rsid w:val="00F25831"/>
    <w:rsid w:val="00F25914"/>
    <w:rsid w:val="00F2592E"/>
    <w:rsid w:val="00F259C5"/>
    <w:rsid w:val="00F259E9"/>
    <w:rsid w:val="00F25CDE"/>
    <w:rsid w:val="00F25DC8"/>
    <w:rsid w:val="00F25E52"/>
    <w:rsid w:val="00F25E58"/>
    <w:rsid w:val="00F260F4"/>
    <w:rsid w:val="00F2616D"/>
    <w:rsid w:val="00F26221"/>
    <w:rsid w:val="00F26252"/>
    <w:rsid w:val="00F26697"/>
    <w:rsid w:val="00F266F1"/>
    <w:rsid w:val="00F26740"/>
    <w:rsid w:val="00F26979"/>
    <w:rsid w:val="00F269AD"/>
    <w:rsid w:val="00F269F1"/>
    <w:rsid w:val="00F26C55"/>
    <w:rsid w:val="00F26C5D"/>
    <w:rsid w:val="00F26C5E"/>
    <w:rsid w:val="00F26CB2"/>
    <w:rsid w:val="00F26D5D"/>
    <w:rsid w:val="00F26FE7"/>
    <w:rsid w:val="00F27099"/>
    <w:rsid w:val="00F27292"/>
    <w:rsid w:val="00F273F4"/>
    <w:rsid w:val="00F27518"/>
    <w:rsid w:val="00F275BE"/>
    <w:rsid w:val="00F278D4"/>
    <w:rsid w:val="00F278E7"/>
    <w:rsid w:val="00F27977"/>
    <w:rsid w:val="00F27AE2"/>
    <w:rsid w:val="00F27B46"/>
    <w:rsid w:val="00F27C0A"/>
    <w:rsid w:val="00F27C24"/>
    <w:rsid w:val="00F27DB0"/>
    <w:rsid w:val="00F300AF"/>
    <w:rsid w:val="00F3031C"/>
    <w:rsid w:val="00F30384"/>
    <w:rsid w:val="00F30460"/>
    <w:rsid w:val="00F3060A"/>
    <w:rsid w:val="00F30628"/>
    <w:rsid w:val="00F30691"/>
    <w:rsid w:val="00F306C5"/>
    <w:rsid w:val="00F30783"/>
    <w:rsid w:val="00F30829"/>
    <w:rsid w:val="00F3088A"/>
    <w:rsid w:val="00F308CC"/>
    <w:rsid w:val="00F30940"/>
    <w:rsid w:val="00F30A69"/>
    <w:rsid w:val="00F30A86"/>
    <w:rsid w:val="00F30DAB"/>
    <w:rsid w:val="00F30E5F"/>
    <w:rsid w:val="00F30FD8"/>
    <w:rsid w:val="00F30FF7"/>
    <w:rsid w:val="00F311B1"/>
    <w:rsid w:val="00F31499"/>
    <w:rsid w:val="00F314EA"/>
    <w:rsid w:val="00F31587"/>
    <w:rsid w:val="00F315A5"/>
    <w:rsid w:val="00F31771"/>
    <w:rsid w:val="00F31851"/>
    <w:rsid w:val="00F319A8"/>
    <w:rsid w:val="00F319CE"/>
    <w:rsid w:val="00F319D3"/>
    <w:rsid w:val="00F319F2"/>
    <w:rsid w:val="00F31AD7"/>
    <w:rsid w:val="00F31C32"/>
    <w:rsid w:val="00F31C63"/>
    <w:rsid w:val="00F31C6D"/>
    <w:rsid w:val="00F31CB6"/>
    <w:rsid w:val="00F31D28"/>
    <w:rsid w:val="00F32128"/>
    <w:rsid w:val="00F322C0"/>
    <w:rsid w:val="00F32352"/>
    <w:rsid w:val="00F32487"/>
    <w:rsid w:val="00F325BC"/>
    <w:rsid w:val="00F32B48"/>
    <w:rsid w:val="00F32BBC"/>
    <w:rsid w:val="00F32CF7"/>
    <w:rsid w:val="00F32D88"/>
    <w:rsid w:val="00F32ED4"/>
    <w:rsid w:val="00F32F27"/>
    <w:rsid w:val="00F32F4F"/>
    <w:rsid w:val="00F32FAA"/>
    <w:rsid w:val="00F33027"/>
    <w:rsid w:val="00F33364"/>
    <w:rsid w:val="00F337CD"/>
    <w:rsid w:val="00F3394D"/>
    <w:rsid w:val="00F33ACC"/>
    <w:rsid w:val="00F33B73"/>
    <w:rsid w:val="00F33BFD"/>
    <w:rsid w:val="00F33C64"/>
    <w:rsid w:val="00F33D3D"/>
    <w:rsid w:val="00F33E10"/>
    <w:rsid w:val="00F33E77"/>
    <w:rsid w:val="00F34008"/>
    <w:rsid w:val="00F34018"/>
    <w:rsid w:val="00F34185"/>
    <w:rsid w:val="00F3420E"/>
    <w:rsid w:val="00F343E2"/>
    <w:rsid w:val="00F34418"/>
    <w:rsid w:val="00F34424"/>
    <w:rsid w:val="00F344AA"/>
    <w:rsid w:val="00F34551"/>
    <w:rsid w:val="00F34552"/>
    <w:rsid w:val="00F345C5"/>
    <w:rsid w:val="00F3468D"/>
    <w:rsid w:val="00F34921"/>
    <w:rsid w:val="00F349D1"/>
    <w:rsid w:val="00F34A7F"/>
    <w:rsid w:val="00F34BE5"/>
    <w:rsid w:val="00F34CE3"/>
    <w:rsid w:val="00F34F09"/>
    <w:rsid w:val="00F34F44"/>
    <w:rsid w:val="00F34F7A"/>
    <w:rsid w:val="00F34F8E"/>
    <w:rsid w:val="00F35444"/>
    <w:rsid w:val="00F35483"/>
    <w:rsid w:val="00F35495"/>
    <w:rsid w:val="00F35654"/>
    <w:rsid w:val="00F35666"/>
    <w:rsid w:val="00F3569D"/>
    <w:rsid w:val="00F3577C"/>
    <w:rsid w:val="00F357CA"/>
    <w:rsid w:val="00F359FE"/>
    <w:rsid w:val="00F35A39"/>
    <w:rsid w:val="00F35AB9"/>
    <w:rsid w:val="00F35AF9"/>
    <w:rsid w:val="00F35D80"/>
    <w:rsid w:val="00F35E27"/>
    <w:rsid w:val="00F35F87"/>
    <w:rsid w:val="00F35FE3"/>
    <w:rsid w:val="00F361CC"/>
    <w:rsid w:val="00F36208"/>
    <w:rsid w:val="00F36285"/>
    <w:rsid w:val="00F36323"/>
    <w:rsid w:val="00F3636A"/>
    <w:rsid w:val="00F363DB"/>
    <w:rsid w:val="00F36473"/>
    <w:rsid w:val="00F364D2"/>
    <w:rsid w:val="00F36B8A"/>
    <w:rsid w:val="00F36E47"/>
    <w:rsid w:val="00F36F8F"/>
    <w:rsid w:val="00F36F9C"/>
    <w:rsid w:val="00F36FC3"/>
    <w:rsid w:val="00F37147"/>
    <w:rsid w:val="00F372C7"/>
    <w:rsid w:val="00F372E7"/>
    <w:rsid w:val="00F3735C"/>
    <w:rsid w:val="00F373CC"/>
    <w:rsid w:val="00F37439"/>
    <w:rsid w:val="00F3746C"/>
    <w:rsid w:val="00F37546"/>
    <w:rsid w:val="00F37669"/>
    <w:rsid w:val="00F37698"/>
    <w:rsid w:val="00F37801"/>
    <w:rsid w:val="00F37939"/>
    <w:rsid w:val="00F37995"/>
    <w:rsid w:val="00F379A2"/>
    <w:rsid w:val="00F37B25"/>
    <w:rsid w:val="00F37E72"/>
    <w:rsid w:val="00F400BB"/>
    <w:rsid w:val="00F4019A"/>
    <w:rsid w:val="00F4019F"/>
    <w:rsid w:val="00F401A5"/>
    <w:rsid w:val="00F40280"/>
    <w:rsid w:val="00F402C8"/>
    <w:rsid w:val="00F40397"/>
    <w:rsid w:val="00F40417"/>
    <w:rsid w:val="00F404CB"/>
    <w:rsid w:val="00F404E1"/>
    <w:rsid w:val="00F407A9"/>
    <w:rsid w:val="00F407E4"/>
    <w:rsid w:val="00F409F2"/>
    <w:rsid w:val="00F40AF3"/>
    <w:rsid w:val="00F40CAC"/>
    <w:rsid w:val="00F40DC0"/>
    <w:rsid w:val="00F40DD0"/>
    <w:rsid w:val="00F40F82"/>
    <w:rsid w:val="00F410C0"/>
    <w:rsid w:val="00F41284"/>
    <w:rsid w:val="00F41393"/>
    <w:rsid w:val="00F41500"/>
    <w:rsid w:val="00F415A2"/>
    <w:rsid w:val="00F4160C"/>
    <w:rsid w:val="00F4190B"/>
    <w:rsid w:val="00F41949"/>
    <w:rsid w:val="00F41AE5"/>
    <w:rsid w:val="00F41BBD"/>
    <w:rsid w:val="00F41C57"/>
    <w:rsid w:val="00F41C66"/>
    <w:rsid w:val="00F41DB9"/>
    <w:rsid w:val="00F41E03"/>
    <w:rsid w:val="00F41E99"/>
    <w:rsid w:val="00F41F17"/>
    <w:rsid w:val="00F41F75"/>
    <w:rsid w:val="00F42067"/>
    <w:rsid w:val="00F42293"/>
    <w:rsid w:val="00F4231B"/>
    <w:rsid w:val="00F42500"/>
    <w:rsid w:val="00F42511"/>
    <w:rsid w:val="00F425A3"/>
    <w:rsid w:val="00F42663"/>
    <w:rsid w:val="00F4282E"/>
    <w:rsid w:val="00F42A4D"/>
    <w:rsid w:val="00F42AA6"/>
    <w:rsid w:val="00F42C0E"/>
    <w:rsid w:val="00F42C58"/>
    <w:rsid w:val="00F42F44"/>
    <w:rsid w:val="00F42FD0"/>
    <w:rsid w:val="00F42FEB"/>
    <w:rsid w:val="00F43193"/>
    <w:rsid w:val="00F4325B"/>
    <w:rsid w:val="00F4333B"/>
    <w:rsid w:val="00F43441"/>
    <w:rsid w:val="00F43491"/>
    <w:rsid w:val="00F43733"/>
    <w:rsid w:val="00F437E4"/>
    <w:rsid w:val="00F43830"/>
    <w:rsid w:val="00F438FA"/>
    <w:rsid w:val="00F43AAB"/>
    <w:rsid w:val="00F43B45"/>
    <w:rsid w:val="00F43B7C"/>
    <w:rsid w:val="00F43CAB"/>
    <w:rsid w:val="00F43D0E"/>
    <w:rsid w:val="00F43D38"/>
    <w:rsid w:val="00F43DAA"/>
    <w:rsid w:val="00F43E2B"/>
    <w:rsid w:val="00F43E81"/>
    <w:rsid w:val="00F43ED0"/>
    <w:rsid w:val="00F43F1F"/>
    <w:rsid w:val="00F43F7F"/>
    <w:rsid w:val="00F4423F"/>
    <w:rsid w:val="00F443C2"/>
    <w:rsid w:val="00F4457C"/>
    <w:rsid w:val="00F4467A"/>
    <w:rsid w:val="00F4472E"/>
    <w:rsid w:val="00F447BF"/>
    <w:rsid w:val="00F4480A"/>
    <w:rsid w:val="00F44853"/>
    <w:rsid w:val="00F4489C"/>
    <w:rsid w:val="00F44AE8"/>
    <w:rsid w:val="00F44B1C"/>
    <w:rsid w:val="00F44B1F"/>
    <w:rsid w:val="00F44C1E"/>
    <w:rsid w:val="00F44D2C"/>
    <w:rsid w:val="00F44ED1"/>
    <w:rsid w:val="00F44F02"/>
    <w:rsid w:val="00F4529A"/>
    <w:rsid w:val="00F452EF"/>
    <w:rsid w:val="00F45370"/>
    <w:rsid w:val="00F455F2"/>
    <w:rsid w:val="00F4566A"/>
    <w:rsid w:val="00F4588F"/>
    <w:rsid w:val="00F45AE8"/>
    <w:rsid w:val="00F45B4E"/>
    <w:rsid w:val="00F45CD2"/>
    <w:rsid w:val="00F45CE5"/>
    <w:rsid w:val="00F45CF1"/>
    <w:rsid w:val="00F45D4B"/>
    <w:rsid w:val="00F45E5C"/>
    <w:rsid w:val="00F46042"/>
    <w:rsid w:val="00F460E1"/>
    <w:rsid w:val="00F460F0"/>
    <w:rsid w:val="00F46194"/>
    <w:rsid w:val="00F46247"/>
    <w:rsid w:val="00F46313"/>
    <w:rsid w:val="00F46366"/>
    <w:rsid w:val="00F46389"/>
    <w:rsid w:val="00F463E2"/>
    <w:rsid w:val="00F464CF"/>
    <w:rsid w:val="00F466E5"/>
    <w:rsid w:val="00F469DB"/>
    <w:rsid w:val="00F46A84"/>
    <w:rsid w:val="00F46AFB"/>
    <w:rsid w:val="00F46CA3"/>
    <w:rsid w:val="00F46E15"/>
    <w:rsid w:val="00F46E67"/>
    <w:rsid w:val="00F46E6F"/>
    <w:rsid w:val="00F46FB0"/>
    <w:rsid w:val="00F471A9"/>
    <w:rsid w:val="00F4734A"/>
    <w:rsid w:val="00F47463"/>
    <w:rsid w:val="00F475B5"/>
    <w:rsid w:val="00F475E0"/>
    <w:rsid w:val="00F47640"/>
    <w:rsid w:val="00F476C8"/>
    <w:rsid w:val="00F47720"/>
    <w:rsid w:val="00F4778E"/>
    <w:rsid w:val="00F4790D"/>
    <w:rsid w:val="00F47930"/>
    <w:rsid w:val="00F479F3"/>
    <w:rsid w:val="00F47A14"/>
    <w:rsid w:val="00F47BAF"/>
    <w:rsid w:val="00F47C37"/>
    <w:rsid w:val="00F47CD1"/>
    <w:rsid w:val="00F47D8D"/>
    <w:rsid w:val="00F47E42"/>
    <w:rsid w:val="00F50175"/>
    <w:rsid w:val="00F50411"/>
    <w:rsid w:val="00F504AA"/>
    <w:rsid w:val="00F504E4"/>
    <w:rsid w:val="00F50529"/>
    <w:rsid w:val="00F5056A"/>
    <w:rsid w:val="00F507F9"/>
    <w:rsid w:val="00F5081F"/>
    <w:rsid w:val="00F50825"/>
    <w:rsid w:val="00F508B2"/>
    <w:rsid w:val="00F50A5B"/>
    <w:rsid w:val="00F50C96"/>
    <w:rsid w:val="00F50CB7"/>
    <w:rsid w:val="00F50D3D"/>
    <w:rsid w:val="00F50FA3"/>
    <w:rsid w:val="00F50FD9"/>
    <w:rsid w:val="00F50FE6"/>
    <w:rsid w:val="00F51212"/>
    <w:rsid w:val="00F5121A"/>
    <w:rsid w:val="00F512A6"/>
    <w:rsid w:val="00F5139A"/>
    <w:rsid w:val="00F515E7"/>
    <w:rsid w:val="00F5162C"/>
    <w:rsid w:val="00F51699"/>
    <w:rsid w:val="00F51762"/>
    <w:rsid w:val="00F51888"/>
    <w:rsid w:val="00F51AD4"/>
    <w:rsid w:val="00F51DCA"/>
    <w:rsid w:val="00F51DED"/>
    <w:rsid w:val="00F51EF7"/>
    <w:rsid w:val="00F51F58"/>
    <w:rsid w:val="00F52040"/>
    <w:rsid w:val="00F52064"/>
    <w:rsid w:val="00F5218A"/>
    <w:rsid w:val="00F52270"/>
    <w:rsid w:val="00F5234D"/>
    <w:rsid w:val="00F52351"/>
    <w:rsid w:val="00F525C9"/>
    <w:rsid w:val="00F52781"/>
    <w:rsid w:val="00F5280A"/>
    <w:rsid w:val="00F5293D"/>
    <w:rsid w:val="00F52B6F"/>
    <w:rsid w:val="00F52CFB"/>
    <w:rsid w:val="00F52D11"/>
    <w:rsid w:val="00F52F3F"/>
    <w:rsid w:val="00F52F41"/>
    <w:rsid w:val="00F530B7"/>
    <w:rsid w:val="00F530F0"/>
    <w:rsid w:val="00F53140"/>
    <w:rsid w:val="00F5317C"/>
    <w:rsid w:val="00F531C4"/>
    <w:rsid w:val="00F5370E"/>
    <w:rsid w:val="00F5373F"/>
    <w:rsid w:val="00F5378E"/>
    <w:rsid w:val="00F537D1"/>
    <w:rsid w:val="00F5388D"/>
    <w:rsid w:val="00F538D8"/>
    <w:rsid w:val="00F538FA"/>
    <w:rsid w:val="00F53A4F"/>
    <w:rsid w:val="00F53BA4"/>
    <w:rsid w:val="00F53BE3"/>
    <w:rsid w:val="00F53C40"/>
    <w:rsid w:val="00F53CBA"/>
    <w:rsid w:val="00F53CBE"/>
    <w:rsid w:val="00F53CFC"/>
    <w:rsid w:val="00F53FB9"/>
    <w:rsid w:val="00F54003"/>
    <w:rsid w:val="00F54132"/>
    <w:rsid w:val="00F541BD"/>
    <w:rsid w:val="00F5429F"/>
    <w:rsid w:val="00F542C2"/>
    <w:rsid w:val="00F5448A"/>
    <w:rsid w:val="00F54566"/>
    <w:rsid w:val="00F547D8"/>
    <w:rsid w:val="00F54806"/>
    <w:rsid w:val="00F54846"/>
    <w:rsid w:val="00F5489D"/>
    <w:rsid w:val="00F54967"/>
    <w:rsid w:val="00F54A43"/>
    <w:rsid w:val="00F54BB9"/>
    <w:rsid w:val="00F54C9E"/>
    <w:rsid w:val="00F54D63"/>
    <w:rsid w:val="00F54E9B"/>
    <w:rsid w:val="00F54F7E"/>
    <w:rsid w:val="00F550BC"/>
    <w:rsid w:val="00F55722"/>
    <w:rsid w:val="00F557EB"/>
    <w:rsid w:val="00F55973"/>
    <w:rsid w:val="00F559E9"/>
    <w:rsid w:val="00F55ADB"/>
    <w:rsid w:val="00F55BFE"/>
    <w:rsid w:val="00F55D85"/>
    <w:rsid w:val="00F55E3A"/>
    <w:rsid w:val="00F55E97"/>
    <w:rsid w:val="00F55F17"/>
    <w:rsid w:val="00F5607F"/>
    <w:rsid w:val="00F562A6"/>
    <w:rsid w:val="00F5652A"/>
    <w:rsid w:val="00F56588"/>
    <w:rsid w:val="00F5661F"/>
    <w:rsid w:val="00F5684E"/>
    <w:rsid w:val="00F568DB"/>
    <w:rsid w:val="00F56969"/>
    <w:rsid w:val="00F5697B"/>
    <w:rsid w:val="00F569C4"/>
    <w:rsid w:val="00F569E9"/>
    <w:rsid w:val="00F56AE6"/>
    <w:rsid w:val="00F56C45"/>
    <w:rsid w:val="00F56CB7"/>
    <w:rsid w:val="00F56D13"/>
    <w:rsid w:val="00F56D8C"/>
    <w:rsid w:val="00F56E1D"/>
    <w:rsid w:val="00F56ED0"/>
    <w:rsid w:val="00F56EF9"/>
    <w:rsid w:val="00F56F26"/>
    <w:rsid w:val="00F56F7B"/>
    <w:rsid w:val="00F56F9E"/>
    <w:rsid w:val="00F56FC2"/>
    <w:rsid w:val="00F57078"/>
    <w:rsid w:val="00F57106"/>
    <w:rsid w:val="00F57140"/>
    <w:rsid w:val="00F57149"/>
    <w:rsid w:val="00F571E0"/>
    <w:rsid w:val="00F5726C"/>
    <w:rsid w:val="00F572D1"/>
    <w:rsid w:val="00F575AE"/>
    <w:rsid w:val="00F57746"/>
    <w:rsid w:val="00F5794B"/>
    <w:rsid w:val="00F57AFA"/>
    <w:rsid w:val="00F57D15"/>
    <w:rsid w:val="00F57F5F"/>
    <w:rsid w:val="00F57F66"/>
    <w:rsid w:val="00F600E9"/>
    <w:rsid w:val="00F60225"/>
    <w:rsid w:val="00F602F9"/>
    <w:rsid w:val="00F60357"/>
    <w:rsid w:val="00F60670"/>
    <w:rsid w:val="00F60727"/>
    <w:rsid w:val="00F608F9"/>
    <w:rsid w:val="00F60B81"/>
    <w:rsid w:val="00F60CBE"/>
    <w:rsid w:val="00F60D43"/>
    <w:rsid w:val="00F60F71"/>
    <w:rsid w:val="00F60F92"/>
    <w:rsid w:val="00F6118E"/>
    <w:rsid w:val="00F613F2"/>
    <w:rsid w:val="00F61585"/>
    <w:rsid w:val="00F615D7"/>
    <w:rsid w:val="00F61652"/>
    <w:rsid w:val="00F61998"/>
    <w:rsid w:val="00F61C63"/>
    <w:rsid w:val="00F61D97"/>
    <w:rsid w:val="00F61E2E"/>
    <w:rsid w:val="00F61EE5"/>
    <w:rsid w:val="00F61FBE"/>
    <w:rsid w:val="00F6206D"/>
    <w:rsid w:val="00F6209E"/>
    <w:rsid w:val="00F620E7"/>
    <w:rsid w:val="00F62178"/>
    <w:rsid w:val="00F6223F"/>
    <w:rsid w:val="00F625B1"/>
    <w:rsid w:val="00F626E2"/>
    <w:rsid w:val="00F628AC"/>
    <w:rsid w:val="00F6290D"/>
    <w:rsid w:val="00F62CA7"/>
    <w:rsid w:val="00F62CE9"/>
    <w:rsid w:val="00F62F4D"/>
    <w:rsid w:val="00F62F64"/>
    <w:rsid w:val="00F632F2"/>
    <w:rsid w:val="00F6336C"/>
    <w:rsid w:val="00F63401"/>
    <w:rsid w:val="00F63594"/>
    <w:rsid w:val="00F635A9"/>
    <w:rsid w:val="00F636CF"/>
    <w:rsid w:val="00F636FF"/>
    <w:rsid w:val="00F6371A"/>
    <w:rsid w:val="00F6373C"/>
    <w:rsid w:val="00F6375C"/>
    <w:rsid w:val="00F63785"/>
    <w:rsid w:val="00F63831"/>
    <w:rsid w:val="00F638A3"/>
    <w:rsid w:val="00F6390D"/>
    <w:rsid w:val="00F63A52"/>
    <w:rsid w:val="00F63C9A"/>
    <w:rsid w:val="00F63EAE"/>
    <w:rsid w:val="00F63ED1"/>
    <w:rsid w:val="00F63FCE"/>
    <w:rsid w:val="00F64034"/>
    <w:rsid w:val="00F640C2"/>
    <w:rsid w:val="00F641A5"/>
    <w:rsid w:val="00F641F3"/>
    <w:rsid w:val="00F6425D"/>
    <w:rsid w:val="00F64369"/>
    <w:rsid w:val="00F64490"/>
    <w:rsid w:val="00F64523"/>
    <w:rsid w:val="00F645D9"/>
    <w:rsid w:val="00F64654"/>
    <w:rsid w:val="00F6466E"/>
    <w:rsid w:val="00F646AD"/>
    <w:rsid w:val="00F646C5"/>
    <w:rsid w:val="00F64746"/>
    <w:rsid w:val="00F64917"/>
    <w:rsid w:val="00F6495E"/>
    <w:rsid w:val="00F64D8A"/>
    <w:rsid w:val="00F64D97"/>
    <w:rsid w:val="00F64E35"/>
    <w:rsid w:val="00F65008"/>
    <w:rsid w:val="00F650F2"/>
    <w:rsid w:val="00F6528F"/>
    <w:rsid w:val="00F653A6"/>
    <w:rsid w:val="00F65404"/>
    <w:rsid w:val="00F65424"/>
    <w:rsid w:val="00F658D1"/>
    <w:rsid w:val="00F658FE"/>
    <w:rsid w:val="00F659D7"/>
    <w:rsid w:val="00F65A23"/>
    <w:rsid w:val="00F65AA0"/>
    <w:rsid w:val="00F65AD9"/>
    <w:rsid w:val="00F65AFB"/>
    <w:rsid w:val="00F65CBD"/>
    <w:rsid w:val="00F65EEF"/>
    <w:rsid w:val="00F65F65"/>
    <w:rsid w:val="00F65FC9"/>
    <w:rsid w:val="00F66179"/>
    <w:rsid w:val="00F66198"/>
    <w:rsid w:val="00F66224"/>
    <w:rsid w:val="00F665C2"/>
    <w:rsid w:val="00F66671"/>
    <w:rsid w:val="00F66835"/>
    <w:rsid w:val="00F66C7A"/>
    <w:rsid w:val="00F66D2A"/>
    <w:rsid w:val="00F66EFE"/>
    <w:rsid w:val="00F66F7B"/>
    <w:rsid w:val="00F66F7E"/>
    <w:rsid w:val="00F67038"/>
    <w:rsid w:val="00F6706C"/>
    <w:rsid w:val="00F671F2"/>
    <w:rsid w:val="00F6724D"/>
    <w:rsid w:val="00F67512"/>
    <w:rsid w:val="00F6768C"/>
    <w:rsid w:val="00F67775"/>
    <w:rsid w:val="00F677B5"/>
    <w:rsid w:val="00F679C8"/>
    <w:rsid w:val="00F679D3"/>
    <w:rsid w:val="00F67A01"/>
    <w:rsid w:val="00F67AC2"/>
    <w:rsid w:val="00F67CA5"/>
    <w:rsid w:val="00F67D0C"/>
    <w:rsid w:val="00F67DFB"/>
    <w:rsid w:val="00F7030E"/>
    <w:rsid w:val="00F70319"/>
    <w:rsid w:val="00F70334"/>
    <w:rsid w:val="00F704AF"/>
    <w:rsid w:val="00F7053A"/>
    <w:rsid w:val="00F706DE"/>
    <w:rsid w:val="00F7076C"/>
    <w:rsid w:val="00F707D2"/>
    <w:rsid w:val="00F7083E"/>
    <w:rsid w:val="00F709A4"/>
    <w:rsid w:val="00F70CE8"/>
    <w:rsid w:val="00F70E71"/>
    <w:rsid w:val="00F70EB4"/>
    <w:rsid w:val="00F70F51"/>
    <w:rsid w:val="00F71140"/>
    <w:rsid w:val="00F71152"/>
    <w:rsid w:val="00F7125B"/>
    <w:rsid w:val="00F712B9"/>
    <w:rsid w:val="00F7156B"/>
    <w:rsid w:val="00F715D8"/>
    <w:rsid w:val="00F71636"/>
    <w:rsid w:val="00F7168E"/>
    <w:rsid w:val="00F716E2"/>
    <w:rsid w:val="00F71AAA"/>
    <w:rsid w:val="00F71B0A"/>
    <w:rsid w:val="00F71B9D"/>
    <w:rsid w:val="00F71D9C"/>
    <w:rsid w:val="00F71E78"/>
    <w:rsid w:val="00F72035"/>
    <w:rsid w:val="00F72038"/>
    <w:rsid w:val="00F72049"/>
    <w:rsid w:val="00F720AA"/>
    <w:rsid w:val="00F720FA"/>
    <w:rsid w:val="00F72138"/>
    <w:rsid w:val="00F72334"/>
    <w:rsid w:val="00F7234B"/>
    <w:rsid w:val="00F7248C"/>
    <w:rsid w:val="00F724F5"/>
    <w:rsid w:val="00F72543"/>
    <w:rsid w:val="00F7270F"/>
    <w:rsid w:val="00F72865"/>
    <w:rsid w:val="00F7295F"/>
    <w:rsid w:val="00F72B7D"/>
    <w:rsid w:val="00F72C51"/>
    <w:rsid w:val="00F72DB2"/>
    <w:rsid w:val="00F72F66"/>
    <w:rsid w:val="00F72FAF"/>
    <w:rsid w:val="00F7303D"/>
    <w:rsid w:val="00F73161"/>
    <w:rsid w:val="00F7318B"/>
    <w:rsid w:val="00F731E9"/>
    <w:rsid w:val="00F73317"/>
    <w:rsid w:val="00F734ED"/>
    <w:rsid w:val="00F73608"/>
    <w:rsid w:val="00F73771"/>
    <w:rsid w:val="00F737ED"/>
    <w:rsid w:val="00F7385B"/>
    <w:rsid w:val="00F73891"/>
    <w:rsid w:val="00F7389C"/>
    <w:rsid w:val="00F73900"/>
    <w:rsid w:val="00F73907"/>
    <w:rsid w:val="00F739A3"/>
    <w:rsid w:val="00F73ACF"/>
    <w:rsid w:val="00F73B78"/>
    <w:rsid w:val="00F73C82"/>
    <w:rsid w:val="00F73CEA"/>
    <w:rsid w:val="00F73D19"/>
    <w:rsid w:val="00F74194"/>
    <w:rsid w:val="00F74274"/>
    <w:rsid w:val="00F74330"/>
    <w:rsid w:val="00F7434E"/>
    <w:rsid w:val="00F744E4"/>
    <w:rsid w:val="00F7459F"/>
    <w:rsid w:val="00F745DD"/>
    <w:rsid w:val="00F74635"/>
    <w:rsid w:val="00F7471D"/>
    <w:rsid w:val="00F7477D"/>
    <w:rsid w:val="00F747BF"/>
    <w:rsid w:val="00F747F2"/>
    <w:rsid w:val="00F748C0"/>
    <w:rsid w:val="00F748EA"/>
    <w:rsid w:val="00F74BEE"/>
    <w:rsid w:val="00F74C61"/>
    <w:rsid w:val="00F74CED"/>
    <w:rsid w:val="00F74D4D"/>
    <w:rsid w:val="00F74DDD"/>
    <w:rsid w:val="00F74EDE"/>
    <w:rsid w:val="00F74F04"/>
    <w:rsid w:val="00F7501F"/>
    <w:rsid w:val="00F75061"/>
    <w:rsid w:val="00F750A4"/>
    <w:rsid w:val="00F75360"/>
    <w:rsid w:val="00F75364"/>
    <w:rsid w:val="00F753C7"/>
    <w:rsid w:val="00F755D2"/>
    <w:rsid w:val="00F75691"/>
    <w:rsid w:val="00F7577D"/>
    <w:rsid w:val="00F7583F"/>
    <w:rsid w:val="00F759F7"/>
    <w:rsid w:val="00F75A07"/>
    <w:rsid w:val="00F75A7D"/>
    <w:rsid w:val="00F75ADF"/>
    <w:rsid w:val="00F75DBB"/>
    <w:rsid w:val="00F75DD3"/>
    <w:rsid w:val="00F75E38"/>
    <w:rsid w:val="00F75EB6"/>
    <w:rsid w:val="00F76061"/>
    <w:rsid w:val="00F760AE"/>
    <w:rsid w:val="00F760CA"/>
    <w:rsid w:val="00F76294"/>
    <w:rsid w:val="00F76353"/>
    <w:rsid w:val="00F764DE"/>
    <w:rsid w:val="00F76543"/>
    <w:rsid w:val="00F7665A"/>
    <w:rsid w:val="00F7689E"/>
    <w:rsid w:val="00F7692E"/>
    <w:rsid w:val="00F7694F"/>
    <w:rsid w:val="00F76A6E"/>
    <w:rsid w:val="00F76B91"/>
    <w:rsid w:val="00F76C9B"/>
    <w:rsid w:val="00F76CE2"/>
    <w:rsid w:val="00F76E0A"/>
    <w:rsid w:val="00F76E96"/>
    <w:rsid w:val="00F76F8B"/>
    <w:rsid w:val="00F7703E"/>
    <w:rsid w:val="00F7709C"/>
    <w:rsid w:val="00F77137"/>
    <w:rsid w:val="00F77189"/>
    <w:rsid w:val="00F77284"/>
    <w:rsid w:val="00F77335"/>
    <w:rsid w:val="00F7736F"/>
    <w:rsid w:val="00F773D7"/>
    <w:rsid w:val="00F774A6"/>
    <w:rsid w:val="00F775D9"/>
    <w:rsid w:val="00F776EA"/>
    <w:rsid w:val="00F7772B"/>
    <w:rsid w:val="00F77851"/>
    <w:rsid w:val="00F77881"/>
    <w:rsid w:val="00F77937"/>
    <w:rsid w:val="00F77977"/>
    <w:rsid w:val="00F77A2D"/>
    <w:rsid w:val="00F77D8F"/>
    <w:rsid w:val="00F77DA5"/>
    <w:rsid w:val="00F8016D"/>
    <w:rsid w:val="00F80504"/>
    <w:rsid w:val="00F80578"/>
    <w:rsid w:val="00F8057B"/>
    <w:rsid w:val="00F8062A"/>
    <w:rsid w:val="00F8076E"/>
    <w:rsid w:val="00F807CB"/>
    <w:rsid w:val="00F80AD3"/>
    <w:rsid w:val="00F80BB8"/>
    <w:rsid w:val="00F80C60"/>
    <w:rsid w:val="00F80C86"/>
    <w:rsid w:val="00F80CB9"/>
    <w:rsid w:val="00F80CC4"/>
    <w:rsid w:val="00F80E1F"/>
    <w:rsid w:val="00F80EB5"/>
    <w:rsid w:val="00F8113D"/>
    <w:rsid w:val="00F8125F"/>
    <w:rsid w:val="00F81341"/>
    <w:rsid w:val="00F81438"/>
    <w:rsid w:val="00F8143A"/>
    <w:rsid w:val="00F814F4"/>
    <w:rsid w:val="00F815DC"/>
    <w:rsid w:val="00F8160A"/>
    <w:rsid w:val="00F817C7"/>
    <w:rsid w:val="00F81918"/>
    <w:rsid w:val="00F81982"/>
    <w:rsid w:val="00F81A82"/>
    <w:rsid w:val="00F81BCA"/>
    <w:rsid w:val="00F81BFD"/>
    <w:rsid w:val="00F81BFF"/>
    <w:rsid w:val="00F81CD2"/>
    <w:rsid w:val="00F81CD7"/>
    <w:rsid w:val="00F81F4A"/>
    <w:rsid w:val="00F8218A"/>
    <w:rsid w:val="00F82373"/>
    <w:rsid w:val="00F823AE"/>
    <w:rsid w:val="00F823EA"/>
    <w:rsid w:val="00F8251E"/>
    <w:rsid w:val="00F8258D"/>
    <w:rsid w:val="00F825A4"/>
    <w:rsid w:val="00F825BF"/>
    <w:rsid w:val="00F82649"/>
    <w:rsid w:val="00F82865"/>
    <w:rsid w:val="00F828C1"/>
    <w:rsid w:val="00F829E3"/>
    <w:rsid w:val="00F82A96"/>
    <w:rsid w:val="00F82AA3"/>
    <w:rsid w:val="00F82BA0"/>
    <w:rsid w:val="00F82C4A"/>
    <w:rsid w:val="00F82E5F"/>
    <w:rsid w:val="00F82EC5"/>
    <w:rsid w:val="00F82F41"/>
    <w:rsid w:val="00F82FD5"/>
    <w:rsid w:val="00F83018"/>
    <w:rsid w:val="00F83462"/>
    <w:rsid w:val="00F83568"/>
    <w:rsid w:val="00F8366D"/>
    <w:rsid w:val="00F836EE"/>
    <w:rsid w:val="00F83832"/>
    <w:rsid w:val="00F8386A"/>
    <w:rsid w:val="00F839C8"/>
    <w:rsid w:val="00F83A0B"/>
    <w:rsid w:val="00F83A42"/>
    <w:rsid w:val="00F83AF0"/>
    <w:rsid w:val="00F83CC5"/>
    <w:rsid w:val="00F83CFE"/>
    <w:rsid w:val="00F83D92"/>
    <w:rsid w:val="00F83FE2"/>
    <w:rsid w:val="00F8455C"/>
    <w:rsid w:val="00F8458D"/>
    <w:rsid w:val="00F8474C"/>
    <w:rsid w:val="00F847B2"/>
    <w:rsid w:val="00F8482A"/>
    <w:rsid w:val="00F849DD"/>
    <w:rsid w:val="00F84DB8"/>
    <w:rsid w:val="00F850BB"/>
    <w:rsid w:val="00F850C0"/>
    <w:rsid w:val="00F853CD"/>
    <w:rsid w:val="00F8547D"/>
    <w:rsid w:val="00F85614"/>
    <w:rsid w:val="00F85650"/>
    <w:rsid w:val="00F85688"/>
    <w:rsid w:val="00F8580D"/>
    <w:rsid w:val="00F85855"/>
    <w:rsid w:val="00F85B09"/>
    <w:rsid w:val="00F85B71"/>
    <w:rsid w:val="00F85C89"/>
    <w:rsid w:val="00F85CAC"/>
    <w:rsid w:val="00F85EAC"/>
    <w:rsid w:val="00F85ED4"/>
    <w:rsid w:val="00F85F10"/>
    <w:rsid w:val="00F8610E"/>
    <w:rsid w:val="00F86183"/>
    <w:rsid w:val="00F862E6"/>
    <w:rsid w:val="00F862F0"/>
    <w:rsid w:val="00F86324"/>
    <w:rsid w:val="00F8633E"/>
    <w:rsid w:val="00F8646F"/>
    <w:rsid w:val="00F86498"/>
    <w:rsid w:val="00F864AA"/>
    <w:rsid w:val="00F867E6"/>
    <w:rsid w:val="00F868A8"/>
    <w:rsid w:val="00F86B3D"/>
    <w:rsid w:val="00F86CC1"/>
    <w:rsid w:val="00F86E5A"/>
    <w:rsid w:val="00F86F26"/>
    <w:rsid w:val="00F86F5B"/>
    <w:rsid w:val="00F86F5D"/>
    <w:rsid w:val="00F86F7B"/>
    <w:rsid w:val="00F872A4"/>
    <w:rsid w:val="00F8733D"/>
    <w:rsid w:val="00F87347"/>
    <w:rsid w:val="00F873F2"/>
    <w:rsid w:val="00F87446"/>
    <w:rsid w:val="00F874FF"/>
    <w:rsid w:val="00F87539"/>
    <w:rsid w:val="00F87811"/>
    <w:rsid w:val="00F87905"/>
    <w:rsid w:val="00F87925"/>
    <w:rsid w:val="00F879B2"/>
    <w:rsid w:val="00F87A73"/>
    <w:rsid w:val="00F87A80"/>
    <w:rsid w:val="00F87AD2"/>
    <w:rsid w:val="00F87B61"/>
    <w:rsid w:val="00F87BB6"/>
    <w:rsid w:val="00F87BE7"/>
    <w:rsid w:val="00F87BF9"/>
    <w:rsid w:val="00F87CD6"/>
    <w:rsid w:val="00F87CED"/>
    <w:rsid w:val="00F87DA2"/>
    <w:rsid w:val="00F87DD1"/>
    <w:rsid w:val="00F87E02"/>
    <w:rsid w:val="00F87E75"/>
    <w:rsid w:val="00F87EA9"/>
    <w:rsid w:val="00F87FBD"/>
    <w:rsid w:val="00F87FC7"/>
    <w:rsid w:val="00F900B6"/>
    <w:rsid w:val="00F900D4"/>
    <w:rsid w:val="00F9047A"/>
    <w:rsid w:val="00F90627"/>
    <w:rsid w:val="00F90BD2"/>
    <w:rsid w:val="00F90C3D"/>
    <w:rsid w:val="00F90D05"/>
    <w:rsid w:val="00F90D6E"/>
    <w:rsid w:val="00F90E74"/>
    <w:rsid w:val="00F91067"/>
    <w:rsid w:val="00F910CE"/>
    <w:rsid w:val="00F9130C"/>
    <w:rsid w:val="00F91380"/>
    <w:rsid w:val="00F91397"/>
    <w:rsid w:val="00F913CA"/>
    <w:rsid w:val="00F9149C"/>
    <w:rsid w:val="00F915FF"/>
    <w:rsid w:val="00F9165C"/>
    <w:rsid w:val="00F91660"/>
    <w:rsid w:val="00F916DA"/>
    <w:rsid w:val="00F9179D"/>
    <w:rsid w:val="00F917AE"/>
    <w:rsid w:val="00F9194F"/>
    <w:rsid w:val="00F9198C"/>
    <w:rsid w:val="00F91A2D"/>
    <w:rsid w:val="00F91AF8"/>
    <w:rsid w:val="00F91B00"/>
    <w:rsid w:val="00F91CEF"/>
    <w:rsid w:val="00F91F14"/>
    <w:rsid w:val="00F91F77"/>
    <w:rsid w:val="00F91FE4"/>
    <w:rsid w:val="00F92182"/>
    <w:rsid w:val="00F9228E"/>
    <w:rsid w:val="00F92361"/>
    <w:rsid w:val="00F92575"/>
    <w:rsid w:val="00F9269B"/>
    <w:rsid w:val="00F927EA"/>
    <w:rsid w:val="00F92876"/>
    <w:rsid w:val="00F9290C"/>
    <w:rsid w:val="00F92A58"/>
    <w:rsid w:val="00F92A69"/>
    <w:rsid w:val="00F92AAE"/>
    <w:rsid w:val="00F92B5B"/>
    <w:rsid w:val="00F92C3F"/>
    <w:rsid w:val="00F92DB6"/>
    <w:rsid w:val="00F930AF"/>
    <w:rsid w:val="00F93111"/>
    <w:rsid w:val="00F93298"/>
    <w:rsid w:val="00F9335E"/>
    <w:rsid w:val="00F93366"/>
    <w:rsid w:val="00F935C7"/>
    <w:rsid w:val="00F93649"/>
    <w:rsid w:val="00F937B2"/>
    <w:rsid w:val="00F937FD"/>
    <w:rsid w:val="00F9389F"/>
    <w:rsid w:val="00F93B5F"/>
    <w:rsid w:val="00F93BD2"/>
    <w:rsid w:val="00F93BFA"/>
    <w:rsid w:val="00F93CC3"/>
    <w:rsid w:val="00F93D68"/>
    <w:rsid w:val="00F93E08"/>
    <w:rsid w:val="00F93E20"/>
    <w:rsid w:val="00F93F1B"/>
    <w:rsid w:val="00F93F22"/>
    <w:rsid w:val="00F93F56"/>
    <w:rsid w:val="00F93FFC"/>
    <w:rsid w:val="00F941F1"/>
    <w:rsid w:val="00F943DC"/>
    <w:rsid w:val="00F944A5"/>
    <w:rsid w:val="00F944F0"/>
    <w:rsid w:val="00F94574"/>
    <w:rsid w:val="00F9457E"/>
    <w:rsid w:val="00F945A5"/>
    <w:rsid w:val="00F945B0"/>
    <w:rsid w:val="00F94612"/>
    <w:rsid w:val="00F94746"/>
    <w:rsid w:val="00F9477D"/>
    <w:rsid w:val="00F9493B"/>
    <w:rsid w:val="00F949D0"/>
    <w:rsid w:val="00F949E1"/>
    <w:rsid w:val="00F94DB2"/>
    <w:rsid w:val="00F94DF8"/>
    <w:rsid w:val="00F94EB1"/>
    <w:rsid w:val="00F9530F"/>
    <w:rsid w:val="00F9532E"/>
    <w:rsid w:val="00F95341"/>
    <w:rsid w:val="00F954B0"/>
    <w:rsid w:val="00F954CA"/>
    <w:rsid w:val="00F95576"/>
    <w:rsid w:val="00F955A0"/>
    <w:rsid w:val="00F95C76"/>
    <w:rsid w:val="00F95C85"/>
    <w:rsid w:val="00F95ED9"/>
    <w:rsid w:val="00F95F08"/>
    <w:rsid w:val="00F95F0F"/>
    <w:rsid w:val="00F960BD"/>
    <w:rsid w:val="00F961E2"/>
    <w:rsid w:val="00F964D8"/>
    <w:rsid w:val="00F9650F"/>
    <w:rsid w:val="00F96527"/>
    <w:rsid w:val="00F96545"/>
    <w:rsid w:val="00F966EC"/>
    <w:rsid w:val="00F96830"/>
    <w:rsid w:val="00F9685D"/>
    <w:rsid w:val="00F96961"/>
    <w:rsid w:val="00F96982"/>
    <w:rsid w:val="00F969A8"/>
    <w:rsid w:val="00F96A18"/>
    <w:rsid w:val="00F96A45"/>
    <w:rsid w:val="00F96B04"/>
    <w:rsid w:val="00F96B23"/>
    <w:rsid w:val="00F96B36"/>
    <w:rsid w:val="00F96C83"/>
    <w:rsid w:val="00F96D35"/>
    <w:rsid w:val="00F96F7E"/>
    <w:rsid w:val="00F9710E"/>
    <w:rsid w:val="00F97285"/>
    <w:rsid w:val="00F972E7"/>
    <w:rsid w:val="00F97320"/>
    <w:rsid w:val="00F9747C"/>
    <w:rsid w:val="00F97737"/>
    <w:rsid w:val="00F97754"/>
    <w:rsid w:val="00F978EB"/>
    <w:rsid w:val="00F9795C"/>
    <w:rsid w:val="00F97A12"/>
    <w:rsid w:val="00F97B2E"/>
    <w:rsid w:val="00F97B36"/>
    <w:rsid w:val="00F97E01"/>
    <w:rsid w:val="00FA0087"/>
    <w:rsid w:val="00FA035A"/>
    <w:rsid w:val="00FA0813"/>
    <w:rsid w:val="00FA08DF"/>
    <w:rsid w:val="00FA090A"/>
    <w:rsid w:val="00FA0922"/>
    <w:rsid w:val="00FA0CD4"/>
    <w:rsid w:val="00FA0D2A"/>
    <w:rsid w:val="00FA0D33"/>
    <w:rsid w:val="00FA0DF7"/>
    <w:rsid w:val="00FA0F9F"/>
    <w:rsid w:val="00FA0FDE"/>
    <w:rsid w:val="00FA1015"/>
    <w:rsid w:val="00FA10DA"/>
    <w:rsid w:val="00FA113C"/>
    <w:rsid w:val="00FA12E5"/>
    <w:rsid w:val="00FA131B"/>
    <w:rsid w:val="00FA1689"/>
    <w:rsid w:val="00FA1701"/>
    <w:rsid w:val="00FA1714"/>
    <w:rsid w:val="00FA19A2"/>
    <w:rsid w:val="00FA19BA"/>
    <w:rsid w:val="00FA19FA"/>
    <w:rsid w:val="00FA1AAC"/>
    <w:rsid w:val="00FA1B91"/>
    <w:rsid w:val="00FA1C27"/>
    <w:rsid w:val="00FA1C75"/>
    <w:rsid w:val="00FA1D2F"/>
    <w:rsid w:val="00FA1E7F"/>
    <w:rsid w:val="00FA1FD5"/>
    <w:rsid w:val="00FA2041"/>
    <w:rsid w:val="00FA2067"/>
    <w:rsid w:val="00FA2197"/>
    <w:rsid w:val="00FA222D"/>
    <w:rsid w:val="00FA22EB"/>
    <w:rsid w:val="00FA24AA"/>
    <w:rsid w:val="00FA2531"/>
    <w:rsid w:val="00FA2539"/>
    <w:rsid w:val="00FA254D"/>
    <w:rsid w:val="00FA264C"/>
    <w:rsid w:val="00FA26A5"/>
    <w:rsid w:val="00FA271F"/>
    <w:rsid w:val="00FA2827"/>
    <w:rsid w:val="00FA2AE3"/>
    <w:rsid w:val="00FA2D2D"/>
    <w:rsid w:val="00FA2D51"/>
    <w:rsid w:val="00FA2DBF"/>
    <w:rsid w:val="00FA2DC0"/>
    <w:rsid w:val="00FA2E48"/>
    <w:rsid w:val="00FA2F6D"/>
    <w:rsid w:val="00FA2FE6"/>
    <w:rsid w:val="00FA3035"/>
    <w:rsid w:val="00FA3107"/>
    <w:rsid w:val="00FA310F"/>
    <w:rsid w:val="00FA313A"/>
    <w:rsid w:val="00FA3191"/>
    <w:rsid w:val="00FA31E3"/>
    <w:rsid w:val="00FA3288"/>
    <w:rsid w:val="00FA332D"/>
    <w:rsid w:val="00FA3345"/>
    <w:rsid w:val="00FA3453"/>
    <w:rsid w:val="00FA3622"/>
    <w:rsid w:val="00FA3633"/>
    <w:rsid w:val="00FA3663"/>
    <w:rsid w:val="00FA37A6"/>
    <w:rsid w:val="00FA3A28"/>
    <w:rsid w:val="00FA3A9E"/>
    <w:rsid w:val="00FA3B12"/>
    <w:rsid w:val="00FA3B2E"/>
    <w:rsid w:val="00FA3CDA"/>
    <w:rsid w:val="00FA3EA3"/>
    <w:rsid w:val="00FA3F35"/>
    <w:rsid w:val="00FA4013"/>
    <w:rsid w:val="00FA41C8"/>
    <w:rsid w:val="00FA43FF"/>
    <w:rsid w:val="00FA457E"/>
    <w:rsid w:val="00FA4589"/>
    <w:rsid w:val="00FA478E"/>
    <w:rsid w:val="00FA4823"/>
    <w:rsid w:val="00FA48EF"/>
    <w:rsid w:val="00FA49E3"/>
    <w:rsid w:val="00FA4B03"/>
    <w:rsid w:val="00FA4DA2"/>
    <w:rsid w:val="00FA4EA9"/>
    <w:rsid w:val="00FA4F3C"/>
    <w:rsid w:val="00FA515F"/>
    <w:rsid w:val="00FA51F0"/>
    <w:rsid w:val="00FA522F"/>
    <w:rsid w:val="00FA5325"/>
    <w:rsid w:val="00FA53E7"/>
    <w:rsid w:val="00FA5401"/>
    <w:rsid w:val="00FA546E"/>
    <w:rsid w:val="00FA5599"/>
    <w:rsid w:val="00FA55D6"/>
    <w:rsid w:val="00FA569C"/>
    <w:rsid w:val="00FA576C"/>
    <w:rsid w:val="00FA5973"/>
    <w:rsid w:val="00FA5B23"/>
    <w:rsid w:val="00FA5B7B"/>
    <w:rsid w:val="00FA5B8F"/>
    <w:rsid w:val="00FA5DBA"/>
    <w:rsid w:val="00FA5EC9"/>
    <w:rsid w:val="00FA616E"/>
    <w:rsid w:val="00FA6182"/>
    <w:rsid w:val="00FA619C"/>
    <w:rsid w:val="00FA639A"/>
    <w:rsid w:val="00FA63CB"/>
    <w:rsid w:val="00FA644C"/>
    <w:rsid w:val="00FA6519"/>
    <w:rsid w:val="00FA652E"/>
    <w:rsid w:val="00FA65E2"/>
    <w:rsid w:val="00FA66DA"/>
    <w:rsid w:val="00FA67A7"/>
    <w:rsid w:val="00FA684D"/>
    <w:rsid w:val="00FA6967"/>
    <w:rsid w:val="00FA69F3"/>
    <w:rsid w:val="00FA6B06"/>
    <w:rsid w:val="00FA6B13"/>
    <w:rsid w:val="00FA6BC1"/>
    <w:rsid w:val="00FA6CC7"/>
    <w:rsid w:val="00FA6E42"/>
    <w:rsid w:val="00FA7128"/>
    <w:rsid w:val="00FA7433"/>
    <w:rsid w:val="00FA7556"/>
    <w:rsid w:val="00FA773B"/>
    <w:rsid w:val="00FA7766"/>
    <w:rsid w:val="00FA7831"/>
    <w:rsid w:val="00FA78A1"/>
    <w:rsid w:val="00FA7964"/>
    <w:rsid w:val="00FA79CD"/>
    <w:rsid w:val="00FA7BC1"/>
    <w:rsid w:val="00FA7C30"/>
    <w:rsid w:val="00FA7C85"/>
    <w:rsid w:val="00FA7CA5"/>
    <w:rsid w:val="00FA7CC5"/>
    <w:rsid w:val="00FA7DF3"/>
    <w:rsid w:val="00FA7FDE"/>
    <w:rsid w:val="00FB0078"/>
    <w:rsid w:val="00FB011F"/>
    <w:rsid w:val="00FB0210"/>
    <w:rsid w:val="00FB029A"/>
    <w:rsid w:val="00FB02B4"/>
    <w:rsid w:val="00FB0325"/>
    <w:rsid w:val="00FB037F"/>
    <w:rsid w:val="00FB0559"/>
    <w:rsid w:val="00FB075F"/>
    <w:rsid w:val="00FB0796"/>
    <w:rsid w:val="00FB07C8"/>
    <w:rsid w:val="00FB0939"/>
    <w:rsid w:val="00FB09D5"/>
    <w:rsid w:val="00FB0BEE"/>
    <w:rsid w:val="00FB0D69"/>
    <w:rsid w:val="00FB0DA1"/>
    <w:rsid w:val="00FB0F67"/>
    <w:rsid w:val="00FB0FD8"/>
    <w:rsid w:val="00FB103A"/>
    <w:rsid w:val="00FB109B"/>
    <w:rsid w:val="00FB15ED"/>
    <w:rsid w:val="00FB15EE"/>
    <w:rsid w:val="00FB16F0"/>
    <w:rsid w:val="00FB176E"/>
    <w:rsid w:val="00FB1814"/>
    <w:rsid w:val="00FB18B5"/>
    <w:rsid w:val="00FB18BA"/>
    <w:rsid w:val="00FB19AB"/>
    <w:rsid w:val="00FB1A2C"/>
    <w:rsid w:val="00FB1A8F"/>
    <w:rsid w:val="00FB1AD7"/>
    <w:rsid w:val="00FB1C48"/>
    <w:rsid w:val="00FB1C92"/>
    <w:rsid w:val="00FB1CC6"/>
    <w:rsid w:val="00FB1E7D"/>
    <w:rsid w:val="00FB1F40"/>
    <w:rsid w:val="00FB1F99"/>
    <w:rsid w:val="00FB2061"/>
    <w:rsid w:val="00FB206E"/>
    <w:rsid w:val="00FB235D"/>
    <w:rsid w:val="00FB235E"/>
    <w:rsid w:val="00FB2386"/>
    <w:rsid w:val="00FB241D"/>
    <w:rsid w:val="00FB2478"/>
    <w:rsid w:val="00FB250E"/>
    <w:rsid w:val="00FB2917"/>
    <w:rsid w:val="00FB299E"/>
    <w:rsid w:val="00FB29EB"/>
    <w:rsid w:val="00FB2B9E"/>
    <w:rsid w:val="00FB2C34"/>
    <w:rsid w:val="00FB2D0A"/>
    <w:rsid w:val="00FB2D77"/>
    <w:rsid w:val="00FB2F10"/>
    <w:rsid w:val="00FB31BF"/>
    <w:rsid w:val="00FB3248"/>
    <w:rsid w:val="00FB33C3"/>
    <w:rsid w:val="00FB34C1"/>
    <w:rsid w:val="00FB3500"/>
    <w:rsid w:val="00FB3887"/>
    <w:rsid w:val="00FB3AB8"/>
    <w:rsid w:val="00FB3C0E"/>
    <w:rsid w:val="00FB3C99"/>
    <w:rsid w:val="00FB3F3D"/>
    <w:rsid w:val="00FB3F94"/>
    <w:rsid w:val="00FB40C7"/>
    <w:rsid w:val="00FB41E2"/>
    <w:rsid w:val="00FB42CA"/>
    <w:rsid w:val="00FB44F2"/>
    <w:rsid w:val="00FB462B"/>
    <w:rsid w:val="00FB473B"/>
    <w:rsid w:val="00FB4946"/>
    <w:rsid w:val="00FB4A42"/>
    <w:rsid w:val="00FB4B20"/>
    <w:rsid w:val="00FB4B9B"/>
    <w:rsid w:val="00FB4D47"/>
    <w:rsid w:val="00FB4D5A"/>
    <w:rsid w:val="00FB4E48"/>
    <w:rsid w:val="00FB4FDE"/>
    <w:rsid w:val="00FB4FE5"/>
    <w:rsid w:val="00FB5014"/>
    <w:rsid w:val="00FB51A2"/>
    <w:rsid w:val="00FB51CF"/>
    <w:rsid w:val="00FB528F"/>
    <w:rsid w:val="00FB531C"/>
    <w:rsid w:val="00FB54F5"/>
    <w:rsid w:val="00FB5599"/>
    <w:rsid w:val="00FB55B7"/>
    <w:rsid w:val="00FB57AF"/>
    <w:rsid w:val="00FB582D"/>
    <w:rsid w:val="00FB588F"/>
    <w:rsid w:val="00FB5B9F"/>
    <w:rsid w:val="00FB5C67"/>
    <w:rsid w:val="00FB5E1F"/>
    <w:rsid w:val="00FB5FB9"/>
    <w:rsid w:val="00FB5FF6"/>
    <w:rsid w:val="00FB6046"/>
    <w:rsid w:val="00FB614A"/>
    <w:rsid w:val="00FB6196"/>
    <w:rsid w:val="00FB6256"/>
    <w:rsid w:val="00FB6291"/>
    <w:rsid w:val="00FB62D8"/>
    <w:rsid w:val="00FB6334"/>
    <w:rsid w:val="00FB63C9"/>
    <w:rsid w:val="00FB63F3"/>
    <w:rsid w:val="00FB63F6"/>
    <w:rsid w:val="00FB650D"/>
    <w:rsid w:val="00FB66F0"/>
    <w:rsid w:val="00FB67AC"/>
    <w:rsid w:val="00FB6848"/>
    <w:rsid w:val="00FB6978"/>
    <w:rsid w:val="00FB69AB"/>
    <w:rsid w:val="00FB6A58"/>
    <w:rsid w:val="00FB6AF4"/>
    <w:rsid w:val="00FB6D64"/>
    <w:rsid w:val="00FB6DE0"/>
    <w:rsid w:val="00FB6DF2"/>
    <w:rsid w:val="00FB6EED"/>
    <w:rsid w:val="00FB6F4D"/>
    <w:rsid w:val="00FB6FE7"/>
    <w:rsid w:val="00FB709E"/>
    <w:rsid w:val="00FB70ED"/>
    <w:rsid w:val="00FB724E"/>
    <w:rsid w:val="00FB7336"/>
    <w:rsid w:val="00FB74FD"/>
    <w:rsid w:val="00FB75AB"/>
    <w:rsid w:val="00FB75B8"/>
    <w:rsid w:val="00FB75DA"/>
    <w:rsid w:val="00FB766D"/>
    <w:rsid w:val="00FB77A7"/>
    <w:rsid w:val="00FB79BF"/>
    <w:rsid w:val="00FB7A4F"/>
    <w:rsid w:val="00FB7B1C"/>
    <w:rsid w:val="00FB7CE4"/>
    <w:rsid w:val="00FB7E4E"/>
    <w:rsid w:val="00FC0067"/>
    <w:rsid w:val="00FC0072"/>
    <w:rsid w:val="00FC009C"/>
    <w:rsid w:val="00FC00EB"/>
    <w:rsid w:val="00FC01A0"/>
    <w:rsid w:val="00FC01D6"/>
    <w:rsid w:val="00FC030C"/>
    <w:rsid w:val="00FC039E"/>
    <w:rsid w:val="00FC0590"/>
    <w:rsid w:val="00FC05AA"/>
    <w:rsid w:val="00FC0B96"/>
    <w:rsid w:val="00FC0E97"/>
    <w:rsid w:val="00FC107F"/>
    <w:rsid w:val="00FC1157"/>
    <w:rsid w:val="00FC11BC"/>
    <w:rsid w:val="00FC13C2"/>
    <w:rsid w:val="00FC13ED"/>
    <w:rsid w:val="00FC14E1"/>
    <w:rsid w:val="00FC14F3"/>
    <w:rsid w:val="00FC15A2"/>
    <w:rsid w:val="00FC1630"/>
    <w:rsid w:val="00FC1683"/>
    <w:rsid w:val="00FC17DD"/>
    <w:rsid w:val="00FC1892"/>
    <w:rsid w:val="00FC1A13"/>
    <w:rsid w:val="00FC1DF1"/>
    <w:rsid w:val="00FC1EAE"/>
    <w:rsid w:val="00FC1EDF"/>
    <w:rsid w:val="00FC1EEF"/>
    <w:rsid w:val="00FC1F62"/>
    <w:rsid w:val="00FC20CC"/>
    <w:rsid w:val="00FC2104"/>
    <w:rsid w:val="00FC2212"/>
    <w:rsid w:val="00FC250D"/>
    <w:rsid w:val="00FC25BD"/>
    <w:rsid w:val="00FC25D4"/>
    <w:rsid w:val="00FC2639"/>
    <w:rsid w:val="00FC269B"/>
    <w:rsid w:val="00FC276E"/>
    <w:rsid w:val="00FC27F3"/>
    <w:rsid w:val="00FC28A7"/>
    <w:rsid w:val="00FC291D"/>
    <w:rsid w:val="00FC2944"/>
    <w:rsid w:val="00FC29A9"/>
    <w:rsid w:val="00FC2A91"/>
    <w:rsid w:val="00FC2AC3"/>
    <w:rsid w:val="00FC2AC8"/>
    <w:rsid w:val="00FC2B29"/>
    <w:rsid w:val="00FC2B33"/>
    <w:rsid w:val="00FC2BC6"/>
    <w:rsid w:val="00FC2BD1"/>
    <w:rsid w:val="00FC2D2A"/>
    <w:rsid w:val="00FC2D2B"/>
    <w:rsid w:val="00FC2D82"/>
    <w:rsid w:val="00FC2D8D"/>
    <w:rsid w:val="00FC2E1A"/>
    <w:rsid w:val="00FC2F3C"/>
    <w:rsid w:val="00FC2F5E"/>
    <w:rsid w:val="00FC3000"/>
    <w:rsid w:val="00FC30A8"/>
    <w:rsid w:val="00FC31C1"/>
    <w:rsid w:val="00FC31F3"/>
    <w:rsid w:val="00FC332E"/>
    <w:rsid w:val="00FC3627"/>
    <w:rsid w:val="00FC372B"/>
    <w:rsid w:val="00FC37DD"/>
    <w:rsid w:val="00FC3828"/>
    <w:rsid w:val="00FC3978"/>
    <w:rsid w:val="00FC39F5"/>
    <w:rsid w:val="00FC3D1C"/>
    <w:rsid w:val="00FC3DCB"/>
    <w:rsid w:val="00FC3E4D"/>
    <w:rsid w:val="00FC3EB1"/>
    <w:rsid w:val="00FC3FB1"/>
    <w:rsid w:val="00FC401D"/>
    <w:rsid w:val="00FC4077"/>
    <w:rsid w:val="00FC4404"/>
    <w:rsid w:val="00FC4420"/>
    <w:rsid w:val="00FC45E1"/>
    <w:rsid w:val="00FC48F8"/>
    <w:rsid w:val="00FC492F"/>
    <w:rsid w:val="00FC49A1"/>
    <w:rsid w:val="00FC49A3"/>
    <w:rsid w:val="00FC4B5C"/>
    <w:rsid w:val="00FC4BA7"/>
    <w:rsid w:val="00FC4BDB"/>
    <w:rsid w:val="00FC4C7E"/>
    <w:rsid w:val="00FC4E42"/>
    <w:rsid w:val="00FC4E5F"/>
    <w:rsid w:val="00FC4F1C"/>
    <w:rsid w:val="00FC4F84"/>
    <w:rsid w:val="00FC501A"/>
    <w:rsid w:val="00FC508F"/>
    <w:rsid w:val="00FC5163"/>
    <w:rsid w:val="00FC5456"/>
    <w:rsid w:val="00FC54AF"/>
    <w:rsid w:val="00FC54B2"/>
    <w:rsid w:val="00FC55BF"/>
    <w:rsid w:val="00FC5848"/>
    <w:rsid w:val="00FC58B6"/>
    <w:rsid w:val="00FC5933"/>
    <w:rsid w:val="00FC5A32"/>
    <w:rsid w:val="00FC5BAE"/>
    <w:rsid w:val="00FC5E2C"/>
    <w:rsid w:val="00FC5E8D"/>
    <w:rsid w:val="00FC5F2C"/>
    <w:rsid w:val="00FC603C"/>
    <w:rsid w:val="00FC605C"/>
    <w:rsid w:val="00FC6158"/>
    <w:rsid w:val="00FC6239"/>
    <w:rsid w:val="00FC63EE"/>
    <w:rsid w:val="00FC64B0"/>
    <w:rsid w:val="00FC65D0"/>
    <w:rsid w:val="00FC6649"/>
    <w:rsid w:val="00FC66C8"/>
    <w:rsid w:val="00FC670A"/>
    <w:rsid w:val="00FC693F"/>
    <w:rsid w:val="00FC6B1D"/>
    <w:rsid w:val="00FC6B5D"/>
    <w:rsid w:val="00FC6B75"/>
    <w:rsid w:val="00FC6B82"/>
    <w:rsid w:val="00FC6BA9"/>
    <w:rsid w:val="00FC6C9B"/>
    <w:rsid w:val="00FC6D77"/>
    <w:rsid w:val="00FC6E27"/>
    <w:rsid w:val="00FC6EBE"/>
    <w:rsid w:val="00FC6F1E"/>
    <w:rsid w:val="00FC7039"/>
    <w:rsid w:val="00FC7098"/>
    <w:rsid w:val="00FC70CF"/>
    <w:rsid w:val="00FC714E"/>
    <w:rsid w:val="00FC7169"/>
    <w:rsid w:val="00FC74A1"/>
    <w:rsid w:val="00FC75D0"/>
    <w:rsid w:val="00FC7709"/>
    <w:rsid w:val="00FC7856"/>
    <w:rsid w:val="00FC786B"/>
    <w:rsid w:val="00FC798E"/>
    <w:rsid w:val="00FC7A8C"/>
    <w:rsid w:val="00FC7A9B"/>
    <w:rsid w:val="00FC7AB8"/>
    <w:rsid w:val="00FC7B16"/>
    <w:rsid w:val="00FC7CA7"/>
    <w:rsid w:val="00FC7CD5"/>
    <w:rsid w:val="00FC7E0B"/>
    <w:rsid w:val="00FC7E54"/>
    <w:rsid w:val="00FC7F1F"/>
    <w:rsid w:val="00FC7F56"/>
    <w:rsid w:val="00FD0071"/>
    <w:rsid w:val="00FD010E"/>
    <w:rsid w:val="00FD01C2"/>
    <w:rsid w:val="00FD01E8"/>
    <w:rsid w:val="00FD01F5"/>
    <w:rsid w:val="00FD0369"/>
    <w:rsid w:val="00FD050C"/>
    <w:rsid w:val="00FD05E4"/>
    <w:rsid w:val="00FD060F"/>
    <w:rsid w:val="00FD0766"/>
    <w:rsid w:val="00FD0793"/>
    <w:rsid w:val="00FD087A"/>
    <w:rsid w:val="00FD09A3"/>
    <w:rsid w:val="00FD0A46"/>
    <w:rsid w:val="00FD0AAF"/>
    <w:rsid w:val="00FD0AF4"/>
    <w:rsid w:val="00FD0BBC"/>
    <w:rsid w:val="00FD0BD4"/>
    <w:rsid w:val="00FD0D25"/>
    <w:rsid w:val="00FD0DA6"/>
    <w:rsid w:val="00FD0DBA"/>
    <w:rsid w:val="00FD0E49"/>
    <w:rsid w:val="00FD0EC7"/>
    <w:rsid w:val="00FD0F36"/>
    <w:rsid w:val="00FD1095"/>
    <w:rsid w:val="00FD13B0"/>
    <w:rsid w:val="00FD149A"/>
    <w:rsid w:val="00FD14C0"/>
    <w:rsid w:val="00FD1815"/>
    <w:rsid w:val="00FD187F"/>
    <w:rsid w:val="00FD189D"/>
    <w:rsid w:val="00FD1A21"/>
    <w:rsid w:val="00FD1A87"/>
    <w:rsid w:val="00FD1A9C"/>
    <w:rsid w:val="00FD1AD7"/>
    <w:rsid w:val="00FD1C96"/>
    <w:rsid w:val="00FD1CBE"/>
    <w:rsid w:val="00FD1DE0"/>
    <w:rsid w:val="00FD1E9E"/>
    <w:rsid w:val="00FD1ECF"/>
    <w:rsid w:val="00FD1F2C"/>
    <w:rsid w:val="00FD202D"/>
    <w:rsid w:val="00FD207A"/>
    <w:rsid w:val="00FD2134"/>
    <w:rsid w:val="00FD2183"/>
    <w:rsid w:val="00FD2280"/>
    <w:rsid w:val="00FD235C"/>
    <w:rsid w:val="00FD247D"/>
    <w:rsid w:val="00FD2611"/>
    <w:rsid w:val="00FD27E3"/>
    <w:rsid w:val="00FD28A9"/>
    <w:rsid w:val="00FD292B"/>
    <w:rsid w:val="00FD2963"/>
    <w:rsid w:val="00FD29EA"/>
    <w:rsid w:val="00FD2A00"/>
    <w:rsid w:val="00FD2B39"/>
    <w:rsid w:val="00FD2C29"/>
    <w:rsid w:val="00FD2C4C"/>
    <w:rsid w:val="00FD2C72"/>
    <w:rsid w:val="00FD2FA0"/>
    <w:rsid w:val="00FD3096"/>
    <w:rsid w:val="00FD30EE"/>
    <w:rsid w:val="00FD311A"/>
    <w:rsid w:val="00FD32DD"/>
    <w:rsid w:val="00FD34B3"/>
    <w:rsid w:val="00FD34EA"/>
    <w:rsid w:val="00FD35C7"/>
    <w:rsid w:val="00FD35DD"/>
    <w:rsid w:val="00FD3632"/>
    <w:rsid w:val="00FD3825"/>
    <w:rsid w:val="00FD3979"/>
    <w:rsid w:val="00FD3AB7"/>
    <w:rsid w:val="00FD3C96"/>
    <w:rsid w:val="00FD3D59"/>
    <w:rsid w:val="00FD3E53"/>
    <w:rsid w:val="00FD3F1D"/>
    <w:rsid w:val="00FD3F35"/>
    <w:rsid w:val="00FD403B"/>
    <w:rsid w:val="00FD40DF"/>
    <w:rsid w:val="00FD40E6"/>
    <w:rsid w:val="00FD41C3"/>
    <w:rsid w:val="00FD421D"/>
    <w:rsid w:val="00FD43F3"/>
    <w:rsid w:val="00FD4421"/>
    <w:rsid w:val="00FD44D3"/>
    <w:rsid w:val="00FD4635"/>
    <w:rsid w:val="00FD474B"/>
    <w:rsid w:val="00FD4A14"/>
    <w:rsid w:val="00FD4B93"/>
    <w:rsid w:val="00FD4B9C"/>
    <w:rsid w:val="00FD4C2B"/>
    <w:rsid w:val="00FD4C31"/>
    <w:rsid w:val="00FD4C34"/>
    <w:rsid w:val="00FD4CD7"/>
    <w:rsid w:val="00FD4E77"/>
    <w:rsid w:val="00FD4E9F"/>
    <w:rsid w:val="00FD4EA7"/>
    <w:rsid w:val="00FD4ED5"/>
    <w:rsid w:val="00FD5097"/>
    <w:rsid w:val="00FD517D"/>
    <w:rsid w:val="00FD534D"/>
    <w:rsid w:val="00FD5377"/>
    <w:rsid w:val="00FD5449"/>
    <w:rsid w:val="00FD549E"/>
    <w:rsid w:val="00FD5607"/>
    <w:rsid w:val="00FD56B3"/>
    <w:rsid w:val="00FD5A39"/>
    <w:rsid w:val="00FD5B3F"/>
    <w:rsid w:val="00FD5D74"/>
    <w:rsid w:val="00FD5D90"/>
    <w:rsid w:val="00FD5DB7"/>
    <w:rsid w:val="00FD5DEC"/>
    <w:rsid w:val="00FD5F22"/>
    <w:rsid w:val="00FD5FB2"/>
    <w:rsid w:val="00FD6030"/>
    <w:rsid w:val="00FD61FC"/>
    <w:rsid w:val="00FD63A0"/>
    <w:rsid w:val="00FD66D6"/>
    <w:rsid w:val="00FD66EF"/>
    <w:rsid w:val="00FD690F"/>
    <w:rsid w:val="00FD69E9"/>
    <w:rsid w:val="00FD6AE1"/>
    <w:rsid w:val="00FD6B7A"/>
    <w:rsid w:val="00FD6BB8"/>
    <w:rsid w:val="00FD701E"/>
    <w:rsid w:val="00FD70D4"/>
    <w:rsid w:val="00FD70E1"/>
    <w:rsid w:val="00FD70F4"/>
    <w:rsid w:val="00FD71DB"/>
    <w:rsid w:val="00FD729C"/>
    <w:rsid w:val="00FD7510"/>
    <w:rsid w:val="00FD7576"/>
    <w:rsid w:val="00FD75B1"/>
    <w:rsid w:val="00FD7642"/>
    <w:rsid w:val="00FD76B0"/>
    <w:rsid w:val="00FD77E6"/>
    <w:rsid w:val="00FD79E4"/>
    <w:rsid w:val="00FD79E9"/>
    <w:rsid w:val="00FD7A8F"/>
    <w:rsid w:val="00FD7AB7"/>
    <w:rsid w:val="00FD7CDC"/>
    <w:rsid w:val="00FD7D12"/>
    <w:rsid w:val="00FD7D1A"/>
    <w:rsid w:val="00FD7DE2"/>
    <w:rsid w:val="00FD7EBB"/>
    <w:rsid w:val="00FD7ED5"/>
    <w:rsid w:val="00FE02E1"/>
    <w:rsid w:val="00FE0355"/>
    <w:rsid w:val="00FE0570"/>
    <w:rsid w:val="00FE05D8"/>
    <w:rsid w:val="00FE066D"/>
    <w:rsid w:val="00FE0884"/>
    <w:rsid w:val="00FE0990"/>
    <w:rsid w:val="00FE09FB"/>
    <w:rsid w:val="00FE0A9E"/>
    <w:rsid w:val="00FE0AE4"/>
    <w:rsid w:val="00FE0B3A"/>
    <w:rsid w:val="00FE0B72"/>
    <w:rsid w:val="00FE0BD8"/>
    <w:rsid w:val="00FE0BF1"/>
    <w:rsid w:val="00FE0CAE"/>
    <w:rsid w:val="00FE0D7B"/>
    <w:rsid w:val="00FE0D9C"/>
    <w:rsid w:val="00FE0E8A"/>
    <w:rsid w:val="00FE0F9B"/>
    <w:rsid w:val="00FE116E"/>
    <w:rsid w:val="00FE12B0"/>
    <w:rsid w:val="00FE12D5"/>
    <w:rsid w:val="00FE13C5"/>
    <w:rsid w:val="00FE14E1"/>
    <w:rsid w:val="00FE1556"/>
    <w:rsid w:val="00FE1568"/>
    <w:rsid w:val="00FE15D7"/>
    <w:rsid w:val="00FE1628"/>
    <w:rsid w:val="00FE1711"/>
    <w:rsid w:val="00FE1833"/>
    <w:rsid w:val="00FE1A55"/>
    <w:rsid w:val="00FE1A85"/>
    <w:rsid w:val="00FE1AC4"/>
    <w:rsid w:val="00FE1C40"/>
    <w:rsid w:val="00FE1D2F"/>
    <w:rsid w:val="00FE1DEF"/>
    <w:rsid w:val="00FE1EB1"/>
    <w:rsid w:val="00FE2099"/>
    <w:rsid w:val="00FE21A7"/>
    <w:rsid w:val="00FE21B5"/>
    <w:rsid w:val="00FE2256"/>
    <w:rsid w:val="00FE24DE"/>
    <w:rsid w:val="00FE27D4"/>
    <w:rsid w:val="00FE2A03"/>
    <w:rsid w:val="00FE2ABB"/>
    <w:rsid w:val="00FE2C68"/>
    <w:rsid w:val="00FE2D43"/>
    <w:rsid w:val="00FE2EA2"/>
    <w:rsid w:val="00FE2EC1"/>
    <w:rsid w:val="00FE2FF7"/>
    <w:rsid w:val="00FE31F6"/>
    <w:rsid w:val="00FE3220"/>
    <w:rsid w:val="00FE32B6"/>
    <w:rsid w:val="00FE338A"/>
    <w:rsid w:val="00FE3420"/>
    <w:rsid w:val="00FE375C"/>
    <w:rsid w:val="00FE3982"/>
    <w:rsid w:val="00FE3A77"/>
    <w:rsid w:val="00FE3AA4"/>
    <w:rsid w:val="00FE3C36"/>
    <w:rsid w:val="00FE3E24"/>
    <w:rsid w:val="00FE3F38"/>
    <w:rsid w:val="00FE4094"/>
    <w:rsid w:val="00FE42CB"/>
    <w:rsid w:val="00FE436E"/>
    <w:rsid w:val="00FE4383"/>
    <w:rsid w:val="00FE4394"/>
    <w:rsid w:val="00FE43A9"/>
    <w:rsid w:val="00FE4422"/>
    <w:rsid w:val="00FE44E4"/>
    <w:rsid w:val="00FE44E8"/>
    <w:rsid w:val="00FE466F"/>
    <w:rsid w:val="00FE47D1"/>
    <w:rsid w:val="00FE4880"/>
    <w:rsid w:val="00FE49B1"/>
    <w:rsid w:val="00FE4A0D"/>
    <w:rsid w:val="00FE4AFC"/>
    <w:rsid w:val="00FE4BB5"/>
    <w:rsid w:val="00FE4BBE"/>
    <w:rsid w:val="00FE4C30"/>
    <w:rsid w:val="00FE4C8C"/>
    <w:rsid w:val="00FE4CB2"/>
    <w:rsid w:val="00FE4CDD"/>
    <w:rsid w:val="00FE506F"/>
    <w:rsid w:val="00FE5198"/>
    <w:rsid w:val="00FE51C0"/>
    <w:rsid w:val="00FE526F"/>
    <w:rsid w:val="00FE5320"/>
    <w:rsid w:val="00FE53A3"/>
    <w:rsid w:val="00FE53C0"/>
    <w:rsid w:val="00FE53FC"/>
    <w:rsid w:val="00FE546A"/>
    <w:rsid w:val="00FE54FB"/>
    <w:rsid w:val="00FE5681"/>
    <w:rsid w:val="00FE5910"/>
    <w:rsid w:val="00FE5966"/>
    <w:rsid w:val="00FE597D"/>
    <w:rsid w:val="00FE5A1D"/>
    <w:rsid w:val="00FE5C89"/>
    <w:rsid w:val="00FE5D85"/>
    <w:rsid w:val="00FE5EA0"/>
    <w:rsid w:val="00FE5F29"/>
    <w:rsid w:val="00FE5F9D"/>
    <w:rsid w:val="00FE60DF"/>
    <w:rsid w:val="00FE6131"/>
    <w:rsid w:val="00FE6199"/>
    <w:rsid w:val="00FE61A7"/>
    <w:rsid w:val="00FE628E"/>
    <w:rsid w:val="00FE6329"/>
    <w:rsid w:val="00FE6335"/>
    <w:rsid w:val="00FE6384"/>
    <w:rsid w:val="00FE63B3"/>
    <w:rsid w:val="00FE63B7"/>
    <w:rsid w:val="00FE63BE"/>
    <w:rsid w:val="00FE6402"/>
    <w:rsid w:val="00FE6432"/>
    <w:rsid w:val="00FE6444"/>
    <w:rsid w:val="00FE656B"/>
    <w:rsid w:val="00FE659A"/>
    <w:rsid w:val="00FE659B"/>
    <w:rsid w:val="00FE6745"/>
    <w:rsid w:val="00FE67DB"/>
    <w:rsid w:val="00FE681D"/>
    <w:rsid w:val="00FE69B6"/>
    <w:rsid w:val="00FE6BB7"/>
    <w:rsid w:val="00FE6BD6"/>
    <w:rsid w:val="00FE6D43"/>
    <w:rsid w:val="00FE6D50"/>
    <w:rsid w:val="00FE6E96"/>
    <w:rsid w:val="00FE70A3"/>
    <w:rsid w:val="00FE70A8"/>
    <w:rsid w:val="00FE71BF"/>
    <w:rsid w:val="00FE7385"/>
    <w:rsid w:val="00FE738E"/>
    <w:rsid w:val="00FE7452"/>
    <w:rsid w:val="00FE74A6"/>
    <w:rsid w:val="00FE74F7"/>
    <w:rsid w:val="00FE75EB"/>
    <w:rsid w:val="00FE7DB8"/>
    <w:rsid w:val="00FE7DD8"/>
    <w:rsid w:val="00FE7E4F"/>
    <w:rsid w:val="00FE7EED"/>
    <w:rsid w:val="00FE7F1B"/>
    <w:rsid w:val="00FF010E"/>
    <w:rsid w:val="00FF01BB"/>
    <w:rsid w:val="00FF02E1"/>
    <w:rsid w:val="00FF035B"/>
    <w:rsid w:val="00FF063D"/>
    <w:rsid w:val="00FF066D"/>
    <w:rsid w:val="00FF0779"/>
    <w:rsid w:val="00FF0924"/>
    <w:rsid w:val="00FF0B6C"/>
    <w:rsid w:val="00FF0DB3"/>
    <w:rsid w:val="00FF0DF4"/>
    <w:rsid w:val="00FF0E5D"/>
    <w:rsid w:val="00FF0E73"/>
    <w:rsid w:val="00FF0F24"/>
    <w:rsid w:val="00FF0F6F"/>
    <w:rsid w:val="00FF1039"/>
    <w:rsid w:val="00FF124F"/>
    <w:rsid w:val="00FF1318"/>
    <w:rsid w:val="00FF139E"/>
    <w:rsid w:val="00FF161D"/>
    <w:rsid w:val="00FF16B4"/>
    <w:rsid w:val="00FF1B19"/>
    <w:rsid w:val="00FF1B7E"/>
    <w:rsid w:val="00FF1B87"/>
    <w:rsid w:val="00FF1B94"/>
    <w:rsid w:val="00FF1B9B"/>
    <w:rsid w:val="00FF1C26"/>
    <w:rsid w:val="00FF1D10"/>
    <w:rsid w:val="00FF1E73"/>
    <w:rsid w:val="00FF1ECF"/>
    <w:rsid w:val="00FF1FCA"/>
    <w:rsid w:val="00FF2163"/>
    <w:rsid w:val="00FF255B"/>
    <w:rsid w:val="00FF25A6"/>
    <w:rsid w:val="00FF2649"/>
    <w:rsid w:val="00FF274B"/>
    <w:rsid w:val="00FF27C3"/>
    <w:rsid w:val="00FF2806"/>
    <w:rsid w:val="00FF287A"/>
    <w:rsid w:val="00FF28C5"/>
    <w:rsid w:val="00FF29CC"/>
    <w:rsid w:val="00FF29FD"/>
    <w:rsid w:val="00FF2A7C"/>
    <w:rsid w:val="00FF2AA1"/>
    <w:rsid w:val="00FF2B76"/>
    <w:rsid w:val="00FF2EE8"/>
    <w:rsid w:val="00FF2F18"/>
    <w:rsid w:val="00FF30E6"/>
    <w:rsid w:val="00FF3184"/>
    <w:rsid w:val="00FF31D4"/>
    <w:rsid w:val="00FF31DE"/>
    <w:rsid w:val="00FF31F9"/>
    <w:rsid w:val="00FF35B2"/>
    <w:rsid w:val="00FF35DB"/>
    <w:rsid w:val="00FF3644"/>
    <w:rsid w:val="00FF3682"/>
    <w:rsid w:val="00FF36A0"/>
    <w:rsid w:val="00FF38E8"/>
    <w:rsid w:val="00FF3946"/>
    <w:rsid w:val="00FF3B12"/>
    <w:rsid w:val="00FF3B28"/>
    <w:rsid w:val="00FF3B6E"/>
    <w:rsid w:val="00FF3BF3"/>
    <w:rsid w:val="00FF3CB5"/>
    <w:rsid w:val="00FF3CF6"/>
    <w:rsid w:val="00FF3D7D"/>
    <w:rsid w:val="00FF3DBD"/>
    <w:rsid w:val="00FF3E14"/>
    <w:rsid w:val="00FF3EEC"/>
    <w:rsid w:val="00FF41BB"/>
    <w:rsid w:val="00FF41E2"/>
    <w:rsid w:val="00FF4272"/>
    <w:rsid w:val="00FF42C5"/>
    <w:rsid w:val="00FF440B"/>
    <w:rsid w:val="00FF443C"/>
    <w:rsid w:val="00FF446F"/>
    <w:rsid w:val="00FF4867"/>
    <w:rsid w:val="00FF48E6"/>
    <w:rsid w:val="00FF4948"/>
    <w:rsid w:val="00FF4996"/>
    <w:rsid w:val="00FF4A3A"/>
    <w:rsid w:val="00FF4BE5"/>
    <w:rsid w:val="00FF4C64"/>
    <w:rsid w:val="00FF4CD7"/>
    <w:rsid w:val="00FF4EAE"/>
    <w:rsid w:val="00FF4F77"/>
    <w:rsid w:val="00FF4FC0"/>
    <w:rsid w:val="00FF53F5"/>
    <w:rsid w:val="00FF5442"/>
    <w:rsid w:val="00FF5574"/>
    <w:rsid w:val="00FF55A1"/>
    <w:rsid w:val="00FF5642"/>
    <w:rsid w:val="00FF56A8"/>
    <w:rsid w:val="00FF59E6"/>
    <w:rsid w:val="00FF5AAD"/>
    <w:rsid w:val="00FF5AF4"/>
    <w:rsid w:val="00FF5B31"/>
    <w:rsid w:val="00FF5C76"/>
    <w:rsid w:val="00FF5EA1"/>
    <w:rsid w:val="00FF618F"/>
    <w:rsid w:val="00FF62FD"/>
    <w:rsid w:val="00FF63A4"/>
    <w:rsid w:val="00FF65A8"/>
    <w:rsid w:val="00FF665C"/>
    <w:rsid w:val="00FF681D"/>
    <w:rsid w:val="00FF6862"/>
    <w:rsid w:val="00FF6885"/>
    <w:rsid w:val="00FF6AA5"/>
    <w:rsid w:val="00FF6AC3"/>
    <w:rsid w:val="00FF6C93"/>
    <w:rsid w:val="00FF6CFC"/>
    <w:rsid w:val="00FF6D80"/>
    <w:rsid w:val="00FF6E02"/>
    <w:rsid w:val="00FF6FF5"/>
    <w:rsid w:val="00FF7051"/>
    <w:rsid w:val="00FF712A"/>
    <w:rsid w:val="00FF715B"/>
    <w:rsid w:val="00FF7183"/>
    <w:rsid w:val="00FF7215"/>
    <w:rsid w:val="00FF75E3"/>
    <w:rsid w:val="00FF76F3"/>
    <w:rsid w:val="00FF784B"/>
    <w:rsid w:val="00FF78AF"/>
    <w:rsid w:val="00FF78E6"/>
    <w:rsid w:val="00FF7952"/>
    <w:rsid w:val="00FF7AFF"/>
    <w:rsid w:val="00FF7C6E"/>
    <w:rsid w:val="00FF7D9F"/>
    <w:rsid w:val="00FF7DE4"/>
    <w:rsid w:val="0159B007"/>
    <w:rsid w:val="015DE28F"/>
    <w:rsid w:val="016758D7"/>
    <w:rsid w:val="01A6A626"/>
    <w:rsid w:val="01A91D99"/>
    <w:rsid w:val="01A9F6B0"/>
    <w:rsid w:val="01AC702B"/>
    <w:rsid w:val="021FF94E"/>
    <w:rsid w:val="0233BB32"/>
    <w:rsid w:val="0235E3A0"/>
    <w:rsid w:val="0254717C"/>
    <w:rsid w:val="026A763F"/>
    <w:rsid w:val="02844C96"/>
    <w:rsid w:val="02AE8105"/>
    <w:rsid w:val="02CE02C6"/>
    <w:rsid w:val="031EC93D"/>
    <w:rsid w:val="032F9D81"/>
    <w:rsid w:val="033F5BE6"/>
    <w:rsid w:val="03464331"/>
    <w:rsid w:val="034B45B5"/>
    <w:rsid w:val="03538FC3"/>
    <w:rsid w:val="035CF0C6"/>
    <w:rsid w:val="0387346D"/>
    <w:rsid w:val="03C5D496"/>
    <w:rsid w:val="03C96D0E"/>
    <w:rsid w:val="03DDF50B"/>
    <w:rsid w:val="03F6F96F"/>
    <w:rsid w:val="04013D5A"/>
    <w:rsid w:val="040A9CBE"/>
    <w:rsid w:val="047F297E"/>
    <w:rsid w:val="04800F33"/>
    <w:rsid w:val="049B1034"/>
    <w:rsid w:val="04AC4E87"/>
    <w:rsid w:val="04D03E4A"/>
    <w:rsid w:val="04D4EA9A"/>
    <w:rsid w:val="04D9C692"/>
    <w:rsid w:val="04EE9F62"/>
    <w:rsid w:val="051BF4EA"/>
    <w:rsid w:val="05649D5E"/>
    <w:rsid w:val="0580DB6B"/>
    <w:rsid w:val="05A70B0A"/>
    <w:rsid w:val="05E46490"/>
    <w:rsid w:val="061833E2"/>
    <w:rsid w:val="0622DECC"/>
    <w:rsid w:val="062AB2CB"/>
    <w:rsid w:val="064076F3"/>
    <w:rsid w:val="064477AA"/>
    <w:rsid w:val="068F0C66"/>
    <w:rsid w:val="06B8AF79"/>
    <w:rsid w:val="06C68FE4"/>
    <w:rsid w:val="06ED07D9"/>
    <w:rsid w:val="071AD89D"/>
    <w:rsid w:val="0729D934"/>
    <w:rsid w:val="07A5D363"/>
    <w:rsid w:val="07E8456C"/>
    <w:rsid w:val="07EF2DBE"/>
    <w:rsid w:val="08017B0D"/>
    <w:rsid w:val="080F7B4B"/>
    <w:rsid w:val="08240445"/>
    <w:rsid w:val="084C050A"/>
    <w:rsid w:val="084E123A"/>
    <w:rsid w:val="086EC550"/>
    <w:rsid w:val="087E57A9"/>
    <w:rsid w:val="087F4A16"/>
    <w:rsid w:val="08886C02"/>
    <w:rsid w:val="08BD4F9E"/>
    <w:rsid w:val="08C71797"/>
    <w:rsid w:val="08D7AC52"/>
    <w:rsid w:val="0906B545"/>
    <w:rsid w:val="09200BE4"/>
    <w:rsid w:val="09360FF6"/>
    <w:rsid w:val="09902A45"/>
    <w:rsid w:val="09934A3D"/>
    <w:rsid w:val="0995B48D"/>
    <w:rsid w:val="09A8978A"/>
    <w:rsid w:val="09B5716F"/>
    <w:rsid w:val="09D1B758"/>
    <w:rsid w:val="09EF4B89"/>
    <w:rsid w:val="0A009255"/>
    <w:rsid w:val="0A27BA41"/>
    <w:rsid w:val="0A2BB2C9"/>
    <w:rsid w:val="0A2EC593"/>
    <w:rsid w:val="0A5B3DBD"/>
    <w:rsid w:val="0A67DDEC"/>
    <w:rsid w:val="0A6E9F4F"/>
    <w:rsid w:val="0A82B17C"/>
    <w:rsid w:val="0AA9599D"/>
    <w:rsid w:val="0AADCC30"/>
    <w:rsid w:val="0B217B3A"/>
    <w:rsid w:val="0B2B5E6F"/>
    <w:rsid w:val="0B644CEF"/>
    <w:rsid w:val="0B713B4C"/>
    <w:rsid w:val="0B96B349"/>
    <w:rsid w:val="0BB61B4D"/>
    <w:rsid w:val="0BD7FBC1"/>
    <w:rsid w:val="0BF9B28B"/>
    <w:rsid w:val="0C1A9A08"/>
    <w:rsid w:val="0C2AFE09"/>
    <w:rsid w:val="0C352FF4"/>
    <w:rsid w:val="0C58DCCC"/>
    <w:rsid w:val="0C64600C"/>
    <w:rsid w:val="0CD77C44"/>
    <w:rsid w:val="0D0D3F2F"/>
    <w:rsid w:val="0D22C11F"/>
    <w:rsid w:val="0D28B927"/>
    <w:rsid w:val="0D2EDC06"/>
    <w:rsid w:val="0D6B0E29"/>
    <w:rsid w:val="0D6E4E7D"/>
    <w:rsid w:val="0D92E1BE"/>
    <w:rsid w:val="0DC3ECCF"/>
    <w:rsid w:val="0DD45A54"/>
    <w:rsid w:val="0DDA8C62"/>
    <w:rsid w:val="0DF470EC"/>
    <w:rsid w:val="0E095CA3"/>
    <w:rsid w:val="0E398B56"/>
    <w:rsid w:val="0EA3E036"/>
    <w:rsid w:val="0F03F965"/>
    <w:rsid w:val="0F0CAC63"/>
    <w:rsid w:val="0F137215"/>
    <w:rsid w:val="0F1FD053"/>
    <w:rsid w:val="0F36D30F"/>
    <w:rsid w:val="0F3E4010"/>
    <w:rsid w:val="0F48EB1B"/>
    <w:rsid w:val="0F50EEC4"/>
    <w:rsid w:val="0F5C1F10"/>
    <w:rsid w:val="0F6170B0"/>
    <w:rsid w:val="0F8D1D73"/>
    <w:rsid w:val="0FB55BA3"/>
    <w:rsid w:val="0FECD8D0"/>
    <w:rsid w:val="0FFDAF00"/>
    <w:rsid w:val="1012FA23"/>
    <w:rsid w:val="102C687A"/>
    <w:rsid w:val="10473976"/>
    <w:rsid w:val="1058D8F4"/>
    <w:rsid w:val="105D41D3"/>
    <w:rsid w:val="1063C56F"/>
    <w:rsid w:val="108C2F6A"/>
    <w:rsid w:val="10B2A4D9"/>
    <w:rsid w:val="10B510DD"/>
    <w:rsid w:val="10EBD4C6"/>
    <w:rsid w:val="110B6034"/>
    <w:rsid w:val="1116547C"/>
    <w:rsid w:val="1128F00E"/>
    <w:rsid w:val="11BDC654"/>
    <w:rsid w:val="11C38311"/>
    <w:rsid w:val="11CF090F"/>
    <w:rsid w:val="11F21732"/>
    <w:rsid w:val="1203B91D"/>
    <w:rsid w:val="120B7068"/>
    <w:rsid w:val="121BE55B"/>
    <w:rsid w:val="121E4F56"/>
    <w:rsid w:val="123F61C0"/>
    <w:rsid w:val="124702F9"/>
    <w:rsid w:val="125071EF"/>
    <w:rsid w:val="12767FC1"/>
    <w:rsid w:val="12B37DD6"/>
    <w:rsid w:val="12B910E6"/>
    <w:rsid w:val="1327DE29"/>
    <w:rsid w:val="137A4453"/>
    <w:rsid w:val="1398AE68"/>
    <w:rsid w:val="13A6E3EF"/>
    <w:rsid w:val="13D9CB90"/>
    <w:rsid w:val="13E41BC6"/>
    <w:rsid w:val="13E646D5"/>
    <w:rsid w:val="13F54CD1"/>
    <w:rsid w:val="1421A42B"/>
    <w:rsid w:val="14427780"/>
    <w:rsid w:val="148BF663"/>
    <w:rsid w:val="14AE6041"/>
    <w:rsid w:val="14B960B5"/>
    <w:rsid w:val="14E191AC"/>
    <w:rsid w:val="14E9B108"/>
    <w:rsid w:val="14EF094E"/>
    <w:rsid w:val="15019731"/>
    <w:rsid w:val="152E7526"/>
    <w:rsid w:val="1533D33D"/>
    <w:rsid w:val="1535FD0A"/>
    <w:rsid w:val="154776C4"/>
    <w:rsid w:val="156D8A57"/>
    <w:rsid w:val="15705D41"/>
    <w:rsid w:val="15A078AA"/>
    <w:rsid w:val="15EB3B0A"/>
    <w:rsid w:val="164CEB43"/>
    <w:rsid w:val="1690CAB3"/>
    <w:rsid w:val="16B5D6B9"/>
    <w:rsid w:val="16C76D3F"/>
    <w:rsid w:val="16D3A56F"/>
    <w:rsid w:val="16DD1775"/>
    <w:rsid w:val="16F18C25"/>
    <w:rsid w:val="16F4BEC7"/>
    <w:rsid w:val="16FE2949"/>
    <w:rsid w:val="1712BACF"/>
    <w:rsid w:val="171BE47A"/>
    <w:rsid w:val="17444BC2"/>
    <w:rsid w:val="174D1DA7"/>
    <w:rsid w:val="17670C6B"/>
    <w:rsid w:val="17858F3F"/>
    <w:rsid w:val="17A227F6"/>
    <w:rsid w:val="17AA6FC3"/>
    <w:rsid w:val="17B3C635"/>
    <w:rsid w:val="17B4EC04"/>
    <w:rsid w:val="17D048A3"/>
    <w:rsid w:val="17F4EF14"/>
    <w:rsid w:val="181553B8"/>
    <w:rsid w:val="184BF5CF"/>
    <w:rsid w:val="184FC924"/>
    <w:rsid w:val="18532345"/>
    <w:rsid w:val="189A1495"/>
    <w:rsid w:val="18C46E38"/>
    <w:rsid w:val="18E35770"/>
    <w:rsid w:val="18E4EBF9"/>
    <w:rsid w:val="18FFE1DD"/>
    <w:rsid w:val="1923374D"/>
    <w:rsid w:val="194C2FEC"/>
    <w:rsid w:val="194EC1C9"/>
    <w:rsid w:val="195025E8"/>
    <w:rsid w:val="198C4991"/>
    <w:rsid w:val="1991185C"/>
    <w:rsid w:val="19A9284B"/>
    <w:rsid w:val="19CABA56"/>
    <w:rsid w:val="19CF680E"/>
    <w:rsid w:val="1A0E01B4"/>
    <w:rsid w:val="1A1BE6EF"/>
    <w:rsid w:val="1A38C0E3"/>
    <w:rsid w:val="1A712354"/>
    <w:rsid w:val="1A7EE238"/>
    <w:rsid w:val="1AC67D41"/>
    <w:rsid w:val="1AE2A7FD"/>
    <w:rsid w:val="1B0912B6"/>
    <w:rsid w:val="1B1EFD78"/>
    <w:rsid w:val="1B3C69D6"/>
    <w:rsid w:val="1B77732F"/>
    <w:rsid w:val="1B874577"/>
    <w:rsid w:val="1B90BC79"/>
    <w:rsid w:val="1BAA55FB"/>
    <w:rsid w:val="1BB2EEBF"/>
    <w:rsid w:val="1BB50E2F"/>
    <w:rsid w:val="1BD34BB9"/>
    <w:rsid w:val="1BF3E168"/>
    <w:rsid w:val="1BF81906"/>
    <w:rsid w:val="1C23BD53"/>
    <w:rsid w:val="1C3108C7"/>
    <w:rsid w:val="1C419796"/>
    <w:rsid w:val="1C42D230"/>
    <w:rsid w:val="1C605933"/>
    <w:rsid w:val="1C6B1278"/>
    <w:rsid w:val="1C7ECB10"/>
    <w:rsid w:val="1C7EDAA7"/>
    <w:rsid w:val="1C8FE0C4"/>
    <w:rsid w:val="1C9EC2FD"/>
    <w:rsid w:val="1CA11375"/>
    <w:rsid w:val="1CA404ED"/>
    <w:rsid w:val="1CA46CA8"/>
    <w:rsid w:val="1CC5D84D"/>
    <w:rsid w:val="1CD5DFA2"/>
    <w:rsid w:val="1CDD1511"/>
    <w:rsid w:val="1CF9BF7E"/>
    <w:rsid w:val="1D427B48"/>
    <w:rsid w:val="1D5866AD"/>
    <w:rsid w:val="1D6EF5EB"/>
    <w:rsid w:val="1DA10B60"/>
    <w:rsid w:val="1DA410C2"/>
    <w:rsid w:val="1DF0CE5B"/>
    <w:rsid w:val="1E174992"/>
    <w:rsid w:val="1E2A9A38"/>
    <w:rsid w:val="1E624B87"/>
    <w:rsid w:val="1E85FB1D"/>
    <w:rsid w:val="1E8DCDA0"/>
    <w:rsid w:val="1E96F4DB"/>
    <w:rsid w:val="1EB03B9B"/>
    <w:rsid w:val="1EF507D7"/>
    <w:rsid w:val="1EF54F92"/>
    <w:rsid w:val="1F325866"/>
    <w:rsid w:val="1F5E30E8"/>
    <w:rsid w:val="1F6B238D"/>
    <w:rsid w:val="1F6C8B40"/>
    <w:rsid w:val="1F80692D"/>
    <w:rsid w:val="1F9AAC38"/>
    <w:rsid w:val="1F9C7F53"/>
    <w:rsid w:val="1FAE121E"/>
    <w:rsid w:val="1FB42E0C"/>
    <w:rsid w:val="1FB67ED6"/>
    <w:rsid w:val="1FF49ED8"/>
    <w:rsid w:val="1FF66944"/>
    <w:rsid w:val="2012926F"/>
    <w:rsid w:val="2060846E"/>
    <w:rsid w:val="207D91E0"/>
    <w:rsid w:val="209D76C0"/>
    <w:rsid w:val="20BAED1F"/>
    <w:rsid w:val="211398A2"/>
    <w:rsid w:val="21151554"/>
    <w:rsid w:val="212D7002"/>
    <w:rsid w:val="212FB627"/>
    <w:rsid w:val="2140A6ED"/>
    <w:rsid w:val="21541490"/>
    <w:rsid w:val="2159ADE7"/>
    <w:rsid w:val="21626E62"/>
    <w:rsid w:val="2163EA3D"/>
    <w:rsid w:val="219F2410"/>
    <w:rsid w:val="21CA8211"/>
    <w:rsid w:val="21D381C8"/>
    <w:rsid w:val="21EBFA29"/>
    <w:rsid w:val="22164B7C"/>
    <w:rsid w:val="222D8E49"/>
    <w:rsid w:val="223C8179"/>
    <w:rsid w:val="2259B100"/>
    <w:rsid w:val="228A6290"/>
    <w:rsid w:val="22B64E0F"/>
    <w:rsid w:val="22F03B48"/>
    <w:rsid w:val="23057220"/>
    <w:rsid w:val="231A543E"/>
    <w:rsid w:val="23222152"/>
    <w:rsid w:val="232CD809"/>
    <w:rsid w:val="2388BA5E"/>
    <w:rsid w:val="23914079"/>
    <w:rsid w:val="2396506A"/>
    <w:rsid w:val="2398B262"/>
    <w:rsid w:val="23A4E877"/>
    <w:rsid w:val="23B99F6C"/>
    <w:rsid w:val="23C5C093"/>
    <w:rsid w:val="24128EC0"/>
    <w:rsid w:val="2412B227"/>
    <w:rsid w:val="241CC47E"/>
    <w:rsid w:val="2440291F"/>
    <w:rsid w:val="2440A1DD"/>
    <w:rsid w:val="244659BC"/>
    <w:rsid w:val="2497C05A"/>
    <w:rsid w:val="24F78F2E"/>
    <w:rsid w:val="2555EEEA"/>
    <w:rsid w:val="2559DA6E"/>
    <w:rsid w:val="255B5CDA"/>
    <w:rsid w:val="2592DA6D"/>
    <w:rsid w:val="25CB8408"/>
    <w:rsid w:val="25DB6897"/>
    <w:rsid w:val="2632E2B5"/>
    <w:rsid w:val="263515DE"/>
    <w:rsid w:val="2677C518"/>
    <w:rsid w:val="2684E3F6"/>
    <w:rsid w:val="26999269"/>
    <w:rsid w:val="26A3A548"/>
    <w:rsid w:val="26B52353"/>
    <w:rsid w:val="27068980"/>
    <w:rsid w:val="272F3656"/>
    <w:rsid w:val="275D4A3D"/>
    <w:rsid w:val="2770BABB"/>
    <w:rsid w:val="27C28ECC"/>
    <w:rsid w:val="27FC4E69"/>
    <w:rsid w:val="28358F1C"/>
    <w:rsid w:val="2850F3B4"/>
    <w:rsid w:val="285DC053"/>
    <w:rsid w:val="285DFC50"/>
    <w:rsid w:val="285E2663"/>
    <w:rsid w:val="28D779B6"/>
    <w:rsid w:val="28ED241F"/>
    <w:rsid w:val="2908D2E0"/>
    <w:rsid w:val="290B1FBE"/>
    <w:rsid w:val="290E1EB3"/>
    <w:rsid w:val="297D26BE"/>
    <w:rsid w:val="29A3EEC3"/>
    <w:rsid w:val="29B4A4A6"/>
    <w:rsid w:val="29C69181"/>
    <w:rsid w:val="29D622B3"/>
    <w:rsid w:val="2A2BDF38"/>
    <w:rsid w:val="2A473887"/>
    <w:rsid w:val="2A58DDB5"/>
    <w:rsid w:val="2A6E5380"/>
    <w:rsid w:val="2A72A727"/>
    <w:rsid w:val="2A88061D"/>
    <w:rsid w:val="2A8F46A4"/>
    <w:rsid w:val="2A9F9FD9"/>
    <w:rsid w:val="2AACA071"/>
    <w:rsid w:val="2AB4196F"/>
    <w:rsid w:val="2ACBA289"/>
    <w:rsid w:val="2B055634"/>
    <w:rsid w:val="2B7F324A"/>
    <w:rsid w:val="2B8C3E9B"/>
    <w:rsid w:val="2B920F7F"/>
    <w:rsid w:val="2B9A8AD9"/>
    <w:rsid w:val="2BAC7786"/>
    <w:rsid w:val="2BCDB3DF"/>
    <w:rsid w:val="2BE9471C"/>
    <w:rsid w:val="2C19596B"/>
    <w:rsid w:val="2C39D375"/>
    <w:rsid w:val="2C55F270"/>
    <w:rsid w:val="2C7152A4"/>
    <w:rsid w:val="2C8BC544"/>
    <w:rsid w:val="2C986248"/>
    <w:rsid w:val="2CA2FC64"/>
    <w:rsid w:val="2CC90F99"/>
    <w:rsid w:val="2CD7FF80"/>
    <w:rsid w:val="2CE7186A"/>
    <w:rsid w:val="2CEF2C03"/>
    <w:rsid w:val="2CF7E687"/>
    <w:rsid w:val="2CFF0657"/>
    <w:rsid w:val="2D071AC2"/>
    <w:rsid w:val="2D0D5726"/>
    <w:rsid w:val="2D198D57"/>
    <w:rsid w:val="2D42393C"/>
    <w:rsid w:val="2D59F368"/>
    <w:rsid w:val="2D5B4C8A"/>
    <w:rsid w:val="2D90F916"/>
    <w:rsid w:val="2D96D76B"/>
    <w:rsid w:val="2DB0C06A"/>
    <w:rsid w:val="2E040748"/>
    <w:rsid w:val="2E05E0C0"/>
    <w:rsid w:val="2E297C1D"/>
    <w:rsid w:val="2E5D073F"/>
    <w:rsid w:val="2E609B8F"/>
    <w:rsid w:val="2E82BF92"/>
    <w:rsid w:val="2EC30F9A"/>
    <w:rsid w:val="2F0406DC"/>
    <w:rsid w:val="2F173684"/>
    <w:rsid w:val="2F6CB00F"/>
    <w:rsid w:val="2F75539C"/>
    <w:rsid w:val="2F92E248"/>
    <w:rsid w:val="2FA3898C"/>
    <w:rsid w:val="2FADFD72"/>
    <w:rsid w:val="2FBD96DF"/>
    <w:rsid w:val="2FC99FE4"/>
    <w:rsid w:val="2FFE568C"/>
    <w:rsid w:val="304E7741"/>
    <w:rsid w:val="30569D7A"/>
    <w:rsid w:val="30647047"/>
    <w:rsid w:val="30676083"/>
    <w:rsid w:val="306D23B1"/>
    <w:rsid w:val="30ADE7D2"/>
    <w:rsid w:val="30BB7816"/>
    <w:rsid w:val="30FE0741"/>
    <w:rsid w:val="30FED8B4"/>
    <w:rsid w:val="3123E9AB"/>
    <w:rsid w:val="315F6FA0"/>
    <w:rsid w:val="31ACE619"/>
    <w:rsid w:val="31B8DC71"/>
    <w:rsid w:val="31C2424E"/>
    <w:rsid w:val="31DE9543"/>
    <w:rsid w:val="31EB2D3C"/>
    <w:rsid w:val="320F2E84"/>
    <w:rsid w:val="321C1300"/>
    <w:rsid w:val="32451098"/>
    <w:rsid w:val="325E5FF4"/>
    <w:rsid w:val="327BD950"/>
    <w:rsid w:val="3282A322"/>
    <w:rsid w:val="328D8EA4"/>
    <w:rsid w:val="3297AAB7"/>
    <w:rsid w:val="329BD62D"/>
    <w:rsid w:val="32AF7153"/>
    <w:rsid w:val="330D7423"/>
    <w:rsid w:val="331017AF"/>
    <w:rsid w:val="332D886F"/>
    <w:rsid w:val="33342C81"/>
    <w:rsid w:val="33373422"/>
    <w:rsid w:val="3340826E"/>
    <w:rsid w:val="33529027"/>
    <w:rsid w:val="3355AFDF"/>
    <w:rsid w:val="3367936E"/>
    <w:rsid w:val="339C19A2"/>
    <w:rsid w:val="33A3DDDC"/>
    <w:rsid w:val="33C0485C"/>
    <w:rsid w:val="33EF2781"/>
    <w:rsid w:val="3438994E"/>
    <w:rsid w:val="3468046A"/>
    <w:rsid w:val="34A8EB89"/>
    <w:rsid w:val="34D9074A"/>
    <w:rsid w:val="34E6746A"/>
    <w:rsid w:val="34F640B4"/>
    <w:rsid w:val="34FA6AF5"/>
    <w:rsid w:val="34FB8571"/>
    <w:rsid w:val="3520028B"/>
    <w:rsid w:val="35659E64"/>
    <w:rsid w:val="3572F8CF"/>
    <w:rsid w:val="35766B00"/>
    <w:rsid w:val="358895F4"/>
    <w:rsid w:val="35EC12F1"/>
    <w:rsid w:val="35F5E75B"/>
    <w:rsid w:val="35F7E916"/>
    <w:rsid w:val="35FB8833"/>
    <w:rsid w:val="360813B8"/>
    <w:rsid w:val="360D5B83"/>
    <w:rsid w:val="36230EBA"/>
    <w:rsid w:val="362337D2"/>
    <w:rsid w:val="36238DF2"/>
    <w:rsid w:val="36252330"/>
    <w:rsid w:val="3633F68A"/>
    <w:rsid w:val="365EFAFC"/>
    <w:rsid w:val="367B6EDE"/>
    <w:rsid w:val="369F405F"/>
    <w:rsid w:val="36D0E7AB"/>
    <w:rsid w:val="374B1B0D"/>
    <w:rsid w:val="375AD9B8"/>
    <w:rsid w:val="376054FB"/>
    <w:rsid w:val="3777C885"/>
    <w:rsid w:val="3779F9CC"/>
    <w:rsid w:val="3780CAA6"/>
    <w:rsid w:val="378F9559"/>
    <w:rsid w:val="37BF5562"/>
    <w:rsid w:val="37C550CE"/>
    <w:rsid w:val="3848F7F5"/>
    <w:rsid w:val="384CBBD1"/>
    <w:rsid w:val="38603F93"/>
    <w:rsid w:val="3895BEA9"/>
    <w:rsid w:val="38A14F68"/>
    <w:rsid w:val="38BE37A1"/>
    <w:rsid w:val="38D1B521"/>
    <w:rsid w:val="38F1BEB7"/>
    <w:rsid w:val="3918D58C"/>
    <w:rsid w:val="39193B07"/>
    <w:rsid w:val="392048EF"/>
    <w:rsid w:val="396B86E9"/>
    <w:rsid w:val="396E13BE"/>
    <w:rsid w:val="3971D4A7"/>
    <w:rsid w:val="398F5C60"/>
    <w:rsid w:val="398FA6F5"/>
    <w:rsid w:val="39B3CA83"/>
    <w:rsid w:val="39BB2ED6"/>
    <w:rsid w:val="39D68A52"/>
    <w:rsid w:val="39E98EC3"/>
    <w:rsid w:val="39EA6274"/>
    <w:rsid w:val="39F81D47"/>
    <w:rsid w:val="3A19029E"/>
    <w:rsid w:val="3A1A6350"/>
    <w:rsid w:val="3A318F0A"/>
    <w:rsid w:val="3A349410"/>
    <w:rsid w:val="3A38FDF5"/>
    <w:rsid w:val="3A403EA4"/>
    <w:rsid w:val="3AA9DFD9"/>
    <w:rsid w:val="3AB09E6F"/>
    <w:rsid w:val="3AC44948"/>
    <w:rsid w:val="3AC8FA25"/>
    <w:rsid w:val="3AEBA7E1"/>
    <w:rsid w:val="3B06365F"/>
    <w:rsid w:val="3B23362D"/>
    <w:rsid w:val="3B5EF868"/>
    <w:rsid w:val="3B827799"/>
    <w:rsid w:val="3BB2311F"/>
    <w:rsid w:val="3BBDF46F"/>
    <w:rsid w:val="3BC1B7A4"/>
    <w:rsid w:val="3BCBA84A"/>
    <w:rsid w:val="3BF15B27"/>
    <w:rsid w:val="3BF9DBA0"/>
    <w:rsid w:val="3C078C59"/>
    <w:rsid w:val="3C5E97EC"/>
    <w:rsid w:val="3C65AAA9"/>
    <w:rsid w:val="3C9541C1"/>
    <w:rsid w:val="3CB5082C"/>
    <w:rsid w:val="3CC1E46A"/>
    <w:rsid w:val="3CD02732"/>
    <w:rsid w:val="3CD6C155"/>
    <w:rsid w:val="3CEC96FF"/>
    <w:rsid w:val="3CF106D5"/>
    <w:rsid w:val="3D005D94"/>
    <w:rsid w:val="3D0E2DB5"/>
    <w:rsid w:val="3D2DAB58"/>
    <w:rsid w:val="3D303FCE"/>
    <w:rsid w:val="3D4189DD"/>
    <w:rsid w:val="3D4AD3B5"/>
    <w:rsid w:val="3D612E68"/>
    <w:rsid w:val="3D943242"/>
    <w:rsid w:val="3D9B1245"/>
    <w:rsid w:val="3DA7B8EE"/>
    <w:rsid w:val="3DA7D85F"/>
    <w:rsid w:val="3DCA69EF"/>
    <w:rsid w:val="3DD2A3A4"/>
    <w:rsid w:val="3DEE905B"/>
    <w:rsid w:val="3E082E2F"/>
    <w:rsid w:val="3E086711"/>
    <w:rsid w:val="3E22CBA5"/>
    <w:rsid w:val="3E4073CD"/>
    <w:rsid w:val="3E499A79"/>
    <w:rsid w:val="3E7FF26F"/>
    <w:rsid w:val="3EA1F446"/>
    <w:rsid w:val="3EA6776A"/>
    <w:rsid w:val="3EA91043"/>
    <w:rsid w:val="3EB611BA"/>
    <w:rsid w:val="3ECB8A63"/>
    <w:rsid w:val="3EE7E489"/>
    <w:rsid w:val="3F187878"/>
    <w:rsid w:val="3F32A83D"/>
    <w:rsid w:val="3F8E8E69"/>
    <w:rsid w:val="3F9120D0"/>
    <w:rsid w:val="3FB441F7"/>
    <w:rsid w:val="3FBA6759"/>
    <w:rsid w:val="3FC75EB7"/>
    <w:rsid w:val="3FE09A4C"/>
    <w:rsid w:val="3FF4468D"/>
    <w:rsid w:val="40149077"/>
    <w:rsid w:val="401C42EF"/>
    <w:rsid w:val="403FC04F"/>
    <w:rsid w:val="4055FA6B"/>
    <w:rsid w:val="405F9496"/>
    <w:rsid w:val="40A79193"/>
    <w:rsid w:val="40C45FC7"/>
    <w:rsid w:val="40CD30FD"/>
    <w:rsid w:val="40DB807C"/>
    <w:rsid w:val="4107E686"/>
    <w:rsid w:val="4110DAD8"/>
    <w:rsid w:val="411D5986"/>
    <w:rsid w:val="411FF3CD"/>
    <w:rsid w:val="413F662A"/>
    <w:rsid w:val="41D3C7CF"/>
    <w:rsid w:val="41D56CBA"/>
    <w:rsid w:val="41E412E2"/>
    <w:rsid w:val="41E7BB16"/>
    <w:rsid w:val="41FBA341"/>
    <w:rsid w:val="4219426E"/>
    <w:rsid w:val="4237521C"/>
    <w:rsid w:val="426F119D"/>
    <w:rsid w:val="4275A998"/>
    <w:rsid w:val="427A89A7"/>
    <w:rsid w:val="42804C48"/>
    <w:rsid w:val="42AA90E8"/>
    <w:rsid w:val="42AC5DAC"/>
    <w:rsid w:val="42B48D17"/>
    <w:rsid w:val="42D1FBD4"/>
    <w:rsid w:val="42EF2542"/>
    <w:rsid w:val="4323A4BB"/>
    <w:rsid w:val="433063E2"/>
    <w:rsid w:val="434C5BCD"/>
    <w:rsid w:val="435CCD56"/>
    <w:rsid w:val="43705581"/>
    <w:rsid w:val="43875BBC"/>
    <w:rsid w:val="43924EDB"/>
    <w:rsid w:val="43D05FA1"/>
    <w:rsid w:val="43EBC528"/>
    <w:rsid w:val="441B10B0"/>
    <w:rsid w:val="441FA150"/>
    <w:rsid w:val="443132CC"/>
    <w:rsid w:val="4437FF64"/>
    <w:rsid w:val="44413F85"/>
    <w:rsid w:val="4456787D"/>
    <w:rsid w:val="445A433C"/>
    <w:rsid w:val="445D1CC4"/>
    <w:rsid w:val="4489C994"/>
    <w:rsid w:val="44FDC8CA"/>
    <w:rsid w:val="4511BF10"/>
    <w:rsid w:val="451D50AB"/>
    <w:rsid w:val="4522DBA9"/>
    <w:rsid w:val="452B2901"/>
    <w:rsid w:val="4530B7E4"/>
    <w:rsid w:val="4576CF06"/>
    <w:rsid w:val="4598611D"/>
    <w:rsid w:val="45A48958"/>
    <w:rsid w:val="45A50EE6"/>
    <w:rsid w:val="45B932AC"/>
    <w:rsid w:val="45BF01E9"/>
    <w:rsid w:val="45C31591"/>
    <w:rsid w:val="45DA73E4"/>
    <w:rsid w:val="45F187FF"/>
    <w:rsid w:val="45F1F0C1"/>
    <w:rsid w:val="45FE583A"/>
    <w:rsid w:val="4601CC4D"/>
    <w:rsid w:val="4616C865"/>
    <w:rsid w:val="461BCE9B"/>
    <w:rsid w:val="4694767B"/>
    <w:rsid w:val="469660CE"/>
    <w:rsid w:val="46A2E283"/>
    <w:rsid w:val="46A9D786"/>
    <w:rsid w:val="46AD6BB3"/>
    <w:rsid w:val="46D947DE"/>
    <w:rsid w:val="46DDEF0F"/>
    <w:rsid w:val="470201D3"/>
    <w:rsid w:val="4702F493"/>
    <w:rsid w:val="470FC8EC"/>
    <w:rsid w:val="475044DD"/>
    <w:rsid w:val="47547ABB"/>
    <w:rsid w:val="475F1879"/>
    <w:rsid w:val="477100EC"/>
    <w:rsid w:val="4780099F"/>
    <w:rsid w:val="478BF13E"/>
    <w:rsid w:val="479ADA27"/>
    <w:rsid w:val="47BED8B4"/>
    <w:rsid w:val="47D1DF55"/>
    <w:rsid w:val="47D436E7"/>
    <w:rsid w:val="47E13394"/>
    <w:rsid w:val="47F87ED3"/>
    <w:rsid w:val="47FC3A74"/>
    <w:rsid w:val="480033BE"/>
    <w:rsid w:val="48214140"/>
    <w:rsid w:val="48515E80"/>
    <w:rsid w:val="487CD0E4"/>
    <w:rsid w:val="48B310AA"/>
    <w:rsid w:val="48B5DDD5"/>
    <w:rsid w:val="48BEF1B4"/>
    <w:rsid w:val="48C6DE3F"/>
    <w:rsid w:val="48CCDE93"/>
    <w:rsid w:val="48DB5D48"/>
    <w:rsid w:val="48F8C08C"/>
    <w:rsid w:val="49347C12"/>
    <w:rsid w:val="49353C43"/>
    <w:rsid w:val="494AF8CF"/>
    <w:rsid w:val="49747FD3"/>
    <w:rsid w:val="497A1322"/>
    <w:rsid w:val="49C20F9A"/>
    <w:rsid w:val="49DDEEA8"/>
    <w:rsid w:val="49FC6CF2"/>
    <w:rsid w:val="4A3FD1D3"/>
    <w:rsid w:val="4A464779"/>
    <w:rsid w:val="4A63E97D"/>
    <w:rsid w:val="4A702297"/>
    <w:rsid w:val="4A78CF5F"/>
    <w:rsid w:val="4A8400F1"/>
    <w:rsid w:val="4AABF37E"/>
    <w:rsid w:val="4AEBDCBB"/>
    <w:rsid w:val="4B23E46B"/>
    <w:rsid w:val="4B3144C1"/>
    <w:rsid w:val="4B392457"/>
    <w:rsid w:val="4B469782"/>
    <w:rsid w:val="4B6AC957"/>
    <w:rsid w:val="4B6CC967"/>
    <w:rsid w:val="4B9768DF"/>
    <w:rsid w:val="4BB3A8FD"/>
    <w:rsid w:val="4BF59433"/>
    <w:rsid w:val="4C6A2ABF"/>
    <w:rsid w:val="4C812693"/>
    <w:rsid w:val="4C8245C1"/>
    <w:rsid w:val="4C876CD0"/>
    <w:rsid w:val="4C95B926"/>
    <w:rsid w:val="4CA09822"/>
    <w:rsid w:val="4CD47326"/>
    <w:rsid w:val="4D693093"/>
    <w:rsid w:val="4D9B5C4E"/>
    <w:rsid w:val="4DBD8986"/>
    <w:rsid w:val="4DEB548F"/>
    <w:rsid w:val="4E01C792"/>
    <w:rsid w:val="4E0FE332"/>
    <w:rsid w:val="4E16BC66"/>
    <w:rsid w:val="4E20E2B5"/>
    <w:rsid w:val="4E2BAD10"/>
    <w:rsid w:val="4E6D303E"/>
    <w:rsid w:val="4E786D93"/>
    <w:rsid w:val="4E866A61"/>
    <w:rsid w:val="4E8C4012"/>
    <w:rsid w:val="4EA2B2EC"/>
    <w:rsid w:val="4F1D8081"/>
    <w:rsid w:val="4F1E56C9"/>
    <w:rsid w:val="4F321EDB"/>
    <w:rsid w:val="4F5FF617"/>
    <w:rsid w:val="4F616228"/>
    <w:rsid w:val="4F732E8A"/>
    <w:rsid w:val="4F8BBF6F"/>
    <w:rsid w:val="4F8C3F08"/>
    <w:rsid w:val="4FAC399F"/>
    <w:rsid w:val="4FE0E255"/>
    <w:rsid w:val="4FFC15EA"/>
    <w:rsid w:val="5018EEAA"/>
    <w:rsid w:val="50564086"/>
    <w:rsid w:val="5076C94E"/>
    <w:rsid w:val="507859C7"/>
    <w:rsid w:val="508D6D53"/>
    <w:rsid w:val="50A295BD"/>
    <w:rsid w:val="50E399A3"/>
    <w:rsid w:val="51036DE9"/>
    <w:rsid w:val="5112E79A"/>
    <w:rsid w:val="5126C124"/>
    <w:rsid w:val="512EDE05"/>
    <w:rsid w:val="516627ED"/>
    <w:rsid w:val="518BEF16"/>
    <w:rsid w:val="51C4C2C1"/>
    <w:rsid w:val="51C9C780"/>
    <w:rsid w:val="51E64348"/>
    <w:rsid w:val="51F3ADC7"/>
    <w:rsid w:val="51F641CC"/>
    <w:rsid w:val="52270F79"/>
    <w:rsid w:val="52515BD1"/>
    <w:rsid w:val="525C82DC"/>
    <w:rsid w:val="528B635A"/>
    <w:rsid w:val="5290343E"/>
    <w:rsid w:val="52BEC616"/>
    <w:rsid w:val="52C36173"/>
    <w:rsid w:val="52FFEB92"/>
    <w:rsid w:val="531C41A4"/>
    <w:rsid w:val="53508F6C"/>
    <w:rsid w:val="5359F715"/>
    <w:rsid w:val="535E2341"/>
    <w:rsid w:val="53C4B689"/>
    <w:rsid w:val="53C91F7C"/>
    <w:rsid w:val="5400F422"/>
    <w:rsid w:val="5407C948"/>
    <w:rsid w:val="5410EB57"/>
    <w:rsid w:val="544FABC0"/>
    <w:rsid w:val="546A576F"/>
    <w:rsid w:val="546B2041"/>
    <w:rsid w:val="54981D42"/>
    <w:rsid w:val="54A84CD2"/>
    <w:rsid w:val="54AA5247"/>
    <w:rsid w:val="54B3BC00"/>
    <w:rsid w:val="54D6E21C"/>
    <w:rsid w:val="550D36AE"/>
    <w:rsid w:val="5517788B"/>
    <w:rsid w:val="55561773"/>
    <w:rsid w:val="555F225D"/>
    <w:rsid w:val="557992B5"/>
    <w:rsid w:val="557F30BB"/>
    <w:rsid w:val="557FB061"/>
    <w:rsid w:val="55BE863A"/>
    <w:rsid w:val="55CFA2FB"/>
    <w:rsid w:val="55D5A584"/>
    <w:rsid w:val="55D74595"/>
    <w:rsid w:val="55E9F38F"/>
    <w:rsid w:val="5603540E"/>
    <w:rsid w:val="561DFEF0"/>
    <w:rsid w:val="564CDB92"/>
    <w:rsid w:val="5678EAE4"/>
    <w:rsid w:val="56A7DF05"/>
    <w:rsid w:val="56AD8E68"/>
    <w:rsid w:val="56E1BA88"/>
    <w:rsid w:val="56E7E016"/>
    <w:rsid w:val="56EB6661"/>
    <w:rsid w:val="56F7A596"/>
    <w:rsid w:val="56FD69CE"/>
    <w:rsid w:val="576E2EF9"/>
    <w:rsid w:val="57765D87"/>
    <w:rsid w:val="57CC311D"/>
    <w:rsid w:val="57F202E5"/>
    <w:rsid w:val="57F435EE"/>
    <w:rsid w:val="57FDB1E1"/>
    <w:rsid w:val="58008D6C"/>
    <w:rsid w:val="5803EC6E"/>
    <w:rsid w:val="58197298"/>
    <w:rsid w:val="58201E12"/>
    <w:rsid w:val="5824B5E3"/>
    <w:rsid w:val="582AB4A3"/>
    <w:rsid w:val="583314B3"/>
    <w:rsid w:val="58772BEA"/>
    <w:rsid w:val="588DB617"/>
    <w:rsid w:val="58C902AC"/>
    <w:rsid w:val="58EA9932"/>
    <w:rsid w:val="58F3BC23"/>
    <w:rsid w:val="58F626FC"/>
    <w:rsid w:val="5919C188"/>
    <w:rsid w:val="593C82F5"/>
    <w:rsid w:val="593F0969"/>
    <w:rsid w:val="5974BFEA"/>
    <w:rsid w:val="59B30B22"/>
    <w:rsid w:val="59B92234"/>
    <w:rsid w:val="59CDCC51"/>
    <w:rsid w:val="5A06B351"/>
    <w:rsid w:val="5A0856A0"/>
    <w:rsid w:val="5A170121"/>
    <w:rsid w:val="5A17DD03"/>
    <w:rsid w:val="5A24F5D8"/>
    <w:rsid w:val="5A2F6896"/>
    <w:rsid w:val="5A35BA5C"/>
    <w:rsid w:val="5A393243"/>
    <w:rsid w:val="5ABD9783"/>
    <w:rsid w:val="5B54F295"/>
    <w:rsid w:val="5B55D572"/>
    <w:rsid w:val="5B5D77FC"/>
    <w:rsid w:val="5B675316"/>
    <w:rsid w:val="5B74B4B9"/>
    <w:rsid w:val="5B7786C1"/>
    <w:rsid w:val="5B7EDF07"/>
    <w:rsid w:val="5B926FA2"/>
    <w:rsid w:val="5BA70101"/>
    <w:rsid w:val="5BB0630A"/>
    <w:rsid w:val="5BBC76C8"/>
    <w:rsid w:val="5BD73BF3"/>
    <w:rsid w:val="5BE6B751"/>
    <w:rsid w:val="5C20F80B"/>
    <w:rsid w:val="5C86DF7D"/>
    <w:rsid w:val="5C882014"/>
    <w:rsid w:val="5C885A10"/>
    <w:rsid w:val="5C8FF020"/>
    <w:rsid w:val="5C93E800"/>
    <w:rsid w:val="5CA05711"/>
    <w:rsid w:val="5CA766AE"/>
    <w:rsid w:val="5CC17F1F"/>
    <w:rsid w:val="5CCF0583"/>
    <w:rsid w:val="5CE55898"/>
    <w:rsid w:val="5CF2DFAB"/>
    <w:rsid w:val="5D18D9F1"/>
    <w:rsid w:val="5D22302B"/>
    <w:rsid w:val="5D39E383"/>
    <w:rsid w:val="5D5E1D80"/>
    <w:rsid w:val="5D67EC3F"/>
    <w:rsid w:val="5D701926"/>
    <w:rsid w:val="5DA22540"/>
    <w:rsid w:val="5DB94099"/>
    <w:rsid w:val="5DBF5581"/>
    <w:rsid w:val="5DC69AAA"/>
    <w:rsid w:val="5DD68042"/>
    <w:rsid w:val="5DEFB337"/>
    <w:rsid w:val="5E3C4C18"/>
    <w:rsid w:val="5E408828"/>
    <w:rsid w:val="5E4649A4"/>
    <w:rsid w:val="5E8BFC4E"/>
    <w:rsid w:val="5E8EE57A"/>
    <w:rsid w:val="5EB3D9F5"/>
    <w:rsid w:val="5ED9A5C0"/>
    <w:rsid w:val="5F035C22"/>
    <w:rsid w:val="5F0CB230"/>
    <w:rsid w:val="5F1C0561"/>
    <w:rsid w:val="5F3B007C"/>
    <w:rsid w:val="5F3C05E4"/>
    <w:rsid w:val="5F4AC7F6"/>
    <w:rsid w:val="5F57AC54"/>
    <w:rsid w:val="5FBE82E6"/>
    <w:rsid w:val="5FC21E8E"/>
    <w:rsid w:val="5FD240EF"/>
    <w:rsid w:val="5FD79A5A"/>
    <w:rsid w:val="5FDC8EB3"/>
    <w:rsid w:val="600A8191"/>
    <w:rsid w:val="6016E45E"/>
    <w:rsid w:val="60172EA9"/>
    <w:rsid w:val="602801BD"/>
    <w:rsid w:val="60317DB8"/>
    <w:rsid w:val="6034253F"/>
    <w:rsid w:val="60411BF4"/>
    <w:rsid w:val="6052B200"/>
    <w:rsid w:val="60601D06"/>
    <w:rsid w:val="6066AF87"/>
    <w:rsid w:val="6088581C"/>
    <w:rsid w:val="608C81ED"/>
    <w:rsid w:val="608E031E"/>
    <w:rsid w:val="60AFFE35"/>
    <w:rsid w:val="60BF7722"/>
    <w:rsid w:val="60E5776A"/>
    <w:rsid w:val="60FAEDEF"/>
    <w:rsid w:val="61359D5A"/>
    <w:rsid w:val="6138ED9C"/>
    <w:rsid w:val="613B8428"/>
    <w:rsid w:val="615446E3"/>
    <w:rsid w:val="61575899"/>
    <w:rsid w:val="6159ACAA"/>
    <w:rsid w:val="6159EDAA"/>
    <w:rsid w:val="61A43694"/>
    <w:rsid w:val="61A76992"/>
    <w:rsid w:val="61AF18F6"/>
    <w:rsid w:val="61BDF05A"/>
    <w:rsid w:val="61D3B4E4"/>
    <w:rsid w:val="61EF8CF1"/>
    <w:rsid w:val="62071F6D"/>
    <w:rsid w:val="621BB65B"/>
    <w:rsid w:val="6272EC26"/>
    <w:rsid w:val="627A642D"/>
    <w:rsid w:val="6283E0E5"/>
    <w:rsid w:val="62BFA8A3"/>
    <w:rsid w:val="62CE70CB"/>
    <w:rsid w:val="63230BFA"/>
    <w:rsid w:val="6336C2AF"/>
    <w:rsid w:val="63436E40"/>
    <w:rsid w:val="6363D94B"/>
    <w:rsid w:val="63832B35"/>
    <w:rsid w:val="63852F33"/>
    <w:rsid w:val="6388D137"/>
    <w:rsid w:val="638B09BE"/>
    <w:rsid w:val="638FFCAA"/>
    <w:rsid w:val="63D8326E"/>
    <w:rsid w:val="64732C88"/>
    <w:rsid w:val="648B82FE"/>
    <w:rsid w:val="64A6E2BD"/>
    <w:rsid w:val="64A8A66F"/>
    <w:rsid w:val="64ABBACF"/>
    <w:rsid w:val="64ACFE6F"/>
    <w:rsid w:val="64C20B3A"/>
    <w:rsid w:val="64E74100"/>
    <w:rsid w:val="651837C5"/>
    <w:rsid w:val="653A34B0"/>
    <w:rsid w:val="65450A06"/>
    <w:rsid w:val="6568E01B"/>
    <w:rsid w:val="65714A10"/>
    <w:rsid w:val="6589C4C7"/>
    <w:rsid w:val="6592ECA8"/>
    <w:rsid w:val="65A32B76"/>
    <w:rsid w:val="65AC40D2"/>
    <w:rsid w:val="65E61F15"/>
    <w:rsid w:val="65EF97CE"/>
    <w:rsid w:val="65F212A2"/>
    <w:rsid w:val="6609C4F6"/>
    <w:rsid w:val="6610B516"/>
    <w:rsid w:val="66453EBB"/>
    <w:rsid w:val="664E3D4D"/>
    <w:rsid w:val="669A4E87"/>
    <w:rsid w:val="669FD395"/>
    <w:rsid w:val="66B99D07"/>
    <w:rsid w:val="66D39315"/>
    <w:rsid w:val="66ECC0FD"/>
    <w:rsid w:val="671CE0A7"/>
    <w:rsid w:val="673E3E50"/>
    <w:rsid w:val="67490FF3"/>
    <w:rsid w:val="6782DD42"/>
    <w:rsid w:val="679330E6"/>
    <w:rsid w:val="679CC2F1"/>
    <w:rsid w:val="67A03A6E"/>
    <w:rsid w:val="67A4FBD4"/>
    <w:rsid w:val="67BEFF78"/>
    <w:rsid w:val="67C3A7C9"/>
    <w:rsid w:val="67CBC8AE"/>
    <w:rsid w:val="67D03B4A"/>
    <w:rsid w:val="67D5E6F0"/>
    <w:rsid w:val="67E806B3"/>
    <w:rsid w:val="67F17E9E"/>
    <w:rsid w:val="68183861"/>
    <w:rsid w:val="6818AECD"/>
    <w:rsid w:val="681A0B56"/>
    <w:rsid w:val="682AFC95"/>
    <w:rsid w:val="68587820"/>
    <w:rsid w:val="68590BFE"/>
    <w:rsid w:val="6881D173"/>
    <w:rsid w:val="6888D258"/>
    <w:rsid w:val="688B1EDF"/>
    <w:rsid w:val="689B50F8"/>
    <w:rsid w:val="68D270A3"/>
    <w:rsid w:val="68D69CDC"/>
    <w:rsid w:val="68D8D53D"/>
    <w:rsid w:val="68E21DCD"/>
    <w:rsid w:val="690170C6"/>
    <w:rsid w:val="69250EDF"/>
    <w:rsid w:val="6941DB48"/>
    <w:rsid w:val="6948D933"/>
    <w:rsid w:val="69651282"/>
    <w:rsid w:val="69743BDD"/>
    <w:rsid w:val="69930C34"/>
    <w:rsid w:val="6999B989"/>
    <w:rsid w:val="69A7F4DD"/>
    <w:rsid w:val="69A81BDC"/>
    <w:rsid w:val="69B860B3"/>
    <w:rsid w:val="69BAB223"/>
    <w:rsid w:val="69C5668B"/>
    <w:rsid w:val="69CED5DD"/>
    <w:rsid w:val="69D74295"/>
    <w:rsid w:val="69FE9225"/>
    <w:rsid w:val="6A1C3C12"/>
    <w:rsid w:val="6A1E85AF"/>
    <w:rsid w:val="6A284552"/>
    <w:rsid w:val="6A3D015C"/>
    <w:rsid w:val="6A5B6983"/>
    <w:rsid w:val="6A5C36FF"/>
    <w:rsid w:val="6A603B05"/>
    <w:rsid w:val="6A928B28"/>
    <w:rsid w:val="6A97FE6B"/>
    <w:rsid w:val="6A9FB1EC"/>
    <w:rsid w:val="6AAFE3D3"/>
    <w:rsid w:val="6AFA04D1"/>
    <w:rsid w:val="6AFD76B0"/>
    <w:rsid w:val="6B15EB26"/>
    <w:rsid w:val="6B16218B"/>
    <w:rsid w:val="6B1EAAEC"/>
    <w:rsid w:val="6B3E1F84"/>
    <w:rsid w:val="6B568284"/>
    <w:rsid w:val="6B7CCBDE"/>
    <w:rsid w:val="6B833231"/>
    <w:rsid w:val="6BA4E9BB"/>
    <w:rsid w:val="6BCA47DC"/>
    <w:rsid w:val="6BCB0A85"/>
    <w:rsid w:val="6BFE7B19"/>
    <w:rsid w:val="6C12F5FF"/>
    <w:rsid w:val="6C2DC04D"/>
    <w:rsid w:val="6C595C2A"/>
    <w:rsid w:val="6C63AD73"/>
    <w:rsid w:val="6C63C39C"/>
    <w:rsid w:val="6C86034A"/>
    <w:rsid w:val="6CB2BC35"/>
    <w:rsid w:val="6CBD1138"/>
    <w:rsid w:val="6CC954F0"/>
    <w:rsid w:val="6CCFF9AB"/>
    <w:rsid w:val="6CE6E105"/>
    <w:rsid w:val="6CF01086"/>
    <w:rsid w:val="6CF08189"/>
    <w:rsid w:val="6CF6674B"/>
    <w:rsid w:val="6CFDA771"/>
    <w:rsid w:val="6D74D7C1"/>
    <w:rsid w:val="6DA5E7B0"/>
    <w:rsid w:val="6DBB6BF1"/>
    <w:rsid w:val="6DC9C9B7"/>
    <w:rsid w:val="6DFF322D"/>
    <w:rsid w:val="6E325F12"/>
    <w:rsid w:val="6E3AC97A"/>
    <w:rsid w:val="6E460115"/>
    <w:rsid w:val="6E60C022"/>
    <w:rsid w:val="6E61869F"/>
    <w:rsid w:val="6E734153"/>
    <w:rsid w:val="6E8BE0E7"/>
    <w:rsid w:val="6EA0B79F"/>
    <w:rsid w:val="6EA0E8C1"/>
    <w:rsid w:val="6EC88A99"/>
    <w:rsid w:val="6F051A7D"/>
    <w:rsid w:val="6F45AB9D"/>
    <w:rsid w:val="6F594BDC"/>
    <w:rsid w:val="6F85D049"/>
    <w:rsid w:val="6F8AFE2B"/>
    <w:rsid w:val="6F932D95"/>
    <w:rsid w:val="6FA3544E"/>
    <w:rsid w:val="705212BD"/>
    <w:rsid w:val="70B9BA65"/>
    <w:rsid w:val="70C5D114"/>
    <w:rsid w:val="70D24709"/>
    <w:rsid w:val="70D2E5B3"/>
    <w:rsid w:val="70D64920"/>
    <w:rsid w:val="70E08767"/>
    <w:rsid w:val="70E23453"/>
    <w:rsid w:val="70F84EFE"/>
    <w:rsid w:val="70FF2FB0"/>
    <w:rsid w:val="7120F3C1"/>
    <w:rsid w:val="71352C9A"/>
    <w:rsid w:val="714BCFC6"/>
    <w:rsid w:val="71544041"/>
    <w:rsid w:val="7158CF92"/>
    <w:rsid w:val="7159EA3A"/>
    <w:rsid w:val="715D96E7"/>
    <w:rsid w:val="71670C20"/>
    <w:rsid w:val="716BD277"/>
    <w:rsid w:val="71704B5A"/>
    <w:rsid w:val="71778B13"/>
    <w:rsid w:val="7190047D"/>
    <w:rsid w:val="719779CB"/>
    <w:rsid w:val="71AA5459"/>
    <w:rsid w:val="71BC18E2"/>
    <w:rsid w:val="71DEE05D"/>
    <w:rsid w:val="723BDF53"/>
    <w:rsid w:val="7260951D"/>
    <w:rsid w:val="72782AF5"/>
    <w:rsid w:val="72931C9E"/>
    <w:rsid w:val="729423DE"/>
    <w:rsid w:val="729B96F3"/>
    <w:rsid w:val="72F6DFF2"/>
    <w:rsid w:val="732A8AC2"/>
    <w:rsid w:val="7395FE69"/>
    <w:rsid w:val="7399FF85"/>
    <w:rsid w:val="73A15821"/>
    <w:rsid w:val="73AB6895"/>
    <w:rsid w:val="73AFA350"/>
    <w:rsid w:val="73B57C86"/>
    <w:rsid w:val="73DCF881"/>
    <w:rsid w:val="73E8F5C9"/>
    <w:rsid w:val="73E9E96E"/>
    <w:rsid w:val="73F4A594"/>
    <w:rsid w:val="740D8CFB"/>
    <w:rsid w:val="7421F4DE"/>
    <w:rsid w:val="7438BC6F"/>
    <w:rsid w:val="743EF061"/>
    <w:rsid w:val="7452B3E0"/>
    <w:rsid w:val="74858DE8"/>
    <w:rsid w:val="7495512F"/>
    <w:rsid w:val="749C548B"/>
    <w:rsid w:val="74AC03C2"/>
    <w:rsid w:val="74C173E6"/>
    <w:rsid w:val="74EDF4E8"/>
    <w:rsid w:val="74F1B9AA"/>
    <w:rsid w:val="74F57176"/>
    <w:rsid w:val="7503B702"/>
    <w:rsid w:val="75078A66"/>
    <w:rsid w:val="7518DA65"/>
    <w:rsid w:val="75411023"/>
    <w:rsid w:val="75486351"/>
    <w:rsid w:val="75660E59"/>
    <w:rsid w:val="757E6B77"/>
    <w:rsid w:val="75884985"/>
    <w:rsid w:val="75ACCF15"/>
    <w:rsid w:val="75FBDC25"/>
    <w:rsid w:val="75FE4FD4"/>
    <w:rsid w:val="761D00E7"/>
    <w:rsid w:val="761D6B4C"/>
    <w:rsid w:val="76756E23"/>
    <w:rsid w:val="767E972F"/>
    <w:rsid w:val="76F0C25B"/>
    <w:rsid w:val="76F0CEDC"/>
    <w:rsid w:val="76FEE962"/>
    <w:rsid w:val="77204FAD"/>
    <w:rsid w:val="776491A1"/>
    <w:rsid w:val="776D8B04"/>
    <w:rsid w:val="7788DBA3"/>
    <w:rsid w:val="778CA8A7"/>
    <w:rsid w:val="77BE40B1"/>
    <w:rsid w:val="77C64D79"/>
    <w:rsid w:val="77D2EE17"/>
    <w:rsid w:val="77E49D0F"/>
    <w:rsid w:val="77E4FD53"/>
    <w:rsid w:val="783FB96B"/>
    <w:rsid w:val="7852D5AC"/>
    <w:rsid w:val="785A85C2"/>
    <w:rsid w:val="785C2EC8"/>
    <w:rsid w:val="785E12A3"/>
    <w:rsid w:val="78743FCC"/>
    <w:rsid w:val="78888F2B"/>
    <w:rsid w:val="788C8E06"/>
    <w:rsid w:val="78EC1C40"/>
    <w:rsid w:val="793B3F4D"/>
    <w:rsid w:val="795440D8"/>
    <w:rsid w:val="79A4C97D"/>
    <w:rsid w:val="79B61B05"/>
    <w:rsid w:val="79B80D67"/>
    <w:rsid w:val="79EF7822"/>
    <w:rsid w:val="7A02E2B5"/>
    <w:rsid w:val="7A11AD0D"/>
    <w:rsid w:val="7A38D9A6"/>
    <w:rsid w:val="7A3EA6DF"/>
    <w:rsid w:val="7A6387A6"/>
    <w:rsid w:val="7A7259CA"/>
    <w:rsid w:val="7A7E0D5F"/>
    <w:rsid w:val="7A837683"/>
    <w:rsid w:val="7A84F9BF"/>
    <w:rsid w:val="7A943BB4"/>
    <w:rsid w:val="7A9CC8CC"/>
    <w:rsid w:val="7AC0EF6A"/>
    <w:rsid w:val="7ADFEF0E"/>
    <w:rsid w:val="7B1C0F8F"/>
    <w:rsid w:val="7B3CB6DE"/>
    <w:rsid w:val="7B4FFB82"/>
    <w:rsid w:val="7B71B0BE"/>
    <w:rsid w:val="7B7E53CE"/>
    <w:rsid w:val="7B91717A"/>
    <w:rsid w:val="7BB88A82"/>
    <w:rsid w:val="7BC79F49"/>
    <w:rsid w:val="7BE47709"/>
    <w:rsid w:val="7C095720"/>
    <w:rsid w:val="7C2C975A"/>
    <w:rsid w:val="7C4E265C"/>
    <w:rsid w:val="7C5856DB"/>
    <w:rsid w:val="7C5CBFCB"/>
    <w:rsid w:val="7C79D203"/>
    <w:rsid w:val="7C84CA96"/>
    <w:rsid w:val="7C92CB65"/>
    <w:rsid w:val="7CC189F1"/>
    <w:rsid w:val="7CC8955D"/>
    <w:rsid w:val="7CD5F789"/>
    <w:rsid w:val="7CED597E"/>
    <w:rsid w:val="7D0FE649"/>
    <w:rsid w:val="7D154556"/>
    <w:rsid w:val="7D16575D"/>
    <w:rsid w:val="7D2669D2"/>
    <w:rsid w:val="7D52E416"/>
    <w:rsid w:val="7D6E1CE4"/>
    <w:rsid w:val="7D806BDD"/>
    <w:rsid w:val="7DA78EFE"/>
    <w:rsid w:val="7DBECCD1"/>
    <w:rsid w:val="7DFEBFF9"/>
    <w:rsid w:val="7E194BD2"/>
    <w:rsid w:val="7E3A7FFD"/>
    <w:rsid w:val="7E5F720C"/>
    <w:rsid w:val="7E75C3F9"/>
    <w:rsid w:val="7E7ED172"/>
    <w:rsid w:val="7E7F2635"/>
    <w:rsid w:val="7EB6F0AF"/>
    <w:rsid w:val="7EB7F90C"/>
    <w:rsid w:val="7EE048E0"/>
    <w:rsid w:val="7F00FA2B"/>
    <w:rsid w:val="7F14F124"/>
    <w:rsid w:val="7F2B2793"/>
    <w:rsid w:val="7F2E8162"/>
    <w:rsid w:val="7F471339"/>
    <w:rsid w:val="7F47B9D7"/>
    <w:rsid w:val="7F7AFD41"/>
    <w:rsid w:val="7F814A1E"/>
    <w:rsid w:val="7FA32BBE"/>
    <w:rsid w:val="7FA52092"/>
    <w:rsid w:val="7FB63795"/>
    <w:rsid w:val="7FBD7E31"/>
    <w:rsid w:val="7FE564B9"/>
    <w:rsid w:val="7FEE54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24D597"/>
  <w15:chartTrackingRefBased/>
  <w15:docId w15:val="{F81813FC-2008-4B35-B16D-5FFC3F03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6AC"/>
    <w:pPr>
      <w:spacing w:after="200" w:line="276" w:lineRule="auto"/>
    </w:pPr>
    <w:rPr>
      <w:color w:val="000000" w:themeColor="text1"/>
      <w:sz w:val="20"/>
      <w:szCs w:val="20"/>
    </w:rPr>
  </w:style>
  <w:style w:type="paragraph" w:styleId="Heading1">
    <w:name w:val="heading 1"/>
    <w:basedOn w:val="Normal"/>
    <w:next w:val="Normal"/>
    <w:link w:val="Heading1Char"/>
    <w:uiPriority w:val="9"/>
    <w:qFormat/>
    <w:rsid w:val="007B03C1"/>
    <w:pPr>
      <w:spacing w:before="240"/>
      <w:outlineLvl w:val="0"/>
    </w:pPr>
    <w:rPr>
      <w:b/>
      <w:bCs/>
      <w:color w:val="4472C4" w:themeColor="accent1"/>
      <w:sz w:val="28"/>
      <w:szCs w:val="32"/>
      <w14:textFill>
        <w14:solidFill>
          <w14:schemeClr w14:val="accent1">
            <w14:lumMod w14:val="75000"/>
            <w14:lumMod w14:val="50000"/>
            <w14:lumMod w14:val="75000"/>
            <w14:lumOff w14:val="25000"/>
          </w14:schemeClr>
        </w14:solidFill>
      </w14:textFill>
    </w:rPr>
  </w:style>
  <w:style w:type="paragraph" w:styleId="Heading2">
    <w:name w:val="heading 2"/>
    <w:basedOn w:val="Normal"/>
    <w:next w:val="Normal"/>
    <w:link w:val="Heading2Char"/>
    <w:uiPriority w:val="9"/>
    <w:unhideWhenUsed/>
    <w:qFormat/>
    <w:rsid w:val="00691D5F"/>
    <w:pPr>
      <w:outlineLvl w:val="1"/>
    </w:pPr>
    <w:rPr>
      <w:bCs/>
      <w:color w:val="2F5496" w:themeColor="accent1" w:themeShade="BF"/>
      <w:sz w:val="24"/>
      <w:szCs w:val="24"/>
    </w:rPr>
  </w:style>
  <w:style w:type="paragraph" w:styleId="Heading3">
    <w:name w:val="heading 3"/>
    <w:aliases w:val="Heading 3 chapter subheading"/>
    <w:basedOn w:val="Normal"/>
    <w:next w:val="Normal"/>
    <w:link w:val="Heading3Char"/>
    <w:uiPriority w:val="9"/>
    <w:unhideWhenUsed/>
    <w:qFormat/>
    <w:rsid w:val="00691D5F"/>
    <w:pPr>
      <w:outlineLvl w:val="2"/>
    </w:pPr>
    <w:rPr>
      <w:b/>
      <w:bCs/>
      <w:sz w:val="22"/>
      <w:szCs w:val="21"/>
    </w:rPr>
  </w:style>
  <w:style w:type="paragraph" w:styleId="Heading4">
    <w:name w:val="heading 4"/>
    <w:aliases w:val="Break 1 head"/>
    <w:basedOn w:val="Normal"/>
    <w:next w:val="Normal"/>
    <w:link w:val="Heading4Char"/>
    <w:uiPriority w:val="9"/>
    <w:unhideWhenUsed/>
    <w:qFormat/>
    <w:rsid w:val="00691D5F"/>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pct5" w:color="auto" w:fill="auto"/>
      <w:spacing w:after="120"/>
      <w:outlineLvl w:val="3"/>
    </w:pPr>
    <w:rPr>
      <w:b/>
      <w:bCs/>
    </w:rPr>
  </w:style>
  <w:style w:type="paragraph" w:styleId="Heading5">
    <w:name w:val="heading 5"/>
    <w:aliases w:val="Breakout Box 2"/>
    <w:basedOn w:val="Normal"/>
    <w:next w:val="Normal"/>
    <w:link w:val="Heading5Char"/>
    <w:uiPriority w:val="9"/>
    <w:unhideWhenUsed/>
    <w:rsid w:val="00882C73"/>
    <w:pPr>
      <w:numPr>
        <w:ilvl w:val="4"/>
        <w:numId w:val="15"/>
      </w:numPr>
      <w:pBdr>
        <w:right w:val="single" w:sz="48" w:space="4" w:color="2F5496" w:themeColor="accent1" w:themeShade="BF"/>
      </w:pBdr>
      <w:shd w:val="clear" w:color="auto" w:fill="D9E2F3" w:themeFill="accent1" w:themeFillTint="33"/>
      <w:spacing w:after="120"/>
      <w:outlineLvl w:val="4"/>
    </w:pPr>
    <w:rPr>
      <w:bCs/>
      <w:color w:val="auto"/>
      <w:sz w:val="22"/>
      <w:szCs w:val="22"/>
    </w:rPr>
  </w:style>
  <w:style w:type="paragraph" w:styleId="Heading6">
    <w:name w:val="heading 6"/>
    <w:aliases w:val="Heading 4 section sub-heading"/>
    <w:basedOn w:val="Normal"/>
    <w:next w:val="Normal"/>
    <w:link w:val="Heading6Char"/>
    <w:uiPriority w:val="9"/>
    <w:unhideWhenUsed/>
    <w:qFormat/>
    <w:rsid w:val="003F0B4E"/>
    <w:pPr>
      <w:keepNext/>
      <w:keepLines/>
      <w:spacing w:before="40" w:after="0"/>
      <w:outlineLvl w:val="5"/>
    </w:pPr>
    <w:rPr>
      <w:rFonts w:ascii="Calibri" w:eastAsiaTheme="majorEastAsia" w:hAnsi="Calibri" w:cstheme="majorBidi"/>
      <w:b/>
      <w:u w:val="single"/>
    </w:rPr>
  </w:style>
  <w:style w:type="paragraph" w:styleId="Heading7">
    <w:name w:val="heading 7"/>
    <w:basedOn w:val="Normal"/>
    <w:next w:val="Normal"/>
    <w:link w:val="Heading7Char"/>
    <w:uiPriority w:val="9"/>
    <w:unhideWhenUsed/>
    <w:qFormat/>
    <w:rsid w:val="00635CB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E2E7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60F2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0DD"/>
    <w:pPr>
      <w:numPr>
        <w:numId w:val="31"/>
      </w:numPr>
      <w:tabs>
        <w:tab w:val="center" w:pos="4513"/>
        <w:tab w:val="right" w:pos="9026"/>
      </w:tabs>
    </w:pPr>
  </w:style>
  <w:style w:type="character" w:customStyle="1" w:styleId="HeaderChar">
    <w:name w:val="Header Char"/>
    <w:basedOn w:val="DefaultParagraphFont"/>
    <w:link w:val="Header"/>
    <w:uiPriority w:val="99"/>
    <w:rsid w:val="007060DD"/>
    <w:rPr>
      <w:color w:val="000000" w:themeColor="text1"/>
      <w:sz w:val="20"/>
      <w:szCs w:val="20"/>
    </w:rPr>
  </w:style>
  <w:style w:type="paragraph" w:styleId="Footer">
    <w:name w:val="footer"/>
    <w:basedOn w:val="Normal"/>
    <w:link w:val="FooterChar"/>
    <w:uiPriority w:val="99"/>
    <w:unhideWhenUsed/>
    <w:rsid w:val="007060DD"/>
    <w:pPr>
      <w:tabs>
        <w:tab w:val="center" w:pos="4513"/>
        <w:tab w:val="right" w:pos="9026"/>
      </w:tabs>
    </w:pPr>
  </w:style>
  <w:style w:type="character" w:customStyle="1" w:styleId="FooterChar">
    <w:name w:val="Footer Char"/>
    <w:basedOn w:val="DefaultParagraphFont"/>
    <w:link w:val="Footer"/>
    <w:uiPriority w:val="99"/>
    <w:rsid w:val="007060DD"/>
  </w:style>
  <w:style w:type="paragraph" w:styleId="Title">
    <w:name w:val="Title"/>
    <w:basedOn w:val="Normal"/>
    <w:next w:val="Normal"/>
    <w:link w:val="TitleChar"/>
    <w:uiPriority w:val="10"/>
    <w:qFormat/>
    <w:rsid w:val="00882C73"/>
    <w:pPr>
      <w:spacing w:after="0"/>
    </w:pPr>
    <w:rPr>
      <w:color w:val="1F3864" w:themeColor="accent1" w:themeShade="80"/>
      <w:sz w:val="56"/>
      <w:szCs w:val="56"/>
    </w:rPr>
  </w:style>
  <w:style w:type="character" w:customStyle="1" w:styleId="TitleChar">
    <w:name w:val="Title Char"/>
    <w:basedOn w:val="DefaultParagraphFont"/>
    <w:link w:val="Title"/>
    <w:uiPriority w:val="10"/>
    <w:rsid w:val="00882C73"/>
    <w:rPr>
      <w:color w:val="1F3864" w:themeColor="accent1" w:themeShade="80"/>
      <w:sz w:val="56"/>
      <w:szCs w:val="56"/>
    </w:rPr>
  </w:style>
  <w:style w:type="character" w:customStyle="1" w:styleId="Heading1Char">
    <w:name w:val="Heading 1 Char"/>
    <w:basedOn w:val="DefaultParagraphFont"/>
    <w:link w:val="Heading1"/>
    <w:uiPriority w:val="9"/>
    <w:rsid w:val="00B24877"/>
    <w:rPr>
      <w:b/>
      <w:bCs/>
      <w:color w:val="4472C4" w:themeColor="accent1"/>
      <w:sz w:val="28"/>
      <w:szCs w:val="32"/>
      <w14:textFill>
        <w14:solidFill>
          <w14:schemeClr w14:val="accent1">
            <w14:lumMod w14:val="75000"/>
            <w14:lumMod w14:val="50000"/>
            <w14:lumMod w14:val="75000"/>
            <w14:lumOff w14:val="25000"/>
          </w14:schemeClr>
        </w14:solidFill>
      </w14:textFill>
    </w:rPr>
  </w:style>
  <w:style w:type="paragraph" w:styleId="Subtitle">
    <w:name w:val="Subtitle"/>
    <w:basedOn w:val="Normal"/>
    <w:next w:val="Normal"/>
    <w:link w:val="SubtitleChar"/>
    <w:uiPriority w:val="11"/>
    <w:qFormat/>
    <w:rsid w:val="00B24877"/>
    <w:rPr>
      <w:b/>
      <w:color w:val="2F5496" w:themeColor="accent1" w:themeShade="BF"/>
      <w:sz w:val="24"/>
      <w:szCs w:val="28"/>
    </w:rPr>
  </w:style>
  <w:style w:type="character" w:customStyle="1" w:styleId="SubtitleChar">
    <w:name w:val="Subtitle Char"/>
    <w:basedOn w:val="DefaultParagraphFont"/>
    <w:link w:val="Subtitle"/>
    <w:uiPriority w:val="11"/>
    <w:rsid w:val="00B24877"/>
    <w:rPr>
      <w:b/>
      <w:color w:val="2F5496" w:themeColor="accent1" w:themeShade="BF"/>
      <w:szCs w:val="28"/>
    </w:rPr>
  </w:style>
  <w:style w:type="character" w:customStyle="1" w:styleId="Heading2Char">
    <w:name w:val="Heading 2 Char"/>
    <w:basedOn w:val="DefaultParagraphFont"/>
    <w:link w:val="Heading2"/>
    <w:uiPriority w:val="9"/>
    <w:rsid w:val="005F16E2"/>
    <w:rPr>
      <w:bCs/>
      <w:color w:val="2F5496" w:themeColor="accent1" w:themeShade="BF"/>
    </w:rPr>
  </w:style>
  <w:style w:type="character" w:customStyle="1" w:styleId="Heading3Char">
    <w:name w:val="Heading 3 Char"/>
    <w:aliases w:val="Heading 3 chapter subheading Char"/>
    <w:basedOn w:val="DefaultParagraphFont"/>
    <w:link w:val="Heading3"/>
    <w:uiPriority w:val="9"/>
    <w:rsid w:val="00E16DDE"/>
    <w:rPr>
      <w:b/>
      <w:bCs/>
      <w:color w:val="000000" w:themeColor="text1"/>
      <w:sz w:val="22"/>
      <w:szCs w:val="21"/>
    </w:rPr>
  </w:style>
  <w:style w:type="paragraph" w:styleId="ListParagraph">
    <w:name w:val="List Paragraph"/>
    <w:aliases w:val="List Paragraph1,Recommendation,List Paragraph11,Content descriptions,L,Report subheading,bullet point list,Bullet point,List Paragraph Number,Bulletr List Paragraph,FooterText,List Paragraph2,List Paragraph21,Listeafsnit1,numbered,列出段落,列"/>
    <w:basedOn w:val="Normal"/>
    <w:link w:val="ListParagraphChar"/>
    <w:uiPriority w:val="34"/>
    <w:qFormat/>
    <w:rsid w:val="00E946AC"/>
    <w:pPr>
      <w:ind w:left="720"/>
      <w:contextualSpacing/>
    </w:pPr>
  </w:style>
  <w:style w:type="character" w:customStyle="1" w:styleId="Heading4Char">
    <w:name w:val="Heading 4 Char"/>
    <w:aliases w:val="Break 1 head Char"/>
    <w:basedOn w:val="DefaultParagraphFont"/>
    <w:link w:val="Heading4"/>
    <w:uiPriority w:val="9"/>
    <w:rsid w:val="00167FA3"/>
    <w:rPr>
      <w:b/>
      <w:bCs/>
      <w:color w:val="000000" w:themeColor="text1"/>
      <w:sz w:val="20"/>
      <w:szCs w:val="20"/>
      <w:shd w:val="pct5" w:color="auto" w:fill="auto"/>
    </w:rPr>
  </w:style>
  <w:style w:type="character" w:customStyle="1" w:styleId="Heading5Char">
    <w:name w:val="Heading 5 Char"/>
    <w:aliases w:val="Breakout Box 2 Char"/>
    <w:basedOn w:val="DefaultParagraphFont"/>
    <w:link w:val="Heading5"/>
    <w:uiPriority w:val="9"/>
    <w:rsid w:val="00882C73"/>
    <w:rPr>
      <w:bCs/>
      <w:sz w:val="22"/>
      <w:szCs w:val="22"/>
      <w:shd w:val="clear" w:color="auto" w:fill="D9E2F3" w:themeFill="accent1" w:themeFillTint="33"/>
    </w:rPr>
  </w:style>
  <w:style w:type="table" w:styleId="TableGrid">
    <w:name w:val="Table Grid"/>
    <w:basedOn w:val="TableNormal"/>
    <w:uiPriority w:val="39"/>
    <w:rsid w:val="00167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67FA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67FA3"/>
    <w:pPr>
      <w:ind w:left="720" w:hanging="36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167FA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167F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3-Accent1">
    <w:name w:val="Grid Table 3 Accent 1"/>
    <w:basedOn w:val="TableNormal"/>
    <w:uiPriority w:val="48"/>
    <w:rsid w:val="00167FA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167FA3"/>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2">
    <w:name w:val="Grid Table 2 Accent 2"/>
    <w:basedOn w:val="TableNormal"/>
    <w:uiPriority w:val="47"/>
    <w:rsid w:val="00167FA3"/>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937F54"/>
    <w:tblPr>
      <w:tblStyleRowBandSize w:val="1"/>
      <w:tblStyleColBandSize w:val="1"/>
    </w:tblPr>
    <w:tblStylePr w:type="firstRow">
      <w:rPr>
        <w:b/>
        <w:bCs/>
      </w:rPr>
      <w:tblPr/>
      <w:tcPr>
        <w:shd w:val="clear" w:color="auto" w:fill="1F3864" w:themeFill="accent1" w:themeFillShade="80"/>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FFFFFF" w:themeFill="background1"/>
      </w:tcPr>
    </w:tblStylePr>
    <w:tblStylePr w:type="band2Horz">
      <w:tblPr/>
      <w:tcPr>
        <w:shd w:val="clear" w:color="auto" w:fill="B4C6E7" w:themeFill="accent1" w:themeFillTint="66"/>
      </w:tcPr>
    </w:tblStylePr>
  </w:style>
  <w:style w:type="table" w:styleId="GridTable1Light-Accent5">
    <w:name w:val="Grid Table 1 Light Accent 5"/>
    <w:basedOn w:val="TableNormal"/>
    <w:uiPriority w:val="46"/>
    <w:rsid w:val="00167FA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Spacing">
    <w:name w:val="No Spacing"/>
    <w:aliases w:val="table text"/>
    <w:basedOn w:val="Normal"/>
    <w:uiPriority w:val="1"/>
    <w:qFormat/>
    <w:rsid w:val="00167FA3"/>
    <w:pPr>
      <w:spacing w:after="0"/>
    </w:pPr>
  </w:style>
  <w:style w:type="character" w:styleId="PageNumber">
    <w:name w:val="page number"/>
    <w:basedOn w:val="DefaultParagraphFont"/>
    <w:uiPriority w:val="99"/>
    <w:semiHidden/>
    <w:unhideWhenUsed/>
    <w:rsid w:val="00C41194"/>
  </w:style>
  <w:style w:type="paragraph" w:customStyle="1" w:styleId="BreakoutBox1heading">
    <w:name w:val="Breakout Box 1 heading"/>
    <w:basedOn w:val="Normal"/>
    <w:next w:val="Normal"/>
    <w:link w:val="BreakoutBox1headingChar"/>
    <w:autoRedefine/>
    <w:qFormat/>
    <w:rsid w:val="00A44017"/>
    <w:pPr>
      <w:keepNext/>
      <w:keepLines/>
      <w:pBdr>
        <w:top w:val="single" w:sz="8" w:space="1" w:color="ED7D31" w:themeColor="accent2"/>
        <w:left w:val="single" w:sz="8" w:space="4" w:color="ED7D31" w:themeColor="accent2"/>
        <w:bottom w:val="single" w:sz="8" w:space="1" w:color="ED7D31" w:themeColor="accent2"/>
        <w:right w:val="single" w:sz="8" w:space="4" w:color="ED7D31" w:themeColor="accent2"/>
      </w:pBdr>
      <w:shd w:val="clear" w:color="auto" w:fill="FBE4D5" w:themeFill="accent2" w:themeFillTint="33"/>
      <w:spacing w:after="0"/>
      <w:ind w:left="40"/>
    </w:pPr>
    <w:rPr>
      <w:b/>
      <w:bCs/>
      <w:noProof/>
    </w:rPr>
  </w:style>
  <w:style w:type="character" w:customStyle="1" w:styleId="BreakoutBox1headingChar">
    <w:name w:val="Breakout Box 1 heading Char"/>
    <w:basedOn w:val="DefaultParagraphFont"/>
    <w:link w:val="BreakoutBox1heading"/>
    <w:rsid w:val="00A44017"/>
    <w:rPr>
      <w:b/>
      <w:bCs/>
      <w:noProof/>
      <w:color w:val="000000" w:themeColor="text1"/>
      <w:sz w:val="20"/>
      <w:szCs w:val="20"/>
      <w:shd w:val="clear" w:color="auto" w:fill="FBE4D5" w:themeFill="accent2" w:themeFillTint="33"/>
    </w:rPr>
  </w:style>
  <w:style w:type="paragraph" w:styleId="IntenseQuote">
    <w:name w:val="Intense Quote"/>
    <w:basedOn w:val="Normal"/>
    <w:next w:val="Normal"/>
    <w:link w:val="IntenseQuoteChar"/>
    <w:uiPriority w:val="30"/>
    <w:qFormat/>
    <w:rsid w:val="00C819C2"/>
    <w:pPr>
      <w:shd w:val="clear" w:color="auto" w:fill="FFFFFF" w:themeFill="background1"/>
      <w:spacing w:before="360" w:after="360"/>
      <w:ind w:left="864" w:right="864"/>
      <w:jc w:val="center"/>
    </w:pPr>
    <w:rPr>
      <w:b/>
      <w:iCs/>
      <w:color w:val="1F3864" w:themeColor="accent1" w:themeShade="80"/>
    </w:rPr>
  </w:style>
  <w:style w:type="character" w:customStyle="1" w:styleId="IntenseQuoteChar">
    <w:name w:val="Intense Quote Char"/>
    <w:basedOn w:val="DefaultParagraphFont"/>
    <w:link w:val="IntenseQuote"/>
    <w:uiPriority w:val="30"/>
    <w:rsid w:val="005F16E2"/>
    <w:rPr>
      <w:b/>
      <w:iCs/>
      <w:color w:val="1F3864" w:themeColor="accent1" w:themeShade="80"/>
      <w:sz w:val="20"/>
      <w:szCs w:val="20"/>
      <w:shd w:val="clear" w:color="auto" w:fill="FFFFFF" w:themeFill="background1"/>
    </w:rPr>
  </w:style>
  <w:style w:type="paragraph" w:customStyle="1" w:styleId="Recommendationbox">
    <w:name w:val="Recommendation box"/>
    <w:basedOn w:val="Normal"/>
    <w:link w:val="RecommendationboxChar"/>
    <w:qFormat/>
    <w:rsid w:val="00C82BB5"/>
    <w:pPr>
      <w:pBdr>
        <w:right w:val="single" w:sz="48" w:space="4" w:color="1F3864" w:themeColor="accent1" w:themeShade="80"/>
      </w:pBdr>
      <w:shd w:val="clear" w:color="auto" w:fill="EDEDED" w:themeFill="accent3" w:themeFillTint="33"/>
    </w:pPr>
    <w:rPr>
      <w:sz w:val="22"/>
    </w:rPr>
  </w:style>
  <w:style w:type="paragraph" w:customStyle="1" w:styleId="Recommendation2">
    <w:name w:val="Recommendation 2"/>
    <w:basedOn w:val="Normal"/>
    <w:link w:val="Recommendation2Char"/>
    <w:qFormat/>
    <w:rsid w:val="00C82BB5"/>
    <w:pPr>
      <w:pBdr>
        <w:right w:val="single" w:sz="48" w:space="4" w:color="ED7D31" w:themeColor="accent2"/>
      </w:pBdr>
      <w:shd w:val="clear" w:color="auto" w:fill="EDEDED" w:themeFill="accent3" w:themeFillTint="33"/>
    </w:pPr>
    <w:rPr>
      <w:sz w:val="22"/>
    </w:rPr>
  </w:style>
  <w:style w:type="character" w:customStyle="1" w:styleId="RecommendationboxChar">
    <w:name w:val="Recommendation box Char"/>
    <w:basedOn w:val="DefaultParagraphFont"/>
    <w:link w:val="Recommendationbox"/>
    <w:rsid w:val="00C82BB5"/>
    <w:rPr>
      <w:color w:val="000000" w:themeColor="text1"/>
      <w:sz w:val="22"/>
      <w:szCs w:val="20"/>
      <w:shd w:val="clear" w:color="auto" w:fill="EDEDED" w:themeFill="accent3" w:themeFillTint="33"/>
    </w:rPr>
  </w:style>
  <w:style w:type="paragraph" w:customStyle="1" w:styleId="Recommendation3">
    <w:name w:val="Recommendation 3"/>
    <w:basedOn w:val="Normal"/>
    <w:link w:val="Recommendation3Char"/>
    <w:qFormat/>
    <w:rsid w:val="00C82BB5"/>
    <w:pPr>
      <w:pBdr>
        <w:right w:val="single" w:sz="48" w:space="4" w:color="B4C6E7" w:themeColor="accent1" w:themeTint="66"/>
      </w:pBdr>
      <w:shd w:val="clear" w:color="auto" w:fill="EDEDED" w:themeFill="accent3" w:themeFillTint="33"/>
    </w:pPr>
    <w:rPr>
      <w:sz w:val="22"/>
    </w:rPr>
  </w:style>
  <w:style w:type="character" w:customStyle="1" w:styleId="Recommendation2Char">
    <w:name w:val="Recommendation 2 Char"/>
    <w:basedOn w:val="DefaultParagraphFont"/>
    <w:link w:val="Recommendation2"/>
    <w:rsid w:val="00C82BB5"/>
    <w:rPr>
      <w:color w:val="000000" w:themeColor="text1"/>
      <w:sz w:val="22"/>
      <w:szCs w:val="20"/>
      <w:shd w:val="clear" w:color="auto" w:fill="EDEDED" w:themeFill="accent3" w:themeFillTint="33"/>
    </w:rPr>
  </w:style>
  <w:style w:type="paragraph" w:customStyle="1" w:styleId="Recommendation4">
    <w:name w:val="Recommendation 4"/>
    <w:basedOn w:val="Normal"/>
    <w:link w:val="Recommendation4Char"/>
    <w:qFormat/>
    <w:rsid w:val="00C82BB5"/>
    <w:pPr>
      <w:pBdr>
        <w:right w:val="single" w:sz="48" w:space="4" w:color="FBE4D5" w:themeColor="accent2" w:themeTint="33"/>
      </w:pBdr>
      <w:shd w:val="clear" w:color="auto" w:fill="EDEDED" w:themeFill="accent3" w:themeFillTint="33"/>
    </w:pPr>
    <w:rPr>
      <w:sz w:val="22"/>
    </w:rPr>
  </w:style>
  <w:style w:type="character" w:customStyle="1" w:styleId="Recommendation3Char">
    <w:name w:val="Recommendation 3 Char"/>
    <w:basedOn w:val="DefaultParagraphFont"/>
    <w:link w:val="Recommendation3"/>
    <w:rsid w:val="00C82BB5"/>
    <w:rPr>
      <w:color w:val="000000" w:themeColor="text1"/>
      <w:sz w:val="22"/>
      <w:szCs w:val="20"/>
      <w:shd w:val="clear" w:color="auto" w:fill="EDEDED" w:themeFill="accent3" w:themeFillTint="33"/>
    </w:rPr>
  </w:style>
  <w:style w:type="paragraph" w:customStyle="1" w:styleId="Recommendation5">
    <w:name w:val="Recommendation 5"/>
    <w:basedOn w:val="Recommendation4"/>
    <w:link w:val="Recommendation5Char"/>
    <w:qFormat/>
    <w:rsid w:val="00C82BB5"/>
    <w:pPr>
      <w:pBdr>
        <w:right w:val="single" w:sz="48" w:space="4" w:color="F7CAAC" w:themeColor="accent2" w:themeTint="66"/>
      </w:pBdr>
    </w:pPr>
  </w:style>
  <w:style w:type="character" w:customStyle="1" w:styleId="Recommendation4Char">
    <w:name w:val="Recommendation 4 Char"/>
    <w:basedOn w:val="DefaultParagraphFont"/>
    <w:link w:val="Recommendation4"/>
    <w:rsid w:val="00C82BB5"/>
    <w:rPr>
      <w:color w:val="000000" w:themeColor="text1"/>
      <w:sz w:val="22"/>
      <w:szCs w:val="20"/>
      <w:shd w:val="clear" w:color="auto" w:fill="EDEDED" w:themeFill="accent3" w:themeFillTint="33"/>
    </w:rPr>
  </w:style>
  <w:style w:type="paragraph" w:customStyle="1" w:styleId="Recommendation6">
    <w:name w:val="Recommendation 6"/>
    <w:basedOn w:val="Recommendation4"/>
    <w:link w:val="Recommendation6Char"/>
    <w:qFormat/>
    <w:rsid w:val="00C82BB5"/>
    <w:pPr>
      <w:pBdr>
        <w:right w:val="single" w:sz="48" w:space="4" w:color="F4B083" w:themeColor="accent2" w:themeTint="99"/>
      </w:pBdr>
    </w:pPr>
  </w:style>
  <w:style w:type="character" w:customStyle="1" w:styleId="Recommendation5Char">
    <w:name w:val="Recommendation 5 Char"/>
    <w:basedOn w:val="Recommendation4Char"/>
    <w:link w:val="Recommendation5"/>
    <w:rsid w:val="00C82BB5"/>
    <w:rPr>
      <w:color w:val="000000" w:themeColor="text1"/>
      <w:sz w:val="22"/>
      <w:szCs w:val="20"/>
      <w:shd w:val="clear" w:color="auto" w:fill="EDEDED" w:themeFill="accent3" w:themeFillTint="33"/>
    </w:rPr>
  </w:style>
  <w:style w:type="paragraph" w:customStyle="1" w:styleId="Recommendation7">
    <w:name w:val="Recommendation 7"/>
    <w:basedOn w:val="Recommendation6"/>
    <w:link w:val="Recommendation7Char"/>
    <w:qFormat/>
    <w:rsid w:val="00A14453"/>
    <w:pPr>
      <w:pBdr>
        <w:right w:val="single" w:sz="48" w:space="4" w:color="8EAADB" w:themeColor="accent1" w:themeTint="99"/>
      </w:pBdr>
    </w:pPr>
  </w:style>
  <w:style w:type="character" w:customStyle="1" w:styleId="Recommendation6Char">
    <w:name w:val="Recommendation 6 Char"/>
    <w:basedOn w:val="Recommendation4Char"/>
    <w:link w:val="Recommendation6"/>
    <w:rsid w:val="00C82BB5"/>
    <w:rPr>
      <w:color w:val="000000" w:themeColor="text1"/>
      <w:sz w:val="22"/>
      <w:szCs w:val="20"/>
      <w:shd w:val="clear" w:color="auto" w:fill="EDEDED" w:themeFill="accent3" w:themeFillTint="33"/>
    </w:rPr>
  </w:style>
  <w:style w:type="paragraph" w:customStyle="1" w:styleId="Recommendation8">
    <w:name w:val="Recommendation 8"/>
    <w:basedOn w:val="Recommendation7"/>
    <w:link w:val="Recommendation8Char"/>
    <w:qFormat/>
    <w:rsid w:val="00A14453"/>
    <w:pPr>
      <w:pBdr>
        <w:right w:val="single" w:sz="48" w:space="4" w:color="2F5496" w:themeColor="accent1" w:themeShade="BF"/>
      </w:pBdr>
    </w:pPr>
  </w:style>
  <w:style w:type="character" w:customStyle="1" w:styleId="Recommendation7Char">
    <w:name w:val="Recommendation 7 Char"/>
    <w:basedOn w:val="Recommendation6Char"/>
    <w:link w:val="Recommendation7"/>
    <w:rsid w:val="00A14453"/>
    <w:rPr>
      <w:color w:val="000000" w:themeColor="text1"/>
      <w:sz w:val="22"/>
      <w:szCs w:val="20"/>
      <w:shd w:val="clear" w:color="auto" w:fill="EDEDED" w:themeFill="accent3" w:themeFillTint="33"/>
    </w:rPr>
  </w:style>
  <w:style w:type="paragraph" w:styleId="BalloonText">
    <w:name w:val="Balloon Text"/>
    <w:basedOn w:val="Normal"/>
    <w:link w:val="BalloonTextChar"/>
    <w:uiPriority w:val="99"/>
    <w:semiHidden/>
    <w:unhideWhenUsed/>
    <w:rsid w:val="00234F18"/>
    <w:pPr>
      <w:spacing w:after="0" w:line="240" w:lineRule="auto"/>
    </w:pPr>
    <w:rPr>
      <w:rFonts w:ascii="Segoe UI" w:hAnsi="Segoe UI" w:cs="Segoe UI"/>
      <w:sz w:val="18"/>
      <w:szCs w:val="18"/>
    </w:rPr>
  </w:style>
  <w:style w:type="character" w:customStyle="1" w:styleId="Recommendation8Char">
    <w:name w:val="Recommendation 8 Char"/>
    <w:basedOn w:val="Recommendation7Char"/>
    <w:link w:val="Recommendation8"/>
    <w:rsid w:val="00A14453"/>
    <w:rPr>
      <w:color w:val="000000" w:themeColor="text1"/>
      <w:sz w:val="22"/>
      <w:szCs w:val="20"/>
      <w:shd w:val="clear" w:color="auto" w:fill="EDEDED" w:themeFill="accent3" w:themeFillTint="33"/>
    </w:rPr>
  </w:style>
  <w:style w:type="character" w:customStyle="1" w:styleId="BalloonTextChar">
    <w:name w:val="Balloon Text Char"/>
    <w:basedOn w:val="DefaultParagraphFont"/>
    <w:link w:val="BalloonText"/>
    <w:uiPriority w:val="99"/>
    <w:semiHidden/>
    <w:rsid w:val="00234F18"/>
    <w:rPr>
      <w:rFonts w:ascii="Segoe UI" w:hAnsi="Segoe UI" w:cs="Segoe UI"/>
      <w:color w:val="000000" w:themeColor="text1"/>
      <w:sz w:val="18"/>
      <w:szCs w:val="18"/>
    </w:rPr>
  </w:style>
  <w:style w:type="paragraph" w:customStyle="1" w:styleId="paragraph">
    <w:name w:val="paragraph"/>
    <w:basedOn w:val="Normal"/>
    <w:rsid w:val="00170D6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170D69"/>
  </w:style>
  <w:style w:type="character" w:customStyle="1" w:styleId="eop">
    <w:name w:val="eop"/>
    <w:basedOn w:val="DefaultParagraphFont"/>
    <w:rsid w:val="00170D69"/>
  </w:style>
  <w:style w:type="paragraph" w:customStyle="1" w:styleId="Default">
    <w:name w:val="Default"/>
    <w:rsid w:val="0079676F"/>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8E1C72"/>
    <w:rPr>
      <w:color w:val="0563C1" w:themeColor="hyperlink"/>
      <w:u w:val="single"/>
    </w:rPr>
  </w:style>
  <w:style w:type="character" w:styleId="UnresolvedMention">
    <w:name w:val="Unresolved Mention"/>
    <w:basedOn w:val="DefaultParagraphFont"/>
    <w:uiPriority w:val="99"/>
    <w:unhideWhenUsed/>
    <w:rsid w:val="008E1C72"/>
    <w:rPr>
      <w:color w:val="605E5C"/>
      <w:shd w:val="clear" w:color="auto" w:fill="E1DFDD"/>
    </w:rPr>
  </w:style>
  <w:style w:type="character" w:styleId="CommentReference">
    <w:name w:val="annotation reference"/>
    <w:basedOn w:val="DefaultParagraphFont"/>
    <w:uiPriority w:val="99"/>
    <w:semiHidden/>
    <w:unhideWhenUsed/>
    <w:rsid w:val="0008553C"/>
    <w:rPr>
      <w:sz w:val="16"/>
      <w:szCs w:val="16"/>
    </w:rPr>
  </w:style>
  <w:style w:type="paragraph" w:styleId="CommentText">
    <w:name w:val="annotation text"/>
    <w:basedOn w:val="Normal"/>
    <w:link w:val="CommentTextChar"/>
    <w:uiPriority w:val="99"/>
    <w:unhideWhenUsed/>
    <w:rsid w:val="0008553C"/>
    <w:pPr>
      <w:spacing w:line="240" w:lineRule="auto"/>
    </w:pPr>
  </w:style>
  <w:style w:type="character" w:customStyle="1" w:styleId="CommentTextChar">
    <w:name w:val="Comment Text Char"/>
    <w:basedOn w:val="DefaultParagraphFont"/>
    <w:link w:val="CommentText"/>
    <w:uiPriority w:val="99"/>
    <w:rsid w:val="0008553C"/>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8553C"/>
    <w:rPr>
      <w:b/>
      <w:bCs/>
    </w:rPr>
  </w:style>
  <w:style w:type="character" w:customStyle="1" w:styleId="CommentSubjectChar">
    <w:name w:val="Comment Subject Char"/>
    <w:basedOn w:val="CommentTextChar"/>
    <w:link w:val="CommentSubject"/>
    <w:uiPriority w:val="99"/>
    <w:semiHidden/>
    <w:rsid w:val="0008553C"/>
    <w:rPr>
      <w:b/>
      <w:bCs/>
      <w:color w:val="000000" w:themeColor="text1"/>
      <w:sz w:val="20"/>
      <w:szCs w:val="20"/>
    </w:rPr>
  </w:style>
  <w:style w:type="paragraph" w:styleId="Quote">
    <w:name w:val="Quote"/>
    <w:aliases w:val="Quote box"/>
    <w:basedOn w:val="Normal"/>
    <w:next w:val="Normal"/>
    <w:link w:val="QuoteChar"/>
    <w:autoRedefine/>
    <w:uiPriority w:val="29"/>
    <w:qFormat/>
    <w:rsid w:val="00CD1FEB"/>
    <w:pPr>
      <w:framePr w:wrap="around" w:vAnchor="text" w:hAnchor="text" w:y="1"/>
      <w:pBdr>
        <w:top w:val="single" w:sz="8" w:space="1" w:color="8EAADB" w:themeColor="accent1" w:themeTint="99"/>
        <w:left w:val="single" w:sz="8" w:space="4" w:color="8EAADB" w:themeColor="accent1" w:themeTint="99"/>
        <w:bottom w:val="single" w:sz="8" w:space="1" w:color="8EAADB" w:themeColor="accent1" w:themeTint="99"/>
        <w:right w:val="single" w:sz="8" w:space="4" w:color="8EAADB" w:themeColor="accent1" w:themeTint="99"/>
      </w:pBdr>
      <w:shd w:val="clear" w:color="auto" w:fill="F3F6FB"/>
      <w:spacing w:after="0" w:line="240" w:lineRule="auto"/>
      <w:jc w:val="center"/>
    </w:pPr>
    <w:rPr>
      <w:iCs/>
    </w:rPr>
  </w:style>
  <w:style w:type="character" w:customStyle="1" w:styleId="QuoteChar">
    <w:name w:val="Quote Char"/>
    <w:aliases w:val="Quote box Char"/>
    <w:basedOn w:val="DefaultParagraphFont"/>
    <w:link w:val="Quote"/>
    <w:uiPriority w:val="29"/>
    <w:rsid w:val="00CD1FEB"/>
    <w:rPr>
      <w:iCs/>
      <w:color w:val="000000" w:themeColor="text1"/>
      <w:sz w:val="20"/>
      <w:szCs w:val="20"/>
      <w:shd w:val="clear" w:color="auto" w:fill="F3F6FB"/>
    </w:rPr>
  </w:style>
  <w:style w:type="character" w:styleId="Strong">
    <w:name w:val="Strong"/>
    <w:basedOn w:val="DefaultParagraphFont"/>
    <w:uiPriority w:val="22"/>
    <w:qFormat/>
    <w:rsid w:val="007A569E"/>
    <w:rPr>
      <w:b/>
      <w:bCs/>
    </w:rPr>
  </w:style>
  <w:style w:type="paragraph" w:styleId="Revision">
    <w:name w:val="Revision"/>
    <w:hidden/>
    <w:uiPriority w:val="99"/>
    <w:semiHidden/>
    <w:rsid w:val="00D61832"/>
    <w:rPr>
      <w:color w:val="000000" w:themeColor="text1"/>
      <w:sz w:val="20"/>
      <w:szCs w:val="20"/>
    </w:rPr>
  </w:style>
  <w:style w:type="character" w:customStyle="1" w:styleId="Heading6Char">
    <w:name w:val="Heading 6 Char"/>
    <w:aliases w:val="Heading 4 section sub-heading Char"/>
    <w:basedOn w:val="DefaultParagraphFont"/>
    <w:link w:val="Heading6"/>
    <w:uiPriority w:val="9"/>
    <w:rsid w:val="00E16DDE"/>
    <w:rPr>
      <w:rFonts w:ascii="Calibri" w:eastAsiaTheme="majorEastAsia" w:hAnsi="Calibri" w:cstheme="majorBidi"/>
      <w:b/>
      <w:color w:val="000000" w:themeColor="text1"/>
      <w:sz w:val="20"/>
      <w:szCs w:val="20"/>
      <w:u w:val="single"/>
    </w:rPr>
  </w:style>
  <w:style w:type="character" w:styleId="FollowedHyperlink">
    <w:name w:val="FollowedHyperlink"/>
    <w:basedOn w:val="DefaultParagraphFont"/>
    <w:uiPriority w:val="99"/>
    <w:semiHidden/>
    <w:unhideWhenUsed/>
    <w:rsid w:val="00BC5B7E"/>
    <w:rPr>
      <w:color w:val="954F72" w:themeColor="followedHyperlink"/>
      <w:u w:val="single"/>
    </w:rPr>
  </w:style>
  <w:style w:type="character" w:customStyle="1" w:styleId="Heading7Char">
    <w:name w:val="Heading 7 Char"/>
    <w:basedOn w:val="DefaultParagraphFont"/>
    <w:link w:val="Heading7"/>
    <w:uiPriority w:val="9"/>
    <w:rsid w:val="00635CB0"/>
    <w:rPr>
      <w:rFonts w:asciiTheme="majorHAnsi" w:eastAsiaTheme="majorEastAsia" w:hAnsiTheme="majorHAnsi" w:cstheme="majorBidi"/>
      <w:i/>
      <w:iCs/>
      <w:color w:val="1F3763" w:themeColor="accent1" w:themeShade="7F"/>
      <w:sz w:val="20"/>
      <w:szCs w:val="20"/>
    </w:rPr>
  </w:style>
  <w:style w:type="character" w:customStyle="1" w:styleId="ListParagraphChar">
    <w:name w:val="List Paragraph Char"/>
    <w:aliases w:val="List Paragraph1 Char,Recommendation Char,List Paragraph11 Char,Content descriptions Char,L Char,Report subheading Char,bullet point list Char,Bullet point Char,List Paragraph Number Char,Bulletr List Paragraph Char,FooterText Char"/>
    <w:basedOn w:val="DefaultParagraphFont"/>
    <w:link w:val="ListParagraph"/>
    <w:uiPriority w:val="34"/>
    <w:qFormat/>
    <w:rsid w:val="00117ED3"/>
    <w:rPr>
      <w:color w:val="000000" w:themeColor="text1"/>
      <w:sz w:val="20"/>
      <w:szCs w:val="20"/>
    </w:rPr>
  </w:style>
  <w:style w:type="paragraph" w:customStyle="1" w:styleId="Breakoutbox1body">
    <w:name w:val="Breakout box 1 body"/>
    <w:basedOn w:val="BreakoutBox1heading"/>
    <w:qFormat/>
    <w:rsid w:val="00E26023"/>
    <w:rPr>
      <w:b w:val="0"/>
    </w:rPr>
  </w:style>
  <w:style w:type="paragraph" w:styleId="ListBullet">
    <w:name w:val="List Bullet"/>
    <w:basedOn w:val="Normal"/>
    <w:uiPriority w:val="99"/>
    <w:unhideWhenUsed/>
    <w:rsid w:val="00ED4FB7"/>
    <w:pPr>
      <w:numPr>
        <w:numId w:val="6"/>
      </w:numPr>
      <w:contextualSpacing/>
    </w:pPr>
  </w:style>
  <w:style w:type="paragraph" w:customStyle="1" w:styleId="Breakoutbox2">
    <w:name w:val="Breakout box 2"/>
    <w:basedOn w:val="Normal"/>
    <w:link w:val="Breakoutbox2Char"/>
    <w:qFormat/>
    <w:rsid w:val="003A2166"/>
    <w:pPr>
      <w:pBdr>
        <w:right w:val="single" w:sz="48" w:space="4" w:color="2F5496" w:themeColor="accent1" w:themeShade="BF"/>
      </w:pBdr>
      <w:shd w:val="clear" w:color="auto" w:fill="D9E2F3" w:themeFill="accent1" w:themeFillTint="33"/>
    </w:pPr>
  </w:style>
  <w:style w:type="character" w:customStyle="1" w:styleId="Breakoutbox2Char">
    <w:name w:val="Breakout box 2 Char"/>
    <w:basedOn w:val="DefaultParagraphFont"/>
    <w:link w:val="Breakoutbox2"/>
    <w:rsid w:val="003A2166"/>
    <w:rPr>
      <w:color w:val="000000" w:themeColor="text1"/>
      <w:sz w:val="20"/>
      <w:szCs w:val="20"/>
      <w:shd w:val="clear" w:color="auto" w:fill="D9E2F3" w:themeFill="accent1" w:themeFillTint="33"/>
    </w:rPr>
  </w:style>
  <w:style w:type="paragraph" w:customStyle="1" w:styleId="Breakoutbox3">
    <w:name w:val="Breakout box 3"/>
    <w:basedOn w:val="Normal"/>
    <w:next w:val="Normal"/>
    <w:link w:val="Breakoutbox3Char"/>
    <w:qFormat/>
    <w:rsid w:val="00373BB8"/>
    <w:pPr>
      <w:shd w:val="clear" w:color="auto" w:fill="B4C6E7" w:themeFill="accent1" w:themeFillTint="66"/>
      <w:spacing w:before="120" w:after="320"/>
    </w:pPr>
  </w:style>
  <w:style w:type="character" w:customStyle="1" w:styleId="Breakoutbox3Char">
    <w:name w:val="Breakout box 3 Char"/>
    <w:basedOn w:val="DefaultParagraphFont"/>
    <w:link w:val="Breakoutbox3"/>
    <w:rsid w:val="00373BB8"/>
    <w:rPr>
      <w:color w:val="000000" w:themeColor="text1"/>
      <w:sz w:val="20"/>
      <w:szCs w:val="20"/>
      <w:shd w:val="clear" w:color="auto" w:fill="B4C6E7" w:themeFill="accent1" w:themeFillTint="66"/>
    </w:rPr>
  </w:style>
  <w:style w:type="paragraph" w:styleId="NormalWeb">
    <w:name w:val="Normal (Web)"/>
    <w:basedOn w:val="Normal"/>
    <w:uiPriority w:val="99"/>
    <w:unhideWhenUsed/>
    <w:rsid w:val="00C70D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A01">
    <w:name w:val="A0_1"/>
    <w:uiPriority w:val="99"/>
    <w:rsid w:val="008E3E0C"/>
    <w:rPr>
      <w:rFonts w:cs="Minion Pro"/>
      <w:color w:val="000000"/>
      <w:sz w:val="20"/>
      <w:szCs w:val="20"/>
    </w:rPr>
  </w:style>
  <w:style w:type="paragraph" w:styleId="FootnoteText">
    <w:name w:val="footnote text"/>
    <w:basedOn w:val="Normal"/>
    <w:link w:val="FootnoteTextChar"/>
    <w:uiPriority w:val="10"/>
    <w:semiHidden/>
    <w:unhideWhenUsed/>
    <w:rsid w:val="00F96A18"/>
    <w:pPr>
      <w:spacing w:after="0" w:line="240" w:lineRule="auto"/>
    </w:pPr>
  </w:style>
  <w:style w:type="character" w:customStyle="1" w:styleId="FootnoteTextChar">
    <w:name w:val="Footnote Text Char"/>
    <w:basedOn w:val="DefaultParagraphFont"/>
    <w:link w:val="FootnoteText"/>
    <w:uiPriority w:val="10"/>
    <w:semiHidden/>
    <w:rsid w:val="00F96A18"/>
    <w:rPr>
      <w:color w:val="000000" w:themeColor="text1"/>
      <w:sz w:val="20"/>
      <w:szCs w:val="20"/>
    </w:rPr>
  </w:style>
  <w:style w:type="character" w:styleId="FootnoteReference">
    <w:name w:val="footnote reference"/>
    <w:basedOn w:val="DefaultParagraphFont"/>
    <w:uiPriority w:val="99"/>
    <w:semiHidden/>
    <w:unhideWhenUsed/>
    <w:rsid w:val="00F96A18"/>
    <w:rPr>
      <w:vertAlign w:val="superscript"/>
    </w:rPr>
  </w:style>
  <w:style w:type="character" w:customStyle="1" w:styleId="contextualspellingandgrammarerror">
    <w:name w:val="contextualspellingandgrammarerror"/>
    <w:basedOn w:val="DefaultParagraphFont"/>
    <w:rsid w:val="007C00FE"/>
  </w:style>
  <w:style w:type="character" w:customStyle="1" w:styleId="A0">
    <w:name w:val="A0"/>
    <w:uiPriority w:val="99"/>
    <w:rsid w:val="009103D2"/>
    <w:rPr>
      <w:rFonts w:cs="Source Sans Pro Light"/>
      <w:color w:val="000000"/>
      <w:sz w:val="22"/>
      <w:szCs w:val="22"/>
    </w:rPr>
  </w:style>
  <w:style w:type="character" w:customStyle="1" w:styleId="Heading8Char">
    <w:name w:val="Heading 8 Char"/>
    <w:basedOn w:val="DefaultParagraphFont"/>
    <w:link w:val="Heading8"/>
    <w:uiPriority w:val="9"/>
    <w:rsid w:val="005E2E7B"/>
    <w:rPr>
      <w:rFonts w:asciiTheme="majorHAnsi" w:eastAsiaTheme="majorEastAsia" w:hAnsiTheme="majorHAnsi" w:cstheme="majorBidi"/>
      <w:color w:val="272727" w:themeColor="text1" w:themeTint="D8"/>
      <w:sz w:val="21"/>
      <w:szCs w:val="21"/>
    </w:rPr>
  </w:style>
  <w:style w:type="paragraph" w:styleId="Caption">
    <w:name w:val="caption"/>
    <w:basedOn w:val="Normal"/>
    <w:next w:val="Normal"/>
    <w:uiPriority w:val="35"/>
    <w:unhideWhenUsed/>
    <w:qFormat/>
    <w:rsid w:val="00327CCC"/>
    <w:pPr>
      <w:spacing w:line="240" w:lineRule="auto"/>
    </w:pPr>
    <w:rPr>
      <w:i/>
      <w:iCs/>
      <w:color w:val="44546A" w:themeColor="text2"/>
      <w:sz w:val="18"/>
      <w:szCs w:val="18"/>
    </w:rPr>
  </w:style>
  <w:style w:type="paragraph" w:styleId="ListBullet2">
    <w:name w:val="List Bullet 2"/>
    <w:basedOn w:val="Normal"/>
    <w:uiPriority w:val="99"/>
    <w:semiHidden/>
    <w:unhideWhenUsed/>
    <w:rsid w:val="0010617D"/>
    <w:pPr>
      <w:numPr>
        <w:numId w:val="14"/>
      </w:numPr>
      <w:contextualSpacing/>
    </w:pPr>
  </w:style>
  <w:style w:type="character" w:styleId="Mention">
    <w:name w:val="Mention"/>
    <w:basedOn w:val="DefaultParagraphFont"/>
    <w:uiPriority w:val="99"/>
    <w:unhideWhenUsed/>
    <w:rsid w:val="00F25487"/>
    <w:rPr>
      <w:color w:val="2B579A"/>
      <w:shd w:val="clear" w:color="auto" w:fill="E1DFDD"/>
    </w:rPr>
  </w:style>
  <w:style w:type="paragraph" w:customStyle="1" w:styleId="Sectionintro">
    <w:name w:val="Section intro"/>
    <w:basedOn w:val="Normal"/>
    <w:next w:val="Normal"/>
    <w:uiPriority w:val="2"/>
    <w:qFormat/>
    <w:rsid w:val="006F02B8"/>
    <w:pPr>
      <w:spacing w:after="360" w:line="360" w:lineRule="atLeast"/>
      <w:contextualSpacing/>
    </w:pPr>
    <w:rPr>
      <w:rFonts w:ascii="Verdana" w:hAnsi="Verdana"/>
      <w:color w:val="auto"/>
      <w:sz w:val="28"/>
      <w:szCs w:val="18"/>
    </w:rPr>
  </w:style>
  <w:style w:type="paragraph" w:customStyle="1" w:styleId="CaptionTable">
    <w:name w:val="Caption_Table"/>
    <w:basedOn w:val="Normal"/>
    <w:next w:val="Normal"/>
    <w:uiPriority w:val="4"/>
    <w:rsid w:val="006F02B8"/>
    <w:pPr>
      <w:keepNext/>
      <w:keepLines/>
      <w:spacing w:before="240" w:after="240" w:line="240" w:lineRule="atLeast"/>
      <w:ind w:left="142"/>
    </w:pPr>
    <w:rPr>
      <w:rFonts w:ascii="Verdana" w:eastAsia="Times New Roman" w:hAnsi="Verdana" w:cs="Times New Roman"/>
      <w:color w:val="70AD47" w:themeColor="accent6"/>
      <w:sz w:val="17"/>
    </w:rPr>
  </w:style>
  <w:style w:type="paragraph" w:customStyle="1" w:styleId="CaptionFigure">
    <w:name w:val="Caption_Figure"/>
    <w:basedOn w:val="Normal"/>
    <w:next w:val="Normal"/>
    <w:uiPriority w:val="4"/>
    <w:rsid w:val="006F02B8"/>
    <w:pPr>
      <w:keepNext/>
      <w:keepLines/>
      <w:spacing w:after="170" w:line="240" w:lineRule="atLeast"/>
    </w:pPr>
    <w:rPr>
      <w:rFonts w:ascii="Verdana" w:hAnsi="Verdana"/>
      <w:bCs/>
      <w:color w:val="70AD47" w:themeColor="accent6"/>
      <w:sz w:val="17"/>
      <w:szCs w:val="22"/>
    </w:rPr>
  </w:style>
  <w:style w:type="paragraph" w:customStyle="1" w:styleId="CaptionChart">
    <w:name w:val="Caption_Chart"/>
    <w:basedOn w:val="Normal"/>
    <w:next w:val="Normal"/>
    <w:uiPriority w:val="4"/>
    <w:rsid w:val="006F02B8"/>
    <w:pPr>
      <w:keepNext/>
      <w:keepLines/>
      <w:spacing w:after="170" w:line="240" w:lineRule="atLeast"/>
    </w:pPr>
    <w:rPr>
      <w:rFonts w:ascii="Verdana" w:hAnsi="Verdana"/>
      <w:color w:val="70AD47" w:themeColor="accent6"/>
      <w:sz w:val="17"/>
      <w:szCs w:val="18"/>
    </w:rPr>
  </w:style>
  <w:style w:type="paragraph" w:styleId="Closing">
    <w:name w:val="Closing"/>
    <w:basedOn w:val="Normal"/>
    <w:link w:val="ClosingChar"/>
    <w:uiPriority w:val="99"/>
    <w:semiHidden/>
    <w:rsid w:val="00B4142B"/>
    <w:pPr>
      <w:spacing w:after="170" w:line="240" w:lineRule="auto"/>
      <w:ind w:left="4252"/>
    </w:pPr>
    <w:rPr>
      <w:rFonts w:ascii="Verdana" w:hAnsi="Verdana"/>
      <w:color w:val="auto"/>
      <w:sz w:val="18"/>
      <w:szCs w:val="18"/>
    </w:rPr>
  </w:style>
  <w:style w:type="character" w:customStyle="1" w:styleId="ClosingChar">
    <w:name w:val="Closing Char"/>
    <w:basedOn w:val="DefaultParagraphFont"/>
    <w:link w:val="Closing"/>
    <w:uiPriority w:val="99"/>
    <w:semiHidden/>
    <w:rsid w:val="00B4142B"/>
    <w:rPr>
      <w:rFonts w:ascii="Verdana" w:hAnsi="Verdana"/>
      <w:sz w:val="18"/>
      <w:szCs w:val="18"/>
    </w:rPr>
  </w:style>
  <w:style w:type="character" w:customStyle="1" w:styleId="Heading9Char">
    <w:name w:val="Heading 9 Char"/>
    <w:basedOn w:val="DefaultParagraphFont"/>
    <w:link w:val="Heading9"/>
    <w:uiPriority w:val="9"/>
    <w:rsid w:val="00460F29"/>
    <w:rPr>
      <w:rFonts w:asciiTheme="majorHAnsi" w:eastAsiaTheme="majorEastAsia" w:hAnsiTheme="majorHAnsi" w:cstheme="majorBidi"/>
      <w:i/>
      <w:iCs/>
      <w:color w:val="272727" w:themeColor="text1" w:themeTint="D8"/>
      <w:sz w:val="21"/>
      <w:szCs w:val="21"/>
    </w:rPr>
  </w:style>
  <w:style w:type="table" w:customStyle="1" w:styleId="ReviewColours">
    <w:name w:val="ReviewColours"/>
    <w:basedOn w:val="TableNormal"/>
    <w:uiPriority w:val="99"/>
    <w:rsid w:val="005B504E"/>
    <w:tblPr>
      <w:tblStyleRowBandSize w:val="1"/>
    </w:tblPr>
    <w:tblStylePr w:type="band2Horz">
      <w:tblPr/>
      <w:tcPr>
        <w:shd w:val="clear" w:color="auto" w:fill="DAE3F3"/>
      </w:tcPr>
    </w:tblStylePr>
  </w:style>
  <w:style w:type="table" w:customStyle="1" w:styleId="Orange">
    <w:name w:val="Orange"/>
    <w:basedOn w:val="TableNormal"/>
    <w:uiPriority w:val="99"/>
    <w:rsid w:val="005B504E"/>
    <w:tblPr>
      <w:tblStyleRowBandSize w:val="1"/>
    </w:tblPr>
    <w:tblStylePr w:type="band2Horz">
      <w:tblPr/>
      <w:tcPr>
        <w:shd w:val="clear" w:color="auto" w:fill="F4B183"/>
      </w:tcPr>
    </w:tblStylePr>
  </w:style>
  <w:style w:type="table" w:customStyle="1" w:styleId="ITEReview">
    <w:name w:val="ITEReview"/>
    <w:basedOn w:val="TableNormal"/>
    <w:uiPriority w:val="99"/>
    <w:rsid w:val="005B504E"/>
    <w:tblPr>
      <w:tblStyleRowBandSize w:val="1"/>
    </w:tblPr>
    <w:tblStylePr w:type="firstRow">
      <w:tblPr/>
      <w:tcPr>
        <w:shd w:val="clear" w:color="auto" w:fill="203864"/>
      </w:tcPr>
    </w:tblStylePr>
    <w:tblStylePr w:type="band1Horz">
      <w:tblPr/>
      <w:tcPr>
        <w:shd w:val="clear" w:color="auto" w:fill="FFFFFF" w:themeFill="background1"/>
      </w:tcPr>
    </w:tblStylePr>
    <w:tblStylePr w:type="band2Horz">
      <w:tblPr/>
      <w:tcPr>
        <w:shd w:val="clear" w:color="auto" w:fill="DAE3F3"/>
      </w:tcPr>
    </w:tblStylePr>
  </w:style>
  <w:style w:type="paragraph" w:customStyle="1" w:styleId="Keypoints">
    <w:name w:val="Key points"/>
    <w:basedOn w:val="Normal"/>
    <w:link w:val="KeypointsChar"/>
    <w:qFormat/>
    <w:rsid w:val="00B849CC"/>
    <w:pPr>
      <w:pBdr>
        <w:top w:val="single" w:sz="12" w:space="1" w:color="2F5496" w:themeColor="accent1" w:themeShade="BF"/>
        <w:left w:val="single" w:sz="12" w:space="4" w:color="2F5496" w:themeColor="accent1" w:themeShade="BF"/>
        <w:bottom w:val="single" w:sz="12" w:space="1" w:color="2F5496" w:themeColor="accent1" w:themeShade="BF"/>
        <w:right w:val="single" w:sz="12" w:space="4" w:color="2F5496" w:themeColor="accent1" w:themeShade="BF"/>
      </w:pBdr>
    </w:pPr>
    <w:rPr>
      <w:b/>
      <w:color w:val="2F5496" w:themeColor="accent1" w:themeShade="BF"/>
    </w:rPr>
  </w:style>
  <w:style w:type="character" w:customStyle="1" w:styleId="KeypointsChar">
    <w:name w:val="Key points Char"/>
    <w:basedOn w:val="DefaultParagraphFont"/>
    <w:link w:val="Keypoints"/>
    <w:rsid w:val="00B849CC"/>
    <w:rPr>
      <w:b/>
      <w:color w:val="2F5496" w:themeColor="accent1" w:themeShade="BF"/>
      <w:sz w:val="20"/>
      <w:szCs w:val="20"/>
    </w:rPr>
  </w:style>
  <w:style w:type="paragraph" w:customStyle="1" w:styleId="Keypointshighlighted">
    <w:name w:val="Key points highlighted"/>
    <w:basedOn w:val="Keypoints"/>
    <w:link w:val="KeypointshighlightedChar"/>
    <w:qFormat/>
    <w:rsid w:val="005761B5"/>
    <w:pPr>
      <w:pBdr>
        <w:top w:val="none" w:sz="0" w:space="0" w:color="auto"/>
        <w:left w:val="single" w:sz="24" w:space="4" w:color="ED7D31" w:themeColor="accent2"/>
        <w:bottom w:val="none" w:sz="0" w:space="0" w:color="auto"/>
        <w:right w:val="none" w:sz="0" w:space="0" w:color="auto"/>
      </w:pBdr>
    </w:pPr>
    <w:rPr>
      <w:i/>
      <w:color w:val="C45911" w:themeColor="accent2" w:themeShade="BF"/>
      <w:sz w:val="24"/>
    </w:rPr>
  </w:style>
  <w:style w:type="character" w:customStyle="1" w:styleId="KeypointshighlightedChar">
    <w:name w:val="Key points highlighted Char"/>
    <w:basedOn w:val="KeypointsChar"/>
    <w:link w:val="Keypointshighlighted"/>
    <w:rsid w:val="005761B5"/>
    <w:rPr>
      <w:b/>
      <w:i/>
      <w:color w:val="C45911" w:themeColor="accent2" w:themeShade="BF"/>
      <w:sz w:val="20"/>
      <w:szCs w:val="20"/>
    </w:rPr>
  </w:style>
  <w:style w:type="character" w:customStyle="1" w:styleId="findhit">
    <w:name w:val="findhit"/>
    <w:basedOn w:val="DefaultParagraphFont"/>
    <w:rsid w:val="001929AB"/>
  </w:style>
  <w:style w:type="paragraph" w:customStyle="1" w:styleId="ECPoint">
    <w:name w:val="EC Point"/>
    <w:link w:val="ECPointChar"/>
    <w:qFormat/>
    <w:rsid w:val="00AC1B4A"/>
    <w:pPr>
      <w:numPr>
        <w:numId w:val="28"/>
      </w:numPr>
      <w:spacing w:after="120"/>
    </w:pPr>
    <w:rPr>
      <w:rFonts w:cs="Times New Roman"/>
      <w:sz w:val="22"/>
    </w:rPr>
  </w:style>
  <w:style w:type="character" w:customStyle="1" w:styleId="ECPointChar">
    <w:name w:val="EC Point Char"/>
    <w:basedOn w:val="DefaultParagraphFont"/>
    <w:link w:val="ECPoint"/>
    <w:rsid w:val="00AC1B4A"/>
    <w:rPr>
      <w:rFonts w:cs="Times New Roman"/>
      <w:sz w:val="22"/>
    </w:rPr>
  </w:style>
  <w:style w:type="character" w:styleId="Emphasis">
    <w:name w:val="Emphasis"/>
    <w:basedOn w:val="DefaultParagraphFont"/>
    <w:uiPriority w:val="20"/>
    <w:qFormat/>
    <w:rsid w:val="00F51212"/>
    <w:rPr>
      <w:i/>
      <w:iCs/>
    </w:rPr>
  </w:style>
  <w:style w:type="character" w:customStyle="1" w:styleId="page-headercitation-item-label">
    <w:name w:val="page-header__citation-item-label"/>
    <w:basedOn w:val="DefaultParagraphFont"/>
    <w:rsid w:val="00F51212"/>
  </w:style>
  <w:style w:type="paragraph" w:styleId="TOCHeading">
    <w:name w:val="TOC Heading"/>
    <w:basedOn w:val="Heading1"/>
    <w:next w:val="Normal"/>
    <w:uiPriority w:val="39"/>
    <w:unhideWhenUsed/>
    <w:qFormat/>
    <w:rsid w:val="00E247D6"/>
    <w:pPr>
      <w:keepNext/>
      <w:keepLines/>
      <w:spacing w:after="0" w:line="259" w:lineRule="auto"/>
      <w:outlineLvl w:val="9"/>
    </w:pPr>
    <w:rPr>
      <w:rFonts w:asciiTheme="majorHAnsi" w:eastAsiaTheme="majorEastAsia" w:hAnsiTheme="majorHAnsi" w:cstheme="majorBidi"/>
      <w:b w:val="0"/>
      <w:bCs w:val="0"/>
      <w:sz w:val="32"/>
      <w:lang w:val="en-US"/>
      <w14:textFill>
        <w14:solidFill>
          <w14:schemeClr w14:val="accent1">
            <w14:lumMod w14:val="75000"/>
            <w14:lumMod w14:val="75000"/>
            <w14:lumMod w14:val="50000"/>
            <w14:lumMod w14:val="75000"/>
            <w14:lumOff w14:val="25000"/>
          </w14:schemeClr>
        </w14:solidFill>
      </w14:textFill>
    </w:rPr>
  </w:style>
  <w:style w:type="paragraph" w:styleId="TOC1">
    <w:name w:val="toc 1"/>
    <w:basedOn w:val="Normal"/>
    <w:next w:val="Normal"/>
    <w:autoRedefine/>
    <w:uiPriority w:val="39"/>
    <w:unhideWhenUsed/>
    <w:rsid w:val="002A2821"/>
    <w:pPr>
      <w:spacing w:before="240" w:after="120"/>
    </w:pPr>
    <w:rPr>
      <w:rFonts w:cstheme="minorHAnsi"/>
      <w:b/>
      <w:bCs/>
    </w:rPr>
  </w:style>
  <w:style w:type="paragraph" w:styleId="TOC2">
    <w:name w:val="toc 2"/>
    <w:basedOn w:val="Normal"/>
    <w:next w:val="Normal"/>
    <w:autoRedefine/>
    <w:uiPriority w:val="39"/>
    <w:unhideWhenUsed/>
    <w:rsid w:val="002A2821"/>
    <w:pPr>
      <w:spacing w:before="120" w:after="0"/>
      <w:ind w:left="200"/>
    </w:pPr>
    <w:rPr>
      <w:rFonts w:cstheme="minorHAnsi"/>
      <w:i/>
      <w:iCs/>
    </w:rPr>
  </w:style>
  <w:style w:type="paragraph" w:styleId="TOC3">
    <w:name w:val="toc 3"/>
    <w:basedOn w:val="Normal"/>
    <w:next w:val="Normal"/>
    <w:autoRedefine/>
    <w:uiPriority w:val="39"/>
    <w:unhideWhenUsed/>
    <w:rsid w:val="002A2821"/>
    <w:pPr>
      <w:spacing w:after="0"/>
      <w:ind w:left="400"/>
    </w:pPr>
    <w:rPr>
      <w:rFonts w:cstheme="minorHAnsi"/>
    </w:rPr>
  </w:style>
  <w:style w:type="paragraph" w:styleId="TOC4">
    <w:name w:val="toc 4"/>
    <w:basedOn w:val="Normal"/>
    <w:next w:val="Normal"/>
    <w:autoRedefine/>
    <w:uiPriority w:val="39"/>
    <w:unhideWhenUsed/>
    <w:rsid w:val="002A2821"/>
    <w:pPr>
      <w:spacing w:after="0"/>
      <w:ind w:left="600"/>
    </w:pPr>
    <w:rPr>
      <w:rFonts w:cstheme="minorHAnsi"/>
    </w:rPr>
  </w:style>
  <w:style w:type="paragraph" w:styleId="TOC5">
    <w:name w:val="toc 5"/>
    <w:basedOn w:val="Normal"/>
    <w:next w:val="Normal"/>
    <w:autoRedefine/>
    <w:uiPriority w:val="39"/>
    <w:unhideWhenUsed/>
    <w:rsid w:val="002A2821"/>
    <w:pPr>
      <w:spacing w:after="0"/>
      <w:ind w:left="800"/>
    </w:pPr>
    <w:rPr>
      <w:rFonts w:cstheme="minorHAnsi"/>
    </w:rPr>
  </w:style>
  <w:style w:type="paragraph" w:styleId="TOC6">
    <w:name w:val="toc 6"/>
    <w:basedOn w:val="Normal"/>
    <w:next w:val="Normal"/>
    <w:autoRedefine/>
    <w:uiPriority w:val="39"/>
    <w:unhideWhenUsed/>
    <w:rsid w:val="002A2821"/>
    <w:pPr>
      <w:spacing w:after="0"/>
      <w:ind w:left="1000"/>
    </w:pPr>
    <w:rPr>
      <w:rFonts w:cstheme="minorHAnsi"/>
    </w:rPr>
  </w:style>
  <w:style w:type="paragraph" w:styleId="TOC7">
    <w:name w:val="toc 7"/>
    <w:basedOn w:val="Normal"/>
    <w:next w:val="Normal"/>
    <w:autoRedefine/>
    <w:uiPriority w:val="39"/>
    <w:unhideWhenUsed/>
    <w:rsid w:val="002A2821"/>
    <w:pPr>
      <w:spacing w:after="0"/>
      <w:ind w:left="1200"/>
    </w:pPr>
    <w:rPr>
      <w:rFonts w:cstheme="minorHAnsi"/>
    </w:rPr>
  </w:style>
  <w:style w:type="paragraph" w:styleId="TOC8">
    <w:name w:val="toc 8"/>
    <w:basedOn w:val="Normal"/>
    <w:next w:val="Normal"/>
    <w:autoRedefine/>
    <w:uiPriority w:val="39"/>
    <w:unhideWhenUsed/>
    <w:rsid w:val="002A2821"/>
    <w:pPr>
      <w:spacing w:after="0"/>
      <w:ind w:left="1400"/>
    </w:pPr>
    <w:rPr>
      <w:rFonts w:cstheme="minorHAnsi"/>
    </w:rPr>
  </w:style>
  <w:style w:type="paragraph" w:styleId="TOC9">
    <w:name w:val="toc 9"/>
    <w:basedOn w:val="Normal"/>
    <w:next w:val="Normal"/>
    <w:autoRedefine/>
    <w:uiPriority w:val="39"/>
    <w:unhideWhenUsed/>
    <w:rsid w:val="002A2821"/>
    <w:pPr>
      <w:spacing w:after="0"/>
      <w:ind w:left="1600"/>
    </w:pPr>
    <w:rPr>
      <w:rFonts w:cstheme="minorHAnsi"/>
    </w:rPr>
  </w:style>
  <w:style w:type="table" w:customStyle="1" w:styleId="TableGrid1">
    <w:name w:val="Table Grid1"/>
    <w:basedOn w:val="TableNormal"/>
    <w:next w:val="TableGrid"/>
    <w:uiPriority w:val="39"/>
    <w:rsid w:val="00451EC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8077">
      <w:bodyDiv w:val="1"/>
      <w:marLeft w:val="0"/>
      <w:marRight w:val="0"/>
      <w:marTop w:val="0"/>
      <w:marBottom w:val="0"/>
      <w:divBdr>
        <w:top w:val="none" w:sz="0" w:space="0" w:color="auto"/>
        <w:left w:val="none" w:sz="0" w:space="0" w:color="auto"/>
        <w:bottom w:val="none" w:sz="0" w:space="0" w:color="auto"/>
        <w:right w:val="none" w:sz="0" w:space="0" w:color="auto"/>
      </w:divBdr>
      <w:divsChild>
        <w:div w:id="1481581062">
          <w:marLeft w:val="0"/>
          <w:marRight w:val="0"/>
          <w:marTop w:val="0"/>
          <w:marBottom w:val="0"/>
          <w:divBdr>
            <w:top w:val="none" w:sz="0" w:space="0" w:color="auto"/>
            <w:left w:val="none" w:sz="0" w:space="0" w:color="auto"/>
            <w:bottom w:val="none" w:sz="0" w:space="0" w:color="auto"/>
            <w:right w:val="none" w:sz="0" w:space="0" w:color="auto"/>
          </w:divBdr>
          <w:divsChild>
            <w:div w:id="305401429">
              <w:marLeft w:val="210"/>
              <w:marRight w:val="0"/>
              <w:marTop w:val="120"/>
              <w:marBottom w:val="0"/>
              <w:divBdr>
                <w:top w:val="none" w:sz="0" w:space="0" w:color="auto"/>
                <w:left w:val="none" w:sz="0" w:space="0" w:color="auto"/>
                <w:bottom w:val="none" w:sz="0" w:space="0" w:color="auto"/>
                <w:right w:val="none" w:sz="0" w:space="0" w:color="auto"/>
              </w:divBdr>
              <w:divsChild>
                <w:div w:id="67046014">
                  <w:marLeft w:val="0"/>
                  <w:marRight w:val="0"/>
                  <w:marTop w:val="0"/>
                  <w:marBottom w:val="0"/>
                  <w:divBdr>
                    <w:top w:val="none" w:sz="0" w:space="0" w:color="auto"/>
                    <w:left w:val="none" w:sz="0" w:space="0" w:color="auto"/>
                    <w:bottom w:val="none" w:sz="0" w:space="0" w:color="auto"/>
                    <w:right w:val="none" w:sz="0" w:space="0" w:color="auto"/>
                  </w:divBdr>
                  <w:divsChild>
                    <w:div w:id="10743501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848402264">
          <w:marLeft w:val="0"/>
          <w:marRight w:val="0"/>
          <w:marTop w:val="0"/>
          <w:marBottom w:val="0"/>
          <w:divBdr>
            <w:top w:val="none" w:sz="0" w:space="0" w:color="auto"/>
            <w:left w:val="none" w:sz="0" w:space="0" w:color="auto"/>
            <w:bottom w:val="none" w:sz="0" w:space="0" w:color="auto"/>
            <w:right w:val="none" w:sz="0" w:space="0" w:color="auto"/>
          </w:divBdr>
          <w:divsChild>
            <w:div w:id="1144008340">
              <w:marLeft w:val="0"/>
              <w:marRight w:val="0"/>
              <w:marTop w:val="0"/>
              <w:marBottom w:val="0"/>
              <w:divBdr>
                <w:top w:val="none" w:sz="0" w:space="0" w:color="auto"/>
                <w:left w:val="none" w:sz="0" w:space="0" w:color="auto"/>
                <w:bottom w:val="none" w:sz="0" w:space="0" w:color="auto"/>
                <w:right w:val="none" w:sz="0" w:space="0" w:color="auto"/>
              </w:divBdr>
              <w:divsChild>
                <w:div w:id="900557480">
                  <w:marLeft w:val="0"/>
                  <w:marRight w:val="0"/>
                  <w:marTop w:val="0"/>
                  <w:marBottom w:val="0"/>
                  <w:divBdr>
                    <w:top w:val="none" w:sz="0" w:space="0" w:color="auto"/>
                    <w:left w:val="none" w:sz="0" w:space="0" w:color="auto"/>
                    <w:bottom w:val="none" w:sz="0" w:space="0" w:color="auto"/>
                    <w:right w:val="none" w:sz="0" w:space="0" w:color="auto"/>
                  </w:divBdr>
                  <w:divsChild>
                    <w:div w:id="931472952">
                      <w:marLeft w:val="30"/>
                      <w:marRight w:val="30"/>
                      <w:marTop w:val="30"/>
                      <w:marBottom w:val="0"/>
                      <w:divBdr>
                        <w:top w:val="none" w:sz="0" w:space="0" w:color="auto"/>
                        <w:left w:val="none" w:sz="0" w:space="0" w:color="auto"/>
                        <w:bottom w:val="none" w:sz="0" w:space="0" w:color="auto"/>
                        <w:right w:val="none" w:sz="0" w:space="0" w:color="auto"/>
                      </w:divBdr>
                      <w:divsChild>
                        <w:div w:id="1807121708">
                          <w:marLeft w:val="210"/>
                          <w:marRight w:val="210"/>
                          <w:marTop w:val="0"/>
                          <w:marBottom w:val="30"/>
                          <w:divBdr>
                            <w:top w:val="none" w:sz="0" w:space="0" w:color="auto"/>
                            <w:left w:val="none" w:sz="0" w:space="0" w:color="auto"/>
                            <w:bottom w:val="none" w:sz="0" w:space="0" w:color="auto"/>
                            <w:right w:val="none" w:sz="0" w:space="0" w:color="auto"/>
                          </w:divBdr>
                          <w:divsChild>
                            <w:div w:id="422383940">
                              <w:marLeft w:val="45"/>
                              <w:marRight w:val="0"/>
                              <w:marTop w:val="0"/>
                              <w:marBottom w:val="0"/>
                              <w:divBdr>
                                <w:top w:val="none" w:sz="0" w:space="0" w:color="auto"/>
                                <w:left w:val="none" w:sz="0" w:space="0" w:color="auto"/>
                                <w:bottom w:val="none" w:sz="0" w:space="0" w:color="auto"/>
                                <w:right w:val="none" w:sz="0" w:space="0" w:color="auto"/>
                              </w:divBdr>
                            </w:div>
                            <w:div w:id="1614823185">
                              <w:marLeft w:val="0"/>
                              <w:marRight w:val="30"/>
                              <w:marTop w:val="0"/>
                              <w:marBottom w:val="0"/>
                              <w:divBdr>
                                <w:top w:val="none" w:sz="0" w:space="0" w:color="auto"/>
                                <w:left w:val="none" w:sz="0" w:space="0" w:color="auto"/>
                                <w:bottom w:val="none" w:sz="0" w:space="0" w:color="auto"/>
                                <w:right w:val="none" w:sz="0" w:space="0" w:color="auto"/>
                              </w:divBdr>
                              <w:divsChild>
                                <w:div w:id="117073276">
                                  <w:marLeft w:val="0"/>
                                  <w:marRight w:val="0"/>
                                  <w:marTop w:val="0"/>
                                  <w:marBottom w:val="0"/>
                                  <w:divBdr>
                                    <w:top w:val="none" w:sz="0" w:space="0" w:color="auto"/>
                                    <w:left w:val="none" w:sz="0" w:space="0" w:color="auto"/>
                                    <w:bottom w:val="none" w:sz="0" w:space="0" w:color="auto"/>
                                    <w:right w:val="none" w:sz="0" w:space="0" w:color="auto"/>
                                  </w:divBdr>
                                  <w:divsChild>
                                    <w:div w:id="422069196">
                                      <w:marLeft w:val="0"/>
                                      <w:marRight w:val="0"/>
                                      <w:marTop w:val="0"/>
                                      <w:marBottom w:val="0"/>
                                      <w:divBdr>
                                        <w:top w:val="none" w:sz="0" w:space="0" w:color="auto"/>
                                        <w:left w:val="none" w:sz="0" w:space="0" w:color="auto"/>
                                        <w:bottom w:val="none" w:sz="0" w:space="0" w:color="auto"/>
                                        <w:right w:val="none" w:sz="0" w:space="0" w:color="auto"/>
                                      </w:divBdr>
                                      <w:divsChild>
                                        <w:div w:id="13472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651122">
                      <w:marLeft w:val="30"/>
                      <w:marRight w:val="30"/>
                      <w:marTop w:val="0"/>
                      <w:marBottom w:val="0"/>
                      <w:divBdr>
                        <w:top w:val="none" w:sz="0" w:space="0" w:color="auto"/>
                        <w:left w:val="none" w:sz="0" w:space="0" w:color="auto"/>
                        <w:bottom w:val="none" w:sz="0" w:space="0" w:color="auto"/>
                        <w:right w:val="none" w:sz="0" w:space="0" w:color="auto"/>
                      </w:divBdr>
                      <w:divsChild>
                        <w:div w:id="397869418">
                          <w:marLeft w:val="135"/>
                          <w:marRight w:val="45"/>
                          <w:marTop w:val="60"/>
                          <w:marBottom w:val="60"/>
                          <w:divBdr>
                            <w:top w:val="none" w:sz="0" w:space="0" w:color="auto"/>
                            <w:left w:val="none" w:sz="0" w:space="0" w:color="auto"/>
                            <w:bottom w:val="none" w:sz="0" w:space="0" w:color="auto"/>
                            <w:right w:val="none" w:sz="0" w:space="0" w:color="auto"/>
                          </w:divBdr>
                          <w:divsChild>
                            <w:div w:id="250430439">
                              <w:marLeft w:val="0"/>
                              <w:marRight w:val="0"/>
                              <w:marTop w:val="0"/>
                              <w:marBottom w:val="0"/>
                              <w:divBdr>
                                <w:top w:val="none" w:sz="0" w:space="0" w:color="auto"/>
                                <w:left w:val="none" w:sz="0" w:space="0" w:color="auto"/>
                                <w:bottom w:val="none" w:sz="0" w:space="0" w:color="auto"/>
                                <w:right w:val="none" w:sz="0" w:space="0" w:color="auto"/>
                              </w:divBdr>
                              <w:divsChild>
                                <w:div w:id="968362528">
                                  <w:marLeft w:val="0"/>
                                  <w:marRight w:val="0"/>
                                  <w:marTop w:val="0"/>
                                  <w:marBottom w:val="0"/>
                                  <w:divBdr>
                                    <w:top w:val="none" w:sz="0" w:space="0" w:color="auto"/>
                                    <w:left w:val="none" w:sz="0" w:space="0" w:color="auto"/>
                                    <w:bottom w:val="none" w:sz="0" w:space="0" w:color="auto"/>
                                    <w:right w:val="none" w:sz="0" w:space="0" w:color="auto"/>
                                  </w:divBdr>
                                </w:div>
                                <w:div w:id="18497545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95665286">
                          <w:marLeft w:val="0"/>
                          <w:marRight w:val="90"/>
                          <w:marTop w:val="90"/>
                          <w:marBottom w:val="30"/>
                          <w:divBdr>
                            <w:top w:val="none" w:sz="0" w:space="0" w:color="auto"/>
                            <w:left w:val="none" w:sz="0" w:space="0" w:color="auto"/>
                            <w:bottom w:val="none" w:sz="0" w:space="0" w:color="auto"/>
                            <w:right w:val="none" w:sz="0" w:space="0" w:color="auto"/>
                          </w:divBdr>
                          <w:divsChild>
                            <w:div w:id="420180147">
                              <w:marLeft w:val="0"/>
                              <w:marRight w:val="30"/>
                              <w:marTop w:val="0"/>
                              <w:marBottom w:val="0"/>
                              <w:divBdr>
                                <w:top w:val="none" w:sz="0" w:space="0" w:color="auto"/>
                                <w:left w:val="none" w:sz="0" w:space="0" w:color="auto"/>
                                <w:bottom w:val="none" w:sz="0" w:space="0" w:color="auto"/>
                                <w:right w:val="none" w:sz="0" w:space="0" w:color="auto"/>
                              </w:divBdr>
                              <w:divsChild>
                                <w:div w:id="266928279">
                                  <w:marLeft w:val="0"/>
                                  <w:marRight w:val="0"/>
                                  <w:marTop w:val="0"/>
                                  <w:marBottom w:val="0"/>
                                  <w:divBdr>
                                    <w:top w:val="none" w:sz="0" w:space="0" w:color="auto"/>
                                    <w:left w:val="none" w:sz="0" w:space="0" w:color="auto"/>
                                    <w:bottom w:val="none" w:sz="0" w:space="0" w:color="auto"/>
                                    <w:right w:val="none" w:sz="0" w:space="0" w:color="auto"/>
                                  </w:divBdr>
                                  <w:divsChild>
                                    <w:div w:id="1543714343">
                                      <w:marLeft w:val="0"/>
                                      <w:marRight w:val="0"/>
                                      <w:marTop w:val="0"/>
                                      <w:marBottom w:val="0"/>
                                      <w:divBdr>
                                        <w:top w:val="none" w:sz="0" w:space="0" w:color="auto"/>
                                        <w:left w:val="none" w:sz="0" w:space="0" w:color="auto"/>
                                        <w:bottom w:val="none" w:sz="0" w:space="0" w:color="auto"/>
                                        <w:right w:val="none" w:sz="0" w:space="0" w:color="auto"/>
                                      </w:divBdr>
                                      <w:divsChild>
                                        <w:div w:id="18027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4899">
                              <w:marLeft w:val="0"/>
                              <w:marRight w:val="0"/>
                              <w:marTop w:val="0"/>
                              <w:marBottom w:val="0"/>
                              <w:divBdr>
                                <w:top w:val="none" w:sz="0" w:space="0" w:color="auto"/>
                                <w:left w:val="none" w:sz="0" w:space="0" w:color="auto"/>
                                <w:bottom w:val="none" w:sz="0" w:space="0" w:color="auto"/>
                                <w:right w:val="none" w:sz="0" w:space="0" w:color="auto"/>
                              </w:divBdr>
                              <w:divsChild>
                                <w:div w:id="236402329">
                                  <w:marLeft w:val="0"/>
                                  <w:marRight w:val="0"/>
                                  <w:marTop w:val="0"/>
                                  <w:marBottom w:val="0"/>
                                  <w:divBdr>
                                    <w:top w:val="none" w:sz="0" w:space="0" w:color="auto"/>
                                    <w:left w:val="none" w:sz="0" w:space="0" w:color="auto"/>
                                    <w:bottom w:val="none" w:sz="0" w:space="0" w:color="auto"/>
                                    <w:right w:val="none" w:sz="0" w:space="0" w:color="auto"/>
                                  </w:divBdr>
                                  <w:divsChild>
                                    <w:div w:id="914752192">
                                      <w:marLeft w:val="-15"/>
                                      <w:marRight w:val="-15"/>
                                      <w:marTop w:val="0"/>
                                      <w:marBottom w:val="0"/>
                                      <w:divBdr>
                                        <w:top w:val="none" w:sz="0" w:space="0" w:color="auto"/>
                                        <w:left w:val="none" w:sz="0" w:space="0" w:color="auto"/>
                                        <w:bottom w:val="none" w:sz="0" w:space="0" w:color="auto"/>
                                        <w:right w:val="none" w:sz="0" w:space="0" w:color="auto"/>
                                      </w:divBdr>
                                    </w:div>
                                  </w:divsChild>
                                </w:div>
                                <w:div w:id="108469267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8628">
      <w:bodyDiv w:val="1"/>
      <w:marLeft w:val="0"/>
      <w:marRight w:val="0"/>
      <w:marTop w:val="0"/>
      <w:marBottom w:val="0"/>
      <w:divBdr>
        <w:top w:val="none" w:sz="0" w:space="0" w:color="auto"/>
        <w:left w:val="none" w:sz="0" w:space="0" w:color="auto"/>
        <w:bottom w:val="none" w:sz="0" w:space="0" w:color="auto"/>
        <w:right w:val="none" w:sz="0" w:space="0" w:color="auto"/>
      </w:divBdr>
    </w:div>
    <w:div w:id="60253280">
      <w:bodyDiv w:val="1"/>
      <w:marLeft w:val="0"/>
      <w:marRight w:val="0"/>
      <w:marTop w:val="0"/>
      <w:marBottom w:val="0"/>
      <w:divBdr>
        <w:top w:val="none" w:sz="0" w:space="0" w:color="auto"/>
        <w:left w:val="none" w:sz="0" w:space="0" w:color="auto"/>
        <w:bottom w:val="none" w:sz="0" w:space="0" w:color="auto"/>
        <w:right w:val="none" w:sz="0" w:space="0" w:color="auto"/>
      </w:divBdr>
      <w:divsChild>
        <w:div w:id="1809128650">
          <w:marLeft w:val="0"/>
          <w:marRight w:val="30"/>
          <w:marTop w:val="0"/>
          <w:marBottom w:val="0"/>
          <w:divBdr>
            <w:top w:val="none" w:sz="0" w:space="0" w:color="auto"/>
            <w:left w:val="none" w:sz="0" w:space="0" w:color="auto"/>
            <w:bottom w:val="none" w:sz="0" w:space="0" w:color="auto"/>
            <w:right w:val="none" w:sz="0" w:space="0" w:color="auto"/>
          </w:divBdr>
          <w:divsChild>
            <w:div w:id="872692566">
              <w:marLeft w:val="0"/>
              <w:marRight w:val="0"/>
              <w:marTop w:val="0"/>
              <w:marBottom w:val="0"/>
              <w:divBdr>
                <w:top w:val="none" w:sz="0" w:space="0" w:color="auto"/>
                <w:left w:val="none" w:sz="0" w:space="0" w:color="auto"/>
                <w:bottom w:val="none" w:sz="0" w:space="0" w:color="auto"/>
                <w:right w:val="none" w:sz="0" w:space="0" w:color="auto"/>
              </w:divBdr>
              <w:divsChild>
                <w:div w:id="255329038">
                  <w:marLeft w:val="0"/>
                  <w:marRight w:val="0"/>
                  <w:marTop w:val="0"/>
                  <w:marBottom w:val="0"/>
                  <w:divBdr>
                    <w:top w:val="none" w:sz="0" w:space="0" w:color="auto"/>
                    <w:left w:val="none" w:sz="0" w:space="0" w:color="auto"/>
                    <w:bottom w:val="none" w:sz="0" w:space="0" w:color="auto"/>
                    <w:right w:val="none" w:sz="0" w:space="0" w:color="auto"/>
                  </w:divBdr>
                  <w:divsChild>
                    <w:div w:id="5928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1267">
      <w:bodyDiv w:val="1"/>
      <w:marLeft w:val="0"/>
      <w:marRight w:val="0"/>
      <w:marTop w:val="0"/>
      <w:marBottom w:val="0"/>
      <w:divBdr>
        <w:top w:val="none" w:sz="0" w:space="0" w:color="auto"/>
        <w:left w:val="none" w:sz="0" w:space="0" w:color="auto"/>
        <w:bottom w:val="none" w:sz="0" w:space="0" w:color="auto"/>
        <w:right w:val="none" w:sz="0" w:space="0" w:color="auto"/>
      </w:divBdr>
    </w:div>
    <w:div w:id="100492807">
      <w:bodyDiv w:val="1"/>
      <w:marLeft w:val="0"/>
      <w:marRight w:val="0"/>
      <w:marTop w:val="0"/>
      <w:marBottom w:val="0"/>
      <w:divBdr>
        <w:top w:val="none" w:sz="0" w:space="0" w:color="auto"/>
        <w:left w:val="none" w:sz="0" w:space="0" w:color="auto"/>
        <w:bottom w:val="none" w:sz="0" w:space="0" w:color="auto"/>
        <w:right w:val="none" w:sz="0" w:space="0" w:color="auto"/>
      </w:divBdr>
    </w:div>
    <w:div w:id="109477139">
      <w:bodyDiv w:val="1"/>
      <w:marLeft w:val="0"/>
      <w:marRight w:val="0"/>
      <w:marTop w:val="0"/>
      <w:marBottom w:val="0"/>
      <w:divBdr>
        <w:top w:val="none" w:sz="0" w:space="0" w:color="auto"/>
        <w:left w:val="none" w:sz="0" w:space="0" w:color="auto"/>
        <w:bottom w:val="none" w:sz="0" w:space="0" w:color="auto"/>
        <w:right w:val="none" w:sz="0" w:space="0" w:color="auto"/>
      </w:divBdr>
    </w:div>
    <w:div w:id="113252025">
      <w:bodyDiv w:val="1"/>
      <w:marLeft w:val="0"/>
      <w:marRight w:val="0"/>
      <w:marTop w:val="0"/>
      <w:marBottom w:val="0"/>
      <w:divBdr>
        <w:top w:val="none" w:sz="0" w:space="0" w:color="auto"/>
        <w:left w:val="none" w:sz="0" w:space="0" w:color="auto"/>
        <w:bottom w:val="none" w:sz="0" w:space="0" w:color="auto"/>
        <w:right w:val="none" w:sz="0" w:space="0" w:color="auto"/>
      </w:divBdr>
    </w:div>
    <w:div w:id="212815729">
      <w:bodyDiv w:val="1"/>
      <w:marLeft w:val="0"/>
      <w:marRight w:val="0"/>
      <w:marTop w:val="0"/>
      <w:marBottom w:val="0"/>
      <w:divBdr>
        <w:top w:val="none" w:sz="0" w:space="0" w:color="auto"/>
        <w:left w:val="none" w:sz="0" w:space="0" w:color="auto"/>
        <w:bottom w:val="none" w:sz="0" w:space="0" w:color="auto"/>
        <w:right w:val="none" w:sz="0" w:space="0" w:color="auto"/>
      </w:divBdr>
    </w:div>
    <w:div w:id="219021503">
      <w:bodyDiv w:val="1"/>
      <w:marLeft w:val="0"/>
      <w:marRight w:val="0"/>
      <w:marTop w:val="0"/>
      <w:marBottom w:val="0"/>
      <w:divBdr>
        <w:top w:val="none" w:sz="0" w:space="0" w:color="auto"/>
        <w:left w:val="none" w:sz="0" w:space="0" w:color="auto"/>
        <w:bottom w:val="none" w:sz="0" w:space="0" w:color="auto"/>
        <w:right w:val="none" w:sz="0" w:space="0" w:color="auto"/>
      </w:divBdr>
    </w:div>
    <w:div w:id="221715605">
      <w:bodyDiv w:val="1"/>
      <w:marLeft w:val="0"/>
      <w:marRight w:val="0"/>
      <w:marTop w:val="0"/>
      <w:marBottom w:val="0"/>
      <w:divBdr>
        <w:top w:val="none" w:sz="0" w:space="0" w:color="auto"/>
        <w:left w:val="none" w:sz="0" w:space="0" w:color="auto"/>
        <w:bottom w:val="none" w:sz="0" w:space="0" w:color="auto"/>
        <w:right w:val="none" w:sz="0" w:space="0" w:color="auto"/>
      </w:divBdr>
    </w:div>
    <w:div w:id="301428825">
      <w:bodyDiv w:val="1"/>
      <w:marLeft w:val="0"/>
      <w:marRight w:val="0"/>
      <w:marTop w:val="0"/>
      <w:marBottom w:val="0"/>
      <w:divBdr>
        <w:top w:val="none" w:sz="0" w:space="0" w:color="auto"/>
        <w:left w:val="none" w:sz="0" w:space="0" w:color="auto"/>
        <w:bottom w:val="none" w:sz="0" w:space="0" w:color="auto"/>
        <w:right w:val="none" w:sz="0" w:space="0" w:color="auto"/>
      </w:divBdr>
    </w:div>
    <w:div w:id="317729296">
      <w:bodyDiv w:val="1"/>
      <w:marLeft w:val="0"/>
      <w:marRight w:val="0"/>
      <w:marTop w:val="0"/>
      <w:marBottom w:val="0"/>
      <w:divBdr>
        <w:top w:val="none" w:sz="0" w:space="0" w:color="auto"/>
        <w:left w:val="none" w:sz="0" w:space="0" w:color="auto"/>
        <w:bottom w:val="none" w:sz="0" w:space="0" w:color="auto"/>
        <w:right w:val="none" w:sz="0" w:space="0" w:color="auto"/>
      </w:divBdr>
      <w:divsChild>
        <w:div w:id="140004370">
          <w:marLeft w:val="0"/>
          <w:marRight w:val="0"/>
          <w:marTop w:val="0"/>
          <w:marBottom w:val="0"/>
          <w:divBdr>
            <w:top w:val="none" w:sz="0" w:space="0" w:color="auto"/>
            <w:left w:val="none" w:sz="0" w:space="0" w:color="auto"/>
            <w:bottom w:val="none" w:sz="0" w:space="0" w:color="auto"/>
            <w:right w:val="none" w:sz="0" w:space="0" w:color="auto"/>
          </w:divBdr>
          <w:divsChild>
            <w:div w:id="141041820">
              <w:marLeft w:val="0"/>
              <w:marRight w:val="0"/>
              <w:marTop w:val="0"/>
              <w:marBottom w:val="0"/>
              <w:divBdr>
                <w:top w:val="none" w:sz="0" w:space="0" w:color="auto"/>
                <w:left w:val="none" w:sz="0" w:space="0" w:color="auto"/>
                <w:bottom w:val="none" w:sz="0" w:space="0" w:color="auto"/>
                <w:right w:val="none" w:sz="0" w:space="0" w:color="auto"/>
              </w:divBdr>
              <w:divsChild>
                <w:div w:id="1630017307">
                  <w:marLeft w:val="0"/>
                  <w:marRight w:val="0"/>
                  <w:marTop w:val="0"/>
                  <w:marBottom w:val="0"/>
                  <w:divBdr>
                    <w:top w:val="none" w:sz="0" w:space="0" w:color="auto"/>
                    <w:left w:val="none" w:sz="0" w:space="0" w:color="auto"/>
                    <w:bottom w:val="none" w:sz="0" w:space="0" w:color="auto"/>
                    <w:right w:val="none" w:sz="0" w:space="0" w:color="auto"/>
                  </w:divBdr>
                  <w:divsChild>
                    <w:div w:id="770466575">
                      <w:marLeft w:val="0"/>
                      <w:marRight w:val="0"/>
                      <w:marTop w:val="0"/>
                      <w:marBottom w:val="0"/>
                      <w:divBdr>
                        <w:top w:val="none" w:sz="0" w:space="0" w:color="auto"/>
                        <w:left w:val="none" w:sz="0" w:space="0" w:color="auto"/>
                        <w:bottom w:val="none" w:sz="0" w:space="0" w:color="auto"/>
                        <w:right w:val="none" w:sz="0" w:space="0" w:color="auto"/>
                      </w:divBdr>
                      <w:divsChild>
                        <w:div w:id="162858809">
                          <w:marLeft w:val="0"/>
                          <w:marRight w:val="0"/>
                          <w:marTop w:val="0"/>
                          <w:marBottom w:val="0"/>
                          <w:divBdr>
                            <w:top w:val="single" w:sz="6" w:space="0" w:color="EAEAEA"/>
                            <w:left w:val="single" w:sz="6" w:space="0" w:color="EAEAEA"/>
                            <w:bottom w:val="single" w:sz="6" w:space="0" w:color="EAEAEA"/>
                            <w:right w:val="single" w:sz="6" w:space="0" w:color="EAEAEA"/>
                          </w:divBdr>
                          <w:divsChild>
                            <w:div w:id="750589213">
                              <w:marLeft w:val="0"/>
                              <w:marRight w:val="0"/>
                              <w:marTop w:val="0"/>
                              <w:marBottom w:val="0"/>
                              <w:divBdr>
                                <w:top w:val="none" w:sz="0" w:space="0" w:color="auto"/>
                                <w:left w:val="none" w:sz="0" w:space="0" w:color="auto"/>
                                <w:bottom w:val="none" w:sz="0" w:space="0" w:color="auto"/>
                                <w:right w:val="none" w:sz="0" w:space="0" w:color="auto"/>
                              </w:divBdr>
                              <w:divsChild>
                                <w:div w:id="213081673">
                                  <w:marLeft w:val="0"/>
                                  <w:marRight w:val="0"/>
                                  <w:marTop w:val="0"/>
                                  <w:marBottom w:val="0"/>
                                  <w:divBdr>
                                    <w:top w:val="none" w:sz="0" w:space="0" w:color="auto"/>
                                    <w:left w:val="none" w:sz="0" w:space="0" w:color="auto"/>
                                    <w:bottom w:val="none" w:sz="0" w:space="0" w:color="auto"/>
                                    <w:right w:val="none" w:sz="0" w:space="0" w:color="auto"/>
                                  </w:divBdr>
                                  <w:divsChild>
                                    <w:div w:id="594939482">
                                      <w:marLeft w:val="120"/>
                                      <w:marRight w:val="120"/>
                                      <w:marTop w:val="0"/>
                                      <w:marBottom w:val="0"/>
                                      <w:divBdr>
                                        <w:top w:val="none" w:sz="0" w:space="0" w:color="auto"/>
                                        <w:left w:val="none" w:sz="0" w:space="0" w:color="auto"/>
                                        <w:bottom w:val="none" w:sz="0" w:space="0" w:color="auto"/>
                                        <w:right w:val="none" w:sz="0" w:space="0" w:color="auto"/>
                                      </w:divBdr>
                                      <w:divsChild>
                                        <w:div w:id="899484887">
                                          <w:marLeft w:val="30"/>
                                          <w:marRight w:val="30"/>
                                          <w:marTop w:val="135"/>
                                          <w:marBottom w:val="135"/>
                                          <w:divBdr>
                                            <w:top w:val="single" w:sz="6" w:space="0" w:color="8A8886"/>
                                            <w:left w:val="single" w:sz="6" w:space="0" w:color="8A8886"/>
                                            <w:bottom w:val="single" w:sz="6" w:space="0" w:color="8A8886"/>
                                            <w:right w:val="single" w:sz="6" w:space="0" w:color="8A8886"/>
                                          </w:divBdr>
                                          <w:divsChild>
                                            <w:div w:id="1693988872">
                                              <w:marLeft w:val="0"/>
                                              <w:marRight w:val="0"/>
                                              <w:marTop w:val="0"/>
                                              <w:marBottom w:val="0"/>
                                              <w:divBdr>
                                                <w:top w:val="none" w:sz="0" w:space="0" w:color="auto"/>
                                                <w:left w:val="none" w:sz="0" w:space="0" w:color="auto"/>
                                                <w:bottom w:val="none" w:sz="0" w:space="0" w:color="auto"/>
                                                <w:right w:val="none" w:sz="0" w:space="0" w:color="auto"/>
                                              </w:divBdr>
                                              <w:divsChild>
                                                <w:div w:id="2072119366">
                                                  <w:marLeft w:val="0"/>
                                                  <w:marRight w:val="0"/>
                                                  <w:marTop w:val="0"/>
                                                  <w:marBottom w:val="0"/>
                                                  <w:divBdr>
                                                    <w:top w:val="none" w:sz="0" w:space="0" w:color="auto"/>
                                                    <w:left w:val="none" w:sz="0" w:space="0" w:color="auto"/>
                                                    <w:bottom w:val="none" w:sz="0" w:space="0" w:color="auto"/>
                                                    <w:right w:val="none" w:sz="0" w:space="0" w:color="auto"/>
                                                  </w:divBdr>
                                                  <w:divsChild>
                                                    <w:div w:id="12585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752807">
                                      <w:marLeft w:val="0"/>
                                      <w:marRight w:val="0"/>
                                      <w:marTop w:val="0"/>
                                      <w:marBottom w:val="0"/>
                                      <w:divBdr>
                                        <w:top w:val="none" w:sz="0" w:space="0" w:color="auto"/>
                                        <w:left w:val="none" w:sz="0" w:space="0" w:color="auto"/>
                                        <w:bottom w:val="none" w:sz="0" w:space="0" w:color="auto"/>
                                        <w:right w:val="none" w:sz="0" w:space="0" w:color="auto"/>
                                      </w:divBdr>
                                      <w:divsChild>
                                        <w:div w:id="294801945">
                                          <w:marLeft w:val="30"/>
                                          <w:marRight w:val="30"/>
                                          <w:marTop w:val="30"/>
                                          <w:marBottom w:val="0"/>
                                          <w:divBdr>
                                            <w:top w:val="none" w:sz="0" w:space="0" w:color="auto"/>
                                            <w:left w:val="none" w:sz="0" w:space="0" w:color="auto"/>
                                            <w:bottom w:val="none" w:sz="0" w:space="0" w:color="auto"/>
                                            <w:right w:val="none" w:sz="0" w:space="0" w:color="auto"/>
                                          </w:divBdr>
                                          <w:divsChild>
                                            <w:div w:id="1696223521">
                                              <w:marLeft w:val="210"/>
                                              <w:marRight w:val="210"/>
                                              <w:marTop w:val="0"/>
                                              <w:marBottom w:val="30"/>
                                              <w:divBdr>
                                                <w:top w:val="none" w:sz="0" w:space="0" w:color="auto"/>
                                                <w:left w:val="none" w:sz="0" w:space="0" w:color="auto"/>
                                                <w:bottom w:val="none" w:sz="0" w:space="0" w:color="auto"/>
                                                <w:right w:val="none" w:sz="0" w:space="0" w:color="auto"/>
                                              </w:divBdr>
                                              <w:divsChild>
                                                <w:div w:id="560143888">
                                                  <w:marLeft w:val="0"/>
                                                  <w:marRight w:val="30"/>
                                                  <w:marTop w:val="0"/>
                                                  <w:marBottom w:val="0"/>
                                                  <w:divBdr>
                                                    <w:top w:val="none" w:sz="0" w:space="0" w:color="auto"/>
                                                    <w:left w:val="none" w:sz="0" w:space="0" w:color="auto"/>
                                                    <w:bottom w:val="none" w:sz="0" w:space="0" w:color="auto"/>
                                                    <w:right w:val="none" w:sz="0" w:space="0" w:color="auto"/>
                                                  </w:divBdr>
                                                  <w:divsChild>
                                                    <w:div w:id="703096216">
                                                      <w:marLeft w:val="0"/>
                                                      <w:marRight w:val="0"/>
                                                      <w:marTop w:val="0"/>
                                                      <w:marBottom w:val="90"/>
                                                      <w:divBdr>
                                                        <w:top w:val="none" w:sz="0" w:space="0" w:color="auto"/>
                                                        <w:left w:val="none" w:sz="0" w:space="0" w:color="auto"/>
                                                        <w:bottom w:val="none" w:sz="0" w:space="0" w:color="auto"/>
                                                        <w:right w:val="none" w:sz="0" w:space="0" w:color="auto"/>
                                                      </w:divBdr>
                                                      <w:divsChild>
                                                        <w:div w:id="585576406">
                                                          <w:marLeft w:val="0"/>
                                                          <w:marRight w:val="0"/>
                                                          <w:marTop w:val="0"/>
                                                          <w:marBottom w:val="0"/>
                                                          <w:divBdr>
                                                            <w:top w:val="none" w:sz="0" w:space="0" w:color="auto"/>
                                                            <w:left w:val="none" w:sz="0" w:space="0" w:color="auto"/>
                                                            <w:bottom w:val="none" w:sz="0" w:space="0" w:color="auto"/>
                                                            <w:right w:val="none" w:sz="0" w:space="0" w:color="auto"/>
                                                          </w:divBdr>
                                                          <w:divsChild>
                                                            <w:div w:id="4428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260864">
                              <w:marLeft w:val="0"/>
                              <w:marRight w:val="0"/>
                              <w:marTop w:val="0"/>
                              <w:marBottom w:val="0"/>
                              <w:divBdr>
                                <w:top w:val="none" w:sz="0" w:space="0" w:color="auto"/>
                                <w:left w:val="none" w:sz="0" w:space="0" w:color="auto"/>
                                <w:bottom w:val="none" w:sz="0" w:space="0" w:color="auto"/>
                                <w:right w:val="none" w:sz="0" w:space="0" w:color="auto"/>
                              </w:divBdr>
                              <w:divsChild>
                                <w:div w:id="1607344507">
                                  <w:marLeft w:val="210"/>
                                  <w:marRight w:val="0"/>
                                  <w:marTop w:val="120"/>
                                  <w:marBottom w:val="0"/>
                                  <w:divBdr>
                                    <w:top w:val="none" w:sz="0" w:space="0" w:color="auto"/>
                                    <w:left w:val="none" w:sz="0" w:space="0" w:color="auto"/>
                                    <w:bottom w:val="none" w:sz="0" w:space="0" w:color="auto"/>
                                    <w:right w:val="none" w:sz="0" w:space="0" w:color="auto"/>
                                  </w:divBdr>
                                  <w:divsChild>
                                    <w:div w:id="1098990893">
                                      <w:marLeft w:val="0"/>
                                      <w:marRight w:val="0"/>
                                      <w:marTop w:val="0"/>
                                      <w:marBottom w:val="0"/>
                                      <w:divBdr>
                                        <w:top w:val="none" w:sz="0" w:space="0" w:color="auto"/>
                                        <w:left w:val="none" w:sz="0" w:space="0" w:color="auto"/>
                                        <w:bottom w:val="none" w:sz="0" w:space="0" w:color="auto"/>
                                        <w:right w:val="none" w:sz="0" w:space="0" w:color="auto"/>
                                      </w:divBdr>
                                      <w:divsChild>
                                        <w:div w:id="101515848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568660">
          <w:marLeft w:val="0"/>
          <w:marRight w:val="0"/>
          <w:marTop w:val="0"/>
          <w:marBottom w:val="0"/>
          <w:divBdr>
            <w:top w:val="none" w:sz="0" w:space="0" w:color="auto"/>
            <w:left w:val="none" w:sz="0" w:space="0" w:color="auto"/>
            <w:bottom w:val="none" w:sz="0" w:space="0" w:color="auto"/>
            <w:right w:val="none" w:sz="0" w:space="0" w:color="auto"/>
          </w:divBdr>
          <w:divsChild>
            <w:div w:id="724448742">
              <w:marLeft w:val="0"/>
              <w:marRight w:val="0"/>
              <w:marTop w:val="0"/>
              <w:marBottom w:val="0"/>
              <w:divBdr>
                <w:top w:val="none" w:sz="0" w:space="0" w:color="auto"/>
                <w:left w:val="none" w:sz="0" w:space="0" w:color="auto"/>
                <w:bottom w:val="none" w:sz="0" w:space="0" w:color="auto"/>
                <w:right w:val="none" w:sz="0" w:space="0" w:color="auto"/>
              </w:divBdr>
              <w:divsChild>
                <w:div w:id="886838875">
                  <w:marLeft w:val="0"/>
                  <w:marRight w:val="0"/>
                  <w:marTop w:val="0"/>
                  <w:marBottom w:val="0"/>
                  <w:divBdr>
                    <w:top w:val="none" w:sz="0" w:space="0" w:color="auto"/>
                    <w:left w:val="none" w:sz="0" w:space="0" w:color="auto"/>
                    <w:bottom w:val="none" w:sz="0" w:space="0" w:color="auto"/>
                    <w:right w:val="none" w:sz="0" w:space="0" w:color="auto"/>
                  </w:divBdr>
                  <w:divsChild>
                    <w:div w:id="1991786575">
                      <w:marLeft w:val="0"/>
                      <w:marRight w:val="0"/>
                      <w:marTop w:val="0"/>
                      <w:marBottom w:val="0"/>
                      <w:divBdr>
                        <w:top w:val="none" w:sz="0" w:space="0" w:color="auto"/>
                        <w:left w:val="none" w:sz="0" w:space="0" w:color="auto"/>
                        <w:bottom w:val="none" w:sz="0" w:space="0" w:color="auto"/>
                        <w:right w:val="none" w:sz="0" w:space="0" w:color="auto"/>
                      </w:divBdr>
                      <w:divsChild>
                        <w:div w:id="90129436">
                          <w:marLeft w:val="0"/>
                          <w:marRight w:val="0"/>
                          <w:marTop w:val="0"/>
                          <w:marBottom w:val="0"/>
                          <w:divBdr>
                            <w:top w:val="single" w:sz="6" w:space="0" w:color="EAEAEA"/>
                            <w:left w:val="single" w:sz="6" w:space="0" w:color="EAEAEA"/>
                            <w:bottom w:val="single" w:sz="6" w:space="0" w:color="EAEAEA"/>
                            <w:right w:val="single" w:sz="6" w:space="0" w:color="EAEAEA"/>
                          </w:divBdr>
                          <w:divsChild>
                            <w:div w:id="122122571">
                              <w:marLeft w:val="0"/>
                              <w:marRight w:val="0"/>
                              <w:marTop w:val="0"/>
                              <w:marBottom w:val="0"/>
                              <w:divBdr>
                                <w:top w:val="none" w:sz="0" w:space="0" w:color="auto"/>
                                <w:left w:val="none" w:sz="0" w:space="0" w:color="auto"/>
                                <w:bottom w:val="none" w:sz="0" w:space="0" w:color="auto"/>
                                <w:right w:val="none" w:sz="0" w:space="0" w:color="auto"/>
                              </w:divBdr>
                              <w:divsChild>
                                <w:div w:id="1235823506">
                                  <w:marLeft w:val="0"/>
                                  <w:marRight w:val="0"/>
                                  <w:marTop w:val="0"/>
                                  <w:marBottom w:val="0"/>
                                  <w:divBdr>
                                    <w:top w:val="none" w:sz="0" w:space="0" w:color="auto"/>
                                    <w:left w:val="none" w:sz="0" w:space="0" w:color="auto"/>
                                    <w:bottom w:val="none" w:sz="0" w:space="0" w:color="auto"/>
                                    <w:right w:val="none" w:sz="0" w:space="0" w:color="auto"/>
                                  </w:divBdr>
                                  <w:divsChild>
                                    <w:div w:id="1641032018">
                                      <w:marLeft w:val="0"/>
                                      <w:marRight w:val="0"/>
                                      <w:marTop w:val="0"/>
                                      <w:marBottom w:val="0"/>
                                      <w:divBdr>
                                        <w:top w:val="none" w:sz="0" w:space="0" w:color="auto"/>
                                        <w:left w:val="none" w:sz="0" w:space="0" w:color="auto"/>
                                        <w:bottom w:val="none" w:sz="0" w:space="0" w:color="auto"/>
                                        <w:right w:val="none" w:sz="0" w:space="0" w:color="auto"/>
                                      </w:divBdr>
                                      <w:divsChild>
                                        <w:div w:id="1724600929">
                                          <w:marLeft w:val="30"/>
                                          <w:marRight w:val="30"/>
                                          <w:marTop w:val="30"/>
                                          <w:marBottom w:val="0"/>
                                          <w:divBdr>
                                            <w:top w:val="none" w:sz="0" w:space="0" w:color="auto"/>
                                            <w:left w:val="none" w:sz="0" w:space="0" w:color="auto"/>
                                            <w:bottom w:val="none" w:sz="0" w:space="0" w:color="auto"/>
                                            <w:right w:val="none" w:sz="0" w:space="0" w:color="auto"/>
                                          </w:divBdr>
                                          <w:divsChild>
                                            <w:div w:id="144443235">
                                              <w:marLeft w:val="210"/>
                                              <w:marRight w:val="210"/>
                                              <w:marTop w:val="0"/>
                                              <w:marBottom w:val="30"/>
                                              <w:divBdr>
                                                <w:top w:val="none" w:sz="0" w:space="0" w:color="auto"/>
                                                <w:left w:val="none" w:sz="0" w:space="0" w:color="auto"/>
                                                <w:bottom w:val="none" w:sz="0" w:space="0" w:color="auto"/>
                                                <w:right w:val="none" w:sz="0" w:space="0" w:color="auto"/>
                                              </w:divBdr>
                                              <w:divsChild>
                                                <w:div w:id="916673295">
                                                  <w:marLeft w:val="0"/>
                                                  <w:marRight w:val="30"/>
                                                  <w:marTop w:val="0"/>
                                                  <w:marBottom w:val="0"/>
                                                  <w:divBdr>
                                                    <w:top w:val="none" w:sz="0" w:space="0" w:color="auto"/>
                                                    <w:left w:val="none" w:sz="0" w:space="0" w:color="auto"/>
                                                    <w:bottom w:val="none" w:sz="0" w:space="0" w:color="auto"/>
                                                    <w:right w:val="none" w:sz="0" w:space="0" w:color="auto"/>
                                                  </w:divBdr>
                                                  <w:divsChild>
                                                    <w:div w:id="347683609">
                                                      <w:marLeft w:val="0"/>
                                                      <w:marRight w:val="0"/>
                                                      <w:marTop w:val="0"/>
                                                      <w:marBottom w:val="0"/>
                                                      <w:divBdr>
                                                        <w:top w:val="none" w:sz="0" w:space="0" w:color="auto"/>
                                                        <w:left w:val="none" w:sz="0" w:space="0" w:color="auto"/>
                                                        <w:bottom w:val="none" w:sz="0" w:space="0" w:color="auto"/>
                                                        <w:right w:val="none" w:sz="0" w:space="0" w:color="auto"/>
                                                      </w:divBdr>
                                                      <w:divsChild>
                                                        <w:div w:id="1893729334">
                                                          <w:marLeft w:val="0"/>
                                                          <w:marRight w:val="0"/>
                                                          <w:marTop w:val="0"/>
                                                          <w:marBottom w:val="0"/>
                                                          <w:divBdr>
                                                            <w:top w:val="none" w:sz="0" w:space="0" w:color="auto"/>
                                                            <w:left w:val="none" w:sz="0" w:space="0" w:color="auto"/>
                                                            <w:bottom w:val="none" w:sz="0" w:space="0" w:color="auto"/>
                                                            <w:right w:val="none" w:sz="0" w:space="0" w:color="auto"/>
                                                          </w:divBdr>
                                                          <w:divsChild>
                                                            <w:div w:id="1605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807296">
                              <w:marLeft w:val="0"/>
                              <w:marRight w:val="0"/>
                              <w:marTop w:val="0"/>
                              <w:marBottom w:val="0"/>
                              <w:divBdr>
                                <w:top w:val="none" w:sz="0" w:space="0" w:color="auto"/>
                                <w:left w:val="none" w:sz="0" w:space="0" w:color="auto"/>
                                <w:bottom w:val="none" w:sz="0" w:space="0" w:color="auto"/>
                                <w:right w:val="none" w:sz="0" w:space="0" w:color="auto"/>
                              </w:divBdr>
                              <w:divsChild>
                                <w:div w:id="155849226">
                                  <w:marLeft w:val="210"/>
                                  <w:marRight w:val="0"/>
                                  <w:marTop w:val="120"/>
                                  <w:marBottom w:val="0"/>
                                  <w:divBdr>
                                    <w:top w:val="none" w:sz="0" w:space="0" w:color="auto"/>
                                    <w:left w:val="none" w:sz="0" w:space="0" w:color="auto"/>
                                    <w:bottom w:val="none" w:sz="0" w:space="0" w:color="auto"/>
                                    <w:right w:val="none" w:sz="0" w:space="0" w:color="auto"/>
                                  </w:divBdr>
                                  <w:divsChild>
                                    <w:div w:id="667098798">
                                      <w:marLeft w:val="0"/>
                                      <w:marRight w:val="0"/>
                                      <w:marTop w:val="0"/>
                                      <w:marBottom w:val="0"/>
                                      <w:divBdr>
                                        <w:top w:val="none" w:sz="0" w:space="0" w:color="auto"/>
                                        <w:left w:val="none" w:sz="0" w:space="0" w:color="auto"/>
                                        <w:bottom w:val="none" w:sz="0" w:space="0" w:color="auto"/>
                                        <w:right w:val="none" w:sz="0" w:space="0" w:color="auto"/>
                                      </w:divBdr>
                                      <w:divsChild>
                                        <w:div w:id="9687510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19025112">
                                  <w:marLeft w:val="90"/>
                                  <w:marRight w:val="120"/>
                                  <w:marTop w:val="120"/>
                                  <w:marBottom w:val="120"/>
                                  <w:divBdr>
                                    <w:top w:val="none" w:sz="0" w:space="0" w:color="auto"/>
                                    <w:left w:val="none" w:sz="0" w:space="0" w:color="auto"/>
                                    <w:bottom w:val="none" w:sz="0" w:space="0" w:color="auto"/>
                                    <w:right w:val="none" w:sz="0" w:space="0" w:color="auto"/>
                                  </w:divBdr>
                                  <w:divsChild>
                                    <w:div w:id="95713889">
                                      <w:marLeft w:val="0"/>
                                      <w:marRight w:val="0"/>
                                      <w:marTop w:val="0"/>
                                      <w:marBottom w:val="0"/>
                                      <w:divBdr>
                                        <w:top w:val="none" w:sz="0" w:space="0" w:color="auto"/>
                                        <w:left w:val="none" w:sz="0" w:space="0" w:color="auto"/>
                                        <w:bottom w:val="none" w:sz="0" w:space="0" w:color="auto"/>
                                        <w:right w:val="none" w:sz="0" w:space="0" w:color="auto"/>
                                      </w:divBdr>
                                      <w:divsChild>
                                        <w:div w:id="873227087">
                                          <w:marLeft w:val="0"/>
                                          <w:marRight w:val="150"/>
                                          <w:marTop w:val="0"/>
                                          <w:marBottom w:val="0"/>
                                          <w:divBdr>
                                            <w:top w:val="none" w:sz="0" w:space="0" w:color="auto"/>
                                            <w:left w:val="none" w:sz="0" w:space="0" w:color="auto"/>
                                            <w:bottom w:val="none" w:sz="0" w:space="0" w:color="auto"/>
                                            <w:right w:val="none" w:sz="0" w:space="0" w:color="auto"/>
                                          </w:divBdr>
                                        </w:div>
                                        <w:div w:id="17061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993530">
      <w:bodyDiv w:val="1"/>
      <w:marLeft w:val="0"/>
      <w:marRight w:val="0"/>
      <w:marTop w:val="0"/>
      <w:marBottom w:val="0"/>
      <w:divBdr>
        <w:top w:val="none" w:sz="0" w:space="0" w:color="auto"/>
        <w:left w:val="none" w:sz="0" w:space="0" w:color="auto"/>
        <w:bottom w:val="none" w:sz="0" w:space="0" w:color="auto"/>
        <w:right w:val="none" w:sz="0" w:space="0" w:color="auto"/>
      </w:divBdr>
      <w:divsChild>
        <w:div w:id="52703989">
          <w:marLeft w:val="0"/>
          <w:marRight w:val="0"/>
          <w:marTop w:val="0"/>
          <w:marBottom w:val="0"/>
          <w:divBdr>
            <w:top w:val="none" w:sz="0" w:space="0" w:color="auto"/>
            <w:left w:val="none" w:sz="0" w:space="0" w:color="auto"/>
            <w:bottom w:val="none" w:sz="0" w:space="0" w:color="auto"/>
            <w:right w:val="none" w:sz="0" w:space="0" w:color="auto"/>
          </w:divBdr>
        </w:div>
        <w:div w:id="53166705">
          <w:marLeft w:val="0"/>
          <w:marRight w:val="0"/>
          <w:marTop w:val="0"/>
          <w:marBottom w:val="0"/>
          <w:divBdr>
            <w:top w:val="none" w:sz="0" w:space="0" w:color="auto"/>
            <w:left w:val="none" w:sz="0" w:space="0" w:color="auto"/>
            <w:bottom w:val="none" w:sz="0" w:space="0" w:color="auto"/>
            <w:right w:val="none" w:sz="0" w:space="0" w:color="auto"/>
          </w:divBdr>
        </w:div>
        <w:div w:id="67188624">
          <w:marLeft w:val="0"/>
          <w:marRight w:val="0"/>
          <w:marTop w:val="0"/>
          <w:marBottom w:val="0"/>
          <w:divBdr>
            <w:top w:val="none" w:sz="0" w:space="0" w:color="auto"/>
            <w:left w:val="none" w:sz="0" w:space="0" w:color="auto"/>
            <w:bottom w:val="none" w:sz="0" w:space="0" w:color="auto"/>
            <w:right w:val="none" w:sz="0" w:space="0" w:color="auto"/>
          </w:divBdr>
        </w:div>
        <w:div w:id="347489388">
          <w:marLeft w:val="0"/>
          <w:marRight w:val="0"/>
          <w:marTop w:val="0"/>
          <w:marBottom w:val="0"/>
          <w:divBdr>
            <w:top w:val="none" w:sz="0" w:space="0" w:color="auto"/>
            <w:left w:val="none" w:sz="0" w:space="0" w:color="auto"/>
            <w:bottom w:val="none" w:sz="0" w:space="0" w:color="auto"/>
            <w:right w:val="none" w:sz="0" w:space="0" w:color="auto"/>
          </w:divBdr>
        </w:div>
        <w:div w:id="824777652">
          <w:marLeft w:val="0"/>
          <w:marRight w:val="0"/>
          <w:marTop w:val="0"/>
          <w:marBottom w:val="0"/>
          <w:divBdr>
            <w:top w:val="none" w:sz="0" w:space="0" w:color="auto"/>
            <w:left w:val="none" w:sz="0" w:space="0" w:color="auto"/>
            <w:bottom w:val="none" w:sz="0" w:space="0" w:color="auto"/>
            <w:right w:val="none" w:sz="0" w:space="0" w:color="auto"/>
          </w:divBdr>
        </w:div>
        <w:div w:id="886138662">
          <w:marLeft w:val="0"/>
          <w:marRight w:val="0"/>
          <w:marTop w:val="0"/>
          <w:marBottom w:val="0"/>
          <w:divBdr>
            <w:top w:val="none" w:sz="0" w:space="0" w:color="auto"/>
            <w:left w:val="none" w:sz="0" w:space="0" w:color="auto"/>
            <w:bottom w:val="none" w:sz="0" w:space="0" w:color="auto"/>
            <w:right w:val="none" w:sz="0" w:space="0" w:color="auto"/>
          </w:divBdr>
        </w:div>
        <w:div w:id="974991521">
          <w:marLeft w:val="0"/>
          <w:marRight w:val="0"/>
          <w:marTop w:val="0"/>
          <w:marBottom w:val="0"/>
          <w:divBdr>
            <w:top w:val="none" w:sz="0" w:space="0" w:color="auto"/>
            <w:left w:val="none" w:sz="0" w:space="0" w:color="auto"/>
            <w:bottom w:val="none" w:sz="0" w:space="0" w:color="auto"/>
            <w:right w:val="none" w:sz="0" w:space="0" w:color="auto"/>
          </w:divBdr>
        </w:div>
        <w:div w:id="1048185915">
          <w:marLeft w:val="0"/>
          <w:marRight w:val="0"/>
          <w:marTop w:val="0"/>
          <w:marBottom w:val="0"/>
          <w:divBdr>
            <w:top w:val="none" w:sz="0" w:space="0" w:color="auto"/>
            <w:left w:val="none" w:sz="0" w:space="0" w:color="auto"/>
            <w:bottom w:val="none" w:sz="0" w:space="0" w:color="auto"/>
            <w:right w:val="none" w:sz="0" w:space="0" w:color="auto"/>
          </w:divBdr>
        </w:div>
        <w:div w:id="1079717493">
          <w:marLeft w:val="0"/>
          <w:marRight w:val="0"/>
          <w:marTop w:val="0"/>
          <w:marBottom w:val="0"/>
          <w:divBdr>
            <w:top w:val="none" w:sz="0" w:space="0" w:color="auto"/>
            <w:left w:val="none" w:sz="0" w:space="0" w:color="auto"/>
            <w:bottom w:val="none" w:sz="0" w:space="0" w:color="auto"/>
            <w:right w:val="none" w:sz="0" w:space="0" w:color="auto"/>
          </w:divBdr>
        </w:div>
        <w:div w:id="1164473058">
          <w:marLeft w:val="0"/>
          <w:marRight w:val="0"/>
          <w:marTop w:val="0"/>
          <w:marBottom w:val="0"/>
          <w:divBdr>
            <w:top w:val="none" w:sz="0" w:space="0" w:color="auto"/>
            <w:left w:val="none" w:sz="0" w:space="0" w:color="auto"/>
            <w:bottom w:val="none" w:sz="0" w:space="0" w:color="auto"/>
            <w:right w:val="none" w:sz="0" w:space="0" w:color="auto"/>
          </w:divBdr>
        </w:div>
        <w:div w:id="1262227694">
          <w:marLeft w:val="0"/>
          <w:marRight w:val="0"/>
          <w:marTop w:val="0"/>
          <w:marBottom w:val="0"/>
          <w:divBdr>
            <w:top w:val="none" w:sz="0" w:space="0" w:color="auto"/>
            <w:left w:val="none" w:sz="0" w:space="0" w:color="auto"/>
            <w:bottom w:val="none" w:sz="0" w:space="0" w:color="auto"/>
            <w:right w:val="none" w:sz="0" w:space="0" w:color="auto"/>
          </w:divBdr>
        </w:div>
        <w:div w:id="1317152335">
          <w:marLeft w:val="0"/>
          <w:marRight w:val="0"/>
          <w:marTop w:val="0"/>
          <w:marBottom w:val="0"/>
          <w:divBdr>
            <w:top w:val="none" w:sz="0" w:space="0" w:color="auto"/>
            <w:left w:val="none" w:sz="0" w:space="0" w:color="auto"/>
            <w:bottom w:val="none" w:sz="0" w:space="0" w:color="auto"/>
            <w:right w:val="none" w:sz="0" w:space="0" w:color="auto"/>
          </w:divBdr>
        </w:div>
        <w:div w:id="1340228959">
          <w:marLeft w:val="0"/>
          <w:marRight w:val="0"/>
          <w:marTop w:val="0"/>
          <w:marBottom w:val="0"/>
          <w:divBdr>
            <w:top w:val="none" w:sz="0" w:space="0" w:color="auto"/>
            <w:left w:val="none" w:sz="0" w:space="0" w:color="auto"/>
            <w:bottom w:val="none" w:sz="0" w:space="0" w:color="auto"/>
            <w:right w:val="none" w:sz="0" w:space="0" w:color="auto"/>
          </w:divBdr>
        </w:div>
        <w:div w:id="1677688591">
          <w:marLeft w:val="0"/>
          <w:marRight w:val="0"/>
          <w:marTop w:val="0"/>
          <w:marBottom w:val="0"/>
          <w:divBdr>
            <w:top w:val="none" w:sz="0" w:space="0" w:color="auto"/>
            <w:left w:val="none" w:sz="0" w:space="0" w:color="auto"/>
            <w:bottom w:val="none" w:sz="0" w:space="0" w:color="auto"/>
            <w:right w:val="none" w:sz="0" w:space="0" w:color="auto"/>
          </w:divBdr>
        </w:div>
        <w:div w:id="1804811967">
          <w:marLeft w:val="0"/>
          <w:marRight w:val="0"/>
          <w:marTop w:val="0"/>
          <w:marBottom w:val="0"/>
          <w:divBdr>
            <w:top w:val="none" w:sz="0" w:space="0" w:color="auto"/>
            <w:left w:val="none" w:sz="0" w:space="0" w:color="auto"/>
            <w:bottom w:val="none" w:sz="0" w:space="0" w:color="auto"/>
            <w:right w:val="none" w:sz="0" w:space="0" w:color="auto"/>
          </w:divBdr>
        </w:div>
        <w:div w:id="2017533575">
          <w:marLeft w:val="0"/>
          <w:marRight w:val="0"/>
          <w:marTop w:val="0"/>
          <w:marBottom w:val="0"/>
          <w:divBdr>
            <w:top w:val="none" w:sz="0" w:space="0" w:color="auto"/>
            <w:left w:val="none" w:sz="0" w:space="0" w:color="auto"/>
            <w:bottom w:val="none" w:sz="0" w:space="0" w:color="auto"/>
            <w:right w:val="none" w:sz="0" w:space="0" w:color="auto"/>
          </w:divBdr>
        </w:div>
      </w:divsChild>
    </w:div>
    <w:div w:id="339047311">
      <w:bodyDiv w:val="1"/>
      <w:marLeft w:val="0"/>
      <w:marRight w:val="0"/>
      <w:marTop w:val="0"/>
      <w:marBottom w:val="0"/>
      <w:divBdr>
        <w:top w:val="none" w:sz="0" w:space="0" w:color="auto"/>
        <w:left w:val="none" w:sz="0" w:space="0" w:color="auto"/>
        <w:bottom w:val="none" w:sz="0" w:space="0" w:color="auto"/>
        <w:right w:val="none" w:sz="0" w:space="0" w:color="auto"/>
      </w:divBdr>
    </w:div>
    <w:div w:id="378868786">
      <w:bodyDiv w:val="1"/>
      <w:marLeft w:val="0"/>
      <w:marRight w:val="0"/>
      <w:marTop w:val="0"/>
      <w:marBottom w:val="0"/>
      <w:divBdr>
        <w:top w:val="none" w:sz="0" w:space="0" w:color="auto"/>
        <w:left w:val="none" w:sz="0" w:space="0" w:color="auto"/>
        <w:bottom w:val="none" w:sz="0" w:space="0" w:color="auto"/>
        <w:right w:val="none" w:sz="0" w:space="0" w:color="auto"/>
      </w:divBdr>
      <w:divsChild>
        <w:div w:id="855340301">
          <w:marLeft w:val="1440"/>
          <w:marRight w:val="0"/>
          <w:marTop w:val="0"/>
          <w:marBottom w:val="0"/>
          <w:divBdr>
            <w:top w:val="none" w:sz="0" w:space="0" w:color="auto"/>
            <w:left w:val="none" w:sz="0" w:space="0" w:color="auto"/>
            <w:bottom w:val="none" w:sz="0" w:space="0" w:color="auto"/>
            <w:right w:val="none" w:sz="0" w:space="0" w:color="auto"/>
          </w:divBdr>
        </w:div>
      </w:divsChild>
    </w:div>
    <w:div w:id="392582989">
      <w:bodyDiv w:val="1"/>
      <w:marLeft w:val="0"/>
      <w:marRight w:val="0"/>
      <w:marTop w:val="0"/>
      <w:marBottom w:val="0"/>
      <w:divBdr>
        <w:top w:val="none" w:sz="0" w:space="0" w:color="auto"/>
        <w:left w:val="none" w:sz="0" w:space="0" w:color="auto"/>
        <w:bottom w:val="none" w:sz="0" w:space="0" w:color="auto"/>
        <w:right w:val="none" w:sz="0" w:space="0" w:color="auto"/>
      </w:divBdr>
    </w:div>
    <w:div w:id="457988907">
      <w:bodyDiv w:val="1"/>
      <w:marLeft w:val="0"/>
      <w:marRight w:val="0"/>
      <w:marTop w:val="0"/>
      <w:marBottom w:val="0"/>
      <w:divBdr>
        <w:top w:val="none" w:sz="0" w:space="0" w:color="auto"/>
        <w:left w:val="none" w:sz="0" w:space="0" w:color="auto"/>
        <w:bottom w:val="none" w:sz="0" w:space="0" w:color="auto"/>
        <w:right w:val="none" w:sz="0" w:space="0" w:color="auto"/>
      </w:divBdr>
    </w:div>
    <w:div w:id="458568960">
      <w:bodyDiv w:val="1"/>
      <w:marLeft w:val="0"/>
      <w:marRight w:val="0"/>
      <w:marTop w:val="0"/>
      <w:marBottom w:val="0"/>
      <w:divBdr>
        <w:top w:val="none" w:sz="0" w:space="0" w:color="auto"/>
        <w:left w:val="none" w:sz="0" w:space="0" w:color="auto"/>
        <w:bottom w:val="none" w:sz="0" w:space="0" w:color="auto"/>
        <w:right w:val="none" w:sz="0" w:space="0" w:color="auto"/>
      </w:divBdr>
    </w:div>
    <w:div w:id="480850740">
      <w:bodyDiv w:val="1"/>
      <w:marLeft w:val="0"/>
      <w:marRight w:val="0"/>
      <w:marTop w:val="0"/>
      <w:marBottom w:val="0"/>
      <w:divBdr>
        <w:top w:val="none" w:sz="0" w:space="0" w:color="auto"/>
        <w:left w:val="none" w:sz="0" w:space="0" w:color="auto"/>
        <w:bottom w:val="none" w:sz="0" w:space="0" w:color="auto"/>
        <w:right w:val="none" w:sz="0" w:space="0" w:color="auto"/>
      </w:divBdr>
    </w:div>
    <w:div w:id="500245472">
      <w:bodyDiv w:val="1"/>
      <w:marLeft w:val="0"/>
      <w:marRight w:val="0"/>
      <w:marTop w:val="0"/>
      <w:marBottom w:val="0"/>
      <w:divBdr>
        <w:top w:val="none" w:sz="0" w:space="0" w:color="auto"/>
        <w:left w:val="none" w:sz="0" w:space="0" w:color="auto"/>
        <w:bottom w:val="none" w:sz="0" w:space="0" w:color="auto"/>
        <w:right w:val="none" w:sz="0" w:space="0" w:color="auto"/>
      </w:divBdr>
      <w:divsChild>
        <w:div w:id="889804486">
          <w:marLeft w:val="0"/>
          <w:marRight w:val="0"/>
          <w:marTop w:val="0"/>
          <w:marBottom w:val="0"/>
          <w:divBdr>
            <w:top w:val="none" w:sz="0" w:space="0" w:color="auto"/>
            <w:left w:val="none" w:sz="0" w:space="0" w:color="auto"/>
            <w:bottom w:val="none" w:sz="0" w:space="0" w:color="auto"/>
            <w:right w:val="none" w:sz="0" w:space="0" w:color="auto"/>
          </w:divBdr>
          <w:divsChild>
            <w:div w:id="335422358">
              <w:marLeft w:val="0"/>
              <w:marRight w:val="0"/>
              <w:marTop w:val="0"/>
              <w:marBottom w:val="0"/>
              <w:divBdr>
                <w:top w:val="none" w:sz="0" w:space="0" w:color="auto"/>
                <w:left w:val="none" w:sz="0" w:space="0" w:color="auto"/>
                <w:bottom w:val="none" w:sz="0" w:space="0" w:color="auto"/>
                <w:right w:val="none" w:sz="0" w:space="0" w:color="auto"/>
              </w:divBdr>
              <w:divsChild>
                <w:div w:id="1856387000">
                  <w:marLeft w:val="0"/>
                  <w:marRight w:val="0"/>
                  <w:marTop w:val="0"/>
                  <w:marBottom w:val="0"/>
                  <w:divBdr>
                    <w:top w:val="none" w:sz="0" w:space="0" w:color="auto"/>
                    <w:left w:val="none" w:sz="0" w:space="0" w:color="auto"/>
                    <w:bottom w:val="none" w:sz="0" w:space="0" w:color="auto"/>
                    <w:right w:val="none" w:sz="0" w:space="0" w:color="auto"/>
                  </w:divBdr>
                  <w:divsChild>
                    <w:div w:id="1108546611">
                      <w:marLeft w:val="30"/>
                      <w:marRight w:val="30"/>
                      <w:marTop w:val="30"/>
                      <w:marBottom w:val="0"/>
                      <w:divBdr>
                        <w:top w:val="none" w:sz="0" w:space="0" w:color="auto"/>
                        <w:left w:val="none" w:sz="0" w:space="0" w:color="auto"/>
                        <w:bottom w:val="none" w:sz="0" w:space="0" w:color="auto"/>
                        <w:right w:val="none" w:sz="0" w:space="0" w:color="auto"/>
                      </w:divBdr>
                      <w:divsChild>
                        <w:div w:id="469129557">
                          <w:marLeft w:val="210"/>
                          <w:marRight w:val="210"/>
                          <w:marTop w:val="0"/>
                          <w:marBottom w:val="30"/>
                          <w:divBdr>
                            <w:top w:val="none" w:sz="0" w:space="0" w:color="auto"/>
                            <w:left w:val="none" w:sz="0" w:space="0" w:color="auto"/>
                            <w:bottom w:val="none" w:sz="0" w:space="0" w:color="auto"/>
                            <w:right w:val="none" w:sz="0" w:space="0" w:color="auto"/>
                          </w:divBdr>
                          <w:divsChild>
                            <w:div w:id="857161963">
                              <w:marLeft w:val="0"/>
                              <w:marRight w:val="30"/>
                              <w:marTop w:val="0"/>
                              <w:marBottom w:val="0"/>
                              <w:divBdr>
                                <w:top w:val="none" w:sz="0" w:space="0" w:color="auto"/>
                                <w:left w:val="none" w:sz="0" w:space="0" w:color="auto"/>
                                <w:bottom w:val="none" w:sz="0" w:space="0" w:color="auto"/>
                                <w:right w:val="none" w:sz="0" w:space="0" w:color="auto"/>
                              </w:divBdr>
                              <w:divsChild>
                                <w:div w:id="2048947029">
                                  <w:marLeft w:val="0"/>
                                  <w:marRight w:val="0"/>
                                  <w:marTop w:val="0"/>
                                  <w:marBottom w:val="0"/>
                                  <w:divBdr>
                                    <w:top w:val="none" w:sz="0" w:space="0" w:color="auto"/>
                                    <w:left w:val="none" w:sz="0" w:space="0" w:color="auto"/>
                                    <w:bottom w:val="none" w:sz="0" w:space="0" w:color="auto"/>
                                    <w:right w:val="none" w:sz="0" w:space="0" w:color="auto"/>
                                  </w:divBdr>
                                  <w:divsChild>
                                    <w:div w:id="1007555275">
                                      <w:marLeft w:val="0"/>
                                      <w:marRight w:val="0"/>
                                      <w:marTop w:val="0"/>
                                      <w:marBottom w:val="0"/>
                                      <w:divBdr>
                                        <w:top w:val="none" w:sz="0" w:space="0" w:color="auto"/>
                                        <w:left w:val="none" w:sz="0" w:space="0" w:color="auto"/>
                                        <w:bottom w:val="none" w:sz="0" w:space="0" w:color="auto"/>
                                        <w:right w:val="none" w:sz="0" w:space="0" w:color="auto"/>
                                      </w:divBdr>
                                      <w:divsChild>
                                        <w:div w:id="1725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041973">
          <w:marLeft w:val="0"/>
          <w:marRight w:val="0"/>
          <w:marTop w:val="0"/>
          <w:marBottom w:val="0"/>
          <w:divBdr>
            <w:top w:val="none" w:sz="0" w:space="0" w:color="auto"/>
            <w:left w:val="none" w:sz="0" w:space="0" w:color="auto"/>
            <w:bottom w:val="none" w:sz="0" w:space="0" w:color="auto"/>
            <w:right w:val="none" w:sz="0" w:space="0" w:color="auto"/>
          </w:divBdr>
          <w:divsChild>
            <w:div w:id="342586632">
              <w:marLeft w:val="210"/>
              <w:marRight w:val="0"/>
              <w:marTop w:val="120"/>
              <w:marBottom w:val="0"/>
              <w:divBdr>
                <w:top w:val="none" w:sz="0" w:space="0" w:color="auto"/>
                <w:left w:val="none" w:sz="0" w:space="0" w:color="auto"/>
                <w:bottom w:val="none" w:sz="0" w:space="0" w:color="auto"/>
                <w:right w:val="none" w:sz="0" w:space="0" w:color="auto"/>
              </w:divBdr>
              <w:divsChild>
                <w:div w:id="1911428215">
                  <w:marLeft w:val="0"/>
                  <w:marRight w:val="0"/>
                  <w:marTop w:val="0"/>
                  <w:marBottom w:val="0"/>
                  <w:divBdr>
                    <w:top w:val="none" w:sz="0" w:space="0" w:color="auto"/>
                    <w:left w:val="none" w:sz="0" w:space="0" w:color="auto"/>
                    <w:bottom w:val="none" w:sz="0" w:space="0" w:color="auto"/>
                    <w:right w:val="none" w:sz="0" w:space="0" w:color="auto"/>
                  </w:divBdr>
                  <w:divsChild>
                    <w:div w:id="84046476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514654704">
      <w:bodyDiv w:val="1"/>
      <w:marLeft w:val="0"/>
      <w:marRight w:val="0"/>
      <w:marTop w:val="0"/>
      <w:marBottom w:val="0"/>
      <w:divBdr>
        <w:top w:val="none" w:sz="0" w:space="0" w:color="auto"/>
        <w:left w:val="none" w:sz="0" w:space="0" w:color="auto"/>
        <w:bottom w:val="none" w:sz="0" w:space="0" w:color="auto"/>
        <w:right w:val="none" w:sz="0" w:space="0" w:color="auto"/>
      </w:divBdr>
    </w:div>
    <w:div w:id="521625957">
      <w:bodyDiv w:val="1"/>
      <w:marLeft w:val="0"/>
      <w:marRight w:val="0"/>
      <w:marTop w:val="0"/>
      <w:marBottom w:val="0"/>
      <w:divBdr>
        <w:top w:val="none" w:sz="0" w:space="0" w:color="auto"/>
        <w:left w:val="none" w:sz="0" w:space="0" w:color="auto"/>
        <w:bottom w:val="none" w:sz="0" w:space="0" w:color="auto"/>
        <w:right w:val="none" w:sz="0" w:space="0" w:color="auto"/>
      </w:divBdr>
      <w:divsChild>
        <w:div w:id="1212351549">
          <w:marLeft w:val="0"/>
          <w:marRight w:val="0"/>
          <w:marTop w:val="0"/>
          <w:marBottom w:val="0"/>
          <w:divBdr>
            <w:top w:val="none" w:sz="0" w:space="0" w:color="auto"/>
            <w:left w:val="none" w:sz="0" w:space="0" w:color="auto"/>
            <w:bottom w:val="none" w:sz="0" w:space="0" w:color="auto"/>
            <w:right w:val="none" w:sz="0" w:space="0" w:color="auto"/>
          </w:divBdr>
        </w:div>
      </w:divsChild>
    </w:div>
    <w:div w:id="534197378">
      <w:bodyDiv w:val="1"/>
      <w:marLeft w:val="0"/>
      <w:marRight w:val="0"/>
      <w:marTop w:val="0"/>
      <w:marBottom w:val="0"/>
      <w:divBdr>
        <w:top w:val="none" w:sz="0" w:space="0" w:color="auto"/>
        <w:left w:val="none" w:sz="0" w:space="0" w:color="auto"/>
        <w:bottom w:val="none" w:sz="0" w:space="0" w:color="auto"/>
        <w:right w:val="none" w:sz="0" w:space="0" w:color="auto"/>
      </w:divBdr>
    </w:div>
    <w:div w:id="542987099">
      <w:bodyDiv w:val="1"/>
      <w:marLeft w:val="0"/>
      <w:marRight w:val="0"/>
      <w:marTop w:val="0"/>
      <w:marBottom w:val="0"/>
      <w:divBdr>
        <w:top w:val="none" w:sz="0" w:space="0" w:color="auto"/>
        <w:left w:val="none" w:sz="0" w:space="0" w:color="auto"/>
        <w:bottom w:val="none" w:sz="0" w:space="0" w:color="auto"/>
        <w:right w:val="none" w:sz="0" w:space="0" w:color="auto"/>
      </w:divBdr>
      <w:divsChild>
        <w:div w:id="315109835">
          <w:marLeft w:val="0"/>
          <w:marRight w:val="0"/>
          <w:marTop w:val="0"/>
          <w:marBottom w:val="0"/>
          <w:divBdr>
            <w:top w:val="none" w:sz="0" w:space="0" w:color="auto"/>
            <w:left w:val="none" w:sz="0" w:space="0" w:color="auto"/>
            <w:bottom w:val="none" w:sz="0" w:space="0" w:color="auto"/>
            <w:right w:val="none" w:sz="0" w:space="0" w:color="auto"/>
          </w:divBdr>
          <w:divsChild>
            <w:div w:id="703137780">
              <w:marLeft w:val="0"/>
              <w:marRight w:val="0"/>
              <w:marTop w:val="0"/>
              <w:marBottom w:val="0"/>
              <w:divBdr>
                <w:top w:val="none" w:sz="0" w:space="0" w:color="auto"/>
                <w:left w:val="none" w:sz="0" w:space="0" w:color="auto"/>
                <w:bottom w:val="none" w:sz="0" w:space="0" w:color="auto"/>
                <w:right w:val="none" w:sz="0" w:space="0" w:color="auto"/>
              </w:divBdr>
              <w:divsChild>
                <w:div w:id="1685204613">
                  <w:marLeft w:val="0"/>
                  <w:marRight w:val="0"/>
                  <w:marTop w:val="0"/>
                  <w:marBottom w:val="0"/>
                  <w:divBdr>
                    <w:top w:val="none" w:sz="0" w:space="0" w:color="auto"/>
                    <w:left w:val="none" w:sz="0" w:space="0" w:color="auto"/>
                    <w:bottom w:val="none" w:sz="0" w:space="0" w:color="auto"/>
                    <w:right w:val="none" w:sz="0" w:space="0" w:color="auto"/>
                  </w:divBdr>
                  <w:divsChild>
                    <w:div w:id="1254431812">
                      <w:marLeft w:val="0"/>
                      <w:marRight w:val="0"/>
                      <w:marTop w:val="0"/>
                      <w:marBottom w:val="0"/>
                      <w:divBdr>
                        <w:top w:val="none" w:sz="0" w:space="0" w:color="auto"/>
                        <w:left w:val="none" w:sz="0" w:space="0" w:color="auto"/>
                        <w:bottom w:val="none" w:sz="0" w:space="0" w:color="auto"/>
                        <w:right w:val="none" w:sz="0" w:space="0" w:color="auto"/>
                      </w:divBdr>
                      <w:divsChild>
                        <w:div w:id="1968273068">
                          <w:marLeft w:val="0"/>
                          <w:marRight w:val="0"/>
                          <w:marTop w:val="0"/>
                          <w:marBottom w:val="0"/>
                          <w:divBdr>
                            <w:top w:val="single" w:sz="6" w:space="0" w:color="EAEAEA"/>
                            <w:left w:val="single" w:sz="6" w:space="0" w:color="EAEAEA"/>
                            <w:bottom w:val="single" w:sz="6" w:space="0" w:color="EAEAEA"/>
                            <w:right w:val="single" w:sz="6" w:space="0" w:color="EAEAEA"/>
                          </w:divBdr>
                          <w:divsChild>
                            <w:div w:id="797139828">
                              <w:marLeft w:val="0"/>
                              <w:marRight w:val="0"/>
                              <w:marTop w:val="0"/>
                              <w:marBottom w:val="0"/>
                              <w:divBdr>
                                <w:top w:val="none" w:sz="0" w:space="0" w:color="auto"/>
                                <w:left w:val="none" w:sz="0" w:space="0" w:color="auto"/>
                                <w:bottom w:val="none" w:sz="0" w:space="0" w:color="auto"/>
                                <w:right w:val="none" w:sz="0" w:space="0" w:color="auto"/>
                              </w:divBdr>
                              <w:divsChild>
                                <w:div w:id="2136213899">
                                  <w:marLeft w:val="0"/>
                                  <w:marRight w:val="0"/>
                                  <w:marTop w:val="0"/>
                                  <w:marBottom w:val="0"/>
                                  <w:divBdr>
                                    <w:top w:val="none" w:sz="0" w:space="0" w:color="auto"/>
                                    <w:left w:val="none" w:sz="0" w:space="0" w:color="auto"/>
                                    <w:bottom w:val="none" w:sz="0" w:space="0" w:color="auto"/>
                                    <w:right w:val="none" w:sz="0" w:space="0" w:color="auto"/>
                                  </w:divBdr>
                                  <w:divsChild>
                                    <w:div w:id="1005977995">
                                      <w:marLeft w:val="0"/>
                                      <w:marRight w:val="0"/>
                                      <w:marTop w:val="0"/>
                                      <w:marBottom w:val="0"/>
                                      <w:divBdr>
                                        <w:top w:val="none" w:sz="0" w:space="0" w:color="auto"/>
                                        <w:left w:val="none" w:sz="0" w:space="0" w:color="auto"/>
                                        <w:bottom w:val="none" w:sz="0" w:space="0" w:color="auto"/>
                                        <w:right w:val="none" w:sz="0" w:space="0" w:color="auto"/>
                                      </w:divBdr>
                                      <w:divsChild>
                                        <w:div w:id="2065248334">
                                          <w:marLeft w:val="30"/>
                                          <w:marRight w:val="30"/>
                                          <w:marTop w:val="30"/>
                                          <w:marBottom w:val="0"/>
                                          <w:divBdr>
                                            <w:top w:val="none" w:sz="0" w:space="0" w:color="auto"/>
                                            <w:left w:val="none" w:sz="0" w:space="0" w:color="auto"/>
                                            <w:bottom w:val="none" w:sz="0" w:space="0" w:color="auto"/>
                                            <w:right w:val="none" w:sz="0" w:space="0" w:color="auto"/>
                                          </w:divBdr>
                                          <w:divsChild>
                                            <w:div w:id="531114917">
                                              <w:marLeft w:val="210"/>
                                              <w:marRight w:val="210"/>
                                              <w:marTop w:val="0"/>
                                              <w:marBottom w:val="30"/>
                                              <w:divBdr>
                                                <w:top w:val="none" w:sz="0" w:space="0" w:color="auto"/>
                                                <w:left w:val="none" w:sz="0" w:space="0" w:color="auto"/>
                                                <w:bottom w:val="none" w:sz="0" w:space="0" w:color="auto"/>
                                                <w:right w:val="none" w:sz="0" w:space="0" w:color="auto"/>
                                              </w:divBdr>
                                              <w:divsChild>
                                                <w:div w:id="1971858155">
                                                  <w:marLeft w:val="0"/>
                                                  <w:marRight w:val="30"/>
                                                  <w:marTop w:val="0"/>
                                                  <w:marBottom w:val="0"/>
                                                  <w:divBdr>
                                                    <w:top w:val="none" w:sz="0" w:space="0" w:color="auto"/>
                                                    <w:left w:val="none" w:sz="0" w:space="0" w:color="auto"/>
                                                    <w:bottom w:val="none" w:sz="0" w:space="0" w:color="auto"/>
                                                    <w:right w:val="none" w:sz="0" w:space="0" w:color="auto"/>
                                                  </w:divBdr>
                                                  <w:divsChild>
                                                    <w:div w:id="1190484167">
                                                      <w:marLeft w:val="0"/>
                                                      <w:marRight w:val="0"/>
                                                      <w:marTop w:val="0"/>
                                                      <w:marBottom w:val="0"/>
                                                      <w:divBdr>
                                                        <w:top w:val="none" w:sz="0" w:space="0" w:color="auto"/>
                                                        <w:left w:val="none" w:sz="0" w:space="0" w:color="auto"/>
                                                        <w:bottom w:val="none" w:sz="0" w:space="0" w:color="auto"/>
                                                        <w:right w:val="none" w:sz="0" w:space="0" w:color="auto"/>
                                                      </w:divBdr>
                                                      <w:divsChild>
                                                        <w:div w:id="1800342994">
                                                          <w:marLeft w:val="0"/>
                                                          <w:marRight w:val="0"/>
                                                          <w:marTop w:val="0"/>
                                                          <w:marBottom w:val="0"/>
                                                          <w:divBdr>
                                                            <w:top w:val="none" w:sz="0" w:space="0" w:color="auto"/>
                                                            <w:left w:val="none" w:sz="0" w:space="0" w:color="auto"/>
                                                            <w:bottom w:val="none" w:sz="0" w:space="0" w:color="auto"/>
                                                            <w:right w:val="none" w:sz="0" w:space="0" w:color="auto"/>
                                                          </w:divBdr>
                                                          <w:divsChild>
                                                            <w:div w:id="842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67873">
                                      <w:marLeft w:val="120"/>
                                      <w:marRight w:val="120"/>
                                      <w:marTop w:val="0"/>
                                      <w:marBottom w:val="0"/>
                                      <w:divBdr>
                                        <w:top w:val="none" w:sz="0" w:space="0" w:color="auto"/>
                                        <w:left w:val="none" w:sz="0" w:space="0" w:color="auto"/>
                                        <w:bottom w:val="none" w:sz="0" w:space="0" w:color="auto"/>
                                        <w:right w:val="none" w:sz="0" w:space="0" w:color="auto"/>
                                      </w:divBdr>
                                      <w:divsChild>
                                        <w:div w:id="1578712842">
                                          <w:marLeft w:val="30"/>
                                          <w:marRight w:val="30"/>
                                          <w:marTop w:val="135"/>
                                          <w:marBottom w:val="135"/>
                                          <w:divBdr>
                                            <w:top w:val="single" w:sz="6" w:space="0" w:color="8A8886"/>
                                            <w:left w:val="single" w:sz="6" w:space="0" w:color="8A8886"/>
                                            <w:bottom w:val="single" w:sz="6" w:space="0" w:color="8A8886"/>
                                            <w:right w:val="single" w:sz="6" w:space="0" w:color="8A8886"/>
                                          </w:divBdr>
                                          <w:divsChild>
                                            <w:div w:id="291328301">
                                              <w:marLeft w:val="0"/>
                                              <w:marRight w:val="0"/>
                                              <w:marTop w:val="0"/>
                                              <w:marBottom w:val="0"/>
                                              <w:divBdr>
                                                <w:top w:val="none" w:sz="0" w:space="0" w:color="auto"/>
                                                <w:left w:val="none" w:sz="0" w:space="0" w:color="auto"/>
                                                <w:bottom w:val="none" w:sz="0" w:space="0" w:color="auto"/>
                                                <w:right w:val="none" w:sz="0" w:space="0" w:color="auto"/>
                                              </w:divBdr>
                                              <w:divsChild>
                                                <w:div w:id="2086491536">
                                                  <w:marLeft w:val="0"/>
                                                  <w:marRight w:val="0"/>
                                                  <w:marTop w:val="0"/>
                                                  <w:marBottom w:val="0"/>
                                                  <w:divBdr>
                                                    <w:top w:val="none" w:sz="0" w:space="0" w:color="auto"/>
                                                    <w:left w:val="none" w:sz="0" w:space="0" w:color="auto"/>
                                                    <w:bottom w:val="none" w:sz="0" w:space="0" w:color="auto"/>
                                                    <w:right w:val="none" w:sz="0" w:space="0" w:color="auto"/>
                                                  </w:divBdr>
                                                  <w:divsChild>
                                                    <w:div w:id="7798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9395">
                              <w:marLeft w:val="0"/>
                              <w:marRight w:val="0"/>
                              <w:marTop w:val="0"/>
                              <w:marBottom w:val="0"/>
                              <w:divBdr>
                                <w:top w:val="none" w:sz="0" w:space="0" w:color="auto"/>
                                <w:left w:val="none" w:sz="0" w:space="0" w:color="auto"/>
                                <w:bottom w:val="none" w:sz="0" w:space="0" w:color="auto"/>
                                <w:right w:val="none" w:sz="0" w:space="0" w:color="auto"/>
                              </w:divBdr>
                              <w:divsChild>
                                <w:div w:id="1882594094">
                                  <w:marLeft w:val="210"/>
                                  <w:marRight w:val="0"/>
                                  <w:marTop w:val="120"/>
                                  <w:marBottom w:val="0"/>
                                  <w:divBdr>
                                    <w:top w:val="none" w:sz="0" w:space="0" w:color="auto"/>
                                    <w:left w:val="none" w:sz="0" w:space="0" w:color="auto"/>
                                    <w:bottom w:val="none" w:sz="0" w:space="0" w:color="auto"/>
                                    <w:right w:val="none" w:sz="0" w:space="0" w:color="auto"/>
                                  </w:divBdr>
                                  <w:divsChild>
                                    <w:div w:id="1221361219">
                                      <w:marLeft w:val="0"/>
                                      <w:marRight w:val="0"/>
                                      <w:marTop w:val="0"/>
                                      <w:marBottom w:val="0"/>
                                      <w:divBdr>
                                        <w:top w:val="none" w:sz="0" w:space="0" w:color="auto"/>
                                        <w:left w:val="none" w:sz="0" w:space="0" w:color="auto"/>
                                        <w:bottom w:val="none" w:sz="0" w:space="0" w:color="auto"/>
                                        <w:right w:val="none" w:sz="0" w:space="0" w:color="auto"/>
                                      </w:divBdr>
                                      <w:divsChild>
                                        <w:div w:id="33103327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224575">
          <w:marLeft w:val="0"/>
          <w:marRight w:val="0"/>
          <w:marTop w:val="0"/>
          <w:marBottom w:val="0"/>
          <w:divBdr>
            <w:top w:val="none" w:sz="0" w:space="0" w:color="auto"/>
            <w:left w:val="none" w:sz="0" w:space="0" w:color="auto"/>
            <w:bottom w:val="none" w:sz="0" w:space="0" w:color="auto"/>
            <w:right w:val="none" w:sz="0" w:space="0" w:color="auto"/>
          </w:divBdr>
          <w:divsChild>
            <w:div w:id="2106458375">
              <w:marLeft w:val="0"/>
              <w:marRight w:val="0"/>
              <w:marTop w:val="0"/>
              <w:marBottom w:val="0"/>
              <w:divBdr>
                <w:top w:val="none" w:sz="0" w:space="0" w:color="auto"/>
                <w:left w:val="none" w:sz="0" w:space="0" w:color="auto"/>
                <w:bottom w:val="none" w:sz="0" w:space="0" w:color="auto"/>
                <w:right w:val="none" w:sz="0" w:space="0" w:color="auto"/>
              </w:divBdr>
              <w:divsChild>
                <w:div w:id="1520046778">
                  <w:marLeft w:val="0"/>
                  <w:marRight w:val="0"/>
                  <w:marTop w:val="0"/>
                  <w:marBottom w:val="0"/>
                  <w:divBdr>
                    <w:top w:val="none" w:sz="0" w:space="0" w:color="auto"/>
                    <w:left w:val="none" w:sz="0" w:space="0" w:color="auto"/>
                    <w:bottom w:val="none" w:sz="0" w:space="0" w:color="auto"/>
                    <w:right w:val="none" w:sz="0" w:space="0" w:color="auto"/>
                  </w:divBdr>
                  <w:divsChild>
                    <w:div w:id="274333912">
                      <w:marLeft w:val="0"/>
                      <w:marRight w:val="0"/>
                      <w:marTop w:val="0"/>
                      <w:marBottom w:val="0"/>
                      <w:divBdr>
                        <w:top w:val="none" w:sz="0" w:space="0" w:color="auto"/>
                        <w:left w:val="none" w:sz="0" w:space="0" w:color="auto"/>
                        <w:bottom w:val="none" w:sz="0" w:space="0" w:color="auto"/>
                        <w:right w:val="none" w:sz="0" w:space="0" w:color="auto"/>
                      </w:divBdr>
                      <w:divsChild>
                        <w:div w:id="817039548">
                          <w:marLeft w:val="0"/>
                          <w:marRight w:val="0"/>
                          <w:marTop w:val="0"/>
                          <w:marBottom w:val="0"/>
                          <w:divBdr>
                            <w:top w:val="single" w:sz="6" w:space="0" w:color="EAEAEA"/>
                            <w:left w:val="single" w:sz="6" w:space="0" w:color="EAEAEA"/>
                            <w:bottom w:val="single" w:sz="6" w:space="0" w:color="EAEAEA"/>
                            <w:right w:val="single" w:sz="6" w:space="0" w:color="EAEAEA"/>
                          </w:divBdr>
                          <w:divsChild>
                            <w:div w:id="34670487">
                              <w:marLeft w:val="0"/>
                              <w:marRight w:val="0"/>
                              <w:marTop w:val="0"/>
                              <w:marBottom w:val="0"/>
                              <w:divBdr>
                                <w:top w:val="none" w:sz="0" w:space="0" w:color="auto"/>
                                <w:left w:val="none" w:sz="0" w:space="0" w:color="auto"/>
                                <w:bottom w:val="none" w:sz="0" w:space="0" w:color="auto"/>
                                <w:right w:val="none" w:sz="0" w:space="0" w:color="auto"/>
                              </w:divBdr>
                              <w:divsChild>
                                <w:div w:id="164901698">
                                  <w:marLeft w:val="0"/>
                                  <w:marRight w:val="0"/>
                                  <w:marTop w:val="0"/>
                                  <w:marBottom w:val="0"/>
                                  <w:divBdr>
                                    <w:top w:val="none" w:sz="0" w:space="0" w:color="auto"/>
                                    <w:left w:val="none" w:sz="0" w:space="0" w:color="auto"/>
                                    <w:bottom w:val="none" w:sz="0" w:space="0" w:color="auto"/>
                                    <w:right w:val="none" w:sz="0" w:space="0" w:color="auto"/>
                                  </w:divBdr>
                                  <w:divsChild>
                                    <w:div w:id="1396976593">
                                      <w:marLeft w:val="0"/>
                                      <w:marRight w:val="0"/>
                                      <w:marTop w:val="0"/>
                                      <w:marBottom w:val="0"/>
                                      <w:divBdr>
                                        <w:top w:val="none" w:sz="0" w:space="0" w:color="auto"/>
                                        <w:left w:val="none" w:sz="0" w:space="0" w:color="auto"/>
                                        <w:bottom w:val="none" w:sz="0" w:space="0" w:color="auto"/>
                                        <w:right w:val="none" w:sz="0" w:space="0" w:color="auto"/>
                                      </w:divBdr>
                                      <w:divsChild>
                                        <w:div w:id="1156460156">
                                          <w:marLeft w:val="30"/>
                                          <w:marRight w:val="30"/>
                                          <w:marTop w:val="30"/>
                                          <w:marBottom w:val="0"/>
                                          <w:divBdr>
                                            <w:top w:val="none" w:sz="0" w:space="0" w:color="auto"/>
                                            <w:left w:val="none" w:sz="0" w:space="0" w:color="auto"/>
                                            <w:bottom w:val="none" w:sz="0" w:space="0" w:color="auto"/>
                                            <w:right w:val="none" w:sz="0" w:space="0" w:color="auto"/>
                                          </w:divBdr>
                                          <w:divsChild>
                                            <w:div w:id="408697858">
                                              <w:marLeft w:val="210"/>
                                              <w:marRight w:val="210"/>
                                              <w:marTop w:val="0"/>
                                              <w:marBottom w:val="30"/>
                                              <w:divBdr>
                                                <w:top w:val="none" w:sz="0" w:space="0" w:color="auto"/>
                                                <w:left w:val="none" w:sz="0" w:space="0" w:color="auto"/>
                                                <w:bottom w:val="none" w:sz="0" w:space="0" w:color="auto"/>
                                                <w:right w:val="none" w:sz="0" w:space="0" w:color="auto"/>
                                              </w:divBdr>
                                              <w:divsChild>
                                                <w:div w:id="375160638">
                                                  <w:marLeft w:val="0"/>
                                                  <w:marRight w:val="30"/>
                                                  <w:marTop w:val="0"/>
                                                  <w:marBottom w:val="0"/>
                                                  <w:divBdr>
                                                    <w:top w:val="none" w:sz="0" w:space="0" w:color="auto"/>
                                                    <w:left w:val="none" w:sz="0" w:space="0" w:color="auto"/>
                                                    <w:bottom w:val="none" w:sz="0" w:space="0" w:color="auto"/>
                                                    <w:right w:val="none" w:sz="0" w:space="0" w:color="auto"/>
                                                  </w:divBdr>
                                                  <w:divsChild>
                                                    <w:div w:id="1097673741">
                                                      <w:marLeft w:val="0"/>
                                                      <w:marRight w:val="0"/>
                                                      <w:marTop w:val="0"/>
                                                      <w:marBottom w:val="0"/>
                                                      <w:divBdr>
                                                        <w:top w:val="none" w:sz="0" w:space="0" w:color="auto"/>
                                                        <w:left w:val="none" w:sz="0" w:space="0" w:color="auto"/>
                                                        <w:bottom w:val="none" w:sz="0" w:space="0" w:color="auto"/>
                                                        <w:right w:val="none" w:sz="0" w:space="0" w:color="auto"/>
                                                      </w:divBdr>
                                                      <w:divsChild>
                                                        <w:div w:id="16006987">
                                                          <w:marLeft w:val="0"/>
                                                          <w:marRight w:val="0"/>
                                                          <w:marTop w:val="0"/>
                                                          <w:marBottom w:val="0"/>
                                                          <w:divBdr>
                                                            <w:top w:val="none" w:sz="0" w:space="0" w:color="auto"/>
                                                            <w:left w:val="none" w:sz="0" w:space="0" w:color="auto"/>
                                                            <w:bottom w:val="none" w:sz="0" w:space="0" w:color="auto"/>
                                                            <w:right w:val="none" w:sz="0" w:space="0" w:color="auto"/>
                                                          </w:divBdr>
                                                          <w:divsChild>
                                                            <w:div w:id="3156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437089">
                              <w:marLeft w:val="0"/>
                              <w:marRight w:val="0"/>
                              <w:marTop w:val="0"/>
                              <w:marBottom w:val="0"/>
                              <w:divBdr>
                                <w:top w:val="none" w:sz="0" w:space="0" w:color="auto"/>
                                <w:left w:val="none" w:sz="0" w:space="0" w:color="auto"/>
                                <w:bottom w:val="none" w:sz="0" w:space="0" w:color="auto"/>
                                <w:right w:val="none" w:sz="0" w:space="0" w:color="auto"/>
                              </w:divBdr>
                              <w:divsChild>
                                <w:div w:id="362632332">
                                  <w:marLeft w:val="210"/>
                                  <w:marRight w:val="0"/>
                                  <w:marTop w:val="120"/>
                                  <w:marBottom w:val="0"/>
                                  <w:divBdr>
                                    <w:top w:val="none" w:sz="0" w:space="0" w:color="auto"/>
                                    <w:left w:val="none" w:sz="0" w:space="0" w:color="auto"/>
                                    <w:bottom w:val="none" w:sz="0" w:space="0" w:color="auto"/>
                                    <w:right w:val="none" w:sz="0" w:space="0" w:color="auto"/>
                                  </w:divBdr>
                                  <w:divsChild>
                                    <w:div w:id="676006666">
                                      <w:marLeft w:val="0"/>
                                      <w:marRight w:val="0"/>
                                      <w:marTop w:val="0"/>
                                      <w:marBottom w:val="0"/>
                                      <w:divBdr>
                                        <w:top w:val="none" w:sz="0" w:space="0" w:color="auto"/>
                                        <w:left w:val="none" w:sz="0" w:space="0" w:color="auto"/>
                                        <w:bottom w:val="none" w:sz="0" w:space="0" w:color="auto"/>
                                        <w:right w:val="none" w:sz="0" w:space="0" w:color="auto"/>
                                      </w:divBdr>
                                      <w:divsChild>
                                        <w:div w:id="112049041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519782353">
                                  <w:marLeft w:val="90"/>
                                  <w:marRight w:val="120"/>
                                  <w:marTop w:val="120"/>
                                  <w:marBottom w:val="120"/>
                                  <w:divBdr>
                                    <w:top w:val="none" w:sz="0" w:space="0" w:color="auto"/>
                                    <w:left w:val="none" w:sz="0" w:space="0" w:color="auto"/>
                                    <w:bottom w:val="none" w:sz="0" w:space="0" w:color="auto"/>
                                    <w:right w:val="none" w:sz="0" w:space="0" w:color="auto"/>
                                  </w:divBdr>
                                  <w:divsChild>
                                    <w:div w:id="1593736939">
                                      <w:marLeft w:val="0"/>
                                      <w:marRight w:val="0"/>
                                      <w:marTop w:val="0"/>
                                      <w:marBottom w:val="0"/>
                                      <w:divBdr>
                                        <w:top w:val="none" w:sz="0" w:space="0" w:color="auto"/>
                                        <w:left w:val="none" w:sz="0" w:space="0" w:color="auto"/>
                                        <w:bottom w:val="none" w:sz="0" w:space="0" w:color="auto"/>
                                        <w:right w:val="none" w:sz="0" w:space="0" w:color="auto"/>
                                      </w:divBdr>
                                      <w:divsChild>
                                        <w:div w:id="1025599608">
                                          <w:marLeft w:val="0"/>
                                          <w:marRight w:val="0"/>
                                          <w:marTop w:val="0"/>
                                          <w:marBottom w:val="0"/>
                                          <w:divBdr>
                                            <w:top w:val="none" w:sz="0" w:space="0" w:color="auto"/>
                                            <w:left w:val="none" w:sz="0" w:space="0" w:color="auto"/>
                                            <w:bottom w:val="none" w:sz="0" w:space="0" w:color="auto"/>
                                            <w:right w:val="none" w:sz="0" w:space="0" w:color="auto"/>
                                          </w:divBdr>
                                        </w:div>
                                        <w:div w:id="20188456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635474">
      <w:bodyDiv w:val="1"/>
      <w:marLeft w:val="0"/>
      <w:marRight w:val="0"/>
      <w:marTop w:val="0"/>
      <w:marBottom w:val="0"/>
      <w:divBdr>
        <w:top w:val="none" w:sz="0" w:space="0" w:color="auto"/>
        <w:left w:val="none" w:sz="0" w:space="0" w:color="auto"/>
        <w:bottom w:val="none" w:sz="0" w:space="0" w:color="auto"/>
        <w:right w:val="none" w:sz="0" w:space="0" w:color="auto"/>
      </w:divBdr>
      <w:divsChild>
        <w:div w:id="1337345890">
          <w:marLeft w:val="0"/>
          <w:marRight w:val="0"/>
          <w:marTop w:val="0"/>
          <w:marBottom w:val="0"/>
          <w:divBdr>
            <w:top w:val="none" w:sz="0" w:space="0" w:color="auto"/>
            <w:left w:val="none" w:sz="0" w:space="0" w:color="auto"/>
            <w:bottom w:val="none" w:sz="0" w:space="0" w:color="auto"/>
            <w:right w:val="none" w:sz="0" w:space="0" w:color="auto"/>
          </w:divBdr>
          <w:divsChild>
            <w:div w:id="430274067">
              <w:marLeft w:val="0"/>
              <w:marRight w:val="0"/>
              <w:marTop w:val="0"/>
              <w:marBottom w:val="0"/>
              <w:divBdr>
                <w:top w:val="none" w:sz="0" w:space="0" w:color="auto"/>
                <w:left w:val="none" w:sz="0" w:space="0" w:color="auto"/>
                <w:bottom w:val="none" w:sz="0" w:space="0" w:color="auto"/>
                <w:right w:val="none" w:sz="0" w:space="0" w:color="auto"/>
              </w:divBdr>
              <w:divsChild>
                <w:div w:id="7755412">
                  <w:marLeft w:val="0"/>
                  <w:marRight w:val="0"/>
                  <w:marTop w:val="0"/>
                  <w:marBottom w:val="0"/>
                  <w:divBdr>
                    <w:top w:val="none" w:sz="0" w:space="0" w:color="auto"/>
                    <w:left w:val="none" w:sz="0" w:space="0" w:color="auto"/>
                    <w:bottom w:val="none" w:sz="0" w:space="0" w:color="auto"/>
                    <w:right w:val="none" w:sz="0" w:space="0" w:color="auto"/>
                  </w:divBdr>
                  <w:divsChild>
                    <w:div w:id="147669790">
                      <w:marLeft w:val="30"/>
                      <w:marRight w:val="30"/>
                      <w:marTop w:val="30"/>
                      <w:marBottom w:val="0"/>
                      <w:divBdr>
                        <w:top w:val="none" w:sz="0" w:space="0" w:color="auto"/>
                        <w:left w:val="none" w:sz="0" w:space="0" w:color="auto"/>
                        <w:bottom w:val="none" w:sz="0" w:space="0" w:color="auto"/>
                        <w:right w:val="none" w:sz="0" w:space="0" w:color="auto"/>
                      </w:divBdr>
                      <w:divsChild>
                        <w:div w:id="1597595278">
                          <w:marLeft w:val="210"/>
                          <w:marRight w:val="210"/>
                          <w:marTop w:val="0"/>
                          <w:marBottom w:val="30"/>
                          <w:divBdr>
                            <w:top w:val="none" w:sz="0" w:space="0" w:color="auto"/>
                            <w:left w:val="none" w:sz="0" w:space="0" w:color="auto"/>
                            <w:bottom w:val="none" w:sz="0" w:space="0" w:color="auto"/>
                            <w:right w:val="none" w:sz="0" w:space="0" w:color="auto"/>
                          </w:divBdr>
                          <w:divsChild>
                            <w:div w:id="1366062314">
                              <w:marLeft w:val="0"/>
                              <w:marRight w:val="30"/>
                              <w:marTop w:val="0"/>
                              <w:marBottom w:val="0"/>
                              <w:divBdr>
                                <w:top w:val="none" w:sz="0" w:space="0" w:color="auto"/>
                                <w:left w:val="none" w:sz="0" w:space="0" w:color="auto"/>
                                <w:bottom w:val="none" w:sz="0" w:space="0" w:color="auto"/>
                                <w:right w:val="none" w:sz="0" w:space="0" w:color="auto"/>
                              </w:divBdr>
                              <w:divsChild>
                                <w:div w:id="1471434699">
                                  <w:marLeft w:val="0"/>
                                  <w:marRight w:val="0"/>
                                  <w:marTop w:val="0"/>
                                  <w:marBottom w:val="0"/>
                                  <w:divBdr>
                                    <w:top w:val="none" w:sz="0" w:space="0" w:color="auto"/>
                                    <w:left w:val="none" w:sz="0" w:space="0" w:color="auto"/>
                                    <w:bottom w:val="none" w:sz="0" w:space="0" w:color="auto"/>
                                    <w:right w:val="none" w:sz="0" w:space="0" w:color="auto"/>
                                  </w:divBdr>
                                  <w:divsChild>
                                    <w:div w:id="1284338375">
                                      <w:marLeft w:val="0"/>
                                      <w:marRight w:val="0"/>
                                      <w:marTop w:val="0"/>
                                      <w:marBottom w:val="0"/>
                                      <w:divBdr>
                                        <w:top w:val="none" w:sz="0" w:space="0" w:color="auto"/>
                                        <w:left w:val="none" w:sz="0" w:space="0" w:color="auto"/>
                                        <w:bottom w:val="none" w:sz="0" w:space="0" w:color="auto"/>
                                        <w:right w:val="none" w:sz="0" w:space="0" w:color="auto"/>
                                      </w:divBdr>
                                      <w:divsChild>
                                        <w:div w:id="13782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195624">
          <w:marLeft w:val="0"/>
          <w:marRight w:val="0"/>
          <w:marTop w:val="0"/>
          <w:marBottom w:val="0"/>
          <w:divBdr>
            <w:top w:val="none" w:sz="0" w:space="0" w:color="auto"/>
            <w:left w:val="none" w:sz="0" w:space="0" w:color="auto"/>
            <w:bottom w:val="none" w:sz="0" w:space="0" w:color="auto"/>
            <w:right w:val="none" w:sz="0" w:space="0" w:color="auto"/>
          </w:divBdr>
          <w:divsChild>
            <w:div w:id="1285648048">
              <w:marLeft w:val="210"/>
              <w:marRight w:val="0"/>
              <w:marTop w:val="120"/>
              <w:marBottom w:val="0"/>
              <w:divBdr>
                <w:top w:val="none" w:sz="0" w:space="0" w:color="auto"/>
                <w:left w:val="none" w:sz="0" w:space="0" w:color="auto"/>
                <w:bottom w:val="none" w:sz="0" w:space="0" w:color="auto"/>
                <w:right w:val="none" w:sz="0" w:space="0" w:color="auto"/>
              </w:divBdr>
              <w:divsChild>
                <w:div w:id="255022825">
                  <w:marLeft w:val="0"/>
                  <w:marRight w:val="0"/>
                  <w:marTop w:val="0"/>
                  <w:marBottom w:val="0"/>
                  <w:divBdr>
                    <w:top w:val="none" w:sz="0" w:space="0" w:color="auto"/>
                    <w:left w:val="none" w:sz="0" w:space="0" w:color="auto"/>
                    <w:bottom w:val="none" w:sz="0" w:space="0" w:color="auto"/>
                    <w:right w:val="none" w:sz="0" w:space="0" w:color="auto"/>
                  </w:divBdr>
                  <w:divsChild>
                    <w:div w:id="96338684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587277700">
      <w:bodyDiv w:val="1"/>
      <w:marLeft w:val="0"/>
      <w:marRight w:val="0"/>
      <w:marTop w:val="0"/>
      <w:marBottom w:val="0"/>
      <w:divBdr>
        <w:top w:val="none" w:sz="0" w:space="0" w:color="auto"/>
        <w:left w:val="none" w:sz="0" w:space="0" w:color="auto"/>
        <w:bottom w:val="none" w:sz="0" w:space="0" w:color="auto"/>
        <w:right w:val="none" w:sz="0" w:space="0" w:color="auto"/>
      </w:divBdr>
    </w:div>
    <w:div w:id="598568238">
      <w:bodyDiv w:val="1"/>
      <w:marLeft w:val="0"/>
      <w:marRight w:val="0"/>
      <w:marTop w:val="0"/>
      <w:marBottom w:val="0"/>
      <w:divBdr>
        <w:top w:val="none" w:sz="0" w:space="0" w:color="auto"/>
        <w:left w:val="none" w:sz="0" w:space="0" w:color="auto"/>
        <w:bottom w:val="none" w:sz="0" w:space="0" w:color="auto"/>
        <w:right w:val="none" w:sz="0" w:space="0" w:color="auto"/>
      </w:divBdr>
    </w:div>
    <w:div w:id="645165128">
      <w:bodyDiv w:val="1"/>
      <w:marLeft w:val="0"/>
      <w:marRight w:val="0"/>
      <w:marTop w:val="0"/>
      <w:marBottom w:val="0"/>
      <w:divBdr>
        <w:top w:val="none" w:sz="0" w:space="0" w:color="auto"/>
        <w:left w:val="none" w:sz="0" w:space="0" w:color="auto"/>
        <w:bottom w:val="none" w:sz="0" w:space="0" w:color="auto"/>
        <w:right w:val="none" w:sz="0" w:space="0" w:color="auto"/>
      </w:divBdr>
      <w:divsChild>
        <w:div w:id="1005091010">
          <w:marLeft w:val="0"/>
          <w:marRight w:val="0"/>
          <w:marTop w:val="0"/>
          <w:marBottom w:val="0"/>
          <w:divBdr>
            <w:top w:val="none" w:sz="0" w:space="0" w:color="auto"/>
            <w:left w:val="none" w:sz="0" w:space="0" w:color="auto"/>
            <w:bottom w:val="none" w:sz="0" w:space="0" w:color="auto"/>
            <w:right w:val="none" w:sz="0" w:space="0" w:color="auto"/>
          </w:divBdr>
        </w:div>
        <w:div w:id="1550073114">
          <w:marLeft w:val="0"/>
          <w:marRight w:val="0"/>
          <w:marTop w:val="0"/>
          <w:marBottom w:val="0"/>
          <w:divBdr>
            <w:top w:val="none" w:sz="0" w:space="0" w:color="auto"/>
            <w:left w:val="none" w:sz="0" w:space="0" w:color="auto"/>
            <w:bottom w:val="none" w:sz="0" w:space="0" w:color="auto"/>
            <w:right w:val="none" w:sz="0" w:space="0" w:color="auto"/>
          </w:divBdr>
        </w:div>
        <w:div w:id="1644580078">
          <w:marLeft w:val="0"/>
          <w:marRight w:val="0"/>
          <w:marTop w:val="0"/>
          <w:marBottom w:val="0"/>
          <w:divBdr>
            <w:top w:val="none" w:sz="0" w:space="0" w:color="auto"/>
            <w:left w:val="none" w:sz="0" w:space="0" w:color="auto"/>
            <w:bottom w:val="none" w:sz="0" w:space="0" w:color="auto"/>
            <w:right w:val="none" w:sz="0" w:space="0" w:color="auto"/>
          </w:divBdr>
        </w:div>
      </w:divsChild>
    </w:div>
    <w:div w:id="651569432">
      <w:bodyDiv w:val="1"/>
      <w:marLeft w:val="0"/>
      <w:marRight w:val="0"/>
      <w:marTop w:val="0"/>
      <w:marBottom w:val="0"/>
      <w:divBdr>
        <w:top w:val="none" w:sz="0" w:space="0" w:color="auto"/>
        <w:left w:val="none" w:sz="0" w:space="0" w:color="auto"/>
        <w:bottom w:val="none" w:sz="0" w:space="0" w:color="auto"/>
        <w:right w:val="none" w:sz="0" w:space="0" w:color="auto"/>
      </w:divBdr>
      <w:divsChild>
        <w:div w:id="218901001">
          <w:marLeft w:val="0"/>
          <w:marRight w:val="0"/>
          <w:marTop w:val="0"/>
          <w:marBottom w:val="0"/>
          <w:divBdr>
            <w:top w:val="none" w:sz="0" w:space="0" w:color="auto"/>
            <w:left w:val="none" w:sz="0" w:space="0" w:color="auto"/>
            <w:bottom w:val="none" w:sz="0" w:space="0" w:color="auto"/>
            <w:right w:val="none" w:sz="0" w:space="0" w:color="auto"/>
          </w:divBdr>
        </w:div>
        <w:div w:id="1244529413">
          <w:marLeft w:val="0"/>
          <w:marRight w:val="0"/>
          <w:marTop w:val="0"/>
          <w:marBottom w:val="0"/>
          <w:divBdr>
            <w:top w:val="none" w:sz="0" w:space="0" w:color="auto"/>
            <w:left w:val="none" w:sz="0" w:space="0" w:color="auto"/>
            <w:bottom w:val="none" w:sz="0" w:space="0" w:color="auto"/>
            <w:right w:val="none" w:sz="0" w:space="0" w:color="auto"/>
          </w:divBdr>
        </w:div>
        <w:div w:id="1681660907">
          <w:marLeft w:val="0"/>
          <w:marRight w:val="0"/>
          <w:marTop w:val="0"/>
          <w:marBottom w:val="0"/>
          <w:divBdr>
            <w:top w:val="none" w:sz="0" w:space="0" w:color="auto"/>
            <w:left w:val="none" w:sz="0" w:space="0" w:color="auto"/>
            <w:bottom w:val="none" w:sz="0" w:space="0" w:color="auto"/>
            <w:right w:val="none" w:sz="0" w:space="0" w:color="auto"/>
          </w:divBdr>
        </w:div>
      </w:divsChild>
    </w:div>
    <w:div w:id="654844318">
      <w:bodyDiv w:val="1"/>
      <w:marLeft w:val="0"/>
      <w:marRight w:val="0"/>
      <w:marTop w:val="0"/>
      <w:marBottom w:val="0"/>
      <w:divBdr>
        <w:top w:val="none" w:sz="0" w:space="0" w:color="auto"/>
        <w:left w:val="none" w:sz="0" w:space="0" w:color="auto"/>
        <w:bottom w:val="none" w:sz="0" w:space="0" w:color="auto"/>
        <w:right w:val="none" w:sz="0" w:space="0" w:color="auto"/>
      </w:divBdr>
      <w:divsChild>
        <w:div w:id="712851791">
          <w:marLeft w:val="30"/>
          <w:marRight w:val="30"/>
          <w:marTop w:val="30"/>
          <w:marBottom w:val="0"/>
          <w:divBdr>
            <w:top w:val="none" w:sz="0" w:space="0" w:color="auto"/>
            <w:left w:val="none" w:sz="0" w:space="0" w:color="auto"/>
            <w:bottom w:val="none" w:sz="0" w:space="0" w:color="auto"/>
            <w:right w:val="none" w:sz="0" w:space="0" w:color="auto"/>
          </w:divBdr>
          <w:divsChild>
            <w:div w:id="155534802">
              <w:marLeft w:val="210"/>
              <w:marRight w:val="210"/>
              <w:marTop w:val="0"/>
              <w:marBottom w:val="30"/>
              <w:divBdr>
                <w:top w:val="none" w:sz="0" w:space="0" w:color="auto"/>
                <w:left w:val="none" w:sz="0" w:space="0" w:color="auto"/>
                <w:bottom w:val="none" w:sz="0" w:space="0" w:color="auto"/>
                <w:right w:val="none" w:sz="0" w:space="0" w:color="auto"/>
              </w:divBdr>
              <w:divsChild>
                <w:div w:id="90973130">
                  <w:marLeft w:val="45"/>
                  <w:marRight w:val="0"/>
                  <w:marTop w:val="0"/>
                  <w:marBottom w:val="0"/>
                  <w:divBdr>
                    <w:top w:val="none" w:sz="0" w:space="0" w:color="auto"/>
                    <w:left w:val="none" w:sz="0" w:space="0" w:color="auto"/>
                    <w:bottom w:val="none" w:sz="0" w:space="0" w:color="auto"/>
                    <w:right w:val="none" w:sz="0" w:space="0" w:color="auto"/>
                  </w:divBdr>
                </w:div>
                <w:div w:id="1828863387">
                  <w:marLeft w:val="0"/>
                  <w:marRight w:val="30"/>
                  <w:marTop w:val="0"/>
                  <w:marBottom w:val="0"/>
                  <w:divBdr>
                    <w:top w:val="none" w:sz="0" w:space="0" w:color="auto"/>
                    <w:left w:val="none" w:sz="0" w:space="0" w:color="auto"/>
                    <w:bottom w:val="none" w:sz="0" w:space="0" w:color="auto"/>
                    <w:right w:val="none" w:sz="0" w:space="0" w:color="auto"/>
                  </w:divBdr>
                  <w:divsChild>
                    <w:div w:id="637801016">
                      <w:marLeft w:val="0"/>
                      <w:marRight w:val="0"/>
                      <w:marTop w:val="0"/>
                      <w:marBottom w:val="0"/>
                      <w:divBdr>
                        <w:top w:val="none" w:sz="0" w:space="0" w:color="auto"/>
                        <w:left w:val="none" w:sz="0" w:space="0" w:color="auto"/>
                        <w:bottom w:val="none" w:sz="0" w:space="0" w:color="auto"/>
                        <w:right w:val="none" w:sz="0" w:space="0" w:color="auto"/>
                      </w:divBdr>
                      <w:divsChild>
                        <w:div w:id="956645658">
                          <w:marLeft w:val="0"/>
                          <w:marRight w:val="0"/>
                          <w:marTop w:val="0"/>
                          <w:marBottom w:val="0"/>
                          <w:divBdr>
                            <w:top w:val="none" w:sz="0" w:space="0" w:color="auto"/>
                            <w:left w:val="none" w:sz="0" w:space="0" w:color="auto"/>
                            <w:bottom w:val="none" w:sz="0" w:space="0" w:color="auto"/>
                            <w:right w:val="none" w:sz="0" w:space="0" w:color="auto"/>
                          </w:divBdr>
                          <w:divsChild>
                            <w:div w:id="21004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016184">
          <w:marLeft w:val="30"/>
          <w:marRight w:val="30"/>
          <w:marTop w:val="0"/>
          <w:marBottom w:val="0"/>
          <w:divBdr>
            <w:top w:val="none" w:sz="0" w:space="0" w:color="auto"/>
            <w:left w:val="none" w:sz="0" w:space="0" w:color="auto"/>
            <w:bottom w:val="none" w:sz="0" w:space="0" w:color="auto"/>
            <w:right w:val="none" w:sz="0" w:space="0" w:color="auto"/>
          </w:divBdr>
          <w:divsChild>
            <w:div w:id="203098317">
              <w:marLeft w:val="135"/>
              <w:marRight w:val="45"/>
              <w:marTop w:val="60"/>
              <w:marBottom w:val="60"/>
              <w:divBdr>
                <w:top w:val="none" w:sz="0" w:space="0" w:color="auto"/>
                <w:left w:val="none" w:sz="0" w:space="0" w:color="auto"/>
                <w:bottom w:val="none" w:sz="0" w:space="0" w:color="auto"/>
                <w:right w:val="none" w:sz="0" w:space="0" w:color="auto"/>
              </w:divBdr>
              <w:divsChild>
                <w:div w:id="351617456">
                  <w:marLeft w:val="0"/>
                  <w:marRight w:val="0"/>
                  <w:marTop w:val="0"/>
                  <w:marBottom w:val="0"/>
                  <w:divBdr>
                    <w:top w:val="none" w:sz="0" w:space="0" w:color="auto"/>
                    <w:left w:val="none" w:sz="0" w:space="0" w:color="auto"/>
                    <w:bottom w:val="none" w:sz="0" w:space="0" w:color="auto"/>
                    <w:right w:val="none" w:sz="0" w:space="0" w:color="auto"/>
                  </w:divBdr>
                  <w:divsChild>
                    <w:div w:id="839736450">
                      <w:marLeft w:val="0"/>
                      <w:marRight w:val="150"/>
                      <w:marTop w:val="0"/>
                      <w:marBottom w:val="0"/>
                      <w:divBdr>
                        <w:top w:val="none" w:sz="0" w:space="0" w:color="auto"/>
                        <w:left w:val="none" w:sz="0" w:space="0" w:color="auto"/>
                        <w:bottom w:val="none" w:sz="0" w:space="0" w:color="auto"/>
                        <w:right w:val="none" w:sz="0" w:space="0" w:color="auto"/>
                      </w:divBdr>
                    </w:div>
                    <w:div w:id="21107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24269">
              <w:marLeft w:val="0"/>
              <w:marRight w:val="90"/>
              <w:marTop w:val="90"/>
              <w:marBottom w:val="30"/>
              <w:divBdr>
                <w:top w:val="none" w:sz="0" w:space="0" w:color="auto"/>
                <w:left w:val="none" w:sz="0" w:space="0" w:color="auto"/>
                <w:bottom w:val="none" w:sz="0" w:space="0" w:color="auto"/>
                <w:right w:val="none" w:sz="0" w:space="0" w:color="auto"/>
              </w:divBdr>
              <w:divsChild>
                <w:div w:id="92364258">
                  <w:marLeft w:val="0"/>
                  <w:marRight w:val="0"/>
                  <w:marTop w:val="0"/>
                  <w:marBottom w:val="0"/>
                  <w:divBdr>
                    <w:top w:val="none" w:sz="0" w:space="0" w:color="auto"/>
                    <w:left w:val="none" w:sz="0" w:space="0" w:color="auto"/>
                    <w:bottom w:val="none" w:sz="0" w:space="0" w:color="auto"/>
                    <w:right w:val="none" w:sz="0" w:space="0" w:color="auto"/>
                  </w:divBdr>
                  <w:divsChild>
                    <w:div w:id="563178574">
                      <w:marLeft w:val="45"/>
                      <w:marRight w:val="0"/>
                      <w:marTop w:val="0"/>
                      <w:marBottom w:val="15"/>
                      <w:divBdr>
                        <w:top w:val="none" w:sz="0" w:space="0" w:color="auto"/>
                        <w:left w:val="none" w:sz="0" w:space="0" w:color="auto"/>
                        <w:bottom w:val="none" w:sz="0" w:space="0" w:color="auto"/>
                        <w:right w:val="none" w:sz="0" w:space="0" w:color="auto"/>
                      </w:divBdr>
                    </w:div>
                  </w:divsChild>
                </w:div>
                <w:div w:id="306128607">
                  <w:marLeft w:val="0"/>
                  <w:marRight w:val="30"/>
                  <w:marTop w:val="0"/>
                  <w:marBottom w:val="0"/>
                  <w:divBdr>
                    <w:top w:val="none" w:sz="0" w:space="0" w:color="auto"/>
                    <w:left w:val="none" w:sz="0" w:space="0" w:color="auto"/>
                    <w:bottom w:val="none" w:sz="0" w:space="0" w:color="auto"/>
                    <w:right w:val="none" w:sz="0" w:space="0" w:color="auto"/>
                  </w:divBdr>
                  <w:divsChild>
                    <w:div w:id="1277256578">
                      <w:marLeft w:val="0"/>
                      <w:marRight w:val="0"/>
                      <w:marTop w:val="0"/>
                      <w:marBottom w:val="0"/>
                      <w:divBdr>
                        <w:top w:val="none" w:sz="0" w:space="0" w:color="auto"/>
                        <w:left w:val="none" w:sz="0" w:space="0" w:color="auto"/>
                        <w:bottom w:val="none" w:sz="0" w:space="0" w:color="auto"/>
                        <w:right w:val="none" w:sz="0" w:space="0" w:color="auto"/>
                      </w:divBdr>
                      <w:divsChild>
                        <w:div w:id="766191367">
                          <w:marLeft w:val="0"/>
                          <w:marRight w:val="0"/>
                          <w:marTop w:val="0"/>
                          <w:marBottom w:val="0"/>
                          <w:divBdr>
                            <w:top w:val="none" w:sz="0" w:space="0" w:color="auto"/>
                            <w:left w:val="none" w:sz="0" w:space="0" w:color="auto"/>
                            <w:bottom w:val="none" w:sz="0" w:space="0" w:color="auto"/>
                            <w:right w:val="none" w:sz="0" w:space="0" w:color="auto"/>
                          </w:divBdr>
                          <w:divsChild>
                            <w:div w:id="126402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2593">
      <w:bodyDiv w:val="1"/>
      <w:marLeft w:val="0"/>
      <w:marRight w:val="0"/>
      <w:marTop w:val="0"/>
      <w:marBottom w:val="0"/>
      <w:divBdr>
        <w:top w:val="none" w:sz="0" w:space="0" w:color="auto"/>
        <w:left w:val="none" w:sz="0" w:space="0" w:color="auto"/>
        <w:bottom w:val="none" w:sz="0" w:space="0" w:color="auto"/>
        <w:right w:val="none" w:sz="0" w:space="0" w:color="auto"/>
      </w:divBdr>
    </w:div>
    <w:div w:id="681471240">
      <w:bodyDiv w:val="1"/>
      <w:marLeft w:val="0"/>
      <w:marRight w:val="0"/>
      <w:marTop w:val="0"/>
      <w:marBottom w:val="0"/>
      <w:divBdr>
        <w:top w:val="none" w:sz="0" w:space="0" w:color="auto"/>
        <w:left w:val="none" w:sz="0" w:space="0" w:color="auto"/>
        <w:bottom w:val="none" w:sz="0" w:space="0" w:color="auto"/>
        <w:right w:val="none" w:sz="0" w:space="0" w:color="auto"/>
      </w:divBdr>
      <w:divsChild>
        <w:div w:id="83459291">
          <w:marLeft w:val="0"/>
          <w:marRight w:val="0"/>
          <w:marTop w:val="0"/>
          <w:marBottom w:val="0"/>
          <w:divBdr>
            <w:top w:val="none" w:sz="0" w:space="0" w:color="auto"/>
            <w:left w:val="none" w:sz="0" w:space="0" w:color="auto"/>
            <w:bottom w:val="none" w:sz="0" w:space="0" w:color="auto"/>
            <w:right w:val="none" w:sz="0" w:space="0" w:color="auto"/>
          </w:divBdr>
        </w:div>
        <w:div w:id="1518809900">
          <w:marLeft w:val="0"/>
          <w:marRight w:val="0"/>
          <w:marTop w:val="0"/>
          <w:marBottom w:val="0"/>
          <w:divBdr>
            <w:top w:val="none" w:sz="0" w:space="0" w:color="auto"/>
            <w:left w:val="none" w:sz="0" w:space="0" w:color="auto"/>
            <w:bottom w:val="none" w:sz="0" w:space="0" w:color="auto"/>
            <w:right w:val="none" w:sz="0" w:space="0" w:color="auto"/>
          </w:divBdr>
        </w:div>
      </w:divsChild>
    </w:div>
    <w:div w:id="696738129">
      <w:bodyDiv w:val="1"/>
      <w:marLeft w:val="0"/>
      <w:marRight w:val="0"/>
      <w:marTop w:val="0"/>
      <w:marBottom w:val="0"/>
      <w:divBdr>
        <w:top w:val="none" w:sz="0" w:space="0" w:color="auto"/>
        <w:left w:val="none" w:sz="0" w:space="0" w:color="auto"/>
        <w:bottom w:val="none" w:sz="0" w:space="0" w:color="auto"/>
        <w:right w:val="none" w:sz="0" w:space="0" w:color="auto"/>
      </w:divBdr>
    </w:div>
    <w:div w:id="731076924">
      <w:bodyDiv w:val="1"/>
      <w:marLeft w:val="0"/>
      <w:marRight w:val="0"/>
      <w:marTop w:val="0"/>
      <w:marBottom w:val="0"/>
      <w:divBdr>
        <w:top w:val="none" w:sz="0" w:space="0" w:color="auto"/>
        <w:left w:val="none" w:sz="0" w:space="0" w:color="auto"/>
        <w:bottom w:val="none" w:sz="0" w:space="0" w:color="auto"/>
        <w:right w:val="none" w:sz="0" w:space="0" w:color="auto"/>
      </w:divBdr>
      <w:divsChild>
        <w:div w:id="92827810">
          <w:marLeft w:val="0"/>
          <w:marRight w:val="0"/>
          <w:marTop w:val="0"/>
          <w:marBottom w:val="0"/>
          <w:divBdr>
            <w:top w:val="none" w:sz="0" w:space="0" w:color="auto"/>
            <w:left w:val="none" w:sz="0" w:space="0" w:color="auto"/>
            <w:bottom w:val="none" w:sz="0" w:space="0" w:color="auto"/>
            <w:right w:val="none" w:sz="0" w:space="0" w:color="auto"/>
          </w:divBdr>
        </w:div>
        <w:div w:id="576667462">
          <w:marLeft w:val="0"/>
          <w:marRight w:val="0"/>
          <w:marTop w:val="0"/>
          <w:marBottom w:val="0"/>
          <w:divBdr>
            <w:top w:val="none" w:sz="0" w:space="0" w:color="auto"/>
            <w:left w:val="none" w:sz="0" w:space="0" w:color="auto"/>
            <w:bottom w:val="none" w:sz="0" w:space="0" w:color="auto"/>
            <w:right w:val="none" w:sz="0" w:space="0" w:color="auto"/>
          </w:divBdr>
        </w:div>
      </w:divsChild>
    </w:div>
    <w:div w:id="801464142">
      <w:bodyDiv w:val="1"/>
      <w:marLeft w:val="0"/>
      <w:marRight w:val="0"/>
      <w:marTop w:val="0"/>
      <w:marBottom w:val="0"/>
      <w:divBdr>
        <w:top w:val="none" w:sz="0" w:space="0" w:color="auto"/>
        <w:left w:val="none" w:sz="0" w:space="0" w:color="auto"/>
        <w:bottom w:val="none" w:sz="0" w:space="0" w:color="auto"/>
        <w:right w:val="none" w:sz="0" w:space="0" w:color="auto"/>
      </w:divBdr>
      <w:divsChild>
        <w:div w:id="116803979">
          <w:marLeft w:val="0"/>
          <w:marRight w:val="0"/>
          <w:marTop w:val="0"/>
          <w:marBottom w:val="0"/>
          <w:divBdr>
            <w:top w:val="none" w:sz="0" w:space="0" w:color="auto"/>
            <w:left w:val="none" w:sz="0" w:space="0" w:color="auto"/>
            <w:bottom w:val="none" w:sz="0" w:space="0" w:color="auto"/>
            <w:right w:val="none" w:sz="0" w:space="0" w:color="auto"/>
          </w:divBdr>
          <w:divsChild>
            <w:div w:id="1813718886">
              <w:marLeft w:val="210"/>
              <w:marRight w:val="0"/>
              <w:marTop w:val="120"/>
              <w:marBottom w:val="0"/>
              <w:divBdr>
                <w:top w:val="none" w:sz="0" w:space="0" w:color="auto"/>
                <w:left w:val="none" w:sz="0" w:space="0" w:color="auto"/>
                <w:bottom w:val="none" w:sz="0" w:space="0" w:color="auto"/>
                <w:right w:val="none" w:sz="0" w:space="0" w:color="auto"/>
              </w:divBdr>
              <w:divsChild>
                <w:div w:id="1781871832">
                  <w:marLeft w:val="0"/>
                  <w:marRight w:val="0"/>
                  <w:marTop w:val="0"/>
                  <w:marBottom w:val="0"/>
                  <w:divBdr>
                    <w:top w:val="none" w:sz="0" w:space="0" w:color="auto"/>
                    <w:left w:val="none" w:sz="0" w:space="0" w:color="auto"/>
                    <w:bottom w:val="none" w:sz="0" w:space="0" w:color="auto"/>
                    <w:right w:val="none" w:sz="0" w:space="0" w:color="auto"/>
                  </w:divBdr>
                  <w:divsChild>
                    <w:div w:id="163613393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877427825">
          <w:marLeft w:val="0"/>
          <w:marRight w:val="0"/>
          <w:marTop w:val="0"/>
          <w:marBottom w:val="0"/>
          <w:divBdr>
            <w:top w:val="none" w:sz="0" w:space="0" w:color="auto"/>
            <w:left w:val="none" w:sz="0" w:space="0" w:color="auto"/>
            <w:bottom w:val="none" w:sz="0" w:space="0" w:color="auto"/>
            <w:right w:val="none" w:sz="0" w:space="0" w:color="auto"/>
          </w:divBdr>
          <w:divsChild>
            <w:div w:id="1575356621">
              <w:marLeft w:val="0"/>
              <w:marRight w:val="0"/>
              <w:marTop w:val="0"/>
              <w:marBottom w:val="0"/>
              <w:divBdr>
                <w:top w:val="none" w:sz="0" w:space="0" w:color="auto"/>
                <w:left w:val="none" w:sz="0" w:space="0" w:color="auto"/>
                <w:bottom w:val="none" w:sz="0" w:space="0" w:color="auto"/>
                <w:right w:val="none" w:sz="0" w:space="0" w:color="auto"/>
              </w:divBdr>
              <w:divsChild>
                <w:div w:id="1620649302">
                  <w:marLeft w:val="0"/>
                  <w:marRight w:val="0"/>
                  <w:marTop w:val="0"/>
                  <w:marBottom w:val="0"/>
                  <w:divBdr>
                    <w:top w:val="none" w:sz="0" w:space="0" w:color="auto"/>
                    <w:left w:val="none" w:sz="0" w:space="0" w:color="auto"/>
                    <w:bottom w:val="none" w:sz="0" w:space="0" w:color="auto"/>
                    <w:right w:val="none" w:sz="0" w:space="0" w:color="auto"/>
                  </w:divBdr>
                  <w:divsChild>
                    <w:div w:id="255287031">
                      <w:marLeft w:val="30"/>
                      <w:marRight w:val="30"/>
                      <w:marTop w:val="30"/>
                      <w:marBottom w:val="0"/>
                      <w:divBdr>
                        <w:top w:val="none" w:sz="0" w:space="0" w:color="auto"/>
                        <w:left w:val="none" w:sz="0" w:space="0" w:color="auto"/>
                        <w:bottom w:val="none" w:sz="0" w:space="0" w:color="auto"/>
                        <w:right w:val="none" w:sz="0" w:space="0" w:color="auto"/>
                      </w:divBdr>
                      <w:divsChild>
                        <w:div w:id="1554005720">
                          <w:marLeft w:val="210"/>
                          <w:marRight w:val="210"/>
                          <w:marTop w:val="0"/>
                          <w:marBottom w:val="30"/>
                          <w:divBdr>
                            <w:top w:val="none" w:sz="0" w:space="0" w:color="auto"/>
                            <w:left w:val="none" w:sz="0" w:space="0" w:color="auto"/>
                            <w:bottom w:val="none" w:sz="0" w:space="0" w:color="auto"/>
                            <w:right w:val="none" w:sz="0" w:space="0" w:color="auto"/>
                          </w:divBdr>
                          <w:divsChild>
                            <w:div w:id="66150596">
                              <w:marLeft w:val="45"/>
                              <w:marRight w:val="0"/>
                              <w:marTop w:val="0"/>
                              <w:marBottom w:val="0"/>
                              <w:divBdr>
                                <w:top w:val="none" w:sz="0" w:space="0" w:color="auto"/>
                                <w:left w:val="none" w:sz="0" w:space="0" w:color="auto"/>
                                <w:bottom w:val="none" w:sz="0" w:space="0" w:color="auto"/>
                                <w:right w:val="none" w:sz="0" w:space="0" w:color="auto"/>
                              </w:divBdr>
                            </w:div>
                            <w:div w:id="806699046">
                              <w:marLeft w:val="0"/>
                              <w:marRight w:val="30"/>
                              <w:marTop w:val="0"/>
                              <w:marBottom w:val="0"/>
                              <w:divBdr>
                                <w:top w:val="none" w:sz="0" w:space="0" w:color="auto"/>
                                <w:left w:val="none" w:sz="0" w:space="0" w:color="auto"/>
                                <w:bottom w:val="none" w:sz="0" w:space="0" w:color="auto"/>
                                <w:right w:val="none" w:sz="0" w:space="0" w:color="auto"/>
                              </w:divBdr>
                              <w:divsChild>
                                <w:div w:id="286741541">
                                  <w:marLeft w:val="0"/>
                                  <w:marRight w:val="0"/>
                                  <w:marTop w:val="0"/>
                                  <w:marBottom w:val="0"/>
                                  <w:divBdr>
                                    <w:top w:val="none" w:sz="0" w:space="0" w:color="auto"/>
                                    <w:left w:val="none" w:sz="0" w:space="0" w:color="auto"/>
                                    <w:bottom w:val="none" w:sz="0" w:space="0" w:color="auto"/>
                                    <w:right w:val="none" w:sz="0" w:space="0" w:color="auto"/>
                                  </w:divBdr>
                                  <w:divsChild>
                                    <w:div w:id="123544275">
                                      <w:marLeft w:val="0"/>
                                      <w:marRight w:val="0"/>
                                      <w:marTop w:val="0"/>
                                      <w:marBottom w:val="0"/>
                                      <w:divBdr>
                                        <w:top w:val="none" w:sz="0" w:space="0" w:color="auto"/>
                                        <w:left w:val="none" w:sz="0" w:space="0" w:color="auto"/>
                                        <w:bottom w:val="none" w:sz="0" w:space="0" w:color="auto"/>
                                        <w:right w:val="none" w:sz="0" w:space="0" w:color="auto"/>
                                      </w:divBdr>
                                      <w:divsChild>
                                        <w:div w:id="1185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82955">
                      <w:marLeft w:val="30"/>
                      <w:marRight w:val="30"/>
                      <w:marTop w:val="0"/>
                      <w:marBottom w:val="0"/>
                      <w:divBdr>
                        <w:top w:val="none" w:sz="0" w:space="0" w:color="auto"/>
                        <w:left w:val="none" w:sz="0" w:space="0" w:color="auto"/>
                        <w:bottom w:val="none" w:sz="0" w:space="0" w:color="auto"/>
                        <w:right w:val="none" w:sz="0" w:space="0" w:color="auto"/>
                      </w:divBdr>
                      <w:divsChild>
                        <w:div w:id="483426187">
                          <w:marLeft w:val="0"/>
                          <w:marRight w:val="90"/>
                          <w:marTop w:val="90"/>
                          <w:marBottom w:val="30"/>
                          <w:divBdr>
                            <w:top w:val="none" w:sz="0" w:space="0" w:color="auto"/>
                            <w:left w:val="none" w:sz="0" w:space="0" w:color="auto"/>
                            <w:bottom w:val="none" w:sz="0" w:space="0" w:color="auto"/>
                            <w:right w:val="none" w:sz="0" w:space="0" w:color="auto"/>
                          </w:divBdr>
                          <w:divsChild>
                            <w:div w:id="98793998">
                              <w:marLeft w:val="0"/>
                              <w:marRight w:val="30"/>
                              <w:marTop w:val="0"/>
                              <w:marBottom w:val="0"/>
                              <w:divBdr>
                                <w:top w:val="none" w:sz="0" w:space="0" w:color="auto"/>
                                <w:left w:val="none" w:sz="0" w:space="0" w:color="auto"/>
                                <w:bottom w:val="none" w:sz="0" w:space="0" w:color="auto"/>
                                <w:right w:val="none" w:sz="0" w:space="0" w:color="auto"/>
                              </w:divBdr>
                              <w:divsChild>
                                <w:div w:id="1850018280">
                                  <w:marLeft w:val="0"/>
                                  <w:marRight w:val="0"/>
                                  <w:marTop w:val="0"/>
                                  <w:marBottom w:val="0"/>
                                  <w:divBdr>
                                    <w:top w:val="none" w:sz="0" w:space="0" w:color="auto"/>
                                    <w:left w:val="none" w:sz="0" w:space="0" w:color="auto"/>
                                    <w:bottom w:val="none" w:sz="0" w:space="0" w:color="auto"/>
                                    <w:right w:val="none" w:sz="0" w:space="0" w:color="auto"/>
                                  </w:divBdr>
                                  <w:divsChild>
                                    <w:div w:id="227422694">
                                      <w:marLeft w:val="0"/>
                                      <w:marRight w:val="0"/>
                                      <w:marTop w:val="0"/>
                                      <w:marBottom w:val="0"/>
                                      <w:divBdr>
                                        <w:top w:val="none" w:sz="0" w:space="0" w:color="auto"/>
                                        <w:left w:val="none" w:sz="0" w:space="0" w:color="auto"/>
                                        <w:bottom w:val="none" w:sz="0" w:space="0" w:color="auto"/>
                                        <w:right w:val="none" w:sz="0" w:space="0" w:color="auto"/>
                                      </w:divBdr>
                                      <w:divsChild>
                                        <w:div w:id="16420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9727">
                              <w:marLeft w:val="0"/>
                              <w:marRight w:val="0"/>
                              <w:marTop w:val="0"/>
                              <w:marBottom w:val="0"/>
                              <w:divBdr>
                                <w:top w:val="none" w:sz="0" w:space="0" w:color="auto"/>
                                <w:left w:val="none" w:sz="0" w:space="0" w:color="auto"/>
                                <w:bottom w:val="none" w:sz="0" w:space="0" w:color="auto"/>
                                <w:right w:val="none" w:sz="0" w:space="0" w:color="auto"/>
                              </w:divBdr>
                              <w:divsChild>
                                <w:div w:id="82747822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048481901">
                          <w:marLeft w:val="135"/>
                          <w:marRight w:val="45"/>
                          <w:marTop w:val="60"/>
                          <w:marBottom w:val="60"/>
                          <w:divBdr>
                            <w:top w:val="none" w:sz="0" w:space="0" w:color="auto"/>
                            <w:left w:val="none" w:sz="0" w:space="0" w:color="auto"/>
                            <w:bottom w:val="none" w:sz="0" w:space="0" w:color="auto"/>
                            <w:right w:val="none" w:sz="0" w:space="0" w:color="auto"/>
                          </w:divBdr>
                          <w:divsChild>
                            <w:div w:id="2055032720">
                              <w:marLeft w:val="0"/>
                              <w:marRight w:val="0"/>
                              <w:marTop w:val="0"/>
                              <w:marBottom w:val="0"/>
                              <w:divBdr>
                                <w:top w:val="none" w:sz="0" w:space="0" w:color="auto"/>
                                <w:left w:val="none" w:sz="0" w:space="0" w:color="auto"/>
                                <w:bottom w:val="none" w:sz="0" w:space="0" w:color="auto"/>
                                <w:right w:val="none" w:sz="0" w:space="0" w:color="auto"/>
                              </w:divBdr>
                              <w:divsChild>
                                <w:div w:id="480074955">
                                  <w:marLeft w:val="0"/>
                                  <w:marRight w:val="150"/>
                                  <w:marTop w:val="0"/>
                                  <w:marBottom w:val="0"/>
                                  <w:divBdr>
                                    <w:top w:val="none" w:sz="0" w:space="0" w:color="auto"/>
                                    <w:left w:val="none" w:sz="0" w:space="0" w:color="auto"/>
                                    <w:bottom w:val="none" w:sz="0" w:space="0" w:color="auto"/>
                                    <w:right w:val="none" w:sz="0" w:space="0" w:color="auto"/>
                                  </w:divBdr>
                                </w:div>
                                <w:div w:id="16120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136083">
      <w:bodyDiv w:val="1"/>
      <w:marLeft w:val="0"/>
      <w:marRight w:val="0"/>
      <w:marTop w:val="0"/>
      <w:marBottom w:val="0"/>
      <w:divBdr>
        <w:top w:val="none" w:sz="0" w:space="0" w:color="auto"/>
        <w:left w:val="none" w:sz="0" w:space="0" w:color="auto"/>
        <w:bottom w:val="none" w:sz="0" w:space="0" w:color="auto"/>
        <w:right w:val="none" w:sz="0" w:space="0" w:color="auto"/>
      </w:divBdr>
      <w:divsChild>
        <w:div w:id="129832973">
          <w:marLeft w:val="547"/>
          <w:marRight w:val="0"/>
          <w:marTop w:val="0"/>
          <w:marBottom w:val="0"/>
          <w:divBdr>
            <w:top w:val="none" w:sz="0" w:space="0" w:color="auto"/>
            <w:left w:val="none" w:sz="0" w:space="0" w:color="auto"/>
            <w:bottom w:val="none" w:sz="0" w:space="0" w:color="auto"/>
            <w:right w:val="none" w:sz="0" w:space="0" w:color="auto"/>
          </w:divBdr>
        </w:div>
      </w:divsChild>
    </w:div>
    <w:div w:id="850726788">
      <w:bodyDiv w:val="1"/>
      <w:marLeft w:val="0"/>
      <w:marRight w:val="0"/>
      <w:marTop w:val="0"/>
      <w:marBottom w:val="0"/>
      <w:divBdr>
        <w:top w:val="none" w:sz="0" w:space="0" w:color="auto"/>
        <w:left w:val="none" w:sz="0" w:space="0" w:color="auto"/>
        <w:bottom w:val="none" w:sz="0" w:space="0" w:color="auto"/>
        <w:right w:val="none" w:sz="0" w:space="0" w:color="auto"/>
      </w:divBdr>
    </w:div>
    <w:div w:id="875849618">
      <w:bodyDiv w:val="1"/>
      <w:marLeft w:val="0"/>
      <w:marRight w:val="0"/>
      <w:marTop w:val="0"/>
      <w:marBottom w:val="0"/>
      <w:divBdr>
        <w:top w:val="none" w:sz="0" w:space="0" w:color="auto"/>
        <w:left w:val="none" w:sz="0" w:space="0" w:color="auto"/>
        <w:bottom w:val="none" w:sz="0" w:space="0" w:color="auto"/>
        <w:right w:val="none" w:sz="0" w:space="0" w:color="auto"/>
      </w:divBdr>
    </w:div>
    <w:div w:id="911887378">
      <w:bodyDiv w:val="1"/>
      <w:marLeft w:val="0"/>
      <w:marRight w:val="0"/>
      <w:marTop w:val="0"/>
      <w:marBottom w:val="0"/>
      <w:divBdr>
        <w:top w:val="none" w:sz="0" w:space="0" w:color="auto"/>
        <w:left w:val="none" w:sz="0" w:space="0" w:color="auto"/>
        <w:bottom w:val="none" w:sz="0" w:space="0" w:color="auto"/>
        <w:right w:val="none" w:sz="0" w:space="0" w:color="auto"/>
      </w:divBdr>
    </w:div>
    <w:div w:id="936719864">
      <w:bodyDiv w:val="1"/>
      <w:marLeft w:val="0"/>
      <w:marRight w:val="0"/>
      <w:marTop w:val="0"/>
      <w:marBottom w:val="0"/>
      <w:divBdr>
        <w:top w:val="none" w:sz="0" w:space="0" w:color="auto"/>
        <w:left w:val="none" w:sz="0" w:space="0" w:color="auto"/>
        <w:bottom w:val="none" w:sz="0" w:space="0" w:color="auto"/>
        <w:right w:val="none" w:sz="0" w:space="0" w:color="auto"/>
      </w:divBdr>
      <w:divsChild>
        <w:div w:id="218832279">
          <w:marLeft w:val="0"/>
          <w:marRight w:val="30"/>
          <w:marTop w:val="0"/>
          <w:marBottom w:val="0"/>
          <w:divBdr>
            <w:top w:val="none" w:sz="0" w:space="0" w:color="auto"/>
            <w:left w:val="none" w:sz="0" w:space="0" w:color="auto"/>
            <w:bottom w:val="none" w:sz="0" w:space="0" w:color="auto"/>
            <w:right w:val="none" w:sz="0" w:space="0" w:color="auto"/>
          </w:divBdr>
          <w:divsChild>
            <w:div w:id="1635599335">
              <w:marLeft w:val="0"/>
              <w:marRight w:val="0"/>
              <w:marTop w:val="0"/>
              <w:marBottom w:val="0"/>
              <w:divBdr>
                <w:top w:val="none" w:sz="0" w:space="0" w:color="auto"/>
                <w:left w:val="none" w:sz="0" w:space="0" w:color="auto"/>
                <w:bottom w:val="none" w:sz="0" w:space="0" w:color="auto"/>
                <w:right w:val="none" w:sz="0" w:space="0" w:color="auto"/>
              </w:divBdr>
              <w:divsChild>
                <w:div w:id="777796942">
                  <w:marLeft w:val="0"/>
                  <w:marRight w:val="0"/>
                  <w:marTop w:val="0"/>
                  <w:marBottom w:val="0"/>
                  <w:divBdr>
                    <w:top w:val="none" w:sz="0" w:space="0" w:color="auto"/>
                    <w:left w:val="none" w:sz="0" w:space="0" w:color="auto"/>
                    <w:bottom w:val="none" w:sz="0" w:space="0" w:color="auto"/>
                    <w:right w:val="none" w:sz="0" w:space="0" w:color="auto"/>
                  </w:divBdr>
                  <w:divsChild>
                    <w:div w:id="2497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21580">
          <w:marLeft w:val="0"/>
          <w:marRight w:val="0"/>
          <w:marTop w:val="0"/>
          <w:marBottom w:val="0"/>
          <w:divBdr>
            <w:top w:val="none" w:sz="0" w:space="0" w:color="auto"/>
            <w:left w:val="none" w:sz="0" w:space="0" w:color="auto"/>
            <w:bottom w:val="none" w:sz="0" w:space="0" w:color="auto"/>
            <w:right w:val="none" w:sz="0" w:space="0" w:color="auto"/>
          </w:divBdr>
          <w:divsChild>
            <w:div w:id="214168329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956256200">
      <w:bodyDiv w:val="1"/>
      <w:marLeft w:val="0"/>
      <w:marRight w:val="0"/>
      <w:marTop w:val="0"/>
      <w:marBottom w:val="0"/>
      <w:divBdr>
        <w:top w:val="none" w:sz="0" w:space="0" w:color="auto"/>
        <w:left w:val="none" w:sz="0" w:space="0" w:color="auto"/>
        <w:bottom w:val="none" w:sz="0" w:space="0" w:color="auto"/>
        <w:right w:val="none" w:sz="0" w:space="0" w:color="auto"/>
      </w:divBdr>
      <w:divsChild>
        <w:div w:id="1627469202">
          <w:marLeft w:val="0"/>
          <w:marRight w:val="0"/>
          <w:marTop w:val="0"/>
          <w:marBottom w:val="0"/>
          <w:divBdr>
            <w:top w:val="none" w:sz="0" w:space="0" w:color="auto"/>
            <w:left w:val="none" w:sz="0" w:space="0" w:color="auto"/>
            <w:bottom w:val="none" w:sz="0" w:space="0" w:color="auto"/>
            <w:right w:val="none" w:sz="0" w:space="0" w:color="auto"/>
          </w:divBdr>
        </w:div>
      </w:divsChild>
    </w:div>
    <w:div w:id="1000163136">
      <w:bodyDiv w:val="1"/>
      <w:marLeft w:val="0"/>
      <w:marRight w:val="0"/>
      <w:marTop w:val="0"/>
      <w:marBottom w:val="0"/>
      <w:divBdr>
        <w:top w:val="none" w:sz="0" w:space="0" w:color="auto"/>
        <w:left w:val="none" w:sz="0" w:space="0" w:color="auto"/>
        <w:bottom w:val="none" w:sz="0" w:space="0" w:color="auto"/>
        <w:right w:val="none" w:sz="0" w:space="0" w:color="auto"/>
      </w:divBdr>
      <w:divsChild>
        <w:div w:id="184637040">
          <w:marLeft w:val="547"/>
          <w:marRight w:val="0"/>
          <w:marTop w:val="0"/>
          <w:marBottom w:val="0"/>
          <w:divBdr>
            <w:top w:val="none" w:sz="0" w:space="0" w:color="auto"/>
            <w:left w:val="none" w:sz="0" w:space="0" w:color="auto"/>
            <w:bottom w:val="none" w:sz="0" w:space="0" w:color="auto"/>
            <w:right w:val="none" w:sz="0" w:space="0" w:color="auto"/>
          </w:divBdr>
        </w:div>
      </w:divsChild>
    </w:div>
    <w:div w:id="1068727158">
      <w:bodyDiv w:val="1"/>
      <w:marLeft w:val="0"/>
      <w:marRight w:val="0"/>
      <w:marTop w:val="0"/>
      <w:marBottom w:val="0"/>
      <w:divBdr>
        <w:top w:val="none" w:sz="0" w:space="0" w:color="auto"/>
        <w:left w:val="none" w:sz="0" w:space="0" w:color="auto"/>
        <w:bottom w:val="none" w:sz="0" w:space="0" w:color="auto"/>
        <w:right w:val="none" w:sz="0" w:space="0" w:color="auto"/>
      </w:divBdr>
    </w:div>
    <w:div w:id="1092163087">
      <w:bodyDiv w:val="1"/>
      <w:marLeft w:val="0"/>
      <w:marRight w:val="0"/>
      <w:marTop w:val="0"/>
      <w:marBottom w:val="0"/>
      <w:divBdr>
        <w:top w:val="none" w:sz="0" w:space="0" w:color="auto"/>
        <w:left w:val="none" w:sz="0" w:space="0" w:color="auto"/>
        <w:bottom w:val="none" w:sz="0" w:space="0" w:color="auto"/>
        <w:right w:val="none" w:sz="0" w:space="0" w:color="auto"/>
      </w:divBdr>
      <w:divsChild>
        <w:div w:id="415979328">
          <w:marLeft w:val="547"/>
          <w:marRight w:val="0"/>
          <w:marTop w:val="0"/>
          <w:marBottom w:val="0"/>
          <w:divBdr>
            <w:top w:val="none" w:sz="0" w:space="0" w:color="auto"/>
            <w:left w:val="none" w:sz="0" w:space="0" w:color="auto"/>
            <w:bottom w:val="none" w:sz="0" w:space="0" w:color="auto"/>
            <w:right w:val="none" w:sz="0" w:space="0" w:color="auto"/>
          </w:divBdr>
        </w:div>
      </w:divsChild>
    </w:div>
    <w:div w:id="1109667692">
      <w:bodyDiv w:val="1"/>
      <w:marLeft w:val="0"/>
      <w:marRight w:val="0"/>
      <w:marTop w:val="0"/>
      <w:marBottom w:val="0"/>
      <w:divBdr>
        <w:top w:val="none" w:sz="0" w:space="0" w:color="auto"/>
        <w:left w:val="none" w:sz="0" w:space="0" w:color="auto"/>
        <w:bottom w:val="none" w:sz="0" w:space="0" w:color="auto"/>
        <w:right w:val="none" w:sz="0" w:space="0" w:color="auto"/>
      </w:divBdr>
    </w:div>
    <w:div w:id="1132095497">
      <w:bodyDiv w:val="1"/>
      <w:marLeft w:val="0"/>
      <w:marRight w:val="0"/>
      <w:marTop w:val="0"/>
      <w:marBottom w:val="0"/>
      <w:divBdr>
        <w:top w:val="none" w:sz="0" w:space="0" w:color="auto"/>
        <w:left w:val="none" w:sz="0" w:space="0" w:color="auto"/>
        <w:bottom w:val="none" w:sz="0" w:space="0" w:color="auto"/>
        <w:right w:val="none" w:sz="0" w:space="0" w:color="auto"/>
      </w:divBdr>
    </w:div>
    <w:div w:id="1150749198">
      <w:bodyDiv w:val="1"/>
      <w:marLeft w:val="0"/>
      <w:marRight w:val="0"/>
      <w:marTop w:val="0"/>
      <w:marBottom w:val="0"/>
      <w:divBdr>
        <w:top w:val="none" w:sz="0" w:space="0" w:color="auto"/>
        <w:left w:val="none" w:sz="0" w:space="0" w:color="auto"/>
        <w:bottom w:val="none" w:sz="0" w:space="0" w:color="auto"/>
        <w:right w:val="none" w:sz="0" w:space="0" w:color="auto"/>
      </w:divBdr>
    </w:div>
    <w:div w:id="1170869062">
      <w:bodyDiv w:val="1"/>
      <w:marLeft w:val="0"/>
      <w:marRight w:val="0"/>
      <w:marTop w:val="0"/>
      <w:marBottom w:val="0"/>
      <w:divBdr>
        <w:top w:val="none" w:sz="0" w:space="0" w:color="auto"/>
        <w:left w:val="none" w:sz="0" w:space="0" w:color="auto"/>
        <w:bottom w:val="none" w:sz="0" w:space="0" w:color="auto"/>
        <w:right w:val="none" w:sz="0" w:space="0" w:color="auto"/>
      </w:divBdr>
      <w:divsChild>
        <w:div w:id="218713066">
          <w:marLeft w:val="0"/>
          <w:marRight w:val="0"/>
          <w:marTop w:val="0"/>
          <w:marBottom w:val="0"/>
          <w:divBdr>
            <w:top w:val="none" w:sz="0" w:space="0" w:color="auto"/>
            <w:left w:val="none" w:sz="0" w:space="0" w:color="auto"/>
            <w:bottom w:val="none" w:sz="0" w:space="0" w:color="auto"/>
            <w:right w:val="none" w:sz="0" w:space="0" w:color="auto"/>
          </w:divBdr>
        </w:div>
        <w:div w:id="674109951">
          <w:marLeft w:val="0"/>
          <w:marRight w:val="0"/>
          <w:marTop w:val="0"/>
          <w:marBottom w:val="0"/>
          <w:divBdr>
            <w:top w:val="none" w:sz="0" w:space="0" w:color="auto"/>
            <w:left w:val="none" w:sz="0" w:space="0" w:color="auto"/>
            <w:bottom w:val="none" w:sz="0" w:space="0" w:color="auto"/>
            <w:right w:val="none" w:sz="0" w:space="0" w:color="auto"/>
          </w:divBdr>
        </w:div>
        <w:div w:id="1304508045">
          <w:marLeft w:val="0"/>
          <w:marRight w:val="0"/>
          <w:marTop w:val="0"/>
          <w:marBottom w:val="0"/>
          <w:divBdr>
            <w:top w:val="none" w:sz="0" w:space="0" w:color="auto"/>
            <w:left w:val="none" w:sz="0" w:space="0" w:color="auto"/>
            <w:bottom w:val="none" w:sz="0" w:space="0" w:color="auto"/>
            <w:right w:val="none" w:sz="0" w:space="0" w:color="auto"/>
          </w:divBdr>
        </w:div>
        <w:div w:id="1657222344">
          <w:marLeft w:val="0"/>
          <w:marRight w:val="0"/>
          <w:marTop w:val="0"/>
          <w:marBottom w:val="0"/>
          <w:divBdr>
            <w:top w:val="none" w:sz="0" w:space="0" w:color="auto"/>
            <w:left w:val="none" w:sz="0" w:space="0" w:color="auto"/>
            <w:bottom w:val="none" w:sz="0" w:space="0" w:color="auto"/>
            <w:right w:val="none" w:sz="0" w:space="0" w:color="auto"/>
          </w:divBdr>
        </w:div>
        <w:div w:id="1705983853">
          <w:marLeft w:val="0"/>
          <w:marRight w:val="0"/>
          <w:marTop w:val="0"/>
          <w:marBottom w:val="0"/>
          <w:divBdr>
            <w:top w:val="none" w:sz="0" w:space="0" w:color="auto"/>
            <w:left w:val="none" w:sz="0" w:space="0" w:color="auto"/>
            <w:bottom w:val="none" w:sz="0" w:space="0" w:color="auto"/>
            <w:right w:val="none" w:sz="0" w:space="0" w:color="auto"/>
          </w:divBdr>
        </w:div>
        <w:div w:id="1811438210">
          <w:marLeft w:val="0"/>
          <w:marRight w:val="0"/>
          <w:marTop w:val="0"/>
          <w:marBottom w:val="0"/>
          <w:divBdr>
            <w:top w:val="none" w:sz="0" w:space="0" w:color="auto"/>
            <w:left w:val="none" w:sz="0" w:space="0" w:color="auto"/>
            <w:bottom w:val="none" w:sz="0" w:space="0" w:color="auto"/>
            <w:right w:val="none" w:sz="0" w:space="0" w:color="auto"/>
          </w:divBdr>
        </w:div>
        <w:div w:id="1812020988">
          <w:marLeft w:val="0"/>
          <w:marRight w:val="0"/>
          <w:marTop w:val="0"/>
          <w:marBottom w:val="0"/>
          <w:divBdr>
            <w:top w:val="none" w:sz="0" w:space="0" w:color="auto"/>
            <w:left w:val="none" w:sz="0" w:space="0" w:color="auto"/>
            <w:bottom w:val="none" w:sz="0" w:space="0" w:color="auto"/>
            <w:right w:val="none" w:sz="0" w:space="0" w:color="auto"/>
          </w:divBdr>
        </w:div>
        <w:div w:id="2140028542">
          <w:marLeft w:val="0"/>
          <w:marRight w:val="0"/>
          <w:marTop w:val="0"/>
          <w:marBottom w:val="0"/>
          <w:divBdr>
            <w:top w:val="none" w:sz="0" w:space="0" w:color="auto"/>
            <w:left w:val="none" w:sz="0" w:space="0" w:color="auto"/>
            <w:bottom w:val="none" w:sz="0" w:space="0" w:color="auto"/>
            <w:right w:val="none" w:sz="0" w:space="0" w:color="auto"/>
          </w:divBdr>
        </w:div>
      </w:divsChild>
    </w:div>
    <w:div w:id="1193151237">
      <w:bodyDiv w:val="1"/>
      <w:marLeft w:val="0"/>
      <w:marRight w:val="0"/>
      <w:marTop w:val="0"/>
      <w:marBottom w:val="0"/>
      <w:divBdr>
        <w:top w:val="none" w:sz="0" w:space="0" w:color="auto"/>
        <w:left w:val="none" w:sz="0" w:space="0" w:color="auto"/>
        <w:bottom w:val="none" w:sz="0" w:space="0" w:color="auto"/>
        <w:right w:val="none" w:sz="0" w:space="0" w:color="auto"/>
      </w:divBdr>
      <w:divsChild>
        <w:div w:id="861435801">
          <w:marLeft w:val="0"/>
          <w:marRight w:val="0"/>
          <w:marTop w:val="0"/>
          <w:marBottom w:val="0"/>
          <w:divBdr>
            <w:top w:val="none" w:sz="0" w:space="0" w:color="auto"/>
            <w:left w:val="none" w:sz="0" w:space="0" w:color="auto"/>
            <w:bottom w:val="none" w:sz="0" w:space="0" w:color="auto"/>
            <w:right w:val="none" w:sz="0" w:space="0" w:color="auto"/>
          </w:divBdr>
          <w:divsChild>
            <w:div w:id="1959556996">
              <w:marLeft w:val="0"/>
              <w:marRight w:val="0"/>
              <w:marTop w:val="0"/>
              <w:marBottom w:val="0"/>
              <w:divBdr>
                <w:top w:val="none" w:sz="0" w:space="0" w:color="auto"/>
                <w:left w:val="none" w:sz="0" w:space="0" w:color="auto"/>
                <w:bottom w:val="none" w:sz="0" w:space="0" w:color="auto"/>
                <w:right w:val="none" w:sz="0" w:space="0" w:color="auto"/>
              </w:divBdr>
              <w:divsChild>
                <w:div w:id="588581401">
                  <w:marLeft w:val="0"/>
                  <w:marRight w:val="0"/>
                  <w:marTop w:val="0"/>
                  <w:marBottom w:val="0"/>
                  <w:divBdr>
                    <w:top w:val="none" w:sz="0" w:space="0" w:color="auto"/>
                    <w:left w:val="none" w:sz="0" w:space="0" w:color="auto"/>
                    <w:bottom w:val="none" w:sz="0" w:space="0" w:color="auto"/>
                    <w:right w:val="none" w:sz="0" w:space="0" w:color="auto"/>
                  </w:divBdr>
                  <w:divsChild>
                    <w:div w:id="79109083">
                      <w:marLeft w:val="0"/>
                      <w:marRight w:val="0"/>
                      <w:marTop w:val="0"/>
                      <w:marBottom w:val="0"/>
                      <w:divBdr>
                        <w:top w:val="none" w:sz="0" w:space="0" w:color="auto"/>
                        <w:left w:val="none" w:sz="0" w:space="0" w:color="auto"/>
                        <w:bottom w:val="none" w:sz="0" w:space="0" w:color="auto"/>
                        <w:right w:val="none" w:sz="0" w:space="0" w:color="auto"/>
                      </w:divBdr>
                      <w:divsChild>
                        <w:div w:id="1595018474">
                          <w:marLeft w:val="0"/>
                          <w:marRight w:val="0"/>
                          <w:marTop w:val="0"/>
                          <w:marBottom w:val="0"/>
                          <w:divBdr>
                            <w:top w:val="single" w:sz="6" w:space="0" w:color="EAEAEA"/>
                            <w:left w:val="single" w:sz="6" w:space="0" w:color="EAEAEA"/>
                            <w:bottom w:val="single" w:sz="6" w:space="0" w:color="EAEAEA"/>
                            <w:right w:val="single" w:sz="6" w:space="0" w:color="EAEAEA"/>
                          </w:divBdr>
                          <w:divsChild>
                            <w:div w:id="82647017">
                              <w:marLeft w:val="0"/>
                              <w:marRight w:val="0"/>
                              <w:marTop w:val="0"/>
                              <w:marBottom w:val="0"/>
                              <w:divBdr>
                                <w:top w:val="none" w:sz="0" w:space="0" w:color="auto"/>
                                <w:left w:val="none" w:sz="0" w:space="0" w:color="auto"/>
                                <w:bottom w:val="none" w:sz="0" w:space="0" w:color="auto"/>
                                <w:right w:val="none" w:sz="0" w:space="0" w:color="auto"/>
                              </w:divBdr>
                              <w:divsChild>
                                <w:div w:id="1648775444">
                                  <w:marLeft w:val="0"/>
                                  <w:marRight w:val="0"/>
                                  <w:marTop w:val="0"/>
                                  <w:marBottom w:val="0"/>
                                  <w:divBdr>
                                    <w:top w:val="none" w:sz="0" w:space="0" w:color="auto"/>
                                    <w:left w:val="none" w:sz="0" w:space="0" w:color="auto"/>
                                    <w:bottom w:val="none" w:sz="0" w:space="0" w:color="auto"/>
                                    <w:right w:val="none" w:sz="0" w:space="0" w:color="auto"/>
                                  </w:divBdr>
                                  <w:divsChild>
                                    <w:div w:id="439566547">
                                      <w:marLeft w:val="0"/>
                                      <w:marRight w:val="0"/>
                                      <w:marTop w:val="0"/>
                                      <w:marBottom w:val="0"/>
                                      <w:divBdr>
                                        <w:top w:val="none" w:sz="0" w:space="0" w:color="auto"/>
                                        <w:left w:val="none" w:sz="0" w:space="0" w:color="auto"/>
                                        <w:bottom w:val="none" w:sz="0" w:space="0" w:color="auto"/>
                                        <w:right w:val="none" w:sz="0" w:space="0" w:color="auto"/>
                                      </w:divBdr>
                                      <w:divsChild>
                                        <w:div w:id="1643775384">
                                          <w:marLeft w:val="30"/>
                                          <w:marRight w:val="30"/>
                                          <w:marTop w:val="30"/>
                                          <w:marBottom w:val="0"/>
                                          <w:divBdr>
                                            <w:top w:val="none" w:sz="0" w:space="0" w:color="auto"/>
                                            <w:left w:val="none" w:sz="0" w:space="0" w:color="auto"/>
                                            <w:bottom w:val="none" w:sz="0" w:space="0" w:color="auto"/>
                                            <w:right w:val="none" w:sz="0" w:space="0" w:color="auto"/>
                                          </w:divBdr>
                                          <w:divsChild>
                                            <w:div w:id="1086807206">
                                              <w:marLeft w:val="210"/>
                                              <w:marRight w:val="210"/>
                                              <w:marTop w:val="0"/>
                                              <w:marBottom w:val="30"/>
                                              <w:divBdr>
                                                <w:top w:val="none" w:sz="0" w:space="0" w:color="auto"/>
                                                <w:left w:val="none" w:sz="0" w:space="0" w:color="auto"/>
                                                <w:bottom w:val="none" w:sz="0" w:space="0" w:color="auto"/>
                                                <w:right w:val="none" w:sz="0" w:space="0" w:color="auto"/>
                                              </w:divBdr>
                                              <w:divsChild>
                                                <w:div w:id="968168181">
                                                  <w:marLeft w:val="0"/>
                                                  <w:marRight w:val="30"/>
                                                  <w:marTop w:val="0"/>
                                                  <w:marBottom w:val="0"/>
                                                  <w:divBdr>
                                                    <w:top w:val="none" w:sz="0" w:space="0" w:color="auto"/>
                                                    <w:left w:val="none" w:sz="0" w:space="0" w:color="auto"/>
                                                    <w:bottom w:val="none" w:sz="0" w:space="0" w:color="auto"/>
                                                    <w:right w:val="none" w:sz="0" w:space="0" w:color="auto"/>
                                                  </w:divBdr>
                                                  <w:divsChild>
                                                    <w:div w:id="303630158">
                                                      <w:marLeft w:val="0"/>
                                                      <w:marRight w:val="0"/>
                                                      <w:marTop w:val="0"/>
                                                      <w:marBottom w:val="90"/>
                                                      <w:divBdr>
                                                        <w:top w:val="none" w:sz="0" w:space="0" w:color="auto"/>
                                                        <w:left w:val="none" w:sz="0" w:space="0" w:color="auto"/>
                                                        <w:bottom w:val="none" w:sz="0" w:space="0" w:color="auto"/>
                                                        <w:right w:val="none" w:sz="0" w:space="0" w:color="auto"/>
                                                      </w:divBdr>
                                                      <w:divsChild>
                                                        <w:div w:id="468862791">
                                                          <w:marLeft w:val="0"/>
                                                          <w:marRight w:val="0"/>
                                                          <w:marTop w:val="0"/>
                                                          <w:marBottom w:val="0"/>
                                                          <w:divBdr>
                                                            <w:top w:val="none" w:sz="0" w:space="0" w:color="auto"/>
                                                            <w:left w:val="none" w:sz="0" w:space="0" w:color="auto"/>
                                                            <w:bottom w:val="none" w:sz="0" w:space="0" w:color="auto"/>
                                                            <w:right w:val="none" w:sz="0" w:space="0" w:color="auto"/>
                                                          </w:divBdr>
                                                          <w:divsChild>
                                                            <w:div w:id="3294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318402">
                                      <w:marLeft w:val="120"/>
                                      <w:marRight w:val="120"/>
                                      <w:marTop w:val="0"/>
                                      <w:marBottom w:val="0"/>
                                      <w:divBdr>
                                        <w:top w:val="none" w:sz="0" w:space="0" w:color="auto"/>
                                        <w:left w:val="none" w:sz="0" w:space="0" w:color="auto"/>
                                        <w:bottom w:val="none" w:sz="0" w:space="0" w:color="auto"/>
                                        <w:right w:val="none" w:sz="0" w:space="0" w:color="auto"/>
                                      </w:divBdr>
                                      <w:divsChild>
                                        <w:div w:id="1501385109">
                                          <w:marLeft w:val="30"/>
                                          <w:marRight w:val="30"/>
                                          <w:marTop w:val="135"/>
                                          <w:marBottom w:val="135"/>
                                          <w:divBdr>
                                            <w:top w:val="single" w:sz="6" w:space="0" w:color="8A8886"/>
                                            <w:left w:val="single" w:sz="6" w:space="0" w:color="8A8886"/>
                                            <w:bottom w:val="single" w:sz="6" w:space="0" w:color="8A8886"/>
                                            <w:right w:val="single" w:sz="6" w:space="0" w:color="8A8886"/>
                                          </w:divBdr>
                                          <w:divsChild>
                                            <w:div w:id="1463770157">
                                              <w:marLeft w:val="0"/>
                                              <w:marRight w:val="0"/>
                                              <w:marTop w:val="0"/>
                                              <w:marBottom w:val="0"/>
                                              <w:divBdr>
                                                <w:top w:val="none" w:sz="0" w:space="0" w:color="auto"/>
                                                <w:left w:val="none" w:sz="0" w:space="0" w:color="auto"/>
                                                <w:bottom w:val="none" w:sz="0" w:space="0" w:color="auto"/>
                                                <w:right w:val="none" w:sz="0" w:space="0" w:color="auto"/>
                                              </w:divBdr>
                                              <w:divsChild>
                                                <w:div w:id="1677078640">
                                                  <w:marLeft w:val="0"/>
                                                  <w:marRight w:val="0"/>
                                                  <w:marTop w:val="0"/>
                                                  <w:marBottom w:val="0"/>
                                                  <w:divBdr>
                                                    <w:top w:val="none" w:sz="0" w:space="0" w:color="auto"/>
                                                    <w:left w:val="none" w:sz="0" w:space="0" w:color="auto"/>
                                                    <w:bottom w:val="none" w:sz="0" w:space="0" w:color="auto"/>
                                                    <w:right w:val="none" w:sz="0" w:space="0" w:color="auto"/>
                                                  </w:divBdr>
                                                  <w:divsChild>
                                                    <w:div w:id="17939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808929">
                              <w:marLeft w:val="0"/>
                              <w:marRight w:val="0"/>
                              <w:marTop w:val="0"/>
                              <w:marBottom w:val="0"/>
                              <w:divBdr>
                                <w:top w:val="none" w:sz="0" w:space="0" w:color="auto"/>
                                <w:left w:val="none" w:sz="0" w:space="0" w:color="auto"/>
                                <w:bottom w:val="none" w:sz="0" w:space="0" w:color="auto"/>
                                <w:right w:val="none" w:sz="0" w:space="0" w:color="auto"/>
                              </w:divBdr>
                              <w:divsChild>
                                <w:div w:id="1177501214">
                                  <w:marLeft w:val="210"/>
                                  <w:marRight w:val="0"/>
                                  <w:marTop w:val="120"/>
                                  <w:marBottom w:val="0"/>
                                  <w:divBdr>
                                    <w:top w:val="none" w:sz="0" w:space="0" w:color="auto"/>
                                    <w:left w:val="none" w:sz="0" w:space="0" w:color="auto"/>
                                    <w:bottom w:val="none" w:sz="0" w:space="0" w:color="auto"/>
                                    <w:right w:val="none" w:sz="0" w:space="0" w:color="auto"/>
                                  </w:divBdr>
                                  <w:divsChild>
                                    <w:div w:id="704792473">
                                      <w:marLeft w:val="0"/>
                                      <w:marRight w:val="0"/>
                                      <w:marTop w:val="0"/>
                                      <w:marBottom w:val="0"/>
                                      <w:divBdr>
                                        <w:top w:val="none" w:sz="0" w:space="0" w:color="auto"/>
                                        <w:left w:val="none" w:sz="0" w:space="0" w:color="auto"/>
                                        <w:bottom w:val="none" w:sz="0" w:space="0" w:color="auto"/>
                                        <w:right w:val="none" w:sz="0" w:space="0" w:color="auto"/>
                                      </w:divBdr>
                                      <w:divsChild>
                                        <w:div w:id="17021856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365397610">
                                  <w:marLeft w:val="90"/>
                                  <w:marRight w:val="120"/>
                                  <w:marTop w:val="120"/>
                                  <w:marBottom w:val="120"/>
                                  <w:divBdr>
                                    <w:top w:val="none" w:sz="0" w:space="0" w:color="auto"/>
                                    <w:left w:val="none" w:sz="0" w:space="0" w:color="auto"/>
                                    <w:bottom w:val="none" w:sz="0" w:space="0" w:color="auto"/>
                                    <w:right w:val="none" w:sz="0" w:space="0" w:color="auto"/>
                                  </w:divBdr>
                                  <w:divsChild>
                                    <w:div w:id="392580247">
                                      <w:marLeft w:val="0"/>
                                      <w:marRight w:val="0"/>
                                      <w:marTop w:val="0"/>
                                      <w:marBottom w:val="0"/>
                                      <w:divBdr>
                                        <w:top w:val="none" w:sz="0" w:space="0" w:color="auto"/>
                                        <w:left w:val="none" w:sz="0" w:space="0" w:color="auto"/>
                                        <w:bottom w:val="none" w:sz="0" w:space="0" w:color="auto"/>
                                        <w:right w:val="none" w:sz="0" w:space="0" w:color="auto"/>
                                      </w:divBdr>
                                      <w:divsChild>
                                        <w:div w:id="930355614">
                                          <w:marLeft w:val="0"/>
                                          <w:marRight w:val="0"/>
                                          <w:marTop w:val="0"/>
                                          <w:marBottom w:val="0"/>
                                          <w:divBdr>
                                            <w:top w:val="none" w:sz="0" w:space="0" w:color="auto"/>
                                            <w:left w:val="none" w:sz="0" w:space="0" w:color="auto"/>
                                            <w:bottom w:val="none" w:sz="0" w:space="0" w:color="auto"/>
                                            <w:right w:val="none" w:sz="0" w:space="0" w:color="auto"/>
                                          </w:divBdr>
                                        </w:div>
                                        <w:div w:id="10897365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40623">
          <w:marLeft w:val="0"/>
          <w:marRight w:val="0"/>
          <w:marTop w:val="0"/>
          <w:marBottom w:val="0"/>
          <w:divBdr>
            <w:top w:val="none" w:sz="0" w:space="0" w:color="auto"/>
            <w:left w:val="none" w:sz="0" w:space="0" w:color="auto"/>
            <w:bottom w:val="none" w:sz="0" w:space="0" w:color="auto"/>
            <w:right w:val="none" w:sz="0" w:space="0" w:color="auto"/>
          </w:divBdr>
          <w:divsChild>
            <w:div w:id="1866553496">
              <w:marLeft w:val="0"/>
              <w:marRight w:val="0"/>
              <w:marTop w:val="0"/>
              <w:marBottom w:val="0"/>
              <w:divBdr>
                <w:top w:val="none" w:sz="0" w:space="0" w:color="auto"/>
                <w:left w:val="none" w:sz="0" w:space="0" w:color="auto"/>
                <w:bottom w:val="none" w:sz="0" w:space="0" w:color="auto"/>
                <w:right w:val="none" w:sz="0" w:space="0" w:color="auto"/>
              </w:divBdr>
              <w:divsChild>
                <w:div w:id="1922254379">
                  <w:marLeft w:val="0"/>
                  <w:marRight w:val="0"/>
                  <w:marTop w:val="0"/>
                  <w:marBottom w:val="0"/>
                  <w:divBdr>
                    <w:top w:val="none" w:sz="0" w:space="0" w:color="auto"/>
                    <w:left w:val="none" w:sz="0" w:space="0" w:color="auto"/>
                    <w:bottom w:val="none" w:sz="0" w:space="0" w:color="auto"/>
                    <w:right w:val="none" w:sz="0" w:space="0" w:color="auto"/>
                  </w:divBdr>
                  <w:divsChild>
                    <w:div w:id="653267001">
                      <w:marLeft w:val="0"/>
                      <w:marRight w:val="0"/>
                      <w:marTop w:val="0"/>
                      <w:marBottom w:val="0"/>
                      <w:divBdr>
                        <w:top w:val="none" w:sz="0" w:space="0" w:color="auto"/>
                        <w:left w:val="none" w:sz="0" w:space="0" w:color="auto"/>
                        <w:bottom w:val="none" w:sz="0" w:space="0" w:color="auto"/>
                        <w:right w:val="none" w:sz="0" w:space="0" w:color="auto"/>
                      </w:divBdr>
                      <w:divsChild>
                        <w:div w:id="1244677586">
                          <w:marLeft w:val="0"/>
                          <w:marRight w:val="0"/>
                          <w:marTop w:val="0"/>
                          <w:marBottom w:val="0"/>
                          <w:divBdr>
                            <w:top w:val="single" w:sz="6" w:space="0" w:color="EAEAEA"/>
                            <w:left w:val="single" w:sz="6" w:space="0" w:color="EAEAEA"/>
                            <w:bottom w:val="single" w:sz="6" w:space="0" w:color="EAEAEA"/>
                            <w:right w:val="single" w:sz="6" w:space="0" w:color="EAEAEA"/>
                          </w:divBdr>
                          <w:divsChild>
                            <w:div w:id="1456288363">
                              <w:marLeft w:val="0"/>
                              <w:marRight w:val="0"/>
                              <w:marTop w:val="0"/>
                              <w:marBottom w:val="0"/>
                              <w:divBdr>
                                <w:top w:val="none" w:sz="0" w:space="0" w:color="auto"/>
                                <w:left w:val="none" w:sz="0" w:space="0" w:color="auto"/>
                                <w:bottom w:val="none" w:sz="0" w:space="0" w:color="auto"/>
                                <w:right w:val="none" w:sz="0" w:space="0" w:color="auto"/>
                              </w:divBdr>
                              <w:divsChild>
                                <w:div w:id="613095765">
                                  <w:marLeft w:val="210"/>
                                  <w:marRight w:val="0"/>
                                  <w:marTop w:val="120"/>
                                  <w:marBottom w:val="0"/>
                                  <w:divBdr>
                                    <w:top w:val="none" w:sz="0" w:space="0" w:color="auto"/>
                                    <w:left w:val="none" w:sz="0" w:space="0" w:color="auto"/>
                                    <w:bottom w:val="none" w:sz="0" w:space="0" w:color="auto"/>
                                    <w:right w:val="none" w:sz="0" w:space="0" w:color="auto"/>
                                  </w:divBdr>
                                  <w:divsChild>
                                    <w:div w:id="2097242340">
                                      <w:marLeft w:val="0"/>
                                      <w:marRight w:val="0"/>
                                      <w:marTop w:val="0"/>
                                      <w:marBottom w:val="0"/>
                                      <w:divBdr>
                                        <w:top w:val="none" w:sz="0" w:space="0" w:color="auto"/>
                                        <w:left w:val="none" w:sz="0" w:space="0" w:color="auto"/>
                                        <w:bottom w:val="none" w:sz="0" w:space="0" w:color="auto"/>
                                        <w:right w:val="none" w:sz="0" w:space="0" w:color="auto"/>
                                      </w:divBdr>
                                      <w:divsChild>
                                        <w:div w:id="197513916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138838736">
                              <w:marLeft w:val="0"/>
                              <w:marRight w:val="0"/>
                              <w:marTop w:val="0"/>
                              <w:marBottom w:val="0"/>
                              <w:divBdr>
                                <w:top w:val="none" w:sz="0" w:space="0" w:color="auto"/>
                                <w:left w:val="none" w:sz="0" w:space="0" w:color="auto"/>
                                <w:bottom w:val="none" w:sz="0" w:space="0" w:color="auto"/>
                                <w:right w:val="none" w:sz="0" w:space="0" w:color="auto"/>
                              </w:divBdr>
                              <w:divsChild>
                                <w:div w:id="729155448">
                                  <w:marLeft w:val="0"/>
                                  <w:marRight w:val="0"/>
                                  <w:marTop w:val="0"/>
                                  <w:marBottom w:val="0"/>
                                  <w:divBdr>
                                    <w:top w:val="none" w:sz="0" w:space="0" w:color="auto"/>
                                    <w:left w:val="none" w:sz="0" w:space="0" w:color="auto"/>
                                    <w:bottom w:val="none" w:sz="0" w:space="0" w:color="auto"/>
                                    <w:right w:val="none" w:sz="0" w:space="0" w:color="auto"/>
                                  </w:divBdr>
                                  <w:divsChild>
                                    <w:div w:id="515538284">
                                      <w:marLeft w:val="0"/>
                                      <w:marRight w:val="0"/>
                                      <w:marTop w:val="0"/>
                                      <w:marBottom w:val="0"/>
                                      <w:divBdr>
                                        <w:top w:val="none" w:sz="0" w:space="0" w:color="auto"/>
                                        <w:left w:val="none" w:sz="0" w:space="0" w:color="auto"/>
                                        <w:bottom w:val="none" w:sz="0" w:space="0" w:color="auto"/>
                                        <w:right w:val="none" w:sz="0" w:space="0" w:color="auto"/>
                                      </w:divBdr>
                                      <w:divsChild>
                                        <w:div w:id="318772953">
                                          <w:marLeft w:val="30"/>
                                          <w:marRight w:val="30"/>
                                          <w:marTop w:val="30"/>
                                          <w:marBottom w:val="0"/>
                                          <w:divBdr>
                                            <w:top w:val="none" w:sz="0" w:space="0" w:color="auto"/>
                                            <w:left w:val="none" w:sz="0" w:space="0" w:color="auto"/>
                                            <w:bottom w:val="none" w:sz="0" w:space="0" w:color="auto"/>
                                            <w:right w:val="none" w:sz="0" w:space="0" w:color="auto"/>
                                          </w:divBdr>
                                          <w:divsChild>
                                            <w:div w:id="784351273">
                                              <w:marLeft w:val="210"/>
                                              <w:marRight w:val="210"/>
                                              <w:marTop w:val="0"/>
                                              <w:marBottom w:val="30"/>
                                              <w:divBdr>
                                                <w:top w:val="none" w:sz="0" w:space="0" w:color="auto"/>
                                                <w:left w:val="none" w:sz="0" w:space="0" w:color="auto"/>
                                                <w:bottom w:val="none" w:sz="0" w:space="0" w:color="auto"/>
                                                <w:right w:val="none" w:sz="0" w:space="0" w:color="auto"/>
                                              </w:divBdr>
                                              <w:divsChild>
                                                <w:div w:id="856310119">
                                                  <w:marLeft w:val="0"/>
                                                  <w:marRight w:val="30"/>
                                                  <w:marTop w:val="0"/>
                                                  <w:marBottom w:val="0"/>
                                                  <w:divBdr>
                                                    <w:top w:val="none" w:sz="0" w:space="0" w:color="auto"/>
                                                    <w:left w:val="none" w:sz="0" w:space="0" w:color="auto"/>
                                                    <w:bottom w:val="none" w:sz="0" w:space="0" w:color="auto"/>
                                                    <w:right w:val="none" w:sz="0" w:space="0" w:color="auto"/>
                                                  </w:divBdr>
                                                  <w:divsChild>
                                                    <w:div w:id="1125463081">
                                                      <w:marLeft w:val="0"/>
                                                      <w:marRight w:val="0"/>
                                                      <w:marTop w:val="0"/>
                                                      <w:marBottom w:val="90"/>
                                                      <w:divBdr>
                                                        <w:top w:val="none" w:sz="0" w:space="0" w:color="auto"/>
                                                        <w:left w:val="none" w:sz="0" w:space="0" w:color="auto"/>
                                                        <w:bottom w:val="none" w:sz="0" w:space="0" w:color="auto"/>
                                                        <w:right w:val="none" w:sz="0" w:space="0" w:color="auto"/>
                                                      </w:divBdr>
                                                      <w:divsChild>
                                                        <w:div w:id="1504708730">
                                                          <w:marLeft w:val="0"/>
                                                          <w:marRight w:val="0"/>
                                                          <w:marTop w:val="0"/>
                                                          <w:marBottom w:val="0"/>
                                                          <w:divBdr>
                                                            <w:top w:val="none" w:sz="0" w:space="0" w:color="auto"/>
                                                            <w:left w:val="none" w:sz="0" w:space="0" w:color="auto"/>
                                                            <w:bottom w:val="none" w:sz="0" w:space="0" w:color="auto"/>
                                                            <w:right w:val="none" w:sz="0" w:space="0" w:color="auto"/>
                                                          </w:divBdr>
                                                          <w:divsChild>
                                                            <w:div w:id="14014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085949">
                                      <w:marLeft w:val="120"/>
                                      <w:marRight w:val="120"/>
                                      <w:marTop w:val="0"/>
                                      <w:marBottom w:val="0"/>
                                      <w:divBdr>
                                        <w:top w:val="none" w:sz="0" w:space="0" w:color="auto"/>
                                        <w:left w:val="none" w:sz="0" w:space="0" w:color="auto"/>
                                        <w:bottom w:val="none" w:sz="0" w:space="0" w:color="auto"/>
                                        <w:right w:val="none" w:sz="0" w:space="0" w:color="auto"/>
                                      </w:divBdr>
                                      <w:divsChild>
                                        <w:div w:id="720832688">
                                          <w:marLeft w:val="30"/>
                                          <w:marRight w:val="30"/>
                                          <w:marTop w:val="135"/>
                                          <w:marBottom w:val="135"/>
                                          <w:divBdr>
                                            <w:top w:val="single" w:sz="6" w:space="0" w:color="8A8886"/>
                                            <w:left w:val="single" w:sz="6" w:space="0" w:color="8A8886"/>
                                            <w:bottom w:val="single" w:sz="6" w:space="0" w:color="8A8886"/>
                                            <w:right w:val="single" w:sz="6" w:space="0" w:color="8A8886"/>
                                          </w:divBdr>
                                          <w:divsChild>
                                            <w:div w:id="1811942825">
                                              <w:marLeft w:val="0"/>
                                              <w:marRight w:val="0"/>
                                              <w:marTop w:val="0"/>
                                              <w:marBottom w:val="0"/>
                                              <w:divBdr>
                                                <w:top w:val="none" w:sz="0" w:space="0" w:color="auto"/>
                                                <w:left w:val="none" w:sz="0" w:space="0" w:color="auto"/>
                                                <w:bottom w:val="none" w:sz="0" w:space="0" w:color="auto"/>
                                                <w:right w:val="none" w:sz="0" w:space="0" w:color="auto"/>
                                              </w:divBdr>
                                              <w:divsChild>
                                                <w:div w:id="143814523">
                                                  <w:marLeft w:val="0"/>
                                                  <w:marRight w:val="0"/>
                                                  <w:marTop w:val="0"/>
                                                  <w:marBottom w:val="0"/>
                                                  <w:divBdr>
                                                    <w:top w:val="none" w:sz="0" w:space="0" w:color="auto"/>
                                                    <w:left w:val="none" w:sz="0" w:space="0" w:color="auto"/>
                                                    <w:bottom w:val="none" w:sz="0" w:space="0" w:color="auto"/>
                                                    <w:right w:val="none" w:sz="0" w:space="0" w:color="auto"/>
                                                  </w:divBdr>
                                                  <w:divsChild>
                                                    <w:div w:id="8617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399632">
          <w:marLeft w:val="0"/>
          <w:marRight w:val="0"/>
          <w:marTop w:val="0"/>
          <w:marBottom w:val="0"/>
          <w:divBdr>
            <w:top w:val="none" w:sz="0" w:space="0" w:color="auto"/>
            <w:left w:val="none" w:sz="0" w:space="0" w:color="auto"/>
            <w:bottom w:val="none" w:sz="0" w:space="0" w:color="auto"/>
            <w:right w:val="none" w:sz="0" w:space="0" w:color="auto"/>
          </w:divBdr>
          <w:divsChild>
            <w:div w:id="1240947494">
              <w:marLeft w:val="0"/>
              <w:marRight w:val="0"/>
              <w:marTop w:val="0"/>
              <w:marBottom w:val="0"/>
              <w:divBdr>
                <w:top w:val="none" w:sz="0" w:space="0" w:color="auto"/>
                <w:left w:val="none" w:sz="0" w:space="0" w:color="auto"/>
                <w:bottom w:val="none" w:sz="0" w:space="0" w:color="auto"/>
                <w:right w:val="none" w:sz="0" w:space="0" w:color="auto"/>
              </w:divBdr>
              <w:divsChild>
                <w:div w:id="1933197161">
                  <w:marLeft w:val="0"/>
                  <w:marRight w:val="0"/>
                  <w:marTop w:val="0"/>
                  <w:marBottom w:val="0"/>
                  <w:divBdr>
                    <w:top w:val="none" w:sz="0" w:space="0" w:color="auto"/>
                    <w:left w:val="none" w:sz="0" w:space="0" w:color="auto"/>
                    <w:bottom w:val="none" w:sz="0" w:space="0" w:color="auto"/>
                    <w:right w:val="none" w:sz="0" w:space="0" w:color="auto"/>
                  </w:divBdr>
                  <w:divsChild>
                    <w:div w:id="1707170605">
                      <w:marLeft w:val="0"/>
                      <w:marRight w:val="0"/>
                      <w:marTop w:val="0"/>
                      <w:marBottom w:val="0"/>
                      <w:divBdr>
                        <w:top w:val="none" w:sz="0" w:space="0" w:color="auto"/>
                        <w:left w:val="none" w:sz="0" w:space="0" w:color="auto"/>
                        <w:bottom w:val="none" w:sz="0" w:space="0" w:color="auto"/>
                        <w:right w:val="none" w:sz="0" w:space="0" w:color="auto"/>
                      </w:divBdr>
                      <w:divsChild>
                        <w:div w:id="959603648">
                          <w:marLeft w:val="0"/>
                          <w:marRight w:val="0"/>
                          <w:marTop w:val="0"/>
                          <w:marBottom w:val="0"/>
                          <w:divBdr>
                            <w:top w:val="single" w:sz="6" w:space="0" w:color="EAEAEA"/>
                            <w:left w:val="single" w:sz="6" w:space="0" w:color="EAEAEA"/>
                            <w:bottom w:val="single" w:sz="6" w:space="0" w:color="EAEAEA"/>
                            <w:right w:val="single" w:sz="6" w:space="0" w:color="EAEAEA"/>
                          </w:divBdr>
                          <w:divsChild>
                            <w:div w:id="787893505">
                              <w:marLeft w:val="0"/>
                              <w:marRight w:val="0"/>
                              <w:marTop w:val="0"/>
                              <w:marBottom w:val="0"/>
                              <w:divBdr>
                                <w:top w:val="none" w:sz="0" w:space="0" w:color="auto"/>
                                <w:left w:val="none" w:sz="0" w:space="0" w:color="auto"/>
                                <w:bottom w:val="none" w:sz="0" w:space="0" w:color="auto"/>
                                <w:right w:val="none" w:sz="0" w:space="0" w:color="auto"/>
                              </w:divBdr>
                              <w:divsChild>
                                <w:div w:id="68117812">
                                  <w:marLeft w:val="210"/>
                                  <w:marRight w:val="0"/>
                                  <w:marTop w:val="120"/>
                                  <w:marBottom w:val="0"/>
                                  <w:divBdr>
                                    <w:top w:val="none" w:sz="0" w:space="0" w:color="auto"/>
                                    <w:left w:val="none" w:sz="0" w:space="0" w:color="auto"/>
                                    <w:bottom w:val="none" w:sz="0" w:space="0" w:color="auto"/>
                                    <w:right w:val="none" w:sz="0" w:space="0" w:color="auto"/>
                                  </w:divBdr>
                                  <w:divsChild>
                                    <w:div w:id="1157185007">
                                      <w:marLeft w:val="0"/>
                                      <w:marRight w:val="0"/>
                                      <w:marTop w:val="0"/>
                                      <w:marBottom w:val="0"/>
                                      <w:divBdr>
                                        <w:top w:val="none" w:sz="0" w:space="0" w:color="auto"/>
                                        <w:left w:val="none" w:sz="0" w:space="0" w:color="auto"/>
                                        <w:bottom w:val="none" w:sz="0" w:space="0" w:color="auto"/>
                                        <w:right w:val="none" w:sz="0" w:space="0" w:color="auto"/>
                                      </w:divBdr>
                                      <w:divsChild>
                                        <w:div w:id="98562807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906261848">
                                  <w:marLeft w:val="90"/>
                                  <w:marRight w:val="120"/>
                                  <w:marTop w:val="120"/>
                                  <w:marBottom w:val="120"/>
                                  <w:divBdr>
                                    <w:top w:val="none" w:sz="0" w:space="0" w:color="auto"/>
                                    <w:left w:val="none" w:sz="0" w:space="0" w:color="auto"/>
                                    <w:bottom w:val="none" w:sz="0" w:space="0" w:color="auto"/>
                                    <w:right w:val="none" w:sz="0" w:space="0" w:color="auto"/>
                                  </w:divBdr>
                                  <w:divsChild>
                                    <w:div w:id="1137600789">
                                      <w:marLeft w:val="0"/>
                                      <w:marRight w:val="0"/>
                                      <w:marTop w:val="0"/>
                                      <w:marBottom w:val="0"/>
                                      <w:divBdr>
                                        <w:top w:val="none" w:sz="0" w:space="0" w:color="auto"/>
                                        <w:left w:val="none" w:sz="0" w:space="0" w:color="auto"/>
                                        <w:bottom w:val="none" w:sz="0" w:space="0" w:color="auto"/>
                                        <w:right w:val="none" w:sz="0" w:space="0" w:color="auto"/>
                                      </w:divBdr>
                                      <w:divsChild>
                                        <w:div w:id="468089152">
                                          <w:marLeft w:val="0"/>
                                          <w:marRight w:val="150"/>
                                          <w:marTop w:val="0"/>
                                          <w:marBottom w:val="0"/>
                                          <w:divBdr>
                                            <w:top w:val="none" w:sz="0" w:space="0" w:color="auto"/>
                                            <w:left w:val="none" w:sz="0" w:space="0" w:color="auto"/>
                                            <w:bottom w:val="none" w:sz="0" w:space="0" w:color="auto"/>
                                            <w:right w:val="none" w:sz="0" w:space="0" w:color="auto"/>
                                          </w:divBdr>
                                        </w:div>
                                        <w:div w:id="16559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48357">
                              <w:marLeft w:val="0"/>
                              <w:marRight w:val="0"/>
                              <w:marTop w:val="0"/>
                              <w:marBottom w:val="0"/>
                              <w:divBdr>
                                <w:top w:val="none" w:sz="0" w:space="0" w:color="auto"/>
                                <w:left w:val="none" w:sz="0" w:space="0" w:color="auto"/>
                                <w:bottom w:val="none" w:sz="0" w:space="0" w:color="auto"/>
                                <w:right w:val="none" w:sz="0" w:space="0" w:color="auto"/>
                              </w:divBdr>
                              <w:divsChild>
                                <w:div w:id="741441077">
                                  <w:marLeft w:val="0"/>
                                  <w:marRight w:val="0"/>
                                  <w:marTop w:val="0"/>
                                  <w:marBottom w:val="0"/>
                                  <w:divBdr>
                                    <w:top w:val="none" w:sz="0" w:space="0" w:color="auto"/>
                                    <w:left w:val="none" w:sz="0" w:space="0" w:color="auto"/>
                                    <w:bottom w:val="none" w:sz="0" w:space="0" w:color="auto"/>
                                    <w:right w:val="none" w:sz="0" w:space="0" w:color="auto"/>
                                  </w:divBdr>
                                  <w:divsChild>
                                    <w:div w:id="967197572">
                                      <w:marLeft w:val="0"/>
                                      <w:marRight w:val="0"/>
                                      <w:marTop w:val="0"/>
                                      <w:marBottom w:val="0"/>
                                      <w:divBdr>
                                        <w:top w:val="none" w:sz="0" w:space="0" w:color="auto"/>
                                        <w:left w:val="none" w:sz="0" w:space="0" w:color="auto"/>
                                        <w:bottom w:val="none" w:sz="0" w:space="0" w:color="auto"/>
                                        <w:right w:val="none" w:sz="0" w:space="0" w:color="auto"/>
                                      </w:divBdr>
                                      <w:divsChild>
                                        <w:div w:id="765886064">
                                          <w:marLeft w:val="30"/>
                                          <w:marRight w:val="30"/>
                                          <w:marTop w:val="30"/>
                                          <w:marBottom w:val="0"/>
                                          <w:divBdr>
                                            <w:top w:val="none" w:sz="0" w:space="0" w:color="auto"/>
                                            <w:left w:val="none" w:sz="0" w:space="0" w:color="auto"/>
                                            <w:bottom w:val="none" w:sz="0" w:space="0" w:color="auto"/>
                                            <w:right w:val="none" w:sz="0" w:space="0" w:color="auto"/>
                                          </w:divBdr>
                                          <w:divsChild>
                                            <w:div w:id="1458258556">
                                              <w:marLeft w:val="210"/>
                                              <w:marRight w:val="210"/>
                                              <w:marTop w:val="0"/>
                                              <w:marBottom w:val="30"/>
                                              <w:divBdr>
                                                <w:top w:val="none" w:sz="0" w:space="0" w:color="auto"/>
                                                <w:left w:val="none" w:sz="0" w:space="0" w:color="auto"/>
                                                <w:bottom w:val="none" w:sz="0" w:space="0" w:color="auto"/>
                                                <w:right w:val="none" w:sz="0" w:space="0" w:color="auto"/>
                                              </w:divBdr>
                                              <w:divsChild>
                                                <w:div w:id="1338539065">
                                                  <w:marLeft w:val="0"/>
                                                  <w:marRight w:val="30"/>
                                                  <w:marTop w:val="0"/>
                                                  <w:marBottom w:val="0"/>
                                                  <w:divBdr>
                                                    <w:top w:val="none" w:sz="0" w:space="0" w:color="auto"/>
                                                    <w:left w:val="none" w:sz="0" w:space="0" w:color="auto"/>
                                                    <w:bottom w:val="none" w:sz="0" w:space="0" w:color="auto"/>
                                                    <w:right w:val="none" w:sz="0" w:space="0" w:color="auto"/>
                                                  </w:divBdr>
                                                  <w:divsChild>
                                                    <w:div w:id="1028026605">
                                                      <w:marLeft w:val="0"/>
                                                      <w:marRight w:val="0"/>
                                                      <w:marTop w:val="0"/>
                                                      <w:marBottom w:val="0"/>
                                                      <w:divBdr>
                                                        <w:top w:val="none" w:sz="0" w:space="0" w:color="auto"/>
                                                        <w:left w:val="none" w:sz="0" w:space="0" w:color="auto"/>
                                                        <w:bottom w:val="none" w:sz="0" w:space="0" w:color="auto"/>
                                                        <w:right w:val="none" w:sz="0" w:space="0" w:color="auto"/>
                                                      </w:divBdr>
                                                      <w:divsChild>
                                                        <w:div w:id="82456891">
                                                          <w:marLeft w:val="0"/>
                                                          <w:marRight w:val="0"/>
                                                          <w:marTop w:val="0"/>
                                                          <w:marBottom w:val="0"/>
                                                          <w:divBdr>
                                                            <w:top w:val="none" w:sz="0" w:space="0" w:color="auto"/>
                                                            <w:left w:val="none" w:sz="0" w:space="0" w:color="auto"/>
                                                            <w:bottom w:val="none" w:sz="0" w:space="0" w:color="auto"/>
                                                            <w:right w:val="none" w:sz="0" w:space="0" w:color="auto"/>
                                                          </w:divBdr>
                                                          <w:divsChild>
                                                            <w:div w:id="12802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050784">
                                      <w:marLeft w:val="120"/>
                                      <w:marRight w:val="120"/>
                                      <w:marTop w:val="0"/>
                                      <w:marBottom w:val="0"/>
                                      <w:divBdr>
                                        <w:top w:val="none" w:sz="0" w:space="0" w:color="auto"/>
                                        <w:left w:val="none" w:sz="0" w:space="0" w:color="auto"/>
                                        <w:bottom w:val="none" w:sz="0" w:space="0" w:color="auto"/>
                                        <w:right w:val="none" w:sz="0" w:space="0" w:color="auto"/>
                                      </w:divBdr>
                                      <w:divsChild>
                                        <w:div w:id="1690065021">
                                          <w:marLeft w:val="30"/>
                                          <w:marRight w:val="30"/>
                                          <w:marTop w:val="135"/>
                                          <w:marBottom w:val="135"/>
                                          <w:divBdr>
                                            <w:top w:val="single" w:sz="6" w:space="0" w:color="8A8886"/>
                                            <w:left w:val="single" w:sz="6" w:space="0" w:color="8A8886"/>
                                            <w:bottom w:val="single" w:sz="6" w:space="0" w:color="8A8886"/>
                                            <w:right w:val="single" w:sz="6" w:space="0" w:color="8A8886"/>
                                          </w:divBdr>
                                          <w:divsChild>
                                            <w:div w:id="172032189">
                                              <w:marLeft w:val="0"/>
                                              <w:marRight w:val="0"/>
                                              <w:marTop w:val="0"/>
                                              <w:marBottom w:val="0"/>
                                              <w:divBdr>
                                                <w:top w:val="none" w:sz="0" w:space="0" w:color="auto"/>
                                                <w:left w:val="none" w:sz="0" w:space="0" w:color="auto"/>
                                                <w:bottom w:val="none" w:sz="0" w:space="0" w:color="auto"/>
                                                <w:right w:val="none" w:sz="0" w:space="0" w:color="auto"/>
                                              </w:divBdr>
                                              <w:divsChild>
                                                <w:div w:id="101612046">
                                                  <w:marLeft w:val="0"/>
                                                  <w:marRight w:val="0"/>
                                                  <w:marTop w:val="0"/>
                                                  <w:marBottom w:val="0"/>
                                                  <w:divBdr>
                                                    <w:top w:val="none" w:sz="0" w:space="0" w:color="auto"/>
                                                    <w:left w:val="none" w:sz="0" w:space="0" w:color="auto"/>
                                                    <w:bottom w:val="none" w:sz="0" w:space="0" w:color="auto"/>
                                                    <w:right w:val="none" w:sz="0" w:space="0" w:color="auto"/>
                                                  </w:divBdr>
                                                  <w:divsChild>
                                                    <w:div w:id="10676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3979543">
          <w:marLeft w:val="0"/>
          <w:marRight w:val="0"/>
          <w:marTop w:val="0"/>
          <w:marBottom w:val="0"/>
          <w:divBdr>
            <w:top w:val="none" w:sz="0" w:space="0" w:color="auto"/>
            <w:left w:val="none" w:sz="0" w:space="0" w:color="auto"/>
            <w:bottom w:val="none" w:sz="0" w:space="0" w:color="auto"/>
            <w:right w:val="none" w:sz="0" w:space="0" w:color="auto"/>
          </w:divBdr>
          <w:divsChild>
            <w:div w:id="1784575197">
              <w:marLeft w:val="0"/>
              <w:marRight w:val="0"/>
              <w:marTop w:val="0"/>
              <w:marBottom w:val="0"/>
              <w:divBdr>
                <w:top w:val="none" w:sz="0" w:space="0" w:color="auto"/>
                <w:left w:val="none" w:sz="0" w:space="0" w:color="auto"/>
                <w:bottom w:val="none" w:sz="0" w:space="0" w:color="auto"/>
                <w:right w:val="none" w:sz="0" w:space="0" w:color="auto"/>
              </w:divBdr>
              <w:divsChild>
                <w:div w:id="705056873">
                  <w:marLeft w:val="0"/>
                  <w:marRight w:val="0"/>
                  <w:marTop w:val="0"/>
                  <w:marBottom w:val="0"/>
                  <w:divBdr>
                    <w:top w:val="none" w:sz="0" w:space="0" w:color="auto"/>
                    <w:left w:val="none" w:sz="0" w:space="0" w:color="auto"/>
                    <w:bottom w:val="none" w:sz="0" w:space="0" w:color="auto"/>
                    <w:right w:val="none" w:sz="0" w:space="0" w:color="auto"/>
                  </w:divBdr>
                  <w:divsChild>
                    <w:div w:id="615990885">
                      <w:marLeft w:val="0"/>
                      <w:marRight w:val="0"/>
                      <w:marTop w:val="0"/>
                      <w:marBottom w:val="0"/>
                      <w:divBdr>
                        <w:top w:val="none" w:sz="0" w:space="0" w:color="auto"/>
                        <w:left w:val="none" w:sz="0" w:space="0" w:color="auto"/>
                        <w:bottom w:val="none" w:sz="0" w:space="0" w:color="auto"/>
                        <w:right w:val="none" w:sz="0" w:space="0" w:color="auto"/>
                      </w:divBdr>
                      <w:divsChild>
                        <w:div w:id="1178889038">
                          <w:marLeft w:val="0"/>
                          <w:marRight w:val="0"/>
                          <w:marTop w:val="0"/>
                          <w:marBottom w:val="0"/>
                          <w:divBdr>
                            <w:top w:val="single" w:sz="6" w:space="0" w:color="EAEAEA"/>
                            <w:left w:val="single" w:sz="6" w:space="0" w:color="EAEAEA"/>
                            <w:bottom w:val="single" w:sz="6" w:space="0" w:color="EAEAEA"/>
                            <w:right w:val="single" w:sz="6" w:space="0" w:color="EAEAEA"/>
                          </w:divBdr>
                          <w:divsChild>
                            <w:div w:id="1480266160">
                              <w:marLeft w:val="0"/>
                              <w:marRight w:val="0"/>
                              <w:marTop w:val="0"/>
                              <w:marBottom w:val="0"/>
                              <w:divBdr>
                                <w:top w:val="none" w:sz="0" w:space="0" w:color="auto"/>
                                <w:left w:val="none" w:sz="0" w:space="0" w:color="auto"/>
                                <w:bottom w:val="none" w:sz="0" w:space="0" w:color="auto"/>
                                <w:right w:val="none" w:sz="0" w:space="0" w:color="auto"/>
                              </w:divBdr>
                              <w:divsChild>
                                <w:div w:id="546915128">
                                  <w:marLeft w:val="90"/>
                                  <w:marRight w:val="120"/>
                                  <w:marTop w:val="120"/>
                                  <w:marBottom w:val="120"/>
                                  <w:divBdr>
                                    <w:top w:val="none" w:sz="0" w:space="0" w:color="auto"/>
                                    <w:left w:val="none" w:sz="0" w:space="0" w:color="auto"/>
                                    <w:bottom w:val="none" w:sz="0" w:space="0" w:color="auto"/>
                                    <w:right w:val="none" w:sz="0" w:space="0" w:color="auto"/>
                                  </w:divBdr>
                                  <w:divsChild>
                                    <w:div w:id="1994723920">
                                      <w:marLeft w:val="0"/>
                                      <w:marRight w:val="0"/>
                                      <w:marTop w:val="0"/>
                                      <w:marBottom w:val="0"/>
                                      <w:divBdr>
                                        <w:top w:val="none" w:sz="0" w:space="0" w:color="auto"/>
                                        <w:left w:val="none" w:sz="0" w:space="0" w:color="auto"/>
                                        <w:bottom w:val="none" w:sz="0" w:space="0" w:color="auto"/>
                                        <w:right w:val="none" w:sz="0" w:space="0" w:color="auto"/>
                                      </w:divBdr>
                                      <w:divsChild>
                                        <w:div w:id="440078427">
                                          <w:marLeft w:val="0"/>
                                          <w:marRight w:val="150"/>
                                          <w:marTop w:val="0"/>
                                          <w:marBottom w:val="0"/>
                                          <w:divBdr>
                                            <w:top w:val="none" w:sz="0" w:space="0" w:color="auto"/>
                                            <w:left w:val="none" w:sz="0" w:space="0" w:color="auto"/>
                                            <w:bottom w:val="none" w:sz="0" w:space="0" w:color="auto"/>
                                            <w:right w:val="none" w:sz="0" w:space="0" w:color="auto"/>
                                          </w:divBdr>
                                        </w:div>
                                        <w:div w:id="17253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5606">
                                  <w:marLeft w:val="210"/>
                                  <w:marRight w:val="0"/>
                                  <w:marTop w:val="120"/>
                                  <w:marBottom w:val="0"/>
                                  <w:divBdr>
                                    <w:top w:val="none" w:sz="0" w:space="0" w:color="auto"/>
                                    <w:left w:val="none" w:sz="0" w:space="0" w:color="auto"/>
                                    <w:bottom w:val="none" w:sz="0" w:space="0" w:color="auto"/>
                                    <w:right w:val="none" w:sz="0" w:space="0" w:color="auto"/>
                                  </w:divBdr>
                                  <w:divsChild>
                                    <w:div w:id="963732473">
                                      <w:marLeft w:val="0"/>
                                      <w:marRight w:val="0"/>
                                      <w:marTop w:val="0"/>
                                      <w:marBottom w:val="0"/>
                                      <w:divBdr>
                                        <w:top w:val="none" w:sz="0" w:space="0" w:color="auto"/>
                                        <w:left w:val="none" w:sz="0" w:space="0" w:color="auto"/>
                                        <w:bottom w:val="none" w:sz="0" w:space="0" w:color="auto"/>
                                        <w:right w:val="none" w:sz="0" w:space="0" w:color="auto"/>
                                      </w:divBdr>
                                      <w:divsChild>
                                        <w:div w:id="119388487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788546521">
                              <w:marLeft w:val="0"/>
                              <w:marRight w:val="0"/>
                              <w:marTop w:val="0"/>
                              <w:marBottom w:val="0"/>
                              <w:divBdr>
                                <w:top w:val="none" w:sz="0" w:space="0" w:color="auto"/>
                                <w:left w:val="none" w:sz="0" w:space="0" w:color="auto"/>
                                <w:bottom w:val="none" w:sz="0" w:space="0" w:color="auto"/>
                                <w:right w:val="none" w:sz="0" w:space="0" w:color="auto"/>
                              </w:divBdr>
                              <w:divsChild>
                                <w:div w:id="47148699">
                                  <w:marLeft w:val="0"/>
                                  <w:marRight w:val="0"/>
                                  <w:marTop w:val="0"/>
                                  <w:marBottom w:val="0"/>
                                  <w:divBdr>
                                    <w:top w:val="none" w:sz="0" w:space="0" w:color="auto"/>
                                    <w:left w:val="none" w:sz="0" w:space="0" w:color="auto"/>
                                    <w:bottom w:val="none" w:sz="0" w:space="0" w:color="auto"/>
                                    <w:right w:val="none" w:sz="0" w:space="0" w:color="auto"/>
                                  </w:divBdr>
                                  <w:divsChild>
                                    <w:div w:id="1081869336">
                                      <w:marLeft w:val="0"/>
                                      <w:marRight w:val="0"/>
                                      <w:marTop w:val="0"/>
                                      <w:marBottom w:val="0"/>
                                      <w:divBdr>
                                        <w:top w:val="none" w:sz="0" w:space="0" w:color="auto"/>
                                        <w:left w:val="none" w:sz="0" w:space="0" w:color="auto"/>
                                        <w:bottom w:val="none" w:sz="0" w:space="0" w:color="auto"/>
                                        <w:right w:val="none" w:sz="0" w:space="0" w:color="auto"/>
                                      </w:divBdr>
                                      <w:divsChild>
                                        <w:div w:id="2117165405">
                                          <w:marLeft w:val="30"/>
                                          <w:marRight w:val="30"/>
                                          <w:marTop w:val="30"/>
                                          <w:marBottom w:val="0"/>
                                          <w:divBdr>
                                            <w:top w:val="none" w:sz="0" w:space="0" w:color="auto"/>
                                            <w:left w:val="none" w:sz="0" w:space="0" w:color="auto"/>
                                            <w:bottom w:val="none" w:sz="0" w:space="0" w:color="auto"/>
                                            <w:right w:val="none" w:sz="0" w:space="0" w:color="auto"/>
                                          </w:divBdr>
                                          <w:divsChild>
                                            <w:div w:id="778648677">
                                              <w:marLeft w:val="210"/>
                                              <w:marRight w:val="210"/>
                                              <w:marTop w:val="0"/>
                                              <w:marBottom w:val="30"/>
                                              <w:divBdr>
                                                <w:top w:val="none" w:sz="0" w:space="0" w:color="auto"/>
                                                <w:left w:val="none" w:sz="0" w:space="0" w:color="auto"/>
                                                <w:bottom w:val="none" w:sz="0" w:space="0" w:color="auto"/>
                                                <w:right w:val="none" w:sz="0" w:space="0" w:color="auto"/>
                                              </w:divBdr>
                                              <w:divsChild>
                                                <w:div w:id="473840552">
                                                  <w:marLeft w:val="0"/>
                                                  <w:marRight w:val="30"/>
                                                  <w:marTop w:val="0"/>
                                                  <w:marBottom w:val="0"/>
                                                  <w:divBdr>
                                                    <w:top w:val="none" w:sz="0" w:space="0" w:color="auto"/>
                                                    <w:left w:val="none" w:sz="0" w:space="0" w:color="auto"/>
                                                    <w:bottom w:val="none" w:sz="0" w:space="0" w:color="auto"/>
                                                    <w:right w:val="none" w:sz="0" w:space="0" w:color="auto"/>
                                                  </w:divBdr>
                                                  <w:divsChild>
                                                    <w:div w:id="830678099">
                                                      <w:marLeft w:val="0"/>
                                                      <w:marRight w:val="0"/>
                                                      <w:marTop w:val="0"/>
                                                      <w:marBottom w:val="0"/>
                                                      <w:divBdr>
                                                        <w:top w:val="none" w:sz="0" w:space="0" w:color="auto"/>
                                                        <w:left w:val="none" w:sz="0" w:space="0" w:color="auto"/>
                                                        <w:bottom w:val="none" w:sz="0" w:space="0" w:color="auto"/>
                                                        <w:right w:val="none" w:sz="0" w:space="0" w:color="auto"/>
                                                      </w:divBdr>
                                                      <w:divsChild>
                                                        <w:div w:id="2094163222">
                                                          <w:marLeft w:val="0"/>
                                                          <w:marRight w:val="0"/>
                                                          <w:marTop w:val="0"/>
                                                          <w:marBottom w:val="0"/>
                                                          <w:divBdr>
                                                            <w:top w:val="none" w:sz="0" w:space="0" w:color="auto"/>
                                                            <w:left w:val="none" w:sz="0" w:space="0" w:color="auto"/>
                                                            <w:bottom w:val="none" w:sz="0" w:space="0" w:color="auto"/>
                                                            <w:right w:val="none" w:sz="0" w:space="0" w:color="auto"/>
                                                          </w:divBdr>
                                                          <w:divsChild>
                                                            <w:div w:id="235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0702670">
      <w:bodyDiv w:val="1"/>
      <w:marLeft w:val="0"/>
      <w:marRight w:val="0"/>
      <w:marTop w:val="0"/>
      <w:marBottom w:val="0"/>
      <w:divBdr>
        <w:top w:val="none" w:sz="0" w:space="0" w:color="auto"/>
        <w:left w:val="none" w:sz="0" w:space="0" w:color="auto"/>
        <w:bottom w:val="none" w:sz="0" w:space="0" w:color="auto"/>
        <w:right w:val="none" w:sz="0" w:space="0" w:color="auto"/>
      </w:divBdr>
      <w:divsChild>
        <w:div w:id="1635478064">
          <w:marLeft w:val="0"/>
          <w:marRight w:val="0"/>
          <w:marTop w:val="0"/>
          <w:marBottom w:val="0"/>
          <w:divBdr>
            <w:top w:val="none" w:sz="0" w:space="0" w:color="auto"/>
            <w:left w:val="none" w:sz="0" w:space="0" w:color="auto"/>
            <w:bottom w:val="none" w:sz="0" w:space="0" w:color="auto"/>
            <w:right w:val="none" w:sz="0" w:space="0" w:color="auto"/>
          </w:divBdr>
        </w:div>
      </w:divsChild>
    </w:div>
    <w:div w:id="1225800490">
      <w:bodyDiv w:val="1"/>
      <w:marLeft w:val="0"/>
      <w:marRight w:val="0"/>
      <w:marTop w:val="0"/>
      <w:marBottom w:val="0"/>
      <w:divBdr>
        <w:top w:val="none" w:sz="0" w:space="0" w:color="auto"/>
        <w:left w:val="none" w:sz="0" w:space="0" w:color="auto"/>
        <w:bottom w:val="none" w:sz="0" w:space="0" w:color="auto"/>
        <w:right w:val="none" w:sz="0" w:space="0" w:color="auto"/>
      </w:divBdr>
    </w:div>
    <w:div w:id="1250314823">
      <w:bodyDiv w:val="1"/>
      <w:marLeft w:val="0"/>
      <w:marRight w:val="0"/>
      <w:marTop w:val="0"/>
      <w:marBottom w:val="0"/>
      <w:divBdr>
        <w:top w:val="none" w:sz="0" w:space="0" w:color="auto"/>
        <w:left w:val="none" w:sz="0" w:space="0" w:color="auto"/>
        <w:bottom w:val="none" w:sz="0" w:space="0" w:color="auto"/>
        <w:right w:val="none" w:sz="0" w:space="0" w:color="auto"/>
      </w:divBdr>
    </w:div>
    <w:div w:id="1256010925">
      <w:bodyDiv w:val="1"/>
      <w:marLeft w:val="0"/>
      <w:marRight w:val="0"/>
      <w:marTop w:val="0"/>
      <w:marBottom w:val="0"/>
      <w:divBdr>
        <w:top w:val="none" w:sz="0" w:space="0" w:color="auto"/>
        <w:left w:val="none" w:sz="0" w:space="0" w:color="auto"/>
        <w:bottom w:val="none" w:sz="0" w:space="0" w:color="auto"/>
        <w:right w:val="none" w:sz="0" w:space="0" w:color="auto"/>
      </w:divBdr>
    </w:div>
    <w:div w:id="1258445324">
      <w:bodyDiv w:val="1"/>
      <w:marLeft w:val="0"/>
      <w:marRight w:val="0"/>
      <w:marTop w:val="0"/>
      <w:marBottom w:val="0"/>
      <w:divBdr>
        <w:top w:val="none" w:sz="0" w:space="0" w:color="auto"/>
        <w:left w:val="none" w:sz="0" w:space="0" w:color="auto"/>
        <w:bottom w:val="none" w:sz="0" w:space="0" w:color="auto"/>
        <w:right w:val="none" w:sz="0" w:space="0" w:color="auto"/>
      </w:divBdr>
    </w:div>
    <w:div w:id="1260260487">
      <w:bodyDiv w:val="1"/>
      <w:marLeft w:val="0"/>
      <w:marRight w:val="0"/>
      <w:marTop w:val="0"/>
      <w:marBottom w:val="0"/>
      <w:divBdr>
        <w:top w:val="none" w:sz="0" w:space="0" w:color="auto"/>
        <w:left w:val="none" w:sz="0" w:space="0" w:color="auto"/>
        <w:bottom w:val="none" w:sz="0" w:space="0" w:color="auto"/>
        <w:right w:val="none" w:sz="0" w:space="0" w:color="auto"/>
      </w:divBdr>
    </w:div>
    <w:div w:id="1281491094">
      <w:bodyDiv w:val="1"/>
      <w:marLeft w:val="0"/>
      <w:marRight w:val="0"/>
      <w:marTop w:val="0"/>
      <w:marBottom w:val="0"/>
      <w:divBdr>
        <w:top w:val="none" w:sz="0" w:space="0" w:color="auto"/>
        <w:left w:val="none" w:sz="0" w:space="0" w:color="auto"/>
        <w:bottom w:val="none" w:sz="0" w:space="0" w:color="auto"/>
        <w:right w:val="none" w:sz="0" w:space="0" w:color="auto"/>
      </w:divBdr>
    </w:div>
    <w:div w:id="1284464950">
      <w:bodyDiv w:val="1"/>
      <w:marLeft w:val="0"/>
      <w:marRight w:val="0"/>
      <w:marTop w:val="0"/>
      <w:marBottom w:val="0"/>
      <w:divBdr>
        <w:top w:val="none" w:sz="0" w:space="0" w:color="auto"/>
        <w:left w:val="none" w:sz="0" w:space="0" w:color="auto"/>
        <w:bottom w:val="none" w:sz="0" w:space="0" w:color="auto"/>
        <w:right w:val="none" w:sz="0" w:space="0" w:color="auto"/>
      </w:divBdr>
      <w:divsChild>
        <w:div w:id="223875910">
          <w:marLeft w:val="0"/>
          <w:marRight w:val="0"/>
          <w:marTop w:val="0"/>
          <w:marBottom w:val="0"/>
          <w:divBdr>
            <w:top w:val="none" w:sz="0" w:space="0" w:color="auto"/>
            <w:left w:val="none" w:sz="0" w:space="0" w:color="auto"/>
            <w:bottom w:val="none" w:sz="0" w:space="0" w:color="auto"/>
            <w:right w:val="none" w:sz="0" w:space="0" w:color="auto"/>
          </w:divBdr>
        </w:div>
        <w:div w:id="538586711">
          <w:marLeft w:val="0"/>
          <w:marRight w:val="0"/>
          <w:marTop w:val="0"/>
          <w:marBottom w:val="0"/>
          <w:divBdr>
            <w:top w:val="none" w:sz="0" w:space="0" w:color="auto"/>
            <w:left w:val="none" w:sz="0" w:space="0" w:color="auto"/>
            <w:bottom w:val="none" w:sz="0" w:space="0" w:color="auto"/>
            <w:right w:val="none" w:sz="0" w:space="0" w:color="auto"/>
          </w:divBdr>
        </w:div>
        <w:div w:id="1685475838">
          <w:marLeft w:val="0"/>
          <w:marRight w:val="0"/>
          <w:marTop w:val="0"/>
          <w:marBottom w:val="0"/>
          <w:divBdr>
            <w:top w:val="none" w:sz="0" w:space="0" w:color="auto"/>
            <w:left w:val="none" w:sz="0" w:space="0" w:color="auto"/>
            <w:bottom w:val="none" w:sz="0" w:space="0" w:color="auto"/>
            <w:right w:val="none" w:sz="0" w:space="0" w:color="auto"/>
          </w:divBdr>
        </w:div>
        <w:div w:id="1753698191">
          <w:marLeft w:val="0"/>
          <w:marRight w:val="0"/>
          <w:marTop w:val="0"/>
          <w:marBottom w:val="0"/>
          <w:divBdr>
            <w:top w:val="none" w:sz="0" w:space="0" w:color="auto"/>
            <w:left w:val="none" w:sz="0" w:space="0" w:color="auto"/>
            <w:bottom w:val="none" w:sz="0" w:space="0" w:color="auto"/>
            <w:right w:val="none" w:sz="0" w:space="0" w:color="auto"/>
          </w:divBdr>
        </w:div>
      </w:divsChild>
    </w:div>
    <w:div w:id="1345981143">
      <w:bodyDiv w:val="1"/>
      <w:marLeft w:val="0"/>
      <w:marRight w:val="0"/>
      <w:marTop w:val="0"/>
      <w:marBottom w:val="0"/>
      <w:divBdr>
        <w:top w:val="none" w:sz="0" w:space="0" w:color="auto"/>
        <w:left w:val="none" w:sz="0" w:space="0" w:color="auto"/>
        <w:bottom w:val="none" w:sz="0" w:space="0" w:color="auto"/>
        <w:right w:val="none" w:sz="0" w:space="0" w:color="auto"/>
      </w:divBdr>
    </w:div>
    <w:div w:id="1420785836">
      <w:bodyDiv w:val="1"/>
      <w:marLeft w:val="0"/>
      <w:marRight w:val="0"/>
      <w:marTop w:val="0"/>
      <w:marBottom w:val="0"/>
      <w:divBdr>
        <w:top w:val="none" w:sz="0" w:space="0" w:color="auto"/>
        <w:left w:val="none" w:sz="0" w:space="0" w:color="auto"/>
        <w:bottom w:val="none" w:sz="0" w:space="0" w:color="auto"/>
        <w:right w:val="none" w:sz="0" w:space="0" w:color="auto"/>
      </w:divBdr>
      <w:divsChild>
        <w:div w:id="141000218">
          <w:marLeft w:val="0"/>
          <w:marRight w:val="0"/>
          <w:marTop w:val="0"/>
          <w:marBottom w:val="0"/>
          <w:divBdr>
            <w:top w:val="none" w:sz="0" w:space="0" w:color="auto"/>
            <w:left w:val="none" w:sz="0" w:space="0" w:color="auto"/>
            <w:bottom w:val="none" w:sz="0" w:space="0" w:color="auto"/>
            <w:right w:val="none" w:sz="0" w:space="0" w:color="auto"/>
          </w:divBdr>
          <w:divsChild>
            <w:div w:id="1913081521">
              <w:marLeft w:val="0"/>
              <w:marRight w:val="0"/>
              <w:marTop w:val="0"/>
              <w:marBottom w:val="0"/>
              <w:divBdr>
                <w:top w:val="none" w:sz="0" w:space="0" w:color="auto"/>
                <w:left w:val="none" w:sz="0" w:space="0" w:color="auto"/>
                <w:bottom w:val="none" w:sz="0" w:space="0" w:color="auto"/>
                <w:right w:val="none" w:sz="0" w:space="0" w:color="auto"/>
              </w:divBdr>
              <w:divsChild>
                <w:div w:id="116879197">
                  <w:marLeft w:val="0"/>
                  <w:marRight w:val="0"/>
                  <w:marTop w:val="0"/>
                  <w:marBottom w:val="0"/>
                  <w:divBdr>
                    <w:top w:val="single" w:sz="18" w:space="4" w:color="006FCA"/>
                    <w:left w:val="single" w:sz="18" w:space="4" w:color="006FCA"/>
                    <w:bottom w:val="single" w:sz="18" w:space="4" w:color="006FCA"/>
                    <w:right w:val="single" w:sz="18" w:space="4" w:color="006FCA"/>
                  </w:divBdr>
                  <w:divsChild>
                    <w:div w:id="1993367172">
                      <w:marLeft w:val="0"/>
                      <w:marRight w:val="0"/>
                      <w:marTop w:val="0"/>
                      <w:marBottom w:val="0"/>
                      <w:divBdr>
                        <w:top w:val="none" w:sz="0" w:space="0" w:color="auto"/>
                        <w:left w:val="none" w:sz="0" w:space="0" w:color="auto"/>
                        <w:bottom w:val="none" w:sz="0" w:space="0" w:color="auto"/>
                        <w:right w:val="none" w:sz="0" w:space="0" w:color="auto"/>
                      </w:divBdr>
                      <w:divsChild>
                        <w:div w:id="11944193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86091681">
          <w:marLeft w:val="0"/>
          <w:marRight w:val="0"/>
          <w:marTop w:val="0"/>
          <w:marBottom w:val="0"/>
          <w:divBdr>
            <w:top w:val="none" w:sz="0" w:space="0" w:color="auto"/>
            <w:left w:val="none" w:sz="0" w:space="0" w:color="auto"/>
            <w:bottom w:val="none" w:sz="0" w:space="0" w:color="auto"/>
            <w:right w:val="none" w:sz="0" w:space="0" w:color="auto"/>
          </w:divBdr>
          <w:divsChild>
            <w:div w:id="2035114759">
              <w:marLeft w:val="0"/>
              <w:marRight w:val="0"/>
              <w:marTop w:val="0"/>
              <w:marBottom w:val="0"/>
              <w:divBdr>
                <w:top w:val="none" w:sz="0" w:space="0" w:color="auto"/>
                <w:left w:val="none" w:sz="0" w:space="0" w:color="auto"/>
                <w:bottom w:val="none" w:sz="0" w:space="0" w:color="auto"/>
                <w:right w:val="none" w:sz="0" w:space="0" w:color="auto"/>
              </w:divBdr>
              <w:divsChild>
                <w:div w:id="13798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1783">
      <w:bodyDiv w:val="1"/>
      <w:marLeft w:val="0"/>
      <w:marRight w:val="0"/>
      <w:marTop w:val="0"/>
      <w:marBottom w:val="0"/>
      <w:divBdr>
        <w:top w:val="none" w:sz="0" w:space="0" w:color="auto"/>
        <w:left w:val="none" w:sz="0" w:space="0" w:color="auto"/>
        <w:bottom w:val="none" w:sz="0" w:space="0" w:color="auto"/>
        <w:right w:val="none" w:sz="0" w:space="0" w:color="auto"/>
      </w:divBdr>
    </w:div>
    <w:div w:id="1432503996">
      <w:bodyDiv w:val="1"/>
      <w:marLeft w:val="0"/>
      <w:marRight w:val="0"/>
      <w:marTop w:val="0"/>
      <w:marBottom w:val="0"/>
      <w:divBdr>
        <w:top w:val="none" w:sz="0" w:space="0" w:color="auto"/>
        <w:left w:val="none" w:sz="0" w:space="0" w:color="auto"/>
        <w:bottom w:val="none" w:sz="0" w:space="0" w:color="auto"/>
        <w:right w:val="none" w:sz="0" w:space="0" w:color="auto"/>
      </w:divBdr>
      <w:divsChild>
        <w:div w:id="322314534">
          <w:marLeft w:val="547"/>
          <w:marRight w:val="0"/>
          <w:marTop w:val="0"/>
          <w:marBottom w:val="0"/>
          <w:divBdr>
            <w:top w:val="none" w:sz="0" w:space="0" w:color="auto"/>
            <w:left w:val="none" w:sz="0" w:space="0" w:color="auto"/>
            <w:bottom w:val="none" w:sz="0" w:space="0" w:color="auto"/>
            <w:right w:val="none" w:sz="0" w:space="0" w:color="auto"/>
          </w:divBdr>
        </w:div>
        <w:div w:id="1895774397">
          <w:marLeft w:val="547"/>
          <w:marRight w:val="0"/>
          <w:marTop w:val="0"/>
          <w:marBottom w:val="0"/>
          <w:divBdr>
            <w:top w:val="none" w:sz="0" w:space="0" w:color="auto"/>
            <w:left w:val="none" w:sz="0" w:space="0" w:color="auto"/>
            <w:bottom w:val="none" w:sz="0" w:space="0" w:color="auto"/>
            <w:right w:val="none" w:sz="0" w:space="0" w:color="auto"/>
          </w:divBdr>
        </w:div>
      </w:divsChild>
    </w:div>
    <w:div w:id="1460077265">
      <w:bodyDiv w:val="1"/>
      <w:marLeft w:val="0"/>
      <w:marRight w:val="0"/>
      <w:marTop w:val="0"/>
      <w:marBottom w:val="0"/>
      <w:divBdr>
        <w:top w:val="none" w:sz="0" w:space="0" w:color="auto"/>
        <w:left w:val="none" w:sz="0" w:space="0" w:color="auto"/>
        <w:bottom w:val="none" w:sz="0" w:space="0" w:color="auto"/>
        <w:right w:val="none" w:sz="0" w:space="0" w:color="auto"/>
      </w:divBdr>
    </w:div>
    <w:div w:id="1512065762">
      <w:bodyDiv w:val="1"/>
      <w:marLeft w:val="0"/>
      <w:marRight w:val="0"/>
      <w:marTop w:val="0"/>
      <w:marBottom w:val="0"/>
      <w:divBdr>
        <w:top w:val="none" w:sz="0" w:space="0" w:color="auto"/>
        <w:left w:val="none" w:sz="0" w:space="0" w:color="auto"/>
        <w:bottom w:val="none" w:sz="0" w:space="0" w:color="auto"/>
        <w:right w:val="none" w:sz="0" w:space="0" w:color="auto"/>
      </w:divBdr>
    </w:div>
    <w:div w:id="1542277712">
      <w:bodyDiv w:val="1"/>
      <w:marLeft w:val="0"/>
      <w:marRight w:val="0"/>
      <w:marTop w:val="0"/>
      <w:marBottom w:val="0"/>
      <w:divBdr>
        <w:top w:val="none" w:sz="0" w:space="0" w:color="auto"/>
        <w:left w:val="none" w:sz="0" w:space="0" w:color="auto"/>
        <w:bottom w:val="none" w:sz="0" w:space="0" w:color="auto"/>
        <w:right w:val="none" w:sz="0" w:space="0" w:color="auto"/>
      </w:divBdr>
    </w:div>
    <w:div w:id="1554922946">
      <w:bodyDiv w:val="1"/>
      <w:marLeft w:val="0"/>
      <w:marRight w:val="0"/>
      <w:marTop w:val="0"/>
      <w:marBottom w:val="0"/>
      <w:divBdr>
        <w:top w:val="none" w:sz="0" w:space="0" w:color="auto"/>
        <w:left w:val="none" w:sz="0" w:space="0" w:color="auto"/>
        <w:bottom w:val="none" w:sz="0" w:space="0" w:color="auto"/>
        <w:right w:val="none" w:sz="0" w:space="0" w:color="auto"/>
      </w:divBdr>
      <w:divsChild>
        <w:div w:id="1694529874">
          <w:marLeft w:val="720"/>
          <w:marRight w:val="0"/>
          <w:marTop w:val="0"/>
          <w:marBottom w:val="80"/>
          <w:divBdr>
            <w:top w:val="none" w:sz="0" w:space="0" w:color="auto"/>
            <w:left w:val="none" w:sz="0" w:space="0" w:color="auto"/>
            <w:bottom w:val="none" w:sz="0" w:space="0" w:color="auto"/>
            <w:right w:val="none" w:sz="0" w:space="0" w:color="auto"/>
          </w:divBdr>
        </w:div>
      </w:divsChild>
    </w:div>
    <w:div w:id="1599872169">
      <w:bodyDiv w:val="1"/>
      <w:marLeft w:val="0"/>
      <w:marRight w:val="0"/>
      <w:marTop w:val="0"/>
      <w:marBottom w:val="0"/>
      <w:divBdr>
        <w:top w:val="none" w:sz="0" w:space="0" w:color="auto"/>
        <w:left w:val="none" w:sz="0" w:space="0" w:color="auto"/>
        <w:bottom w:val="none" w:sz="0" w:space="0" w:color="auto"/>
        <w:right w:val="none" w:sz="0" w:space="0" w:color="auto"/>
      </w:divBdr>
      <w:divsChild>
        <w:div w:id="214658722">
          <w:marLeft w:val="547"/>
          <w:marRight w:val="0"/>
          <w:marTop w:val="0"/>
          <w:marBottom w:val="0"/>
          <w:divBdr>
            <w:top w:val="none" w:sz="0" w:space="0" w:color="auto"/>
            <w:left w:val="none" w:sz="0" w:space="0" w:color="auto"/>
            <w:bottom w:val="none" w:sz="0" w:space="0" w:color="auto"/>
            <w:right w:val="none" w:sz="0" w:space="0" w:color="auto"/>
          </w:divBdr>
        </w:div>
      </w:divsChild>
    </w:div>
    <w:div w:id="1611621834">
      <w:bodyDiv w:val="1"/>
      <w:marLeft w:val="0"/>
      <w:marRight w:val="0"/>
      <w:marTop w:val="0"/>
      <w:marBottom w:val="0"/>
      <w:divBdr>
        <w:top w:val="none" w:sz="0" w:space="0" w:color="auto"/>
        <w:left w:val="none" w:sz="0" w:space="0" w:color="auto"/>
        <w:bottom w:val="none" w:sz="0" w:space="0" w:color="auto"/>
        <w:right w:val="none" w:sz="0" w:space="0" w:color="auto"/>
      </w:divBdr>
    </w:div>
    <w:div w:id="1640307993">
      <w:bodyDiv w:val="1"/>
      <w:marLeft w:val="0"/>
      <w:marRight w:val="0"/>
      <w:marTop w:val="0"/>
      <w:marBottom w:val="0"/>
      <w:divBdr>
        <w:top w:val="none" w:sz="0" w:space="0" w:color="auto"/>
        <w:left w:val="none" w:sz="0" w:space="0" w:color="auto"/>
        <w:bottom w:val="none" w:sz="0" w:space="0" w:color="auto"/>
        <w:right w:val="none" w:sz="0" w:space="0" w:color="auto"/>
      </w:divBdr>
    </w:div>
    <w:div w:id="1662586716">
      <w:bodyDiv w:val="1"/>
      <w:marLeft w:val="0"/>
      <w:marRight w:val="0"/>
      <w:marTop w:val="0"/>
      <w:marBottom w:val="0"/>
      <w:divBdr>
        <w:top w:val="none" w:sz="0" w:space="0" w:color="auto"/>
        <w:left w:val="none" w:sz="0" w:space="0" w:color="auto"/>
        <w:bottom w:val="none" w:sz="0" w:space="0" w:color="auto"/>
        <w:right w:val="none" w:sz="0" w:space="0" w:color="auto"/>
      </w:divBdr>
    </w:div>
    <w:div w:id="1668677969">
      <w:bodyDiv w:val="1"/>
      <w:marLeft w:val="0"/>
      <w:marRight w:val="0"/>
      <w:marTop w:val="0"/>
      <w:marBottom w:val="0"/>
      <w:divBdr>
        <w:top w:val="none" w:sz="0" w:space="0" w:color="auto"/>
        <w:left w:val="none" w:sz="0" w:space="0" w:color="auto"/>
        <w:bottom w:val="none" w:sz="0" w:space="0" w:color="auto"/>
        <w:right w:val="none" w:sz="0" w:space="0" w:color="auto"/>
      </w:divBdr>
    </w:div>
    <w:div w:id="1676609068">
      <w:bodyDiv w:val="1"/>
      <w:marLeft w:val="0"/>
      <w:marRight w:val="0"/>
      <w:marTop w:val="0"/>
      <w:marBottom w:val="0"/>
      <w:divBdr>
        <w:top w:val="none" w:sz="0" w:space="0" w:color="auto"/>
        <w:left w:val="none" w:sz="0" w:space="0" w:color="auto"/>
        <w:bottom w:val="none" w:sz="0" w:space="0" w:color="auto"/>
        <w:right w:val="none" w:sz="0" w:space="0" w:color="auto"/>
      </w:divBdr>
      <w:divsChild>
        <w:div w:id="91779373">
          <w:marLeft w:val="0"/>
          <w:marRight w:val="0"/>
          <w:marTop w:val="0"/>
          <w:marBottom w:val="0"/>
          <w:divBdr>
            <w:top w:val="none" w:sz="0" w:space="0" w:color="auto"/>
            <w:left w:val="none" w:sz="0" w:space="0" w:color="auto"/>
            <w:bottom w:val="none" w:sz="0" w:space="0" w:color="auto"/>
            <w:right w:val="none" w:sz="0" w:space="0" w:color="auto"/>
          </w:divBdr>
          <w:divsChild>
            <w:div w:id="302932461">
              <w:marLeft w:val="0"/>
              <w:marRight w:val="0"/>
              <w:marTop w:val="0"/>
              <w:marBottom w:val="0"/>
              <w:divBdr>
                <w:top w:val="none" w:sz="0" w:space="0" w:color="auto"/>
                <w:left w:val="none" w:sz="0" w:space="0" w:color="auto"/>
                <w:bottom w:val="none" w:sz="0" w:space="0" w:color="auto"/>
                <w:right w:val="none" w:sz="0" w:space="0" w:color="auto"/>
              </w:divBdr>
            </w:div>
            <w:div w:id="1928734262">
              <w:marLeft w:val="0"/>
              <w:marRight w:val="0"/>
              <w:marTop w:val="0"/>
              <w:marBottom w:val="0"/>
              <w:divBdr>
                <w:top w:val="none" w:sz="0" w:space="0" w:color="auto"/>
                <w:left w:val="none" w:sz="0" w:space="0" w:color="auto"/>
                <w:bottom w:val="none" w:sz="0" w:space="0" w:color="auto"/>
                <w:right w:val="none" w:sz="0" w:space="0" w:color="auto"/>
              </w:divBdr>
            </w:div>
          </w:divsChild>
        </w:div>
        <w:div w:id="1554658068">
          <w:marLeft w:val="0"/>
          <w:marRight w:val="0"/>
          <w:marTop w:val="0"/>
          <w:marBottom w:val="0"/>
          <w:divBdr>
            <w:top w:val="none" w:sz="0" w:space="0" w:color="auto"/>
            <w:left w:val="none" w:sz="0" w:space="0" w:color="auto"/>
            <w:bottom w:val="none" w:sz="0" w:space="0" w:color="auto"/>
            <w:right w:val="none" w:sz="0" w:space="0" w:color="auto"/>
          </w:divBdr>
          <w:divsChild>
            <w:div w:id="919874762">
              <w:marLeft w:val="0"/>
              <w:marRight w:val="0"/>
              <w:marTop w:val="0"/>
              <w:marBottom w:val="0"/>
              <w:divBdr>
                <w:top w:val="none" w:sz="0" w:space="0" w:color="auto"/>
                <w:left w:val="none" w:sz="0" w:space="0" w:color="auto"/>
                <w:bottom w:val="none" w:sz="0" w:space="0" w:color="auto"/>
                <w:right w:val="none" w:sz="0" w:space="0" w:color="auto"/>
              </w:divBdr>
            </w:div>
            <w:div w:id="1194881711">
              <w:marLeft w:val="0"/>
              <w:marRight w:val="0"/>
              <w:marTop w:val="0"/>
              <w:marBottom w:val="0"/>
              <w:divBdr>
                <w:top w:val="none" w:sz="0" w:space="0" w:color="auto"/>
                <w:left w:val="none" w:sz="0" w:space="0" w:color="auto"/>
                <w:bottom w:val="none" w:sz="0" w:space="0" w:color="auto"/>
                <w:right w:val="none" w:sz="0" w:space="0" w:color="auto"/>
              </w:divBdr>
            </w:div>
            <w:div w:id="16292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2004">
      <w:bodyDiv w:val="1"/>
      <w:marLeft w:val="0"/>
      <w:marRight w:val="0"/>
      <w:marTop w:val="0"/>
      <w:marBottom w:val="0"/>
      <w:divBdr>
        <w:top w:val="none" w:sz="0" w:space="0" w:color="auto"/>
        <w:left w:val="none" w:sz="0" w:space="0" w:color="auto"/>
        <w:bottom w:val="none" w:sz="0" w:space="0" w:color="auto"/>
        <w:right w:val="none" w:sz="0" w:space="0" w:color="auto"/>
      </w:divBdr>
    </w:div>
    <w:div w:id="1745297325">
      <w:bodyDiv w:val="1"/>
      <w:marLeft w:val="0"/>
      <w:marRight w:val="0"/>
      <w:marTop w:val="0"/>
      <w:marBottom w:val="0"/>
      <w:divBdr>
        <w:top w:val="none" w:sz="0" w:space="0" w:color="auto"/>
        <w:left w:val="none" w:sz="0" w:space="0" w:color="auto"/>
        <w:bottom w:val="none" w:sz="0" w:space="0" w:color="auto"/>
        <w:right w:val="none" w:sz="0" w:space="0" w:color="auto"/>
      </w:divBdr>
      <w:divsChild>
        <w:div w:id="292827235">
          <w:marLeft w:val="0"/>
          <w:marRight w:val="0"/>
          <w:marTop w:val="0"/>
          <w:marBottom w:val="0"/>
          <w:divBdr>
            <w:top w:val="none" w:sz="0" w:space="0" w:color="auto"/>
            <w:left w:val="none" w:sz="0" w:space="0" w:color="auto"/>
            <w:bottom w:val="none" w:sz="0" w:space="0" w:color="auto"/>
            <w:right w:val="none" w:sz="0" w:space="0" w:color="auto"/>
          </w:divBdr>
          <w:divsChild>
            <w:div w:id="821119592">
              <w:marLeft w:val="0"/>
              <w:marRight w:val="0"/>
              <w:marTop w:val="0"/>
              <w:marBottom w:val="0"/>
              <w:divBdr>
                <w:top w:val="none" w:sz="0" w:space="0" w:color="auto"/>
                <w:left w:val="none" w:sz="0" w:space="0" w:color="auto"/>
                <w:bottom w:val="none" w:sz="0" w:space="0" w:color="auto"/>
                <w:right w:val="none" w:sz="0" w:space="0" w:color="auto"/>
              </w:divBdr>
              <w:divsChild>
                <w:div w:id="973947036">
                  <w:marLeft w:val="0"/>
                  <w:marRight w:val="0"/>
                  <w:marTop w:val="0"/>
                  <w:marBottom w:val="0"/>
                  <w:divBdr>
                    <w:top w:val="none" w:sz="0" w:space="0" w:color="auto"/>
                    <w:left w:val="none" w:sz="0" w:space="0" w:color="auto"/>
                    <w:bottom w:val="none" w:sz="0" w:space="0" w:color="auto"/>
                    <w:right w:val="none" w:sz="0" w:space="0" w:color="auto"/>
                  </w:divBdr>
                  <w:divsChild>
                    <w:div w:id="74861344">
                      <w:marLeft w:val="0"/>
                      <w:marRight w:val="0"/>
                      <w:marTop w:val="0"/>
                      <w:marBottom w:val="0"/>
                      <w:divBdr>
                        <w:top w:val="none" w:sz="0" w:space="0" w:color="auto"/>
                        <w:left w:val="none" w:sz="0" w:space="0" w:color="auto"/>
                        <w:bottom w:val="none" w:sz="0" w:space="0" w:color="auto"/>
                        <w:right w:val="none" w:sz="0" w:space="0" w:color="auto"/>
                      </w:divBdr>
                      <w:divsChild>
                        <w:div w:id="198051020">
                          <w:marLeft w:val="0"/>
                          <w:marRight w:val="0"/>
                          <w:marTop w:val="0"/>
                          <w:marBottom w:val="0"/>
                          <w:divBdr>
                            <w:top w:val="single" w:sz="6" w:space="0" w:color="EAEAEA"/>
                            <w:left w:val="single" w:sz="6" w:space="0" w:color="EAEAEA"/>
                            <w:bottom w:val="single" w:sz="6" w:space="0" w:color="EAEAEA"/>
                            <w:right w:val="single" w:sz="6" w:space="0" w:color="EAEAEA"/>
                          </w:divBdr>
                          <w:divsChild>
                            <w:div w:id="1553031708">
                              <w:marLeft w:val="0"/>
                              <w:marRight w:val="0"/>
                              <w:marTop w:val="0"/>
                              <w:marBottom w:val="0"/>
                              <w:divBdr>
                                <w:top w:val="none" w:sz="0" w:space="0" w:color="auto"/>
                                <w:left w:val="none" w:sz="0" w:space="0" w:color="auto"/>
                                <w:bottom w:val="none" w:sz="0" w:space="0" w:color="auto"/>
                                <w:right w:val="none" w:sz="0" w:space="0" w:color="auto"/>
                              </w:divBdr>
                              <w:divsChild>
                                <w:div w:id="1002273671">
                                  <w:marLeft w:val="90"/>
                                  <w:marRight w:val="120"/>
                                  <w:marTop w:val="120"/>
                                  <w:marBottom w:val="120"/>
                                  <w:divBdr>
                                    <w:top w:val="none" w:sz="0" w:space="0" w:color="auto"/>
                                    <w:left w:val="none" w:sz="0" w:space="0" w:color="auto"/>
                                    <w:bottom w:val="none" w:sz="0" w:space="0" w:color="auto"/>
                                    <w:right w:val="none" w:sz="0" w:space="0" w:color="auto"/>
                                  </w:divBdr>
                                  <w:divsChild>
                                    <w:div w:id="247811639">
                                      <w:marLeft w:val="0"/>
                                      <w:marRight w:val="0"/>
                                      <w:marTop w:val="0"/>
                                      <w:marBottom w:val="0"/>
                                      <w:divBdr>
                                        <w:top w:val="none" w:sz="0" w:space="0" w:color="auto"/>
                                        <w:left w:val="none" w:sz="0" w:space="0" w:color="auto"/>
                                        <w:bottom w:val="none" w:sz="0" w:space="0" w:color="auto"/>
                                        <w:right w:val="none" w:sz="0" w:space="0" w:color="auto"/>
                                      </w:divBdr>
                                      <w:divsChild>
                                        <w:div w:id="1088967397">
                                          <w:marLeft w:val="0"/>
                                          <w:marRight w:val="0"/>
                                          <w:marTop w:val="0"/>
                                          <w:marBottom w:val="0"/>
                                          <w:divBdr>
                                            <w:top w:val="none" w:sz="0" w:space="0" w:color="auto"/>
                                            <w:left w:val="none" w:sz="0" w:space="0" w:color="auto"/>
                                            <w:bottom w:val="none" w:sz="0" w:space="0" w:color="auto"/>
                                            <w:right w:val="none" w:sz="0" w:space="0" w:color="auto"/>
                                          </w:divBdr>
                                        </w:div>
                                        <w:div w:id="11974993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5154348">
                                  <w:marLeft w:val="210"/>
                                  <w:marRight w:val="0"/>
                                  <w:marTop w:val="120"/>
                                  <w:marBottom w:val="0"/>
                                  <w:divBdr>
                                    <w:top w:val="none" w:sz="0" w:space="0" w:color="auto"/>
                                    <w:left w:val="none" w:sz="0" w:space="0" w:color="auto"/>
                                    <w:bottom w:val="none" w:sz="0" w:space="0" w:color="auto"/>
                                    <w:right w:val="none" w:sz="0" w:space="0" w:color="auto"/>
                                  </w:divBdr>
                                  <w:divsChild>
                                    <w:div w:id="1192692646">
                                      <w:marLeft w:val="0"/>
                                      <w:marRight w:val="0"/>
                                      <w:marTop w:val="0"/>
                                      <w:marBottom w:val="0"/>
                                      <w:divBdr>
                                        <w:top w:val="none" w:sz="0" w:space="0" w:color="auto"/>
                                        <w:left w:val="none" w:sz="0" w:space="0" w:color="auto"/>
                                        <w:bottom w:val="none" w:sz="0" w:space="0" w:color="auto"/>
                                        <w:right w:val="none" w:sz="0" w:space="0" w:color="auto"/>
                                      </w:divBdr>
                                      <w:divsChild>
                                        <w:div w:id="52863915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685092764">
                              <w:marLeft w:val="0"/>
                              <w:marRight w:val="0"/>
                              <w:marTop w:val="0"/>
                              <w:marBottom w:val="0"/>
                              <w:divBdr>
                                <w:top w:val="none" w:sz="0" w:space="0" w:color="auto"/>
                                <w:left w:val="none" w:sz="0" w:space="0" w:color="auto"/>
                                <w:bottom w:val="none" w:sz="0" w:space="0" w:color="auto"/>
                                <w:right w:val="none" w:sz="0" w:space="0" w:color="auto"/>
                              </w:divBdr>
                              <w:divsChild>
                                <w:div w:id="241064071">
                                  <w:marLeft w:val="0"/>
                                  <w:marRight w:val="0"/>
                                  <w:marTop w:val="0"/>
                                  <w:marBottom w:val="0"/>
                                  <w:divBdr>
                                    <w:top w:val="none" w:sz="0" w:space="0" w:color="auto"/>
                                    <w:left w:val="none" w:sz="0" w:space="0" w:color="auto"/>
                                    <w:bottom w:val="none" w:sz="0" w:space="0" w:color="auto"/>
                                    <w:right w:val="none" w:sz="0" w:space="0" w:color="auto"/>
                                  </w:divBdr>
                                  <w:divsChild>
                                    <w:div w:id="440613177">
                                      <w:marLeft w:val="0"/>
                                      <w:marRight w:val="0"/>
                                      <w:marTop w:val="0"/>
                                      <w:marBottom w:val="0"/>
                                      <w:divBdr>
                                        <w:top w:val="none" w:sz="0" w:space="0" w:color="auto"/>
                                        <w:left w:val="none" w:sz="0" w:space="0" w:color="auto"/>
                                        <w:bottom w:val="none" w:sz="0" w:space="0" w:color="auto"/>
                                        <w:right w:val="none" w:sz="0" w:space="0" w:color="auto"/>
                                      </w:divBdr>
                                      <w:divsChild>
                                        <w:div w:id="1836450967">
                                          <w:marLeft w:val="30"/>
                                          <w:marRight w:val="30"/>
                                          <w:marTop w:val="30"/>
                                          <w:marBottom w:val="0"/>
                                          <w:divBdr>
                                            <w:top w:val="none" w:sz="0" w:space="0" w:color="auto"/>
                                            <w:left w:val="none" w:sz="0" w:space="0" w:color="auto"/>
                                            <w:bottom w:val="none" w:sz="0" w:space="0" w:color="auto"/>
                                            <w:right w:val="none" w:sz="0" w:space="0" w:color="auto"/>
                                          </w:divBdr>
                                          <w:divsChild>
                                            <w:div w:id="628320953">
                                              <w:marLeft w:val="210"/>
                                              <w:marRight w:val="210"/>
                                              <w:marTop w:val="0"/>
                                              <w:marBottom w:val="30"/>
                                              <w:divBdr>
                                                <w:top w:val="none" w:sz="0" w:space="0" w:color="auto"/>
                                                <w:left w:val="none" w:sz="0" w:space="0" w:color="auto"/>
                                                <w:bottom w:val="none" w:sz="0" w:space="0" w:color="auto"/>
                                                <w:right w:val="none" w:sz="0" w:space="0" w:color="auto"/>
                                              </w:divBdr>
                                              <w:divsChild>
                                                <w:div w:id="822502178">
                                                  <w:marLeft w:val="0"/>
                                                  <w:marRight w:val="30"/>
                                                  <w:marTop w:val="0"/>
                                                  <w:marBottom w:val="0"/>
                                                  <w:divBdr>
                                                    <w:top w:val="none" w:sz="0" w:space="0" w:color="auto"/>
                                                    <w:left w:val="none" w:sz="0" w:space="0" w:color="auto"/>
                                                    <w:bottom w:val="none" w:sz="0" w:space="0" w:color="auto"/>
                                                    <w:right w:val="none" w:sz="0" w:space="0" w:color="auto"/>
                                                  </w:divBdr>
                                                  <w:divsChild>
                                                    <w:div w:id="2095667865">
                                                      <w:marLeft w:val="0"/>
                                                      <w:marRight w:val="0"/>
                                                      <w:marTop w:val="0"/>
                                                      <w:marBottom w:val="90"/>
                                                      <w:divBdr>
                                                        <w:top w:val="none" w:sz="0" w:space="0" w:color="auto"/>
                                                        <w:left w:val="none" w:sz="0" w:space="0" w:color="auto"/>
                                                        <w:bottom w:val="none" w:sz="0" w:space="0" w:color="auto"/>
                                                        <w:right w:val="none" w:sz="0" w:space="0" w:color="auto"/>
                                                      </w:divBdr>
                                                      <w:divsChild>
                                                        <w:div w:id="291208391">
                                                          <w:marLeft w:val="0"/>
                                                          <w:marRight w:val="0"/>
                                                          <w:marTop w:val="0"/>
                                                          <w:marBottom w:val="0"/>
                                                          <w:divBdr>
                                                            <w:top w:val="none" w:sz="0" w:space="0" w:color="auto"/>
                                                            <w:left w:val="none" w:sz="0" w:space="0" w:color="auto"/>
                                                            <w:bottom w:val="none" w:sz="0" w:space="0" w:color="auto"/>
                                                            <w:right w:val="none" w:sz="0" w:space="0" w:color="auto"/>
                                                          </w:divBdr>
                                                          <w:divsChild>
                                                            <w:div w:id="17944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75177">
                                      <w:marLeft w:val="120"/>
                                      <w:marRight w:val="120"/>
                                      <w:marTop w:val="0"/>
                                      <w:marBottom w:val="0"/>
                                      <w:divBdr>
                                        <w:top w:val="none" w:sz="0" w:space="0" w:color="auto"/>
                                        <w:left w:val="none" w:sz="0" w:space="0" w:color="auto"/>
                                        <w:bottom w:val="none" w:sz="0" w:space="0" w:color="auto"/>
                                        <w:right w:val="none" w:sz="0" w:space="0" w:color="auto"/>
                                      </w:divBdr>
                                      <w:divsChild>
                                        <w:div w:id="979307420">
                                          <w:marLeft w:val="30"/>
                                          <w:marRight w:val="30"/>
                                          <w:marTop w:val="135"/>
                                          <w:marBottom w:val="135"/>
                                          <w:divBdr>
                                            <w:top w:val="single" w:sz="6" w:space="0" w:color="8A8886"/>
                                            <w:left w:val="single" w:sz="6" w:space="0" w:color="8A8886"/>
                                            <w:bottom w:val="single" w:sz="6" w:space="0" w:color="8A8886"/>
                                            <w:right w:val="single" w:sz="6" w:space="0" w:color="8A8886"/>
                                          </w:divBdr>
                                          <w:divsChild>
                                            <w:div w:id="1657101667">
                                              <w:marLeft w:val="0"/>
                                              <w:marRight w:val="0"/>
                                              <w:marTop w:val="0"/>
                                              <w:marBottom w:val="0"/>
                                              <w:divBdr>
                                                <w:top w:val="none" w:sz="0" w:space="0" w:color="auto"/>
                                                <w:left w:val="none" w:sz="0" w:space="0" w:color="auto"/>
                                                <w:bottom w:val="none" w:sz="0" w:space="0" w:color="auto"/>
                                                <w:right w:val="none" w:sz="0" w:space="0" w:color="auto"/>
                                              </w:divBdr>
                                              <w:divsChild>
                                                <w:div w:id="152257850">
                                                  <w:marLeft w:val="0"/>
                                                  <w:marRight w:val="0"/>
                                                  <w:marTop w:val="0"/>
                                                  <w:marBottom w:val="0"/>
                                                  <w:divBdr>
                                                    <w:top w:val="none" w:sz="0" w:space="0" w:color="auto"/>
                                                    <w:left w:val="none" w:sz="0" w:space="0" w:color="auto"/>
                                                    <w:bottom w:val="none" w:sz="0" w:space="0" w:color="auto"/>
                                                    <w:right w:val="none" w:sz="0" w:space="0" w:color="auto"/>
                                                  </w:divBdr>
                                                  <w:divsChild>
                                                    <w:div w:id="17354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6529545">
          <w:marLeft w:val="0"/>
          <w:marRight w:val="0"/>
          <w:marTop w:val="0"/>
          <w:marBottom w:val="0"/>
          <w:divBdr>
            <w:top w:val="none" w:sz="0" w:space="0" w:color="auto"/>
            <w:left w:val="none" w:sz="0" w:space="0" w:color="auto"/>
            <w:bottom w:val="none" w:sz="0" w:space="0" w:color="auto"/>
            <w:right w:val="none" w:sz="0" w:space="0" w:color="auto"/>
          </w:divBdr>
          <w:divsChild>
            <w:div w:id="1656759823">
              <w:marLeft w:val="0"/>
              <w:marRight w:val="0"/>
              <w:marTop w:val="0"/>
              <w:marBottom w:val="0"/>
              <w:divBdr>
                <w:top w:val="none" w:sz="0" w:space="0" w:color="auto"/>
                <w:left w:val="none" w:sz="0" w:space="0" w:color="auto"/>
                <w:bottom w:val="none" w:sz="0" w:space="0" w:color="auto"/>
                <w:right w:val="none" w:sz="0" w:space="0" w:color="auto"/>
              </w:divBdr>
              <w:divsChild>
                <w:div w:id="1578397486">
                  <w:marLeft w:val="0"/>
                  <w:marRight w:val="0"/>
                  <w:marTop w:val="0"/>
                  <w:marBottom w:val="0"/>
                  <w:divBdr>
                    <w:top w:val="none" w:sz="0" w:space="0" w:color="auto"/>
                    <w:left w:val="none" w:sz="0" w:space="0" w:color="auto"/>
                    <w:bottom w:val="none" w:sz="0" w:space="0" w:color="auto"/>
                    <w:right w:val="none" w:sz="0" w:space="0" w:color="auto"/>
                  </w:divBdr>
                  <w:divsChild>
                    <w:div w:id="1123226518">
                      <w:marLeft w:val="0"/>
                      <w:marRight w:val="0"/>
                      <w:marTop w:val="0"/>
                      <w:marBottom w:val="0"/>
                      <w:divBdr>
                        <w:top w:val="none" w:sz="0" w:space="0" w:color="auto"/>
                        <w:left w:val="none" w:sz="0" w:space="0" w:color="auto"/>
                        <w:bottom w:val="none" w:sz="0" w:space="0" w:color="auto"/>
                        <w:right w:val="none" w:sz="0" w:space="0" w:color="auto"/>
                      </w:divBdr>
                      <w:divsChild>
                        <w:div w:id="1078333276">
                          <w:marLeft w:val="0"/>
                          <w:marRight w:val="0"/>
                          <w:marTop w:val="0"/>
                          <w:marBottom w:val="0"/>
                          <w:divBdr>
                            <w:top w:val="single" w:sz="6" w:space="0" w:color="EAEAEA"/>
                            <w:left w:val="single" w:sz="6" w:space="0" w:color="EAEAEA"/>
                            <w:bottom w:val="single" w:sz="6" w:space="0" w:color="EAEAEA"/>
                            <w:right w:val="single" w:sz="6" w:space="0" w:color="EAEAEA"/>
                          </w:divBdr>
                          <w:divsChild>
                            <w:div w:id="1370643346">
                              <w:marLeft w:val="0"/>
                              <w:marRight w:val="0"/>
                              <w:marTop w:val="0"/>
                              <w:marBottom w:val="0"/>
                              <w:divBdr>
                                <w:top w:val="none" w:sz="0" w:space="0" w:color="auto"/>
                                <w:left w:val="none" w:sz="0" w:space="0" w:color="auto"/>
                                <w:bottom w:val="none" w:sz="0" w:space="0" w:color="auto"/>
                                <w:right w:val="none" w:sz="0" w:space="0" w:color="auto"/>
                              </w:divBdr>
                              <w:divsChild>
                                <w:div w:id="434862117">
                                  <w:marLeft w:val="210"/>
                                  <w:marRight w:val="0"/>
                                  <w:marTop w:val="120"/>
                                  <w:marBottom w:val="0"/>
                                  <w:divBdr>
                                    <w:top w:val="none" w:sz="0" w:space="0" w:color="auto"/>
                                    <w:left w:val="none" w:sz="0" w:space="0" w:color="auto"/>
                                    <w:bottom w:val="none" w:sz="0" w:space="0" w:color="auto"/>
                                    <w:right w:val="none" w:sz="0" w:space="0" w:color="auto"/>
                                  </w:divBdr>
                                  <w:divsChild>
                                    <w:div w:id="697857533">
                                      <w:marLeft w:val="0"/>
                                      <w:marRight w:val="0"/>
                                      <w:marTop w:val="0"/>
                                      <w:marBottom w:val="0"/>
                                      <w:divBdr>
                                        <w:top w:val="none" w:sz="0" w:space="0" w:color="auto"/>
                                        <w:left w:val="none" w:sz="0" w:space="0" w:color="auto"/>
                                        <w:bottom w:val="none" w:sz="0" w:space="0" w:color="auto"/>
                                        <w:right w:val="none" w:sz="0" w:space="0" w:color="auto"/>
                                      </w:divBdr>
                                      <w:divsChild>
                                        <w:div w:id="184681907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371035329">
                              <w:marLeft w:val="0"/>
                              <w:marRight w:val="0"/>
                              <w:marTop w:val="0"/>
                              <w:marBottom w:val="0"/>
                              <w:divBdr>
                                <w:top w:val="none" w:sz="0" w:space="0" w:color="auto"/>
                                <w:left w:val="none" w:sz="0" w:space="0" w:color="auto"/>
                                <w:bottom w:val="none" w:sz="0" w:space="0" w:color="auto"/>
                                <w:right w:val="none" w:sz="0" w:space="0" w:color="auto"/>
                              </w:divBdr>
                              <w:divsChild>
                                <w:div w:id="334498542">
                                  <w:marLeft w:val="0"/>
                                  <w:marRight w:val="0"/>
                                  <w:marTop w:val="0"/>
                                  <w:marBottom w:val="0"/>
                                  <w:divBdr>
                                    <w:top w:val="none" w:sz="0" w:space="0" w:color="auto"/>
                                    <w:left w:val="none" w:sz="0" w:space="0" w:color="auto"/>
                                    <w:bottom w:val="none" w:sz="0" w:space="0" w:color="auto"/>
                                    <w:right w:val="none" w:sz="0" w:space="0" w:color="auto"/>
                                  </w:divBdr>
                                  <w:divsChild>
                                    <w:div w:id="273756473">
                                      <w:marLeft w:val="0"/>
                                      <w:marRight w:val="0"/>
                                      <w:marTop w:val="0"/>
                                      <w:marBottom w:val="0"/>
                                      <w:divBdr>
                                        <w:top w:val="none" w:sz="0" w:space="0" w:color="auto"/>
                                        <w:left w:val="none" w:sz="0" w:space="0" w:color="auto"/>
                                        <w:bottom w:val="none" w:sz="0" w:space="0" w:color="auto"/>
                                        <w:right w:val="none" w:sz="0" w:space="0" w:color="auto"/>
                                      </w:divBdr>
                                      <w:divsChild>
                                        <w:div w:id="133107692">
                                          <w:marLeft w:val="30"/>
                                          <w:marRight w:val="30"/>
                                          <w:marTop w:val="30"/>
                                          <w:marBottom w:val="0"/>
                                          <w:divBdr>
                                            <w:top w:val="none" w:sz="0" w:space="0" w:color="auto"/>
                                            <w:left w:val="none" w:sz="0" w:space="0" w:color="auto"/>
                                            <w:bottom w:val="none" w:sz="0" w:space="0" w:color="auto"/>
                                            <w:right w:val="none" w:sz="0" w:space="0" w:color="auto"/>
                                          </w:divBdr>
                                          <w:divsChild>
                                            <w:div w:id="1612393992">
                                              <w:marLeft w:val="210"/>
                                              <w:marRight w:val="210"/>
                                              <w:marTop w:val="0"/>
                                              <w:marBottom w:val="30"/>
                                              <w:divBdr>
                                                <w:top w:val="none" w:sz="0" w:space="0" w:color="auto"/>
                                                <w:left w:val="none" w:sz="0" w:space="0" w:color="auto"/>
                                                <w:bottom w:val="none" w:sz="0" w:space="0" w:color="auto"/>
                                                <w:right w:val="none" w:sz="0" w:space="0" w:color="auto"/>
                                              </w:divBdr>
                                              <w:divsChild>
                                                <w:div w:id="326053683">
                                                  <w:marLeft w:val="0"/>
                                                  <w:marRight w:val="30"/>
                                                  <w:marTop w:val="0"/>
                                                  <w:marBottom w:val="0"/>
                                                  <w:divBdr>
                                                    <w:top w:val="none" w:sz="0" w:space="0" w:color="auto"/>
                                                    <w:left w:val="none" w:sz="0" w:space="0" w:color="auto"/>
                                                    <w:bottom w:val="none" w:sz="0" w:space="0" w:color="auto"/>
                                                    <w:right w:val="none" w:sz="0" w:space="0" w:color="auto"/>
                                                  </w:divBdr>
                                                  <w:divsChild>
                                                    <w:div w:id="1493377630">
                                                      <w:marLeft w:val="0"/>
                                                      <w:marRight w:val="0"/>
                                                      <w:marTop w:val="0"/>
                                                      <w:marBottom w:val="0"/>
                                                      <w:divBdr>
                                                        <w:top w:val="none" w:sz="0" w:space="0" w:color="auto"/>
                                                        <w:left w:val="none" w:sz="0" w:space="0" w:color="auto"/>
                                                        <w:bottom w:val="none" w:sz="0" w:space="0" w:color="auto"/>
                                                        <w:right w:val="none" w:sz="0" w:space="0" w:color="auto"/>
                                                      </w:divBdr>
                                                      <w:divsChild>
                                                        <w:div w:id="1190870810">
                                                          <w:marLeft w:val="0"/>
                                                          <w:marRight w:val="0"/>
                                                          <w:marTop w:val="0"/>
                                                          <w:marBottom w:val="0"/>
                                                          <w:divBdr>
                                                            <w:top w:val="none" w:sz="0" w:space="0" w:color="auto"/>
                                                            <w:left w:val="none" w:sz="0" w:space="0" w:color="auto"/>
                                                            <w:bottom w:val="none" w:sz="0" w:space="0" w:color="auto"/>
                                                            <w:right w:val="none" w:sz="0" w:space="0" w:color="auto"/>
                                                          </w:divBdr>
                                                          <w:divsChild>
                                                            <w:div w:id="230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2349">
                                          <w:marLeft w:val="30"/>
                                          <w:marRight w:val="30"/>
                                          <w:marTop w:val="0"/>
                                          <w:marBottom w:val="0"/>
                                          <w:divBdr>
                                            <w:top w:val="none" w:sz="0" w:space="0" w:color="auto"/>
                                            <w:left w:val="none" w:sz="0" w:space="0" w:color="auto"/>
                                            <w:bottom w:val="none" w:sz="0" w:space="0" w:color="auto"/>
                                            <w:right w:val="none" w:sz="0" w:space="0" w:color="auto"/>
                                          </w:divBdr>
                                          <w:divsChild>
                                            <w:div w:id="191844579">
                                              <w:marLeft w:val="135"/>
                                              <w:marRight w:val="45"/>
                                              <w:marTop w:val="60"/>
                                              <w:marBottom w:val="60"/>
                                              <w:divBdr>
                                                <w:top w:val="none" w:sz="0" w:space="0" w:color="auto"/>
                                                <w:left w:val="none" w:sz="0" w:space="0" w:color="auto"/>
                                                <w:bottom w:val="none" w:sz="0" w:space="0" w:color="auto"/>
                                                <w:right w:val="none" w:sz="0" w:space="0" w:color="auto"/>
                                              </w:divBdr>
                                              <w:divsChild>
                                                <w:div w:id="2146580401">
                                                  <w:marLeft w:val="0"/>
                                                  <w:marRight w:val="0"/>
                                                  <w:marTop w:val="0"/>
                                                  <w:marBottom w:val="0"/>
                                                  <w:divBdr>
                                                    <w:top w:val="none" w:sz="0" w:space="0" w:color="auto"/>
                                                    <w:left w:val="none" w:sz="0" w:space="0" w:color="auto"/>
                                                    <w:bottom w:val="none" w:sz="0" w:space="0" w:color="auto"/>
                                                    <w:right w:val="none" w:sz="0" w:space="0" w:color="auto"/>
                                                  </w:divBdr>
                                                  <w:divsChild>
                                                    <w:div w:id="714696848">
                                                      <w:marLeft w:val="0"/>
                                                      <w:marRight w:val="150"/>
                                                      <w:marTop w:val="0"/>
                                                      <w:marBottom w:val="0"/>
                                                      <w:divBdr>
                                                        <w:top w:val="none" w:sz="0" w:space="0" w:color="auto"/>
                                                        <w:left w:val="none" w:sz="0" w:space="0" w:color="auto"/>
                                                        <w:bottom w:val="none" w:sz="0" w:space="0" w:color="auto"/>
                                                        <w:right w:val="none" w:sz="0" w:space="0" w:color="auto"/>
                                                      </w:divBdr>
                                                    </w:div>
                                                    <w:div w:id="15172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7784">
                                              <w:marLeft w:val="0"/>
                                              <w:marRight w:val="90"/>
                                              <w:marTop w:val="90"/>
                                              <w:marBottom w:val="30"/>
                                              <w:divBdr>
                                                <w:top w:val="none" w:sz="0" w:space="0" w:color="auto"/>
                                                <w:left w:val="none" w:sz="0" w:space="0" w:color="auto"/>
                                                <w:bottom w:val="none" w:sz="0" w:space="0" w:color="auto"/>
                                                <w:right w:val="none" w:sz="0" w:space="0" w:color="auto"/>
                                              </w:divBdr>
                                              <w:divsChild>
                                                <w:div w:id="904296348">
                                                  <w:marLeft w:val="0"/>
                                                  <w:marRight w:val="30"/>
                                                  <w:marTop w:val="0"/>
                                                  <w:marBottom w:val="0"/>
                                                  <w:divBdr>
                                                    <w:top w:val="none" w:sz="0" w:space="0" w:color="auto"/>
                                                    <w:left w:val="none" w:sz="0" w:space="0" w:color="auto"/>
                                                    <w:bottom w:val="none" w:sz="0" w:space="0" w:color="auto"/>
                                                    <w:right w:val="none" w:sz="0" w:space="0" w:color="auto"/>
                                                  </w:divBdr>
                                                  <w:divsChild>
                                                    <w:div w:id="937756887">
                                                      <w:marLeft w:val="0"/>
                                                      <w:marRight w:val="0"/>
                                                      <w:marTop w:val="0"/>
                                                      <w:marBottom w:val="0"/>
                                                      <w:divBdr>
                                                        <w:top w:val="none" w:sz="0" w:space="0" w:color="auto"/>
                                                        <w:left w:val="none" w:sz="0" w:space="0" w:color="auto"/>
                                                        <w:bottom w:val="none" w:sz="0" w:space="0" w:color="auto"/>
                                                        <w:right w:val="none" w:sz="0" w:space="0" w:color="auto"/>
                                                      </w:divBdr>
                                                      <w:divsChild>
                                                        <w:div w:id="1129397707">
                                                          <w:marLeft w:val="0"/>
                                                          <w:marRight w:val="0"/>
                                                          <w:marTop w:val="0"/>
                                                          <w:marBottom w:val="0"/>
                                                          <w:divBdr>
                                                            <w:top w:val="none" w:sz="0" w:space="0" w:color="auto"/>
                                                            <w:left w:val="none" w:sz="0" w:space="0" w:color="auto"/>
                                                            <w:bottom w:val="none" w:sz="0" w:space="0" w:color="auto"/>
                                                            <w:right w:val="none" w:sz="0" w:space="0" w:color="auto"/>
                                                          </w:divBdr>
                                                          <w:divsChild>
                                                            <w:div w:id="21233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5871">
                                                  <w:marLeft w:val="0"/>
                                                  <w:marRight w:val="0"/>
                                                  <w:marTop w:val="0"/>
                                                  <w:marBottom w:val="0"/>
                                                  <w:divBdr>
                                                    <w:top w:val="none" w:sz="0" w:space="0" w:color="auto"/>
                                                    <w:left w:val="none" w:sz="0" w:space="0" w:color="auto"/>
                                                    <w:bottom w:val="none" w:sz="0" w:space="0" w:color="auto"/>
                                                    <w:right w:val="none" w:sz="0" w:space="0" w:color="auto"/>
                                                  </w:divBdr>
                                                  <w:divsChild>
                                                    <w:div w:id="78153690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880897989">
                                      <w:marLeft w:val="120"/>
                                      <w:marRight w:val="120"/>
                                      <w:marTop w:val="0"/>
                                      <w:marBottom w:val="0"/>
                                      <w:divBdr>
                                        <w:top w:val="none" w:sz="0" w:space="0" w:color="auto"/>
                                        <w:left w:val="none" w:sz="0" w:space="0" w:color="auto"/>
                                        <w:bottom w:val="none" w:sz="0" w:space="0" w:color="auto"/>
                                        <w:right w:val="none" w:sz="0" w:space="0" w:color="auto"/>
                                      </w:divBdr>
                                      <w:divsChild>
                                        <w:div w:id="1143737876">
                                          <w:marLeft w:val="30"/>
                                          <w:marRight w:val="30"/>
                                          <w:marTop w:val="135"/>
                                          <w:marBottom w:val="135"/>
                                          <w:divBdr>
                                            <w:top w:val="single" w:sz="6" w:space="0" w:color="8A8886"/>
                                            <w:left w:val="single" w:sz="6" w:space="0" w:color="8A8886"/>
                                            <w:bottom w:val="single" w:sz="6" w:space="0" w:color="8A8886"/>
                                            <w:right w:val="single" w:sz="6" w:space="0" w:color="8A8886"/>
                                          </w:divBdr>
                                          <w:divsChild>
                                            <w:div w:id="1974948041">
                                              <w:marLeft w:val="0"/>
                                              <w:marRight w:val="0"/>
                                              <w:marTop w:val="0"/>
                                              <w:marBottom w:val="0"/>
                                              <w:divBdr>
                                                <w:top w:val="none" w:sz="0" w:space="0" w:color="auto"/>
                                                <w:left w:val="none" w:sz="0" w:space="0" w:color="auto"/>
                                                <w:bottom w:val="none" w:sz="0" w:space="0" w:color="auto"/>
                                                <w:right w:val="none" w:sz="0" w:space="0" w:color="auto"/>
                                              </w:divBdr>
                                              <w:divsChild>
                                                <w:div w:id="1237202861">
                                                  <w:marLeft w:val="0"/>
                                                  <w:marRight w:val="0"/>
                                                  <w:marTop w:val="0"/>
                                                  <w:marBottom w:val="0"/>
                                                  <w:divBdr>
                                                    <w:top w:val="none" w:sz="0" w:space="0" w:color="auto"/>
                                                    <w:left w:val="none" w:sz="0" w:space="0" w:color="auto"/>
                                                    <w:bottom w:val="none" w:sz="0" w:space="0" w:color="auto"/>
                                                    <w:right w:val="none" w:sz="0" w:space="0" w:color="auto"/>
                                                  </w:divBdr>
                                                  <w:divsChild>
                                                    <w:div w:id="16603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8856681">
          <w:marLeft w:val="0"/>
          <w:marRight w:val="0"/>
          <w:marTop w:val="0"/>
          <w:marBottom w:val="0"/>
          <w:divBdr>
            <w:top w:val="none" w:sz="0" w:space="0" w:color="auto"/>
            <w:left w:val="none" w:sz="0" w:space="0" w:color="auto"/>
            <w:bottom w:val="none" w:sz="0" w:space="0" w:color="auto"/>
            <w:right w:val="none" w:sz="0" w:space="0" w:color="auto"/>
          </w:divBdr>
          <w:divsChild>
            <w:div w:id="823080705">
              <w:marLeft w:val="0"/>
              <w:marRight w:val="0"/>
              <w:marTop w:val="0"/>
              <w:marBottom w:val="0"/>
              <w:divBdr>
                <w:top w:val="none" w:sz="0" w:space="0" w:color="auto"/>
                <w:left w:val="none" w:sz="0" w:space="0" w:color="auto"/>
                <w:bottom w:val="none" w:sz="0" w:space="0" w:color="auto"/>
                <w:right w:val="none" w:sz="0" w:space="0" w:color="auto"/>
              </w:divBdr>
              <w:divsChild>
                <w:div w:id="1769734849">
                  <w:marLeft w:val="0"/>
                  <w:marRight w:val="0"/>
                  <w:marTop w:val="0"/>
                  <w:marBottom w:val="0"/>
                  <w:divBdr>
                    <w:top w:val="none" w:sz="0" w:space="0" w:color="auto"/>
                    <w:left w:val="none" w:sz="0" w:space="0" w:color="auto"/>
                    <w:bottom w:val="none" w:sz="0" w:space="0" w:color="auto"/>
                    <w:right w:val="none" w:sz="0" w:space="0" w:color="auto"/>
                  </w:divBdr>
                  <w:divsChild>
                    <w:div w:id="1514568418">
                      <w:marLeft w:val="0"/>
                      <w:marRight w:val="0"/>
                      <w:marTop w:val="0"/>
                      <w:marBottom w:val="0"/>
                      <w:divBdr>
                        <w:top w:val="none" w:sz="0" w:space="0" w:color="auto"/>
                        <w:left w:val="none" w:sz="0" w:space="0" w:color="auto"/>
                        <w:bottom w:val="none" w:sz="0" w:space="0" w:color="auto"/>
                        <w:right w:val="none" w:sz="0" w:space="0" w:color="auto"/>
                      </w:divBdr>
                      <w:divsChild>
                        <w:div w:id="1255552623">
                          <w:marLeft w:val="0"/>
                          <w:marRight w:val="0"/>
                          <w:marTop w:val="0"/>
                          <w:marBottom w:val="0"/>
                          <w:divBdr>
                            <w:top w:val="single" w:sz="6" w:space="0" w:color="EAEAEA"/>
                            <w:left w:val="single" w:sz="6" w:space="0" w:color="EAEAEA"/>
                            <w:bottom w:val="single" w:sz="6" w:space="0" w:color="EAEAEA"/>
                            <w:right w:val="single" w:sz="6" w:space="0" w:color="EAEAEA"/>
                          </w:divBdr>
                          <w:divsChild>
                            <w:div w:id="1699502915">
                              <w:marLeft w:val="0"/>
                              <w:marRight w:val="0"/>
                              <w:marTop w:val="0"/>
                              <w:marBottom w:val="0"/>
                              <w:divBdr>
                                <w:top w:val="none" w:sz="0" w:space="0" w:color="auto"/>
                                <w:left w:val="none" w:sz="0" w:space="0" w:color="auto"/>
                                <w:bottom w:val="none" w:sz="0" w:space="0" w:color="auto"/>
                                <w:right w:val="none" w:sz="0" w:space="0" w:color="auto"/>
                              </w:divBdr>
                              <w:divsChild>
                                <w:div w:id="1103114583">
                                  <w:marLeft w:val="210"/>
                                  <w:marRight w:val="0"/>
                                  <w:marTop w:val="120"/>
                                  <w:marBottom w:val="0"/>
                                  <w:divBdr>
                                    <w:top w:val="none" w:sz="0" w:space="0" w:color="auto"/>
                                    <w:left w:val="none" w:sz="0" w:space="0" w:color="auto"/>
                                    <w:bottom w:val="none" w:sz="0" w:space="0" w:color="auto"/>
                                    <w:right w:val="none" w:sz="0" w:space="0" w:color="auto"/>
                                  </w:divBdr>
                                  <w:divsChild>
                                    <w:div w:id="1562015180">
                                      <w:marLeft w:val="0"/>
                                      <w:marRight w:val="0"/>
                                      <w:marTop w:val="0"/>
                                      <w:marBottom w:val="0"/>
                                      <w:divBdr>
                                        <w:top w:val="none" w:sz="0" w:space="0" w:color="auto"/>
                                        <w:left w:val="none" w:sz="0" w:space="0" w:color="auto"/>
                                        <w:bottom w:val="none" w:sz="0" w:space="0" w:color="auto"/>
                                        <w:right w:val="none" w:sz="0" w:space="0" w:color="auto"/>
                                      </w:divBdr>
                                      <w:divsChild>
                                        <w:div w:id="112632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358235018">
                                  <w:marLeft w:val="90"/>
                                  <w:marRight w:val="120"/>
                                  <w:marTop w:val="120"/>
                                  <w:marBottom w:val="120"/>
                                  <w:divBdr>
                                    <w:top w:val="none" w:sz="0" w:space="0" w:color="auto"/>
                                    <w:left w:val="none" w:sz="0" w:space="0" w:color="auto"/>
                                    <w:bottom w:val="none" w:sz="0" w:space="0" w:color="auto"/>
                                    <w:right w:val="none" w:sz="0" w:space="0" w:color="auto"/>
                                  </w:divBdr>
                                  <w:divsChild>
                                    <w:div w:id="228927800">
                                      <w:marLeft w:val="0"/>
                                      <w:marRight w:val="0"/>
                                      <w:marTop w:val="0"/>
                                      <w:marBottom w:val="0"/>
                                      <w:divBdr>
                                        <w:top w:val="none" w:sz="0" w:space="0" w:color="auto"/>
                                        <w:left w:val="none" w:sz="0" w:space="0" w:color="auto"/>
                                        <w:bottom w:val="none" w:sz="0" w:space="0" w:color="auto"/>
                                        <w:right w:val="none" w:sz="0" w:space="0" w:color="auto"/>
                                      </w:divBdr>
                                      <w:divsChild>
                                        <w:div w:id="1296523514">
                                          <w:marLeft w:val="0"/>
                                          <w:marRight w:val="0"/>
                                          <w:marTop w:val="0"/>
                                          <w:marBottom w:val="0"/>
                                          <w:divBdr>
                                            <w:top w:val="none" w:sz="0" w:space="0" w:color="auto"/>
                                            <w:left w:val="none" w:sz="0" w:space="0" w:color="auto"/>
                                            <w:bottom w:val="none" w:sz="0" w:space="0" w:color="auto"/>
                                            <w:right w:val="none" w:sz="0" w:space="0" w:color="auto"/>
                                          </w:divBdr>
                                        </w:div>
                                        <w:div w:id="18084681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1706284">
                              <w:marLeft w:val="0"/>
                              <w:marRight w:val="0"/>
                              <w:marTop w:val="0"/>
                              <w:marBottom w:val="0"/>
                              <w:divBdr>
                                <w:top w:val="none" w:sz="0" w:space="0" w:color="auto"/>
                                <w:left w:val="none" w:sz="0" w:space="0" w:color="auto"/>
                                <w:bottom w:val="none" w:sz="0" w:space="0" w:color="auto"/>
                                <w:right w:val="none" w:sz="0" w:space="0" w:color="auto"/>
                              </w:divBdr>
                              <w:divsChild>
                                <w:div w:id="363556010">
                                  <w:marLeft w:val="0"/>
                                  <w:marRight w:val="0"/>
                                  <w:marTop w:val="0"/>
                                  <w:marBottom w:val="0"/>
                                  <w:divBdr>
                                    <w:top w:val="none" w:sz="0" w:space="0" w:color="auto"/>
                                    <w:left w:val="none" w:sz="0" w:space="0" w:color="auto"/>
                                    <w:bottom w:val="none" w:sz="0" w:space="0" w:color="auto"/>
                                    <w:right w:val="none" w:sz="0" w:space="0" w:color="auto"/>
                                  </w:divBdr>
                                  <w:divsChild>
                                    <w:div w:id="477496244">
                                      <w:marLeft w:val="0"/>
                                      <w:marRight w:val="0"/>
                                      <w:marTop w:val="0"/>
                                      <w:marBottom w:val="0"/>
                                      <w:divBdr>
                                        <w:top w:val="none" w:sz="0" w:space="0" w:color="auto"/>
                                        <w:left w:val="none" w:sz="0" w:space="0" w:color="auto"/>
                                        <w:bottom w:val="none" w:sz="0" w:space="0" w:color="auto"/>
                                        <w:right w:val="none" w:sz="0" w:space="0" w:color="auto"/>
                                      </w:divBdr>
                                      <w:divsChild>
                                        <w:div w:id="914046431">
                                          <w:marLeft w:val="30"/>
                                          <w:marRight w:val="30"/>
                                          <w:marTop w:val="30"/>
                                          <w:marBottom w:val="0"/>
                                          <w:divBdr>
                                            <w:top w:val="none" w:sz="0" w:space="0" w:color="auto"/>
                                            <w:left w:val="none" w:sz="0" w:space="0" w:color="auto"/>
                                            <w:bottom w:val="none" w:sz="0" w:space="0" w:color="auto"/>
                                            <w:right w:val="none" w:sz="0" w:space="0" w:color="auto"/>
                                          </w:divBdr>
                                          <w:divsChild>
                                            <w:div w:id="1847941264">
                                              <w:marLeft w:val="210"/>
                                              <w:marRight w:val="210"/>
                                              <w:marTop w:val="0"/>
                                              <w:marBottom w:val="30"/>
                                              <w:divBdr>
                                                <w:top w:val="none" w:sz="0" w:space="0" w:color="auto"/>
                                                <w:left w:val="none" w:sz="0" w:space="0" w:color="auto"/>
                                                <w:bottom w:val="none" w:sz="0" w:space="0" w:color="auto"/>
                                                <w:right w:val="none" w:sz="0" w:space="0" w:color="auto"/>
                                              </w:divBdr>
                                              <w:divsChild>
                                                <w:div w:id="1442216531">
                                                  <w:marLeft w:val="0"/>
                                                  <w:marRight w:val="30"/>
                                                  <w:marTop w:val="0"/>
                                                  <w:marBottom w:val="0"/>
                                                  <w:divBdr>
                                                    <w:top w:val="none" w:sz="0" w:space="0" w:color="auto"/>
                                                    <w:left w:val="none" w:sz="0" w:space="0" w:color="auto"/>
                                                    <w:bottom w:val="none" w:sz="0" w:space="0" w:color="auto"/>
                                                    <w:right w:val="none" w:sz="0" w:space="0" w:color="auto"/>
                                                  </w:divBdr>
                                                  <w:divsChild>
                                                    <w:div w:id="759838249">
                                                      <w:marLeft w:val="0"/>
                                                      <w:marRight w:val="0"/>
                                                      <w:marTop w:val="0"/>
                                                      <w:marBottom w:val="0"/>
                                                      <w:divBdr>
                                                        <w:top w:val="none" w:sz="0" w:space="0" w:color="auto"/>
                                                        <w:left w:val="none" w:sz="0" w:space="0" w:color="auto"/>
                                                        <w:bottom w:val="none" w:sz="0" w:space="0" w:color="auto"/>
                                                        <w:right w:val="none" w:sz="0" w:space="0" w:color="auto"/>
                                                      </w:divBdr>
                                                      <w:divsChild>
                                                        <w:div w:id="183832762">
                                                          <w:marLeft w:val="0"/>
                                                          <w:marRight w:val="0"/>
                                                          <w:marTop w:val="0"/>
                                                          <w:marBottom w:val="0"/>
                                                          <w:divBdr>
                                                            <w:top w:val="none" w:sz="0" w:space="0" w:color="auto"/>
                                                            <w:left w:val="none" w:sz="0" w:space="0" w:color="auto"/>
                                                            <w:bottom w:val="none" w:sz="0" w:space="0" w:color="auto"/>
                                                            <w:right w:val="none" w:sz="0" w:space="0" w:color="auto"/>
                                                          </w:divBdr>
                                                          <w:divsChild>
                                                            <w:div w:id="9274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6439748">
      <w:bodyDiv w:val="1"/>
      <w:marLeft w:val="0"/>
      <w:marRight w:val="0"/>
      <w:marTop w:val="0"/>
      <w:marBottom w:val="0"/>
      <w:divBdr>
        <w:top w:val="none" w:sz="0" w:space="0" w:color="auto"/>
        <w:left w:val="none" w:sz="0" w:space="0" w:color="auto"/>
        <w:bottom w:val="none" w:sz="0" w:space="0" w:color="auto"/>
        <w:right w:val="none" w:sz="0" w:space="0" w:color="auto"/>
      </w:divBdr>
    </w:div>
    <w:div w:id="1824660490">
      <w:bodyDiv w:val="1"/>
      <w:marLeft w:val="0"/>
      <w:marRight w:val="0"/>
      <w:marTop w:val="0"/>
      <w:marBottom w:val="0"/>
      <w:divBdr>
        <w:top w:val="none" w:sz="0" w:space="0" w:color="auto"/>
        <w:left w:val="none" w:sz="0" w:space="0" w:color="auto"/>
        <w:bottom w:val="none" w:sz="0" w:space="0" w:color="auto"/>
        <w:right w:val="none" w:sz="0" w:space="0" w:color="auto"/>
      </w:divBdr>
      <w:divsChild>
        <w:div w:id="285043001">
          <w:marLeft w:val="0"/>
          <w:marRight w:val="0"/>
          <w:marTop w:val="0"/>
          <w:marBottom w:val="0"/>
          <w:divBdr>
            <w:top w:val="none" w:sz="0" w:space="0" w:color="auto"/>
            <w:left w:val="none" w:sz="0" w:space="0" w:color="auto"/>
            <w:bottom w:val="none" w:sz="0" w:space="0" w:color="auto"/>
            <w:right w:val="none" w:sz="0" w:space="0" w:color="auto"/>
          </w:divBdr>
        </w:div>
        <w:div w:id="902985823">
          <w:marLeft w:val="0"/>
          <w:marRight w:val="0"/>
          <w:marTop w:val="0"/>
          <w:marBottom w:val="0"/>
          <w:divBdr>
            <w:top w:val="none" w:sz="0" w:space="0" w:color="auto"/>
            <w:left w:val="none" w:sz="0" w:space="0" w:color="auto"/>
            <w:bottom w:val="none" w:sz="0" w:space="0" w:color="auto"/>
            <w:right w:val="none" w:sz="0" w:space="0" w:color="auto"/>
          </w:divBdr>
        </w:div>
        <w:div w:id="1244492070">
          <w:marLeft w:val="0"/>
          <w:marRight w:val="0"/>
          <w:marTop w:val="0"/>
          <w:marBottom w:val="0"/>
          <w:divBdr>
            <w:top w:val="none" w:sz="0" w:space="0" w:color="auto"/>
            <w:left w:val="none" w:sz="0" w:space="0" w:color="auto"/>
            <w:bottom w:val="none" w:sz="0" w:space="0" w:color="auto"/>
            <w:right w:val="none" w:sz="0" w:space="0" w:color="auto"/>
          </w:divBdr>
        </w:div>
      </w:divsChild>
    </w:div>
    <w:div w:id="1826775463">
      <w:bodyDiv w:val="1"/>
      <w:marLeft w:val="0"/>
      <w:marRight w:val="0"/>
      <w:marTop w:val="0"/>
      <w:marBottom w:val="0"/>
      <w:divBdr>
        <w:top w:val="none" w:sz="0" w:space="0" w:color="auto"/>
        <w:left w:val="none" w:sz="0" w:space="0" w:color="auto"/>
        <w:bottom w:val="none" w:sz="0" w:space="0" w:color="auto"/>
        <w:right w:val="none" w:sz="0" w:space="0" w:color="auto"/>
      </w:divBdr>
    </w:div>
    <w:div w:id="1875342736">
      <w:bodyDiv w:val="1"/>
      <w:marLeft w:val="0"/>
      <w:marRight w:val="0"/>
      <w:marTop w:val="0"/>
      <w:marBottom w:val="0"/>
      <w:divBdr>
        <w:top w:val="none" w:sz="0" w:space="0" w:color="auto"/>
        <w:left w:val="none" w:sz="0" w:space="0" w:color="auto"/>
        <w:bottom w:val="none" w:sz="0" w:space="0" w:color="auto"/>
        <w:right w:val="none" w:sz="0" w:space="0" w:color="auto"/>
      </w:divBdr>
    </w:div>
    <w:div w:id="1888564907">
      <w:bodyDiv w:val="1"/>
      <w:marLeft w:val="0"/>
      <w:marRight w:val="0"/>
      <w:marTop w:val="0"/>
      <w:marBottom w:val="0"/>
      <w:divBdr>
        <w:top w:val="none" w:sz="0" w:space="0" w:color="auto"/>
        <w:left w:val="none" w:sz="0" w:space="0" w:color="auto"/>
        <w:bottom w:val="none" w:sz="0" w:space="0" w:color="auto"/>
        <w:right w:val="none" w:sz="0" w:space="0" w:color="auto"/>
      </w:divBdr>
    </w:div>
    <w:div w:id="1899592325">
      <w:bodyDiv w:val="1"/>
      <w:marLeft w:val="0"/>
      <w:marRight w:val="0"/>
      <w:marTop w:val="0"/>
      <w:marBottom w:val="0"/>
      <w:divBdr>
        <w:top w:val="none" w:sz="0" w:space="0" w:color="auto"/>
        <w:left w:val="none" w:sz="0" w:space="0" w:color="auto"/>
        <w:bottom w:val="none" w:sz="0" w:space="0" w:color="auto"/>
        <w:right w:val="none" w:sz="0" w:space="0" w:color="auto"/>
      </w:divBdr>
    </w:div>
    <w:div w:id="1959026293">
      <w:bodyDiv w:val="1"/>
      <w:marLeft w:val="0"/>
      <w:marRight w:val="0"/>
      <w:marTop w:val="0"/>
      <w:marBottom w:val="0"/>
      <w:divBdr>
        <w:top w:val="none" w:sz="0" w:space="0" w:color="auto"/>
        <w:left w:val="none" w:sz="0" w:space="0" w:color="auto"/>
        <w:bottom w:val="none" w:sz="0" w:space="0" w:color="auto"/>
        <w:right w:val="none" w:sz="0" w:space="0" w:color="auto"/>
      </w:divBdr>
    </w:div>
    <w:div w:id="1985044372">
      <w:bodyDiv w:val="1"/>
      <w:marLeft w:val="0"/>
      <w:marRight w:val="0"/>
      <w:marTop w:val="0"/>
      <w:marBottom w:val="0"/>
      <w:divBdr>
        <w:top w:val="none" w:sz="0" w:space="0" w:color="auto"/>
        <w:left w:val="none" w:sz="0" w:space="0" w:color="auto"/>
        <w:bottom w:val="none" w:sz="0" w:space="0" w:color="auto"/>
        <w:right w:val="none" w:sz="0" w:space="0" w:color="auto"/>
      </w:divBdr>
    </w:div>
    <w:div w:id="1988433224">
      <w:bodyDiv w:val="1"/>
      <w:marLeft w:val="0"/>
      <w:marRight w:val="0"/>
      <w:marTop w:val="0"/>
      <w:marBottom w:val="0"/>
      <w:divBdr>
        <w:top w:val="none" w:sz="0" w:space="0" w:color="auto"/>
        <w:left w:val="none" w:sz="0" w:space="0" w:color="auto"/>
        <w:bottom w:val="none" w:sz="0" w:space="0" w:color="auto"/>
        <w:right w:val="none" w:sz="0" w:space="0" w:color="auto"/>
      </w:divBdr>
      <w:divsChild>
        <w:div w:id="35664387">
          <w:marLeft w:val="0"/>
          <w:marRight w:val="0"/>
          <w:marTop w:val="0"/>
          <w:marBottom w:val="0"/>
          <w:divBdr>
            <w:top w:val="none" w:sz="0" w:space="0" w:color="auto"/>
            <w:left w:val="none" w:sz="0" w:space="0" w:color="auto"/>
            <w:bottom w:val="none" w:sz="0" w:space="0" w:color="auto"/>
            <w:right w:val="none" w:sz="0" w:space="0" w:color="auto"/>
          </w:divBdr>
          <w:divsChild>
            <w:div w:id="1503667302">
              <w:marLeft w:val="0"/>
              <w:marRight w:val="0"/>
              <w:marTop w:val="0"/>
              <w:marBottom w:val="0"/>
              <w:divBdr>
                <w:top w:val="none" w:sz="0" w:space="0" w:color="auto"/>
                <w:left w:val="none" w:sz="0" w:space="0" w:color="auto"/>
                <w:bottom w:val="none" w:sz="0" w:space="0" w:color="auto"/>
                <w:right w:val="none" w:sz="0" w:space="0" w:color="auto"/>
              </w:divBdr>
              <w:divsChild>
                <w:div w:id="2111469265">
                  <w:marLeft w:val="0"/>
                  <w:marRight w:val="0"/>
                  <w:marTop w:val="0"/>
                  <w:marBottom w:val="0"/>
                  <w:divBdr>
                    <w:top w:val="none" w:sz="0" w:space="0" w:color="auto"/>
                    <w:left w:val="none" w:sz="0" w:space="0" w:color="auto"/>
                    <w:bottom w:val="none" w:sz="0" w:space="0" w:color="auto"/>
                    <w:right w:val="none" w:sz="0" w:space="0" w:color="auto"/>
                  </w:divBdr>
                  <w:divsChild>
                    <w:div w:id="1715543719">
                      <w:marLeft w:val="0"/>
                      <w:marRight w:val="0"/>
                      <w:marTop w:val="0"/>
                      <w:marBottom w:val="0"/>
                      <w:divBdr>
                        <w:top w:val="none" w:sz="0" w:space="0" w:color="auto"/>
                        <w:left w:val="none" w:sz="0" w:space="0" w:color="auto"/>
                        <w:bottom w:val="none" w:sz="0" w:space="0" w:color="auto"/>
                        <w:right w:val="none" w:sz="0" w:space="0" w:color="auto"/>
                      </w:divBdr>
                      <w:divsChild>
                        <w:div w:id="266236845">
                          <w:marLeft w:val="0"/>
                          <w:marRight w:val="0"/>
                          <w:marTop w:val="0"/>
                          <w:marBottom w:val="0"/>
                          <w:divBdr>
                            <w:top w:val="single" w:sz="6" w:space="0" w:color="EAEAEA"/>
                            <w:left w:val="single" w:sz="6" w:space="0" w:color="EAEAEA"/>
                            <w:bottom w:val="single" w:sz="6" w:space="0" w:color="EAEAEA"/>
                            <w:right w:val="single" w:sz="6" w:space="0" w:color="EAEAEA"/>
                          </w:divBdr>
                          <w:divsChild>
                            <w:div w:id="1167017032">
                              <w:marLeft w:val="0"/>
                              <w:marRight w:val="0"/>
                              <w:marTop w:val="0"/>
                              <w:marBottom w:val="0"/>
                              <w:divBdr>
                                <w:top w:val="none" w:sz="0" w:space="0" w:color="auto"/>
                                <w:left w:val="none" w:sz="0" w:space="0" w:color="auto"/>
                                <w:bottom w:val="none" w:sz="0" w:space="0" w:color="auto"/>
                                <w:right w:val="none" w:sz="0" w:space="0" w:color="auto"/>
                              </w:divBdr>
                              <w:divsChild>
                                <w:div w:id="1432580102">
                                  <w:marLeft w:val="0"/>
                                  <w:marRight w:val="0"/>
                                  <w:marTop w:val="0"/>
                                  <w:marBottom w:val="0"/>
                                  <w:divBdr>
                                    <w:top w:val="none" w:sz="0" w:space="0" w:color="auto"/>
                                    <w:left w:val="none" w:sz="0" w:space="0" w:color="auto"/>
                                    <w:bottom w:val="none" w:sz="0" w:space="0" w:color="auto"/>
                                    <w:right w:val="none" w:sz="0" w:space="0" w:color="auto"/>
                                  </w:divBdr>
                                  <w:divsChild>
                                    <w:div w:id="1423066542">
                                      <w:marLeft w:val="0"/>
                                      <w:marRight w:val="0"/>
                                      <w:marTop w:val="0"/>
                                      <w:marBottom w:val="0"/>
                                      <w:divBdr>
                                        <w:top w:val="none" w:sz="0" w:space="0" w:color="auto"/>
                                        <w:left w:val="none" w:sz="0" w:space="0" w:color="auto"/>
                                        <w:bottom w:val="none" w:sz="0" w:space="0" w:color="auto"/>
                                        <w:right w:val="none" w:sz="0" w:space="0" w:color="auto"/>
                                      </w:divBdr>
                                      <w:divsChild>
                                        <w:div w:id="1076825445">
                                          <w:marLeft w:val="30"/>
                                          <w:marRight w:val="30"/>
                                          <w:marTop w:val="0"/>
                                          <w:marBottom w:val="0"/>
                                          <w:divBdr>
                                            <w:top w:val="none" w:sz="0" w:space="0" w:color="auto"/>
                                            <w:left w:val="none" w:sz="0" w:space="0" w:color="auto"/>
                                            <w:bottom w:val="none" w:sz="0" w:space="0" w:color="auto"/>
                                            <w:right w:val="none" w:sz="0" w:space="0" w:color="auto"/>
                                          </w:divBdr>
                                          <w:divsChild>
                                            <w:div w:id="1154684927">
                                              <w:marLeft w:val="135"/>
                                              <w:marRight w:val="45"/>
                                              <w:marTop w:val="60"/>
                                              <w:marBottom w:val="60"/>
                                              <w:divBdr>
                                                <w:top w:val="none" w:sz="0" w:space="0" w:color="auto"/>
                                                <w:left w:val="none" w:sz="0" w:space="0" w:color="auto"/>
                                                <w:bottom w:val="none" w:sz="0" w:space="0" w:color="auto"/>
                                                <w:right w:val="none" w:sz="0" w:space="0" w:color="auto"/>
                                              </w:divBdr>
                                              <w:divsChild>
                                                <w:div w:id="1224218154">
                                                  <w:marLeft w:val="0"/>
                                                  <w:marRight w:val="0"/>
                                                  <w:marTop w:val="0"/>
                                                  <w:marBottom w:val="0"/>
                                                  <w:divBdr>
                                                    <w:top w:val="none" w:sz="0" w:space="0" w:color="auto"/>
                                                    <w:left w:val="none" w:sz="0" w:space="0" w:color="auto"/>
                                                    <w:bottom w:val="none" w:sz="0" w:space="0" w:color="auto"/>
                                                    <w:right w:val="none" w:sz="0" w:space="0" w:color="auto"/>
                                                  </w:divBdr>
                                                  <w:divsChild>
                                                    <w:div w:id="39401224">
                                                      <w:marLeft w:val="0"/>
                                                      <w:marRight w:val="150"/>
                                                      <w:marTop w:val="0"/>
                                                      <w:marBottom w:val="0"/>
                                                      <w:divBdr>
                                                        <w:top w:val="none" w:sz="0" w:space="0" w:color="auto"/>
                                                        <w:left w:val="none" w:sz="0" w:space="0" w:color="auto"/>
                                                        <w:bottom w:val="none" w:sz="0" w:space="0" w:color="auto"/>
                                                        <w:right w:val="none" w:sz="0" w:space="0" w:color="auto"/>
                                                      </w:divBdr>
                                                    </w:div>
                                                    <w:div w:id="1377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80139">
                                              <w:marLeft w:val="0"/>
                                              <w:marRight w:val="90"/>
                                              <w:marTop w:val="90"/>
                                              <w:marBottom w:val="30"/>
                                              <w:divBdr>
                                                <w:top w:val="none" w:sz="0" w:space="0" w:color="auto"/>
                                                <w:left w:val="none" w:sz="0" w:space="0" w:color="auto"/>
                                                <w:bottom w:val="none" w:sz="0" w:space="0" w:color="auto"/>
                                                <w:right w:val="none" w:sz="0" w:space="0" w:color="auto"/>
                                              </w:divBdr>
                                              <w:divsChild>
                                                <w:div w:id="254284573">
                                                  <w:marLeft w:val="0"/>
                                                  <w:marRight w:val="30"/>
                                                  <w:marTop w:val="0"/>
                                                  <w:marBottom w:val="0"/>
                                                  <w:divBdr>
                                                    <w:top w:val="none" w:sz="0" w:space="0" w:color="auto"/>
                                                    <w:left w:val="none" w:sz="0" w:space="0" w:color="auto"/>
                                                    <w:bottom w:val="none" w:sz="0" w:space="0" w:color="auto"/>
                                                    <w:right w:val="none" w:sz="0" w:space="0" w:color="auto"/>
                                                  </w:divBdr>
                                                  <w:divsChild>
                                                    <w:div w:id="560096994">
                                                      <w:marLeft w:val="0"/>
                                                      <w:marRight w:val="0"/>
                                                      <w:marTop w:val="0"/>
                                                      <w:marBottom w:val="0"/>
                                                      <w:divBdr>
                                                        <w:top w:val="none" w:sz="0" w:space="0" w:color="auto"/>
                                                        <w:left w:val="none" w:sz="0" w:space="0" w:color="auto"/>
                                                        <w:bottom w:val="none" w:sz="0" w:space="0" w:color="auto"/>
                                                        <w:right w:val="none" w:sz="0" w:space="0" w:color="auto"/>
                                                      </w:divBdr>
                                                      <w:divsChild>
                                                        <w:div w:id="466360079">
                                                          <w:marLeft w:val="0"/>
                                                          <w:marRight w:val="0"/>
                                                          <w:marTop w:val="0"/>
                                                          <w:marBottom w:val="0"/>
                                                          <w:divBdr>
                                                            <w:top w:val="none" w:sz="0" w:space="0" w:color="auto"/>
                                                            <w:left w:val="none" w:sz="0" w:space="0" w:color="auto"/>
                                                            <w:bottom w:val="none" w:sz="0" w:space="0" w:color="auto"/>
                                                            <w:right w:val="none" w:sz="0" w:space="0" w:color="auto"/>
                                                          </w:divBdr>
                                                          <w:divsChild>
                                                            <w:div w:id="10438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3741">
                                                  <w:marLeft w:val="0"/>
                                                  <w:marRight w:val="0"/>
                                                  <w:marTop w:val="0"/>
                                                  <w:marBottom w:val="0"/>
                                                  <w:divBdr>
                                                    <w:top w:val="none" w:sz="0" w:space="0" w:color="auto"/>
                                                    <w:left w:val="none" w:sz="0" w:space="0" w:color="auto"/>
                                                    <w:bottom w:val="none" w:sz="0" w:space="0" w:color="auto"/>
                                                    <w:right w:val="none" w:sz="0" w:space="0" w:color="auto"/>
                                                  </w:divBdr>
                                                  <w:divsChild>
                                                    <w:div w:id="49703706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227182022">
                                          <w:marLeft w:val="30"/>
                                          <w:marRight w:val="30"/>
                                          <w:marTop w:val="30"/>
                                          <w:marBottom w:val="0"/>
                                          <w:divBdr>
                                            <w:top w:val="none" w:sz="0" w:space="0" w:color="auto"/>
                                            <w:left w:val="none" w:sz="0" w:space="0" w:color="auto"/>
                                            <w:bottom w:val="none" w:sz="0" w:space="0" w:color="auto"/>
                                            <w:right w:val="none" w:sz="0" w:space="0" w:color="auto"/>
                                          </w:divBdr>
                                          <w:divsChild>
                                            <w:div w:id="872113408">
                                              <w:marLeft w:val="210"/>
                                              <w:marRight w:val="210"/>
                                              <w:marTop w:val="0"/>
                                              <w:marBottom w:val="30"/>
                                              <w:divBdr>
                                                <w:top w:val="none" w:sz="0" w:space="0" w:color="auto"/>
                                                <w:left w:val="none" w:sz="0" w:space="0" w:color="auto"/>
                                                <w:bottom w:val="none" w:sz="0" w:space="0" w:color="auto"/>
                                                <w:right w:val="none" w:sz="0" w:space="0" w:color="auto"/>
                                              </w:divBdr>
                                              <w:divsChild>
                                                <w:div w:id="741487354">
                                                  <w:marLeft w:val="0"/>
                                                  <w:marRight w:val="30"/>
                                                  <w:marTop w:val="0"/>
                                                  <w:marBottom w:val="0"/>
                                                  <w:divBdr>
                                                    <w:top w:val="none" w:sz="0" w:space="0" w:color="auto"/>
                                                    <w:left w:val="none" w:sz="0" w:space="0" w:color="auto"/>
                                                    <w:bottom w:val="none" w:sz="0" w:space="0" w:color="auto"/>
                                                    <w:right w:val="none" w:sz="0" w:space="0" w:color="auto"/>
                                                  </w:divBdr>
                                                  <w:divsChild>
                                                    <w:div w:id="163666701">
                                                      <w:marLeft w:val="0"/>
                                                      <w:marRight w:val="0"/>
                                                      <w:marTop w:val="0"/>
                                                      <w:marBottom w:val="0"/>
                                                      <w:divBdr>
                                                        <w:top w:val="none" w:sz="0" w:space="0" w:color="auto"/>
                                                        <w:left w:val="none" w:sz="0" w:space="0" w:color="auto"/>
                                                        <w:bottom w:val="none" w:sz="0" w:space="0" w:color="auto"/>
                                                        <w:right w:val="none" w:sz="0" w:space="0" w:color="auto"/>
                                                      </w:divBdr>
                                                      <w:divsChild>
                                                        <w:div w:id="254290950">
                                                          <w:marLeft w:val="0"/>
                                                          <w:marRight w:val="0"/>
                                                          <w:marTop w:val="0"/>
                                                          <w:marBottom w:val="0"/>
                                                          <w:divBdr>
                                                            <w:top w:val="none" w:sz="0" w:space="0" w:color="auto"/>
                                                            <w:left w:val="none" w:sz="0" w:space="0" w:color="auto"/>
                                                            <w:bottom w:val="none" w:sz="0" w:space="0" w:color="auto"/>
                                                            <w:right w:val="none" w:sz="0" w:space="0" w:color="auto"/>
                                                          </w:divBdr>
                                                          <w:divsChild>
                                                            <w:div w:id="7617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252601">
                                      <w:marLeft w:val="120"/>
                                      <w:marRight w:val="120"/>
                                      <w:marTop w:val="0"/>
                                      <w:marBottom w:val="0"/>
                                      <w:divBdr>
                                        <w:top w:val="none" w:sz="0" w:space="0" w:color="auto"/>
                                        <w:left w:val="none" w:sz="0" w:space="0" w:color="auto"/>
                                        <w:bottom w:val="none" w:sz="0" w:space="0" w:color="auto"/>
                                        <w:right w:val="none" w:sz="0" w:space="0" w:color="auto"/>
                                      </w:divBdr>
                                      <w:divsChild>
                                        <w:div w:id="81529946">
                                          <w:marLeft w:val="30"/>
                                          <w:marRight w:val="30"/>
                                          <w:marTop w:val="135"/>
                                          <w:marBottom w:val="135"/>
                                          <w:divBdr>
                                            <w:top w:val="single" w:sz="6" w:space="0" w:color="8A8886"/>
                                            <w:left w:val="single" w:sz="6" w:space="0" w:color="8A8886"/>
                                            <w:bottom w:val="single" w:sz="6" w:space="0" w:color="8A8886"/>
                                            <w:right w:val="single" w:sz="6" w:space="0" w:color="8A8886"/>
                                          </w:divBdr>
                                          <w:divsChild>
                                            <w:div w:id="336423116">
                                              <w:marLeft w:val="0"/>
                                              <w:marRight w:val="0"/>
                                              <w:marTop w:val="0"/>
                                              <w:marBottom w:val="0"/>
                                              <w:divBdr>
                                                <w:top w:val="none" w:sz="0" w:space="0" w:color="auto"/>
                                                <w:left w:val="none" w:sz="0" w:space="0" w:color="auto"/>
                                                <w:bottom w:val="none" w:sz="0" w:space="0" w:color="auto"/>
                                                <w:right w:val="none" w:sz="0" w:space="0" w:color="auto"/>
                                              </w:divBdr>
                                              <w:divsChild>
                                                <w:div w:id="270473248">
                                                  <w:marLeft w:val="0"/>
                                                  <w:marRight w:val="0"/>
                                                  <w:marTop w:val="0"/>
                                                  <w:marBottom w:val="0"/>
                                                  <w:divBdr>
                                                    <w:top w:val="none" w:sz="0" w:space="0" w:color="auto"/>
                                                    <w:left w:val="none" w:sz="0" w:space="0" w:color="auto"/>
                                                    <w:bottom w:val="none" w:sz="0" w:space="0" w:color="auto"/>
                                                    <w:right w:val="none" w:sz="0" w:space="0" w:color="auto"/>
                                                  </w:divBdr>
                                                  <w:divsChild>
                                                    <w:div w:id="11876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0067">
                              <w:marLeft w:val="0"/>
                              <w:marRight w:val="0"/>
                              <w:marTop w:val="0"/>
                              <w:marBottom w:val="0"/>
                              <w:divBdr>
                                <w:top w:val="none" w:sz="0" w:space="0" w:color="auto"/>
                                <w:left w:val="none" w:sz="0" w:space="0" w:color="auto"/>
                                <w:bottom w:val="none" w:sz="0" w:space="0" w:color="auto"/>
                                <w:right w:val="none" w:sz="0" w:space="0" w:color="auto"/>
                              </w:divBdr>
                              <w:divsChild>
                                <w:div w:id="1967925627">
                                  <w:marLeft w:val="210"/>
                                  <w:marRight w:val="0"/>
                                  <w:marTop w:val="120"/>
                                  <w:marBottom w:val="0"/>
                                  <w:divBdr>
                                    <w:top w:val="none" w:sz="0" w:space="0" w:color="auto"/>
                                    <w:left w:val="none" w:sz="0" w:space="0" w:color="auto"/>
                                    <w:bottom w:val="none" w:sz="0" w:space="0" w:color="auto"/>
                                    <w:right w:val="none" w:sz="0" w:space="0" w:color="auto"/>
                                  </w:divBdr>
                                  <w:divsChild>
                                    <w:div w:id="210507844">
                                      <w:marLeft w:val="0"/>
                                      <w:marRight w:val="0"/>
                                      <w:marTop w:val="0"/>
                                      <w:marBottom w:val="0"/>
                                      <w:divBdr>
                                        <w:top w:val="none" w:sz="0" w:space="0" w:color="auto"/>
                                        <w:left w:val="none" w:sz="0" w:space="0" w:color="auto"/>
                                        <w:bottom w:val="none" w:sz="0" w:space="0" w:color="auto"/>
                                        <w:right w:val="none" w:sz="0" w:space="0" w:color="auto"/>
                                      </w:divBdr>
                                      <w:divsChild>
                                        <w:div w:id="62227214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596391">
          <w:marLeft w:val="0"/>
          <w:marRight w:val="0"/>
          <w:marTop w:val="0"/>
          <w:marBottom w:val="0"/>
          <w:divBdr>
            <w:top w:val="none" w:sz="0" w:space="0" w:color="auto"/>
            <w:left w:val="none" w:sz="0" w:space="0" w:color="auto"/>
            <w:bottom w:val="none" w:sz="0" w:space="0" w:color="auto"/>
            <w:right w:val="none" w:sz="0" w:space="0" w:color="auto"/>
          </w:divBdr>
          <w:divsChild>
            <w:div w:id="1404722615">
              <w:marLeft w:val="0"/>
              <w:marRight w:val="0"/>
              <w:marTop w:val="0"/>
              <w:marBottom w:val="0"/>
              <w:divBdr>
                <w:top w:val="none" w:sz="0" w:space="0" w:color="auto"/>
                <w:left w:val="none" w:sz="0" w:space="0" w:color="auto"/>
                <w:bottom w:val="none" w:sz="0" w:space="0" w:color="auto"/>
                <w:right w:val="none" w:sz="0" w:space="0" w:color="auto"/>
              </w:divBdr>
              <w:divsChild>
                <w:div w:id="180972907">
                  <w:marLeft w:val="0"/>
                  <w:marRight w:val="0"/>
                  <w:marTop w:val="0"/>
                  <w:marBottom w:val="0"/>
                  <w:divBdr>
                    <w:top w:val="none" w:sz="0" w:space="0" w:color="auto"/>
                    <w:left w:val="none" w:sz="0" w:space="0" w:color="auto"/>
                    <w:bottom w:val="none" w:sz="0" w:space="0" w:color="auto"/>
                    <w:right w:val="none" w:sz="0" w:space="0" w:color="auto"/>
                  </w:divBdr>
                  <w:divsChild>
                    <w:div w:id="1037587272">
                      <w:marLeft w:val="0"/>
                      <w:marRight w:val="0"/>
                      <w:marTop w:val="0"/>
                      <w:marBottom w:val="0"/>
                      <w:divBdr>
                        <w:top w:val="none" w:sz="0" w:space="0" w:color="auto"/>
                        <w:left w:val="none" w:sz="0" w:space="0" w:color="auto"/>
                        <w:bottom w:val="none" w:sz="0" w:space="0" w:color="auto"/>
                        <w:right w:val="none" w:sz="0" w:space="0" w:color="auto"/>
                      </w:divBdr>
                      <w:divsChild>
                        <w:div w:id="700130778">
                          <w:marLeft w:val="0"/>
                          <w:marRight w:val="0"/>
                          <w:marTop w:val="0"/>
                          <w:marBottom w:val="0"/>
                          <w:divBdr>
                            <w:top w:val="single" w:sz="6" w:space="0" w:color="EAEAEA"/>
                            <w:left w:val="single" w:sz="6" w:space="0" w:color="EAEAEA"/>
                            <w:bottom w:val="single" w:sz="6" w:space="0" w:color="EAEAEA"/>
                            <w:right w:val="single" w:sz="6" w:space="0" w:color="EAEAEA"/>
                          </w:divBdr>
                          <w:divsChild>
                            <w:div w:id="887692327">
                              <w:marLeft w:val="0"/>
                              <w:marRight w:val="0"/>
                              <w:marTop w:val="0"/>
                              <w:marBottom w:val="0"/>
                              <w:divBdr>
                                <w:top w:val="none" w:sz="0" w:space="0" w:color="auto"/>
                                <w:left w:val="none" w:sz="0" w:space="0" w:color="auto"/>
                                <w:bottom w:val="none" w:sz="0" w:space="0" w:color="auto"/>
                                <w:right w:val="none" w:sz="0" w:space="0" w:color="auto"/>
                              </w:divBdr>
                              <w:divsChild>
                                <w:div w:id="824009599">
                                  <w:marLeft w:val="210"/>
                                  <w:marRight w:val="0"/>
                                  <w:marTop w:val="120"/>
                                  <w:marBottom w:val="0"/>
                                  <w:divBdr>
                                    <w:top w:val="none" w:sz="0" w:space="0" w:color="auto"/>
                                    <w:left w:val="none" w:sz="0" w:space="0" w:color="auto"/>
                                    <w:bottom w:val="none" w:sz="0" w:space="0" w:color="auto"/>
                                    <w:right w:val="none" w:sz="0" w:space="0" w:color="auto"/>
                                  </w:divBdr>
                                  <w:divsChild>
                                    <w:div w:id="1222710581">
                                      <w:marLeft w:val="0"/>
                                      <w:marRight w:val="0"/>
                                      <w:marTop w:val="0"/>
                                      <w:marBottom w:val="0"/>
                                      <w:divBdr>
                                        <w:top w:val="none" w:sz="0" w:space="0" w:color="auto"/>
                                        <w:left w:val="none" w:sz="0" w:space="0" w:color="auto"/>
                                        <w:bottom w:val="none" w:sz="0" w:space="0" w:color="auto"/>
                                        <w:right w:val="none" w:sz="0" w:space="0" w:color="auto"/>
                                      </w:divBdr>
                                      <w:divsChild>
                                        <w:div w:id="159844397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073116816">
                                  <w:marLeft w:val="90"/>
                                  <w:marRight w:val="120"/>
                                  <w:marTop w:val="120"/>
                                  <w:marBottom w:val="120"/>
                                  <w:divBdr>
                                    <w:top w:val="none" w:sz="0" w:space="0" w:color="auto"/>
                                    <w:left w:val="none" w:sz="0" w:space="0" w:color="auto"/>
                                    <w:bottom w:val="none" w:sz="0" w:space="0" w:color="auto"/>
                                    <w:right w:val="none" w:sz="0" w:space="0" w:color="auto"/>
                                  </w:divBdr>
                                  <w:divsChild>
                                    <w:div w:id="1741561778">
                                      <w:marLeft w:val="0"/>
                                      <w:marRight w:val="0"/>
                                      <w:marTop w:val="0"/>
                                      <w:marBottom w:val="0"/>
                                      <w:divBdr>
                                        <w:top w:val="none" w:sz="0" w:space="0" w:color="auto"/>
                                        <w:left w:val="none" w:sz="0" w:space="0" w:color="auto"/>
                                        <w:bottom w:val="none" w:sz="0" w:space="0" w:color="auto"/>
                                        <w:right w:val="none" w:sz="0" w:space="0" w:color="auto"/>
                                      </w:divBdr>
                                      <w:divsChild>
                                        <w:div w:id="1164249198">
                                          <w:marLeft w:val="0"/>
                                          <w:marRight w:val="150"/>
                                          <w:marTop w:val="0"/>
                                          <w:marBottom w:val="0"/>
                                          <w:divBdr>
                                            <w:top w:val="none" w:sz="0" w:space="0" w:color="auto"/>
                                            <w:left w:val="none" w:sz="0" w:space="0" w:color="auto"/>
                                            <w:bottom w:val="none" w:sz="0" w:space="0" w:color="auto"/>
                                            <w:right w:val="none" w:sz="0" w:space="0" w:color="auto"/>
                                          </w:divBdr>
                                        </w:div>
                                        <w:div w:id="17362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35133">
                              <w:marLeft w:val="0"/>
                              <w:marRight w:val="0"/>
                              <w:marTop w:val="0"/>
                              <w:marBottom w:val="0"/>
                              <w:divBdr>
                                <w:top w:val="none" w:sz="0" w:space="0" w:color="auto"/>
                                <w:left w:val="none" w:sz="0" w:space="0" w:color="auto"/>
                                <w:bottom w:val="none" w:sz="0" w:space="0" w:color="auto"/>
                                <w:right w:val="none" w:sz="0" w:space="0" w:color="auto"/>
                              </w:divBdr>
                              <w:divsChild>
                                <w:div w:id="50273585">
                                  <w:marLeft w:val="0"/>
                                  <w:marRight w:val="0"/>
                                  <w:marTop w:val="0"/>
                                  <w:marBottom w:val="0"/>
                                  <w:divBdr>
                                    <w:top w:val="none" w:sz="0" w:space="0" w:color="auto"/>
                                    <w:left w:val="none" w:sz="0" w:space="0" w:color="auto"/>
                                    <w:bottom w:val="none" w:sz="0" w:space="0" w:color="auto"/>
                                    <w:right w:val="none" w:sz="0" w:space="0" w:color="auto"/>
                                  </w:divBdr>
                                  <w:divsChild>
                                    <w:div w:id="1938367360">
                                      <w:marLeft w:val="0"/>
                                      <w:marRight w:val="0"/>
                                      <w:marTop w:val="0"/>
                                      <w:marBottom w:val="0"/>
                                      <w:divBdr>
                                        <w:top w:val="none" w:sz="0" w:space="0" w:color="auto"/>
                                        <w:left w:val="none" w:sz="0" w:space="0" w:color="auto"/>
                                        <w:bottom w:val="none" w:sz="0" w:space="0" w:color="auto"/>
                                        <w:right w:val="none" w:sz="0" w:space="0" w:color="auto"/>
                                      </w:divBdr>
                                      <w:divsChild>
                                        <w:div w:id="92288290">
                                          <w:marLeft w:val="30"/>
                                          <w:marRight w:val="30"/>
                                          <w:marTop w:val="30"/>
                                          <w:marBottom w:val="0"/>
                                          <w:divBdr>
                                            <w:top w:val="none" w:sz="0" w:space="0" w:color="auto"/>
                                            <w:left w:val="none" w:sz="0" w:space="0" w:color="auto"/>
                                            <w:bottom w:val="none" w:sz="0" w:space="0" w:color="auto"/>
                                            <w:right w:val="none" w:sz="0" w:space="0" w:color="auto"/>
                                          </w:divBdr>
                                          <w:divsChild>
                                            <w:div w:id="1264649543">
                                              <w:marLeft w:val="210"/>
                                              <w:marRight w:val="210"/>
                                              <w:marTop w:val="0"/>
                                              <w:marBottom w:val="30"/>
                                              <w:divBdr>
                                                <w:top w:val="none" w:sz="0" w:space="0" w:color="auto"/>
                                                <w:left w:val="none" w:sz="0" w:space="0" w:color="auto"/>
                                                <w:bottom w:val="none" w:sz="0" w:space="0" w:color="auto"/>
                                                <w:right w:val="none" w:sz="0" w:space="0" w:color="auto"/>
                                              </w:divBdr>
                                              <w:divsChild>
                                                <w:div w:id="1083453772">
                                                  <w:marLeft w:val="0"/>
                                                  <w:marRight w:val="30"/>
                                                  <w:marTop w:val="0"/>
                                                  <w:marBottom w:val="0"/>
                                                  <w:divBdr>
                                                    <w:top w:val="none" w:sz="0" w:space="0" w:color="auto"/>
                                                    <w:left w:val="none" w:sz="0" w:space="0" w:color="auto"/>
                                                    <w:bottom w:val="none" w:sz="0" w:space="0" w:color="auto"/>
                                                    <w:right w:val="none" w:sz="0" w:space="0" w:color="auto"/>
                                                  </w:divBdr>
                                                  <w:divsChild>
                                                    <w:div w:id="1526945873">
                                                      <w:marLeft w:val="0"/>
                                                      <w:marRight w:val="0"/>
                                                      <w:marTop w:val="0"/>
                                                      <w:marBottom w:val="0"/>
                                                      <w:divBdr>
                                                        <w:top w:val="none" w:sz="0" w:space="0" w:color="auto"/>
                                                        <w:left w:val="none" w:sz="0" w:space="0" w:color="auto"/>
                                                        <w:bottom w:val="none" w:sz="0" w:space="0" w:color="auto"/>
                                                        <w:right w:val="none" w:sz="0" w:space="0" w:color="auto"/>
                                                      </w:divBdr>
                                                      <w:divsChild>
                                                        <w:div w:id="1534686188">
                                                          <w:marLeft w:val="0"/>
                                                          <w:marRight w:val="0"/>
                                                          <w:marTop w:val="0"/>
                                                          <w:marBottom w:val="0"/>
                                                          <w:divBdr>
                                                            <w:top w:val="none" w:sz="0" w:space="0" w:color="auto"/>
                                                            <w:left w:val="none" w:sz="0" w:space="0" w:color="auto"/>
                                                            <w:bottom w:val="none" w:sz="0" w:space="0" w:color="auto"/>
                                                            <w:right w:val="none" w:sz="0" w:space="0" w:color="auto"/>
                                                          </w:divBdr>
                                                          <w:divsChild>
                                                            <w:div w:id="5615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489121">
          <w:marLeft w:val="0"/>
          <w:marRight w:val="0"/>
          <w:marTop w:val="0"/>
          <w:marBottom w:val="0"/>
          <w:divBdr>
            <w:top w:val="none" w:sz="0" w:space="0" w:color="auto"/>
            <w:left w:val="none" w:sz="0" w:space="0" w:color="auto"/>
            <w:bottom w:val="none" w:sz="0" w:space="0" w:color="auto"/>
            <w:right w:val="none" w:sz="0" w:space="0" w:color="auto"/>
          </w:divBdr>
          <w:divsChild>
            <w:div w:id="1730961881">
              <w:marLeft w:val="0"/>
              <w:marRight w:val="0"/>
              <w:marTop w:val="0"/>
              <w:marBottom w:val="0"/>
              <w:divBdr>
                <w:top w:val="none" w:sz="0" w:space="0" w:color="auto"/>
                <w:left w:val="none" w:sz="0" w:space="0" w:color="auto"/>
                <w:bottom w:val="none" w:sz="0" w:space="0" w:color="auto"/>
                <w:right w:val="none" w:sz="0" w:space="0" w:color="auto"/>
              </w:divBdr>
              <w:divsChild>
                <w:div w:id="654728411">
                  <w:marLeft w:val="0"/>
                  <w:marRight w:val="0"/>
                  <w:marTop w:val="0"/>
                  <w:marBottom w:val="0"/>
                  <w:divBdr>
                    <w:top w:val="none" w:sz="0" w:space="0" w:color="auto"/>
                    <w:left w:val="none" w:sz="0" w:space="0" w:color="auto"/>
                    <w:bottom w:val="none" w:sz="0" w:space="0" w:color="auto"/>
                    <w:right w:val="none" w:sz="0" w:space="0" w:color="auto"/>
                  </w:divBdr>
                  <w:divsChild>
                    <w:div w:id="333848552">
                      <w:marLeft w:val="0"/>
                      <w:marRight w:val="0"/>
                      <w:marTop w:val="0"/>
                      <w:marBottom w:val="0"/>
                      <w:divBdr>
                        <w:top w:val="none" w:sz="0" w:space="0" w:color="auto"/>
                        <w:left w:val="none" w:sz="0" w:space="0" w:color="auto"/>
                        <w:bottom w:val="none" w:sz="0" w:space="0" w:color="auto"/>
                        <w:right w:val="none" w:sz="0" w:space="0" w:color="auto"/>
                      </w:divBdr>
                      <w:divsChild>
                        <w:div w:id="484665235">
                          <w:marLeft w:val="0"/>
                          <w:marRight w:val="0"/>
                          <w:marTop w:val="0"/>
                          <w:marBottom w:val="0"/>
                          <w:divBdr>
                            <w:top w:val="single" w:sz="6" w:space="0" w:color="EAEAEA"/>
                            <w:left w:val="single" w:sz="6" w:space="0" w:color="EAEAEA"/>
                            <w:bottom w:val="single" w:sz="6" w:space="0" w:color="EAEAEA"/>
                            <w:right w:val="single" w:sz="6" w:space="0" w:color="EAEAEA"/>
                          </w:divBdr>
                          <w:divsChild>
                            <w:div w:id="1000350820">
                              <w:marLeft w:val="0"/>
                              <w:marRight w:val="0"/>
                              <w:marTop w:val="0"/>
                              <w:marBottom w:val="0"/>
                              <w:divBdr>
                                <w:top w:val="none" w:sz="0" w:space="0" w:color="auto"/>
                                <w:left w:val="none" w:sz="0" w:space="0" w:color="auto"/>
                                <w:bottom w:val="none" w:sz="0" w:space="0" w:color="auto"/>
                                <w:right w:val="none" w:sz="0" w:space="0" w:color="auto"/>
                              </w:divBdr>
                              <w:divsChild>
                                <w:div w:id="1625890643">
                                  <w:marLeft w:val="0"/>
                                  <w:marRight w:val="0"/>
                                  <w:marTop w:val="0"/>
                                  <w:marBottom w:val="0"/>
                                  <w:divBdr>
                                    <w:top w:val="none" w:sz="0" w:space="0" w:color="auto"/>
                                    <w:left w:val="none" w:sz="0" w:space="0" w:color="auto"/>
                                    <w:bottom w:val="none" w:sz="0" w:space="0" w:color="auto"/>
                                    <w:right w:val="none" w:sz="0" w:space="0" w:color="auto"/>
                                  </w:divBdr>
                                  <w:divsChild>
                                    <w:div w:id="918514738">
                                      <w:marLeft w:val="120"/>
                                      <w:marRight w:val="120"/>
                                      <w:marTop w:val="0"/>
                                      <w:marBottom w:val="0"/>
                                      <w:divBdr>
                                        <w:top w:val="none" w:sz="0" w:space="0" w:color="auto"/>
                                        <w:left w:val="none" w:sz="0" w:space="0" w:color="auto"/>
                                        <w:bottom w:val="none" w:sz="0" w:space="0" w:color="auto"/>
                                        <w:right w:val="none" w:sz="0" w:space="0" w:color="auto"/>
                                      </w:divBdr>
                                      <w:divsChild>
                                        <w:div w:id="1043095216">
                                          <w:marLeft w:val="30"/>
                                          <w:marRight w:val="30"/>
                                          <w:marTop w:val="135"/>
                                          <w:marBottom w:val="135"/>
                                          <w:divBdr>
                                            <w:top w:val="single" w:sz="6" w:space="0" w:color="8A8886"/>
                                            <w:left w:val="single" w:sz="6" w:space="0" w:color="8A8886"/>
                                            <w:bottom w:val="single" w:sz="6" w:space="0" w:color="8A8886"/>
                                            <w:right w:val="single" w:sz="6" w:space="0" w:color="8A8886"/>
                                          </w:divBdr>
                                          <w:divsChild>
                                            <w:div w:id="83575027">
                                              <w:marLeft w:val="0"/>
                                              <w:marRight w:val="0"/>
                                              <w:marTop w:val="0"/>
                                              <w:marBottom w:val="0"/>
                                              <w:divBdr>
                                                <w:top w:val="none" w:sz="0" w:space="0" w:color="auto"/>
                                                <w:left w:val="none" w:sz="0" w:space="0" w:color="auto"/>
                                                <w:bottom w:val="none" w:sz="0" w:space="0" w:color="auto"/>
                                                <w:right w:val="none" w:sz="0" w:space="0" w:color="auto"/>
                                              </w:divBdr>
                                              <w:divsChild>
                                                <w:div w:id="670260711">
                                                  <w:marLeft w:val="0"/>
                                                  <w:marRight w:val="0"/>
                                                  <w:marTop w:val="0"/>
                                                  <w:marBottom w:val="0"/>
                                                  <w:divBdr>
                                                    <w:top w:val="none" w:sz="0" w:space="0" w:color="auto"/>
                                                    <w:left w:val="none" w:sz="0" w:space="0" w:color="auto"/>
                                                    <w:bottom w:val="none" w:sz="0" w:space="0" w:color="auto"/>
                                                    <w:right w:val="none" w:sz="0" w:space="0" w:color="auto"/>
                                                  </w:divBdr>
                                                  <w:divsChild>
                                                    <w:div w:id="15640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4800">
                                      <w:marLeft w:val="0"/>
                                      <w:marRight w:val="0"/>
                                      <w:marTop w:val="0"/>
                                      <w:marBottom w:val="0"/>
                                      <w:divBdr>
                                        <w:top w:val="none" w:sz="0" w:space="0" w:color="auto"/>
                                        <w:left w:val="none" w:sz="0" w:space="0" w:color="auto"/>
                                        <w:bottom w:val="none" w:sz="0" w:space="0" w:color="auto"/>
                                        <w:right w:val="none" w:sz="0" w:space="0" w:color="auto"/>
                                      </w:divBdr>
                                      <w:divsChild>
                                        <w:div w:id="1285622534">
                                          <w:marLeft w:val="30"/>
                                          <w:marRight w:val="30"/>
                                          <w:marTop w:val="30"/>
                                          <w:marBottom w:val="0"/>
                                          <w:divBdr>
                                            <w:top w:val="none" w:sz="0" w:space="0" w:color="auto"/>
                                            <w:left w:val="none" w:sz="0" w:space="0" w:color="auto"/>
                                            <w:bottom w:val="none" w:sz="0" w:space="0" w:color="auto"/>
                                            <w:right w:val="none" w:sz="0" w:space="0" w:color="auto"/>
                                          </w:divBdr>
                                          <w:divsChild>
                                            <w:div w:id="720831557">
                                              <w:marLeft w:val="210"/>
                                              <w:marRight w:val="210"/>
                                              <w:marTop w:val="0"/>
                                              <w:marBottom w:val="30"/>
                                              <w:divBdr>
                                                <w:top w:val="none" w:sz="0" w:space="0" w:color="auto"/>
                                                <w:left w:val="none" w:sz="0" w:space="0" w:color="auto"/>
                                                <w:bottom w:val="none" w:sz="0" w:space="0" w:color="auto"/>
                                                <w:right w:val="none" w:sz="0" w:space="0" w:color="auto"/>
                                              </w:divBdr>
                                              <w:divsChild>
                                                <w:div w:id="1328091935">
                                                  <w:marLeft w:val="0"/>
                                                  <w:marRight w:val="30"/>
                                                  <w:marTop w:val="0"/>
                                                  <w:marBottom w:val="0"/>
                                                  <w:divBdr>
                                                    <w:top w:val="none" w:sz="0" w:space="0" w:color="auto"/>
                                                    <w:left w:val="none" w:sz="0" w:space="0" w:color="auto"/>
                                                    <w:bottom w:val="none" w:sz="0" w:space="0" w:color="auto"/>
                                                    <w:right w:val="none" w:sz="0" w:space="0" w:color="auto"/>
                                                  </w:divBdr>
                                                  <w:divsChild>
                                                    <w:div w:id="1314024581">
                                                      <w:marLeft w:val="0"/>
                                                      <w:marRight w:val="0"/>
                                                      <w:marTop w:val="0"/>
                                                      <w:marBottom w:val="90"/>
                                                      <w:divBdr>
                                                        <w:top w:val="none" w:sz="0" w:space="0" w:color="auto"/>
                                                        <w:left w:val="none" w:sz="0" w:space="0" w:color="auto"/>
                                                        <w:bottom w:val="none" w:sz="0" w:space="0" w:color="auto"/>
                                                        <w:right w:val="none" w:sz="0" w:space="0" w:color="auto"/>
                                                      </w:divBdr>
                                                      <w:divsChild>
                                                        <w:div w:id="903375268">
                                                          <w:marLeft w:val="0"/>
                                                          <w:marRight w:val="0"/>
                                                          <w:marTop w:val="0"/>
                                                          <w:marBottom w:val="0"/>
                                                          <w:divBdr>
                                                            <w:top w:val="none" w:sz="0" w:space="0" w:color="auto"/>
                                                            <w:left w:val="none" w:sz="0" w:space="0" w:color="auto"/>
                                                            <w:bottom w:val="none" w:sz="0" w:space="0" w:color="auto"/>
                                                            <w:right w:val="none" w:sz="0" w:space="0" w:color="auto"/>
                                                          </w:divBdr>
                                                          <w:divsChild>
                                                            <w:div w:id="2133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85716">
                              <w:marLeft w:val="0"/>
                              <w:marRight w:val="0"/>
                              <w:marTop w:val="0"/>
                              <w:marBottom w:val="0"/>
                              <w:divBdr>
                                <w:top w:val="none" w:sz="0" w:space="0" w:color="auto"/>
                                <w:left w:val="none" w:sz="0" w:space="0" w:color="auto"/>
                                <w:bottom w:val="none" w:sz="0" w:space="0" w:color="auto"/>
                                <w:right w:val="none" w:sz="0" w:space="0" w:color="auto"/>
                              </w:divBdr>
                              <w:divsChild>
                                <w:div w:id="597366845">
                                  <w:marLeft w:val="90"/>
                                  <w:marRight w:val="120"/>
                                  <w:marTop w:val="120"/>
                                  <w:marBottom w:val="120"/>
                                  <w:divBdr>
                                    <w:top w:val="none" w:sz="0" w:space="0" w:color="auto"/>
                                    <w:left w:val="none" w:sz="0" w:space="0" w:color="auto"/>
                                    <w:bottom w:val="none" w:sz="0" w:space="0" w:color="auto"/>
                                    <w:right w:val="none" w:sz="0" w:space="0" w:color="auto"/>
                                  </w:divBdr>
                                  <w:divsChild>
                                    <w:div w:id="1542748680">
                                      <w:marLeft w:val="0"/>
                                      <w:marRight w:val="0"/>
                                      <w:marTop w:val="0"/>
                                      <w:marBottom w:val="0"/>
                                      <w:divBdr>
                                        <w:top w:val="none" w:sz="0" w:space="0" w:color="auto"/>
                                        <w:left w:val="none" w:sz="0" w:space="0" w:color="auto"/>
                                        <w:bottom w:val="none" w:sz="0" w:space="0" w:color="auto"/>
                                        <w:right w:val="none" w:sz="0" w:space="0" w:color="auto"/>
                                      </w:divBdr>
                                      <w:divsChild>
                                        <w:div w:id="639380672">
                                          <w:marLeft w:val="0"/>
                                          <w:marRight w:val="0"/>
                                          <w:marTop w:val="0"/>
                                          <w:marBottom w:val="0"/>
                                          <w:divBdr>
                                            <w:top w:val="none" w:sz="0" w:space="0" w:color="auto"/>
                                            <w:left w:val="none" w:sz="0" w:space="0" w:color="auto"/>
                                            <w:bottom w:val="none" w:sz="0" w:space="0" w:color="auto"/>
                                            <w:right w:val="none" w:sz="0" w:space="0" w:color="auto"/>
                                          </w:divBdr>
                                        </w:div>
                                        <w:div w:id="13854447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07508974">
                                  <w:marLeft w:val="210"/>
                                  <w:marRight w:val="0"/>
                                  <w:marTop w:val="120"/>
                                  <w:marBottom w:val="0"/>
                                  <w:divBdr>
                                    <w:top w:val="none" w:sz="0" w:space="0" w:color="auto"/>
                                    <w:left w:val="none" w:sz="0" w:space="0" w:color="auto"/>
                                    <w:bottom w:val="none" w:sz="0" w:space="0" w:color="auto"/>
                                    <w:right w:val="none" w:sz="0" w:space="0" w:color="auto"/>
                                  </w:divBdr>
                                  <w:divsChild>
                                    <w:div w:id="1686518905">
                                      <w:marLeft w:val="0"/>
                                      <w:marRight w:val="0"/>
                                      <w:marTop w:val="0"/>
                                      <w:marBottom w:val="0"/>
                                      <w:divBdr>
                                        <w:top w:val="none" w:sz="0" w:space="0" w:color="auto"/>
                                        <w:left w:val="none" w:sz="0" w:space="0" w:color="auto"/>
                                        <w:bottom w:val="none" w:sz="0" w:space="0" w:color="auto"/>
                                        <w:right w:val="none" w:sz="0" w:space="0" w:color="auto"/>
                                      </w:divBdr>
                                      <w:divsChild>
                                        <w:div w:id="199938107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653603">
      <w:bodyDiv w:val="1"/>
      <w:marLeft w:val="0"/>
      <w:marRight w:val="0"/>
      <w:marTop w:val="0"/>
      <w:marBottom w:val="0"/>
      <w:divBdr>
        <w:top w:val="none" w:sz="0" w:space="0" w:color="auto"/>
        <w:left w:val="none" w:sz="0" w:space="0" w:color="auto"/>
        <w:bottom w:val="none" w:sz="0" w:space="0" w:color="auto"/>
        <w:right w:val="none" w:sz="0" w:space="0" w:color="auto"/>
      </w:divBdr>
    </w:div>
    <w:div w:id="2033720201">
      <w:bodyDiv w:val="1"/>
      <w:marLeft w:val="0"/>
      <w:marRight w:val="0"/>
      <w:marTop w:val="0"/>
      <w:marBottom w:val="0"/>
      <w:divBdr>
        <w:top w:val="none" w:sz="0" w:space="0" w:color="auto"/>
        <w:left w:val="none" w:sz="0" w:space="0" w:color="auto"/>
        <w:bottom w:val="none" w:sz="0" w:space="0" w:color="auto"/>
        <w:right w:val="none" w:sz="0" w:space="0" w:color="auto"/>
      </w:divBdr>
    </w:div>
    <w:div w:id="2039037074">
      <w:bodyDiv w:val="1"/>
      <w:marLeft w:val="0"/>
      <w:marRight w:val="0"/>
      <w:marTop w:val="0"/>
      <w:marBottom w:val="0"/>
      <w:divBdr>
        <w:top w:val="none" w:sz="0" w:space="0" w:color="auto"/>
        <w:left w:val="none" w:sz="0" w:space="0" w:color="auto"/>
        <w:bottom w:val="none" w:sz="0" w:space="0" w:color="auto"/>
        <w:right w:val="none" w:sz="0" w:space="0" w:color="auto"/>
      </w:divBdr>
      <w:divsChild>
        <w:div w:id="87895635">
          <w:marLeft w:val="0"/>
          <w:marRight w:val="0"/>
          <w:marTop w:val="0"/>
          <w:marBottom w:val="0"/>
          <w:divBdr>
            <w:top w:val="none" w:sz="0" w:space="0" w:color="auto"/>
            <w:left w:val="none" w:sz="0" w:space="0" w:color="auto"/>
            <w:bottom w:val="none" w:sz="0" w:space="0" w:color="auto"/>
            <w:right w:val="none" w:sz="0" w:space="0" w:color="auto"/>
          </w:divBdr>
          <w:divsChild>
            <w:div w:id="876090483">
              <w:marLeft w:val="45"/>
              <w:marRight w:val="0"/>
              <w:marTop w:val="0"/>
              <w:marBottom w:val="15"/>
              <w:divBdr>
                <w:top w:val="none" w:sz="0" w:space="0" w:color="auto"/>
                <w:left w:val="none" w:sz="0" w:space="0" w:color="auto"/>
                <w:bottom w:val="none" w:sz="0" w:space="0" w:color="auto"/>
                <w:right w:val="none" w:sz="0" w:space="0" w:color="auto"/>
              </w:divBdr>
            </w:div>
          </w:divsChild>
        </w:div>
        <w:div w:id="637958059">
          <w:marLeft w:val="0"/>
          <w:marRight w:val="30"/>
          <w:marTop w:val="0"/>
          <w:marBottom w:val="0"/>
          <w:divBdr>
            <w:top w:val="none" w:sz="0" w:space="0" w:color="auto"/>
            <w:left w:val="none" w:sz="0" w:space="0" w:color="auto"/>
            <w:bottom w:val="none" w:sz="0" w:space="0" w:color="auto"/>
            <w:right w:val="none" w:sz="0" w:space="0" w:color="auto"/>
          </w:divBdr>
          <w:divsChild>
            <w:div w:id="1562059352">
              <w:marLeft w:val="0"/>
              <w:marRight w:val="0"/>
              <w:marTop w:val="0"/>
              <w:marBottom w:val="0"/>
              <w:divBdr>
                <w:top w:val="none" w:sz="0" w:space="0" w:color="auto"/>
                <w:left w:val="none" w:sz="0" w:space="0" w:color="auto"/>
                <w:bottom w:val="none" w:sz="0" w:space="0" w:color="auto"/>
                <w:right w:val="none" w:sz="0" w:space="0" w:color="auto"/>
              </w:divBdr>
              <w:divsChild>
                <w:div w:id="704141410">
                  <w:marLeft w:val="0"/>
                  <w:marRight w:val="0"/>
                  <w:marTop w:val="0"/>
                  <w:marBottom w:val="0"/>
                  <w:divBdr>
                    <w:top w:val="none" w:sz="0" w:space="0" w:color="auto"/>
                    <w:left w:val="none" w:sz="0" w:space="0" w:color="auto"/>
                    <w:bottom w:val="none" w:sz="0" w:space="0" w:color="auto"/>
                    <w:right w:val="none" w:sz="0" w:space="0" w:color="auto"/>
                  </w:divBdr>
                  <w:divsChild>
                    <w:div w:id="9066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43323">
      <w:bodyDiv w:val="1"/>
      <w:marLeft w:val="0"/>
      <w:marRight w:val="0"/>
      <w:marTop w:val="0"/>
      <w:marBottom w:val="0"/>
      <w:divBdr>
        <w:top w:val="none" w:sz="0" w:space="0" w:color="auto"/>
        <w:left w:val="none" w:sz="0" w:space="0" w:color="auto"/>
        <w:bottom w:val="none" w:sz="0" w:space="0" w:color="auto"/>
        <w:right w:val="none" w:sz="0" w:space="0" w:color="auto"/>
      </w:divBdr>
    </w:div>
    <w:div w:id="2081976092">
      <w:bodyDiv w:val="1"/>
      <w:marLeft w:val="0"/>
      <w:marRight w:val="0"/>
      <w:marTop w:val="0"/>
      <w:marBottom w:val="0"/>
      <w:divBdr>
        <w:top w:val="none" w:sz="0" w:space="0" w:color="auto"/>
        <w:left w:val="none" w:sz="0" w:space="0" w:color="auto"/>
        <w:bottom w:val="none" w:sz="0" w:space="0" w:color="auto"/>
        <w:right w:val="none" w:sz="0" w:space="0" w:color="auto"/>
      </w:divBdr>
    </w:div>
    <w:div w:id="2096199059">
      <w:bodyDiv w:val="1"/>
      <w:marLeft w:val="0"/>
      <w:marRight w:val="0"/>
      <w:marTop w:val="0"/>
      <w:marBottom w:val="0"/>
      <w:divBdr>
        <w:top w:val="none" w:sz="0" w:space="0" w:color="auto"/>
        <w:left w:val="none" w:sz="0" w:space="0" w:color="auto"/>
        <w:bottom w:val="none" w:sz="0" w:space="0" w:color="auto"/>
        <w:right w:val="none" w:sz="0" w:space="0" w:color="auto"/>
      </w:divBdr>
    </w:div>
    <w:div w:id="2116558542">
      <w:bodyDiv w:val="1"/>
      <w:marLeft w:val="0"/>
      <w:marRight w:val="0"/>
      <w:marTop w:val="0"/>
      <w:marBottom w:val="0"/>
      <w:divBdr>
        <w:top w:val="none" w:sz="0" w:space="0" w:color="auto"/>
        <w:left w:val="none" w:sz="0" w:space="0" w:color="auto"/>
        <w:bottom w:val="none" w:sz="0" w:space="0" w:color="auto"/>
        <w:right w:val="none" w:sz="0" w:space="0" w:color="auto"/>
      </w:divBdr>
    </w:div>
    <w:div w:id="2125881841">
      <w:bodyDiv w:val="1"/>
      <w:marLeft w:val="0"/>
      <w:marRight w:val="0"/>
      <w:marTop w:val="0"/>
      <w:marBottom w:val="0"/>
      <w:divBdr>
        <w:top w:val="none" w:sz="0" w:space="0" w:color="auto"/>
        <w:left w:val="none" w:sz="0" w:space="0" w:color="auto"/>
        <w:bottom w:val="none" w:sz="0" w:space="0" w:color="auto"/>
        <w:right w:val="none" w:sz="0" w:space="0" w:color="auto"/>
      </w:divBdr>
      <w:divsChild>
        <w:div w:id="586504300">
          <w:marLeft w:val="0"/>
          <w:marRight w:val="0"/>
          <w:marTop w:val="0"/>
          <w:marBottom w:val="0"/>
          <w:divBdr>
            <w:top w:val="none" w:sz="0" w:space="0" w:color="auto"/>
            <w:left w:val="none" w:sz="0" w:space="0" w:color="auto"/>
            <w:bottom w:val="none" w:sz="0" w:space="0" w:color="auto"/>
            <w:right w:val="none" w:sz="0" w:space="0" w:color="auto"/>
          </w:divBdr>
        </w:div>
        <w:div w:id="876241516">
          <w:marLeft w:val="0"/>
          <w:marRight w:val="0"/>
          <w:marTop w:val="0"/>
          <w:marBottom w:val="0"/>
          <w:divBdr>
            <w:top w:val="none" w:sz="0" w:space="0" w:color="auto"/>
            <w:left w:val="none" w:sz="0" w:space="0" w:color="auto"/>
            <w:bottom w:val="none" w:sz="0" w:space="0" w:color="auto"/>
            <w:right w:val="none" w:sz="0" w:space="0" w:color="auto"/>
          </w:divBdr>
        </w:div>
        <w:div w:id="1296638424">
          <w:marLeft w:val="0"/>
          <w:marRight w:val="0"/>
          <w:marTop w:val="0"/>
          <w:marBottom w:val="0"/>
          <w:divBdr>
            <w:top w:val="none" w:sz="0" w:space="0" w:color="auto"/>
            <w:left w:val="none" w:sz="0" w:space="0" w:color="auto"/>
            <w:bottom w:val="none" w:sz="0" w:space="0" w:color="auto"/>
            <w:right w:val="none" w:sz="0" w:space="0" w:color="auto"/>
          </w:divBdr>
        </w:div>
        <w:div w:id="1310746299">
          <w:marLeft w:val="0"/>
          <w:marRight w:val="0"/>
          <w:marTop w:val="0"/>
          <w:marBottom w:val="0"/>
          <w:divBdr>
            <w:top w:val="none" w:sz="0" w:space="0" w:color="auto"/>
            <w:left w:val="none" w:sz="0" w:space="0" w:color="auto"/>
            <w:bottom w:val="none" w:sz="0" w:space="0" w:color="auto"/>
            <w:right w:val="none" w:sz="0" w:space="0" w:color="auto"/>
          </w:divBdr>
        </w:div>
        <w:div w:id="1999992375">
          <w:marLeft w:val="0"/>
          <w:marRight w:val="0"/>
          <w:marTop w:val="0"/>
          <w:marBottom w:val="0"/>
          <w:divBdr>
            <w:top w:val="none" w:sz="0" w:space="0" w:color="auto"/>
            <w:left w:val="none" w:sz="0" w:space="0" w:color="auto"/>
            <w:bottom w:val="none" w:sz="0" w:space="0" w:color="auto"/>
            <w:right w:val="none" w:sz="0" w:space="0" w:color="auto"/>
          </w:divBdr>
        </w:div>
      </w:divsChild>
    </w:div>
    <w:div w:id="2132045294">
      <w:bodyDiv w:val="1"/>
      <w:marLeft w:val="0"/>
      <w:marRight w:val="0"/>
      <w:marTop w:val="0"/>
      <w:marBottom w:val="0"/>
      <w:divBdr>
        <w:top w:val="none" w:sz="0" w:space="0" w:color="auto"/>
        <w:left w:val="none" w:sz="0" w:space="0" w:color="auto"/>
        <w:bottom w:val="none" w:sz="0" w:space="0" w:color="auto"/>
        <w:right w:val="none" w:sz="0" w:space="0" w:color="auto"/>
      </w:divBdr>
      <w:divsChild>
        <w:div w:id="614751964">
          <w:marLeft w:val="547"/>
          <w:marRight w:val="0"/>
          <w:marTop w:val="0"/>
          <w:marBottom w:val="0"/>
          <w:divBdr>
            <w:top w:val="none" w:sz="0" w:space="0" w:color="auto"/>
            <w:left w:val="none" w:sz="0" w:space="0" w:color="auto"/>
            <w:bottom w:val="none" w:sz="0" w:space="0" w:color="auto"/>
            <w:right w:val="none" w:sz="0" w:space="0" w:color="auto"/>
          </w:divBdr>
        </w:div>
        <w:div w:id="912158701">
          <w:marLeft w:val="547"/>
          <w:marRight w:val="0"/>
          <w:marTop w:val="0"/>
          <w:marBottom w:val="0"/>
          <w:divBdr>
            <w:top w:val="none" w:sz="0" w:space="0" w:color="auto"/>
            <w:left w:val="none" w:sz="0" w:space="0" w:color="auto"/>
            <w:bottom w:val="none" w:sz="0" w:space="0" w:color="auto"/>
            <w:right w:val="none" w:sz="0" w:space="0" w:color="auto"/>
          </w:divBdr>
        </w:div>
      </w:divsChild>
    </w:div>
    <w:div w:id="213359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dese.gov.au/quality-initial-teacher-education-review/resources/quality-initial-teacher-education-review-2021-discussion-paper" TargetMode="Externa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hyperlink" Target="https://www.aitsl.edu.au/teachingfutures" TargetMode="External"/><Relationship Id="rId68" Type="http://schemas.openxmlformats.org/officeDocument/2006/relationships/hyperlink" Target="https://www.dese.gov.au/teaching-and-school-leadership/resources/teach-australia-program-evaluation-report" TargetMode="External"/><Relationship Id="rId84" Type="http://schemas.openxmlformats.org/officeDocument/2006/relationships/hyperlink" Target="https://doi.org/10.1177/1038416219886116" TargetMode="External"/><Relationship Id="rId89" Type="http://schemas.openxmlformats.org/officeDocument/2006/relationships/hyperlink" Target="https://www.ncsehe.edu.au/publications/facilitating-student-equity-in-australian-higher-education/" TargetMode="External"/><Relationship Id="rId16"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hyperlink" Target="https://www.monash.edu/indigenous-australians/home" TargetMode="External"/><Relationship Id="rId53" Type="http://schemas.openxmlformats.org/officeDocument/2006/relationships/hyperlink" Target="https://www.aitsl.edu.au/docs/default-source/certification/certification-snapshot-2021.pdf?sfvrsn=1296da3c_6" TargetMode="External"/><Relationship Id="rId58" Type="http://schemas.openxmlformats.org/officeDocument/2006/relationships/hyperlink" Target="https://www.dese.gov.au/teaching-and-school-leadership/resources/quality-initial-teacher-education" TargetMode="External"/><Relationship Id="rId74" Type="http://schemas.openxmlformats.org/officeDocument/2006/relationships/hyperlink" Target="https://grattan.edu.au/report/top-teachers/" TargetMode="External"/><Relationship Id="rId79" Type="http://schemas.openxmlformats.org/officeDocument/2006/relationships/hyperlink" Target="https://research.monash.edu/en/publications/perceptions-of-teachers-and-teaching-in-australia" TargetMode="External"/><Relationship Id="rId102" Type="http://schemas.openxmlformats.org/officeDocument/2006/relationships/hyperlink" Target="https://www.iier.org.au/iier25/shine.html" TargetMode="External"/><Relationship Id="rId5" Type="http://schemas.openxmlformats.org/officeDocument/2006/relationships/numbering" Target="numbering.xml"/><Relationship Id="rId90" Type="http://schemas.openxmlformats.org/officeDocument/2006/relationships/hyperlink" Target="https://doi.org/10.1787/1d0bc92a-en" TargetMode="External"/><Relationship Id="rId95" Type="http://schemas.openxmlformats.org/officeDocument/2006/relationships/hyperlink" Target="https://www.pc.gov.au/inquiries/completed/education-evidence/report" TargetMode="External"/><Relationship Id="rId22" Type="http://schemas.openxmlformats.org/officeDocument/2006/relationships/image" Target="media/image4.png"/><Relationship Id="rId27" Type="http://schemas.openxmlformats.org/officeDocument/2006/relationships/hyperlink" Target="http://www.aitsl.edu.au" TargetMode="External"/><Relationship Id="rId43" Type="http://schemas.openxmlformats.org/officeDocument/2006/relationships/hyperlink" Target="https://fogartyedvance.org.au/wp-content/uploads/sites/2/2020/04/FOG6063-Report-Card-2020-F-Spreads.pdf" TargetMode="External"/><Relationship Id="rId48" Type="http://schemas.openxmlformats.org/officeDocument/2006/relationships/hyperlink" Target="https://www.theforage.com/virtual-internships/prototype/S2fumwGye5YrE5WsM/Teach-for-Australia-Virtual-Experience-Program" TargetMode="External"/><Relationship Id="rId64" Type="http://schemas.openxmlformats.org/officeDocument/2006/relationships/hyperlink" Target="https://www.pc.gov.au/inquiries/completed/productivity-review/report" TargetMode="External"/><Relationship Id="rId69" Type="http://schemas.openxmlformats.org/officeDocument/2006/relationships/hyperlink" Target="https://doi.org/10.1080/02619768.2017.1315399" TargetMode="External"/><Relationship Id="rId80" Type="http://schemas.openxmlformats.org/officeDocument/2006/relationships/hyperlink" Target="https://www.mckinsey.com/featured-insights/diversity-and-inclusion/diversity-wins-how-inclusion-matters" TargetMode="External"/><Relationship Id="rId85" Type="http://schemas.openxmlformats.org/officeDocument/2006/relationships/hyperlink" Target="https://research.monash.edu/en/publications/studying-the-effectiveness-of-teacher-education-final-report"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hyperlink" Target="https://yourcareer.gov.au/get-career-resources/preparing-secondary-school-students-for-work/aboriginal-and-torres-strait-islander-post-school-transition-program/case-studies/remote-area-teacher-education-program-ratep-william-ross-state-high-school/" TargetMode="External"/><Relationship Id="rId59" Type="http://schemas.openxmlformats.org/officeDocument/2006/relationships/hyperlink" Target="https://www.aitsl.edu.au/docs/default-source/national-policy-framework/graduate-to-proficient.pdf?sfvrsn=e27fff3c_6" TargetMode="External"/><Relationship Id="rId103" Type="http://schemas.openxmlformats.org/officeDocument/2006/relationships/hyperlink" Target="https://www.dese.gov.au/teaching-and-school-leadership/resources/action-now-classroom-ready-teachers-report-0" TargetMode="External"/><Relationship Id="rId20" Type="http://schemas.openxmlformats.org/officeDocument/2006/relationships/footer" Target="footer4.xml"/><Relationship Id="rId41" Type="http://schemas.openxmlformats.org/officeDocument/2006/relationships/hyperlink" Target="http://www.gov.uk/government/publications/initial-teacher-training-itt-core-content-framework" TargetMode="External"/><Relationship Id="rId54" Type="http://schemas.openxmlformats.org/officeDocument/2006/relationships/hyperlink" Target="https://assets.publishing.service.gov.uk/government/uploads/system/uploads/attachment_data/file/536891/Mentor_standards_report_Final.pdf" TargetMode="External"/><Relationship Id="rId62" Type="http://schemas.openxmlformats.org/officeDocument/2006/relationships/hyperlink" Target="https://www.aitsl.edu.au/research/spotlight/the-impact-of-aboriginal-and-torres-strait-islander-educators" TargetMode="External"/><Relationship Id="rId70" Type="http://schemas.openxmlformats.org/officeDocument/2006/relationships/hyperlink" Target="https://doi.org/10.1177/0022487120909390" TargetMode="External"/><Relationship Id="rId75" Type="http://schemas.openxmlformats.org/officeDocument/2006/relationships/hyperlink" Target="https://citeseerx.ist.psu.edu/viewdoc/download?doi=10.1.1.719.3418&amp;rep=rep1&amp;type=pdf" TargetMode="External"/><Relationship Id="rId83" Type="http://schemas.openxmlformats.org/officeDocument/2006/relationships/hyperlink" Target="https://www.iier.org.au/iier27/kearney.pdf" TargetMode="External"/><Relationship Id="rId88" Type="http://schemas.openxmlformats.org/officeDocument/2006/relationships/hyperlink" Target="https://www.nichd.nih.gov/sites/default/files/publications/pubs/nrp/Documents/report.pdf" TargetMode="External"/><Relationship Id="rId91" Type="http://schemas.openxmlformats.org/officeDocument/2006/relationships/hyperlink" Target="https://doi.org/10.1787/19cf08df-en" TargetMode="External"/><Relationship Id="rId96" Type="http://schemas.openxmlformats.org/officeDocument/2006/relationships/hyperlink" Target="https://cdn.qct.edu.au/pdf/2016TeacherProfileRepor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teachingawards.com.au/" TargetMode="External"/><Relationship Id="rId36" Type="http://schemas.openxmlformats.org/officeDocument/2006/relationships/hyperlink" Target="https://study.curtin.edu.au/study-areas/education/on-country-teacher-education-initiative/" TargetMode="External"/><Relationship Id="rId49" Type="http://schemas.openxmlformats.org/officeDocument/2006/relationships/hyperlink" Target="https://teach.qld.gov.au/scholarships-and-grants/beyond-the-range-professional-experience-grant" TargetMode="External"/><Relationship Id="rId57" Type="http://schemas.openxmlformats.org/officeDocument/2006/relationships/hyperlink" Target="https://www.abs.gov.au/statistics/people/education/schools/latest-release"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4.png"/><Relationship Id="rId52" Type="http://schemas.openxmlformats.org/officeDocument/2006/relationships/hyperlink" Target="https://www.gov.uk/government/news/new-institute-of-teaching-set-to-be-established" TargetMode="External"/><Relationship Id="rId60" Type="http://schemas.openxmlformats.org/officeDocument/2006/relationships/hyperlink" Target="https://www.aitsl.edu.au/docs/default-source/research-evidence/spotlight/spotlight---attrition.pdf?sfvrsn=40d1ed3c_0" TargetMode="External"/><Relationship Id="rId65" Type="http://schemas.openxmlformats.org/officeDocument/2006/relationships/hyperlink" Target="http://dx.doi.org/10.13140/RG.2.2.29582.72001" TargetMode="External"/><Relationship Id="rId73" Type="http://schemas.openxmlformats.org/officeDocument/2006/relationships/hyperlink" Target="https://grattan.edu.au/report/raising-the-status-of-teaching/" TargetMode="External"/><Relationship Id="rId78" Type="http://schemas.openxmlformats.org/officeDocument/2006/relationships/hyperlink" Target="https://www.cambridge.org/core/journals/australian-journal-of-indigenous-education/article/evaluation-of-the-pilot-phase-of-a-student-support-strategy-to-improve-retention-and-completion-rates-of-aboriginal-and-torres-strait-islander-students/72A895961E861074AE5B2487985C42D1" TargetMode="External"/><Relationship Id="rId81" Type="http://schemas.openxmlformats.org/officeDocument/2006/relationships/hyperlink" Target="https://doi.org/10.3102/0034654311403323" TargetMode="External"/><Relationship Id="rId86" Type="http://schemas.openxmlformats.org/officeDocument/2006/relationships/hyperlink" Target="https://doi.org/10.1080/19404158.2020.1832128" TargetMode="External"/><Relationship Id="rId94" Type="http://schemas.openxmlformats.org/officeDocument/2006/relationships/hyperlink" Target="https://doi.org/10.1080/00313831.2018.1554601" TargetMode="External"/><Relationship Id="rId99" Type="http://schemas.openxmlformats.org/officeDocument/2006/relationships/hyperlink" Target="https://dera.ioe.ac.uk/5551/2/report.pdf" TargetMode="External"/><Relationship Id="rId101" Type="http://schemas.openxmlformats.org/officeDocument/2006/relationships/hyperlink" Target="https://doi.org/10.1787/9789264300002-3-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ustomXml" Target="ink/ink1.xml"/><Relationship Id="rId39" Type="http://schemas.openxmlformats.org/officeDocument/2006/relationships/hyperlink" Target="https://www.canberra.edu.au/future-students/get-into-uc/pathways-programs/aboriginal-and-torres-strait-islander-foundation-program" TargetMode="External"/><Relationship Id="rId34" Type="http://schemas.openxmlformats.org/officeDocument/2006/relationships/hyperlink" Target="https://education.qld.gov.au/about-us/budgets-funding-grants/grants/state-schools/previous-funded-programs/future-teachers" TargetMode="External"/><Relationship Id="rId50" Type="http://schemas.openxmlformats.org/officeDocument/2006/relationships/hyperlink" Target="https://www.cns.catholic.edu.au/employment/scholarships-and-graduate-support/" TargetMode="External"/><Relationship Id="rId55" Type="http://schemas.openxmlformats.org/officeDocument/2006/relationships/hyperlink" Target="https://www.teachusconsent.com/" TargetMode="External"/><Relationship Id="rId76" Type="http://schemas.openxmlformats.org/officeDocument/2006/relationships/hyperlink" Target="https://doi.org/10.1080/1359866X.2019.1651822" TargetMode="External"/><Relationship Id="rId97" Type="http://schemas.openxmlformats.org/officeDocument/2006/relationships/hyperlink" Target="https://cdn.qct.edu.au/pdf/QCT_Qld_Graduate_Attrition_Report_2019.pdf?_ga=2.52253033.1736576470.1629679814-918164078.1628147426" TargetMode="External"/><Relationship Id="rId104" Type="http://schemas.openxmlformats.org/officeDocument/2006/relationships/hyperlink" Target="http://dx.doi.org/10.14221/ajte.2020v45n2.5" TargetMode="External"/><Relationship Id="rId7" Type="http://schemas.openxmlformats.org/officeDocument/2006/relationships/settings" Target="settings.xml"/><Relationship Id="rId71" Type="http://schemas.openxmlformats.org/officeDocument/2006/relationships/hyperlink" Target="https://www.ncsehe.edu.au/publications/choosing-university-the-impact-of-schools-and-schooling/" TargetMode="External"/><Relationship Id="rId92" Type="http://schemas.openxmlformats.org/officeDocument/2006/relationships/hyperlink" Target="https://www.oecd-ilibrary.org/education/working-and-learning-together_8ccea428-en"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hyperlink" Target="https://www.gov.uk/government/publications/initial-teacher-training-itt-core-content-framework" TargetMode="External"/><Relationship Id="rId45" Type="http://schemas.openxmlformats.org/officeDocument/2006/relationships/image" Target="media/image15.png"/><Relationship Id="rId66" Type="http://schemas.openxmlformats.org/officeDocument/2006/relationships/hyperlink" Target="https://www.caa.edu.au/client_images/2245321.pdf" TargetMode="External"/><Relationship Id="rId87" Type="http://schemas.openxmlformats.org/officeDocument/2006/relationships/hyperlink" Target="http://dx.doi.org/10.1007/s11881-003-0003-7" TargetMode="External"/><Relationship Id="rId61" Type="http://schemas.openxmlformats.org/officeDocument/2006/relationships/hyperlink" Target="https://www.aitsl.edu.au/docs/default-source/national-policy-framework/australian-professional-standards-for-teachers.pdf" TargetMode="External"/><Relationship Id="rId82" Type="http://schemas.openxmlformats.org/officeDocument/2006/relationships/hyperlink" Target="https://research.acer.edu.au/cgi/viewcontent.cgi?article=1014&amp;context=teacher_education"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hyperlink" Target="https://education.nt.gov.au/careers-in-education/remote-aboriginal-teacher-education-rate-pilot-program" TargetMode="External"/><Relationship Id="rId56" Type="http://schemas.openxmlformats.org/officeDocument/2006/relationships/hyperlink" Target="https://www.aitsl.edu.au/docs/default-source/initial-teacher-education-resources/eag-operational-principles.pdf?sfvrsn=b90cfd3c_12" TargetMode="External"/><Relationship Id="rId77" Type="http://schemas.openxmlformats.org/officeDocument/2006/relationships/hyperlink" Target="http://research.acer.edu.au/research_conference_2003/4/" TargetMode="External"/><Relationship Id="rId100" Type="http://schemas.openxmlformats.org/officeDocument/2006/relationships/hyperlink" Target="https://research.acer.edu.au/tll_misc/5/" TargetMode="External"/><Relationship Id="rId105" Type="http://schemas.openxmlformats.org/officeDocument/2006/relationships/hyperlink" Target="https://doi.org/10.21153/jtlge2019vol10no1art791" TargetMode="External"/><Relationship Id="rId8" Type="http://schemas.openxmlformats.org/officeDocument/2006/relationships/webSettings" Target="webSettings.xml"/><Relationship Id="rId51" Type="http://schemas.openxmlformats.org/officeDocument/2006/relationships/hyperlink" Target="https://ministers.dese.gov.au/tehan/more-equitable-treatment-student-teachers" TargetMode="External"/><Relationship Id="rId72" Type="http://schemas.openxmlformats.org/officeDocument/2006/relationships/hyperlink" Target="https://grattan.edu.au/report/attracting-high-achievers-to-teaching/" TargetMode="External"/><Relationship Id="rId93" Type="http://schemas.openxmlformats.org/officeDocument/2006/relationships/hyperlink" Target="https://www.parliament.vic.gov.au/925-eejsc/inquiry-into-career-advice-activities-in-victorian-schools/3883-report" TargetMode="External"/><Relationship Id="rId98" Type="http://schemas.openxmlformats.org/officeDocument/2006/relationships/hyperlink" Target="https://doi.org/10.1177/0956797620968790" TargetMode="External"/><Relationship Id="rId3" Type="http://schemas.openxmlformats.org/officeDocument/2006/relationships/customXml" Target="../customXml/item3.xml"/><Relationship Id="rId25" Type="http://schemas.openxmlformats.org/officeDocument/2006/relationships/hyperlink" Target="http://www.dese.gov.au" TargetMode="External"/><Relationship Id="rId46" Type="http://schemas.openxmlformats.org/officeDocument/2006/relationships/image" Target="media/image16.png"/><Relationship Id="rId67" Type="http://schemas.openxmlformats.org/officeDocument/2006/relationships/hyperlink" Target="https://doi.org/10.1177/152910061877227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7T09:07:23.695"/>
    </inkml:context>
    <inkml:brush xml:id="br0">
      <inkml:brushProperty name="width" value="0.025" units="cm"/>
      <inkml:brushProperty name="height" value="0.025" units="cm"/>
      <inkml:brushProperty name="color" value="#004F8B"/>
    </inkml:brush>
  </inkml:definitions>
  <inkml:trace contextRef="#ctx0" brushRef="#br0">0 238 4480,'0'3'1678,"2"-5"-95,-2 2-1506,0-1 0,1 0 0,-1 0 0,1 1 0,-1-1 0,0 0 0,1 1 0,-1-1 0,1 0 0,0 1 0,-1-1 0,1 1 0,-1-1 0,1 1 0,0-1 0,0 1 0,-1 0 0,1-1 0,0 1 0,-1 0 0,1-1 0,0 1 0,1 0 0,-2 0-52,0 0 0,1 0-1,-1 0 1,0 1 0,1-1 0,-1 0-1,0 0 1,1 1 0,-1-1 0,0 0-1,0 0 1,1 1 0,-1-1 0,0 0-1,0 1 1,0-1 0,1 0 0,-1 1-1,0-1 1,0 0 0,0 1 0,0-1 0,0 0-1,0 1 1,0 0 0,2 14 362,-2-15-367,2 126 2267,-3-69-1534,1-4-233,-1 0-17,10 98-1,-4-136-450,-5-15-52,0 0 1,1 0-1,-1 0 0,0 0 1,0 1-1,0-1 1,0 0-1,0 0 1,1 0-1,-1 0 0,0 0 1,0 0-1,0 0 1,0 0-1,1 0 0,-1 0 1,0 1-1,0-1 1,0 0-1,1 0 0,-1 0 1,0 0-1,0 0 1,0 0-1,1 0 0,-1 0 1,0-1-1,0 1 1,0 0-1,0 0 0,1 0 1,-1 0-1,0 0 1,0 0-1,0 0 0,1 0 1,1-2-18,-1 0 0,1-1 0,-1 1 0,1 0 0,-1 0 0,1-1 0,-1 1 0,1-5 1,94-283-3526,-3 3 3249,-81 266 480,-7 17 12,-4 4-188,-1 1-1,1-1 1,-1 0-1,0 1 1,0-1 0,1 0-1,-1 1 1,0-1-1,0 1 1,1-1-1,-1 1 1,0-1-1,0 0 1,0 1 0,0-1-1,0 1 1,0-1-1,0 1 1,0 0-1,2 22 88,-2 1 0,-1-1-1,-4 24 1,2-7-19,-13 90-49,8-64-1925,-2 71 0,10-135 1751,2 24-1695,1-15 77,-3-11 1695,1 0-1,-1 0 1,0 0-1,0 0 1,0 0-1,0 1 1,1-1-1,-1 0 1,0 0-1,0 0 1,0 0-1,0 0 1,1 0-1,-1 0 1,0 0-1,0 1 1,0-1-1,1 0 1,-1 0-1,0 0 1,0 0-1,1 0 1,-1 0-1,0 0 1,0 0-1,0 0 1,1-1-1,-1 1 1,0 0 0,0 0-1,0 0 1,1 0-1,-1 0 1,0 0-1,0 0 1,0 0-1,1-1 1,0 0 80,0 0 0,0 0 0,0 0 0,0-1 0,0 1 0,0-1 0,-1 1 0,1 0 0,0-1 1,0-2-1,37-104 1323,8-24 1157,-40 123-1921,-6 9-556,1 0 0,-1 0 1,0 0-1,0 0 0,1 0 0,-1 0 0,0 0 1,0 0-1,0 0 0,0 0 0,1 0 1,-1 1-1,0-1 0,0 0 0,0 0 0,1 0 1,-1 0-1,0 0 0,0 0 0,0 1 0,0-1 1,0 0-1,1 0 0,-1 0 0,0 0 1,0 1-1,0-1 0,0 0 0,0 0 0,0 0 1,0 1-1,5 23 514,-3 135 28,-3-84-545,1-29-10,-1 3 113,6 53-1,0-75 125,-5-27-223,0 0-1,0 1 0,0-1 0,0 0 0,0 0 1,1 1-1,-1-1 0,0 0 0,0 1 0,0-1 0,0 0 1,0 0-1,1 1 0,-1-1 0,0 0 0,0 0 1,1 1-1,-1-1 0,0 0 0,0 0 0,1 0 0,-1 1 1,0-1-1,0 0 0,1 0 0,-1 0 0,0 0 1,1 0-1,0 1 0,6-8 225,6-19-194,-11 22-74,2-7 0,-3 7 23,1 1-1,-1-1 0,1 1 0,0-1 0,-1 1 0,2 0 0,-1 0 0,0 0 0,0 0 0,1 0 1,5-4-1,-8 7 2,1-1 0,-1 1 0,1 0 0,-1 0 0,1 0 0,-1 0 0,0 0 0,1 0 0,-1 0 0,1 0 0,-1 0 0,1 0 0,-1 1 0,1-1 0,-1 0 0,1 0 0,-1 0 0,0 1 0,1-1 0,-1 0 0,1 0 0,-1 1 0,0-1 0,1 0 0,-1 1 0,0-1 0,1 0 0,-1 1 0,0-1 0,0 0 0,1 2 0,8 14-93,-7-13 90,4 12 49,0-1 0,-1 2-1,-1-1 1,3 19 0,-7-29 146,-2-11-16,-4-12-7,-1-28-162,-55-262 152,-4 17 3252,64 279-3267,1 0 0,0 0 1,0 0-1,2 0 1,-1 0-1,5-22 1,-3 28-141,-1-1 0,1 1 0,0 0 0,1 0 1,-1 0-1,1 0 0,0 1 0,1-1 0,-1 1 1,1 0-1,0 0 0,0 0 0,1 0 0,5-4 1,-8 7-6,0 1 0,-1 0 0,1-1 0,0 1 0,0 0 0,-1 0 1,1 1-1,0-1 0,0 0 0,0 0 0,0 1 0,0-1 1,0 1-1,0 0 0,0 0 0,0 0 0,0 0 0,1 0 0,-1 0 1,0 0-1,0 1 0,0-1 0,0 1 0,0-1 0,0 1 1,0 0-1,-1 0 0,1 0 0,0 0 0,0 0 0,-1 0 0,1 0 1,0 1-1,-1-1 0,1 1 0,1 1 0,2 3-5,-1 1 0,0-1 0,0 1 0,0 0 0,0 0 0,-1 0 0,0 0 0,2 11 0,0 1-80,-1 0 0,-1 0 1,0 1-1,-1-1 0,-2 0 1,0 1-1,-5 38 0,4-53-257,0-1 1,-1 1-1,1 0 0,-1-1 0,0 1 1,-1-1-1,1 0 0,-1 1 0,0-1 1,0 0-1,-6 6 0,-4 2-2555</inkml:trace>
  <inkml:trace contextRef="#ctx0" brushRef="#br0" timeOffset="1">748 394 5376,'0'-4'377,"-1"-1"0,0 1 0,-1-1 0,1 1 0,-1 0 0,0 0 0,-2-5 0,3 8-323,0-1 1,0 1 0,0 0-1,0 0 1,0 0-1,0 0 1,0 0-1,-1 0 1,1 0-1,0 1 1,0-1-1,-1 0 1,1 1-1,-1-1 1,1 1-1,0-1 1,-1 1-1,1 0 1,-1-1-1,1 1 1,-1 0-1,1 0 1,-1 0-1,1 0 1,-1 1-1,1-1 1,-1 0 0,-1 1-1,-2 1-39,0 0 1,0 0-1,0 1 0,1-1 1,-1 1-1,1 0 1,-1 0-1,1 1 0,0-1 1,0 1-1,1 0 0,-7 8 1,3-2 40,0 0 0,0 1 0,1 0 0,-7 17 0,6-10 130,1 0 0,1 1 0,1-1-1,-2 24 1,4-30-131,2-1-1,0 0 0,0 1 1,1-1-1,0 0 1,1 1-1,0-1 0,6 16 1,-7-24-49,0-1 0,0 1 0,1 0 0,-1-1 0,1 1 0,0-1 0,-1 1 0,4 2 0,-4-4-4,0-1 1,0 1 0,0 0-1,0-1 1,-1 1-1,1 0 1,1-1 0,-1 1-1,0-1 1,0 0 0,0 1-1,0-1 1,0 0 0,0 0-1,0 1 1,0-1 0,1 0-1,-1 0 1,0 0-1,0 0 1,0-1 0,0 1-1,0 0 1,0 0 0,2-1-1,2-2-56,0 0 1,0 0-1,0 0 0,0-1 0,-1 0 0,0 1 0,1-2 0,-2 1 0,1 0 0,6-10 1,0-2-430,16-34 1,-11 18-110,14-48 0,-25 63 621,1-1 0,-2 0-1,0 0 1,0-28 0,-11 90 1368,7-9-1054,1 1-1,2 0 0,1-1 0,2 1 0,10 35 1,-14-66-345,0-1 1,0 0 0,1 1-1,-1-1 1,1 0 0,0 0-1,5 7 1,-7-10-5,0-1 1,1 0 0,-1 0-1,0 1 1,0-1-1,1 0 1,-1 0-1,0 1 1,0-1-1,1 0 1,-1 0 0,0 0-1,1 0 1,-1 1-1,0-1 1,1 0-1,-1 0 1,0 0-1,1 0 1,-1 0-1,1 0 1,-1 0 0,0 0-1,1 0 1,-1 0-1,0 0 1,1 0-1,-1 0 1,1-1-1,9-8-227,3-16-274,-13 24 478,31-91-1374,-24 64 1576,2 1-1,17-37 0,-16 51 329,-10 13-467,1 0 1,-1-1 0,0 1 0,1 0-1,-1 0 1,0-1 0,1 1 0,-1 0-1,1 0 1,-1 0 0,0 0 0,1 0-1,-1 0 1,0 0 0,1 0 0,-1 0-1,1 0 1,-1 0 0,0 0 0,1 0-1,-1 0 1,1 0 0,0 1 29,1 0 0,-1 0 0,0 0 0,0 0 0,0 0 0,0 0 1,0 0-1,0 1 0,0-1 0,0 0 0,-1 1 0,1-1 0,0 1 0,-1-1 0,1 0 0,-1 3 1,24 80 874,-1 0-300,-21-80-629,-1 0 0,1 1 0,0-1 0,1 0 0,-1-1 0,4 6 1,-5-8-22,-1-1 1,1 1 0,-1 0 0,1-1-1,-1 1 1,1-1 0,0 1 0,-1-1 0,1 1-1,-1-1 1,1 0 0,0 1 0,-1-1 0,1 0-1,0 0 1,0 1 0,-1-1 0,1 0-1,0 0 1,0 0 0,-1 0 0,1 0 0,0 0-1,0 0 1,-1 0 0,1 0 0,0 0 0,0 0-1,-1 0 1,1-1 0,0 1 0,0 0-1,-1-1 1,1 1 0,0 0 0,-1-1 0,1 1-1,-1-1 1,1 1 0,0-1 0,-1 1 0,1-1-1,-1 1 1,1-2 0,5-6-339,0-1 1,0-1-1,8-17 1,0-1-375,-3 6 299,-2 4 260,13-17 1,-20 32 184,1-1 1,-1 0 0,1 1 0,0 0-1,1 0 1,-1 0 0,0 0-1,1 0 1,0 1 0,5-4 0,-7 5 16,1 1 0,-1-1 0,0 1 0,1-1 0,-1 1 0,1 0 0,-1 0 1,0 0-1,1 0 0,-1 0 0,0 0 0,1 1 0,-1-1 0,0 1 0,1 0 0,-1 0 1,0 0-1,3 1 0,5 4 300,0 0 0,15 13 0,0-1 14,-22-16-332,1 1 0,0-1 0,0 0 0,0 0 0,0-1 0,1 1-1,4 0 1,-8-2-15,1 0 0,0 0-1,0 0 1,0 0-1,-1 0 1,1 0 0,0 0-1,0-1 1,-1 1-1,1-1 1,0 1 0,-1-1-1,1 0 1,0 0 0,-1 0-1,1 1 1,-1-2-1,1 1 1,-1 0 0,3-2-1,2-5-85,0 1 1,0-1-1,-1 0 0,0 0 0,0-1 1,-1 1-1,0-1 0,5-15 0,-4 5-88,0 0 1,-1-1-1,1-24 0,-4 27 201,0 0 0,-1 0 0,-1 0 0,-1 0 0,-1 0 0,-4-17 0,6 32 43,1-1 0,-1 1 1,0 0-1,0-1 1,0 1-1,0 0 1,0 0-1,0 0 0,-1 0 1,1 0-1,-1 0 1,0 1-1,-2-3 1,4 3-49,-1 1 1,0 0 0,1 0 0,-1-1 0,1 1 0,-1 0 0,1 0 0,-1 0 0,0-1-1,1 1 1,-1 0 0,1 0 0,-1 0 0,0 0 0,1 0 0,-1 0 0,1 1-1,-1-1 1,0 0 0,0 0 0,0 1-1,0 0 0,-1-1-1,1 1 1,0 0 0,0 0 0,0 0-1,0 0 1,0 0 0,0 0 0,0 0-1,1 0 1,-2 2 0,-2 4 44,1 1 1,-1-1 0,2 1-1,-1 0 1,1 0-1,0 0 1,0 0-1,0 9 1,1 4 199,1-1-1,1 24 1,0-33-114,1 1-1,0-1 1,1 0 0,0 0 0,0-1 0,1 1-1,1 0 1,8 14 0,-10-20-161,0 0 0,0 0 0,1 0 0,0-1 0,0 1 0,0-1 0,1 0 0,0 0 0,-1-1 0,1 1 0,0-1 0,1 0 0,-1-1 0,1 1 0,-1-1 0,1 0-1,10 3 1,-6-4-85,0-1-1,0 0 1,0 0-1,0 0 1,0-2-1,0 1 1,0-1-1,-1 0 1,1-1-1,-1 0 1,0-1-1,13-6 0,-1-2-287,0 0 0,-1-1 0,-1-2-1,20-17 1,9-15-1748,79-102 0,-38 41-606,-31 43 219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55BE25A35CC045AEE410EB8CB5A175" ma:contentTypeVersion="11" ma:contentTypeDescription="Create a new document." ma:contentTypeScope="" ma:versionID="e67b26358224a09f88ae57d524ed6e25">
  <xsd:schema xmlns:xsd="http://www.w3.org/2001/XMLSchema" xmlns:xs="http://www.w3.org/2001/XMLSchema" xmlns:p="http://schemas.microsoft.com/office/2006/metadata/properties" xmlns:ns2="4a87f94c-9e5f-4846-9238-79920163aa93" xmlns:ns3="55711b8f-2530-4226-97de-50593674fae2" targetNamespace="http://schemas.microsoft.com/office/2006/metadata/properties" ma:root="true" ma:fieldsID="5b459a79e5241a235fdeca74132de1c2" ns2:_="" ns3:_="">
    <xsd:import namespace="4a87f94c-9e5f-4846-9238-79920163aa93"/>
    <xsd:import namespace="55711b8f-2530-4226-97de-50593674fa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7f94c-9e5f-4846-9238-79920163aa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711b8f-2530-4226-97de-50593674fa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92A67F-5081-4AC0-93F4-B88BC35DE261}">
  <ds:schemaRefs>
    <ds:schemaRef ds:uri="http://schemas.microsoft.com/office/infopath/2007/PartnerControls"/>
    <ds:schemaRef ds:uri="http://purl.org/dc/elements/1.1/"/>
    <ds:schemaRef ds:uri="http://schemas.microsoft.com/office/2006/metadata/properties"/>
    <ds:schemaRef ds:uri="55711b8f-2530-4226-97de-50593674fae2"/>
    <ds:schemaRef ds:uri="http://purl.org/dc/terms/"/>
    <ds:schemaRef ds:uri="http://purl.org/dc/dcmitype/"/>
    <ds:schemaRef ds:uri="http://schemas.microsoft.com/office/2006/documentManagement/types"/>
    <ds:schemaRef ds:uri="http://schemas.openxmlformats.org/package/2006/metadata/core-properties"/>
    <ds:schemaRef ds:uri="4a87f94c-9e5f-4846-9238-79920163aa93"/>
    <ds:schemaRef ds:uri="http://www.w3.org/XML/1998/namespace"/>
  </ds:schemaRefs>
</ds:datastoreItem>
</file>

<file path=customXml/itemProps2.xml><?xml version="1.0" encoding="utf-8"?>
<ds:datastoreItem xmlns:ds="http://schemas.openxmlformats.org/officeDocument/2006/customXml" ds:itemID="{DB3B53DD-EA04-DA42-B2C7-FE398A6B0EF3}">
  <ds:schemaRefs>
    <ds:schemaRef ds:uri="http://schemas.openxmlformats.org/officeDocument/2006/bibliography"/>
  </ds:schemaRefs>
</ds:datastoreItem>
</file>

<file path=customXml/itemProps3.xml><?xml version="1.0" encoding="utf-8"?>
<ds:datastoreItem xmlns:ds="http://schemas.openxmlformats.org/officeDocument/2006/customXml" ds:itemID="{6B1805EA-CE96-4ABA-9E88-8A9751770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7f94c-9e5f-4846-9238-79920163aa93"/>
    <ds:schemaRef ds:uri="55711b8f-2530-4226-97de-50593674f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677FC4-EEC7-4342-A6DC-357909BA8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105</Pages>
  <Words>43869</Words>
  <Characters>250059</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293342</CharactersWithSpaces>
  <SharedDoc>false</SharedDoc>
  <HLinks>
    <vt:vector size="546" baseType="variant">
      <vt:variant>
        <vt:i4>1179656</vt:i4>
      </vt:variant>
      <vt:variant>
        <vt:i4>346</vt:i4>
      </vt:variant>
      <vt:variant>
        <vt:i4>0</vt:i4>
      </vt:variant>
      <vt:variant>
        <vt:i4>5</vt:i4>
      </vt:variant>
      <vt:variant>
        <vt:lpwstr>https://doi.org/10.21153/jtlge2019vol10no1art791</vt:lpwstr>
      </vt:variant>
      <vt:variant>
        <vt:lpwstr/>
      </vt:variant>
      <vt:variant>
        <vt:i4>3145788</vt:i4>
      </vt:variant>
      <vt:variant>
        <vt:i4>343</vt:i4>
      </vt:variant>
      <vt:variant>
        <vt:i4>0</vt:i4>
      </vt:variant>
      <vt:variant>
        <vt:i4>5</vt:i4>
      </vt:variant>
      <vt:variant>
        <vt:lpwstr>http://dx.doi.org/10.14221/ajte.2020v45n2.5</vt:lpwstr>
      </vt:variant>
      <vt:variant>
        <vt:lpwstr/>
      </vt:variant>
      <vt:variant>
        <vt:i4>1507335</vt:i4>
      </vt:variant>
      <vt:variant>
        <vt:i4>340</vt:i4>
      </vt:variant>
      <vt:variant>
        <vt:i4>0</vt:i4>
      </vt:variant>
      <vt:variant>
        <vt:i4>5</vt:i4>
      </vt:variant>
      <vt:variant>
        <vt:lpwstr>https://www.dese.gov.au/teaching-and-school-leadership/resources/action-now-classroom-ready-teachers-report-0</vt:lpwstr>
      </vt:variant>
      <vt:variant>
        <vt:lpwstr/>
      </vt:variant>
      <vt:variant>
        <vt:i4>4259846</vt:i4>
      </vt:variant>
      <vt:variant>
        <vt:i4>337</vt:i4>
      </vt:variant>
      <vt:variant>
        <vt:i4>0</vt:i4>
      </vt:variant>
      <vt:variant>
        <vt:i4>5</vt:i4>
      </vt:variant>
      <vt:variant>
        <vt:lpwstr>https://www.iier.org.au/iier25/shine.html</vt:lpwstr>
      </vt:variant>
      <vt:variant>
        <vt:lpwstr/>
      </vt:variant>
      <vt:variant>
        <vt:i4>8257593</vt:i4>
      </vt:variant>
      <vt:variant>
        <vt:i4>334</vt:i4>
      </vt:variant>
      <vt:variant>
        <vt:i4>0</vt:i4>
      </vt:variant>
      <vt:variant>
        <vt:i4>5</vt:i4>
      </vt:variant>
      <vt:variant>
        <vt:lpwstr>https://doi.org/10.1787/9789264300002-3-en</vt:lpwstr>
      </vt:variant>
      <vt:variant>
        <vt:lpwstr/>
      </vt:variant>
      <vt:variant>
        <vt:i4>1572910</vt:i4>
      </vt:variant>
      <vt:variant>
        <vt:i4>331</vt:i4>
      </vt:variant>
      <vt:variant>
        <vt:i4>0</vt:i4>
      </vt:variant>
      <vt:variant>
        <vt:i4>5</vt:i4>
      </vt:variant>
      <vt:variant>
        <vt:lpwstr>https://research.acer.edu.au/tll_misc/5/</vt:lpwstr>
      </vt:variant>
      <vt:variant>
        <vt:lpwstr/>
      </vt:variant>
      <vt:variant>
        <vt:i4>5570572</vt:i4>
      </vt:variant>
      <vt:variant>
        <vt:i4>328</vt:i4>
      </vt:variant>
      <vt:variant>
        <vt:i4>0</vt:i4>
      </vt:variant>
      <vt:variant>
        <vt:i4>5</vt:i4>
      </vt:variant>
      <vt:variant>
        <vt:lpwstr>https://dera.ioe.ac.uk/5551/2/report.pdf</vt:lpwstr>
      </vt:variant>
      <vt:variant>
        <vt:lpwstr/>
      </vt:variant>
      <vt:variant>
        <vt:i4>1376339</vt:i4>
      </vt:variant>
      <vt:variant>
        <vt:i4>325</vt:i4>
      </vt:variant>
      <vt:variant>
        <vt:i4>0</vt:i4>
      </vt:variant>
      <vt:variant>
        <vt:i4>5</vt:i4>
      </vt:variant>
      <vt:variant>
        <vt:lpwstr>https://doi.org/10.1177/0956797620968790</vt:lpwstr>
      </vt:variant>
      <vt:variant>
        <vt:lpwstr/>
      </vt:variant>
      <vt:variant>
        <vt:i4>6881327</vt:i4>
      </vt:variant>
      <vt:variant>
        <vt:i4>322</vt:i4>
      </vt:variant>
      <vt:variant>
        <vt:i4>0</vt:i4>
      </vt:variant>
      <vt:variant>
        <vt:i4>5</vt:i4>
      </vt:variant>
      <vt:variant>
        <vt:lpwstr>https://cdn.qct.edu.au/pdf/QCT_Qld_Graduate_Attrition_Report_2019.pdf?_ga=2.52253033.1736576470.1629679814-918164078.1628147426</vt:lpwstr>
      </vt:variant>
      <vt:variant>
        <vt:lpwstr/>
      </vt:variant>
      <vt:variant>
        <vt:i4>7405605</vt:i4>
      </vt:variant>
      <vt:variant>
        <vt:i4>319</vt:i4>
      </vt:variant>
      <vt:variant>
        <vt:i4>0</vt:i4>
      </vt:variant>
      <vt:variant>
        <vt:i4>5</vt:i4>
      </vt:variant>
      <vt:variant>
        <vt:lpwstr>https://cdn.qct.edu.au/pdf/2016TeacherProfileReport.pdf</vt:lpwstr>
      </vt:variant>
      <vt:variant>
        <vt:lpwstr/>
      </vt:variant>
      <vt:variant>
        <vt:i4>4128874</vt:i4>
      </vt:variant>
      <vt:variant>
        <vt:i4>316</vt:i4>
      </vt:variant>
      <vt:variant>
        <vt:i4>0</vt:i4>
      </vt:variant>
      <vt:variant>
        <vt:i4>5</vt:i4>
      </vt:variant>
      <vt:variant>
        <vt:lpwstr>https://www.pc.gov.au/inquiries/completed/education-evidence/report</vt:lpwstr>
      </vt:variant>
      <vt:variant>
        <vt:lpwstr/>
      </vt:variant>
      <vt:variant>
        <vt:i4>983117</vt:i4>
      </vt:variant>
      <vt:variant>
        <vt:i4>313</vt:i4>
      </vt:variant>
      <vt:variant>
        <vt:i4>0</vt:i4>
      </vt:variant>
      <vt:variant>
        <vt:i4>5</vt:i4>
      </vt:variant>
      <vt:variant>
        <vt:lpwstr>https://doi.org/10.1080/00313831.2018.1554601</vt:lpwstr>
      </vt:variant>
      <vt:variant>
        <vt:lpwstr/>
      </vt:variant>
      <vt:variant>
        <vt:i4>4063272</vt:i4>
      </vt:variant>
      <vt:variant>
        <vt:i4>310</vt:i4>
      </vt:variant>
      <vt:variant>
        <vt:i4>0</vt:i4>
      </vt:variant>
      <vt:variant>
        <vt:i4>5</vt:i4>
      </vt:variant>
      <vt:variant>
        <vt:lpwstr>https://www.parliament.vic.gov.au/925-eejsc/inquiry-into-career-advice-activities-in-victorian-schools/3883-report</vt:lpwstr>
      </vt:variant>
      <vt:variant>
        <vt:lpwstr/>
      </vt:variant>
      <vt:variant>
        <vt:i4>2490386</vt:i4>
      </vt:variant>
      <vt:variant>
        <vt:i4>307</vt:i4>
      </vt:variant>
      <vt:variant>
        <vt:i4>0</vt:i4>
      </vt:variant>
      <vt:variant>
        <vt:i4>5</vt:i4>
      </vt:variant>
      <vt:variant>
        <vt:lpwstr>https://www.oecd-ilibrary.org/education/working-and-learning-together_8ccea428-en</vt:lpwstr>
      </vt:variant>
      <vt:variant>
        <vt:lpwstr/>
      </vt:variant>
      <vt:variant>
        <vt:i4>8323185</vt:i4>
      </vt:variant>
      <vt:variant>
        <vt:i4>304</vt:i4>
      </vt:variant>
      <vt:variant>
        <vt:i4>0</vt:i4>
      </vt:variant>
      <vt:variant>
        <vt:i4>5</vt:i4>
      </vt:variant>
      <vt:variant>
        <vt:lpwstr>https://doi.org/10.1787/19cf08df-en</vt:lpwstr>
      </vt:variant>
      <vt:variant>
        <vt:lpwstr/>
      </vt:variant>
      <vt:variant>
        <vt:i4>2097191</vt:i4>
      </vt:variant>
      <vt:variant>
        <vt:i4>301</vt:i4>
      </vt:variant>
      <vt:variant>
        <vt:i4>0</vt:i4>
      </vt:variant>
      <vt:variant>
        <vt:i4>5</vt:i4>
      </vt:variant>
      <vt:variant>
        <vt:lpwstr>https://doi.org/10.1787/1d0bc92a-en</vt:lpwstr>
      </vt:variant>
      <vt:variant>
        <vt:lpwstr/>
      </vt:variant>
      <vt:variant>
        <vt:i4>2621549</vt:i4>
      </vt:variant>
      <vt:variant>
        <vt:i4>298</vt:i4>
      </vt:variant>
      <vt:variant>
        <vt:i4>0</vt:i4>
      </vt:variant>
      <vt:variant>
        <vt:i4>5</vt:i4>
      </vt:variant>
      <vt:variant>
        <vt:lpwstr>https://www.ncsehe.edu.au/publications/facilitating-student-equity-in-australian-higher-education/</vt:lpwstr>
      </vt:variant>
      <vt:variant>
        <vt:lpwstr/>
      </vt:variant>
      <vt:variant>
        <vt:i4>1638487</vt:i4>
      </vt:variant>
      <vt:variant>
        <vt:i4>295</vt:i4>
      </vt:variant>
      <vt:variant>
        <vt:i4>0</vt:i4>
      </vt:variant>
      <vt:variant>
        <vt:i4>5</vt:i4>
      </vt:variant>
      <vt:variant>
        <vt:lpwstr>https://www.nichd.nih.gov/sites/default/files/publications/pubs/nrp/Documents/report.pdf</vt:lpwstr>
      </vt:variant>
      <vt:variant>
        <vt:lpwstr/>
      </vt:variant>
      <vt:variant>
        <vt:i4>7667749</vt:i4>
      </vt:variant>
      <vt:variant>
        <vt:i4>292</vt:i4>
      </vt:variant>
      <vt:variant>
        <vt:i4>0</vt:i4>
      </vt:variant>
      <vt:variant>
        <vt:i4>5</vt:i4>
      </vt:variant>
      <vt:variant>
        <vt:lpwstr>http://dx.doi.org/10.1007/s11881-003-0003-7</vt:lpwstr>
      </vt:variant>
      <vt:variant>
        <vt:lpwstr/>
      </vt:variant>
      <vt:variant>
        <vt:i4>852035</vt:i4>
      </vt:variant>
      <vt:variant>
        <vt:i4>289</vt:i4>
      </vt:variant>
      <vt:variant>
        <vt:i4>0</vt:i4>
      </vt:variant>
      <vt:variant>
        <vt:i4>5</vt:i4>
      </vt:variant>
      <vt:variant>
        <vt:lpwstr>https://doi.org/10.1080/19404158.2020.1832128</vt:lpwstr>
      </vt:variant>
      <vt:variant>
        <vt:lpwstr/>
      </vt:variant>
      <vt:variant>
        <vt:i4>5308416</vt:i4>
      </vt:variant>
      <vt:variant>
        <vt:i4>286</vt:i4>
      </vt:variant>
      <vt:variant>
        <vt:i4>0</vt:i4>
      </vt:variant>
      <vt:variant>
        <vt:i4>5</vt:i4>
      </vt:variant>
      <vt:variant>
        <vt:lpwstr>https://research.monash.edu/en/publications/studying-the-effectiveness-of-teacher-education-final-report</vt:lpwstr>
      </vt:variant>
      <vt:variant>
        <vt:lpwstr/>
      </vt:variant>
      <vt:variant>
        <vt:i4>1638482</vt:i4>
      </vt:variant>
      <vt:variant>
        <vt:i4>283</vt:i4>
      </vt:variant>
      <vt:variant>
        <vt:i4>0</vt:i4>
      </vt:variant>
      <vt:variant>
        <vt:i4>5</vt:i4>
      </vt:variant>
      <vt:variant>
        <vt:lpwstr>https://doi.org/10.1177/1038416219886116</vt:lpwstr>
      </vt:variant>
      <vt:variant>
        <vt:lpwstr/>
      </vt:variant>
      <vt:variant>
        <vt:i4>3276898</vt:i4>
      </vt:variant>
      <vt:variant>
        <vt:i4>280</vt:i4>
      </vt:variant>
      <vt:variant>
        <vt:i4>0</vt:i4>
      </vt:variant>
      <vt:variant>
        <vt:i4>5</vt:i4>
      </vt:variant>
      <vt:variant>
        <vt:lpwstr>https://www.iier.org.au/iier27/kearney.pdf</vt:lpwstr>
      </vt:variant>
      <vt:variant>
        <vt:lpwstr/>
      </vt:variant>
      <vt:variant>
        <vt:i4>5898290</vt:i4>
      </vt:variant>
      <vt:variant>
        <vt:i4>277</vt:i4>
      </vt:variant>
      <vt:variant>
        <vt:i4>0</vt:i4>
      </vt:variant>
      <vt:variant>
        <vt:i4>5</vt:i4>
      </vt:variant>
      <vt:variant>
        <vt:lpwstr>https://research.acer.edu.au/cgi/viewcontent.cgi?article=1014&amp;context=teacher_education</vt:lpwstr>
      </vt:variant>
      <vt:variant>
        <vt:lpwstr/>
      </vt:variant>
      <vt:variant>
        <vt:i4>1179740</vt:i4>
      </vt:variant>
      <vt:variant>
        <vt:i4>274</vt:i4>
      </vt:variant>
      <vt:variant>
        <vt:i4>0</vt:i4>
      </vt:variant>
      <vt:variant>
        <vt:i4>5</vt:i4>
      </vt:variant>
      <vt:variant>
        <vt:lpwstr>https://doi.org/10.3102/0034654311403323</vt:lpwstr>
      </vt:variant>
      <vt:variant>
        <vt:lpwstr/>
      </vt:variant>
      <vt:variant>
        <vt:i4>4128881</vt:i4>
      </vt:variant>
      <vt:variant>
        <vt:i4>271</vt:i4>
      </vt:variant>
      <vt:variant>
        <vt:i4>0</vt:i4>
      </vt:variant>
      <vt:variant>
        <vt:i4>5</vt:i4>
      </vt:variant>
      <vt:variant>
        <vt:lpwstr>https://www.mckinsey.com/featured-insights/diversity-and-inclusion/diversity-wins-how-inclusion-matters</vt:lpwstr>
      </vt:variant>
      <vt:variant>
        <vt:lpwstr/>
      </vt:variant>
      <vt:variant>
        <vt:i4>6029383</vt:i4>
      </vt:variant>
      <vt:variant>
        <vt:i4>268</vt:i4>
      </vt:variant>
      <vt:variant>
        <vt:i4>0</vt:i4>
      </vt:variant>
      <vt:variant>
        <vt:i4>5</vt:i4>
      </vt:variant>
      <vt:variant>
        <vt:lpwstr>https://research.monash.edu/en/publications/perceptions-of-teachers-and-teaching-in-australia</vt:lpwstr>
      </vt:variant>
      <vt:variant>
        <vt:lpwstr/>
      </vt:variant>
      <vt:variant>
        <vt:i4>6422626</vt:i4>
      </vt:variant>
      <vt:variant>
        <vt:i4>265</vt:i4>
      </vt:variant>
      <vt:variant>
        <vt:i4>0</vt:i4>
      </vt:variant>
      <vt:variant>
        <vt:i4>5</vt:i4>
      </vt:variant>
      <vt:variant>
        <vt:lpwstr>https://www.cambridge.org/core/journals/australian-journal-of-indigenous-education/article/evaluation-of-the-pilot-phase-of-a-student-support-strategy-to-improve-retention-and-completion-rates-of-aboriginal-and-torres-strait-islander-students/72A895961E861074AE5B2487985C42D1</vt:lpwstr>
      </vt:variant>
      <vt:variant>
        <vt:lpwstr/>
      </vt:variant>
      <vt:variant>
        <vt:i4>5570567</vt:i4>
      </vt:variant>
      <vt:variant>
        <vt:i4>262</vt:i4>
      </vt:variant>
      <vt:variant>
        <vt:i4>0</vt:i4>
      </vt:variant>
      <vt:variant>
        <vt:i4>5</vt:i4>
      </vt:variant>
      <vt:variant>
        <vt:lpwstr>http://research.acer.edu.au/research_conference_2003/4/</vt:lpwstr>
      </vt:variant>
      <vt:variant>
        <vt:lpwstr/>
      </vt:variant>
      <vt:variant>
        <vt:i4>4653131</vt:i4>
      </vt:variant>
      <vt:variant>
        <vt:i4>259</vt:i4>
      </vt:variant>
      <vt:variant>
        <vt:i4>0</vt:i4>
      </vt:variant>
      <vt:variant>
        <vt:i4>5</vt:i4>
      </vt:variant>
      <vt:variant>
        <vt:lpwstr>https://doi.org/10.1080/1359866X.2019.1651822</vt:lpwstr>
      </vt:variant>
      <vt:variant>
        <vt:lpwstr/>
      </vt:variant>
      <vt:variant>
        <vt:i4>1441821</vt:i4>
      </vt:variant>
      <vt:variant>
        <vt:i4>256</vt:i4>
      </vt:variant>
      <vt:variant>
        <vt:i4>0</vt:i4>
      </vt:variant>
      <vt:variant>
        <vt:i4>5</vt:i4>
      </vt:variant>
      <vt:variant>
        <vt:lpwstr>https://citeseerx.ist.psu.edu/viewdoc/download?doi=10.1.1.719.3418&amp;rep=rep1&amp;type=pdf</vt:lpwstr>
      </vt:variant>
      <vt:variant>
        <vt:lpwstr/>
      </vt:variant>
      <vt:variant>
        <vt:i4>6946935</vt:i4>
      </vt:variant>
      <vt:variant>
        <vt:i4>253</vt:i4>
      </vt:variant>
      <vt:variant>
        <vt:i4>0</vt:i4>
      </vt:variant>
      <vt:variant>
        <vt:i4>5</vt:i4>
      </vt:variant>
      <vt:variant>
        <vt:lpwstr>https://grattan.edu.au/report/top-teachers/</vt:lpwstr>
      </vt:variant>
      <vt:variant>
        <vt:lpwstr/>
      </vt:variant>
      <vt:variant>
        <vt:i4>1376327</vt:i4>
      </vt:variant>
      <vt:variant>
        <vt:i4>250</vt:i4>
      </vt:variant>
      <vt:variant>
        <vt:i4>0</vt:i4>
      </vt:variant>
      <vt:variant>
        <vt:i4>5</vt:i4>
      </vt:variant>
      <vt:variant>
        <vt:lpwstr>https://grattan.edu.au/report/raising-the-status-of-teaching/</vt:lpwstr>
      </vt:variant>
      <vt:variant>
        <vt:lpwstr/>
      </vt:variant>
      <vt:variant>
        <vt:i4>65557</vt:i4>
      </vt:variant>
      <vt:variant>
        <vt:i4>247</vt:i4>
      </vt:variant>
      <vt:variant>
        <vt:i4>0</vt:i4>
      </vt:variant>
      <vt:variant>
        <vt:i4>5</vt:i4>
      </vt:variant>
      <vt:variant>
        <vt:lpwstr>https://grattan.edu.au/report/attracting-high-achievers-to-teaching/</vt:lpwstr>
      </vt:variant>
      <vt:variant>
        <vt:lpwstr/>
      </vt:variant>
      <vt:variant>
        <vt:i4>7929907</vt:i4>
      </vt:variant>
      <vt:variant>
        <vt:i4>244</vt:i4>
      </vt:variant>
      <vt:variant>
        <vt:i4>0</vt:i4>
      </vt:variant>
      <vt:variant>
        <vt:i4>5</vt:i4>
      </vt:variant>
      <vt:variant>
        <vt:lpwstr>https://www.ncsehe.edu.au/publications/choosing-university-the-impact-of-schools-and-schooling/</vt:lpwstr>
      </vt:variant>
      <vt:variant>
        <vt:lpwstr/>
      </vt:variant>
      <vt:variant>
        <vt:i4>1835094</vt:i4>
      </vt:variant>
      <vt:variant>
        <vt:i4>241</vt:i4>
      </vt:variant>
      <vt:variant>
        <vt:i4>0</vt:i4>
      </vt:variant>
      <vt:variant>
        <vt:i4>5</vt:i4>
      </vt:variant>
      <vt:variant>
        <vt:lpwstr>https://doi.org/10.1177/0022487120909390</vt:lpwstr>
      </vt:variant>
      <vt:variant>
        <vt:lpwstr/>
      </vt:variant>
      <vt:variant>
        <vt:i4>327753</vt:i4>
      </vt:variant>
      <vt:variant>
        <vt:i4>238</vt:i4>
      </vt:variant>
      <vt:variant>
        <vt:i4>0</vt:i4>
      </vt:variant>
      <vt:variant>
        <vt:i4>5</vt:i4>
      </vt:variant>
      <vt:variant>
        <vt:lpwstr>https://doi.org/10.1080/02619768.2017.1315399</vt:lpwstr>
      </vt:variant>
      <vt:variant>
        <vt:lpwstr/>
      </vt:variant>
      <vt:variant>
        <vt:i4>6619237</vt:i4>
      </vt:variant>
      <vt:variant>
        <vt:i4>235</vt:i4>
      </vt:variant>
      <vt:variant>
        <vt:i4>0</vt:i4>
      </vt:variant>
      <vt:variant>
        <vt:i4>5</vt:i4>
      </vt:variant>
      <vt:variant>
        <vt:lpwstr>https://www.dese.gov.au/teaching-and-school-leadership/resources/teach-australia-program-evaluation-report</vt:lpwstr>
      </vt:variant>
      <vt:variant>
        <vt:lpwstr/>
      </vt:variant>
      <vt:variant>
        <vt:i4>1179741</vt:i4>
      </vt:variant>
      <vt:variant>
        <vt:i4>232</vt:i4>
      </vt:variant>
      <vt:variant>
        <vt:i4>0</vt:i4>
      </vt:variant>
      <vt:variant>
        <vt:i4>5</vt:i4>
      </vt:variant>
      <vt:variant>
        <vt:lpwstr>https://doi.org/10.1177/1529100618772271</vt:lpwstr>
      </vt:variant>
      <vt:variant>
        <vt:lpwstr/>
      </vt:variant>
      <vt:variant>
        <vt:i4>6815836</vt:i4>
      </vt:variant>
      <vt:variant>
        <vt:i4>229</vt:i4>
      </vt:variant>
      <vt:variant>
        <vt:i4>0</vt:i4>
      </vt:variant>
      <vt:variant>
        <vt:i4>5</vt:i4>
      </vt:variant>
      <vt:variant>
        <vt:lpwstr>https://www.caa.edu.au/client_images/2245321.pdf</vt:lpwstr>
      </vt:variant>
      <vt:variant>
        <vt:lpwstr/>
      </vt:variant>
      <vt:variant>
        <vt:i4>786454</vt:i4>
      </vt:variant>
      <vt:variant>
        <vt:i4>226</vt:i4>
      </vt:variant>
      <vt:variant>
        <vt:i4>0</vt:i4>
      </vt:variant>
      <vt:variant>
        <vt:i4>5</vt:i4>
      </vt:variant>
      <vt:variant>
        <vt:lpwstr>http://dx.doi.org/10.13140/RG.2.2.29582.72001</vt:lpwstr>
      </vt:variant>
      <vt:variant>
        <vt:lpwstr/>
      </vt:variant>
      <vt:variant>
        <vt:i4>5963785</vt:i4>
      </vt:variant>
      <vt:variant>
        <vt:i4>223</vt:i4>
      </vt:variant>
      <vt:variant>
        <vt:i4>0</vt:i4>
      </vt:variant>
      <vt:variant>
        <vt:i4>5</vt:i4>
      </vt:variant>
      <vt:variant>
        <vt:lpwstr>https://www.pc.gov.au/inquiries/completed/productivity-review/report</vt:lpwstr>
      </vt:variant>
      <vt:variant>
        <vt:lpwstr/>
      </vt:variant>
      <vt:variant>
        <vt:i4>4390922</vt:i4>
      </vt:variant>
      <vt:variant>
        <vt:i4>220</vt:i4>
      </vt:variant>
      <vt:variant>
        <vt:i4>0</vt:i4>
      </vt:variant>
      <vt:variant>
        <vt:i4>5</vt:i4>
      </vt:variant>
      <vt:variant>
        <vt:lpwstr>https://www.aitsl.edu.au/teachingfutures</vt:lpwstr>
      </vt:variant>
      <vt:variant>
        <vt:lpwstr/>
      </vt:variant>
      <vt:variant>
        <vt:i4>4653070</vt:i4>
      </vt:variant>
      <vt:variant>
        <vt:i4>217</vt:i4>
      </vt:variant>
      <vt:variant>
        <vt:i4>0</vt:i4>
      </vt:variant>
      <vt:variant>
        <vt:i4>5</vt:i4>
      </vt:variant>
      <vt:variant>
        <vt:lpwstr>https://www.aitsl.edu.au/research/spotlight/the-impact-of-aboriginal-and-torres-strait-islander-educators</vt:lpwstr>
      </vt:variant>
      <vt:variant>
        <vt:lpwstr/>
      </vt:variant>
      <vt:variant>
        <vt:i4>1835010</vt:i4>
      </vt:variant>
      <vt:variant>
        <vt:i4>214</vt:i4>
      </vt:variant>
      <vt:variant>
        <vt:i4>0</vt:i4>
      </vt:variant>
      <vt:variant>
        <vt:i4>5</vt:i4>
      </vt:variant>
      <vt:variant>
        <vt:lpwstr>https://www.aitsl.edu.au/docs/default-source/national-policy-framework/australian-professional-standards-for-teachers.pdf</vt:lpwstr>
      </vt:variant>
      <vt:variant>
        <vt:lpwstr/>
      </vt:variant>
      <vt:variant>
        <vt:i4>6029417</vt:i4>
      </vt:variant>
      <vt:variant>
        <vt:i4>211</vt:i4>
      </vt:variant>
      <vt:variant>
        <vt:i4>0</vt:i4>
      </vt:variant>
      <vt:variant>
        <vt:i4>5</vt:i4>
      </vt:variant>
      <vt:variant>
        <vt:lpwstr>https://www.aitsl.edu.au/docs/default-source/research-evidence/spotlight/spotlight---attrition.pdf?sfvrsn=40d1ed3c_0</vt:lpwstr>
      </vt:variant>
      <vt:variant>
        <vt:lpwstr/>
      </vt:variant>
      <vt:variant>
        <vt:i4>1376382</vt:i4>
      </vt:variant>
      <vt:variant>
        <vt:i4>208</vt:i4>
      </vt:variant>
      <vt:variant>
        <vt:i4>0</vt:i4>
      </vt:variant>
      <vt:variant>
        <vt:i4>5</vt:i4>
      </vt:variant>
      <vt:variant>
        <vt:lpwstr>https://www.aitsl.edu.au/docs/default-source/national-policy-framework/graduate-to-proficient.pdf?sfvrsn=e27fff3c_6</vt:lpwstr>
      </vt:variant>
      <vt:variant>
        <vt:lpwstr/>
      </vt:variant>
      <vt:variant>
        <vt:i4>3145851</vt:i4>
      </vt:variant>
      <vt:variant>
        <vt:i4>205</vt:i4>
      </vt:variant>
      <vt:variant>
        <vt:i4>0</vt:i4>
      </vt:variant>
      <vt:variant>
        <vt:i4>5</vt:i4>
      </vt:variant>
      <vt:variant>
        <vt:lpwstr>https://www.dese.gov.au/teaching-and-school-leadership/resources/quality-initial-teacher-education</vt:lpwstr>
      </vt:variant>
      <vt:variant>
        <vt:lpwstr/>
      </vt:variant>
      <vt:variant>
        <vt:i4>4653131</vt:i4>
      </vt:variant>
      <vt:variant>
        <vt:i4>202</vt:i4>
      </vt:variant>
      <vt:variant>
        <vt:i4>0</vt:i4>
      </vt:variant>
      <vt:variant>
        <vt:i4>5</vt:i4>
      </vt:variant>
      <vt:variant>
        <vt:lpwstr>https://www.abs.gov.au/statistics/people/education/schools/latest-release</vt:lpwstr>
      </vt:variant>
      <vt:variant>
        <vt:lpwstr/>
      </vt:variant>
      <vt:variant>
        <vt:i4>4587627</vt:i4>
      </vt:variant>
      <vt:variant>
        <vt:i4>199</vt:i4>
      </vt:variant>
      <vt:variant>
        <vt:i4>0</vt:i4>
      </vt:variant>
      <vt:variant>
        <vt:i4>5</vt:i4>
      </vt:variant>
      <vt:variant>
        <vt:lpwstr>https://www.aitsl.edu.au/docs/default-source/initial-teacher-education-resources/eag-operational-principles.pdf?sfvrsn=b90cfd3c_12</vt:lpwstr>
      </vt:variant>
      <vt:variant>
        <vt:lpwstr/>
      </vt:variant>
      <vt:variant>
        <vt:i4>2687101</vt:i4>
      </vt:variant>
      <vt:variant>
        <vt:i4>196</vt:i4>
      </vt:variant>
      <vt:variant>
        <vt:i4>0</vt:i4>
      </vt:variant>
      <vt:variant>
        <vt:i4>5</vt:i4>
      </vt:variant>
      <vt:variant>
        <vt:lpwstr>https://www.teachusconsent.com/</vt:lpwstr>
      </vt:variant>
      <vt:variant>
        <vt:lpwstr/>
      </vt:variant>
      <vt:variant>
        <vt:i4>6881401</vt:i4>
      </vt:variant>
      <vt:variant>
        <vt:i4>193</vt:i4>
      </vt:variant>
      <vt:variant>
        <vt:i4>0</vt:i4>
      </vt:variant>
      <vt:variant>
        <vt:i4>5</vt:i4>
      </vt:variant>
      <vt:variant>
        <vt:lpwstr>https://assets.publishing.service.gov.uk/government/uploads/system/uploads/attachment_data/file/536891/Mentor_standards_report_Final.pdf</vt:lpwstr>
      </vt:variant>
      <vt:variant>
        <vt:lpwstr/>
      </vt:variant>
      <vt:variant>
        <vt:i4>1638461</vt:i4>
      </vt:variant>
      <vt:variant>
        <vt:i4>187</vt:i4>
      </vt:variant>
      <vt:variant>
        <vt:i4>0</vt:i4>
      </vt:variant>
      <vt:variant>
        <vt:i4>5</vt:i4>
      </vt:variant>
      <vt:variant>
        <vt:lpwstr>https://www.aitsl.edu.au/docs/default-source/certification/certification-snapshot-2021.pdf?sfvrsn=1296da3c_6</vt:lpwstr>
      </vt:variant>
      <vt:variant>
        <vt:lpwstr/>
      </vt:variant>
      <vt:variant>
        <vt:i4>2490479</vt:i4>
      </vt:variant>
      <vt:variant>
        <vt:i4>184</vt:i4>
      </vt:variant>
      <vt:variant>
        <vt:i4>0</vt:i4>
      </vt:variant>
      <vt:variant>
        <vt:i4>5</vt:i4>
      </vt:variant>
      <vt:variant>
        <vt:lpwstr>https://www.gov.uk/government/news/new-institute-of-teaching-set-to-be-established</vt:lpwstr>
      </vt:variant>
      <vt:variant>
        <vt:lpwstr/>
      </vt:variant>
      <vt:variant>
        <vt:i4>4718686</vt:i4>
      </vt:variant>
      <vt:variant>
        <vt:i4>181</vt:i4>
      </vt:variant>
      <vt:variant>
        <vt:i4>0</vt:i4>
      </vt:variant>
      <vt:variant>
        <vt:i4>5</vt:i4>
      </vt:variant>
      <vt:variant>
        <vt:lpwstr>https://ministers.dese.gov.au/tehan/more-equitable-treatment-student-teachers</vt:lpwstr>
      </vt:variant>
      <vt:variant>
        <vt:lpwstr/>
      </vt:variant>
      <vt:variant>
        <vt:i4>4194394</vt:i4>
      </vt:variant>
      <vt:variant>
        <vt:i4>178</vt:i4>
      </vt:variant>
      <vt:variant>
        <vt:i4>0</vt:i4>
      </vt:variant>
      <vt:variant>
        <vt:i4>5</vt:i4>
      </vt:variant>
      <vt:variant>
        <vt:lpwstr>https://www.cns.catholic.edu.au/employment/scholarships-and-graduate-support/</vt:lpwstr>
      </vt:variant>
      <vt:variant>
        <vt:lpwstr/>
      </vt:variant>
      <vt:variant>
        <vt:i4>3735678</vt:i4>
      </vt:variant>
      <vt:variant>
        <vt:i4>175</vt:i4>
      </vt:variant>
      <vt:variant>
        <vt:i4>0</vt:i4>
      </vt:variant>
      <vt:variant>
        <vt:i4>5</vt:i4>
      </vt:variant>
      <vt:variant>
        <vt:lpwstr>https://teach.qld.gov.au/scholarships-and-grants/beyond-the-range-professional-experience-grant</vt:lpwstr>
      </vt:variant>
      <vt:variant>
        <vt:lpwstr/>
      </vt:variant>
      <vt:variant>
        <vt:i4>1507358</vt:i4>
      </vt:variant>
      <vt:variant>
        <vt:i4>172</vt:i4>
      </vt:variant>
      <vt:variant>
        <vt:i4>0</vt:i4>
      </vt:variant>
      <vt:variant>
        <vt:i4>5</vt:i4>
      </vt:variant>
      <vt:variant>
        <vt:lpwstr>https://www.theforage.com/virtual-internships/prototype/S2fumwGye5YrE5WsM/Teach-for-Australia-Virtual-Experience-Program</vt:lpwstr>
      </vt:variant>
      <vt:variant>
        <vt:lpwstr/>
      </vt:variant>
      <vt:variant>
        <vt:i4>7209065</vt:i4>
      </vt:variant>
      <vt:variant>
        <vt:i4>169</vt:i4>
      </vt:variant>
      <vt:variant>
        <vt:i4>0</vt:i4>
      </vt:variant>
      <vt:variant>
        <vt:i4>5</vt:i4>
      </vt:variant>
      <vt:variant>
        <vt:lpwstr>https://fogartyedvance.org.au/wp-content/uploads/sites/2/2020/04/FOG6063-Report-Card-2020-F-Spreads.pdf</vt:lpwstr>
      </vt:variant>
      <vt:variant>
        <vt:lpwstr/>
      </vt:variant>
      <vt:variant>
        <vt:i4>4784215</vt:i4>
      </vt:variant>
      <vt:variant>
        <vt:i4>166</vt:i4>
      </vt:variant>
      <vt:variant>
        <vt:i4>0</vt:i4>
      </vt:variant>
      <vt:variant>
        <vt:i4>5</vt:i4>
      </vt:variant>
      <vt:variant>
        <vt:lpwstr>http://www.gov.uk/government/publications/initial-teacher-training-itt-core-content-framework</vt:lpwstr>
      </vt:variant>
      <vt:variant>
        <vt:lpwstr/>
      </vt:variant>
      <vt:variant>
        <vt:i4>2359330</vt:i4>
      </vt:variant>
      <vt:variant>
        <vt:i4>163</vt:i4>
      </vt:variant>
      <vt:variant>
        <vt:i4>0</vt:i4>
      </vt:variant>
      <vt:variant>
        <vt:i4>5</vt:i4>
      </vt:variant>
      <vt:variant>
        <vt:lpwstr>https://www.gov.uk/government/publications/initial-teacher-training-itt-core-content-framework</vt:lpwstr>
      </vt:variant>
      <vt:variant>
        <vt:lpwstr/>
      </vt:variant>
      <vt:variant>
        <vt:i4>6750320</vt:i4>
      </vt:variant>
      <vt:variant>
        <vt:i4>160</vt:i4>
      </vt:variant>
      <vt:variant>
        <vt:i4>0</vt:i4>
      </vt:variant>
      <vt:variant>
        <vt:i4>5</vt:i4>
      </vt:variant>
      <vt:variant>
        <vt:lpwstr>https://www.canberra.edu.au/future-students/get-into-uc/pathways-programs/aboriginal-and-torres-strait-islander-foundation-program</vt:lpwstr>
      </vt:variant>
      <vt:variant>
        <vt:lpwstr/>
      </vt:variant>
      <vt:variant>
        <vt:i4>720902</vt:i4>
      </vt:variant>
      <vt:variant>
        <vt:i4>157</vt:i4>
      </vt:variant>
      <vt:variant>
        <vt:i4>0</vt:i4>
      </vt:variant>
      <vt:variant>
        <vt:i4>5</vt:i4>
      </vt:variant>
      <vt:variant>
        <vt:lpwstr>https://yourcareer.gov.au/get-career-resources/preparing-secondary-school-students-for-work/aboriginal-and-torres-strait-islander-post-school-transition-program/case-studies/remote-area-teacher-education-program-ratep-william-ross-state-high-school/</vt:lpwstr>
      </vt:variant>
      <vt:variant>
        <vt:lpwstr/>
      </vt:variant>
      <vt:variant>
        <vt:i4>2097200</vt:i4>
      </vt:variant>
      <vt:variant>
        <vt:i4>154</vt:i4>
      </vt:variant>
      <vt:variant>
        <vt:i4>0</vt:i4>
      </vt:variant>
      <vt:variant>
        <vt:i4>5</vt:i4>
      </vt:variant>
      <vt:variant>
        <vt:lpwstr>https://www.monash.edu/indigenous-australians/home</vt:lpwstr>
      </vt:variant>
      <vt:variant>
        <vt:lpwstr/>
      </vt:variant>
      <vt:variant>
        <vt:i4>6553660</vt:i4>
      </vt:variant>
      <vt:variant>
        <vt:i4>151</vt:i4>
      </vt:variant>
      <vt:variant>
        <vt:i4>0</vt:i4>
      </vt:variant>
      <vt:variant>
        <vt:i4>5</vt:i4>
      </vt:variant>
      <vt:variant>
        <vt:lpwstr>https://study.curtin.edu.au/study-areas/education/on-country-teacher-education-initiative/</vt:lpwstr>
      </vt:variant>
      <vt:variant>
        <vt:lpwstr/>
      </vt:variant>
      <vt:variant>
        <vt:i4>7667809</vt:i4>
      </vt:variant>
      <vt:variant>
        <vt:i4>148</vt:i4>
      </vt:variant>
      <vt:variant>
        <vt:i4>0</vt:i4>
      </vt:variant>
      <vt:variant>
        <vt:i4>5</vt:i4>
      </vt:variant>
      <vt:variant>
        <vt:lpwstr>https://education.nt.gov.au/careers-in-education/remote-aboriginal-teacher-education-rate-pilot-program</vt:lpwstr>
      </vt:variant>
      <vt:variant>
        <vt:lpwstr/>
      </vt:variant>
      <vt:variant>
        <vt:i4>4063349</vt:i4>
      </vt:variant>
      <vt:variant>
        <vt:i4>139</vt:i4>
      </vt:variant>
      <vt:variant>
        <vt:i4>0</vt:i4>
      </vt:variant>
      <vt:variant>
        <vt:i4>5</vt:i4>
      </vt:variant>
      <vt:variant>
        <vt:lpwstr>https://education.qld.gov.au/about-us/budgets-funding-grants/grants/state-schools/previous-funded-programs/future-teachers</vt:lpwstr>
      </vt:variant>
      <vt:variant>
        <vt:lpwstr/>
      </vt:variant>
      <vt:variant>
        <vt:i4>7733347</vt:i4>
      </vt:variant>
      <vt:variant>
        <vt:i4>136</vt:i4>
      </vt:variant>
      <vt:variant>
        <vt:i4>0</vt:i4>
      </vt:variant>
      <vt:variant>
        <vt:i4>5</vt:i4>
      </vt:variant>
      <vt:variant>
        <vt:lpwstr>https://teachingawards.com.au/</vt:lpwstr>
      </vt:variant>
      <vt:variant>
        <vt:lpwstr>:~:text=Twelve%20(12)%20registered%20teachers%20or,the%20'Pioneers%20in%20Philanthropy'.</vt:lpwstr>
      </vt:variant>
      <vt:variant>
        <vt:i4>786523</vt:i4>
      </vt:variant>
      <vt:variant>
        <vt:i4>133</vt:i4>
      </vt:variant>
      <vt:variant>
        <vt:i4>0</vt:i4>
      </vt:variant>
      <vt:variant>
        <vt:i4>5</vt:i4>
      </vt:variant>
      <vt:variant>
        <vt:lpwstr>http://www.aitsl.edu.au/</vt:lpwstr>
      </vt:variant>
      <vt:variant>
        <vt:lpwstr/>
      </vt:variant>
      <vt:variant>
        <vt:i4>2490400</vt:i4>
      </vt:variant>
      <vt:variant>
        <vt:i4>128</vt:i4>
      </vt:variant>
      <vt:variant>
        <vt:i4>0</vt:i4>
      </vt:variant>
      <vt:variant>
        <vt:i4>5</vt:i4>
      </vt:variant>
      <vt:variant>
        <vt:lpwstr>http://www.dese.gov.au/</vt:lpwstr>
      </vt:variant>
      <vt:variant>
        <vt:lpwstr/>
      </vt:variant>
      <vt:variant>
        <vt:i4>458764</vt:i4>
      </vt:variant>
      <vt:variant>
        <vt:i4>117</vt:i4>
      </vt:variant>
      <vt:variant>
        <vt:i4>0</vt:i4>
      </vt:variant>
      <vt:variant>
        <vt:i4>5</vt:i4>
      </vt:variant>
      <vt:variant>
        <vt:lpwstr>https://www.dese.gov.au/quality-initial-teacher-education-review/resources/quality-initial-teacher-education-review-2021-discussion-paper</vt:lpwstr>
      </vt:variant>
      <vt:variant>
        <vt:lpwstr/>
      </vt:variant>
      <vt:variant>
        <vt:i4>1900604</vt:i4>
      </vt:variant>
      <vt:variant>
        <vt:i4>110</vt:i4>
      </vt:variant>
      <vt:variant>
        <vt:i4>0</vt:i4>
      </vt:variant>
      <vt:variant>
        <vt:i4>5</vt:i4>
      </vt:variant>
      <vt:variant>
        <vt:lpwstr/>
      </vt:variant>
      <vt:variant>
        <vt:lpwstr>_Toc86222648</vt:lpwstr>
      </vt:variant>
      <vt:variant>
        <vt:i4>1179708</vt:i4>
      </vt:variant>
      <vt:variant>
        <vt:i4>104</vt:i4>
      </vt:variant>
      <vt:variant>
        <vt:i4>0</vt:i4>
      </vt:variant>
      <vt:variant>
        <vt:i4>5</vt:i4>
      </vt:variant>
      <vt:variant>
        <vt:lpwstr/>
      </vt:variant>
      <vt:variant>
        <vt:lpwstr>_Toc86222647</vt:lpwstr>
      </vt:variant>
      <vt:variant>
        <vt:i4>1245244</vt:i4>
      </vt:variant>
      <vt:variant>
        <vt:i4>98</vt:i4>
      </vt:variant>
      <vt:variant>
        <vt:i4>0</vt:i4>
      </vt:variant>
      <vt:variant>
        <vt:i4>5</vt:i4>
      </vt:variant>
      <vt:variant>
        <vt:lpwstr/>
      </vt:variant>
      <vt:variant>
        <vt:lpwstr>_Toc86222646</vt:lpwstr>
      </vt:variant>
      <vt:variant>
        <vt:i4>1048636</vt:i4>
      </vt:variant>
      <vt:variant>
        <vt:i4>92</vt:i4>
      </vt:variant>
      <vt:variant>
        <vt:i4>0</vt:i4>
      </vt:variant>
      <vt:variant>
        <vt:i4>5</vt:i4>
      </vt:variant>
      <vt:variant>
        <vt:lpwstr/>
      </vt:variant>
      <vt:variant>
        <vt:lpwstr>_Toc86222645</vt:lpwstr>
      </vt:variant>
      <vt:variant>
        <vt:i4>1114172</vt:i4>
      </vt:variant>
      <vt:variant>
        <vt:i4>86</vt:i4>
      </vt:variant>
      <vt:variant>
        <vt:i4>0</vt:i4>
      </vt:variant>
      <vt:variant>
        <vt:i4>5</vt:i4>
      </vt:variant>
      <vt:variant>
        <vt:lpwstr/>
      </vt:variant>
      <vt:variant>
        <vt:lpwstr>_Toc86222644</vt:lpwstr>
      </vt:variant>
      <vt:variant>
        <vt:i4>1441852</vt:i4>
      </vt:variant>
      <vt:variant>
        <vt:i4>80</vt:i4>
      </vt:variant>
      <vt:variant>
        <vt:i4>0</vt:i4>
      </vt:variant>
      <vt:variant>
        <vt:i4>5</vt:i4>
      </vt:variant>
      <vt:variant>
        <vt:lpwstr/>
      </vt:variant>
      <vt:variant>
        <vt:lpwstr>_Toc86222643</vt:lpwstr>
      </vt:variant>
      <vt:variant>
        <vt:i4>1507388</vt:i4>
      </vt:variant>
      <vt:variant>
        <vt:i4>74</vt:i4>
      </vt:variant>
      <vt:variant>
        <vt:i4>0</vt:i4>
      </vt:variant>
      <vt:variant>
        <vt:i4>5</vt:i4>
      </vt:variant>
      <vt:variant>
        <vt:lpwstr/>
      </vt:variant>
      <vt:variant>
        <vt:lpwstr>_Toc86222642</vt:lpwstr>
      </vt:variant>
      <vt:variant>
        <vt:i4>1310780</vt:i4>
      </vt:variant>
      <vt:variant>
        <vt:i4>68</vt:i4>
      </vt:variant>
      <vt:variant>
        <vt:i4>0</vt:i4>
      </vt:variant>
      <vt:variant>
        <vt:i4>5</vt:i4>
      </vt:variant>
      <vt:variant>
        <vt:lpwstr/>
      </vt:variant>
      <vt:variant>
        <vt:lpwstr>_Toc86222641</vt:lpwstr>
      </vt:variant>
      <vt:variant>
        <vt:i4>1376316</vt:i4>
      </vt:variant>
      <vt:variant>
        <vt:i4>62</vt:i4>
      </vt:variant>
      <vt:variant>
        <vt:i4>0</vt:i4>
      </vt:variant>
      <vt:variant>
        <vt:i4>5</vt:i4>
      </vt:variant>
      <vt:variant>
        <vt:lpwstr/>
      </vt:variant>
      <vt:variant>
        <vt:lpwstr>_Toc86222640</vt:lpwstr>
      </vt:variant>
      <vt:variant>
        <vt:i4>1835067</vt:i4>
      </vt:variant>
      <vt:variant>
        <vt:i4>56</vt:i4>
      </vt:variant>
      <vt:variant>
        <vt:i4>0</vt:i4>
      </vt:variant>
      <vt:variant>
        <vt:i4>5</vt:i4>
      </vt:variant>
      <vt:variant>
        <vt:lpwstr/>
      </vt:variant>
      <vt:variant>
        <vt:lpwstr>_Toc86222639</vt:lpwstr>
      </vt:variant>
      <vt:variant>
        <vt:i4>1900603</vt:i4>
      </vt:variant>
      <vt:variant>
        <vt:i4>50</vt:i4>
      </vt:variant>
      <vt:variant>
        <vt:i4>0</vt:i4>
      </vt:variant>
      <vt:variant>
        <vt:i4>5</vt:i4>
      </vt:variant>
      <vt:variant>
        <vt:lpwstr/>
      </vt:variant>
      <vt:variant>
        <vt:lpwstr>_Toc86222638</vt:lpwstr>
      </vt:variant>
      <vt:variant>
        <vt:i4>1179707</vt:i4>
      </vt:variant>
      <vt:variant>
        <vt:i4>44</vt:i4>
      </vt:variant>
      <vt:variant>
        <vt:i4>0</vt:i4>
      </vt:variant>
      <vt:variant>
        <vt:i4>5</vt:i4>
      </vt:variant>
      <vt:variant>
        <vt:lpwstr/>
      </vt:variant>
      <vt:variant>
        <vt:lpwstr>_Toc86222637</vt:lpwstr>
      </vt:variant>
      <vt:variant>
        <vt:i4>1245243</vt:i4>
      </vt:variant>
      <vt:variant>
        <vt:i4>38</vt:i4>
      </vt:variant>
      <vt:variant>
        <vt:i4>0</vt:i4>
      </vt:variant>
      <vt:variant>
        <vt:i4>5</vt:i4>
      </vt:variant>
      <vt:variant>
        <vt:lpwstr/>
      </vt:variant>
      <vt:variant>
        <vt:lpwstr>_Toc86222636</vt:lpwstr>
      </vt:variant>
      <vt:variant>
        <vt:i4>1048635</vt:i4>
      </vt:variant>
      <vt:variant>
        <vt:i4>32</vt:i4>
      </vt:variant>
      <vt:variant>
        <vt:i4>0</vt:i4>
      </vt:variant>
      <vt:variant>
        <vt:i4>5</vt:i4>
      </vt:variant>
      <vt:variant>
        <vt:lpwstr/>
      </vt:variant>
      <vt:variant>
        <vt:lpwstr>_Toc86222635</vt:lpwstr>
      </vt:variant>
      <vt:variant>
        <vt:i4>1114171</vt:i4>
      </vt:variant>
      <vt:variant>
        <vt:i4>26</vt:i4>
      </vt:variant>
      <vt:variant>
        <vt:i4>0</vt:i4>
      </vt:variant>
      <vt:variant>
        <vt:i4>5</vt:i4>
      </vt:variant>
      <vt:variant>
        <vt:lpwstr/>
      </vt:variant>
      <vt:variant>
        <vt:lpwstr>_Toc86222634</vt:lpwstr>
      </vt:variant>
      <vt:variant>
        <vt:i4>1441851</vt:i4>
      </vt:variant>
      <vt:variant>
        <vt:i4>20</vt:i4>
      </vt:variant>
      <vt:variant>
        <vt:i4>0</vt:i4>
      </vt:variant>
      <vt:variant>
        <vt:i4>5</vt:i4>
      </vt:variant>
      <vt:variant>
        <vt:lpwstr/>
      </vt:variant>
      <vt:variant>
        <vt:lpwstr>_Toc86222633</vt:lpwstr>
      </vt:variant>
      <vt:variant>
        <vt:i4>1507387</vt:i4>
      </vt:variant>
      <vt:variant>
        <vt:i4>14</vt:i4>
      </vt:variant>
      <vt:variant>
        <vt:i4>0</vt:i4>
      </vt:variant>
      <vt:variant>
        <vt:i4>5</vt:i4>
      </vt:variant>
      <vt:variant>
        <vt:lpwstr/>
      </vt:variant>
      <vt:variant>
        <vt:lpwstr>_Toc86222632</vt:lpwstr>
      </vt:variant>
      <vt:variant>
        <vt:i4>1310779</vt:i4>
      </vt:variant>
      <vt:variant>
        <vt:i4>8</vt:i4>
      </vt:variant>
      <vt:variant>
        <vt:i4>0</vt:i4>
      </vt:variant>
      <vt:variant>
        <vt:i4>5</vt:i4>
      </vt:variant>
      <vt:variant>
        <vt:lpwstr/>
      </vt:variant>
      <vt:variant>
        <vt:lpwstr>_Toc86222631</vt:lpwstr>
      </vt:variant>
      <vt:variant>
        <vt:i4>1376315</vt:i4>
      </vt:variant>
      <vt:variant>
        <vt:i4>2</vt:i4>
      </vt:variant>
      <vt:variant>
        <vt:i4>0</vt:i4>
      </vt:variant>
      <vt:variant>
        <vt:i4>5</vt:i4>
      </vt:variant>
      <vt:variant>
        <vt:lpwstr/>
      </vt:variant>
      <vt:variant>
        <vt:lpwstr>_Toc86222630</vt:lpwstr>
      </vt:variant>
      <vt:variant>
        <vt:i4>7733281</vt:i4>
      </vt:variant>
      <vt:variant>
        <vt:i4>0</vt:i4>
      </vt:variant>
      <vt:variant>
        <vt:i4>0</vt:i4>
      </vt:variant>
      <vt:variant>
        <vt:i4>5</vt:i4>
      </vt:variant>
      <vt:variant>
        <vt:lpwstr>https://www.stylemanual.gov.au/referencing-and-attribution/author-date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MEGEID,Sheryn</cp:lastModifiedBy>
  <cp:revision>3</cp:revision>
  <cp:lastPrinted>2021-10-29T03:30:00Z</cp:lastPrinted>
  <dcterms:created xsi:type="dcterms:W3CDTF">2021-12-23T03:02:00Z</dcterms:created>
  <dcterms:modified xsi:type="dcterms:W3CDTF">2022-02-27T23:49:00Z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0x0101002A55BE25A35CC045AEE410EB8CB5A175</vt:lpwstr>
  </property>
</Properties>
</file>