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C80BE" w14:textId="77777777" w:rsidR="00DD6A02" w:rsidRPr="007F6C4C" w:rsidRDefault="007F6C4C" w:rsidP="00532441">
      <w:pPr>
        <w:pStyle w:val="SSHeading1"/>
        <w:rPr>
          <w:color w:val="17365D" w:themeColor="text2" w:themeShade="BF"/>
        </w:rPr>
      </w:pPr>
      <w:bookmarkStart w:id="0" w:name="OLE_LINK1"/>
      <w:bookmarkStart w:id="1" w:name="OLE_LINK2"/>
      <w:bookmarkStart w:id="2" w:name="_GoBack"/>
      <w:bookmarkEnd w:id="2"/>
      <w:r w:rsidRPr="007F6C4C">
        <w:rPr>
          <w:color w:val="17365D" w:themeColor="text2" w:themeShade="BF"/>
        </w:rPr>
        <w:t>Tasmania Smarter Schools National Partnerships Fast Facts</w:t>
      </w:r>
    </w:p>
    <w:p w14:paraId="113C80BF" w14:textId="77777777" w:rsidR="004238D2" w:rsidRDefault="004238D2" w:rsidP="004238D2">
      <w:pPr>
        <w:pStyle w:val="SSIntro"/>
        <w:rPr>
          <w:i w:val="0"/>
        </w:rPr>
      </w:pPr>
      <w:r>
        <w:rPr>
          <w:i w:val="0"/>
        </w:rPr>
        <w:t xml:space="preserve">Through the three Smarter Schools </w:t>
      </w:r>
      <w:r w:rsidRPr="00F34C45">
        <w:rPr>
          <w:i w:val="0"/>
        </w:rPr>
        <w:t xml:space="preserve">National Partnerships </w:t>
      </w:r>
      <w:r>
        <w:rPr>
          <w:i w:val="0"/>
        </w:rPr>
        <w:t xml:space="preserve">(SSNP) </w:t>
      </w:r>
      <w:r w:rsidRPr="00F34C45">
        <w:rPr>
          <w:i w:val="0"/>
        </w:rPr>
        <w:t xml:space="preserve">the Australian Government is providing significant additional funding to the states and territories to implement systemic and sustainable education reform that will improve literacy and numeracy outcomes for all Australian students, strengthen the capacity and resilience of disadvantaged school communities and drive quality and continuous improvement in teaching. </w:t>
      </w:r>
    </w:p>
    <w:p w14:paraId="113C80C0" w14:textId="77777777" w:rsidR="004238D2" w:rsidRDefault="004238D2" w:rsidP="004238D2">
      <w:pPr>
        <w:pStyle w:val="SSIntro"/>
        <w:rPr>
          <w:i w:val="0"/>
        </w:rPr>
      </w:pPr>
      <w:r w:rsidRPr="00F34C45">
        <w:rPr>
          <w:i w:val="0"/>
        </w:rPr>
        <w:t xml:space="preserve">The National Partnerships are now achieving significant reform at the national, </w:t>
      </w:r>
      <w:r>
        <w:rPr>
          <w:i w:val="0"/>
        </w:rPr>
        <w:t>territory</w:t>
      </w:r>
      <w:r w:rsidRPr="00F34C45">
        <w:rPr>
          <w:i w:val="0"/>
        </w:rPr>
        <w:t xml:space="preserve"> and local school community levels. </w:t>
      </w:r>
      <w:r w:rsidR="004655F0" w:rsidRPr="004655F0">
        <w:rPr>
          <w:i w:val="0"/>
        </w:rPr>
        <w:t>State and territory SSNP Annual Reports and Progress Reports available from this site provide an overview of some innovative strategies being progressed.</w:t>
      </w:r>
    </w:p>
    <w:p w14:paraId="113C80C1" w14:textId="77777777" w:rsidR="004238D2" w:rsidRPr="00F34C45" w:rsidRDefault="004238D2" w:rsidP="004238D2">
      <w:pPr>
        <w:pStyle w:val="SSIntro"/>
        <w:rPr>
          <w:i w:val="0"/>
        </w:rPr>
      </w:pPr>
      <w:r>
        <w:rPr>
          <w:i w:val="0"/>
        </w:rPr>
        <w:t xml:space="preserve">The </w:t>
      </w:r>
      <w:r w:rsidR="00386B77">
        <w:rPr>
          <w:i w:val="0"/>
        </w:rPr>
        <w:t>Tasmania</w:t>
      </w:r>
      <w:r w:rsidR="0076047E">
        <w:rPr>
          <w:i w:val="0"/>
        </w:rPr>
        <w:t>n</w:t>
      </w:r>
      <w:r>
        <w:rPr>
          <w:i w:val="0"/>
        </w:rPr>
        <w:t xml:space="preserve"> Government is</w:t>
      </w:r>
      <w:r w:rsidRPr="00F34C45">
        <w:rPr>
          <w:i w:val="0"/>
        </w:rPr>
        <w:t xml:space="preserve"> also contributing through new </w:t>
      </w:r>
      <w:r>
        <w:rPr>
          <w:i w:val="0"/>
        </w:rPr>
        <w:t>funding</w:t>
      </w:r>
      <w:r w:rsidRPr="00F34C45">
        <w:rPr>
          <w:i w:val="0"/>
        </w:rPr>
        <w:t xml:space="preserve"> or the redirection of existing </w:t>
      </w:r>
      <w:r>
        <w:rPr>
          <w:i w:val="0"/>
        </w:rPr>
        <w:t>resources</w:t>
      </w:r>
      <w:r w:rsidRPr="00F34C45">
        <w:rPr>
          <w:i w:val="0"/>
        </w:rPr>
        <w:t>. The amounts detailed below are the Australian Government’s contribution only.</w:t>
      </w:r>
    </w:p>
    <w:tbl>
      <w:tblPr>
        <w:tblStyle w:val="57"/>
        <w:tblW w:w="9407" w:type="dxa"/>
        <w:tblInd w:w="94" w:type="dxa"/>
        <w:tblLayout w:type="fixed"/>
        <w:tblLook w:val="04E0" w:firstRow="1" w:lastRow="1" w:firstColumn="1" w:lastColumn="0" w:noHBand="0" w:noVBand="1"/>
      </w:tblPr>
      <w:tblGrid>
        <w:gridCol w:w="1523"/>
        <w:gridCol w:w="2621"/>
        <w:gridCol w:w="1773"/>
        <w:gridCol w:w="2127"/>
        <w:gridCol w:w="1363"/>
      </w:tblGrid>
      <w:tr w:rsidR="007F6C4C" w:rsidRPr="001E27DA" w14:paraId="113C80C3" w14:textId="77777777" w:rsidTr="007F6C4C">
        <w:trPr>
          <w:trHeight w:val="20"/>
        </w:trPr>
        <w:tc>
          <w:tcPr>
            <w:tcW w:w="9407" w:type="dxa"/>
            <w:gridSpan w:val="5"/>
            <w:tcBorders>
              <w:top w:val="single" w:sz="4" w:space="0" w:color="auto"/>
              <w:left w:val="nil"/>
              <w:bottom w:val="single" w:sz="4" w:space="0" w:color="auto"/>
              <w:right w:val="nil"/>
            </w:tcBorders>
            <w:shd w:val="clear" w:color="auto" w:fill="C6D9F1" w:themeFill="text2" w:themeFillTint="33"/>
            <w:tcMar>
              <w:top w:w="57" w:type="dxa"/>
              <w:bottom w:w="57" w:type="dxa"/>
            </w:tcMar>
          </w:tcPr>
          <w:p w14:paraId="113C80C2" w14:textId="77777777" w:rsidR="007F6C4C" w:rsidRPr="001E27DA" w:rsidRDefault="007F6C4C" w:rsidP="00532441">
            <w:pPr>
              <w:rPr>
                <w:rFonts w:ascii="Arial" w:hAnsi="Arial"/>
                <w:b/>
                <w:sz w:val="16"/>
              </w:rPr>
            </w:pPr>
            <w:r w:rsidRPr="007F6C4C">
              <w:rPr>
                <w:rFonts w:ascii="Arial" w:hAnsi="Arial"/>
                <w:b/>
                <w:sz w:val="16"/>
              </w:rPr>
              <w:t>Indicative National Partnership Funding</w:t>
            </w:r>
          </w:p>
        </w:tc>
      </w:tr>
      <w:tr w:rsidR="00DD6A02" w:rsidRPr="001E27DA" w14:paraId="113C80CD" w14:textId="77777777" w:rsidTr="001E27DA">
        <w:trPr>
          <w:trHeight w:val="20"/>
        </w:trPr>
        <w:tc>
          <w:tcPr>
            <w:tcW w:w="1523" w:type="dxa"/>
            <w:tcBorders>
              <w:top w:val="single" w:sz="4" w:space="0" w:color="auto"/>
              <w:left w:val="nil"/>
              <w:bottom w:val="single" w:sz="4" w:space="0" w:color="auto"/>
              <w:right w:val="nil"/>
            </w:tcBorders>
            <w:tcMar>
              <w:top w:w="57" w:type="dxa"/>
              <w:bottom w:w="57" w:type="dxa"/>
            </w:tcMar>
          </w:tcPr>
          <w:p w14:paraId="113C80C4" w14:textId="77777777" w:rsidR="00DD6A02" w:rsidRPr="001E27DA" w:rsidRDefault="006B5720" w:rsidP="00532441">
            <w:pPr>
              <w:widowControl/>
              <w:autoSpaceDE/>
              <w:autoSpaceDN/>
              <w:adjustRightInd/>
              <w:rPr>
                <w:rFonts w:ascii="Arial" w:hAnsi="Arial"/>
                <w:b/>
                <w:sz w:val="16"/>
              </w:rPr>
            </w:pPr>
            <w:r w:rsidRPr="001E27DA">
              <w:rPr>
                <w:rFonts w:ascii="Arial" w:hAnsi="Arial"/>
                <w:b/>
                <w:sz w:val="16"/>
              </w:rPr>
              <w:t>TAS</w:t>
            </w:r>
          </w:p>
        </w:tc>
        <w:tc>
          <w:tcPr>
            <w:tcW w:w="2621" w:type="dxa"/>
            <w:tcBorders>
              <w:top w:val="single" w:sz="4" w:space="0" w:color="auto"/>
              <w:left w:val="nil"/>
              <w:bottom w:val="single" w:sz="4" w:space="0" w:color="auto"/>
              <w:right w:val="nil"/>
            </w:tcBorders>
            <w:tcMar>
              <w:top w:w="57" w:type="dxa"/>
              <w:bottom w:w="57" w:type="dxa"/>
            </w:tcMar>
          </w:tcPr>
          <w:p w14:paraId="113C80C5" w14:textId="77777777" w:rsidR="00F23D5C" w:rsidRPr="001E27DA" w:rsidRDefault="00DD6A02" w:rsidP="00532441">
            <w:pPr>
              <w:widowControl/>
              <w:autoSpaceDE/>
              <w:autoSpaceDN/>
              <w:adjustRightInd/>
              <w:rPr>
                <w:rFonts w:ascii="Arial" w:hAnsi="Arial"/>
                <w:b/>
                <w:sz w:val="16"/>
              </w:rPr>
            </w:pPr>
            <w:r w:rsidRPr="001E27DA">
              <w:rPr>
                <w:rFonts w:ascii="Arial" w:hAnsi="Arial"/>
                <w:b/>
                <w:sz w:val="16"/>
              </w:rPr>
              <w:t>Literacy an</w:t>
            </w:r>
            <w:r w:rsidR="00DA7823" w:rsidRPr="001E27DA">
              <w:rPr>
                <w:rFonts w:ascii="Arial" w:hAnsi="Arial"/>
                <w:b/>
                <w:sz w:val="16"/>
              </w:rPr>
              <w:t xml:space="preserve">d </w:t>
            </w:r>
          </w:p>
          <w:p w14:paraId="113C80C6" w14:textId="77777777" w:rsidR="00DD6A02" w:rsidRPr="001E27DA" w:rsidRDefault="00DD6A02" w:rsidP="00532441">
            <w:pPr>
              <w:widowControl/>
              <w:autoSpaceDE/>
              <w:autoSpaceDN/>
              <w:adjustRightInd/>
              <w:rPr>
                <w:rFonts w:ascii="Arial" w:hAnsi="Arial"/>
                <w:b/>
                <w:sz w:val="16"/>
              </w:rPr>
            </w:pPr>
            <w:r w:rsidRPr="001E27DA">
              <w:rPr>
                <w:rFonts w:ascii="Arial" w:hAnsi="Arial"/>
                <w:b/>
                <w:sz w:val="16"/>
              </w:rPr>
              <w:t>Numeracy</w:t>
            </w:r>
          </w:p>
          <w:p w14:paraId="113C80C7" w14:textId="77777777" w:rsidR="00DD6A02" w:rsidRPr="001E27DA" w:rsidRDefault="00DD6A02" w:rsidP="00532441">
            <w:pPr>
              <w:widowControl/>
              <w:autoSpaceDE/>
              <w:autoSpaceDN/>
              <w:adjustRightInd/>
              <w:rPr>
                <w:rFonts w:ascii="Arial" w:hAnsi="Arial"/>
                <w:b/>
                <w:sz w:val="16"/>
              </w:rPr>
            </w:pPr>
            <w:r w:rsidRPr="001E27DA">
              <w:rPr>
                <w:rFonts w:ascii="Arial" w:hAnsi="Arial"/>
                <w:b/>
                <w:sz w:val="16"/>
              </w:rPr>
              <w:t>(2008-09 to 2011-12)</w:t>
            </w:r>
          </w:p>
        </w:tc>
        <w:tc>
          <w:tcPr>
            <w:tcW w:w="1773" w:type="dxa"/>
            <w:tcBorders>
              <w:top w:val="single" w:sz="4" w:space="0" w:color="auto"/>
              <w:left w:val="nil"/>
              <w:bottom w:val="single" w:sz="4" w:space="0" w:color="auto"/>
              <w:right w:val="nil"/>
            </w:tcBorders>
            <w:tcMar>
              <w:top w:w="57" w:type="dxa"/>
              <w:bottom w:w="57" w:type="dxa"/>
            </w:tcMar>
          </w:tcPr>
          <w:p w14:paraId="113C80C8" w14:textId="77777777" w:rsidR="00DD6A02" w:rsidRPr="001E27DA" w:rsidRDefault="00DD6A02" w:rsidP="00532441">
            <w:pPr>
              <w:widowControl/>
              <w:autoSpaceDE/>
              <w:autoSpaceDN/>
              <w:adjustRightInd/>
              <w:rPr>
                <w:rFonts w:ascii="Arial" w:hAnsi="Arial"/>
                <w:b/>
                <w:sz w:val="16"/>
              </w:rPr>
            </w:pPr>
            <w:r w:rsidRPr="001E27DA">
              <w:rPr>
                <w:rFonts w:ascii="Arial" w:hAnsi="Arial"/>
                <w:b/>
                <w:sz w:val="16"/>
              </w:rPr>
              <w:t>Low SES</w:t>
            </w:r>
          </w:p>
          <w:p w14:paraId="113C80C9" w14:textId="77777777" w:rsidR="00DD6A02" w:rsidRPr="001E27DA" w:rsidRDefault="00DD6A02" w:rsidP="00532441">
            <w:pPr>
              <w:widowControl/>
              <w:autoSpaceDE/>
              <w:autoSpaceDN/>
              <w:adjustRightInd/>
              <w:rPr>
                <w:rFonts w:ascii="Arial" w:hAnsi="Arial"/>
                <w:b/>
                <w:sz w:val="16"/>
              </w:rPr>
            </w:pPr>
            <w:r w:rsidRPr="001E27DA">
              <w:rPr>
                <w:rFonts w:ascii="Arial" w:hAnsi="Arial"/>
                <w:b/>
                <w:sz w:val="16"/>
              </w:rPr>
              <w:t>(2008-09 to 2014-15)</w:t>
            </w:r>
          </w:p>
        </w:tc>
        <w:tc>
          <w:tcPr>
            <w:tcW w:w="2127" w:type="dxa"/>
            <w:tcBorders>
              <w:top w:val="single" w:sz="4" w:space="0" w:color="auto"/>
              <w:left w:val="nil"/>
              <w:bottom w:val="single" w:sz="4" w:space="0" w:color="auto"/>
              <w:right w:val="nil"/>
            </w:tcBorders>
            <w:tcMar>
              <w:top w:w="57" w:type="dxa"/>
              <w:bottom w:w="57" w:type="dxa"/>
            </w:tcMar>
          </w:tcPr>
          <w:p w14:paraId="113C80CA" w14:textId="77777777" w:rsidR="00DD6A02" w:rsidRPr="001E27DA" w:rsidRDefault="00DD6A02" w:rsidP="00532441">
            <w:pPr>
              <w:widowControl/>
              <w:autoSpaceDE/>
              <w:autoSpaceDN/>
              <w:adjustRightInd/>
              <w:rPr>
                <w:rFonts w:ascii="Arial" w:hAnsi="Arial"/>
                <w:b/>
                <w:sz w:val="16"/>
              </w:rPr>
            </w:pPr>
            <w:r w:rsidRPr="001E27DA">
              <w:rPr>
                <w:rFonts w:ascii="Arial" w:hAnsi="Arial"/>
                <w:b/>
                <w:sz w:val="16"/>
              </w:rPr>
              <w:t xml:space="preserve">Improving    </w:t>
            </w:r>
            <w:r w:rsidR="00DA7823" w:rsidRPr="001E27DA">
              <w:rPr>
                <w:rFonts w:ascii="Arial" w:hAnsi="Arial"/>
                <w:b/>
                <w:sz w:val="16"/>
              </w:rPr>
              <w:t xml:space="preserve">                             </w:t>
            </w:r>
            <w:r w:rsidRPr="001E27DA">
              <w:rPr>
                <w:rFonts w:ascii="Arial" w:hAnsi="Arial"/>
                <w:b/>
                <w:sz w:val="16"/>
              </w:rPr>
              <w:t>Teacher Quality</w:t>
            </w:r>
          </w:p>
          <w:p w14:paraId="113C80CB" w14:textId="77777777" w:rsidR="00DD6A02" w:rsidRPr="001E27DA" w:rsidRDefault="00DD6A02" w:rsidP="00532441">
            <w:pPr>
              <w:widowControl/>
              <w:autoSpaceDE/>
              <w:autoSpaceDN/>
              <w:adjustRightInd/>
              <w:rPr>
                <w:rFonts w:ascii="Arial" w:hAnsi="Arial"/>
                <w:b/>
                <w:sz w:val="16"/>
              </w:rPr>
            </w:pPr>
            <w:r w:rsidRPr="001E27DA">
              <w:rPr>
                <w:rFonts w:ascii="Arial" w:hAnsi="Arial"/>
                <w:b/>
                <w:sz w:val="16"/>
              </w:rPr>
              <w:t>(2008-09 to 2012-13)</w:t>
            </w:r>
          </w:p>
        </w:tc>
        <w:tc>
          <w:tcPr>
            <w:tcW w:w="1363" w:type="dxa"/>
            <w:tcBorders>
              <w:top w:val="single" w:sz="4" w:space="0" w:color="auto"/>
              <w:left w:val="nil"/>
              <w:bottom w:val="single" w:sz="4" w:space="0" w:color="auto"/>
              <w:right w:val="nil"/>
            </w:tcBorders>
            <w:tcMar>
              <w:top w:w="57" w:type="dxa"/>
              <w:bottom w:w="57" w:type="dxa"/>
            </w:tcMar>
          </w:tcPr>
          <w:p w14:paraId="113C80CC" w14:textId="77777777" w:rsidR="00DD6A02" w:rsidRPr="001E27DA" w:rsidRDefault="00DD6A02" w:rsidP="00532441">
            <w:pPr>
              <w:widowControl/>
              <w:autoSpaceDE/>
              <w:autoSpaceDN/>
              <w:adjustRightInd/>
              <w:rPr>
                <w:rFonts w:ascii="Arial" w:hAnsi="Arial"/>
                <w:b/>
                <w:sz w:val="16"/>
              </w:rPr>
            </w:pPr>
            <w:r w:rsidRPr="001E27DA">
              <w:rPr>
                <w:rFonts w:ascii="Arial" w:hAnsi="Arial"/>
                <w:b/>
                <w:sz w:val="16"/>
              </w:rPr>
              <w:t>TOTAL</w:t>
            </w:r>
          </w:p>
        </w:tc>
      </w:tr>
      <w:tr w:rsidR="006B5720" w:rsidRPr="001E27DA" w14:paraId="113C80D3" w14:textId="77777777" w:rsidTr="006B5720">
        <w:trPr>
          <w:trHeight w:val="26"/>
        </w:trPr>
        <w:tc>
          <w:tcPr>
            <w:tcW w:w="1523" w:type="dxa"/>
            <w:tcMar>
              <w:top w:w="57" w:type="dxa"/>
              <w:bottom w:w="57" w:type="dxa"/>
            </w:tcMar>
            <w:vAlign w:val="center"/>
          </w:tcPr>
          <w:p w14:paraId="113C80CE" w14:textId="77777777" w:rsidR="006B5720" w:rsidRPr="001E27DA" w:rsidRDefault="006B5720" w:rsidP="00B0768A">
            <w:pPr>
              <w:widowControl/>
              <w:autoSpaceDE/>
              <w:autoSpaceDN/>
              <w:adjustRightInd/>
              <w:rPr>
                <w:rFonts w:ascii="Arial" w:hAnsi="Arial"/>
                <w:sz w:val="16"/>
              </w:rPr>
            </w:pPr>
            <w:r w:rsidRPr="001E27DA">
              <w:rPr>
                <w:rFonts w:ascii="Arial" w:hAnsi="Arial"/>
                <w:sz w:val="16"/>
              </w:rPr>
              <w:t>Facilitation Funding</w:t>
            </w:r>
          </w:p>
        </w:tc>
        <w:tc>
          <w:tcPr>
            <w:tcW w:w="2621" w:type="dxa"/>
            <w:tcMar>
              <w:top w:w="57" w:type="dxa"/>
              <w:bottom w:w="57" w:type="dxa"/>
            </w:tcMar>
            <w:vAlign w:val="center"/>
          </w:tcPr>
          <w:p w14:paraId="113C80CF" w14:textId="77777777" w:rsidR="006B5720" w:rsidRPr="001E27DA" w:rsidRDefault="0074421C" w:rsidP="0074421C">
            <w:pPr>
              <w:widowControl/>
              <w:shd w:val="clear" w:color="auto" w:fill="FFFFFF" w:themeFill="background1"/>
              <w:autoSpaceDE/>
              <w:autoSpaceDN/>
              <w:adjustRightInd/>
              <w:jc w:val="center"/>
              <w:rPr>
                <w:rFonts w:ascii="Arial" w:hAnsi="Arial" w:cs="Arial"/>
                <w:bCs/>
                <w:sz w:val="16"/>
                <w:szCs w:val="16"/>
              </w:rPr>
            </w:pPr>
            <w:r w:rsidRPr="001E27DA">
              <w:rPr>
                <w:rFonts w:ascii="Arial" w:hAnsi="Arial" w:cs="Arial"/>
                <w:bCs/>
                <w:sz w:val="16"/>
                <w:szCs w:val="16"/>
              </w:rPr>
              <w:t>$4.1</w:t>
            </w:r>
            <w:r w:rsidR="006B5720" w:rsidRPr="001E27DA">
              <w:rPr>
                <w:rFonts w:ascii="Arial" w:hAnsi="Arial" w:cs="Arial"/>
                <w:bCs/>
                <w:sz w:val="16"/>
                <w:szCs w:val="16"/>
              </w:rPr>
              <w:t>m</w:t>
            </w:r>
          </w:p>
        </w:tc>
        <w:tc>
          <w:tcPr>
            <w:tcW w:w="1773" w:type="dxa"/>
            <w:tcMar>
              <w:top w:w="57" w:type="dxa"/>
              <w:bottom w:w="57" w:type="dxa"/>
            </w:tcMar>
            <w:vAlign w:val="center"/>
          </w:tcPr>
          <w:p w14:paraId="113C80D0" w14:textId="77777777" w:rsidR="006B5720" w:rsidRPr="001E27DA" w:rsidRDefault="006B5720" w:rsidP="006B5720">
            <w:pPr>
              <w:widowControl/>
              <w:shd w:val="clear" w:color="auto" w:fill="FFFFFF" w:themeFill="background1"/>
              <w:autoSpaceDE/>
              <w:autoSpaceDN/>
              <w:adjustRightInd/>
              <w:jc w:val="center"/>
              <w:rPr>
                <w:rFonts w:ascii="Arial" w:hAnsi="Arial" w:cs="Arial"/>
                <w:bCs/>
                <w:sz w:val="16"/>
                <w:szCs w:val="16"/>
              </w:rPr>
            </w:pPr>
            <w:r w:rsidRPr="001E27DA">
              <w:rPr>
                <w:rFonts w:ascii="Arial" w:hAnsi="Arial" w:cs="Arial"/>
                <w:bCs/>
                <w:sz w:val="16"/>
                <w:szCs w:val="16"/>
              </w:rPr>
              <w:t>$70.1m</w:t>
            </w:r>
          </w:p>
        </w:tc>
        <w:tc>
          <w:tcPr>
            <w:tcW w:w="2127" w:type="dxa"/>
            <w:tcMar>
              <w:top w:w="57" w:type="dxa"/>
              <w:bottom w:w="57" w:type="dxa"/>
            </w:tcMar>
            <w:vAlign w:val="center"/>
          </w:tcPr>
          <w:p w14:paraId="113C80D1" w14:textId="77777777" w:rsidR="006B5720" w:rsidRPr="001E27DA" w:rsidRDefault="006B5720" w:rsidP="006B5720">
            <w:pPr>
              <w:widowControl/>
              <w:shd w:val="clear" w:color="auto" w:fill="FFFFFF" w:themeFill="background1"/>
              <w:autoSpaceDE/>
              <w:autoSpaceDN/>
              <w:adjustRightInd/>
              <w:jc w:val="center"/>
              <w:rPr>
                <w:rFonts w:ascii="Arial" w:hAnsi="Arial" w:cs="Arial"/>
                <w:bCs/>
                <w:sz w:val="16"/>
                <w:szCs w:val="16"/>
              </w:rPr>
            </w:pPr>
            <w:r w:rsidRPr="001E27DA">
              <w:rPr>
                <w:rFonts w:ascii="Arial" w:hAnsi="Arial" w:cs="Arial"/>
                <w:bCs/>
                <w:sz w:val="16"/>
                <w:szCs w:val="16"/>
              </w:rPr>
              <w:t>$2.2m</w:t>
            </w:r>
          </w:p>
        </w:tc>
        <w:tc>
          <w:tcPr>
            <w:tcW w:w="1363" w:type="dxa"/>
            <w:tcMar>
              <w:top w:w="57" w:type="dxa"/>
              <w:bottom w:w="57" w:type="dxa"/>
            </w:tcMar>
            <w:vAlign w:val="center"/>
          </w:tcPr>
          <w:p w14:paraId="113C80D2" w14:textId="77777777" w:rsidR="006B5720" w:rsidRPr="001E27DA" w:rsidRDefault="006B5720" w:rsidP="0074421C">
            <w:pPr>
              <w:widowControl/>
              <w:shd w:val="clear" w:color="auto" w:fill="FFFFFF" w:themeFill="background1"/>
              <w:autoSpaceDE/>
              <w:autoSpaceDN/>
              <w:adjustRightInd/>
              <w:jc w:val="center"/>
              <w:rPr>
                <w:rFonts w:ascii="Arial" w:hAnsi="Arial" w:cs="Arial"/>
                <w:b/>
                <w:sz w:val="16"/>
                <w:szCs w:val="16"/>
              </w:rPr>
            </w:pPr>
            <w:r w:rsidRPr="001E27DA">
              <w:rPr>
                <w:rFonts w:ascii="Arial" w:hAnsi="Arial" w:cs="Arial"/>
                <w:b/>
                <w:bCs/>
                <w:sz w:val="16"/>
                <w:szCs w:val="16"/>
              </w:rPr>
              <w:t>$76.</w:t>
            </w:r>
            <w:r w:rsidR="0074421C" w:rsidRPr="001E27DA">
              <w:rPr>
                <w:rFonts w:ascii="Arial" w:hAnsi="Arial" w:cs="Arial"/>
                <w:b/>
                <w:bCs/>
                <w:sz w:val="16"/>
                <w:szCs w:val="16"/>
              </w:rPr>
              <w:t>4</w:t>
            </w:r>
            <w:r w:rsidRPr="001E27DA">
              <w:rPr>
                <w:rFonts w:ascii="Arial" w:hAnsi="Arial" w:cs="Arial"/>
                <w:b/>
                <w:bCs/>
                <w:sz w:val="16"/>
                <w:szCs w:val="16"/>
              </w:rPr>
              <w:t>m</w:t>
            </w:r>
          </w:p>
        </w:tc>
      </w:tr>
      <w:tr w:rsidR="006B5720" w:rsidRPr="001E27DA" w14:paraId="113C80D9" w14:textId="77777777" w:rsidTr="006B5720">
        <w:trPr>
          <w:trHeight w:val="21"/>
        </w:trPr>
        <w:tc>
          <w:tcPr>
            <w:tcW w:w="1523" w:type="dxa"/>
            <w:tcMar>
              <w:top w:w="57" w:type="dxa"/>
              <w:bottom w:w="57" w:type="dxa"/>
            </w:tcMar>
            <w:vAlign w:val="center"/>
          </w:tcPr>
          <w:p w14:paraId="113C80D4" w14:textId="77777777" w:rsidR="006B5720" w:rsidRPr="001E27DA" w:rsidRDefault="006B5720" w:rsidP="00B0768A">
            <w:pPr>
              <w:widowControl/>
              <w:autoSpaceDE/>
              <w:autoSpaceDN/>
              <w:adjustRightInd/>
              <w:rPr>
                <w:rFonts w:ascii="Arial" w:hAnsi="Arial"/>
                <w:sz w:val="16"/>
              </w:rPr>
            </w:pPr>
            <w:r w:rsidRPr="001E27DA">
              <w:rPr>
                <w:rFonts w:ascii="Arial" w:hAnsi="Arial"/>
                <w:sz w:val="16"/>
              </w:rPr>
              <w:t>Reward Funding</w:t>
            </w:r>
            <w:r w:rsidR="006A3E59">
              <w:rPr>
                <w:rFonts w:ascii="Arial" w:hAnsi="Arial"/>
                <w:sz w:val="16"/>
              </w:rPr>
              <w:t>*</w:t>
            </w:r>
          </w:p>
        </w:tc>
        <w:tc>
          <w:tcPr>
            <w:tcW w:w="2621" w:type="dxa"/>
            <w:tcMar>
              <w:top w:w="57" w:type="dxa"/>
              <w:bottom w:w="57" w:type="dxa"/>
            </w:tcMar>
            <w:vAlign w:val="center"/>
          </w:tcPr>
          <w:p w14:paraId="113C80D5" w14:textId="77777777" w:rsidR="006B5720" w:rsidRPr="001E27DA" w:rsidRDefault="006B5720" w:rsidP="006B5720">
            <w:pPr>
              <w:widowControl/>
              <w:shd w:val="clear" w:color="auto" w:fill="FFFFFF" w:themeFill="background1"/>
              <w:autoSpaceDE/>
              <w:autoSpaceDN/>
              <w:adjustRightInd/>
              <w:jc w:val="center"/>
              <w:rPr>
                <w:rFonts w:ascii="Arial" w:hAnsi="Arial" w:cs="Arial"/>
                <w:bCs/>
                <w:sz w:val="16"/>
                <w:szCs w:val="16"/>
              </w:rPr>
            </w:pPr>
            <w:r w:rsidRPr="001E27DA">
              <w:rPr>
                <w:rFonts w:ascii="Arial" w:hAnsi="Arial" w:cs="Arial"/>
                <w:bCs/>
                <w:sz w:val="16"/>
                <w:szCs w:val="16"/>
              </w:rPr>
              <w:t>$9.0m</w:t>
            </w:r>
          </w:p>
        </w:tc>
        <w:tc>
          <w:tcPr>
            <w:tcW w:w="1773" w:type="dxa"/>
            <w:tcMar>
              <w:top w:w="57" w:type="dxa"/>
              <w:bottom w:w="57" w:type="dxa"/>
            </w:tcMar>
            <w:vAlign w:val="center"/>
          </w:tcPr>
          <w:p w14:paraId="113C80D6" w14:textId="77777777" w:rsidR="006B5720" w:rsidRPr="001E27DA" w:rsidRDefault="006B5720" w:rsidP="006B5720">
            <w:pPr>
              <w:widowControl/>
              <w:shd w:val="clear" w:color="auto" w:fill="FFFFFF" w:themeFill="background1"/>
              <w:autoSpaceDE/>
              <w:autoSpaceDN/>
              <w:adjustRightInd/>
              <w:jc w:val="center"/>
              <w:rPr>
                <w:rFonts w:ascii="Arial" w:hAnsi="Arial" w:cs="Arial"/>
                <w:bCs/>
                <w:sz w:val="16"/>
                <w:szCs w:val="16"/>
              </w:rPr>
            </w:pPr>
            <w:r w:rsidRPr="001E27DA">
              <w:rPr>
                <w:rFonts w:ascii="Arial" w:hAnsi="Arial" w:cs="Arial"/>
                <w:bCs/>
                <w:sz w:val="16"/>
                <w:szCs w:val="16"/>
              </w:rPr>
              <w:t>$0</w:t>
            </w:r>
          </w:p>
        </w:tc>
        <w:tc>
          <w:tcPr>
            <w:tcW w:w="2127" w:type="dxa"/>
            <w:tcMar>
              <w:top w:w="57" w:type="dxa"/>
              <w:bottom w:w="57" w:type="dxa"/>
            </w:tcMar>
            <w:vAlign w:val="center"/>
          </w:tcPr>
          <w:p w14:paraId="113C80D7" w14:textId="77777777" w:rsidR="006B5720" w:rsidRPr="001E27DA" w:rsidRDefault="006B5720" w:rsidP="006B5720">
            <w:pPr>
              <w:widowControl/>
              <w:shd w:val="clear" w:color="auto" w:fill="FFFFFF" w:themeFill="background1"/>
              <w:autoSpaceDE/>
              <w:autoSpaceDN/>
              <w:adjustRightInd/>
              <w:jc w:val="center"/>
              <w:rPr>
                <w:rFonts w:ascii="Arial" w:hAnsi="Arial" w:cs="Arial"/>
                <w:bCs/>
                <w:sz w:val="16"/>
                <w:szCs w:val="16"/>
              </w:rPr>
            </w:pPr>
            <w:r w:rsidRPr="001E27DA">
              <w:rPr>
                <w:rFonts w:ascii="Arial" w:hAnsi="Arial" w:cs="Arial"/>
                <w:bCs/>
                <w:sz w:val="16"/>
                <w:szCs w:val="16"/>
              </w:rPr>
              <w:t>$8.3m</w:t>
            </w:r>
          </w:p>
        </w:tc>
        <w:tc>
          <w:tcPr>
            <w:tcW w:w="1363" w:type="dxa"/>
            <w:tcMar>
              <w:top w:w="57" w:type="dxa"/>
              <w:bottom w:w="57" w:type="dxa"/>
            </w:tcMar>
            <w:vAlign w:val="center"/>
          </w:tcPr>
          <w:p w14:paraId="113C80D8" w14:textId="77777777" w:rsidR="006B5720" w:rsidRPr="001E27DA" w:rsidRDefault="006B5720" w:rsidP="006B5720">
            <w:pPr>
              <w:widowControl/>
              <w:shd w:val="clear" w:color="auto" w:fill="FFFFFF" w:themeFill="background1"/>
              <w:autoSpaceDE/>
              <w:autoSpaceDN/>
              <w:adjustRightInd/>
              <w:jc w:val="center"/>
              <w:rPr>
                <w:rFonts w:ascii="Arial" w:hAnsi="Arial" w:cs="Arial"/>
                <w:b/>
                <w:sz w:val="16"/>
                <w:szCs w:val="16"/>
              </w:rPr>
            </w:pPr>
            <w:r w:rsidRPr="001E27DA">
              <w:rPr>
                <w:rFonts w:ascii="Arial" w:hAnsi="Arial" w:cs="Arial"/>
                <w:b/>
                <w:bCs/>
                <w:sz w:val="16"/>
                <w:szCs w:val="16"/>
              </w:rPr>
              <w:t>$17.3m</w:t>
            </w:r>
          </w:p>
        </w:tc>
      </w:tr>
      <w:tr w:rsidR="006B5720" w:rsidRPr="001E27DA" w14:paraId="113C80DF" w14:textId="77777777" w:rsidTr="006B5720">
        <w:trPr>
          <w:trHeight w:val="21"/>
        </w:trPr>
        <w:tc>
          <w:tcPr>
            <w:tcW w:w="1523" w:type="dxa"/>
            <w:tcBorders>
              <w:top w:val="nil"/>
              <w:left w:val="nil"/>
              <w:bottom w:val="single" w:sz="4" w:space="0" w:color="000000" w:themeColor="text1"/>
              <w:right w:val="nil"/>
            </w:tcBorders>
            <w:tcMar>
              <w:top w:w="57" w:type="dxa"/>
              <w:bottom w:w="57" w:type="dxa"/>
            </w:tcMar>
            <w:vAlign w:val="center"/>
          </w:tcPr>
          <w:p w14:paraId="113C80DA" w14:textId="77777777" w:rsidR="006B5720" w:rsidRPr="001E27DA" w:rsidRDefault="006B5720" w:rsidP="00B0768A">
            <w:pPr>
              <w:widowControl/>
              <w:autoSpaceDE/>
              <w:autoSpaceDN/>
              <w:adjustRightInd/>
              <w:rPr>
                <w:rFonts w:ascii="Arial" w:hAnsi="Arial"/>
                <w:b/>
                <w:sz w:val="16"/>
              </w:rPr>
            </w:pPr>
            <w:r w:rsidRPr="001E27DA">
              <w:rPr>
                <w:rFonts w:ascii="Arial" w:hAnsi="Arial"/>
                <w:b/>
                <w:sz w:val="16"/>
              </w:rPr>
              <w:t>Total Funding</w:t>
            </w:r>
          </w:p>
        </w:tc>
        <w:tc>
          <w:tcPr>
            <w:tcW w:w="2621" w:type="dxa"/>
            <w:tcBorders>
              <w:top w:val="nil"/>
              <w:left w:val="nil"/>
              <w:bottom w:val="single" w:sz="4" w:space="0" w:color="000000" w:themeColor="text1"/>
              <w:right w:val="nil"/>
            </w:tcBorders>
            <w:tcMar>
              <w:top w:w="57" w:type="dxa"/>
              <w:bottom w:w="57" w:type="dxa"/>
            </w:tcMar>
            <w:vAlign w:val="center"/>
          </w:tcPr>
          <w:p w14:paraId="113C80DB" w14:textId="77777777" w:rsidR="006B5720" w:rsidRPr="001E27DA" w:rsidRDefault="0074421C" w:rsidP="0074421C">
            <w:pPr>
              <w:widowControl/>
              <w:shd w:val="clear" w:color="auto" w:fill="FFFFFF" w:themeFill="background1"/>
              <w:autoSpaceDE/>
              <w:autoSpaceDN/>
              <w:adjustRightInd/>
              <w:jc w:val="center"/>
              <w:rPr>
                <w:rFonts w:ascii="Arial" w:hAnsi="Arial" w:cs="Arial"/>
                <w:b/>
                <w:bCs/>
                <w:sz w:val="16"/>
                <w:szCs w:val="16"/>
              </w:rPr>
            </w:pPr>
            <w:r w:rsidRPr="001E27DA">
              <w:rPr>
                <w:rFonts w:ascii="Arial" w:hAnsi="Arial" w:cs="Arial"/>
                <w:b/>
                <w:bCs/>
                <w:sz w:val="16"/>
                <w:szCs w:val="16"/>
              </w:rPr>
              <w:t>$13</w:t>
            </w:r>
            <w:r w:rsidR="006B5720" w:rsidRPr="001E27DA">
              <w:rPr>
                <w:rFonts w:ascii="Arial" w:hAnsi="Arial" w:cs="Arial"/>
                <w:b/>
                <w:bCs/>
                <w:sz w:val="16"/>
                <w:szCs w:val="16"/>
              </w:rPr>
              <w:t>.</w:t>
            </w:r>
            <w:r w:rsidRPr="001E27DA">
              <w:rPr>
                <w:rFonts w:ascii="Arial" w:hAnsi="Arial" w:cs="Arial"/>
                <w:b/>
                <w:bCs/>
                <w:sz w:val="16"/>
                <w:szCs w:val="16"/>
              </w:rPr>
              <w:t>1</w:t>
            </w:r>
            <w:r w:rsidR="006B5720" w:rsidRPr="001E27DA">
              <w:rPr>
                <w:rFonts w:ascii="Arial" w:hAnsi="Arial" w:cs="Arial"/>
                <w:b/>
                <w:bCs/>
                <w:sz w:val="16"/>
                <w:szCs w:val="16"/>
              </w:rPr>
              <w:t>m</w:t>
            </w:r>
          </w:p>
        </w:tc>
        <w:tc>
          <w:tcPr>
            <w:tcW w:w="1773" w:type="dxa"/>
            <w:tcBorders>
              <w:top w:val="nil"/>
              <w:left w:val="nil"/>
              <w:bottom w:val="single" w:sz="4" w:space="0" w:color="000000" w:themeColor="text1"/>
              <w:right w:val="nil"/>
            </w:tcBorders>
            <w:tcMar>
              <w:top w:w="57" w:type="dxa"/>
              <w:bottom w:w="57" w:type="dxa"/>
            </w:tcMar>
            <w:vAlign w:val="center"/>
          </w:tcPr>
          <w:p w14:paraId="113C80DC" w14:textId="77777777" w:rsidR="006B5720" w:rsidRPr="001E27DA" w:rsidRDefault="006B5720" w:rsidP="006B5720">
            <w:pPr>
              <w:widowControl/>
              <w:shd w:val="clear" w:color="auto" w:fill="FFFFFF" w:themeFill="background1"/>
              <w:autoSpaceDE/>
              <w:autoSpaceDN/>
              <w:adjustRightInd/>
              <w:jc w:val="center"/>
              <w:rPr>
                <w:rFonts w:ascii="Arial" w:hAnsi="Arial" w:cs="Arial"/>
                <w:b/>
                <w:bCs/>
                <w:sz w:val="16"/>
                <w:szCs w:val="16"/>
              </w:rPr>
            </w:pPr>
            <w:r w:rsidRPr="001E27DA">
              <w:rPr>
                <w:rFonts w:ascii="Arial" w:hAnsi="Arial" w:cs="Arial"/>
                <w:b/>
                <w:bCs/>
                <w:sz w:val="16"/>
                <w:szCs w:val="16"/>
              </w:rPr>
              <w:t>$70.1m</w:t>
            </w:r>
          </w:p>
        </w:tc>
        <w:tc>
          <w:tcPr>
            <w:tcW w:w="2127" w:type="dxa"/>
            <w:tcBorders>
              <w:top w:val="nil"/>
              <w:left w:val="nil"/>
              <w:bottom w:val="single" w:sz="4" w:space="0" w:color="000000" w:themeColor="text1"/>
              <w:right w:val="nil"/>
            </w:tcBorders>
            <w:tcMar>
              <w:top w:w="57" w:type="dxa"/>
              <w:bottom w:w="57" w:type="dxa"/>
            </w:tcMar>
            <w:vAlign w:val="center"/>
          </w:tcPr>
          <w:p w14:paraId="113C80DD" w14:textId="77777777" w:rsidR="006B5720" w:rsidRPr="001E27DA" w:rsidRDefault="006B5720" w:rsidP="006B5720">
            <w:pPr>
              <w:widowControl/>
              <w:shd w:val="clear" w:color="auto" w:fill="FFFFFF" w:themeFill="background1"/>
              <w:autoSpaceDE/>
              <w:autoSpaceDN/>
              <w:adjustRightInd/>
              <w:jc w:val="center"/>
              <w:rPr>
                <w:rFonts w:ascii="Arial" w:hAnsi="Arial" w:cs="Arial"/>
                <w:b/>
                <w:bCs/>
                <w:sz w:val="16"/>
                <w:szCs w:val="16"/>
              </w:rPr>
            </w:pPr>
            <w:r w:rsidRPr="001E27DA">
              <w:rPr>
                <w:rFonts w:ascii="Arial" w:hAnsi="Arial" w:cs="Arial"/>
                <w:b/>
                <w:bCs/>
                <w:sz w:val="16"/>
                <w:szCs w:val="16"/>
              </w:rPr>
              <w:t>$10.5m</w:t>
            </w:r>
          </w:p>
        </w:tc>
        <w:tc>
          <w:tcPr>
            <w:tcW w:w="1363" w:type="dxa"/>
            <w:tcBorders>
              <w:top w:val="nil"/>
              <w:left w:val="nil"/>
              <w:bottom w:val="single" w:sz="4" w:space="0" w:color="000000" w:themeColor="text1"/>
              <w:right w:val="nil"/>
            </w:tcBorders>
            <w:tcMar>
              <w:top w:w="57" w:type="dxa"/>
              <w:bottom w:w="57" w:type="dxa"/>
            </w:tcMar>
            <w:vAlign w:val="center"/>
          </w:tcPr>
          <w:p w14:paraId="113C80DE" w14:textId="77777777" w:rsidR="006B5720" w:rsidRPr="001E27DA" w:rsidRDefault="006B5720" w:rsidP="0074421C">
            <w:pPr>
              <w:widowControl/>
              <w:shd w:val="clear" w:color="auto" w:fill="FFFFFF" w:themeFill="background1"/>
              <w:autoSpaceDE/>
              <w:autoSpaceDN/>
              <w:adjustRightInd/>
              <w:jc w:val="center"/>
              <w:rPr>
                <w:rFonts w:ascii="Arial" w:hAnsi="Arial" w:cs="Arial"/>
                <w:b/>
                <w:sz w:val="16"/>
                <w:szCs w:val="16"/>
              </w:rPr>
            </w:pPr>
            <w:r w:rsidRPr="001E27DA">
              <w:rPr>
                <w:rFonts w:ascii="Arial" w:hAnsi="Arial" w:cs="Arial"/>
                <w:b/>
                <w:sz w:val="16"/>
                <w:szCs w:val="16"/>
              </w:rPr>
              <w:t>$93.</w:t>
            </w:r>
            <w:r w:rsidR="0074421C" w:rsidRPr="001E27DA">
              <w:rPr>
                <w:rFonts w:ascii="Arial" w:hAnsi="Arial" w:cs="Arial"/>
                <w:b/>
                <w:sz w:val="16"/>
                <w:szCs w:val="16"/>
              </w:rPr>
              <w:t>7</w:t>
            </w:r>
            <w:r w:rsidRPr="001E27DA">
              <w:rPr>
                <w:rFonts w:ascii="Arial" w:hAnsi="Arial" w:cs="Arial"/>
                <w:b/>
                <w:sz w:val="16"/>
                <w:szCs w:val="16"/>
              </w:rPr>
              <w:t>m</w:t>
            </w:r>
          </w:p>
        </w:tc>
      </w:tr>
    </w:tbl>
    <w:p w14:paraId="113C80E0" w14:textId="77777777" w:rsidR="006A3E59" w:rsidRPr="0077475D" w:rsidRDefault="006A3E59" w:rsidP="006A3E59">
      <w:pPr>
        <w:pStyle w:val="SSIntro"/>
        <w:rPr>
          <w:i w:val="0"/>
          <w:sz w:val="16"/>
        </w:rPr>
      </w:pPr>
      <w:r w:rsidRPr="00DE53A2">
        <w:t>*</w:t>
      </w:r>
      <w:r w:rsidRPr="00CC5E33">
        <w:rPr>
          <w:i w:val="0"/>
          <w:sz w:val="16"/>
          <w:szCs w:val="16"/>
        </w:rPr>
        <w:t xml:space="preserve"> </w:t>
      </w:r>
      <w:r>
        <w:rPr>
          <w:i w:val="0"/>
          <w:sz w:val="16"/>
          <w:szCs w:val="16"/>
        </w:rPr>
        <w:t>Figures are</w:t>
      </w:r>
      <w:r w:rsidRPr="0077475D">
        <w:rPr>
          <w:i w:val="0"/>
          <w:sz w:val="16"/>
        </w:rPr>
        <w:t xml:space="preserve"> subject to the achievement of agreed performance targets as assessed by the COAG Reform Council. The Reward Funding amounts should be considered as an “up to amount” or “maximum” funding. </w:t>
      </w:r>
    </w:p>
    <w:p w14:paraId="113C80E1" w14:textId="77777777" w:rsidR="007F6C4C" w:rsidRDefault="00DD6A02" w:rsidP="007F6C4C">
      <w:pPr>
        <w:pStyle w:val="SSCaption"/>
      </w:pPr>
      <w:r w:rsidRPr="001E27DA">
        <w:t>Totals may not add due to rounding</w:t>
      </w:r>
      <w:r w:rsidR="007F6C4C">
        <w:t>.</w:t>
      </w:r>
    </w:p>
    <w:p w14:paraId="113C80E2" w14:textId="77777777" w:rsidR="007F6C4C" w:rsidRDefault="007F6C4C" w:rsidP="007F6C4C">
      <w:pPr>
        <w:pStyle w:val="SSCaption"/>
      </w:pPr>
    </w:p>
    <w:p w14:paraId="113C80E3" w14:textId="77777777" w:rsidR="00DD6A02" w:rsidRPr="0014105A" w:rsidRDefault="00DD6A02" w:rsidP="007F6C4C">
      <w:pPr>
        <w:pStyle w:val="SSCaption"/>
      </w:pPr>
      <w:r w:rsidRPr="0014105A">
        <w:tab/>
      </w:r>
      <w:r w:rsidRPr="0014105A">
        <w:tab/>
      </w:r>
      <w:r w:rsidRPr="0014105A">
        <w:tab/>
      </w:r>
      <w:r w:rsidRPr="0014105A">
        <w:tab/>
        <w:t xml:space="preserve">   </w:t>
      </w:r>
    </w:p>
    <w:tbl>
      <w:tblPr>
        <w:tblStyle w:val="57"/>
        <w:tblW w:w="9407" w:type="dxa"/>
        <w:tblInd w:w="80" w:type="dxa"/>
        <w:tblLook w:val="04E0" w:firstRow="1" w:lastRow="1" w:firstColumn="1" w:lastColumn="0" w:noHBand="0" w:noVBand="1"/>
      </w:tblPr>
      <w:tblGrid>
        <w:gridCol w:w="2096"/>
        <w:gridCol w:w="1011"/>
        <w:gridCol w:w="1363"/>
        <w:gridCol w:w="1358"/>
        <w:gridCol w:w="1835"/>
        <w:gridCol w:w="1744"/>
      </w:tblGrid>
      <w:tr w:rsidR="007F6C4C" w:rsidRPr="0014105A" w14:paraId="113C80E5" w14:textId="77777777" w:rsidTr="007F6C4C">
        <w:trPr>
          <w:trHeight w:val="126"/>
        </w:trPr>
        <w:tc>
          <w:tcPr>
            <w:tcW w:w="9407" w:type="dxa"/>
            <w:gridSpan w:val="6"/>
            <w:tcBorders>
              <w:top w:val="single" w:sz="4" w:space="0" w:color="auto"/>
              <w:left w:val="nil"/>
              <w:bottom w:val="single" w:sz="4" w:space="0" w:color="auto"/>
              <w:right w:val="nil"/>
            </w:tcBorders>
            <w:shd w:val="clear" w:color="auto" w:fill="C6D9F1" w:themeFill="text2" w:themeFillTint="33"/>
            <w:tcMar>
              <w:top w:w="57" w:type="dxa"/>
              <w:bottom w:w="57" w:type="dxa"/>
            </w:tcMar>
          </w:tcPr>
          <w:p w14:paraId="113C80E4" w14:textId="77777777" w:rsidR="007F6C4C" w:rsidRPr="0014105A" w:rsidRDefault="007F6C4C" w:rsidP="00532441">
            <w:pPr>
              <w:rPr>
                <w:rFonts w:ascii="Arial" w:hAnsi="Arial"/>
                <w:b/>
                <w:sz w:val="16"/>
              </w:rPr>
            </w:pPr>
            <w:r w:rsidRPr="007F6C4C">
              <w:rPr>
                <w:rFonts w:ascii="Arial" w:hAnsi="Arial"/>
                <w:b/>
                <w:sz w:val="16"/>
              </w:rPr>
              <w:t>Participation</w:t>
            </w:r>
          </w:p>
        </w:tc>
      </w:tr>
      <w:tr w:rsidR="00CC4F69" w:rsidRPr="0014105A" w14:paraId="113C80F1" w14:textId="77777777" w:rsidTr="001E27DA">
        <w:trPr>
          <w:trHeight w:val="441"/>
        </w:trPr>
        <w:tc>
          <w:tcPr>
            <w:tcW w:w="2096" w:type="dxa"/>
            <w:tcBorders>
              <w:top w:val="single" w:sz="4" w:space="0" w:color="auto"/>
              <w:left w:val="nil"/>
              <w:bottom w:val="single" w:sz="4" w:space="0" w:color="auto"/>
              <w:right w:val="nil"/>
            </w:tcBorders>
            <w:tcMar>
              <w:top w:w="57" w:type="dxa"/>
              <w:bottom w:w="57" w:type="dxa"/>
            </w:tcMar>
          </w:tcPr>
          <w:p w14:paraId="113C80E6" w14:textId="77777777" w:rsidR="00DD6A02" w:rsidRPr="0014105A" w:rsidRDefault="006B5720" w:rsidP="00532441">
            <w:pPr>
              <w:widowControl/>
              <w:autoSpaceDE/>
              <w:autoSpaceDN/>
              <w:adjustRightInd/>
              <w:rPr>
                <w:rFonts w:ascii="Arial" w:hAnsi="Arial"/>
                <w:b/>
                <w:sz w:val="16"/>
              </w:rPr>
            </w:pPr>
            <w:r w:rsidRPr="0014105A">
              <w:rPr>
                <w:rFonts w:ascii="Arial" w:hAnsi="Arial"/>
                <w:b/>
                <w:sz w:val="16"/>
              </w:rPr>
              <w:t>TAS</w:t>
            </w:r>
          </w:p>
        </w:tc>
        <w:tc>
          <w:tcPr>
            <w:tcW w:w="1011" w:type="dxa"/>
            <w:tcBorders>
              <w:top w:val="single" w:sz="4" w:space="0" w:color="auto"/>
              <w:left w:val="nil"/>
              <w:bottom w:val="single" w:sz="4" w:space="0" w:color="auto"/>
              <w:right w:val="nil"/>
            </w:tcBorders>
            <w:tcMar>
              <w:top w:w="57" w:type="dxa"/>
              <w:bottom w:w="57" w:type="dxa"/>
            </w:tcMar>
          </w:tcPr>
          <w:p w14:paraId="113C80E7" w14:textId="77777777" w:rsidR="00DD6A02" w:rsidRPr="0014105A" w:rsidRDefault="00DD6A02" w:rsidP="00532441">
            <w:pPr>
              <w:widowControl/>
              <w:autoSpaceDE/>
              <w:autoSpaceDN/>
              <w:adjustRightInd/>
              <w:rPr>
                <w:rFonts w:ascii="Arial" w:hAnsi="Arial"/>
                <w:b/>
                <w:sz w:val="16"/>
              </w:rPr>
            </w:pPr>
            <w:r w:rsidRPr="0014105A">
              <w:rPr>
                <w:rFonts w:ascii="Arial" w:hAnsi="Arial"/>
                <w:b/>
                <w:sz w:val="16"/>
              </w:rPr>
              <w:t>Schools                                                          in NP</w:t>
            </w:r>
          </w:p>
        </w:tc>
        <w:tc>
          <w:tcPr>
            <w:tcW w:w="1363" w:type="dxa"/>
            <w:tcBorders>
              <w:top w:val="single" w:sz="4" w:space="0" w:color="auto"/>
              <w:left w:val="nil"/>
              <w:bottom w:val="single" w:sz="4" w:space="0" w:color="auto"/>
              <w:right w:val="nil"/>
            </w:tcBorders>
            <w:tcMar>
              <w:top w:w="57" w:type="dxa"/>
              <w:bottom w:w="57" w:type="dxa"/>
            </w:tcMar>
          </w:tcPr>
          <w:p w14:paraId="113C80E8" w14:textId="77777777" w:rsidR="00DD6A02" w:rsidRPr="0014105A" w:rsidRDefault="00DD6A02" w:rsidP="00532441">
            <w:pPr>
              <w:widowControl/>
              <w:autoSpaceDE/>
              <w:autoSpaceDN/>
              <w:adjustRightInd/>
              <w:rPr>
                <w:rFonts w:ascii="Arial" w:hAnsi="Arial"/>
                <w:b/>
                <w:sz w:val="16"/>
              </w:rPr>
            </w:pPr>
            <w:r w:rsidRPr="0014105A">
              <w:rPr>
                <w:rFonts w:ascii="Arial" w:hAnsi="Arial"/>
                <w:b/>
                <w:sz w:val="16"/>
              </w:rPr>
              <w:t>Students*</w:t>
            </w:r>
          </w:p>
          <w:p w14:paraId="113C80E9" w14:textId="77777777" w:rsidR="00DD6A02" w:rsidRPr="0014105A" w:rsidRDefault="00DD6A02" w:rsidP="00532441">
            <w:pPr>
              <w:widowControl/>
              <w:autoSpaceDE/>
              <w:autoSpaceDN/>
              <w:adjustRightInd/>
              <w:rPr>
                <w:rFonts w:ascii="Arial" w:hAnsi="Arial"/>
                <w:b/>
                <w:sz w:val="16"/>
              </w:rPr>
            </w:pPr>
            <w:r w:rsidRPr="0014105A">
              <w:rPr>
                <w:rFonts w:ascii="Arial" w:hAnsi="Arial"/>
                <w:b/>
                <w:sz w:val="16"/>
              </w:rPr>
              <w:t>in NP</w:t>
            </w:r>
          </w:p>
          <w:p w14:paraId="113C80EA" w14:textId="77777777" w:rsidR="009D2EC6" w:rsidRPr="0014105A" w:rsidRDefault="009D2EC6" w:rsidP="00532441">
            <w:pPr>
              <w:widowControl/>
              <w:autoSpaceDE/>
              <w:autoSpaceDN/>
              <w:adjustRightInd/>
              <w:rPr>
                <w:rFonts w:ascii="Arial" w:hAnsi="Arial"/>
                <w:b/>
                <w:sz w:val="16"/>
              </w:rPr>
            </w:pPr>
            <w:r w:rsidRPr="0014105A">
              <w:rPr>
                <w:rFonts w:ascii="Arial" w:hAnsi="Arial"/>
                <w:b/>
                <w:sz w:val="16"/>
              </w:rPr>
              <w:t>(FTE)</w:t>
            </w:r>
          </w:p>
        </w:tc>
        <w:tc>
          <w:tcPr>
            <w:tcW w:w="1358" w:type="dxa"/>
            <w:tcBorders>
              <w:top w:val="single" w:sz="4" w:space="0" w:color="auto"/>
              <w:left w:val="nil"/>
              <w:bottom w:val="single" w:sz="4" w:space="0" w:color="auto"/>
              <w:right w:val="nil"/>
            </w:tcBorders>
            <w:tcMar>
              <w:top w:w="57" w:type="dxa"/>
              <w:bottom w:w="57" w:type="dxa"/>
            </w:tcMar>
          </w:tcPr>
          <w:p w14:paraId="113C80EB" w14:textId="77777777" w:rsidR="00DD6A02" w:rsidRPr="0014105A" w:rsidRDefault="00DD6A02" w:rsidP="00532441">
            <w:pPr>
              <w:widowControl/>
              <w:autoSpaceDE/>
              <w:autoSpaceDN/>
              <w:adjustRightInd/>
              <w:rPr>
                <w:rFonts w:ascii="Arial" w:hAnsi="Arial"/>
                <w:b/>
                <w:sz w:val="16"/>
              </w:rPr>
            </w:pPr>
            <w:r w:rsidRPr="0014105A">
              <w:rPr>
                <w:rFonts w:ascii="Arial" w:hAnsi="Arial"/>
                <w:b/>
                <w:sz w:val="16"/>
              </w:rPr>
              <w:t>As a % of</w:t>
            </w:r>
          </w:p>
          <w:p w14:paraId="113C80EC" w14:textId="77777777" w:rsidR="00DD6A02" w:rsidRPr="0014105A" w:rsidRDefault="00DD6A02" w:rsidP="00532441">
            <w:pPr>
              <w:widowControl/>
              <w:autoSpaceDE/>
              <w:autoSpaceDN/>
              <w:adjustRightInd/>
              <w:rPr>
                <w:rFonts w:ascii="Arial" w:hAnsi="Arial"/>
                <w:b/>
                <w:sz w:val="16"/>
              </w:rPr>
            </w:pPr>
            <w:r w:rsidRPr="0014105A">
              <w:rPr>
                <w:rFonts w:ascii="Arial" w:hAnsi="Arial"/>
                <w:b/>
                <w:sz w:val="16"/>
              </w:rPr>
              <w:t>all students</w:t>
            </w:r>
          </w:p>
          <w:p w14:paraId="113C80ED" w14:textId="77777777" w:rsidR="00DD6A02" w:rsidRPr="0014105A" w:rsidRDefault="00DF303E" w:rsidP="00532441">
            <w:pPr>
              <w:widowControl/>
              <w:autoSpaceDE/>
              <w:autoSpaceDN/>
              <w:adjustRightInd/>
              <w:rPr>
                <w:rFonts w:ascii="Arial" w:hAnsi="Arial"/>
                <w:b/>
                <w:sz w:val="16"/>
              </w:rPr>
            </w:pPr>
            <w:r w:rsidRPr="0014105A">
              <w:rPr>
                <w:rFonts w:ascii="Arial" w:hAnsi="Arial"/>
                <w:b/>
                <w:sz w:val="16"/>
              </w:rPr>
              <w:t>(TAS</w:t>
            </w:r>
            <w:r w:rsidR="00DD6A02" w:rsidRPr="0014105A">
              <w:rPr>
                <w:rFonts w:ascii="Arial" w:hAnsi="Arial"/>
                <w:b/>
                <w:sz w:val="16"/>
              </w:rPr>
              <w:t>)</w:t>
            </w:r>
          </w:p>
        </w:tc>
        <w:tc>
          <w:tcPr>
            <w:tcW w:w="1835" w:type="dxa"/>
            <w:tcBorders>
              <w:top w:val="single" w:sz="4" w:space="0" w:color="auto"/>
              <w:left w:val="nil"/>
              <w:bottom w:val="single" w:sz="4" w:space="0" w:color="auto"/>
              <w:right w:val="nil"/>
            </w:tcBorders>
            <w:tcMar>
              <w:top w:w="57" w:type="dxa"/>
              <w:bottom w:w="57" w:type="dxa"/>
            </w:tcMar>
          </w:tcPr>
          <w:p w14:paraId="113C80EE" w14:textId="77777777" w:rsidR="00DD6A02" w:rsidRPr="0014105A" w:rsidRDefault="00DD6A02" w:rsidP="00532441">
            <w:pPr>
              <w:widowControl/>
              <w:autoSpaceDE/>
              <w:autoSpaceDN/>
              <w:adjustRightInd/>
              <w:rPr>
                <w:rFonts w:ascii="Arial" w:hAnsi="Arial"/>
                <w:b/>
                <w:sz w:val="16"/>
              </w:rPr>
            </w:pPr>
            <w:r w:rsidRPr="0014105A">
              <w:rPr>
                <w:rFonts w:ascii="Arial" w:hAnsi="Arial"/>
                <w:b/>
                <w:sz w:val="16"/>
              </w:rPr>
              <w:t xml:space="preserve">Indigenous   </w:t>
            </w:r>
          </w:p>
          <w:p w14:paraId="113C80EF" w14:textId="77777777" w:rsidR="00DD6A02" w:rsidRPr="0014105A" w:rsidRDefault="00DD6A02" w:rsidP="00532441">
            <w:pPr>
              <w:widowControl/>
              <w:autoSpaceDE/>
              <w:autoSpaceDN/>
              <w:adjustRightInd/>
              <w:rPr>
                <w:rFonts w:ascii="Arial" w:hAnsi="Arial"/>
                <w:b/>
                <w:sz w:val="16"/>
              </w:rPr>
            </w:pPr>
            <w:r w:rsidRPr="0014105A">
              <w:rPr>
                <w:rFonts w:ascii="Arial" w:hAnsi="Arial"/>
                <w:b/>
                <w:sz w:val="16"/>
              </w:rPr>
              <w:t>students in NP</w:t>
            </w:r>
          </w:p>
        </w:tc>
        <w:tc>
          <w:tcPr>
            <w:tcW w:w="1744" w:type="dxa"/>
            <w:tcBorders>
              <w:top w:val="single" w:sz="4" w:space="0" w:color="auto"/>
              <w:left w:val="nil"/>
              <w:bottom w:val="single" w:sz="4" w:space="0" w:color="auto"/>
              <w:right w:val="nil"/>
            </w:tcBorders>
            <w:tcMar>
              <w:top w:w="57" w:type="dxa"/>
              <w:bottom w:w="57" w:type="dxa"/>
            </w:tcMar>
          </w:tcPr>
          <w:p w14:paraId="113C80F0" w14:textId="77777777" w:rsidR="00DD6A02" w:rsidRPr="0014105A" w:rsidRDefault="00DD6A02" w:rsidP="00532441">
            <w:pPr>
              <w:widowControl/>
              <w:autoSpaceDE/>
              <w:autoSpaceDN/>
              <w:adjustRightInd/>
              <w:rPr>
                <w:rFonts w:ascii="Arial" w:hAnsi="Arial"/>
                <w:b/>
                <w:sz w:val="16"/>
              </w:rPr>
            </w:pPr>
            <w:r w:rsidRPr="0014105A">
              <w:rPr>
                <w:rFonts w:ascii="Arial" w:hAnsi="Arial"/>
                <w:b/>
                <w:sz w:val="16"/>
              </w:rPr>
              <w:t xml:space="preserve">As a </w:t>
            </w:r>
            <w:r w:rsidR="00DF303E" w:rsidRPr="0014105A">
              <w:rPr>
                <w:rFonts w:ascii="Arial" w:hAnsi="Arial"/>
                <w:b/>
                <w:sz w:val="16"/>
              </w:rPr>
              <w:t>% of Indigenous    students (TAS</w:t>
            </w:r>
            <w:r w:rsidRPr="0014105A">
              <w:rPr>
                <w:rFonts w:ascii="Arial" w:hAnsi="Arial"/>
                <w:b/>
                <w:sz w:val="16"/>
              </w:rPr>
              <w:t>)</w:t>
            </w:r>
          </w:p>
        </w:tc>
      </w:tr>
      <w:tr w:rsidR="006B5720" w:rsidRPr="0014105A" w14:paraId="113C80F8" w14:textId="77777777" w:rsidTr="00352CB1">
        <w:trPr>
          <w:trHeight w:val="236"/>
        </w:trPr>
        <w:tc>
          <w:tcPr>
            <w:tcW w:w="2096" w:type="dxa"/>
            <w:tcMar>
              <w:top w:w="57" w:type="dxa"/>
              <w:bottom w:w="57" w:type="dxa"/>
            </w:tcMar>
            <w:vAlign w:val="center"/>
          </w:tcPr>
          <w:p w14:paraId="113C80F2" w14:textId="77777777" w:rsidR="006B5720" w:rsidRPr="0014105A" w:rsidRDefault="006B5720" w:rsidP="00352CB1">
            <w:pPr>
              <w:widowControl/>
              <w:autoSpaceDE/>
              <w:autoSpaceDN/>
              <w:adjustRightInd/>
              <w:rPr>
                <w:rFonts w:ascii="Arial" w:hAnsi="Arial"/>
                <w:sz w:val="16"/>
              </w:rPr>
            </w:pPr>
            <w:r w:rsidRPr="0014105A">
              <w:rPr>
                <w:rFonts w:ascii="Arial" w:hAnsi="Arial"/>
                <w:sz w:val="16"/>
              </w:rPr>
              <w:t xml:space="preserve">Literacy and Numeracy </w:t>
            </w:r>
          </w:p>
        </w:tc>
        <w:tc>
          <w:tcPr>
            <w:tcW w:w="1011" w:type="dxa"/>
            <w:tcMar>
              <w:top w:w="57" w:type="dxa"/>
              <w:bottom w:w="57" w:type="dxa"/>
            </w:tcMar>
            <w:vAlign w:val="center"/>
          </w:tcPr>
          <w:p w14:paraId="113C80F3" w14:textId="77777777" w:rsidR="006B5720" w:rsidRPr="0014105A" w:rsidRDefault="006B5720" w:rsidP="006B5720">
            <w:pPr>
              <w:widowControl/>
              <w:jc w:val="center"/>
              <w:rPr>
                <w:rFonts w:ascii="Arial" w:hAnsi="Arial" w:cs="Arial"/>
                <w:sz w:val="16"/>
                <w:szCs w:val="16"/>
              </w:rPr>
            </w:pPr>
            <w:r w:rsidRPr="0014105A">
              <w:rPr>
                <w:rFonts w:ascii="Arial" w:hAnsi="Arial" w:cs="Arial"/>
                <w:sz w:val="16"/>
                <w:szCs w:val="16"/>
              </w:rPr>
              <w:t>3</w:t>
            </w:r>
            <w:r w:rsidR="003C148B" w:rsidRPr="0014105A">
              <w:rPr>
                <w:rFonts w:ascii="Arial" w:hAnsi="Arial" w:cs="Arial"/>
                <w:sz w:val="16"/>
                <w:szCs w:val="16"/>
              </w:rPr>
              <w:t>7</w:t>
            </w:r>
          </w:p>
        </w:tc>
        <w:tc>
          <w:tcPr>
            <w:tcW w:w="1363" w:type="dxa"/>
            <w:tcMar>
              <w:top w:w="57" w:type="dxa"/>
              <w:bottom w:w="57" w:type="dxa"/>
            </w:tcMar>
            <w:vAlign w:val="center"/>
          </w:tcPr>
          <w:p w14:paraId="113C80F4" w14:textId="77777777" w:rsidR="006B5720" w:rsidRPr="0014105A" w:rsidRDefault="006B5720" w:rsidP="006B5720">
            <w:pPr>
              <w:widowControl/>
              <w:jc w:val="center"/>
              <w:rPr>
                <w:rFonts w:ascii="Arial" w:hAnsi="Arial" w:cs="Arial"/>
                <w:sz w:val="16"/>
                <w:szCs w:val="16"/>
              </w:rPr>
            </w:pPr>
            <w:r w:rsidRPr="0014105A">
              <w:rPr>
                <w:rFonts w:ascii="Arial" w:hAnsi="Arial" w:cs="Arial"/>
                <w:sz w:val="16"/>
                <w:szCs w:val="16"/>
              </w:rPr>
              <w:t>12,376</w:t>
            </w:r>
          </w:p>
        </w:tc>
        <w:tc>
          <w:tcPr>
            <w:tcW w:w="1358" w:type="dxa"/>
            <w:tcMar>
              <w:top w:w="57" w:type="dxa"/>
              <w:bottom w:w="57" w:type="dxa"/>
            </w:tcMar>
            <w:vAlign w:val="center"/>
          </w:tcPr>
          <w:p w14:paraId="113C80F5" w14:textId="77777777" w:rsidR="006B5720" w:rsidRPr="0014105A" w:rsidRDefault="006B5720" w:rsidP="006B5720">
            <w:pPr>
              <w:widowControl/>
              <w:jc w:val="center"/>
              <w:rPr>
                <w:rFonts w:ascii="Arial" w:hAnsi="Arial" w:cs="Arial"/>
                <w:sz w:val="16"/>
                <w:szCs w:val="16"/>
              </w:rPr>
            </w:pPr>
            <w:r w:rsidRPr="0014105A">
              <w:rPr>
                <w:rFonts w:ascii="Arial" w:hAnsi="Arial" w:cs="Arial"/>
                <w:sz w:val="16"/>
                <w:szCs w:val="16"/>
              </w:rPr>
              <w:t>15.1%</w:t>
            </w:r>
          </w:p>
        </w:tc>
        <w:tc>
          <w:tcPr>
            <w:tcW w:w="1835" w:type="dxa"/>
            <w:tcMar>
              <w:top w:w="57" w:type="dxa"/>
              <w:bottom w:w="57" w:type="dxa"/>
            </w:tcMar>
            <w:vAlign w:val="center"/>
          </w:tcPr>
          <w:p w14:paraId="113C80F6" w14:textId="77777777" w:rsidR="006B5720" w:rsidRPr="0014105A" w:rsidRDefault="006B5720" w:rsidP="006B5720">
            <w:pPr>
              <w:widowControl/>
              <w:jc w:val="center"/>
              <w:rPr>
                <w:rFonts w:ascii="Arial" w:hAnsi="Arial" w:cs="Arial"/>
                <w:sz w:val="16"/>
                <w:szCs w:val="16"/>
              </w:rPr>
            </w:pPr>
            <w:r w:rsidRPr="0014105A">
              <w:rPr>
                <w:rFonts w:ascii="Arial" w:hAnsi="Arial" w:cs="Arial"/>
                <w:sz w:val="16"/>
                <w:szCs w:val="16"/>
              </w:rPr>
              <w:t>450</w:t>
            </w:r>
          </w:p>
        </w:tc>
        <w:tc>
          <w:tcPr>
            <w:tcW w:w="1744" w:type="dxa"/>
            <w:tcMar>
              <w:top w:w="57" w:type="dxa"/>
              <w:bottom w:w="57" w:type="dxa"/>
            </w:tcMar>
            <w:vAlign w:val="center"/>
          </w:tcPr>
          <w:p w14:paraId="113C80F7" w14:textId="77777777" w:rsidR="006B5720" w:rsidRPr="0014105A" w:rsidRDefault="006B5720" w:rsidP="006B5720">
            <w:pPr>
              <w:widowControl/>
              <w:jc w:val="center"/>
              <w:rPr>
                <w:rFonts w:ascii="Arial" w:hAnsi="Arial" w:cs="Arial"/>
                <w:sz w:val="16"/>
                <w:szCs w:val="16"/>
              </w:rPr>
            </w:pPr>
            <w:r w:rsidRPr="0014105A">
              <w:rPr>
                <w:rFonts w:ascii="Arial" w:hAnsi="Arial" w:cs="Arial"/>
                <w:sz w:val="16"/>
                <w:szCs w:val="16"/>
              </w:rPr>
              <w:t>8.6%</w:t>
            </w:r>
          </w:p>
        </w:tc>
      </w:tr>
      <w:tr w:rsidR="006B5720" w:rsidRPr="0014105A" w14:paraId="113C80FF" w14:textId="77777777" w:rsidTr="006B5720">
        <w:trPr>
          <w:trHeight w:val="320"/>
        </w:trPr>
        <w:tc>
          <w:tcPr>
            <w:tcW w:w="2096" w:type="dxa"/>
            <w:tcMar>
              <w:top w:w="57" w:type="dxa"/>
              <w:bottom w:w="57" w:type="dxa"/>
            </w:tcMar>
          </w:tcPr>
          <w:p w14:paraId="113C80F9" w14:textId="77777777" w:rsidR="006B5720" w:rsidRPr="0014105A" w:rsidRDefault="006B5720" w:rsidP="00532441">
            <w:pPr>
              <w:widowControl/>
              <w:autoSpaceDE/>
              <w:autoSpaceDN/>
              <w:adjustRightInd/>
              <w:rPr>
                <w:rFonts w:ascii="Arial" w:hAnsi="Arial"/>
                <w:sz w:val="16"/>
              </w:rPr>
            </w:pPr>
            <w:r w:rsidRPr="0014105A">
              <w:rPr>
                <w:rFonts w:ascii="Arial" w:hAnsi="Arial"/>
                <w:sz w:val="16"/>
              </w:rPr>
              <w:t>Low SES School Communities</w:t>
            </w:r>
          </w:p>
        </w:tc>
        <w:tc>
          <w:tcPr>
            <w:tcW w:w="1011" w:type="dxa"/>
            <w:tcMar>
              <w:top w:w="57" w:type="dxa"/>
              <w:bottom w:w="57" w:type="dxa"/>
            </w:tcMar>
            <w:vAlign w:val="center"/>
          </w:tcPr>
          <w:p w14:paraId="113C80FA" w14:textId="77777777" w:rsidR="006B5720" w:rsidRPr="0014105A" w:rsidRDefault="00AA0F5C" w:rsidP="006B5720">
            <w:pPr>
              <w:widowControl/>
              <w:jc w:val="center"/>
              <w:rPr>
                <w:rFonts w:ascii="Arial" w:hAnsi="Arial" w:cs="Arial"/>
                <w:sz w:val="16"/>
                <w:szCs w:val="16"/>
              </w:rPr>
            </w:pPr>
            <w:r w:rsidRPr="0014105A">
              <w:rPr>
                <w:rFonts w:ascii="Arial" w:hAnsi="Arial" w:cs="Arial"/>
                <w:sz w:val="16"/>
                <w:szCs w:val="16"/>
              </w:rPr>
              <w:t>39</w:t>
            </w:r>
          </w:p>
        </w:tc>
        <w:tc>
          <w:tcPr>
            <w:tcW w:w="1363" w:type="dxa"/>
            <w:tcMar>
              <w:top w:w="57" w:type="dxa"/>
              <w:bottom w:w="57" w:type="dxa"/>
            </w:tcMar>
            <w:vAlign w:val="center"/>
          </w:tcPr>
          <w:p w14:paraId="113C80FB" w14:textId="77777777" w:rsidR="006B5720" w:rsidRPr="0014105A" w:rsidRDefault="006B5720" w:rsidP="006B5720">
            <w:pPr>
              <w:widowControl/>
              <w:jc w:val="center"/>
              <w:rPr>
                <w:rFonts w:ascii="Arial" w:hAnsi="Arial" w:cs="Arial"/>
                <w:sz w:val="16"/>
                <w:szCs w:val="16"/>
              </w:rPr>
            </w:pPr>
            <w:r w:rsidRPr="0014105A">
              <w:rPr>
                <w:rFonts w:ascii="Arial" w:hAnsi="Arial" w:cs="Arial"/>
                <w:sz w:val="16"/>
                <w:szCs w:val="16"/>
              </w:rPr>
              <w:t>8,2</w:t>
            </w:r>
            <w:r w:rsidR="00AA0F5C" w:rsidRPr="0014105A">
              <w:rPr>
                <w:rFonts w:ascii="Arial" w:hAnsi="Arial" w:cs="Arial"/>
                <w:sz w:val="16"/>
                <w:szCs w:val="16"/>
              </w:rPr>
              <w:t>40</w:t>
            </w:r>
          </w:p>
        </w:tc>
        <w:tc>
          <w:tcPr>
            <w:tcW w:w="1358" w:type="dxa"/>
            <w:tcMar>
              <w:top w:w="57" w:type="dxa"/>
              <w:bottom w:w="57" w:type="dxa"/>
            </w:tcMar>
            <w:vAlign w:val="center"/>
          </w:tcPr>
          <w:p w14:paraId="113C80FC" w14:textId="77777777" w:rsidR="006B5720" w:rsidRPr="0014105A" w:rsidRDefault="006B5720" w:rsidP="006B5720">
            <w:pPr>
              <w:widowControl/>
              <w:jc w:val="center"/>
              <w:rPr>
                <w:rFonts w:ascii="Arial" w:hAnsi="Arial" w:cs="Arial"/>
                <w:sz w:val="16"/>
                <w:szCs w:val="16"/>
              </w:rPr>
            </w:pPr>
            <w:r w:rsidRPr="0014105A">
              <w:rPr>
                <w:rFonts w:ascii="Arial" w:hAnsi="Arial" w:cs="Arial"/>
                <w:sz w:val="16"/>
                <w:szCs w:val="16"/>
              </w:rPr>
              <w:t>10.0%</w:t>
            </w:r>
          </w:p>
        </w:tc>
        <w:tc>
          <w:tcPr>
            <w:tcW w:w="1835" w:type="dxa"/>
            <w:tcMar>
              <w:top w:w="57" w:type="dxa"/>
              <w:bottom w:w="57" w:type="dxa"/>
            </w:tcMar>
            <w:vAlign w:val="center"/>
          </w:tcPr>
          <w:p w14:paraId="113C80FD" w14:textId="77777777" w:rsidR="006B5720" w:rsidRPr="0014105A" w:rsidRDefault="006B5720" w:rsidP="00AA0F5C">
            <w:pPr>
              <w:widowControl/>
              <w:jc w:val="center"/>
              <w:rPr>
                <w:rFonts w:ascii="Arial" w:hAnsi="Arial" w:cs="Arial"/>
                <w:sz w:val="16"/>
                <w:szCs w:val="16"/>
              </w:rPr>
            </w:pPr>
            <w:r w:rsidRPr="0014105A">
              <w:rPr>
                <w:rFonts w:ascii="Arial" w:hAnsi="Arial" w:cs="Arial"/>
                <w:sz w:val="16"/>
                <w:szCs w:val="16"/>
              </w:rPr>
              <w:t>9</w:t>
            </w:r>
            <w:r w:rsidR="00AA0F5C" w:rsidRPr="0014105A">
              <w:rPr>
                <w:rFonts w:ascii="Arial" w:hAnsi="Arial" w:cs="Arial"/>
                <w:sz w:val="16"/>
                <w:szCs w:val="16"/>
              </w:rPr>
              <w:t>3</w:t>
            </w:r>
            <w:r w:rsidRPr="0014105A">
              <w:rPr>
                <w:rFonts w:ascii="Arial" w:hAnsi="Arial" w:cs="Arial"/>
                <w:sz w:val="16"/>
                <w:szCs w:val="16"/>
              </w:rPr>
              <w:t>1</w:t>
            </w:r>
          </w:p>
        </w:tc>
        <w:tc>
          <w:tcPr>
            <w:tcW w:w="1744" w:type="dxa"/>
            <w:tcMar>
              <w:top w:w="57" w:type="dxa"/>
              <w:bottom w:w="57" w:type="dxa"/>
            </w:tcMar>
            <w:vAlign w:val="center"/>
          </w:tcPr>
          <w:p w14:paraId="113C80FE" w14:textId="77777777" w:rsidR="006B5720" w:rsidRPr="0014105A" w:rsidRDefault="006B5720" w:rsidP="00AA0F5C">
            <w:pPr>
              <w:widowControl/>
              <w:jc w:val="center"/>
              <w:rPr>
                <w:rFonts w:ascii="Arial" w:hAnsi="Arial" w:cs="Arial"/>
                <w:sz w:val="16"/>
                <w:szCs w:val="16"/>
              </w:rPr>
            </w:pPr>
            <w:r w:rsidRPr="0014105A">
              <w:rPr>
                <w:rFonts w:ascii="Arial" w:hAnsi="Arial" w:cs="Arial"/>
                <w:sz w:val="16"/>
                <w:szCs w:val="16"/>
              </w:rPr>
              <w:t>17.</w:t>
            </w:r>
            <w:r w:rsidR="00AA0F5C" w:rsidRPr="0014105A">
              <w:rPr>
                <w:rFonts w:ascii="Arial" w:hAnsi="Arial" w:cs="Arial"/>
                <w:sz w:val="16"/>
                <w:szCs w:val="16"/>
              </w:rPr>
              <w:t>8</w:t>
            </w:r>
            <w:r w:rsidRPr="0014105A">
              <w:rPr>
                <w:rFonts w:ascii="Arial" w:hAnsi="Arial" w:cs="Arial"/>
                <w:sz w:val="16"/>
                <w:szCs w:val="16"/>
              </w:rPr>
              <w:t>%</w:t>
            </w:r>
          </w:p>
        </w:tc>
      </w:tr>
      <w:tr w:rsidR="006B5720" w:rsidRPr="0014105A" w14:paraId="113C8106" w14:textId="77777777" w:rsidTr="006B5720">
        <w:trPr>
          <w:trHeight w:val="21"/>
        </w:trPr>
        <w:tc>
          <w:tcPr>
            <w:tcW w:w="2096" w:type="dxa"/>
            <w:tcMar>
              <w:top w:w="57" w:type="dxa"/>
              <w:bottom w:w="57" w:type="dxa"/>
            </w:tcMar>
          </w:tcPr>
          <w:p w14:paraId="113C8100" w14:textId="77777777" w:rsidR="006B5720" w:rsidRPr="0014105A" w:rsidRDefault="006B5720" w:rsidP="00532441">
            <w:pPr>
              <w:widowControl/>
              <w:autoSpaceDE/>
              <w:autoSpaceDN/>
              <w:adjustRightInd/>
              <w:rPr>
                <w:rFonts w:ascii="Arial" w:hAnsi="Arial"/>
                <w:sz w:val="16"/>
              </w:rPr>
            </w:pPr>
            <w:r w:rsidRPr="0014105A">
              <w:rPr>
                <w:rFonts w:ascii="Arial" w:hAnsi="Arial"/>
                <w:sz w:val="16"/>
              </w:rPr>
              <w:t>Both NPs</w:t>
            </w:r>
          </w:p>
        </w:tc>
        <w:tc>
          <w:tcPr>
            <w:tcW w:w="1011" w:type="dxa"/>
            <w:tcMar>
              <w:top w:w="57" w:type="dxa"/>
              <w:bottom w:w="57" w:type="dxa"/>
            </w:tcMar>
            <w:vAlign w:val="center"/>
          </w:tcPr>
          <w:p w14:paraId="113C8101" w14:textId="77777777" w:rsidR="006B5720" w:rsidRPr="0014105A" w:rsidRDefault="006B5720" w:rsidP="006B5720">
            <w:pPr>
              <w:widowControl/>
              <w:jc w:val="center"/>
              <w:rPr>
                <w:rFonts w:ascii="Arial" w:hAnsi="Arial" w:cs="Arial"/>
                <w:sz w:val="16"/>
                <w:szCs w:val="16"/>
              </w:rPr>
            </w:pPr>
            <w:r w:rsidRPr="0014105A">
              <w:rPr>
                <w:rFonts w:ascii="Arial" w:hAnsi="Arial" w:cs="Arial"/>
                <w:sz w:val="16"/>
                <w:szCs w:val="16"/>
              </w:rPr>
              <w:t>3</w:t>
            </w:r>
            <w:r w:rsidR="00AA0F5C" w:rsidRPr="0014105A">
              <w:rPr>
                <w:rFonts w:ascii="Arial" w:hAnsi="Arial" w:cs="Arial"/>
                <w:sz w:val="16"/>
                <w:szCs w:val="16"/>
              </w:rPr>
              <w:t>4</w:t>
            </w:r>
          </w:p>
        </w:tc>
        <w:tc>
          <w:tcPr>
            <w:tcW w:w="1363" w:type="dxa"/>
            <w:tcMar>
              <w:top w:w="57" w:type="dxa"/>
              <w:bottom w:w="57" w:type="dxa"/>
            </w:tcMar>
            <w:vAlign w:val="center"/>
          </w:tcPr>
          <w:p w14:paraId="113C8102" w14:textId="77777777" w:rsidR="006B5720" w:rsidRPr="0014105A" w:rsidRDefault="00AA0F5C" w:rsidP="006B5720">
            <w:pPr>
              <w:widowControl/>
              <w:jc w:val="center"/>
              <w:rPr>
                <w:rFonts w:ascii="Arial" w:hAnsi="Arial" w:cs="Arial"/>
                <w:sz w:val="16"/>
                <w:szCs w:val="16"/>
              </w:rPr>
            </w:pPr>
            <w:r w:rsidRPr="0014105A">
              <w:rPr>
                <w:rFonts w:ascii="Arial" w:hAnsi="Arial" w:cs="Arial"/>
                <w:sz w:val="16"/>
                <w:szCs w:val="16"/>
              </w:rPr>
              <w:t>8,475</w:t>
            </w:r>
          </w:p>
        </w:tc>
        <w:tc>
          <w:tcPr>
            <w:tcW w:w="1358" w:type="dxa"/>
            <w:tcMar>
              <w:top w:w="57" w:type="dxa"/>
              <w:bottom w:w="57" w:type="dxa"/>
            </w:tcMar>
            <w:vAlign w:val="center"/>
          </w:tcPr>
          <w:p w14:paraId="113C8103" w14:textId="77777777" w:rsidR="006B5720" w:rsidRPr="0014105A" w:rsidRDefault="00AA0F5C" w:rsidP="00AA0F5C">
            <w:pPr>
              <w:widowControl/>
              <w:jc w:val="center"/>
              <w:rPr>
                <w:rFonts w:ascii="Arial" w:hAnsi="Arial" w:cs="Arial"/>
                <w:sz w:val="16"/>
                <w:szCs w:val="16"/>
              </w:rPr>
            </w:pPr>
            <w:r w:rsidRPr="0014105A">
              <w:rPr>
                <w:rFonts w:ascii="Arial" w:hAnsi="Arial" w:cs="Arial"/>
                <w:sz w:val="16"/>
                <w:szCs w:val="16"/>
              </w:rPr>
              <w:t>10</w:t>
            </w:r>
            <w:r w:rsidR="00963C4D" w:rsidRPr="0014105A">
              <w:rPr>
                <w:rFonts w:ascii="Arial" w:hAnsi="Arial" w:cs="Arial"/>
                <w:sz w:val="16"/>
                <w:szCs w:val="16"/>
              </w:rPr>
              <w:t>.</w:t>
            </w:r>
            <w:r w:rsidRPr="0014105A">
              <w:rPr>
                <w:rFonts w:ascii="Arial" w:hAnsi="Arial" w:cs="Arial"/>
                <w:sz w:val="16"/>
                <w:szCs w:val="16"/>
              </w:rPr>
              <w:t>3</w:t>
            </w:r>
            <w:r w:rsidR="006B5720" w:rsidRPr="0014105A">
              <w:rPr>
                <w:rFonts w:ascii="Arial" w:hAnsi="Arial" w:cs="Arial"/>
                <w:sz w:val="16"/>
                <w:szCs w:val="16"/>
              </w:rPr>
              <w:t>%</w:t>
            </w:r>
          </w:p>
        </w:tc>
        <w:tc>
          <w:tcPr>
            <w:tcW w:w="1835" w:type="dxa"/>
            <w:tcMar>
              <w:top w:w="57" w:type="dxa"/>
              <w:bottom w:w="57" w:type="dxa"/>
            </w:tcMar>
            <w:vAlign w:val="center"/>
          </w:tcPr>
          <w:p w14:paraId="113C8104" w14:textId="77777777" w:rsidR="006B5720" w:rsidRPr="0014105A" w:rsidRDefault="006B5720" w:rsidP="00AA0F5C">
            <w:pPr>
              <w:widowControl/>
              <w:jc w:val="center"/>
              <w:rPr>
                <w:rFonts w:ascii="Arial" w:hAnsi="Arial" w:cs="Arial"/>
                <w:sz w:val="16"/>
                <w:szCs w:val="16"/>
              </w:rPr>
            </w:pPr>
            <w:r w:rsidRPr="0014105A">
              <w:rPr>
                <w:rFonts w:ascii="Arial" w:hAnsi="Arial" w:cs="Arial"/>
                <w:sz w:val="16"/>
                <w:szCs w:val="16"/>
              </w:rPr>
              <w:t>1,</w:t>
            </w:r>
            <w:r w:rsidR="00AA0F5C" w:rsidRPr="0014105A">
              <w:rPr>
                <w:rFonts w:ascii="Arial" w:hAnsi="Arial" w:cs="Arial"/>
                <w:sz w:val="16"/>
                <w:szCs w:val="16"/>
              </w:rPr>
              <w:t>138</w:t>
            </w:r>
          </w:p>
        </w:tc>
        <w:tc>
          <w:tcPr>
            <w:tcW w:w="1744" w:type="dxa"/>
            <w:tcMar>
              <w:top w:w="57" w:type="dxa"/>
              <w:bottom w:w="57" w:type="dxa"/>
            </w:tcMar>
            <w:vAlign w:val="center"/>
          </w:tcPr>
          <w:p w14:paraId="113C8105" w14:textId="77777777" w:rsidR="006B5720" w:rsidRPr="0014105A" w:rsidRDefault="00D33E3E" w:rsidP="00AA0F5C">
            <w:pPr>
              <w:widowControl/>
              <w:jc w:val="center"/>
              <w:rPr>
                <w:rFonts w:ascii="Arial" w:hAnsi="Arial" w:cs="Arial"/>
                <w:sz w:val="16"/>
                <w:szCs w:val="16"/>
              </w:rPr>
            </w:pPr>
            <w:r w:rsidRPr="0014105A">
              <w:rPr>
                <w:rFonts w:ascii="Arial" w:hAnsi="Arial" w:cs="Arial"/>
                <w:sz w:val="16"/>
                <w:szCs w:val="16"/>
              </w:rPr>
              <w:t>2</w:t>
            </w:r>
            <w:r w:rsidR="00AA0F5C" w:rsidRPr="0014105A">
              <w:rPr>
                <w:rFonts w:ascii="Arial" w:hAnsi="Arial" w:cs="Arial"/>
                <w:sz w:val="16"/>
                <w:szCs w:val="16"/>
              </w:rPr>
              <w:t>1</w:t>
            </w:r>
            <w:r w:rsidR="006B5720" w:rsidRPr="0014105A">
              <w:rPr>
                <w:rFonts w:ascii="Arial" w:hAnsi="Arial" w:cs="Arial"/>
                <w:sz w:val="16"/>
                <w:szCs w:val="16"/>
              </w:rPr>
              <w:t>.</w:t>
            </w:r>
            <w:r w:rsidR="00AA0F5C" w:rsidRPr="0014105A">
              <w:rPr>
                <w:rFonts w:ascii="Arial" w:hAnsi="Arial" w:cs="Arial"/>
                <w:sz w:val="16"/>
                <w:szCs w:val="16"/>
              </w:rPr>
              <w:t>8</w:t>
            </w:r>
            <w:r w:rsidR="006B5720" w:rsidRPr="0014105A">
              <w:rPr>
                <w:rFonts w:ascii="Arial" w:hAnsi="Arial" w:cs="Arial"/>
                <w:sz w:val="16"/>
                <w:szCs w:val="16"/>
              </w:rPr>
              <w:t>%</w:t>
            </w:r>
          </w:p>
        </w:tc>
      </w:tr>
      <w:tr w:rsidR="006B5720" w:rsidRPr="0014105A" w14:paraId="113C810D" w14:textId="77777777" w:rsidTr="006B5720">
        <w:trPr>
          <w:trHeight w:val="21"/>
        </w:trPr>
        <w:tc>
          <w:tcPr>
            <w:tcW w:w="2096" w:type="dxa"/>
            <w:tcBorders>
              <w:top w:val="nil"/>
              <w:left w:val="nil"/>
              <w:bottom w:val="single" w:sz="4" w:space="0" w:color="000000" w:themeColor="text1"/>
              <w:right w:val="nil"/>
            </w:tcBorders>
            <w:tcMar>
              <w:top w:w="57" w:type="dxa"/>
              <w:bottom w:w="57" w:type="dxa"/>
            </w:tcMar>
          </w:tcPr>
          <w:p w14:paraId="113C8107" w14:textId="77777777" w:rsidR="006B5720" w:rsidRPr="0014105A" w:rsidRDefault="006B5720" w:rsidP="00532441">
            <w:pPr>
              <w:widowControl/>
              <w:autoSpaceDE/>
              <w:autoSpaceDN/>
              <w:adjustRightInd/>
              <w:rPr>
                <w:rFonts w:ascii="Arial" w:hAnsi="Arial"/>
                <w:b/>
                <w:sz w:val="16"/>
              </w:rPr>
            </w:pPr>
            <w:r w:rsidRPr="0014105A">
              <w:rPr>
                <w:rFonts w:ascii="Arial" w:hAnsi="Arial"/>
                <w:b/>
                <w:sz w:val="16"/>
              </w:rPr>
              <w:t>Total</w:t>
            </w:r>
          </w:p>
        </w:tc>
        <w:tc>
          <w:tcPr>
            <w:tcW w:w="1011" w:type="dxa"/>
            <w:tcBorders>
              <w:top w:val="nil"/>
              <w:left w:val="nil"/>
              <w:bottom w:val="single" w:sz="4" w:space="0" w:color="000000" w:themeColor="text1"/>
              <w:right w:val="nil"/>
            </w:tcBorders>
            <w:tcMar>
              <w:top w:w="57" w:type="dxa"/>
              <w:bottom w:w="57" w:type="dxa"/>
            </w:tcMar>
            <w:vAlign w:val="center"/>
          </w:tcPr>
          <w:p w14:paraId="113C8108" w14:textId="77777777" w:rsidR="006B5720" w:rsidRPr="0014105A" w:rsidRDefault="006B5720" w:rsidP="006B5720">
            <w:pPr>
              <w:widowControl/>
              <w:jc w:val="center"/>
              <w:rPr>
                <w:rFonts w:ascii="Arial" w:hAnsi="Arial" w:cs="Arial"/>
                <w:b/>
                <w:sz w:val="16"/>
                <w:szCs w:val="16"/>
              </w:rPr>
            </w:pPr>
            <w:r w:rsidRPr="0014105A">
              <w:rPr>
                <w:rFonts w:ascii="Arial" w:hAnsi="Arial" w:cs="Arial"/>
                <w:b/>
                <w:sz w:val="16"/>
                <w:szCs w:val="16"/>
              </w:rPr>
              <w:t>11</w:t>
            </w:r>
            <w:r w:rsidR="00AA0F5C" w:rsidRPr="0014105A">
              <w:rPr>
                <w:rFonts w:ascii="Arial" w:hAnsi="Arial" w:cs="Arial"/>
                <w:b/>
                <w:sz w:val="16"/>
                <w:szCs w:val="16"/>
              </w:rPr>
              <w:t>0</w:t>
            </w:r>
          </w:p>
        </w:tc>
        <w:tc>
          <w:tcPr>
            <w:tcW w:w="1363" w:type="dxa"/>
            <w:tcBorders>
              <w:top w:val="nil"/>
              <w:left w:val="nil"/>
              <w:bottom w:val="single" w:sz="4" w:space="0" w:color="000000" w:themeColor="text1"/>
              <w:right w:val="nil"/>
            </w:tcBorders>
            <w:tcMar>
              <w:top w:w="57" w:type="dxa"/>
              <w:bottom w:w="57" w:type="dxa"/>
            </w:tcMar>
            <w:vAlign w:val="center"/>
          </w:tcPr>
          <w:p w14:paraId="113C8109" w14:textId="77777777" w:rsidR="006B5720" w:rsidRPr="0014105A" w:rsidRDefault="006B5720" w:rsidP="006B5720">
            <w:pPr>
              <w:widowControl/>
              <w:jc w:val="center"/>
              <w:rPr>
                <w:rFonts w:ascii="Arial" w:hAnsi="Arial" w:cs="Arial"/>
                <w:b/>
                <w:sz w:val="16"/>
                <w:szCs w:val="16"/>
              </w:rPr>
            </w:pPr>
            <w:r w:rsidRPr="0014105A">
              <w:rPr>
                <w:rFonts w:ascii="Arial" w:hAnsi="Arial" w:cs="Arial"/>
                <w:b/>
                <w:sz w:val="16"/>
                <w:szCs w:val="16"/>
              </w:rPr>
              <w:t>29,</w:t>
            </w:r>
            <w:r w:rsidR="00AA0F5C" w:rsidRPr="0014105A">
              <w:rPr>
                <w:rFonts w:ascii="Arial" w:hAnsi="Arial" w:cs="Arial"/>
                <w:b/>
                <w:sz w:val="16"/>
                <w:szCs w:val="16"/>
              </w:rPr>
              <w:t>091</w:t>
            </w:r>
          </w:p>
        </w:tc>
        <w:tc>
          <w:tcPr>
            <w:tcW w:w="1358" w:type="dxa"/>
            <w:tcBorders>
              <w:top w:val="nil"/>
              <w:left w:val="nil"/>
              <w:bottom w:val="single" w:sz="4" w:space="0" w:color="000000" w:themeColor="text1"/>
              <w:right w:val="nil"/>
            </w:tcBorders>
            <w:tcMar>
              <w:top w:w="57" w:type="dxa"/>
              <w:bottom w:w="57" w:type="dxa"/>
            </w:tcMar>
            <w:vAlign w:val="center"/>
          </w:tcPr>
          <w:p w14:paraId="113C810A" w14:textId="77777777" w:rsidR="006B5720" w:rsidRPr="0014105A" w:rsidRDefault="00963C4D" w:rsidP="00AA0F5C">
            <w:pPr>
              <w:widowControl/>
              <w:jc w:val="center"/>
              <w:rPr>
                <w:rFonts w:ascii="Arial" w:hAnsi="Arial" w:cs="Arial"/>
                <w:b/>
                <w:sz w:val="16"/>
                <w:szCs w:val="16"/>
              </w:rPr>
            </w:pPr>
            <w:r w:rsidRPr="0014105A">
              <w:rPr>
                <w:rFonts w:ascii="Arial" w:hAnsi="Arial" w:cs="Arial"/>
                <w:b/>
                <w:sz w:val="16"/>
                <w:szCs w:val="16"/>
              </w:rPr>
              <w:t>3</w:t>
            </w:r>
            <w:r w:rsidR="00AA0F5C" w:rsidRPr="0014105A">
              <w:rPr>
                <w:rFonts w:ascii="Arial" w:hAnsi="Arial" w:cs="Arial"/>
                <w:b/>
                <w:sz w:val="16"/>
                <w:szCs w:val="16"/>
              </w:rPr>
              <w:t>5</w:t>
            </w:r>
            <w:r w:rsidRPr="0014105A">
              <w:rPr>
                <w:rFonts w:ascii="Arial" w:hAnsi="Arial" w:cs="Arial"/>
                <w:b/>
                <w:sz w:val="16"/>
                <w:szCs w:val="16"/>
              </w:rPr>
              <w:t>.</w:t>
            </w:r>
            <w:r w:rsidR="00AA0F5C" w:rsidRPr="0014105A">
              <w:rPr>
                <w:rFonts w:ascii="Arial" w:hAnsi="Arial" w:cs="Arial"/>
                <w:b/>
                <w:sz w:val="16"/>
                <w:szCs w:val="16"/>
              </w:rPr>
              <w:t>4</w:t>
            </w:r>
            <w:r w:rsidR="006B5720" w:rsidRPr="0014105A">
              <w:rPr>
                <w:rFonts w:ascii="Arial" w:hAnsi="Arial" w:cs="Arial"/>
                <w:b/>
                <w:sz w:val="16"/>
                <w:szCs w:val="16"/>
              </w:rPr>
              <w:t>%</w:t>
            </w:r>
          </w:p>
        </w:tc>
        <w:tc>
          <w:tcPr>
            <w:tcW w:w="1835" w:type="dxa"/>
            <w:tcBorders>
              <w:top w:val="nil"/>
              <w:left w:val="nil"/>
              <w:bottom w:val="single" w:sz="4" w:space="0" w:color="000000" w:themeColor="text1"/>
              <w:right w:val="nil"/>
            </w:tcBorders>
            <w:tcMar>
              <w:top w:w="57" w:type="dxa"/>
              <w:bottom w:w="57" w:type="dxa"/>
            </w:tcMar>
            <w:vAlign w:val="center"/>
          </w:tcPr>
          <w:p w14:paraId="113C810B" w14:textId="77777777" w:rsidR="006B5720" w:rsidRPr="0014105A" w:rsidRDefault="006B5720" w:rsidP="006B5720">
            <w:pPr>
              <w:widowControl/>
              <w:jc w:val="center"/>
              <w:rPr>
                <w:rFonts w:ascii="Arial" w:hAnsi="Arial" w:cs="Arial"/>
                <w:b/>
                <w:sz w:val="16"/>
                <w:szCs w:val="16"/>
              </w:rPr>
            </w:pPr>
            <w:r w:rsidRPr="0014105A">
              <w:rPr>
                <w:rFonts w:ascii="Arial" w:hAnsi="Arial" w:cs="Arial"/>
                <w:b/>
                <w:sz w:val="16"/>
                <w:szCs w:val="16"/>
              </w:rPr>
              <w:t>2,519</w:t>
            </w:r>
          </w:p>
        </w:tc>
        <w:tc>
          <w:tcPr>
            <w:tcW w:w="1744" w:type="dxa"/>
            <w:tcBorders>
              <w:top w:val="nil"/>
              <w:left w:val="nil"/>
              <w:bottom w:val="single" w:sz="4" w:space="0" w:color="000000" w:themeColor="text1"/>
              <w:right w:val="nil"/>
            </w:tcBorders>
            <w:tcMar>
              <w:top w:w="57" w:type="dxa"/>
              <w:bottom w:w="57" w:type="dxa"/>
            </w:tcMar>
            <w:vAlign w:val="center"/>
          </w:tcPr>
          <w:p w14:paraId="113C810C" w14:textId="77777777" w:rsidR="006B5720" w:rsidRPr="0014105A" w:rsidRDefault="00D33E3E" w:rsidP="00AA0F5C">
            <w:pPr>
              <w:widowControl/>
              <w:jc w:val="center"/>
              <w:rPr>
                <w:rFonts w:ascii="Arial" w:hAnsi="Arial" w:cs="Arial"/>
                <w:b/>
                <w:sz w:val="16"/>
                <w:szCs w:val="16"/>
              </w:rPr>
            </w:pPr>
            <w:r w:rsidRPr="0014105A">
              <w:rPr>
                <w:rFonts w:ascii="Arial" w:hAnsi="Arial" w:cs="Arial"/>
                <w:b/>
                <w:sz w:val="16"/>
                <w:szCs w:val="16"/>
              </w:rPr>
              <w:t>4</w:t>
            </w:r>
            <w:r w:rsidR="00AA0F5C" w:rsidRPr="0014105A">
              <w:rPr>
                <w:rFonts w:ascii="Arial" w:hAnsi="Arial" w:cs="Arial"/>
                <w:b/>
                <w:sz w:val="16"/>
                <w:szCs w:val="16"/>
              </w:rPr>
              <w:t>8</w:t>
            </w:r>
            <w:r w:rsidR="006B5720" w:rsidRPr="0014105A">
              <w:rPr>
                <w:rFonts w:ascii="Arial" w:hAnsi="Arial" w:cs="Arial"/>
                <w:b/>
                <w:sz w:val="16"/>
                <w:szCs w:val="16"/>
              </w:rPr>
              <w:t>.</w:t>
            </w:r>
            <w:r w:rsidR="00AA0F5C" w:rsidRPr="0014105A">
              <w:rPr>
                <w:rFonts w:ascii="Arial" w:hAnsi="Arial" w:cs="Arial"/>
                <w:b/>
                <w:sz w:val="16"/>
                <w:szCs w:val="16"/>
              </w:rPr>
              <w:t>2</w:t>
            </w:r>
            <w:r w:rsidR="006B5720" w:rsidRPr="0014105A">
              <w:rPr>
                <w:rFonts w:ascii="Arial" w:hAnsi="Arial" w:cs="Arial"/>
                <w:b/>
                <w:sz w:val="16"/>
                <w:szCs w:val="16"/>
              </w:rPr>
              <w:t>%</w:t>
            </w:r>
          </w:p>
        </w:tc>
      </w:tr>
    </w:tbl>
    <w:p w14:paraId="113C810E" w14:textId="77777777" w:rsidR="00972186" w:rsidRPr="0014105A" w:rsidRDefault="00DD6A02" w:rsidP="00532441">
      <w:pPr>
        <w:pStyle w:val="SSCaption"/>
      </w:pPr>
      <w:r w:rsidRPr="0014105A">
        <w:t xml:space="preserve">* </w:t>
      </w:r>
      <w:r w:rsidR="00384BF2" w:rsidRPr="0014105A">
        <w:t xml:space="preserve">Based on DEEWR data of SSNP participating schools as at </w:t>
      </w:r>
      <w:r w:rsidR="00AA601C" w:rsidRPr="0014105A">
        <w:t>29/07</w:t>
      </w:r>
      <w:r w:rsidR="00384BF2" w:rsidRPr="0014105A">
        <w:t>/2011 using 2009 Full Time Equivalent (FTE) student enrolments.</w:t>
      </w:r>
      <w:r w:rsidR="00532441" w:rsidRPr="0014105A">
        <w:br/>
      </w:r>
      <w:r w:rsidRPr="0014105A">
        <w:t>* Totals may not add due to rounding.</w:t>
      </w:r>
    </w:p>
    <w:p w14:paraId="113C810F" w14:textId="77777777" w:rsidR="00972186" w:rsidRPr="001E27DA" w:rsidRDefault="00972186">
      <w:pPr>
        <w:rPr>
          <w:rFonts w:ascii="Arial" w:hAnsi="Arial" w:cs="Arial"/>
          <w:sz w:val="16"/>
          <w:szCs w:val="16"/>
        </w:rPr>
      </w:pPr>
      <w:r w:rsidRPr="001E27DA">
        <w:br w:type="page"/>
      </w:r>
    </w:p>
    <w:p w14:paraId="113C8110" w14:textId="77777777" w:rsidR="00532441" w:rsidRPr="007F6C4C" w:rsidRDefault="006B5720" w:rsidP="00532441">
      <w:pPr>
        <w:pStyle w:val="SSHeading2"/>
        <w:rPr>
          <w:color w:val="17365D" w:themeColor="text2" w:themeShade="BF"/>
        </w:rPr>
      </w:pPr>
      <w:r w:rsidRPr="007F6C4C">
        <w:rPr>
          <w:color w:val="17365D" w:themeColor="text2" w:themeShade="BF"/>
        </w:rPr>
        <w:lastRenderedPageBreak/>
        <w:t>Tasmania</w:t>
      </w:r>
      <w:r w:rsidR="00532441" w:rsidRPr="007F6C4C">
        <w:rPr>
          <w:color w:val="17365D" w:themeColor="text2" w:themeShade="BF"/>
        </w:rPr>
        <w:t xml:space="preserve"> Smarter Schools National Partnerships Highlights</w:t>
      </w:r>
    </w:p>
    <w:p w14:paraId="113C8111" w14:textId="77777777" w:rsidR="007F6C4C" w:rsidRDefault="007F6C4C" w:rsidP="00532441">
      <w:pPr>
        <w:pStyle w:val="SSHeading3"/>
        <w:rPr>
          <w:color w:val="auto"/>
        </w:rPr>
      </w:pPr>
    </w:p>
    <w:p w14:paraId="113C8112" w14:textId="77777777" w:rsidR="00DD6A02" w:rsidRPr="001E27DA" w:rsidRDefault="00DD6A02" w:rsidP="00532441">
      <w:pPr>
        <w:pStyle w:val="SSHeading3"/>
        <w:rPr>
          <w:color w:val="auto"/>
        </w:rPr>
      </w:pPr>
      <w:r w:rsidRPr="001E27DA">
        <w:rPr>
          <w:color w:val="auto"/>
        </w:rPr>
        <w:t>Smarter Schools National Partnership for Literacy and Numeracy</w:t>
      </w:r>
    </w:p>
    <w:p w14:paraId="113C8113" w14:textId="77777777" w:rsidR="006B5720" w:rsidRPr="001E27DA" w:rsidRDefault="006B5720" w:rsidP="006B5720">
      <w:pPr>
        <w:pStyle w:val="ListParagraph"/>
        <w:autoSpaceDE w:val="0"/>
        <w:autoSpaceDN w:val="0"/>
        <w:adjustRightInd w:val="0"/>
        <w:spacing w:after="120"/>
        <w:ind w:left="0"/>
        <w:rPr>
          <w:rFonts w:ascii="Arial" w:hAnsi="Arial" w:cs="Arial"/>
          <w:sz w:val="20"/>
          <w:szCs w:val="20"/>
        </w:rPr>
      </w:pPr>
      <w:r w:rsidRPr="001E27DA">
        <w:rPr>
          <w:rFonts w:ascii="Arial" w:hAnsi="Arial" w:cs="Arial"/>
          <w:sz w:val="20"/>
          <w:szCs w:val="20"/>
        </w:rPr>
        <w:t>Tasmania has established 11 networks of schools, consisting of several primary and high schools, to develop and implement whole-school or whole-network wide literacy and numeracy plans to better address the needs of the schools and their students.</w:t>
      </w:r>
    </w:p>
    <w:p w14:paraId="113C8114" w14:textId="77777777" w:rsidR="00386B77" w:rsidRPr="001E27DA" w:rsidRDefault="00386B77" w:rsidP="00386B77">
      <w:pPr>
        <w:pStyle w:val="ListParagraph"/>
        <w:autoSpaceDE w:val="0"/>
        <w:autoSpaceDN w:val="0"/>
        <w:adjustRightInd w:val="0"/>
        <w:spacing w:after="120"/>
        <w:ind w:left="0"/>
        <w:rPr>
          <w:rFonts w:ascii="Arial" w:hAnsi="Arial" w:cs="Arial"/>
          <w:sz w:val="20"/>
          <w:szCs w:val="20"/>
        </w:rPr>
      </w:pPr>
      <w:r w:rsidRPr="001E27DA">
        <w:rPr>
          <w:rFonts w:ascii="Arial" w:hAnsi="Arial" w:cs="Arial"/>
          <w:sz w:val="20"/>
          <w:szCs w:val="20"/>
        </w:rPr>
        <w:t>Additional staff resources have allowed for leadership teams within networks and schools, dedicated and purposeful whole-school planning and management, professional learning, coaching and mentoring and effective collection and use of student assessment data to guide teaching.</w:t>
      </w:r>
    </w:p>
    <w:p w14:paraId="113C8115" w14:textId="77777777" w:rsidR="00386B77" w:rsidRPr="00D068EA" w:rsidRDefault="006B5720" w:rsidP="00386B77">
      <w:pPr>
        <w:pStyle w:val="ListParagraph"/>
        <w:autoSpaceDE w:val="0"/>
        <w:autoSpaceDN w:val="0"/>
        <w:adjustRightInd w:val="0"/>
        <w:spacing w:after="120"/>
        <w:ind w:left="0"/>
        <w:rPr>
          <w:rFonts w:ascii="Arial" w:hAnsi="Arial" w:cs="Arial"/>
          <w:sz w:val="20"/>
          <w:szCs w:val="20"/>
        </w:rPr>
      </w:pPr>
      <w:r w:rsidRPr="001E27DA">
        <w:rPr>
          <w:rFonts w:ascii="Arial" w:hAnsi="Arial" w:cs="Arial"/>
          <w:sz w:val="20"/>
          <w:szCs w:val="20"/>
        </w:rPr>
        <w:t xml:space="preserve">The implementation of the first round of </w:t>
      </w:r>
      <w:r w:rsidR="00D068EA" w:rsidRPr="00BB13B5">
        <w:rPr>
          <w:rFonts w:ascii="Arial" w:hAnsi="Arial" w:cs="Arial"/>
          <w:i/>
          <w:sz w:val="20"/>
          <w:szCs w:val="20"/>
        </w:rPr>
        <w:t>Quicksmart</w:t>
      </w:r>
      <w:r w:rsidRPr="001E27DA">
        <w:rPr>
          <w:rFonts w:ascii="Arial" w:hAnsi="Arial" w:cs="Arial"/>
          <w:sz w:val="20"/>
          <w:szCs w:val="20"/>
        </w:rPr>
        <w:t xml:space="preserve"> in 3</w:t>
      </w:r>
      <w:r w:rsidR="00DA5295">
        <w:rPr>
          <w:rFonts w:ascii="Arial" w:hAnsi="Arial" w:cs="Arial"/>
          <w:sz w:val="20"/>
          <w:szCs w:val="20"/>
        </w:rPr>
        <w:t>2</w:t>
      </w:r>
      <w:r w:rsidRPr="001E27DA">
        <w:rPr>
          <w:rFonts w:ascii="Arial" w:hAnsi="Arial" w:cs="Arial"/>
          <w:sz w:val="20"/>
          <w:szCs w:val="20"/>
        </w:rPr>
        <w:t xml:space="preserve"> government schools has been very well received by students, staff and parents. The early stages of implementation have been very positive with students realising significant improvement in self confidence, relationships and academic progress. Early data indicates improved attendance by participating students. </w:t>
      </w:r>
      <w:r w:rsidR="00DA5295">
        <w:rPr>
          <w:rFonts w:ascii="Arial" w:hAnsi="Arial" w:cs="Arial"/>
          <w:sz w:val="20"/>
          <w:szCs w:val="20"/>
        </w:rPr>
        <w:t xml:space="preserve">Other literacy and numeracy programs being implemented in </w:t>
      </w:r>
      <w:r w:rsidR="00C83FA8">
        <w:rPr>
          <w:rFonts w:ascii="Arial" w:hAnsi="Arial" w:cs="Arial"/>
          <w:sz w:val="20"/>
          <w:szCs w:val="20"/>
        </w:rPr>
        <w:t xml:space="preserve">government </w:t>
      </w:r>
      <w:r w:rsidR="00DA5295">
        <w:rPr>
          <w:rFonts w:ascii="Arial" w:hAnsi="Arial" w:cs="Arial"/>
          <w:sz w:val="20"/>
          <w:szCs w:val="20"/>
        </w:rPr>
        <w:t>schools to improve student learning outcomes include</w:t>
      </w:r>
      <w:r w:rsidR="00D068EA">
        <w:rPr>
          <w:rFonts w:ascii="Arial" w:hAnsi="Arial" w:cs="Arial"/>
          <w:sz w:val="20"/>
          <w:szCs w:val="20"/>
        </w:rPr>
        <w:t xml:space="preserve"> </w:t>
      </w:r>
      <w:r w:rsidR="00BB13B5" w:rsidRPr="00D068EA">
        <w:rPr>
          <w:rFonts w:ascii="Arial" w:hAnsi="Arial" w:cs="Arial"/>
          <w:sz w:val="20"/>
          <w:szCs w:val="20"/>
        </w:rPr>
        <w:t>Positive Start, Catch Up Literacy</w:t>
      </w:r>
      <w:r w:rsidR="00C83FA8" w:rsidRPr="00D068EA">
        <w:rPr>
          <w:rFonts w:ascii="Arial" w:hAnsi="Arial" w:cs="Arial"/>
          <w:sz w:val="20"/>
          <w:szCs w:val="20"/>
        </w:rPr>
        <w:t>,</w:t>
      </w:r>
      <w:r w:rsidR="00BB13B5" w:rsidRPr="00D068EA">
        <w:rPr>
          <w:rFonts w:ascii="Arial" w:hAnsi="Arial" w:cs="Arial"/>
          <w:sz w:val="20"/>
          <w:szCs w:val="20"/>
        </w:rPr>
        <w:t xml:space="preserve"> Bridges,</w:t>
      </w:r>
      <w:r w:rsidR="00C83FA8" w:rsidRPr="00D068EA">
        <w:rPr>
          <w:rFonts w:ascii="Arial" w:hAnsi="Arial" w:cs="Arial"/>
          <w:sz w:val="20"/>
          <w:szCs w:val="20"/>
        </w:rPr>
        <w:t xml:space="preserve"> </w:t>
      </w:r>
      <w:r w:rsidR="00BB13B5" w:rsidRPr="00D068EA">
        <w:rPr>
          <w:rFonts w:ascii="Arial" w:hAnsi="Arial" w:cs="Arial"/>
          <w:sz w:val="20"/>
          <w:szCs w:val="20"/>
        </w:rPr>
        <w:t>and</w:t>
      </w:r>
      <w:r w:rsidR="00C83FA8" w:rsidRPr="00D068EA">
        <w:rPr>
          <w:rFonts w:ascii="Arial" w:hAnsi="Arial" w:cs="Arial"/>
          <w:sz w:val="20"/>
          <w:szCs w:val="20"/>
        </w:rPr>
        <w:t xml:space="preserve"> Lexia.</w:t>
      </w:r>
    </w:p>
    <w:p w14:paraId="113C8116" w14:textId="77777777" w:rsidR="006B5720" w:rsidRPr="00386B77" w:rsidRDefault="00386B77" w:rsidP="006B5720">
      <w:pPr>
        <w:pStyle w:val="ListParagraph"/>
        <w:autoSpaceDE w:val="0"/>
        <w:autoSpaceDN w:val="0"/>
        <w:adjustRightInd w:val="0"/>
        <w:spacing w:after="120"/>
        <w:ind w:left="0"/>
        <w:rPr>
          <w:rFonts w:ascii="Arial" w:hAnsi="Arial" w:cs="Arial"/>
          <w:sz w:val="20"/>
          <w:szCs w:val="20"/>
        </w:rPr>
      </w:pPr>
      <w:r w:rsidRPr="001E27DA">
        <w:rPr>
          <w:rFonts w:ascii="Arial" w:hAnsi="Arial" w:cs="Arial"/>
          <w:sz w:val="20"/>
          <w:szCs w:val="20"/>
        </w:rPr>
        <w:t>The Independent Schools of Tasmania is supporting schools</w:t>
      </w:r>
      <w:r>
        <w:rPr>
          <w:rFonts w:ascii="Arial" w:hAnsi="Arial" w:cs="Arial"/>
          <w:sz w:val="20"/>
          <w:szCs w:val="20"/>
        </w:rPr>
        <w:t xml:space="preserve"> </w:t>
      </w:r>
      <w:r w:rsidRPr="001E27DA">
        <w:rPr>
          <w:rFonts w:ascii="Arial" w:hAnsi="Arial" w:cs="Arial"/>
          <w:sz w:val="20"/>
          <w:szCs w:val="20"/>
        </w:rPr>
        <w:t>with</w:t>
      </w:r>
      <w:r>
        <w:rPr>
          <w:rFonts w:ascii="Arial" w:hAnsi="Arial" w:cs="Arial"/>
          <w:sz w:val="20"/>
          <w:szCs w:val="20"/>
        </w:rPr>
        <w:t xml:space="preserve"> training staff in the use of </w:t>
      </w:r>
      <w:r w:rsidRPr="00C83FA8">
        <w:rPr>
          <w:rFonts w:ascii="Arial" w:hAnsi="Arial" w:cs="Arial"/>
          <w:i/>
          <w:sz w:val="20"/>
          <w:szCs w:val="20"/>
        </w:rPr>
        <w:t>MULTLIT</w:t>
      </w:r>
      <w:r>
        <w:rPr>
          <w:rFonts w:ascii="Arial" w:hAnsi="Arial" w:cs="Arial"/>
          <w:sz w:val="20"/>
          <w:szCs w:val="20"/>
        </w:rPr>
        <w:t xml:space="preserve"> (a literacy intervention for underachieving students), </w:t>
      </w:r>
      <w:r w:rsidRPr="001E27DA">
        <w:rPr>
          <w:rFonts w:ascii="Arial" w:hAnsi="Arial" w:cs="Arial"/>
          <w:sz w:val="20"/>
          <w:szCs w:val="20"/>
        </w:rPr>
        <w:t xml:space="preserve">the administration and analysis of the </w:t>
      </w:r>
      <w:r w:rsidRPr="00C83FA8">
        <w:rPr>
          <w:rFonts w:ascii="Arial" w:hAnsi="Arial" w:cs="Arial"/>
          <w:i/>
          <w:sz w:val="20"/>
          <w:szCs w:val="20"/>
        </w:rPr>
        <w:t>Performance Indicators in Primary Schools</w:t>
      </w:r>
      <w:r w:rsidRPr="001E27DA">
        <w:rPr>
          <w:rFonts w:ascii="Arial" w:hAnsi="Arial" w:cs="Arial"/>
          <w:sz w:val="20"/>
          <w:szCs w:val="20"/>
        </w:rPr>
        <w:t xml:space="preserve"> (PIPS) assessment program</w:t>
      </w:r>
      <w:r>
        <w:rPr>
          <w:rFonts w:ascii="Arial" w:hAnsi="Arial" w:cs="Arial"/>
          <w:sz w:val="20"/>
          <w:szCs w:val="20"/>
        </w:rPr>
        <w:t xml:space="preserve">, and the implementation of </w:t>
      </w:r>
      <w:r w:rsidRPr="00C83FA8">
        <w:rPr>
          <w:rFonts w:ascii="Arial" w:hAnsi="Arial" w:cs="Arial"/>
          <w:i/>
          <w:sz w:val="20"/>
          <w:szCs w:val="20"/>
        </w:rPr>
        <w:t>Kids Matter Primary</w:t>
      </w:r>
      <w:r w:rsidRPr="001E27DA">
        <w:rPr>
          <w:rFonts w:ascii="Arial" w:hAnsi="Arial" w:cs="Arial"/>
          <w:sz w:val="20"/>
          <w:szCs w:val="20"/>
        </w:rPr>
        <w:t>.</w:t>
      </w:r>
    </w:p>
    <w:p w14:paraId="113C8117" w14:textId="77777777" w:rsidR="007F6C4C" w:rsidRDefault="007F6C4C" w:rsidP="009D2EC6">
      <w:pPr>
        <w:pStyle w:val="SSheading4"/>
        <w:rPr>
          <w:color w:val="auto"/>
        </w:rPr>
      </w:pPr>
    </w:p>
    <w:p w14:paraId="113C8118" w14:textId="77777777" w:rsidR="009D2EC6" w:rsidRPr="001E27DA" w:rsidRDefault="009D2EC6" w:rsidP="009D2EC6">
      <w:pPr>
        <w:pStyle w:val="SSheading4"/>
        <w:rPr>
          <w:color w:val="auto"/>
        </w:rPr>
      </w:pPr>
      <w:r w:rsidRPr="001E27DA">
        <w:rPr>
          <w:color w:val="auto"/>
        </w:rPr>
        <w:t>Smarter Schools National Partnership for Low Socio-economic Status (SES) School Communities</w:t>
      </w:r>
    </w:p>
    <w:p w14:paraId="113C8119" w14:textId="77777777" w:rsidR="006B5720" w:rsidRPr="001E27DA" w:rsidRDefault="006B5720" w:rsidP="006B5720">
      <w:pPr>
        <w:pStyle w:val="ListParagraph"/>
        <w:autoSpaceDE w:val="0"/>
        <w:autoSpaceDN w:val="0"/>
        <w:adjustRightInd w:val="0"/>
        <w:spacing w:after="120"/>
        <w:ind w:left="0"/>
        <w:rPr>
          <w:rFonts w:ascii="Arial" w:hAnsi="Arial" w:cs="Arial"/>
          <w:sz w:val="20"/>
          <w:szCs w:val="20"/>
        </w:rPr>
      </w:pPr>
      <w:r w:rsidRPr="001E27DA">
        <w:rPr>
          <w:rFonts w:ascii="Arial" w:hAnsi="Arial" w:cs="Arial"/>
          <w:sz w:val="20"/>
          <w:szCs w:val="20"/>
        </w:rPr>
        <w:t>Partnerships between schools and families, community organisations, businesses and government agencies are being actively fostered and better integrated to respond to the needs of students and their families.</w:t>
      </w:r>
    </w:p>
    <w:p w14:paraId="113C811A" w14:textId="77777777" w:rsidR="006B5720" w:rsidRPr="001E27DA" w:rsidRDefault="006B5720" w:rsidP="006B5720">
      <w:pPr>
        <w:pStyle w:val="ListParagraph"/>
        <w:autoSpaceDE w:val="0"/>
        <w:autoSpaceDN w:val="0"/>
        <w:adjustRightInd w:val="0"/>
        <w:spacing w:after="120"/>
        <w:ind w:left="0"/>
        <w:rPr>
          <w:rFonts w:ascii="Arial" w:hAnsi="Arial" w:cs="Arial"/>
          <w:sz w:val="20"/>
          <w:szCs w:val="20"/>
        </w:rPr>
      </w:pPr>
      <w:r w:rsidRPr="001E27DA">
        <w:rPr>
          <w:rFonts w:ascii="Arial" w:hAnsi="Arial" w:cs="Arial"/>
          <w:sz w:val="20"/>
          <w:szCs w:val="20"/>
        </w:rPr>
        <w:t>A significant achievement has been the clarity of purpose and strategic intent expressed by principals in conversation, and through their school improvement planning processes.</w:t>
      </w:r>
      <w:r w:rsidR="0080475F">
        <w:rPr>
          <w:rFonts w:ascii="Arial" w:hAnsi="Arial" w:cs="Arial"/>
          <w:sz w:val="20"/>
          <w:szCs w:val="20"/>
        </w:rPr>
        <w:t xml:space="preserve"> There is an overall</w:t>
      </w:r>
      <w:r w:rsidR="00F6216A">
        <w:rPr>
          <w:rFonts w:ascii="Arial" w:hAnsi="Arial" w:cs="Arial"/>
          <w:sz w:val="20"/>
          <w:szCs w:val="20"/>
        </w:rPr>
        <w:t xml:space="preserve"> increase in the use of student data to inform school pl</w:t>
      </w:r>
      <w:r w:rsidR="0080475F">
        <w:rPr>
          <w:rFonts w:ascii="Arial" w:hAnsi="Arial" w:cs="Arial"/>
          <w:sz w:val="20"/>
          <w:szCs w:val="20"/>
        </w:rPr>
        <w:t xml:space="preserve">anning, professional learning and student learning. As a result there is increasing use of explicit </w:t>
      </w:r>
      <w:r w:rsidR="00D068EA">
        <w:rPr>
          <w:rFonts w:ascii="Arial" w:hAnsi="Arial" w:cs="Arial"/>
          <w:sz w:val="20"/>
          <w:szCs w:val="20"/>
        </w:rPr>
        <w:t>teaching. All</w:t>
      </w:r>
      <w:r w:rsidR="00F6216A">
        <w:rPr>
          <w:rFonts w:ascii="Arial" w:hAnsi="Arial" w:cs="Arial"/>
          <w:sz w:val="20"/>
          <w:szCs w:val="20"/>
        </w:rPr>
        <w:t xml:space="preserve"> sectors</w:t>
      </w:r>
      <w:r w:rsidR="0080475F">
        <w:rPr>
          <w:rFonts w:ascii="Arial" w:hAnsi="Arial" w:cs="Arial"/>
          <w:sz w:val="20"/>
          <w:szCs w:val="20"/>
        </w:rPr>
        <w:t xml:space="preserve"> are inv</w:t>
      </w:r>
      <w:r w:rsidR="002E1072">
        <w:rPr>
          <w:rFonts w:ascii="Arial" w:hAnsi="Arial" w:cs="Arial"/>
          <w:sz w:val="20"/>
          <w:szCs w:val="20"/>
        </w:rPr>
        <w:t>esting in the professional</w:t>
      </w:r>
      <w:r w:rsidR="0080475F">
        <w:rPr>
          <w:rFonts w:ascii="Arial" w:hAnsi="Arial" w:cs="Arial"/>
          <w:sz w:val="20"/>
          <w:szCs w:val="20"/>
        </w:rPr>
        <w:t xml:space="preserve"> learning of teachers with a</w:t>
      </w:r>
      <w:r w:rsidR="002E1072">
        <w:rPr>
          <w:rFonts w:ascii="Arial" w:hAnsi="Arial" w:cs="Arial"/>
          <w:sz w:val="20"/>
          <w:szCs w:val="20"/>
        </w:rPr>
        <w:t>n increased</w:t>
      </w:r>
      <w:r w:rsidR="00F6216A">
        <w:rPr>
          <w:rFonts w:ascii="Arial" w:hAnsi="Arial" w:cs="Arial"/>
          <w:sz w:val="20"/>
          <w:szCs w:val="20"/>
        </w:rPr>
        <w:t xml:space="preserve"> focus on improving </w:t>
      </w:r>
      <w:r w:rsidR="0080475F">
        <w:rPr>
          <w:rFonts w:ascii="Arial" w:hAnsi="Arial" w:cs="Arial"/>
          <w:sz w:val="20"/>
          <w:szCs w:val="20"/>
        </w:rPr>
        <w:t>literacy and numeracy teaching/learning practice and pedagogy</w:t>
      </w:r>
      <w:r w:rsidR="00B404BD">
        <w:rPr>
          <w:rFonts w:ascii="Arial" w:hAnsi="Arial" w:cs="Arial"/>
          <w:sz w:val="20"/>
          <w:szCs w:val="20"/>
        </w:rPr>
        <w:t>.</w:t>
      </w:r>
    </w:p>
    <w:p w14:paraId="113C811B" w14:textId="77777777" w:rsidR="006B5720" w:rsidRPr="001E27DA" w:rsidRDefault="006B5720" w:rsidP="006B5720">
      <w:pPr>
        <w:spacing w:after="120"/>
        <w:rPr>
          <w:sz w:val="20"/>
          <w:szCs w:val="20"/>
        </w:rPr>
      </w:pPr>
      <w:r w:rsidRPr="001E27DA">
        <w:rPr>
          <w:rFonts w:ascii="Arial" w:hAnsi="Arial" w:cs="Arial"/>
          <w:sz w:val="20"/>
          <w:szCs w:val="20"/>
        </w:rPr>
        <w:t>Through the Flexible Learning School Strategy, Flexible Learning Tasmania has been established to increase access to flexible on-line learning for disengaged students or those who are unable to attend a mainstream school. Over 150 online units</w:t>
      </w:r>
      <w:r w:rsidR="002E1072">
        <w:rPr>
          <w:rFonts w:ascii="Arial" w:hAnsi="Arial" w:cs="Arial"/>
          <w:sz w:val="20"/>
          <w:szCs w:val="20"/>
        </w:rPr>
        <w:t xml:space="preserve"> </w:t>
      </w:r>
      <w:r w:rsidRPr="001E27DA">
        <w:rPr>
          <w:rFonts w:ascii="Arial" w:hAnsi="Arial" w:cs="Arial"/>
          <w:sz w:val="20"/>
          <w:szCs w:val="20"/>
        </w:rPr>
        <w:t xml:space="preserve">will be available for students in 2011, </w:t>
      </w:r>
      <w:r w:rsidR="002E1072">
        <w:rPr>
          <w:rFonts w:ascii="Arial" w:hAnsi="Arial" w:cs="Arial"/>
          <w:sz w:val="20"/>
          <w:szCs w:val="20"/>
        </w:rPr>
        <w:t>and</w:t>
      </w:r>
      <w:r w:rsidR="002E1072" w:rsidRPr="001E27DA">
        <w:rPr>
          <w:rFonts w:ascii="Arial" w:hAnsi="Arial" w:cs="Arial"/>
          <w:sz w:val="20"/>
          <w:szCs w:val="20"/>
        </w:rPr>
        <w:t xml:space="preserve"> </w:t>
      </w:r>
      <w:r w:rsidR="0080475F">
        <w:rPr>
          <w:rFonts w:ascii="Arial" w:hAnsi="Arial" w:cs="Arial"/>
          <w:sz w:val="20"/>
          <w:szCs w:val="20"/>
        </w:rPr>
        <w:t xml:space="preserve">a further </w:t>
      </w:r>
      <w:r w:rsidRPr="001E27DA">
        <w:rPr>
          <w:rFonts w:ascii="Arial" w:hAnsi="Arial" w:cs="Arial"/>
          <w:sz w:val="20"/>
          <w:szCs w:val="20"/>
        </w:rPr>
        <w:t xml:space="preserve">15 courses </w:t>
      </w:r>
      <w:r w:rsidR="002E1072">
        <w:rPr>
          <w:rFonts w:ascii="Arial" w:hAnsi="Arial" w:cs="Arial"/>
          <w:sz w:val="20"/>
          <w:szCs w:val="20"/>
        </w:rPr>
        <w:t>are being</w:t>
      </w:r>
      <w:r w:rsidRPr="001E27DA">
        <w:rPr>
          <w:rFonts w:ascii="Arial" w:hAnsi="Arial" w:cs="Arial"/>
          <w:sz w:val="20"/>
          <w:szCs w:val="20"/>
        </w:rPr>
        <w:t xml:space="preserve"> developed.</w:t>
      </w:r>
    </w:p>
    <w:p w14:paraId="113C811C" w14:textId="77777777" w:rsidR="007F6C4C" w:rsidRDefault="007F6C4C" w:rsidP="009D2EC6">
      <w:pPr>
        <w:pStyle w:val="SSheading4"/>
        <w:rPr>
          <w:color w:val="auto"/>
        </w:rPr>
      </w:pPr>
    </w:p>
    <w:p w14:paraId="113C811D" w14:textId="77777777" w:rsidR="00DD6A02" w:rsidRPr="001E27DA" w:rsidRDefault="00DD6A02" w:rsidP="009D2EC6">
      <w:pPr>
        <w:pStyle w:val="SSheading4"/>
        <w:rPr>
          <w:color w:val="auto"/>
        </w:rPr>
      </w:pPr>
      <w:r w:rsidRPr="001E27DA">
        <w:rPr>
          <w:color w:val="auto"/>
        </w:rPr>
        <w:t>Smarter Schools National Partnership for Improving Teacher Quality</w:t>
      </w:r>
    </w:p>
    <w:bookmarkEnd w:id="0"/>
    <w:bookmarkEnd w:id="1"/>
    <w:p w14:paraId="113C811E" w14:textId="77777777" w:rsidR="003001B9" w:rsidRDefault="003001B9" w:rsidP="003001B9">
      <w:pPr>
        <w:spacing w:after="120"/>
        <w:rPr>
          <w:rFonts w:ascii="Arial" w:hAnsi="Arial" w:cs="Arial"/>
          <w:sz w:val="20"/>
          <w:szCs w:val="20"/>
        </w:rPr>
      </w:pPr>
      <w:r w:rsidRPr="00D615F4">
        <w:rPr>
          <w:rFonts w:ascii="Arial" w:hAnsi="Arial" w:cs="Arial"/>
          <w:sz w:val="20"/>
          <w:szCs w:val="20"/>
        </w:rPr>
        <w:t xml:space="preserve">Tasmania has been able to provide significant, additional support for teachers. This assistance has enabled schools to access world leading professional learning and support and empowered educators to lead learning in schools in order to achieve improved student outcomes. </w:t>
      </w:r>
    </w:p>
    <w:p w14:paraId="113C811F" w14:textId="77777777" w:rsidR="003001B9" w:rsidRDefault="003001B9" w:rsidP="003001B9">
      <w:pPr>
        <w:spacing w:after="120"/>
        <w:rPr>
          <w:rFonts w:ascii="Arial" w:hAnsi="Arial" w:cs="Arial"/>
          <w:sz w:val="20"/>
          <w:szCs w:val="20"/>
        </w:rPr>
      </w:pPr>
      <w:r>
        <w:rPr>
          <w:rFonts w:ascii="Arial" w:hAnsi="Arial" w:cs="Arial"/>
          <w:sz w:val="20"/>
          <w:szCs w:val="20"/>
        </w:rPr>
        <w:t>Tasmania has</w:t>
      </w:r>
      <w:r w:rsidRPr="00D615F4">
        <w:rPr>
          <w:rFonts w:ascii="Arial" w:hAnsi="Arial" w:cs="Arial"/>
          <w:sz w:val="20"/>
          <w:szCs w:val="20"/>
        </w:rPr>
        <w:t xml:space="preserve"> establish</w:t>
      </w:r>
      <w:r>
        <w:rPr>
          <w:rFonts w:ascii="Arial" w:hAnsi="Arial" w:cs="Arial"/>
          <w:sz w:val="20"/>
          <w:szCs w:val="20"/>
        </w:rPr>
        <w:t>ed</w:t>
      </w:r>
      <w:r w:rsidRPr="00D615F4">
        <w:rPr>
          <w:rFonts w:ascii="Arial" w:hAnsi="Arial" w:cs="Arial"/>
          <w:sz w:val="20"/>
          <w:szCs w:val="20"/>
        </w:rPr>
        <w:t xml:space="preserve"> eight School Centres of Excellence</w:t>
      </w:r>
      <w:r>
        <w:rPr>
          <w:rFonts w:ascii="Arial" w:hAnsi="Arial" w:cs="Arial"/>
          <w:sz w:val="20"/>
          <w:szCs w:val="20"/>
        </w:rPr>
        <w:t xml:space="preserve">, while </w:t>
      </w:r>
      <w:r w:rsidRPr="00D615F4">
        <w:rPr>
          <w:rFonts w:ascii="Arial" w:hAnsi="Arial" w:cs="Arial"/>
          <w:sz w:val="20"/>
          <w:szCs w:val="20"/>
        </w:rPr>
        <w:t xml:space="preserve">the Aspiring Leaders program </w:t>
      </w:r>
      <w:r>
        <w:rPr>
          <w:rFonts w:ascii="Arial" w:hAnsi="Arial" w:cs="Arial"/>
          <w:sz w:val="20"/>
          <w:szCs w:val="20"/>
        </w:rPr>
        <w:t>has attracted</w:t>
      </w:r>
      <w:r w:rsidRPr="00D615F4">
        <w:rPr>
          <w:rFonts w:ascii="Arial" w:hAnsi="Arial" w:cs="Arial"/>
          <w:sz w:val="20"/>
          <w:szCs w:val="20"/>
        </w:rPr>
        <w:t xml:space="preserve"> 134 </w:t>
      </w:r>
      <w:r>
        <w:rPr>
          <w:rFonts w:ascii="Arial" w:hAnsi="Arial" w:cs="Arial"/>
          <w:sz w:val="20"/>
          <w:szCs w:val="20"/>
        </w:rPr>
        <w:t xml:space="preserve">participating </w:t>
      </w:r>
      <w:r w:rsidRPr="00D615F4">
        <w:rPr>
          <w:rFonts w:ascii="Arial" w:hAnsi="Arial" w:cs="Arial"/>
          <w:sz w:val="20"/>
          <w:szCs w:val="20"/>
        </w:rPr>
        <w:t>teachers from all sectors.</w:t>
      </w:r>
    </w:p>
    <w:p w14:paraId="113C8120" w14:textId="77777777" w:rsidR="006B5720" w:rsidRPr="001E27DA" w:rsidRDefault="006B5720" w:rsidP="006B5720">
      <w:pPr>
        <w:pStyle w:val="ListParagraph"/>
        <w:autoSpaceDE w:val="0"/>
        <w:autoSpaceDN w:val="0"/>
        <w:adjustRightInd w:val="0"/>
        <w:spacing w:after="120"/>
        <w:ind w:left="0"/>
        <w:rPr>
          <w:rFonts w:ascii="Arial" w:hAnsi="Arial" w:cs="Arial"/>
          <w:sz w:val="20"/>
          <w:szCs w:val="20"/>
        </w:rPr>
      </w:pPr>
    </w:p>
    <w:p w14:paraId="113C8121" w14:textId="77777777" w:rsidR="00F11247" w:rsidRPr="001E27DA" w:rsidRDefault="00F11247" w:rsidP="00BC698E">
      <w:pPr>
        <w:pStyle w:val="SSBodyText"/>
      </w:pPr>
    </w:p>
    <w:sectPr w:rsidR="00F11247" w:rsidRPr="001E27DA" w:rsidSect="004D5B43">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C8124" w14:textId="77777777" w:rsidR="002E1072" w:rsidRDefault="002E1072" w:rsidP="004D5B43">
      <w:r>
        <w:separator/>
      </w:r>
    </w:p>
  </w:endnote>
  <w:endnote w:type="continuationSeparator" w:id="0">
    <w:p w14:paraId="113C8125" w14:textId="77777777" w:rsidR="002E1072" w:rsidRDefault="002E1072" w:rsidP="004D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8128" w14:textId="77777777" w:rsidR="005D656A" w:rsidRDefault="005D6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8129" w14:textId="77777777" w:rsidR="005D656A" w:rsidRDefault="005D656A">
    <w:pPr>
      <w:pStyle w:val="Footer"/>
    </w:pPr>
    <w:r w:rsidRPr="005D656A">
      <w:rPr>
        <w:noProof/>
      </w:rPr>
      <w:drawing>
        <wp:anchor distT="0" distB="0" distL="114300" distR="114300" simplePos="0" relativeHeight="251662336" behindDoc="1" locked="0" layoutInCell="1" allowOverlap="1" wp14:anchorId="113C812C" wp14:editId="113C812D">
          <wp:simplePos x="0" y="0"/>
          <wp:positionH relativeFrom="column">
            <wp:posOffset>-917957</wp:posOffset>
          </wp:positionH>
          <wp:positionV relativeFrom="paragraph">
            <wp:posOffset>113716</wp:posOffset>
          </wp:positionV>
          <wp:extent cx="7566813" cy="190196"/>
          <wp:effectExtent l="19050" t="0" r="0" b="304"/>
          <wp:wrapNone/>
          <wp:docPr id="4" name="Picture 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jpg"/>
                  <pic:cNvPicPr>
                    <a:picLocks noChangeAspect="1" noChangeArrowheads="1"/>
                  </pic:cNvPicPr>
                </pic:nvPicPr>
                <pic:blipFill>
                  <a:blip r:embed="rId1"/>
                  <a:srcRect/>
                  <a:stretch>
                    <a:fillRect/>
                  </a:stretch>
                </pic:blipFill>
                <pic:spPr bwMode="auto">
                  <a:xfrm>
                    <a:off x="0" y="0"/>
                    <a:ext cx="7566813" cy="190196"/>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812B" w14:textId="77777777" w:rsidR="005D656A" w:rsidRDefault="005D6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C8122" w14:textId="77777777" w:rsidR="002E1072" w:rsidRDefault="002E1072" w:rsidP="004D5B43">
      <w:r>
        <w:separator/>
      </w:r>
    </w:p>
  </w:footnote>
  <w:footnote w:type="continuationSeparator" w:id="0">
    <w:p w14:paraId="113C8123" w14:textId="77777777" w:rsidR="002E1072" w:rsidRDefault="002E1072" w:rsidP="004D5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8126" w14:textId="77777777" w:rsidR="005D656A" w:rsidRDefault="005D6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8127" w14:textId="77777777" w:rsidR="005D656A" w:rsidRDefault="005D65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812A" w14:textId="77777777" w:rsidR="002E1072" w:rsidRDefault="007F6C4C">
    <w:pPr>
      <w:pStyle w:val="Header"/>
    </w:pPr>
    <w:r w:rsidRPr="007F6C4C">
      <w:rPr>
        <w:noProof/>
      </w:rPr>
      <w:drawing>
        <wp:inline distT="0" distB="0" distL="0" distR="0" wp14:anchorId="113C812E" wp14:editId="113C812F">
          <wp:extent cx="5939790" cy="1815317"/>
          <wp:effectExtent l="1905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39790" cy="1815317"/>
                  </a:xfrm>
                  <a:prstGeom prst="rect">
                    <a:avLst/>
                  </a:prstGeom>
                  <a:noFill/>
                  <a:ln w="9525">
                    <a:noFill/>
                    <a:miter lim="800000"/>
                    <a:headEnd/>
                    <a:tailEnd/>
                  </a:ln>
                </pic:spPr>
              </pic:pic>
            </a:graphicData>
          </a:graphic>
        </wp:inline>
      </w:drawing>
    </w:r>
    <w:r w:rsidR="002E1072">
      <w:rPr>
        <w:noProof/>
      </w:rPr>
      <w:drawing>
        <wp:anchor distT="0" distB="0" distL="114300" distR="114300" simplePos="0" relativeHeight="251660288" behindDoc="1" locked="0" layoutInCell="1" allowOverlap="1" wp14:anchorId="113C8130" wp14:editId="113C8131">
          <wp:simplePos x="0" y="0"/>
          <wp:positionH relativeFrom="column">
            <wp:posOffset>-908050</wp:posOffset>
          </wp:positionH>
          <wp:positionV relativeFrom="paragraph">
            <wp:posOffset>9998075</wp:posOffset>
          </wp:positionV>
          <wp:extent cx="7568565" cy="190500"/>
          <wp:effectExtent l="19050" t="0" r="0" b="0"/>
          <wp:wrapNone/>
          <wp:docPr id="1" name="Picture 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jpg"/>
                  <pic:cNvPicPr>
                    <a:picLocks noChangeAspect="1" noChangeArrowheads="1"/>
                  </pic:cNvPicPr>
                </pic:nvPicPr>
                <pic:blipFill>
                  <a:blip r:embed="rId2"/>
                  <a:srcRect/>
                  <a:stretch>
                    <a:fillRect/>
                  </a:stretch>
                </pic:blipFill>
                <pic:spPr bwMode="auto">
                  <a:xfrm>
                    <a:off x="0" y="0"/>
                    <a:ext cx="7568565" cy="190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0F7A"/>
    <w:multiLevelType w:val="hybridMultilevel"/>
    <w:tmpl w:val="D00290A6"/>
    <w:lvl w:ilvl="0" w:tplc="F3000FA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27D7EEE"/>
    <w:multiLevelType w:val="hybridMultilevel"/>
    <w:tmpl w:val="96DC137C"/>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
    <w:nsid w:val="13956240"/>
    <w:multiLevelType w:val="hybridMultilevel"/>
    <w:tmpl w:val="DC94D6BC"/>
    <w:lvl w:ilvl="0" w:tplc="95D6DD24">
      <w:start w:val="1"/>
      <w:numFmt w:val="lowerLetter"/>
      <w:pStyle w:val="SSSecondaryNumberedBullet"/>
      <w:lvlText w:val="%1."/>
      <w:lvlJc w:val="left"/>
      <w:pPr>
        <w:ind w:left="890" w:hanging="360"/>
      </w:pPr>
      <w:rPr>
        <w:rFonts w:cs="Times New Roman"/>
      </w:rPr>
    </w:lvl>
    <w:lvl w:ilvl="1" w:tplc="0C090019" w:tentative="1">
      <w:start w:val="1"/>
      <w:numFmt w:val="lowerLetter"/>
      <w:lvlText w:val="%2."/>
      <w:lvlJc w:val="left"/>
      <w:pPr>
        <w:ind w:left="1610" w:hanging="360"/>
      </w:pPr>
      <w:rPr>
        <w:rFonts w:cs="Times New Roman"/>
      </w:rPr>
    </w:lvl>
    <w:lvl w:ilvl="2" w:tplc="0C09001B" w:tentative="1">
      <w:start w:val="1"/>
      <w:numFmt w:val="lowerRoman"/>
      <w:lvlText w:val="%3."/>
      <w:lvlJc w:val="right"/>
      <w:pPr>
        <w:ind w:left="2330" w:hanging="180"/>
      </w:pPr>
      <w:rPr>
        <w:rFonts w:cs="Times New Roman"/>
      </w:rPr>
    </w:lvl>
    <w:lvl w:ilvl="3" w:tplc="0C09000F" w:tentative="1">
      <w:start w:val="1"/>
      <w:numFmt w:val="decimal"/>
      <w:lvlText w:val="%4."/>
      <w:lvlJc w:val="left"/>
      <w:pPr>
        <w:ind w:left="3050" w:hanging="360"/>
      </w:pPr>
      <w:rPr>
        <w:rFonts w:cs="Times New Roman"/>
      </w:rPr>
    </w:lvl>
    <w:lvl w:ilvl="4" w:tplc="0C090019" w:tentative="1">
      <w:start w:val="1"/>
      <w:numFmt w:val="lowerLetter"/>
      <w:lvlText w:val="%5."/>
      <w:lvlJc w:val="left"/>
      <w:pPr>
        <w:ind w:left="3770" w:hanging="360"/>
      </w:pPr>
      <w:rPr>
        <w:rFonts w:cs="Times New Roman"/>
      </w:rPr>
    </w:lvl>
    <w:lvl w:ilvl="5" w:tplc="0C09001B" w:tentative="1">
      <w:start w:val="1"/>
      <w:numFmt w:val="lowerRoman"/>
      <w:lvlText w:val="%6."/>
      <w:lvlJc w:val="right"/>
      <w:pPr>
        <w:ind w:left="4490" w:hanging="180"/>
      </w:pPr>
      <w:rPr>
        <w:rFonts w:cs="Times New Roman"/>
      </w:rPr>
    </w:lvl>
    <w:lvl w:ilvl="6" w:tplc="0C09000F" w:tentative="1">
      <w:start w:val="1"/>
      <w:numFmt w:val="decimal"/>
      <w:lvlText w:val="%7."/>
      <w:lvlJc w:val="left"/>
      <w:pPr>
        <w:ind w:left="5210" w:hanging="360"/>
      </w:pPr>
      <w:rPr>
        <w:rFonts w:cs="Times New Roman"/>
      </w:rPr>
    </w:lvl>
    <w:lvl w:ilvl="7" w:tplc="0C090019" w:tentative="1">
      <w:start w:val="1"/>
      <w:numFmt w:val="lowerLetter"/>
      <w:lvlText w:val="%8."/>
      <w:lvlJc w:val="left"/>
      <w:pPr>
        <w:ind w:left="5930" w:hanging="360"/>
      </w:pPr>
      <w:rPr>
        <w:rFonts w:cs="Times New Roman"/>
      </w:rPr>
    </w:lvl>
    <w:lvl w:ilvl="8" w:tplc="0C09001B" w:tentative="1">
      <w:start w:val="1"/>
      <w:numFmt w:val="lowerRoman"/>
      <w:lvlText w:val="%9."/>
      <w:lvlJc w:val="right"/>
      <w:pPr>
        <w:ind w:left="6650" w:hanging="180"/>
      </w:pPr>
      <w:rPr>
        <w:rFonts w:cs="Times New Roman"/>
      </w:rPr>
    </w:lvl>
  </w:abstractNum>
  <w:abstractNum w:abstractNumId="3">
    <w:nsid w:val="24E51C61"/>
    <w:multiLevelType w:val="hybridMultilevel"/>
    <w:tmpl w:val="547201EA"/>
    <w:lvl w:ilvl="0" w:tplc="D826D688">
      <w:start w:val="1"/>
      <w:numFmt w:val="decimal"/>
      <w:pStyle w:val="SSNumberedBullet"/>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51986FA0"/>
    <w:multiLevelType w:val="hybridMultilevel"/>
    <w:tmpl w:val="5C3AAD14"/>
    <w:lvl w:ilvl="0" w:tplc="3C76C734">
      <w:start w:val="1"/>
      <w:numFmt w:val="bullet"/>
      <w:pStyle w:val="SSBulletSecondary"/>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nsid w:val="53EB2645"/>
    <w:multiLevelType w:val="hybridMultilevel"/>
    <w:tmpl w:val="70947A00"/>
    <w:lvl w:ilvl="0" w:tplc="0C090001">
      <w:start w:val="1"/>
      <w:numFmt w:val="bullet"/>
      <w:lvlText w:val=""/>
      <w:lvlJc w:val="left"/>
      <w:pPr>
        <w:tabs>
          <w:tab w:val="num" w:pos="2880"/>
        </w:tabs>
        <w:ind w:left="2880" w:hanging="360"/>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6">
    <w:nsid w:val="6EDA75AE"/>
    <w:multiLevelType w:val="hybridMultilevel"/>
    <w:tmpl w:val="E102839C"/>
    <w:lvl w:ilvl="0" w:tplc="594AE6EE">
      <w:start w:val="1"/>
      <w:numFmt w:val="bullet"/>
      <w:pStyle w:val="SS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B43"/>
    <w:rsid w:val="00013931"/>
    <w:rsid w:val="00020790"/>
    <w:rsid w:val="0004236F"/>
    <w:rsid w:val="00062238"/>
    <w:rsid w:val="000A2B24"/>
    <w:rsid w:val="000B5EB3"/>
    <w:rsid w:val="000D1418"/>
    <w:rsid w:val="0014105A"/>
    <w:rsid w:val="001A3239"/>
    <w:rsid w:val="001B34C3"/>
    <w:rsid w:val="001E27DA"/>
    <w:rsid w:val="00207A0B"/>
    <w:rsid w:val="00260841"/>
    <w:rsid w:val="00270048"/>
    <w:rsid w:val="00293874"/>
    <w:rsid w:val="002E1072"/>
    <w:rsid w:val="002E49A5"/>
    <w:rsid w:val="003001B9"/>
    <w:rsid w:val="00317FC3"/>
    <w:rsid w:val="00352CB1"/>
    <w:rsid w:val="00381CF3"/>
    <w:rsid w:val="00384BF2"/>
    <w:rsid w:val="00386B77"/>
    <w:rsid w:val="003947E1"/>
    <w:rsid w:val="003C148B"/>
    <w:rsid w:val="003E39B9"/>
    <w:rsid w:val="004238D2"/>
    <w:rsid w:val="00437206"/>
    <w:rsid w:val="0044203F"/>
    <w:rsid w:val="00453890"/>
    <w:rsid w:val="004655F0"/>
    <w:rsid w:val="00465AE1"/>
    <w:rsid w:val="00494980"/>
    <w:rsid w:val="004A1D3C"/>
    <w:rsid w:val="004D0D2C"/>
    <w:rsid w:val="004D5B43"/>
    <w:rsid w:val="004E6298"/>
    <w:rsid w:val="004F5E04"/>
    <w:rsid w:val="005122B2"/>
    <w:rsid w:val="00517C41"/>
    <w:rsid w:val="0052184E"/>
    <w:rsid w:val="00532441"/>
    <w:rsid w:val="0056229D"/>
    <w:rsid w:val="00567024"/>
    <w:rsid w:val="00576504"/>
    <w:rsid w:val="005806AA"/>
    <w:rsid w:val="0058191F"/>
    <w:rsid w:val="00584DEB"/>
    <w:rsid w:val="005C1E83"/>
    <w:rsid w:val="005D656A"/>
    <w:rsid w:val="006414F8"/>
    <w:rsid w:val="006820D7"/>
    <w:rsid w:val="00683018"/>
    <w:rsid w:val="00695B50"/>
    <w:rsid w:val="006A3E59"/>
    <w:rsid w:val="006B5720"/>
    <w:rsid w:val="00713358"/>
    <w:rsid w:val="00713ED9"/>
    <w:rsid w:val="0074421C"/>
    <w:rsid w:val="0076047E"/>
    <w:rsid w:val="00775C24"/>
    <w:rsid w:val="007D3A4A"/>
    <w:rsid w:val="007F6C4C"/>
    <w:rsid w:val="0080475F"/>
    <w:rsid w:val="008169E0"/>
    <w:rsid w:val="00824A71"/>
    <w:rsid w:val="00871E9C"/>
    <w:rsid w:val="008829B8"/>
    <w:rsid w:val="00892250"/>
    <w:rsid w:val="008E3039"/>
    <w:rsid w:val="008E3468"/>
    <w:rsid w:val="009237DB"/>
    <w:rsid w:val="00932D07"/>
    <w:rsid w:val="00933CA9"/>
    <w:rsid w:val="00960EBE"/>
    <w:rsid w:val="00963C4D"/>
    <w:rsid w:val="00972186"/>
    <w:rsid w:val="0098323E"/>
    <w:rsid w:val="009A2808"/>
    <w:rsid w:val="009C1B7F"/>
    <w:rsid w:val="009D2EC6"/>
    <w:rsid w:val="009D5860"/>
    <w:rsid w:val="009D5A68"/>
    <w:rsid w:val="009F1045"/>
    <w:rsid w:val="00A05848"/>
    <w:rsid w:val="00A14C80"/>
    <w:rsid w:val="00A56491"/>
    <w:rsid w:val="00A607E3"/>
    <w:rsid w:val="00A82C99"/>
    <w:rsid w:val="00A96228"/>
    <w:rsid w:val="00AA0F5C"/>
    <w:rsid w:val="00AA601C"/>
    <w:rsid w:val="00AD6D6B"/>
    <w:rsid w:val="00B0768A"/>
    <w:rsid w:val="00B225CF"/>
    <w:rsid w:val="00B404BD"/>
    <w:rsid w:val="00B40C5F"/>
    <w:rsid w:val="00B561E0"/>
    <w:rsid w:val="00B81305"/>
    <w:rsid w:val="00B93DB6"/>
    <w:rsid w:val="00BB13B5"/>
    <w:rsid w:val="00BC13F1"/>
    <w:rsid w:val="00BC698E"/>
    <w:rsid w:val="00BE5BD1"/>
    <w:rsid w:val="00BF525D"/>
    <w:rsid w:val="00C83FA8"/>
    <w:rsid w:val="00CA71C6"/>
    <w:rsid w:val="00CB5E3E"/>
    <w:rsid w:val="00CC4457"/>
    <w:rsid w:val="00CC4F69"/>
    <w:rsid w:val="00CC640F"/>
    <w:rsid w:val="00D068EA"/>
    <w:rsid w:val="00D16FCF"/>
    <w:rsid w:val="00D33E3E"/>
    <w:rsid w:val="00D423B3"/>
    <w:rsid w:val="00D43CFC"/>
    <w:rsid w:val="00D5096C"/>
    <w:rsid w:val="00D70478"/>
    <w:rsid w:val="00D83623"/>
    <w:rsid w:val="00DA5295"/>
    <w:rsid w:val="00DA7823"/>
    <w:rsid w:val="00DB2791"/>
    <w:rsid w:val="00DD6A02"/>
    <w:rsid w:val="00DF303E"/>
    <w:rsid w:val="00E06E63"/>
    <w:rsid w:val="00E32101"/>
    <w:rsid w:val="00E51E95"/>
    <w:rsid w:val="00EB0C40"/>
    <w:rsid w:val="00EB1C6C"/>
    <w:rsid w:val="00EB61FC"/>
    <w:rsid w:val="00F01E65"/>
    <w:rsid w:val="00F11247"/>
    <w:rsid w:val="00F13700"/>
    <w:rsid w:val="00F23618"/>
    <w:rsid w:val="00F23D5C"/>
    <w:rsid w:val="00F6216A"/>
    <w:rsid w:val="00F71C04"/>
    <w:rsid w:val="00FE320B"/>
    <w:rsid w:val="00FF67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13C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0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5B43"/>
    <w:pPr>
      <w:tabs>
        <w:tab w:val="center" w:pos="4513"/>
        <w:tab w:val="right" w:pos="9026"/>
      </w:tabs>
    </w:pPr>
  </w:style>
  <w:style w:type="character" w:customStyle="1" w:styleId="HeaderChar">
    <w:name w:val="Header Char"/>
    <w:basedOn w:val="DefaultParagraphFont"/>
    <w:link w:val="Header"/>
    <w:uiPriority w:val="99"/>
    <w:locked/>
    <w:rsid w:val="004D5B43"/>
    <w:rPr>
      <w:rFonts w:cs="Times New Roman"/>
      <w:sz w:val="24"/>
      <w:szCs w:val="24"/>
    </w:rPr>
  </w:style>
  <w:style w:type="paragraph" w:styleId="Footer">
    <w:name w:val="footer"/>
    <w:basedOn w:val="Normal"/>
    <w:link w:val="FooterChar"/>
    <w:uiPriority w:val="99"/>
    <w:rsid w:val="004D5B43"/>
    <w:pPr>
      <w:tabs>
        <w:tab w:val="center" w:pos="4513"/>
        <w:tab w:val="right" w:pos="9026"/>
      </w:tabs>
    </w:pPr>
  </w:style>
  <w:style w:type="character" w:customStyle="1" w:styleId="FooterChar">
    <w:name w:val="Footer Char"/>
    <w:basedOn w:val="DefaultParagraphFont"/>
    <w:link w:val="Footer"/>
    <w:uiPriority w:val="99"/>
    <w:locked/>
    <w:rsid w:val="004D5B43"/>
    <w:rPr>
      <w:rFonts w:cs="Times New Roman"/>
      <w:sz w:val="24"/>
      <w:szCs w:val="24"/>
    </w:rPr>
  </w:style>
  <w:style w:type="paragraph" w:styleId="BalloonText">
    <w:name w:val="Balloon Text"/>
    <w:basedOn w:val="Normal"/>
    <w:link w:val="BalloonTextChar"/>
    <w:uiPriority w:val="99"/>
    <w:rsid w:val="004D5B43"/>
    <w:rPr>
      <w:rFonts w:ascii="Tahoma" w:hAnsi="Tahoma" w:cs="Tahoma"/>
      <w:sz w:val="16"/>
      <w:szCs w:val="16"/>
    </w:rPr>
  </w:style>
  <w:style w:type="character" w:customStyle="1" w:styleId="BalloonTextChar">
    <w:name w:val="Balloon Text Char"/>
    <w:basedOn w:val="DefaultParagraphFont"/>
    <w:link w:val="BalloonText"/>
    <w:uiPriority w:val="99"/>
    <w:locked/>
    <w:rsid w:val="004D5B43"/>
    <w:rPr>
      <w:rFonts w:ascii="Tahoma" w:hAnsi="Tahoma" w:cs="Tahoma"/>
      <w:sz w:val="16"/>
      <w:szCs w:val="16"/>
    </w:rPr>
  </w:style>
  <w:style w:type="character" w:styleId="Hyperlink">
    <w:name w:val="Hyperlink"/>
    <w:basedOn w:val="DefaultParagraphFont"/>
    <w:uiPriority w:val="99"/>
    <w:rsid w:val="00DD6A02"/>
    <w:rPr>
      <w:rFonts w:cs="Times New Roman"/>
      <w:color w:val="3344DD"/>
      <w:u w:val="single"/>
    </w:rPr>
  </w:style>
  <w:style w:type="table" w:customStyle="1" w:styleId="57">
    <w:name w:val="57"/>
    <w:uiPriority w:val="99"/>
    <w:rsid w:val="00B40C5F"/>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styleId="TableGrid">
    <w:name w:val="Table Grid"/>
    <w:basedOn w:val="TableNormal"/>
    <w:uiPriority w:val="59"/>
    <w:rsid w:val="00E06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qFormat/>
    <w:rsid w:val="00CC4F69"/>
    <w:rPr>
      <w:rFonts w:ascii="Arial" w:hAnsi="Arial"/>
      <w:sz w:val="16"/>
    </w:rPr>
    <w:tblPr>
      <w:tblInd w:w="0" w:type="dxa"/>
      <w:tblCellMar>
        <w:top w:w="0" w:type="dxa"/>
        <w:left w:w="108" w:type="dxa"/>
        <w:bottom w:w="0" w:type="dxa"/>
        <w:right w:w="108" w:type="dxa"/>
      </w:tblCellMar>
    </w:tblPr>
  </w:style>
  <w:style w:type="paragraph" w:customStyle="1" w:styleId="StyleArial10ptAfter6pt">
    <w:name w:val="Style Arial 10 pt After:  6 pt"/>
    <w:basedOn w:val="Normal"/>
    <w:rsid w:val="00CC4F69"/>
    <w:pPr>
      <w:spacing w:after="120"/>
    </w:pPr>
    <w:rPr>
      <w:rFonts w:ascii="Arial" w:hAnsi="Arial"/>
      <w:sz w:val="16"/>
      <w:szCs w:val="20"/>
    </w:rPr>
  </w:style>
  <w:style w:type="paragraph" w:customStyle="1" w:styleId="SSTableHeader">
    <w:name w:val="SS_Table Header"/>
    <w:basedOn w:val="Normal"/>
    <w:autoRedefine/>
    <w:qFormat/>
    <w:rsid w:val="00A05848"/>
    <w:rPr>
      <w:rFonts w:ascii="Arial" w:hAnsi="Arial" w:cs="Arial"/>
      <w:b/>
      <w:sz w:val="16"/>
      <w:szCs w:val="16"/>
    </w:rPr>
  </w:style>
  <w:style w:type="paragraph" w:customStyle="1" w:styleId="SSHeading1">
    <w:name w:val="SS_Heading 1"/>
    <w:basedOn w:val="Normal"/>
    <w:qFormat/>
    <w:rsid w:val="00532441"/>
    <w:pPr>
      <w:spacing w:after="240"/>
    </w:pPr>
    <w:rPr>
      <w:rFonts w:ascii="Arial" w:hAnsi="Arial" w:cs="Arial"/>
      <w:b/>
      <w:color w:val="003468"/>
      <w:sz w:val="28"/>
      <w:szCs w:val="28"/>
    </w:rPr>
  </w:style>
  <w:style w:type="paragraph" w:customStyle="1" w:styleId="SSIntro">
    <w:name w:val="SS_Intro"/>
    <w:basedOn w:val="Normal"/>
    <w:qFormat/>
    <w:rsid w:val="00532441"/>
    <w:pPr>
      <w:spacing w:after="120" w:line="264" w:lineRule="auto"/>
    </w:pPr>
    <w:rPr>
      <w:rFonts w:ascii="Arial" w:hAnsi="Arial" w:cs="Arial"/>
      <w:bCs/>
      <w:i/>
      <w:sz w:val="20"/>
      <w:szCs w:val="20"/>
    </w:rPr>
  </w:style>
  <w:style w:type="paragraph" w:customStyle="1" w:styleId="SSTableHeading">
    <w:name w:val="SS_Table Heading"/>
    <w:basedOn w:val="Normal"/>
    <w:qFormat/>
    <w:rsid w:val="00532441"/>
    <w:pPr>
      <w:pBdr>
        <w:top w:val="single" w:sz="4" w:space="3" w:color="auto"/>
      </w:pBdr>
      <w:spacing w:before="240" w:after="60"/>
    </w:pPr>
    <w:rPr>
      <w:rFonts w:ascii="Arial" w:hAnsi="Arial" w:cs="Arial"/>
      <w:b/>
      <w:color w:val="003468"/>
      <w:sz w:val="18"/>
      <w:szCs w:val="18"/>
    </w:rPr>
  </w:style>
  <w:style w:type="paragraph" w:customStyle="1" w:styleId="SSHeading2">
    <w:name w:val="SS_Heading 2"/>
    <w:basedOn w:val="Normal"/>
    <w:qFormat/>
    <w:rsid w:val="00532441"/>
    <w:pPr>
      <w:spacing w:after="60"/>
    </w:pPr>
    <w:rPr>
      <w:rFonts w:ascii="Arial" w:hAnsi="Arial" w:cs="Arial"/>
      <w:b/>
      <w:color w:val="003468"/>
    </w:rPr>
  </w:style>
  <w:style w:type="paragraph" w:customStyle="1" w:styleId="SSBodyText">
    <w:name w:val="SS_Body Text"/>
    <w:basedOn w:val="Normal"/>
    <w:qFormat/>
    <w:rsid w:val="00532441"/>
    <w:pPr>
      <w:spacing w:after="120"/>
    </w:pPr>
    <w:rPr>
      <w:rFonts w:ascii="Arial" w:hAnsi="Arial" w:cs="Arial"/>
      <w:sz w:val="20"/>
      <w:szCs w:val="20"/>
    </w:rPr>
  </w:style>
  <w:style w:type="paragraph" w:customStyle="1" w:styleId="SSCaption">
    <w:name w:val="SS_Caption"/>
    <w:basedOn w:val="SSBodyText"/>
    <w:qFormat/>
    <w:rsid w:val="00532441"/>
    <w:pPr>
      <w:spacing w:before="60"/>
    </w:pPr>
    <w:rPr>
      <w:sz w:val="16"/>
      <w:szCs w:val="16"/>
    </w:rPr>
  </w:style>
  <w:style w:type="paragraph" w:customStyle="1" w:styleId="SSHeading3">
    <w:name w:val="SS_Heading 3"/>
    <w:basedOn w:val="SSBodyText"/>
    <w:qFormat/>
    <w:rsid w:val="00532441"/>
    <w:rPr>
      <w:i/>
      <w:color w:val="003468"/>
      <w:sz w:val="22"/>
      <w:szCs w:val="22"/>
    </w:rPr>
  </w:style>
  <w:style w:type="paragraph" w:customStyle="1" w:styleId="SSBodyb4Bullet">
    <w:name w:val="SS_Body b4 Bullet"/>
    <w:basedOn w:val="SSBodyText"/>
    <w:qFormat/>
    <w:rsid w:val="00892250"/>
    <w:pPr>
      <w:spacing w:after="0"/>
    </w:pPr>
  </w:style>
  <w:style w:type="paragraph" w:customStyle="1" w:styleId="SSBullet">
    <w:name w:val="SS_Bullet"/>
    <w:basedOn w:val="SSBodyText"/>
    <w:qFormat/>
    <w:rsid w:val="00892250"/>
    <w:pPr>
      <w:numPr>
        <w:numId w:val="1"/>
      </w:numPr>
      <w:spacing w:after="0"/>
      <w:ind w:left="147" w:hanging="170"/>
    </w:pPr>
  </w:style>
  <w:style w:type="paragraph" w:customStyle="1" w:styleId="SSBulletSecondary">
    <w:name w:val="SS_Bullet Secondary"/>
    <w:basedOn w:val="SSBullet"/>
    <w:qFormat/>
    <w:rsid w:val="00892250"/>
    <w:pPr>
      <w:numPr>
        <w:numId w:val="2"/>
      </w:numPr>
      <w:ind w:left="340" w:hanging="170"/>
    </w:pPr>
  </w:style>
  <w:style w:type="paragraph" w:customStyle="1" w:styleId="SSBulletLast">
    <w:name w:val="SS_Bullet Last"/>
    <w:basedOn w:val="SSBullet"/>
    <w:qFormat/>
    <w:rsid w:val="00892250"/>
    <w:pPr>
      <w:spacing w:after="120"/>
    </w:pPr>
  </w:style>
  <w:style w:type="paragraph" w:customStyle="1" w:styleId="SSNumberedBullet">
    <w:name w:val="SS_Numbered Bullet"/>
    <w:basedOn w:val="SSBodyText"/>
    <w:qFormat/>
    <w:rsid w:val="0058191F"/>
    <w:pPr>
      <w:numPr>
        <w:numId w:val="3"/>
      </w:numPr>
      <w:spacing w:after="0"/>
      <w:ind w:left="170" w:hanging="170"/>
    </w:pPr>
  </w:style>
  <w:style w:type="paragraph" w:customStyle="1" w:styleId="SSSecondaryNumberedBullet">
    <w:name w:val="SS_Secondary Numbered Bullet"/>
    <w:basedOn w:val="SSNumberedBullet"/>
    <w:qFormat/>
    <w:rsid w:val="0058191F"/>
    <w:pPr>
      <w:numPr>
        <w:numId w:val="4"/>
      </w:numPr>
      <w:ind w:left="340" w:hanging="170"/>
    </w:pPr>
  </w:style>
  <w:style w:type="paragraph" w:customStyle="1" w:styleId="SSNumberedBulletLast">
    <w:name w:val="SS_Numbered Bullet Last"/>
    <w:basedOn w:val="SSNumberedBullet"/>
    <w:qFormat/>
    <w:rsid w:val="0058191F"/>
    <w:pPr>
      <w:spacing w:after="120"/>
    </w:pPr>
  </w:style>
  <w:style w:type="paragraph" w:customStyle="1" w:styleId="SSheading4">
    <w:name w:val="SS_heading 4"/>
    <w:basedOn w:val="SSBodyText"/>
    <w:qFormat/>
    <w:rsid w:val="009D2EC6"/>
    <w:rPr>
      <w:i/>
      <w:color w:val="003468"/>
      <w:sz w:val="22"/>
      <w:szCs w:val="22"/>
    </w:rPr>
  </w:style>
  <w:style w:type="paragraph" w:styleId="ListParagraph">
    <w:name w:val="List Paragraph"/>
    <w:basedOn w:val="Normal"/>
    <w:uiPriority w:val="99"/>
    <w:qFormat/>
    <w:rsid w:val="00CC640F"/>
    <w:pPr>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0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5B43"/>
    <w:pPr>
      <w:tabs>
        <w:tab w:val="center" w:pos="4513"/>
        <w:tab w:val="right" w:pos="9026"/>
      </w:tabs>
    </w:pPr>
  </w:style>
  <w:style w:type="character" w:customStyle="1" w:styleId="HeaderChar">
    <w:name w:val="Header Char"/>
    <w:basedOn w:val="DefaultParagraphFont"/>
    <w:link w:val="Header"/>
    <w:uiPriority w:val="99"/>
    <w:locked/>
    <w:rsid w:val="004D5B43"/>
    <w:rPr>
      <w:rFonts w:cs="Times New Roman"/>
      <w:sz w:val="24"/>
      <w:szCs w:val="24"/>
    </w:rPr>
  </w:style>
  <w:style w:type="paragraph" w:styleId="Footer">
    <w:name w:val="footer"/>
    <w:basedOn w:val="Normal"/>
    <w:link w:val="FooterChar"/>
    <w:uiPriority w:val="99"/>
    <w:rsid w:val="004D5B43"/>
    <w:pPr>
      <w:tabs>
        <w:tab w:val="center" w:pos="4513"/>
        <w:tab w:val="right" w:pos="9026"/>
      </w:tabs>
    </w:pPr>
  </w:style>
  <w:style w:type="character" w:customStyle="1" w:styleId="FooterChar">
    <w:name w:val="Footer Char"/>
    <w:basedOn w:val="DefaultParagraphFont"/>
    <w:link w:val="Footer"/>
    <w:uiPriority w:val="99"/>
    <w:locked/>
    <w:rsid w:val="004D5B43"/>
    <w:rPr>
      <w:rFonts w:cs="Times New Roman"/>
      <w:sz w:val="24"/>
      <w:szCs w:val="24"/>
    </w:rPr>
  </w:style>
  <w:style w:type="paragraph" w:styleId="BalloonText">
    <w:name w:val="Balloon Text"/>
    <w:basedOn w:val="Normal"/>
    <w:link w:val="BalloonTextChar"/>
    <w:uiPriority w:val="99"/>
    <w:rsid w:val="004D5B43"/>
    <w:rPr>
      <w:rFonts w:ascii="Tahoma" w:hAnsi="Tahoma" w:cs="Tahoma"/>
      <w:sz w:val="16"/>
      <w:szCs w:val="16"/>
    </w:rPr>
  </w:style>
  <w:style w:type="character" w:customStyle="1" w:styleId="BalloonTextChar">
    <w:name w:val="Balloon Text Char"/>
    <w:basedOn w:val="DefaultParagraphFont"/>
    <w:link w:val="BalloonText"/>
    <w:uiPriority w:val="99"/>
    <w:locked/>
    <w:rsid w:val="004D5B43"/>
    <w:rPr>
      <w:rFonts w:ascii="Tahoma" w:hAnsi="Tahoma" w:cs="Tahoma"/>
      <w:sz w:val="16"/>
      <w:szCs w:val="16"/>
    </w:rPr>
  </w:style>
  <w:style w:type="character" w:styleId="Hyperlink">
    <w:name w:val="Hyperlink"/>
    <w:basedOn w:val="DefaultParagraphFont"/>
    <w:uiPriority w:val="99"/>
    <w:rsid w:val="00DD6A02"/>
    <w:rPr>
      <w:rFonts w:cs="Times New Roman"/>
      <w:color w:val="3344DD"/>
      <w:u w:val="single"/>
    </w:rPr>
  </w:style>
  <w:style w:type="table" w:customStyle="1" w:styleId="57">
    <w:name w:val="57"/>
    <w:uiPriority w:val="99"/>
    <w:rsid w:val="00B40C5F"/>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styleId="TableGrid">
    <w:name w:val="Table Grid"/>
    <w:basedOn w:val="TableNormal"/>
    <w:uiPriority w:val="59"/>
    <w:rsid w:val="00E06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qFormat/>
    <w:rsid w:val="00CC4F69"/>
    <w:rPr>
      <w:rFonts w:ascii="Arial" w:hAnsi="Arial"/>
      <w:sz w:val="16"/>
    </w:rPr>
    <w:tblPr>
      <w:tblInd w:w="0" w:type="dxa"/>
      <w:tblCellMar>
        <w:top w:w="0" w:type="dxa"/>
        <w:left w:w="108" w:type="dxa"/>
        <w:bottom w:w="0" w:type="dxa"/>
        <w:right w:w="108" w:type="dxa"/>
      </w:tblCellMar>
    </w:tblPr>
  </w:style>
  <w:style w:type="paragraph" w:customStyle="1" w:styleId="StyleArial10ptAfter6pt">
    <w:name w:val="Style Arial 10 pt After:  6 pt"/>
    <w:basedOn w:val="Normal"/>
    <w:rsid w:val="00CC4F69"/>
    <w:pPr>
      <w:spacing w:after="120"/>
    </w:pPr>
    <w:rPr>
      <w:rFonts w:ascii="Arial" w:hAnsi="Arial"/>
      <w:sz w:val="16"/>
      <w:szCs w:val="20"/>
    </w:rPr>
  </w:style>
  <w:style w:type="paragraph" w:customStyle="1" w:styleId="SSTableHeader">
    <w:name w:val="SS_Table Header"/>
    <w:basedOn w:val="Normal"/>
    <w:autoRedefine/>
    <w:qFormat/>
    <w:rsid w:val="00A05848"/>
    <w:rPr>
      <w:rFonts w:ascii="Arial" w:hAnsi="Arial" w:cs="Arial"/>
      <w:b/>
      <w:sz w:val="16"/>
      <w:szCs w:val="16"/>
    </w:rPr>
  </w:style>
  <w:style w:type="paragraph" w:customStyle="1" w:styleId="SSHeading1">
    <w:name w:val="SS_Heading 1"/>
    <w:basedOn w:val="Normal"/>
    <w:qFormat/>
    <w:rsid w:val="00532441"/>
    <w:pPr>
      <w:spacing w:after="240"/>
    </w:pPr>
    <w:rPr>
      <w:rFonts w:ascii="Arial" w:hAnsi="Arial" w:cs="Arial"/>
      <w:b/>
      <w:color w:val="003468"/>
      <w:sz w:val="28"/>
      <w:szCs w:val="28"/>
    </w:rPr>
  </w:style>
  <w:style w:type="paragraph" w:customStyle="1" w:styleId="SSIntro">
    <w:name w:val="SS_Intro"/>
    <w:basedOn w:val="Normal"/>
    <w:qFormat/>
    <w:rsid w:val="00532441"/>
    <w:pPr>
      <w:spacing w:after="120" w:line="264" w:lineRule="auto"/>
    </w:pPr>
    <w:rPr>
      <w:rFonts w:ascii="Arial" w:hAnsi="Arial" w:cs="Arial"/>
      <w:bCs/>
      <w:i/>
      <w:sz w:val="20"/>
      <w:szCs w:val="20"/>
    </w:rPr>
  </w:style>
  <w:style w:type="paragraph" w:customStyle="1" w:styleId="SSTableHeading">
    <w:name w:val="SS_Table Heading"/>
    <w:basedOn w:val="Normal"/>
    <w:qFormat/>
    <w:rsid w:val="00532441"/>
    <w:pPr>
      <w:pBdr>
        <w:top w:val="single" w:sz="4" w:space="3" w:color="auto"/>
      </w:pBdr>
      <w:spacing w:before="240" w:after="60"/>
    </w:pPr>
    <w:rPr>
      <w:rFonts w:ascii="Arial" w:hAnsi="Arial" w:cs="Arial"/>
      <w:b/>
      <w:color w:val="003468"/>
      <w:sz w:val="18"/>
      <w:szCs w:val="18"/>
    </w:rPr>
  </w:style>
  <w:style w:type="paragraph" w:customStyle="1" w:styleId="SSHeading2">
    <w:name w:val="SS_Heading 2"/>
    <w:basedOn w:val="Normal"/>
    <w:qFormat/>
    <w:rsid w:val="00532441"/>
    <w:pPr>
      <w:spacing w:after="60"/>
    </w:pPr>
    <w:rPr>
      <w:rFonts w:ascii="Arial" w:hAnsi="Arial" w:cs="Arial"/>
      <w:b/>
      <w:color w:val="003468"/>
    </w:rPr>
  </w:style>
  <w:style w:type="paragraph" w:customStyle="1" w:styleId="SSBodyText">
    <w:name w:val="SS_Body Text"/>
    <w:basedOn w:val="Normal"/>
    <w:qFormat/>
    <w:rsid w:val="00532441"/>
    <w:pPr>
      <w:spacing w:after="120"/>
    </w:pPr>
    <w:rPr>
      <w:rFonts w:ascii="Arial" w:hAnsi="Arial" w:cs="Arial"/>
      <w:sz w:val="20"/>
      <w:szCs w:val="20"/>
    </w:rPr>
  </w:style>
  <w:style w:type="paragraph" w:customStyle="1" w:styleId="SSCaption">
    <w:name w:val="SS_Caption"/>
    <w:basedOn w:val="SSBodyText"/>
    <w:qFormat/>
    <w:rsid w:val="00532441"/>
    <w:pPr>
      <w:spacing w:before="60"/>
    </w:pPr>
    <w:rPr>
      <w:sz w:val="16"/>
      <w:szCs w:val="16"/>
    </w:rPr>
  </w:style>
  <w:style w:type="paragraph" w:customStyle="1" w:styleId="SSHeading3">
    <w:name w:val="SS_Heading 3"/>
    <w:basedOn w:val="SSBodyText"/>
    <w:qFormat/>
    <w:rsid w:val="00532441"/>
    <w:rPr>
      <w:i/>
      <w:color w:val="003468"/>
      <w:sz w:val="22"/>
      <w:szCs w:val="22"/>
    </w:rPr>
  </w:style>
  <w:style w:type="paragraph" w:customStyle="1" w:styleId="SSBodyb4Bullet">
    <w:name w:val="SS_Body b4 Bullet"/>
    <w:basedOn w:val="SSBodyText"/>
    <w:qFormat/>
    <w:rsid w:val="00892250"/>
    <w:pPr>
      <w:spacing w:after="0"/>
    </w:pPr>
  </w:style>
  <w:style w:type="paragraph" w:customStyle="1" w:styleId="SSBullet">
    <w:name w:val="SS_Bullet"/>
    <w:basedOn w:val="SSBodyText"/>
    <w:qFormat/>
    <w:rsid w:val="00892250"/>
    <w:pPr>
      <w:numPr>
        <w:numId w:val="1"/>
      </w:numPr>
      <w:spacing w:after="0"/>
      <w:ind w:left="147" w:hanging="170"/>
    </w:pPr>
  </w:style>
  <w:style w:type="paragraph" w:customStyle="1" w:styleId="SSBulletSecondary">
    <w:name w:val="SS_Bullet Secondary"/>
    <w:basedOn w:val="SSBullet"/>
    <w:qFormat/>
    <w:rsid w:val="00892250"/>
    <w:pPr>
      <w:numPr>
        <w:numId w:val="2"/>
      </w:numPr>
      <w:ind w:left="340" w:hanging="170"/>
    </w:pPr>
  </w:style>
  <w:style w:type="paragraph" w:customStyle="1" w:styleId="SSBulletLast">
    <w:name w:val="SS_Bullet Last"/>
    <w:basedOn w:val="SSBullet"/>
    <w:qFormat/>
    <w:rsid w:val="00892250"/>
    <w:pPr>
      <w:spacing w:after="120"/>
    </w:pPr>
  </w:style>
  <w:style w:type="paragraph" w:customStyle="1" w:styleId="SSNumberedBullet">
    <w:name w:val="SS_Numbered Bullet"/>
    <w:basedOn w:val="SSBodyText"/>
    <w:qFormat/>
    <w:rsid w:val="0058191F"/>
    <w:pPr>
      <w:numPr>
        <w:numId w:val="3"/>
      </w:numPr>
      <w:spacing w:after="0"/>
      <w:ind w:left="170" w:hanging="170"/>
    </w:pPr>
  </w:style>
  <w:style w:type="paragraph" w:customStyle="1" w:styleId="SSSecondaryNumberedBullet">
    <w:name w:val="SS_Secondary Numbered Bullet"/>
    <w:basedOn w:val="SSNumberedBullet"/>
    <w:qFormat/>
    <w:rsid w:val="0058191F"/>
    <w:pPr>
      <w:numPr>
        <w:numId w:val="4"/>
      </w:numPr>
      <w:ind w:left="340" w:hanging="170"/>
    </w:pPr>
  </w:style>
  <w:style w:type="paragraph" w:customStyle="1" w:styleId="SSNumberedBulletLast">
    <w:name w:val="SS_Numbered Bullet Last"/>
    <w:basedOn w:val="SSNumberedBullet"/>
    <w:qFormat/>
    <w:rsid w:val="0058191F"/>
    <w:pPr>
      <w:spacing w:after="120"/>
    </w:pPr>
  </w:style>
  <w:style w:type="paragraph" w:customStyle="1" w:styleId="SSheading4">
    <w:name w:val="SS_heading 4"/>
    <w:basedOn w:val="SSBodyText"/>
    <w:qFormat/>
    <w:rsid w:val="009D2EC6"/>
    <w:rPr>
      <w:i/>
      <w:color w:val="003468"/>
      <w:sz w:val="22"/>
      <w:szCs w:val="22"/>
    </w:rPr>
  </w:style>
  <w:style w:type="paragraph" w:styleId="ListParagraph">
    <w:name w:val="List Paragraph"/>
    <w:basedOn w:val="Normal"/>
    <w:uiPriority w:val="99"/>
    <w:qFormat/>
    <w:rsid w:val="00CC640F"/>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857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E2A0C-FB1C-4DB7-8201-6B05126B516A}">
  <ds:schemaRef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9529470C-FE7E-4F46-825A-5E377B358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A06D3EF-429F-40A7-AE72-0AEACE177D24}">
  <ds:schemaRefs>
    <ds:schemaRef ds:uri="http://schemas.microsoft.com/sharepoint/v3/contenttype/forms"/>
  </ds:schemaRefs>
</ds:datastoreItem>
</file>

<file path=customXml/itemProps4.xml><?xml version="1.0" encoding="utf-8"?>
<ds:datastoreItem xmlns:ds="http://schemas.openxmlformats.org/officeDocument/2006/customXml" ds:itemID="{2AD4A864-5CB0-4D75-9137-9890D2DA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9944215A.dotm</Template>
  <TotalTime>0</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Pacey</dc:creator>
  <cp:lastModifiedBy>Melissa Beban</cp:lastModifiedBy>
  <cp:revision>2</cp:revision>
  <cp:lastPrinted>2011-10-18T03:43:00Z</cp:lastPrinted>
  <dcterms:created xsi:type="dcterms:W3CDTF">2013-02-01T03:56:00Z</dcterms:created>
  <dcterms:modified xsi:type="dcterms:W3CDTF">2013-02-01T03:56:00Z</dcterms:modified>
</cp:coreProperties>
</file>