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CF965E" w14:textId="20277FEF" w:rsidR="007A6E4F" w:rsidRDefault="007A6E4F" w:rsidP="007A6E4F">
      <w:pPr>
        <w:pStyle w:val="Heading1"/>
        <w:rPr>
          <w:rStyle w:val="Tabletext"/>
          <w:rFonts w:cs="Tahoma"/>
          <w:color w:val="auto"/>
        </w:rPr>
      </w:pPr>
      <w:r>
        <w:rPr>
          <w:rStyle w:val="Tabletext"/>
          <w:rFonts w:cs="Tahoma"/>
          <w:color w:val="auto"/>
        </w:rPr>
        <w:t>Australian Government</w:t>
      </w:r>
    </w:p>
    <w:p w14:paraId="2CCF965F" w14:textId="77777777" w:rsidR="007A6E4F" w:rsidRDefault="007A6E4F" w:rsidP="007A6E4F">
      <w:pPr>
        <w:pStyle w:val="Heading1"/>
        <w:rPr>
          <w:rStyle w:val="Tabletext"/>
          <w:rFonts w:cs="Tahoma"/>
          <w:color w:val="auto"/>
        </w:rPr>
      </w:pPr>
      <w:r>
        <w:rPr>
          <w:rStyle w:val="Tabletext"/>
          <w:rFonts w:cs="Tahoma"/>
          <w:color w:val="auto"/>
        </w:rPr>
        <w:t>Department of Education, Employment and Workplace Relations</w:t>
      </w:r>
    </w:p>
    <w:p w14:paraId="6AA46334" w14:textId="71451D87" w:rsidR="00C77484" w:rsidRDefault="007A6E4F" w:rsidP="007A6E4F">
      <w:pPr>
        <w:pStyle w:val="Heading1"/>
        <w:rPr>
          <w:rStyle w:val="Tabletext"/>
          <w:rFonts w:cs="Tahoma"/>
          <w:color w:val="auto"/>
        </w:rPr>
      </w:pPr>
      <w:r>
        <w:rPr>
          <w:rStyle w:val="Tabletext"/>
          <w:rFonts w:cs="Tahoma"/>
          <w:color w:val="auto"/>
        </w:rPr>
        <w:t xml:space="preserve">Office of Early </w:t>
      </w:r>
      <w:r w:rsidR="00C77484">
        <w:rPr>
          <w:rStyle w:val="Tabletext"/>
          <w:rFonts w:cs="Tahoma"/>
          <w:color w:val="auto"/>
        </w:rPr>
        <w:t>C</w:t>
      </w:r>
      <w:r>
        <w:rPr>
          <w:rStyle w:val="Tabletext"/>
          <w:rFonts w:cs="Tahoma"/>
          <w:color w:val="auto"/>
        </w:rPr>
        <w:t>hildhood Education and Child Care</w:t>
      </w:r>
    </w:p>
    <w:p w14:paraId="2230F026" w14:textId="77777777" w:rsidR="00C77484" w:rsidRDefault="00C77484" w:rsidP="00C77484">
      <w:pPr>
        <w:spacing w:before="2660"/>
        <w:jc w:val="right"/>
        <w:rPr>
          <w:rFonts w:ascii="Calibri" w:hAnsi="Calibri"/>
          <w:sz w:val="90"/>
          <w:szCs w:val="90"/>
        </w:rPr>
      </w:pPr>
      <w:r w:rsidRPr="00932FE2">
        <w:rPr>
          <w:rFonts w:ascii="Calibri" w:hAnsi="Calibri"/>
          <w:sz w:val="90"/>
          <w:szCs w:val="90"/>
        </w:rPr>
        <w:t>Child Care Update</w:t>
      </w:r>
    </w:p>
    <w:p w14:paraId="650AB9E6" w14:textId="77777777" w:rsidR="00AD7472" w:rsidRPr="00603065" w:rsidRDefault="00AD7472" w:rsidP="00AD7472">
      <w:pPr>
        <w:jc w:val="right"/>
        <w:rPr>
          <w:rFonts w:ascii="Calibri" w:hAnsi="Calibri" w:cs="Tahoma"/>
          <w:b/>
          <w:sz w:val="32"/>
          <w:szCs w:val="32"/>
        </w:rPr>
      </w:pPr>
      <w:r>
        <w:rPr>
          <w:rFonts w:ascii="Calibri" w:hAnsi="Calibri"/>
          <w:b/>
          <w:sz w:val="32"/>
          <w:szCs w:val="32"/>
        </w:rPr>
        <w:t>March quarter 2012</w:t>
      </w:r>
    </w:p>
    <w:p w14:paraId="67757AA6" w14:textId="77777777" w:rsidR="00C77484" w:rsidRPr="00C77484" w:rsidRDefault="00C77484" w:rsidP="00C77484">
      <w:pPr>
        <w:widowControl w:val="0"/>
        <w:spacing w:before="2000" w:after="96"/>
        <w:rPr>
          <w:rFonts w:ascii="Calibri" w:hAnsi="Calibri"/>
          <w:sz w:val="22"/>
          <w:szCs w:val="22"/>
        </w:rPr>
      </w:pPr>
      <w:r w:rsidRPr="00C77484">
        <w:rPr>
          <w:rFonts w:ascii="Calibri" w:hAnsi="Calibri"/>
          <w:sz w:val="22"/>
          <w:szCs w:val="22"/>
        </w:rPr>
        <w:t xml:space="preserve">This publication provides information about child care across Australia for the March quarter 2012. </w:t>
      </w:r>
    </w:p>
    <w:p w14:paraId="20EF125D" w14:textId="77777777" w:rsidR="00C77484" w:rsidRPr="00C77484" w:rsidRDefault="00C77484" w:rsidP="00C77484">
      <w:pPr>
        <w:keepNext/>
        <w:spacing w:before="240"/>
        <w:outlineLvl w:val="2"/>
        <w:rPr>
          <w:rFonts w:ascii="Calibri" w:hAnsi="Calibri" w:cs="Arial"/>
          <w:b/>
          <w:bCs/>
        </w:rPr>
      </w:pPr>
      <w:r w:rsidRPr="00C77484">
        <w:rPr>
          <w:rFonts w:ascii="Calibri" w:hAnsi="Calibri" w:cs="Arial"/>
          <w:b/>
          <w:bCs/>
        </w:rPr>
        <w:t>Key findings for the March quarter 2012:</w:t>
      </w:r>
    </w:p>
    <w:p w14:paraId="0EA04E62" w14:textId="77777777" w:rsidR="00C77484" w:rsidRPr="00C77484" w:rsidRDefault="00C77484" w:rsidP="00C77484"/>
    <w:p w14:paraId="36EBBBDA" w14:textId="77777777" w:rsidR="00C77484" w:rsidRPr="00C77484" w:rsidRDefault="00C77484" w:rsidP="00C77484">
      <w:pPr>
        <w:tabs>
          <w:tab w:val="num" w:pos="567"/>
        </w:tabs>
        <w:spacing w:after="240"/>
        <w:ind w:left="567" w:hanging="283"/>
        <w:rPr>
          <w:rFonts w:asciiTheme="minorHAnsi" w:hAnsiTheme="minorHAnsi" w:cs="Calibri"/>
          <w:sz w:val="22"/>
          <w:szCs w:val="22"/>
        </w:rPr>
      </w:pPr>
      <w:r w:rsidRPr="00C77484">
        <w:rPr>
          <w:rFonts w:asciiTheme="minorHAnsi" w:hAnsiTheme="minorHAnsi" w:cs="Calibri"/>
          <w:sz w:val="22"/>
          <w:szCs w:val="22"/>
        </w:rPr>
        <w:t xml:space="preserve">976,230 children were in approved child care, an increase of 2.7 per cent over March quarter 2011. </w:t>
      </w:r>
    </w:p>
    <w:p w14:paraId="0C926128" w14:textId="77777777" w:rsidR="00C77484" w:rsidRPr="00C77484" w:rsidRDefault="00C77484" w:rsidP="00C77484">
      <w:pPr>
        <w:tabs>
          <w:tab w:val="num" w:pos="567"/>
        </w:tabs>
        <w:spacing w:after="240"/>
        <w:ind w:left="567" w:hanging="284"/>
        <w:rPr>
          <w:rFonts w:ascii="Calibri" w:hAnsi="Calibri"/>
          <w:sz w:val="22"/>
          <w:szCs w:val="22"/>
        </w:rPr>
      </w:pPr>
      <w:r w:rsidRPr="00C77484">
        <w:rPr>
          <w:rFonts w:ascii="Calibri" w:hAnsi="Calibri"/>
          <w:sz w:val="22"/>
          <w:szCs w:val="22"/>
        </w:rPr>
        <w:t xml:space="preserve">More than one in four children (27.2 per cent) aged 0 to 12 years attended child care. </w:t>
      </w:r>
    </w:p>
    <w:p w14:paraId="66A5EF88" w14:textId="77777777" w:rsidR="00C77484" w:rsidRPr="00C77484" w:rsidRDefault="00C77484" w:rsidP="00C77484">
      <w:pPr>
        <w:tabs>
          <w:tab w:val="num" w:pos="567"/>
        </w:tabs>
        <w:spacing w:after="240"/>
        <w:ind w:left="567" w:hanging="284"/>
        <w:rPr>
          <w:rFonts w:ascii="Calibri" w:hAnsi="Calibri"/>
          <w:sz w:val="22"/>
          <w:szCs w:val="22"/>
        </w:rPr>
      </w:pPr>
      <w:r w:rsidRPr="00C77484">
        <w:rPr>
          <w:rFonts w:ascii="Calibri" w:hAnsi="Calibri"/>
          <w:sz w:val="22"/>
          <w:szCs w:val="22"/>
        </w:rPr>
        <w:t>689,790 families used approved child care of some kind, an increase of 2.0 per cent over the year.</w:t>
      </w:r>
    </w:p>
    <w:p w14:paraId="06E3107F" w14:textId="77777777" w:rsidR="00C77484" w:rsidRPr="00C77484" w:rsidRDefault="00C77484" w:rsidP="00C77484">
      <w:pPr>
        <w:tabs>
          <w:tab w:val="num" w:pos="567"/>
        </w:tabs>
        <w:spacing w:after="240"/>
        <w:ind w:left="567" w:hanging="284"/>
        <w:rPr>
          <w:rFonts w:ascii="Calibri" w:hAnsi="Calibri"/>
          <w:sz w:val="22"/>
          <w:szCs w:val="22"/>
        </w:rPr>
      </w:pPr>
      <w:r w:rsidRPr="00C77484">
        <w:rPr>
          <w:rFonts w:ascii="Calibri" w:hAnsi="Calibri"/>
          <w:sz w:val="22"/>
          <w:szCs w:val="22"/>
        </w:rPr>
        <w:t>A record number of approved child care services (14,851) operated in Australia, an increase of 3.9 per cent over the year.</w:t>
      </w:r>
    </w:p>
    <w:p w14:paraId="4FFC94AE" w14:textId="23036E10" w:rsidR="00AD7472" w:rsidRDefault="00C77484" w:rsidP="00C77484">
      <w:pPr>
        <w:tabs>
          <w:tab w:val="num" w:pos="567"/>
        </w:tabs>
        <w:spacing w:after="240"/>
        <w:ind w:left="567" w:hanging="284"/>
        <w:rPr>
          <w:rFonts w:asciiTheme="minorHAnsi" w:hAnsiTheme="minorHAnsi" w:cs="Calibri"/>
          <w:sz w:val="22"/>
          <w:szCs w:val="22"/>
        </w:rPr>
      </w:pPr>
      <w:r w:rsidRPr="00C77484">
        <w:rPr>
          <w:rFonts w:asciiTheme="minorHAnsi" w:hAnsiTheme="minorHAnsi" w:cs="Calibri"/>
          <w:sz w:val="22"/>
          <w:szCs w:val="22"/>
        </w:rPr>
        <w:t>The total estimated Child Care Benefit and Child Care Rebate entitlement was $945.1 million, an increase of 10.7 per cent over the year.</w:t>
      </w:r>
    </w:p>
    <w:p w14:paraId="2CCF9660" w14:textId="0747ED23" w:rsidR="006A64F0" w:rsidRPr="00AD7472" w:rsidRDefault="00AD7472" w:rsidP="00AD7472">
      <w:pPr>
        <w:rPr>
          <w:rStyle w:val="Tabletext"/>
          <w:rFonts w:asciiTheme="minorHAnsi" w:hAnsiTheme="minorHAnsi" w:cs="Calibri"/>
          <w:sz w:val="22"/>
          <w:szCs w:val="22"/>
        </w:rPr>
        <w:sectPr w:rsidR="006A64F0" w:rsidRPr="00AD7472" w:rsidSect="00C77484">
          <w:footerReference w:type="default" r:id="rId12"/>
          <w:footerReference w:type="first" r:id="rId13"/>
          <w:pgSz w:w="11906" w:h="16838" w:code="9"/>
          <w:pgMar w:top="1440" w:right="707" w:bottom="902" w:left="900" w:header="709" w:footer="253" w:gutter="0"/>
          <w:cols w:space="708"/>
          <w:docGrid w:linePitch="360"/>
        </w:sectPr>
      </w:pPr>
      <w:r>
        <w:rPr>
          <w:rFonts w:asciiTheme="minorHAnsi" w:hAnsiTheme="minorHAnsi" w:cs="Calibri"/>
          <w:sz w:val="22"/>
          <w:szCs w:val="22"/>
        </w:rPr>
        <w:br w:type="page"/>
      </w:r>
    </w:p>
    <w:p w14:paraId="2CCF9661" w14:textId="77777777" w:rsidR="006A64F0" w:rsidRPr="00FC1EA5" w:rsidRDefault="006A64F0" w:rsidP="006A64F0">
      <w:pPr>
        <w:pStyle w:val="Heading1"/>
        <w:rPr>
          <w:b/>
          <w:color w:val="auto"/>
        </w:rPr>
      </w:pPr>
      <w:r w:rsidRPr="00FC1EA5">
        <w:rPr>
          <w:rFonts w:ascii="Calibri" w:hAnsi="Calibri"/>
          <w:b/>
          <w:color w:val="auto"/>
        </w:rPr>
        <w:lastRenderedPageBreak/>
        <w:t>Introduction</w:t>
      </w:r>
    </w:p>
    <w:p w14:paraId="2CCF9662" w14:textId="56A16DBC" w:rsidR="006A64F0" w:rsidRPr="00FC1EA5" w:rsidRDefault="006A64F0" w:rsidP="006A64F0">
      <w:pPr>
        <w:spacing w:after="240"/>
        <w:ind w:right="-121"/>
        <w:rPr>
          <w:rFonts w:ascii="Calibri" w:hAnsi="Calibri" w:cs="Arial"/>
          <w:sz w:val="22"/>
          <w:szCs w:val="22"/>
        </w:rPr>
      </w:pPr>
      <w:r w:rsidRPr="00FC1EA5">
        <w:rPr>
          <w:rFonts w:ascii="Calibri" w:hAnsi="Calibri" w:cs="Arial"/>
          <w:sz w:val="22"/>
          <w:szCs w:val="22"/>
        </w:rPr>
        <w:t xml:space="preserve">This report presents information on the numbers of children and families using approved child care, the costs of care and the numbers and types of child care services in Australia. It includes data from the Child Care Management System (CCMS) as well as information from the </w:t>
      </w:r>
      <w:proofErr w:type="spellStart"/>
      <w:r w:rsidRPr="00FC1EA5">
        <w:rPr>
          <w:rFonts w:ascii="Calibri" w:hAnsi="Calibri" w:cs="Arial"/>
          <w:i/>
          <w:sz w:val="22"/>
          <w:szCs w:val="22"/>
        </w:rPr>
        <w:t>MyChild</w:t>
      </w:r>
      <w:proofErr w:type="spellEnd"/>
      <w:r w:rsidRPr="00FC1EA5">
        <w:rPr>
          <w:rFonts w:ascii="Calibri" w:hAnsi="Calibri" w:cs="Arial"/>
          <w:sz w:val="22"/>
          <w:szCs w:val="22"/>
        </w:rPr>
        <w:t xml:space="preserve"> website.</w:t>
      </w:r>
    </w:p>
    <w:p w14:paraId="2CCF9663" w14:textId="77777777" w:rsidR="006A64F0" w:rsidRPr="00FC1EA5" w:rsidRDefault="006A64F0" w:rsidP="006A64F0">
      <w:pPr>
        <w:ind w:right="-121"/>
        <w:rPr>
          <w:rFonts w:ascii="Calibri" w:hAnsi="Calibri" w:cs="Arial"/>
          <w:sz w:val="22"/>
          <w:szCs w:val="22"/>
        </w:rPr>
      </w:pPr>
    </w:p>
    <w:p w14:paraId="2CCF9664" w14:textId="77777777" w:rsidR="006A64F0" w:rsidRPr="00FC1EA5" w:rsidRDefault="006A64F0" w:rsidP="006A64F0">
      <w:pPr>
        <w:ind w:right="-121"/>
        <w:rPr>
          <w:rFonts w:ascii="Calibri" w:hAnsi="Calibri" w:cs="Tahoma"/>
          <w:b/>
          <w:sz w:val="48"/>
          <w:szCs w:val="48"/>
          <w:lang w:val="en-US"/>
        </w:rPr>
      </w:pPr>
      <w:r w:rsidRPr="00FC1EA5">
        <w:rPr>
          <w:rFonts w:ascii="Calibri" w:hAnsi="Calibri" w:cs="Tahoma"/>
          <w:b/>
          <w:sz w:val="48"/>
          <w:szCs w:val="48"/>
          <w:lang w:val="en-US"/>
        </w:rPr>
        <w:t>Children</w:t>
      </w:r>
    </w:p>
    <w:p w14:paraId="2CCF9665" w14:textId="77777777" w:rsidR="006A64F0" w:rsidRPr="00FC1EA5" w:rsidRDefault="006A64F0" w:rsidP="006A64F0">
      <w:pPr>
        <w:pStyle w:val="QMIRText"/>
        <w:spacing w:after="85" w:line="260" w:lineRule="atLeast"/>
        <w:rPr>
          <w:rStyle w:val="BodyBOLD"/>
          <w:rFonts w:asciiTheme="minorHAnsi" w:hAnsiTheme="minorHAnsi" w:cs="Calibri"/>
          <w:sz w:val="22"/>
          <w:szCs w:val="22"/>
          <w:u w:color="000000"/>
          <w:lang w:val="en-GB" w:eastAsia="en-AU"/>
        </w:rPr>
      </w:pPr>
    </w:p>
    <w:p w14:paraId="2CCF9666" w14:textId="77777777" w:rsidR="002C7929" w:rsidRPr="00FC1EA5" w:rsidRDefault="00880D15" w:rsidP="006A64F0">
      <w:pPr>
        <w:pStyle w:val="QMIRText"/>
        <w:spacing w:after="85" w:line="260" w:lineRule="atLeast"/>
        <w:rPr>
          <w:rStyle w:val="BodyBOLD"/>
          <w:rFonts w:asciiTheme="minorHAnsi" w:hAnsiTheme="minorHAnsi" w:cs="Calibri"/>
          <w:sz w:val="22"/>
          <w:szCs w:val="22"/>
          <w:u w:color="000000"/>
          <w:lang w:val="en-GB" w:eastAsia="en-AU"/>
        </w:rPr>
      </w:pPr>
      <w:r w:rsidRPr="00FC1EA5">
        <w:rPr>
          <w:rStyle w:val="BodyBOLD"/>
          <w:rFonts w:asciiTheme="minorHAnsi" w:hAnsiTheme="minorHAnsi" w:cs="Calibri"/>
          <w:sz w:val="22"/>
          <w:szCs w:val="22"/>
          <w:u w:color="000000"/>
          <w:lang w:val="en-GB" w:eastAsia="en-AU"/>
        </w:rPr>
        <w:t>Over</w:t>
      </w:r>
      <w:r w:rsidR="006A64F0" w:rsidRPr="00FC1EA5">
        <w:rPr>
          <w:rStyle w:val="BodyBOLD"/>
          <w:rFonts w:asciiTheme="minorHAnsi" w:hAnsiTheme="minorHAnsi" w:cs="Calibri"/>
          <w:sz w:val="22"/>
          <w:szCs w:val="22"/>
          <w:u w:color="000000"/>
          <w:lang w:val="en-GB" w:eastAsia="en-AU"/>
        </w:rPr>
        <w:t xml:space="preserve"> the </w:t>
      </w:r>
      <w:r w:rsidR="0001617D" w:rsidRPr="00FC1EA5">
        <w:rPr>
          <w:rStyle w:val="BodyBOLD"/>
          <w:rFonts w:asciiTheme="minorHAnsi" w:hAnsiTheme="minorHAnsi" w:cs="Calibri"/>
          <w:sz w:val="22"/>
          <w:szCs w:val="22"/>
          <w:u w:color="000000"/>
          <w:lang w:val="en-GB" w:eastAsia="en-AU"/>
        </w:rPr>
        <w:t>March quarter 2012</w:t>
      </w:r>
      <w:r w:rsidR="006A64F0" w:rsidRPr="00FC1EA5">
        <w:rPr>
          <w:rStyle w:val="BodyBOLD"/>
          <w:rFonts w:asciiTheme="minorHAnsi" w:hAnsiTheme="minorHAnsi" w:cs="Calibri"/>
          <w:sz w:val="22"/>
          <w:szCs w:val="22"/>
          <w:u w:color="000000"/>
          <w:lang w:val="en-GB" w:eastAsia="en-AU"/>
        </w:rPr>
        <w:t xml:space="preserve">, </w:t>
      </w:r>
      <w:r w:rsidR="0001617D" w:rsidRPr="00FC1EA5">
        <w:rPr>
          <w:rStyle w:val="BodyBOLD"/>
          <w:rFonts w:asciiTheme="minorHAnsi" w:hAnsiTheme="minorHAnsi" w:cs="Calibri"/>
          <w:sz w:val="22"/>
          <w:szCs w:val="22"/>
          <w:u w:color="000000"/>
          <w:lang w:val="en-GB" w:eastAsia="en-AU"/>
        </w:rPr>
        <w:t>976,230</w:t>
      </w:r>
      <w:r w:rsidR="006A64F0" w:rsidRPr="00FC1EA5">
        <w:rPr>
          <w:rStyle w:val="BodyBOLD"/>
          <w:rFonts w:asciiTheme="minorHAnsi" w:hAnsiTheme="minorHAnsi" w:cs="Calibri"/>
          <w:sz w:val="22"/>
          <w:szCs w:val="22"/>
          <w:u w:color="000000"/>
          <w:lang w:val="en-GB" w:eastAsia="en-AU"/>
        </w:rPr>
        <w:t xml:space="preserve"> children used approved child care in Australia, up by </w:t>
      </w:r>
      <w:r w:rsidR="0001617D" w:rsidRPr="00FC1EA5">
        <w:rPr>
          <w:rStyle w:val="BodyBOLD"/>
          <w:rFonts w:asciiTheme="minorHAnsi" w:hAnsiTheme="minorHAnsi" w:cs="Calibri"/>
          <w:sz w:val="22"/>
          <w:szCs w:val="22"/>
          <w:u w:color="000000"/>
          <w:lang w:val="en-GB" w:eastAsia="en-AU"/>
        </w:rPr>
        <w:t>2.7</w:t>
      </w:r>
      <w:r w:rsidR="006A64F0" w:rsidRPr="00FC1EA5">
        <w:rPr>
          <w:rStyle w:val="BodyBOLD"/>
          <w:rFonts w:asciiTheme="minorHAnsi" w:hAnsiTheme="minorHAnsi" w:cs="Calibri"/>
          <w:sz w:val="22"/>
          <w:szCs w:val="22"/>
          <w:u w:color="000000"/>
          <w:lang w:val="en-GB" w:eastAsia="en-AU"/>
        </w:rPr>
        <w:t xml:space="preserve"> per cent over the </w:t>
      </w:r>
      <w:r w:rsidR="004A403E" w:rsidRPr="00FC1EA5">
        <w:rPr>
          <w:rStyle w:val="BodyBOLD"/>
          <w:rFonts w:asciiTheme="minorHAnsi" w:hAnsiTheme="minorHAnsi" w:cs="Calibri"/>
          <w:sz w:val="22"/>
          <w:szCs w:val="22"/>
          <w:u w:color="000000"/>
          <w:lang w:val="en-GB" w:eastAsia="en-AU"/>
        </w:rPr>
        <w:t>March quarter 2011</w:t>
      </w:r>
      <w:r w:rsidR="006A64F0" w:rsidRPr="00FC1EA5">
        <w:rPr>
          <w:rStyle w:val="BodyBOLD"/>
          <w:rFonts w:asciiTheme="minorHAnsi" w:hAnsiTheme="minorHAnsi" w:cs="Calibri"/>
          <w:sz w:val="22"/>
          <w:szCs w:val="22"/>
          <w:u w:color="000000"/>
          <w:lang w:val="en-GB" w:eastAsia="en-AU"/>
        </w:rPr>
        <w:t xml:space="preserve">. This represents </w:t>
      </w:r>
      <w:r w:rsidR="00D0132F" w:rsidRPr="00FC1EA5">
        <w:rPr>
          <w:rStyle w:val="BodyBOLD"/>
          <w:rFonts w:asciiTheme="minorHAnsi" w:hAnsiTheme="minorHAnsi" w:cs="Calibri"/>
          <w:sz w:val="22"/>
          <w:szCs w:val="22"/>
          <w:u w:color="000000"/>
          <w:lang w:val="en-GB" w:eastAsia="en-AU"/>
        </w:rPr>
        <w:t>27.</w:t>
      </w:r>
      <w:r w:rsidR="0001617D" w:rsidRPr="00FC1EA5">
        <w:rPr>
          <w:rStyle w:val="BodyBOLD"/>
          <w:rFonts w:asciiTheme="minorHAnsi" w:hAnsiTheme="minorHAnsi" w:cs="Calibri"/>
          <w:sz w:val="22"/>
          <w:szCs w:val="22"/>
          <w:u w:color="000000"/>
          <w:lang w:val="en-GB" w:eastAsia="en-AU"/>
        </w:rPr>
        <w:t>2</w:t>
      </w:r>
      <w:r w:rsidR="006A64F0" w:rsidRPr="00FC1EA5">
        <w:rPr>
          <w:rStyle w:val="BodyBOLD"/>
          <w:rFonts w:asciiTheme="minorHAnsi" w:hAnsiTheme="minorHAnsi" w:cs="Calibri"/>
          <w:sz w:val="22"/>
          <w:szCs w:val="22"/>
          <w:u w:color="000000"/>
          <w:lang w:val="en-GB" w:eastAsia="en-AU"/>
        </w:rPr>
        <w:t xml:space="preserve"> per cent of the 3,</w:t>
      </w:r>
      <w:r w:rsidR="00D0132F" w:rsidRPr="00FC1EA5">
        <w:rPr>
          <w:rStyle w:val="BodyBOLD"/>
          <w:rFonts w:asciiTheme="minorHAnsi" w:hAnsiTheme="minorHAnsi" w:cs="Calibri"/>
          <w:sz w:val="22"/>
          <w:szCs w:val="22"/>
          <w:u w:color="000000"/>
          <w:lang w:val="en-GB" w:eastAsia="en-AU"/>
        </w:rPr>
        <w:t>591</w:t>
      </w:r>
      <w:r w:rsidR="006A64F0" w:rsidRPr="00FC1EA5">
        <w:rPr>
          <w:rStyle w:val="BodyBOLD"/>
          <w:rFonts w:asciiTheme="minorHAnsi" w:hAnsiTheme="minorHAnsi" w:cs="Calibri"/>
          <w:sz w:val="22"/>
          <w:szCs w:val="22"/>
          <w:u w:color="000000"/>
          <w:lang w:val="en-GB" w:eastAsia="en-AU"/>
        </w:rPr>
        <w:t>,</w:t>
      </w:r>
      <w:r w:rsidR="00D0132F" w:rsidRPr="00FC1EA5">
        <w:rPr>
          <w:rStyle w:val="BodyBOLD"/>
          <w:rFonts w:asciiTheme="minorHAnsi" w:hAnsiTheme="minorHAnsi" w:cs="Calibri"/>
          <w:sz w:val="22"/>
          <w:szCs w:val="22"/>
          <w:u w:color="000000"/>
          <w:lang w:val="en-GB" w:eastAsia="en-AU"/>
        </w:rPr>
        <w:t>7</w:t>
      </w:r>
      <w:r w:rsidR="00416A9C" w:rsidRPr="00FC1EA5">
        <w:rPr>
          <w:rStyle w:val="BodyBOLD"/>
          <w:rFonts w:asciiTheme="minorHAnsi" w:hAnsiTheme="minorHAnsi" w:cs="Calibri"/>
          <w:sz w:val="22"/>
          <w:szCs w:val="22"/>
          <w:u w:color="000000"/>
          <w:lang w:val="en-GB" w:eastAsia="en-AU"/>
        </w:rPr>
        <w:t>80</w:t>
      </w:r>
      <w:r w:rsidR="006A64F0" w:rsidRPr="00FC1EA5">
        <w:rPr>
          <w:rStyle w:val="BodyBOLD"/>
          <w:rFonts w:asciiTheme="minorHAnsi" w:hAnsiTheme="minorHAnsi" w:cs="Calibri"/>
          <w:sz w:val="22"/>
          <w:szCs w:val="22"/>
          <w:u w:color="000000"/>
          <w:lang w:val="en-GB" w:eastAsia="en-AU"/>
        </w:rPr>
        <w:t xml:space="preserve"> children aged 0–12 years in Australia. </w:t>
      </w:r>
    </w:p>
    <w:p w14:paraId="2CCF9667" w14:textId="6CCF730F" w:rsidR="006A64F0" w:rsidRPr="00FC1EA5" w:rsidRDefault="006A64F0" w:rsidP="006A64F0">
      <w:pPr>
        <w:pStyle w:val="QMIRText"/>
        <w:spacing w:after="85" w:line="260" w:lineRule="atLeast"/>
        <w:rPr>
          <w:rStyle w:val="BodyBOLD"/>
          <w:rFonts w:asciiTheme="minorHAnsi" w:hAnsiTheme="minorHAnsi" w:cs="Calibri"/>
          <w:sz w:val="22"/>
          <w:szCs w:val="22"/>
          <w:u w:color="000000"/>
          <w:lang w:val="en-GB"/>
        </w:rPr>
      </w:pPr>
      <w:r w:rsidRPr="00FC1EA5">
        <w:rPr>
          <w:rStyle w:val="BodyBOLD"/>
          <w:rFonts w:asciiTheme="minorHAnsi" w:hAnsiTheme="minorHAnsi" w:cs="Calibri"/>
          <w:sz w:val="22"/>
          <w:szCs w:val="22"/>
          <w:u w:color="000000"/>
          <w:lang w:val="en-GB"/>
        </w:rPr>
        <w:t>Children attended various services providing approved child care, including long day care (61.</w:t>
      </w:r>
      <w:r w:rsidR="0001617D" w:rsidRPr="00FC1EA5">
        <w:rPr>
          <w:rStyle w:val="BodyBOLD"/>
          <w:rFonts w:asciiTheme="minorHAnsi" w:hAnsiTheme="minorHAnsi" w:cs="Calibri"/>
          <w:sz w:val="22"/>
          <w:szCs w:val="22"/>
          <w:u w:color="000000"/>
          <w:lang w:val="en-GB"/>
        </w:rPr>
        <w:t>3</w:t>
      </w:r>
      <w:r w:rsidRPr="00FC1EA5">
        <w:rPr>
          <w:rStyle w:val="BodyBOLD"/>
          <w:rFonts w:asciiTheme="minorHAnsi" w:hAnsiTheme="minorHAnsi" w:cs="Calibri"/>
          <w:sz w:val="22"/>
          <w:szCs w:val="22"/>
          <w:u w:color="000000"/>
          <w:lang w:val="en-GB"/>
        </w:rPr>
        <w:t xml:space="preserve"> per cent), outside school </w:t>
      </w:r>
      <w:proofErr w:type="gramStart"/>
      <w:r w:rsidRPr="00FC1EA5">
        <w:rPr>
          <w:rStyle w:val="BodyBOLD"/>
          <w:rFonts w:asciiTheme="minorHAnsi" w:hAnsiTheme="minorHAnsi" w:cs="Calibri"/>
          <w:sz w:val="22"/>
          <w:szCs w:val="22"/>
          <w:u w:color="000000"/>
          <w:lang w:val="en-GB"/>
        </w:rPr>
        <w:t>hours</w:t>
      </w:r>
      <w:proofErr w:type="gramEnd"/>
      <w:r w:rsidRPr="00FC1EA5">
        <w:rPr>
          <w:rStyle w:val="BodyBOLD"/>
          <w:rFonts w:asciiTheme="minorHAnsi" w:hAnsiTheme="minorHAnsi" w:cs="Calibri"/>
          <w:sz w:val="22"/>
          <w:szCs w:val="22"/>
          <w:u w:color="000000"/>
          <w:lang w:val="en-GB"/>
        </w:rPr>
        <w:t xml:space="preserve"> care (</w:t>
      </w:r>
      <w:r w:rsidR="0001617D" w:rsidRPr="00FC1EA5">
        <w:rPr>
          <w:rStyle w:val="BodyBOLD"/>
          <w:rFonts w:asciiTheme="minorHAnsi" w:hAnsiTheme="minorHAnsi" w:cs="Calibri"/>
          <w:sz w:val="22"/>
          <w:szCs w:val="22"/>
          <w:u w:color="000000"/>
          <w:lang w:val="en-GB"/>
        </w:rPr>
        <w:t>30.7</w:t>
      </w:r>
      <w:r w:rsidRPr="00FC1EA5">
        <w:rPr>
          <w:rStyle w:val="BodyBOLD"/>
          <w:rFonts w:asciiTheme="minorHAnsi" w:hAnsiTheme="minorHAnsi" w:cs="Calibri"/>
          <w:sz w:val="22"/>
          <w:szCs w:val="22"/>
          <w:u w:color="000000"/>
          <w:lang w:val="en-GB"/>
        </w:rPr>
        <w:t xml:space="preserve"> per cent), family day care and in-home care (</w:t>
      </w:r>
      <w:r w:rsidR="0001617D" w:rsidRPr="00FC1EA5">
        <w:rPr>
          <w:rStyle w:val="BodyBOLD"/>
          <w:rFonts w:asciiTheme="minorHAnsi" w:hAnsiTheme="minorHAnsi" w:cs="Calibri"/>
          <w:sz w:val="22"/>
          <w:szCs w:val="22"/>
          <w:u w:color="000000"/>
          <w:lang w:val="en-GB"/>
        </w:rPr>
        <w:t>12.1</w:t>
      </w:r>
      <w:r w:rsidRPr="00FC1EA5">
        <w:rPr>
          <w:rStyle w:val="BodyBOLD"/>
          <w:rFonts w:asciiTheme="minorHAnsi" w:hAnsiTheme="minorHAnsi" w:cs="Calibri"/>
          <w:sz w:val="22"/>
          <w:szCs w:val="22"/>
          <w:u w:color="000000"/>
          <w:lang w:val="en-GB"/>
        </w:rPr>
        <w:t xml:space="preserve"> per cent), </w:t>
      </w:r>
      <w:r w:rsidRPr="00FC1EA5">
        <w:rPr>
          <w:rStyle w:val="BodyBOLD"/>
          <w:rFonts w:asciiTheme="minorHAnsi" w:hAnsiTheme="minorHAnsi" w:cs="Calibri"/>
          <w:sz w:val="22"/>
          <w:szCs w:val="22"/>
          <w:u w:color="000000"/>
          <w:lang w:val="en-GB" w:eastAsia="en-AU"/>
        </w:rPr>
        <w:t>and occasional care (0.</w:t>
      </w:r>
      <w:r w:rsidR="0001617D" w:rsidRPr="00FC1EA5">
        <w:rPr>
          <w:rStyle w:val="BodyBOLD"/>
          <w:rFonts w:asciiTheme="minorHAnsi" w:hAnsiTheme="minorHAnsi" w:cs="Calibri"/>
          <w:sz w:val="22"/>
          <w:szCs w:val="22"/>
          <w:u w:color="000000"/>
          <w:lang w:val="en-GB" w:eastAsia="en-AU"/>
        </w:rPr>
        <w:t>6</w:t>
      </w:r>
      <w:r w:rsidRPr="00FC1EA5">
        <w:rPr>
          <w:rStyle w:val="BodyBOLD"/>
          <w:rFonts w:asciiTheme="minorHAnsi" w:hAnsiTheme="minorHAnsi" w:cs="Calibri"/>
          <w:sz w:val="22"/>
          <w:szCs w:val="22"/>
          <w:u w:color="000000"/>
          <w:lang w:val="en-GB" w:eastAsia="en-AU"/>
        </w:rPr>
        <w:t xml:space="preserve"> per cent)</w:t>
      </w:r>
      <w:r w:rsidR="00C77484">
        <w:rPr>
          <w:rStyle w:val="BodyBOLD"/>
          <w:rFonts w:asciiTheme="minorHAnsi" w:hAnsiTheme="minorHAnsi" w:cs="Calibri"/>
          <w:sz w:val="22"/>
          <w:szCs w:val="22"/>
          <w:u w:color="000000"/>
          <w:lang w:val="en-GB"/>
        </w:rPr>
        <w:t>.</w:t>
      </w:r>
    </w:p>
    <w:p w14:paraId="2CCF9668" w14:textId="77777777" w:rsidR="006A64F0" w:rsidRPr="00FC1EA5" w:rsidRDefault="006A64F0" w:rsidP="006A64F0">
      <w:pPr>
        <w:rPr>
          <w:rFonts w:asciiTheme="minorHAnsi" w:hAnsiTheme="minorHAnsi" w:cs="Calibri"/>
          <w:sz w:val="22"/>
          <w:szCs w:val="22"/>
        </w:rPr>
      </w:pPr>
    </w:p>
    <w:p w14:paraId="2CCF9669" w14:textId="77777777" w:rsidR="006A64F0" w:rsidRPr="00FC1EA5" w:rsidRDefault="006A64F0" w:rsidP="006A64F0">
      <w:pPr>
        <w:pStyle w:val="Caption"/>
        <w:keepNext/>
        <w:rPr>
          <w:rFonts w:ascii="Calibri" w:hAnsi="Calibri" w:cs="Arial"/>
        </w:rPr>
      </w:pPr>
      <w:r w:rsidRPr="00FC1EA5">
        <w:rPr>
          <w:rFonts w:ascii="Calibri" w:hAnsi="Calibri"/>
          <w:sz w:val="22"/>
          <w:szCs w:val="22"/>
        </w:rPr>
        <w:t xml:space="preserve">Table </w:t>
      </w:r>
      <w:r w:rsidRPr="00FC1EA5">
        <w:rPr>
          <w:rFonts w:ascii="Calibri" w:hAnsi="Calibri"/>
          <w:sz w:val="22"/>
          <w:szCs w:val="22"/>
        </w:rPr>
        <w:fldChar w:fldCharType="begin"/>
      </w:r>
      <w:r w:rsidRPr="00FC1EA5">
        <w:rPr>
          <w:rFonts w:ascii="Calibri" w:hAnsi="Calibri"/>
          <w:sz w:val="22"/>
          <w:szCs w:val="22"/>
        </w:rPr>
        <w:instrText xml:space="preserve"> SEQ Table \* ARABIC </w:instrText>
      </w:r>
      <w:r w:rsidRPr="00FC1EA5">
        <w:rPr>
          <w:rFonts w:ascii="Calibri" w:hAnsi="Calibri"/>
          <w:sz w:val="22"/>
          <w:szCs w:val="22"/>
        </w:rPr>
        <w:fldChar w:fldCharType="separate"/>
      </w:r>
      <w:r w:rsidR="00765C8E" w:rsidRPr="00FC1EA5">
        <w:rPr>
          <w:rFonts w:ascii="Calibri" w:hAnsi="Calibri"/>
          <w:noProof/>
          <w:sz w:val="22"/>
          <w:szCs w:val="22"/>
        </w:rPr>
        <w:t>1</w:t>
      </w:r>
      <w:r w:rsidRPr="00FC1EA5">
        <w:rPr>
          <w:rFonts w:ascii="Calibri" w:hAnsi="Calibri"/>
          <w:sz w:val="22"/>
          <w:szCs w:val="22"/>
        </w:rPr>
        <w:fldChar w:fldCharType="end"/>
      </w:r>
      <w:r w:rsidRPr="00FC1EA5">
        <w:rPr>
          <w:rFonts w:ascii="Calibri" w:hAnsi="Calibri"/>
          <w:sz w:val="22"/>
          <w:szCs w:val="22"/>
        </w:rPr>
        <w:t xml:space="preserve">: </w:t>
      </w:r>
      <w:r w:rsidRPr="00FC1EA5">
        <w:rPr>
          <w:rFonts w:ascii="Calibri" w:hAnsi="Calibri" w:cs="Arial"/>
          <w:bCs w:val="0"/>
          <w:sz w:val="22"/>
          <w:szCs w:val="22"/>
        </w:rPr>
        <w:t xml:space="preserve">Number of children using child care, </w:t>
      </w:r>
      <w:r w:rsidR="00C24A64" w:rsidRPr="00FC1EA5">
        <w:rPr>
          <w:rFonts w:ascii="Calibri" w:hAnsi="Calibri" w:cs="Arial"/>
          <w:bCs w:val="0"/>
          <w:sz w:val="22"/>
          <w:szCs w:val="22"/>
        </w:rPr>
        <w:t>March</w:t>
      </w:r>
      <w:r w:rsidRPr="00FC1EA5">
        <w:rPr>
          <w:rFonts w:ascii="Calibri" w:hAnsi="Calibri" w:cs="Arial"/>
          <w:bCs w:val="0"/>
          <w:sz w:val="22"/>
          <w:szCs w:val="22"/>
        </w:rPr>
        <w:t xml:space="preserve"> quarter 201</w:t>
      </w:r>
      <w:r w:rsidR="00C24A64" w:rsidRPr="00FC1EA5">
        <w:rPr>
          <w:rFonts w:ascii="Calibri" w:hAnsi="Calibri" w:cs="Arial"/>
          <w:bCs w:val="0"/>
          <w:sz w:val="22"/>
          <w:szCs w:val="22"/>
        </w:rPr>
        <w:t>1</w:t>
      </w:r>
      <w:r w:rsidRPr="00FC1EA5">
        <w:rPr>
          <w:rFonts w:ascii="Calibri" w:hAnsi="Calibri" w:cs="Arial"/>
          <w:bCs w:val="0"/>
          <w:sz w:val="22"/>
          <w:szCs w:val="22"/>
        </w:rPr>
        <w:t xml:space="preserve"> to </w:t>
      </w:r>
      <w:r w:rsidR="0001617D" w:rsidRPr="00FC1EA5">
        <w:rPr>
          <w:rFonts w:ascii="Calibri" w:hAnsi="Calibri" w:cs="Arial"/>
          <w:bCs w:val="0"/>
          <w:sz w:val="22"/>
          <w:szCs w:val="22"/>
        </w:rPr>
        <w:t>March quarter 2012</w:t>
      </w:r>
    </w:p>
    <w:tbl>
      <w:tblPr>
        <w:tblW w:w="9287" w:type="dxa"/>
        <w:tblLayout w:type="fixed"/>
        <w:tblLook w:val="0000" w:firstRow="0" w:lastRow="0" w:firstColumn="0" w:lastColumn="0" w:noHBand="0" w:noVBand="0"/>
      </w:tblPr>
      <w:tblGrid>
        <w:gridCol w:w="3227"/>
        <w:gridCol w:w="1212"/>
        <w:gridCol w:w="1212"/>
        <w:gridCol w:w="1212"/>
        <w:gridCol w:w="1212"/>
        <w:gridCol w:w="1212"/>
      </w:tblGrid>
      <w:tr w:rsidR="00FC1EA5" w:rsidRPr="00FC1EA5" w14:paraId="2CCF9670" w14:textId="77777777" w:rsidTr="002B43E9">
        <w:trPr>
          <w:trHeight w:val="255"/>
        </w:trPr>
        <w:tc>
          <w:tcPr>
            <w:tcW w:w="3227" w:type="dxa"/>
            <w:tcBorders>
              <w:left w:val="nil"/>
              <w:bottom w:val="single" w:sz="4" w:space="0" w:color="FFFFFF" w:themeColor="background1"/>
              <w:right w:val="single" w:sz="4" w:space="0" w:color="FFFFFF" w:themeColor="background1"/>
            </w:tcBorders>
            <w:vAlign w:val="center"/>
          </w:tcPr>
          <w:p w14:paraId="2CCF966A" w14:textId="77777777" w:rsidR="0001617D" w:rsidRPr="00FC1EA5" w:rsidRDefault="0001617D" w:rsidP="006A64F0">
            <w:pPr>
              <w:ind w:right="157"/>
              <w:rPr>
                <w:rFonts w:ascii="Calibri" w:hAnsi="Calibri" w:cs="Arial"/>
                <w:b/>
                <w:bCs/>
                <w:sz w:val="20"/>
                <w:szCs w:val="20"/>
              </w:rPr>
            </w:pPr>
            <w:r w:rsidRPr="00FC1EA5">
              <w:rPr>
                <w:rFonts w:ascii="Calibri" w:hAnsi="Calibri" w:cs="Arial"/>
                <w:b/>
                <w:bCs/>
                <w:sz w:val="20"/>
                <w:szCs w:val="20"/>
              </w:rPr>
              <w:t>Service type</w:t>
            </w:r>
          </w:p>
        </w:tc>
        <w:tc>
          <w:tcPr>
            <w:tcW w:w="1212" w:type="dxa"/>
            <w:tcBorders>
              <w:left w:val="single" w:sz="4" w:space="0" w:color="FFFFFF" w:themeColor="background1"/>
              <w:bottom w:val="single" w:sz="4" w:space="0" w:color="FFFFFF" w:themeColor="background1"/>
              <w:right w:val="nil"/>
            </w:tcBorders>
            <w:vAlign w:val="center"/>
          </w:tcPr>
          <w:p w14:paraId="2CCF966B" w14:textId="77777777" w:rsidR="0001617D" w:rsidRPr="00FC1EA5" w:rsidRDefault="0001617D" w:rsidP="0001617D">
            <w:pPr>
              <w:jc w:val="right"/>
              <w:rPr>
                <w:rFonts w:ascii="Calibri" w:hAnsi="Calibri"/>
                <w:b/>
                <w:sz w:val="20"/>
                <w:szCs w:val="20"/>
              </w:rPr>
            </w:pPr>
            <w:r w:rsidRPr="00FC1EA5">
              <w:rPr>
                <w:rFonts w:ascii="Calibri" w:hAnsi="Calibri"/>
                <w:b/>
                <w:sz w:val="20"/>
                <w:szCs w:val="20"/>
              </w:rPr>
              <w:t>Mar. 11</w:t>
            </w:r>
          </w:p>
        </w:tc>
        <w:tc>
          <w:tcPr>
            <w:tcW w:w="1212" w:type="dxa"/>
            <w:tcBorders>
              <w:left w:val="nil"/>
              <w:bottom w:val="single" w:sz="4" w:space="0" w:color="FFFFFF" w:themeColor="background1"/>
              <w:right w:val="nil"/>
            </w:tcBorders>
            <w:vAlign w:val="center"/>
          </w:tcPr>
          <w:p w14:paraId="2CCF966C" w14:textId="77777777" w:rsidR="0001617D" w:rsidRPr="00FC1EA5" w:rsidRDefault="0001617D" w:rsidP="0001617D">
            <w:pPr>
              <w:jc w:val="right"/>
              <w:rPr>
                <w:rFonts w:ascii="Calibri" w:hAnsi="Calibri"/>
                <w:b/>
                <w:sz w:val="20"/>
                <w:szCs w:val="20"/>
              </w:rPr>
            </w:pPr>
            <w:r w:rsidRPr="00FC1EA5">
              <w:rPr>
                <w:rFonts w:ascii="Calibri" w:hAnsi="Calibri"/>
                <w:b/>
                <w:sz w:val="20"/>
                <w:szCs w:val="20"/>
              </w:rPr>
              <w:t>June 11</w:t>
            </w:r>
          </w:p>
        </w:tc>
        <w:tc>
          <w:tcPr>
            <w:tcW w:w="1212" w:type="dxa"/>
            <w:tcBorders>
              <w:left w:val="nil"/>
              <w:bottom w:val="single" w:sz="4" w:space="0" w:color="FFFFFF" w:themeColor="background1"/>
              <w:right w:val="nil"/>
            </w:tcBorders>
            <w:vAlign w:val="center"/>
          </w:tcPr>
          <w:p w14:paraId="2CCF966D" w14:textId="77777777" w:rsidR="0001617D" w:rsidRPr="00FC1EA5" w:rsidRDefault="0001617D" w:rsidP="0001617D">
            <w:pPr>
              <w:jc w:val="right"/>
              <w:rPr>
                <w:rFonts w:ascii="Calibri" w:hAnsi="Calibri"/>
                <w:b/>
                <w:sz w:val="20"/>
                <w:szCs w:val="20"/>
              </w:rPr>
            </w:pPr>
            <w:r w:rsidRPr="00FC1EA5">
              <w:rPr>
                <w:rFonts w:ascii="Calibri" w:hAnsi="Calibri"/>
                <w:b/>
                <w:sz w:val="20"/>
                <w:szCs w:val="20"/>
              </w:rPr>
              <w:t>Sept. 11</w:t>
            </w:r>
          </w:p>
        </w:tc>
        <w:tc>
          <w:tcPr>
            <w:tcW w:w="1212" w:type="dxa"/>
            <w:tcBorders>
              <w:left w:val="nil"/>
              <w:bottom w:val="single" w:sz="4" w:space="0" w:color="FFFFFF" w:themeColor="background1"/>
              <w:right w:val="nil"/>
            </w:tcBorders>
            <w:vAlign w:val="center"/>
          </w:tcPr>
          <w:p w14:paraId="2CCF966E" w14:textId="77777777" w:rsidR="0001617D" w:rsidRPr="00FC1EA5" w:rsidRDefault="0001617D" w:rsidP="0001617D">
            <w:pPr>
              <w:jc w:val="right"/>
              <w:rPr>
                <w:rFonts w:ascii="Calibri" w:hAnsi="Calibri"/>
                <w:b/>
                <w:sz w:val="20"/>
                <w:szCs w:val="20"/>
              </w:rPr>
            </w:pPr>
            <w:r w:rsidRPr="00FC1EA5">
              <w:rPr>
                <w:rFonts w:ascii="Calibri" w:hAnsi="Calibri"/>
                <w:b/>
                <w:sz w:val="20"/>
                <w:szCs w:val="20"/>
              </w:rPr>
              <w:t>Dec. 11</w:t>
            </w:r>
          </w:p>
        </w:tc>
        <w:tc>
          <w:tcPr>
            <w:tcW w:w="1212" w:type="dxa"/>
            <w:tcBorders>
              <w:left w:val="nil"/>
              <w:bottom w:val="single" w:sz="4" w:space="0" w:color="FFFFFF" w:themeColor="background1"/>
              <w:right w:val="nil"/>
            </w:tcBorders>
            <w:vAlign w:val="center"/>
          </w:tcPr>
          <w:p w14:paraId="2CCF966F" w14:textId="77777777" w:rsidR="0001617D" w:rsidRPr="00FC1EA5" w:rsidRDefault="0001617D" w:rsidP="0001617D">
            <w:pPr>
              <w:jc w:val="right"/>
              <w:rPr>
                <w:rFonts w:ascii="Calibri" w:hAnsi="Calibri"/>
                <w:b/>
                <w:sz w:val="20"/>
                <w:szCs w:val="20"/>
              </w:rPr>
            </w:pPr>
            <w:r w:rsidRPr="00FC1EA5">
              <w:rPr>
                <w:rFonts w:ascii="Calibri" w:hAnsi="Calibri"/>
                <w:b/>
                <w:sz w:val="20"/>
                <w:szCs w:val="20"/>
              </w:rPr>
              <w:t>Mar. 12</w:t>
            </w:r>
          </w:p>
        </w:tc>
      </w:tr>
      <w:tr w:rsidR="002B43E9" w:rsidRPr="00FC1EA5" w14:paraId="2CCF9677" w14:textId="77777777" w:rsidTr="002B43E9">
        <w:trPr>
          <w:trHeight w:val="255"/>
        </w:trPr>
        <w:tc>
          <w:tcPr>
            <w:tcW w:w="3227" w:type="dxa"/>
            <w:tcBorders>
              <w:top w:val="single" w:sz="4" w:space="0" w:color="FFFFFF" w:themeColor="background1"/>
              <w:left w:val="nil"/>
              <w:bottom w:val="nil"/>
              <w:right w:val="single" w:sz="4" w:space="0" w:color="FFFFFF" w:themeColor="background1"/>
            </w:tcBorders>
            <w:vAlign w:val="center"/>
          </w:tcPr>
          <w:p w14:paraId="2CCF9671" w14:textId="77777777" w:rsidR="0001617D" w:rsidRPr="00FC1EA5" w:rsidRDefault="0001617D" w:rsidP="006A64F0">
            <w:pPr>
              <w:ind w:right="157"/>
              <w:rPr>
                <w:rFonts w:ascii="Calibri" w:hAnsi="Calibri" w:cs="Arial"/>
                <w:sz w:val="20"/>
                <w:szCs w:val="20"/>
              </w:rPr>
            </w:pPr>
            <w:r w:rsidRPr="00FC1EA5">
              <w:rPr>
                <w:rFonts w:ascii="Calibri" w:hAnsi="Calibri" w:cs="Arial"/>
                <w:sz w:val="20"/>
                <w:szCs w:val="20"/>
              </w:rPr>
              <w:t>Long day care</w:t>
            </w:r>
          </w:p>
        </w:tc>
        <w:tc>
          <w:tcPr>
            <w:tcW w:w="1212" w:type="dxa"/>
            <w:tcBorders>
              <w:top w:val="single" w:sz="4" w:space="0" w:color="FFFFFF" w:themeColor="background1"/>
              <w:left w:val="single" w:sz="4" w:space="0" w:color="FFFFFF" w:themeColor="background1"/>
              <w:bottom w:val="nil"/>
              <w:right w:val="nil"/>
            </w:tcBorders>
            <w:vAlign w:val="center"/>
          </w:tcPr>
          <w:p w14:paraId="2CCF9672"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593,240</w:t>
            </w:r>
          </w:p>
        </w:tc>
        <w:tc>
          <w:tcPr>
            <w:tcW w:w="1212" w:type="dxa"/>
            <w:tcBorders>
              <w:top w:val="single" w:sz="4" w:space="0" w:color="FFFFFF" w:themeColor="background1"/>
              <w:left w:val="nil"/>
              <w:bottom w:val="nil"/>
              <w:right w:val="nil"/>
            </w:tcBorders>
            <w:vAlign w:val="center"/>
          </w:tcPr>
          <w:p w14:paraId="2CCF9673"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585,000</w:t>
            </w:r>
          </w:p>
        </w:tc>
        <w:tc>
          <w:tcPr>
            <w:tcW w:w="1212" w:type="dxa"/>
            <w:tcBorders>
              <w:top w:val="single" w:sz="4" w:space="0" w:color="FFFFFF" w:themeColor="background1"/>
              <w:left w:val="nil"/>
              <w:bottom w:val="nil"/>
              <w:right w:val="nil"/>
            </w:tcBorders>
            <w:vAlign w:val="center"/>
          </w:tcPr>
          <w:p w14:paraId="2CCF9674"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607,510</w:t>
            </w:r>
          </w:p>
        </w:tc>
        <w:tc>
          <w:tcPr>
            <w:tcW w:w="1212" w:type="dxa"/>
            <w:tcBorders>
              <w:top w:val="single" w:sz="4" w:space="0" w:color="FFFFFF" w:themeColor="background1"/>
              <w:left w:val="nil"/>
              <w:bottom w:val="nil"/>
              <w:right w:val="nil"/>
            </w:tcBorders>
            <w:vAlign w:val="center"/>
          </w:tcPr>
          <w:p w14:paraId="2CCF9675"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611,440</w:t>
            </w:r>
          </w:p>
        </w:tc>
        <w:tc>
          <w:tcPr>
            <w:tcW w:w="1212" w:type="dxa"/>
            <w:tcBorders>
              <w:top w:val="single" w:sz="4" w:space="0" w:color="FFFFFF" w:themeColor="background1"/>
              <w:left w:val="nil"/>
              <w:bottom w:val="nil"/>
              <w:right w:val="nil"/>
            </w:tcBorders>
            <w:vAlign w:val="center"/>
          </w:tcPr>
          <w:p w14:paraId="2CCF9676" w14:textId="77777777" w:rsidR="0001617D" w:rsidRPr="00FC1EA5" w:rsidRDefault="0001617D" w:rsidP="0001617D">
            <w:pPr>
              <w:autoSpaceDE w:val="0"/>
              <w:autoSpaceDN w:val="0"/>
              <w:adjustRightInd w:val="0"/>
              <w:jc w:val="right"/>
              <w:rPr>
                <w:rFonts w:ascii="Calibri" w:hAnsi="Calibri" w:cs="Calibri"/>
                <w:sz w:val="20"/>
                <w:szCs w:val="20"/>
              </w:rPr>
            </w:pPr>
            <w:r w:rsidRPr="00FC1EA5">
              <w:rPr>
                <w:rFonts w:ascii="Calibri" w:hAnsi="Calibri" w:cs="Calibri"/>
                <w:sz w:val="20"/>
                <w:szCs w:val="20"/>
              </w:rPr>
              <w:t>598,450</w:t>
            </w:r>
          </w:p>
        </w:tc>
      </w:tr>
      <w:tr w:rsidR="002B43E9" w:rsidRPr="00FC1EA5" w14:paraId="2CCF967E" w14:textId="77777777" w:rsidTr="002B43E9">
        <w:trPr>
          <w:trHeight w:val="255"/>
        </w:trPr>
        <w:tc>
          <w:tcPr>
            <w:tcW w:w="3227" w:type="dxa"/>
            <w:tcBorders>
              <w:top w:val="nil"/>
              <w:left w:val="nil"/>
              <w:bottom w:val="nil"/>
              <w:right w:val="single" w:sz="4" w:space="0" w:color="FFFFFF" w:themeColor="background1"/>
            </w:tcBorders>
            <w:vAlign w:val="center"/>
          </w:tcPr>
          <w:p w14:paraId="2CCF9678" w14:textId="77777777" w:rsidR="0001617D" w:rsidRPr="00FC1EA5" w:rsidRDefault="0001617D" w:rsidP="006A64F0">
            <w:pPr>
              <w:ind w:right="157"/>
              <w:rPr>
                <w:rFonts w:ascii="Calibri" w:hAnsi="Calibri" w:cs="Arial"/>
                <w:sz w:val="20"/>
                <w:szCs w:val="20"/>
              </w:rPr>
            </w:pPr>
            <w:r w:rsidRPr="00FC1EA5">
              <w:rPr>
                <w:rFonts w:ascii="Calibri" w:hAnsi="Calibri" w:cs="Arial"/>
                <w:sz w:val="20"/>
                <w:szCs w:val="20"/>
              </w:rPr>
              <w:t>Family day care and In-home care</w:t>
            </w:r>
          </w:p>
        </w:tc>
        <w:tc>
          <w:tcPr>
            <w:tcW w:w="1212" w:type="dxa"/>
            <w:tcBorders>
              <w:top w:val="nil"/>
              <w:left w:val="single" w:sz="4" w:space="0" w:color="FFFFFF" w:themeColor="background1"/>
              <w:bottom w:val="nil"/>
              <w:right w:val="nil"/>
            </w:tcBorders>
            <w:vAlign w:val="center"/>
          </w:tcPr>
          <w:p w14:paraId="2CCF9679"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114,110</w:t>
            </w:r>
          </w:p>
        </w:tc>
        <w:tc>
          <w:tcPr>
            <w:tcW w:w="1212" w:type="dxa"/>
            <w:tcBorders>
              <w:top w:val="nil"/>
              <w:left w:val="nil"/>
              <w:bottom w:val="nil"/>
              <w:right w:val="nil"/>
            </w:tcBorders>
            <w:vAlign w:val="center"/>
          </w:tcPr>
          <w:p w14:paraId="2CCF967A"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112,720</w:t>
            </w:r>
          </w:p>
        </w:tc>
        <w:tc>
          <w:tcPr>
            <w:tcW w:w="1212" w:type="dxa"/>
            <w:tcBorders>
              <w:top w:val="nil"/>
              <w:left w:val="nil"/>
              <w:bottom w:val="nil"/>
              <w:right w:val="nil"/>
            </w:tcBorders>
            <w:vAlign w:val="center"/>
          </w:tcPr>
          <w:p w14:paraId="2CCF967B"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115,660</w:t>
            </w:r>
          </w:p>
        </w:tc>
        <w:tc>
          <w:tcPr>
            <w:tcW w:w="1212" w:type="dxa"/>
            <w:tcBorders>
              <w:top w:val="nil"/>
              <w:left w:val="nil"/>
              <w:bottom w:val="nil"/>
              <w:right w:val="nil"/>
            </w:tcBorders>
            <w:vAlign w:val="center"/>
          </w:tcPr>
          <w:p w14:paraId="2CCF967C"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115,410</w:t>
            </w:r>
          </w:p>
        </w:tc>
        <w:tc>
          <w:tcPr>
            <w:tcW w:w="1212" w:type="dxa"/>
            <w:tcBorders>
              <w:top w:val="nil"/>
              <w:left w:val="nil"/>
              <w:bottom w:val="nil"/>
              <w:right w:val="nil"/>
            </w:tcBorders>
            <w:vAlign w:val="center"/>
          </w:tcPr>
          <w:p w14:paraId="2CCF967D" w14:textId="77777777" w:rsidR="0001617D" w:rsidRPr="00FC1EA5" w:rsidRDefault="0001617D" w:rsidP="0001617D">
            <w:pPr>
              <w:autoSpaceDE w:val="0"/>
              <w:autoSpaceDN w:val="0"/>
              <w:adjustRightInd w:val="0"/>
              <w:jc w:val="right"/>
              <w:rPr>
                <w:rFonts w:ascii="Calibri" w:hAnsi="Calibri" w:cs="Calibri"/>
                <w:sz w:val="20"/>
                <w:szCs w:val="20"/>
              </w:rPr>
            </w:pPr>
            <w:r w:rsidRPr="00FC1EA5">
              <w:rPr>
                <w:rFonts w:ascii="Calibri" w:hAnsi="Calibri" w:cs="Calibri"/>
                <w:sz w:val="20"/>
                <w:szCs w:val="20"/>
              </w:rPr>
              <w:t>117,790</w:t>
            </w:r>
          </w:p>
        </w:tc>
      </w:tr>
      <w:tr w:rsidR="002B43E9" w:rsidRPr="00FC1EA5" w14:paraId="2CCF9685" w14:textId="77777777" w:rsidTr="002B43E9">
        <w:trPr>
          <w:trHeight w:val="255"/>
        </w:trPr>
        <w:tc>
          <w:tcPr>
            <w:tcW w:w="3227" w:type="dxa"/>
            <w:tcBorders>
              <w:top w:val="nil"/>
              <w:left w:val="nil"/>
              <w:bottom w:val="nil"/>
              <w:right w:val="single" w:sz="4" w:space="0" w:color="FFFFFF" w:themeColor="background1"/>
            </w:tcBorders>
            <w:vAlign w:val="center"/>
          </w:tcPr>
          <w:p w14:paraId="2CCF967F" w14:textId="77777777" w:rsidR="0001617D" w:rsidRPr="00FC1EA5" w:rsidRDefault="0001617D" w:rsidP="006A64F0">
            <w:pPr>
              <w:ind w:right="157"/>
              <w:rPr>
                <w:rFonts w:ascii="Calibri" w:hAnsi="Calibri" w:cs="Arial"/>
                <w:sz w:val="20"/>
                <w:szCs w:val="20"/>
              </w:rPr>
            </w:pPr>
            <w:r w:rsidRPr="00FC1EA5">
              <w:rPr>
                <w:rFonts w:ascii="Calibri" w:hAnsi="Calibri" w:cs="Arial"/>
                <w:sz w:val="20"/>
                <w:szCs w:val="20"/>
              </w:rPr>
              <w:t>Occasional care</w:t>
            </w:r>
          </w:p>
        </w:tc>
        <w:tc>
          <w:tcPr>
            <w:tcW w:w="1212" w:type="dxa"/>
            <w:tcBorders>
              <w:top w:val="nil"/>
              <w:left w:val="single" w:sz="4" w:space="0" w:color="FFFFFF" w:themeColor="background1"/>
              <w:bottom w:val="nil"/>
              <w:right w:val="nil"/>
            </w:tcBorders>
            <w:vAlign w:val="center"/>
          </w:tcPr>
          <w:p w14:paraId="2CCF9680"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7,120</w:t>
            </w:r>
          </w:p>
        </w:tc>
        <w:tc>
          <w:tcPr>
            <w:tcW w:w="1212" w:type="dxa"/>
            <w:tcBorders>
              <w:top w:val="nil"/>
              <w:left w:val="nil"/>
              <w:bottom w:val="nil"/>
              <w:right w:val="nil"/>
            </w:tcBorders>
            <w:vAlign w:val="center"/>
          </w:tcPr>
          <w:p w14:paraId="2CCF9681"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7,580</w:t>
            </w:r>
          </w:p>
        </w:tc>
        <w:tc>
          <w:tcPr>
            <w:tcW w:w="1212" w:type="dxa"/>
            <w:tcBorders>
              <w:top w:val="nil"/>
              <w:left w:val="nil"/>
              <w:bottom w:val="nil"/>
              <w:right w:val="nil"/>
            </w:tcBorders>
            <w:vAlign w:val="center"/>
          </w:tcPr>
          <w:p w14:paraId="2CCF9682"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7,660</w:t>
            </w:r>
          </w:p>
        </w:tc>
        <w:tc>
          <w:tcPr>
            <w:tcW w:w="1212" w:type="dxa"/>
            <w:tcBorders>
              <w:top w:val="nil"/>
              <w:left w:val="nil"/>
              <w:bottom w:val="nil"/>
              <w:right w:val="nil"/>
            </w:tcBorders>
            <w:vAlign w:val="center"/>
          </w:tcPr>
          <w:p w14:paraId="2CCF9683"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7,300</w:t>
            </w:r>
          </w:p>
        </w:tc>
        <w:tc>
          <w:tcPr>
            <w:tcW w:w="1212" w:type="dxa"/>
            <w:tcBorders>
              <w:top w:val="nil"/>
              <w:left w:val="nil"/>
              <w:bottom w:val="nil"/>
              <w:right w:val="nil"/>
            </w:tcBorders>
            <w:vAlign w:val="center"/>
          </w:tcPr>
          <w:p w14:paraId="2CCF9684" w14:textId="77777777" w:rsidR="0001617D" w:rsidRPr="00FC1EA5" w:rsidRDefault="0001617D" w:rsidP="0001617D">
            <w:pPr>
              <w:autoSpaceDE w:val="0"/>
              <w:autoSpaceDN w:val="0"/>
              <w:adjustRightInd w:val="0"/>
              <w:jc w:val="right"/>
              <w:rPr>
                <w:rFonts w:ascii="Calibri" w:hAnsi="Calibri" w:cs="Calibri"/>
                <w:sz w:val="20"/>
                <w:szCs w:val="20"/>
              </w:rPr>
            </w:pPr>
            <w:r w:rsidRPr="00FC1EA5">
              <w:rPr>
                <w:rFonts w:ascii="Calibri" w:hAnsi="Calibri" w:cs="Calibri"/>
                <w:sz w:val="20"/>
                <w:szCs w:val="20"/>
              </w:rPr>
              <w:t>6,130</w:t>
            </w:r>
          </w:p>
        </w:tc>
      </w:tr>
      <w:tr w:rsidR="002B43E9" w:rsidRPr="00FC1EA5" w14:paraId="2CCF968C" w14:textId="77777777" w:rsidTr="002B43E9">
        <w:trPr>
          <w:trHeight w:val="255"/>
        </w:trPr>
        <w:tc>
          <w:tcPr>
            <w:tcW w:w="3227" w:type="dxa"/>
            <w:tcBorders>
              <w:top w:val="nil"/>
              <w:left w:val="nil"/>
              <w:bottom w:val="single" w:sz="4" w:space="0" w:color="FFFFFF" w:themeColor="background1"/>
              <w:right w:val="single" w:sz="4" w:space="0" w:color="FFFFFF" w:themeColor="background1"/>
            </w:tcBorders>
            <w:vAlign w:val="center"/>
          </w:tcPr>
          <w:p w14:paraId="2CCF9686" w14:textId="77777777" w:rsidR="0001617D" w:rsidRPr="00FC1EA5" w:rsidRDefault="0001617D" w:rsidP="006A64F0">
            <w:pPr>
              <w:ind w:right="157"/>
              <w:rPr>
                <w:rFonts w:ascii="Calibri" w:hAnsi="Calibri" w:cs="Arial"/>
                <w:sz w:val="20"/>
                <w:szCs w:val="20"/>
              </w:rPr>
            </w:pPr>
            <w:r w:rsidRPr="00FC1EA5">
              <w:rPr>
                <w:rFonts w:ascii="Calibri" w:hAnsi="Calibri" w:cs="Arial"/>
                <w:sz w:val="20"/>
                <w:szCs w:val="20"/>
              </w:rPr>
              <w:t>Outside school hours care</w:t>
            </w:r>
          </w:p>
        </w:tc>
        <w:tc>
          <w:tcPr>
            <w:tcW w:w="1212" w:type="dxa"/>
            <w:tcBorders>
              <w:top w:val="nil"/>
              <w:left w:val="single" w:sz="4" w:space="0" w:color="FFFFFF" w:themeColor="background1"/>
              <w:bottom w:val="single" w:sz="4" w:space="0" w:color="FFFFFF" w:themeColor="background1"/>
              <w:right w:val="nil"/>
            </w:tcBorders>
            <w:vAlign w:val="center"/>
          </w:tcPr>
          <w:p w14:paraId="2CCF9687"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280,200</w:t>
            </w:r>
          </w:p>
        </w:tc>
        <w:tc>
          <w:tcPr>
            <w:tcW w:w="1212" w:type="dxa"/>
            <w:tcBorders>
              <w:top w:val="nil"/>
              <w:left w:val="nil"/>
              <w:bottom w:val="single" w:sz="4" w:space="0" w:color="FFFFFF" w:themeColor="background1"/>
              <w:right w:val="nil"/>
            </w:tcBorders>
            <w:vAlign w:val="center"/>
          </w:tcPr>
          <w:p w14:paraId="2CCF9688"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288,090</w:t>
            </w:r>
          </w:p>
        </w:tc>
        <w:tc>
          <w:tcPr>
            <w:tcW w:w="1212" w:type="dxa"/>
            <w:tcBorders>
              <w:top w:val="nil"/>
              <w:left w:val="nil"/>
              <w:bottom w:val="single" w:sz="4" w:space="0" w:color="FFFFFF" w:themeColor="background1"/>
              <w:right w:val="nil"/>
            </w:tcBorders>
            <w:vAlign w:val="center"/>
          </w:tcPr>
          <w:p w14:paraId="2CCF9689"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292,810</w:t>
            </w:r>
          </w:p>
        </w:tc>
        <w:tc>
          <w:tcPr>
            <w:tcW w:w="1212" w:type="dxa"/>
            <w:tcBorders>
              <w:top w:val="nil"/>
              <w:left w:val="nil"/>
              <w:bottom w:val="single" w:sz="4" w:space="0" w:color="FFFFFF" w:themeColor="background1"/>
              <w:right w:val="nil"/>
            </w:tcBorders>
            <w:vAlign w:val="center"/>
          </w:tcPr>
          <w:p w14:paraId="2CCF968A" w14:textId="77777777" w:rsidR="0001617D" w:rsidRPr="00FC1EA5" w:rsidRDefault="0001617D" w:rsidP="0001617D">
            <w:pPr>
              <w:jc w:val="right"/>
              <w:rPr>
                <w:rFonts w:ascii="Calibri" w:hAnsi="Calibri" w:cs="Calibri"/>
                <w:sz w:val="20"/>
                <w:szCs w:val="20"/>
              </w:rPr>
            </w:pPr>
            <w:r w:rsidRPr="00FC1EA5">
              <w:rPr>
                <w:rFonts w:ascii="Calibri" w:hAnsi="Calibri" w:cs="Calibri"/>
                <w:sz w:val="20"/>
                <w:szCs w:val="20"/>
              </w:rPr>
              <w:t>282,550</w:t>
            </w:r>
          </w:p>
        </w:tc>
        <w:tc>
          <w:tcPr>
            <w:tcW w:w="1212" w:type="dxa"/>
            <w:tcBorders>
              <w:top w:val="nil"/>
              <w:left w:val="nil"/>
              <w:bottom w:val="single" w:sz="4" w:space="0" w:color="FFFFFF" w:themeColor="background1"/>
              <w:right w:val="nil"/>
            </w:tcBorders>
            <w:vAlign w:val="center"/>
          </w:tcPr>
          <w:p w14:paraId="2CCF968B" w14:textId="77777777" w:rsidR="0001617D" w:rsidRPr="00FC1EA5" w:rsidRDefault="0001617D" w:rsidP="0001617D">
            <w:pPr>
              <w:autoSpaceDE w:val="0"/>
              <w:autoSpaceDN w:val="0"/>
              <w:adjustRightInd w:val="0"/>
              <w:jc w:val="right"/>
              <w:rPr>
                <w:rFonts w:ascii="Calibri" w:hAnsi="Calibri" w:cs="Calibri"/>
                <w:sz w:val="20"/>
                <w:szCs w:val="20"/>
              </w:rPr>
            </w:pPr>
            <w:r w:rsidRPr="00FC1EA5">
              <w:rPr>
                <w:rFonts w:ascii="Calibri" w:hAnsi="Calibri" w:cs="Calibri"/>
                <w:sz w:val="20"/>
                <w:szCs w:val="20"/>
              </w:rPr>
              <w:t>299,420</w:t>
            </w:r>
          </w:p>
        </w:tc>
      </w:tr>
      <w:tr w:rsidR="002B43E9" w:rsidRPr="00FC1EA5" w14:paraId="2CCF9693" w14:textId="77777777" w:rsidTr="002B43E9">
        <w:trPr>
          <w:trHeight w:val="315"/>
        </w:trPr>
        <w:tc>
          <w:tcPr>
            <w:tcW w:w="3227"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68D" w14:textId="77777777" w:rsidR="0001617D" w:rsidRPr="00FC1EA5" w:rsidRDefault="0001617D" w:rsidP="006A64F0">
            <w:pPr>
              <w:ind w:right="157"/>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1</w:t>
            </w:r>
            <w:proofErr w:type="spellEnd"/>
          </w:p>
        </w:tc>
        <w:tc>
          <w:tcPr>
            <w:tcW w:w="121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68E" w14:textId="77777777" w:rsidR="0001617D" w:rsidRPr="00FC1EA5" w:rsidRDefault="0001617D" w:rsidP="0001617D">
            <w:pPr>
              <w:jc w:val="right"/>
              <w:rPr>
                <w:rFonts w:ascii="Calibri" w:hAnsi="Calibri" w:cs="Calibri"/>
                <w:b/>
                <w:bCs/>
                <w:sz w:val="20"/>
                <w:szCs w:val="20"/>
              </w:rPr>
            </w:pPr>
            <w:r w:rsidRPr="00FC1EA5">
              <w:rPr>
                <w:rFonts w:ascii="Calibri" w:hAnsi="Calibri" w:cs="Calibri"/>
                <w:b/>
                <w:bCs/>
                <w:sz w:val="20"/>
                <w:szCs w:val="20"/>
              </w:rPr>
              <w:t>950,760</w:t>
            </w:r>
          </w:p>
        </w:tc>
        <w:tc>
          <w:tcPr>
            <w:tcW w:w="1212" w:type="dxa"/>
            <w:tcBorders>
              <w:top w:val="single" w:sz="4" w:space="0" w:color="FFFFFF" w:themeColor="background1"/>
              <w:left w:val="nil"/>
              <w:bottom w:val="single" w:sz="4" w:space="0" w:color="FFFFFF" w:themeColor="background1"/>
              <w:right w:val="nil"/>
            </w:tcBorders>
            <w:vAlign w:val="center"/>
          </w:tcPr>
          <w:p w14:paraId="2CCF968F" w14:textId="77777777" w:rsidR="0001617D" w:rsidRPr="00FC1EA5" w:rsidRDefault="0001617D" w:rsidP="0001617D">
            <w:pPr>
              <w:jc w:val="right"/>
              <w:rPr>
                <w:rFonts w:ascii="Calibri" w:hAnsi="Calibri" w:cs="Calibri"/>
                <w:b/>
                <w:bCs/>
                <w:sz w:val="20"/>
                <w:szCs w:val="20"/>
              </w:rPr>
            </w:pPr>
            <w:r w:rsidRPr="00FC1EA5">
              <w:rPr>
                <w:rFonts w:ascii="Calibri" w:hAnsi="Calibri" w:cs="Calibri"/>
                <w:b/>
                <w:bCs/>
                <w:sz w:val="20"/>
                <w:szCs w:val="20"/>
              </w:rPr>
              <w:t>963,870</w:t>
            </w:r>
          </w:p>
        </w:tc>
        <w:tc>
          <w:tcPr>
            <w:tcW w:w="1212" w:type="dxa"/>
            <w:tcBorders>
              <w:top w:val="single" w:sz="4" w:space="0" w:color="FFFFFF" w:themeColor="background1"/>
              <w:left w:val="nil"/>
              <w:bottom w:val="single" w:sz="4" w:space="0" w:color="FFFFFF" w:themeColor="background1"/>
              <w:right w:val="nil"/>
            </w:tcBorders>
            <w:vAlign w:val="center"/>
          </w:tcPr>
          <w:p w14:paraId="2CCF9690" w14:textId="77777777" w:rsidR="0001617D" w:rsidRPr="00FC1EA5" w:rsidRDefault="0001617D" w:rsidP="0001617D">
            <w:pPr>
              <w:jc w:val="right"/>
              <w:rPr>
                <w:rFonts w:ascii="Calibri" w:hAnsi="Calibri" w:cs="Calibri"/>
                <w:b/>
                <w:bCs/>
                <w:sz w:val="20"/>
                <w:szCs w:val="20"/>
              </w:rPr>
            </w:pPr>
            <w:r w:rsidRPr="00FC1EA5">
              <w:rPr>
                <w:rFonts w:ascii="Calibri" w:hAnsi="Calibri" w:cs="Calibri"/>
                <w:b/>
                <w:bCs/>
                <w:sz w:val="20"/>
                <w:szCs w:val="20"/>
              </w:rPr>
              <w:t>992,520</w:t>
            </w:r>
          </w:p>
        </w:tc>
        <w:tc>
          <w:tcPr>
            <w:tcW w:w="1212" w:type="dxa"/>
            <w:tcBorders>
              <w:top w:val="single" w:sz="4" w:space="0" w:color="FFFFFF" w:themeColor="background1"/>
              <w:left w:val="nil"/>
              <w:bottom w:val="single" w:sz="4" w:space="0" w:color="FFFFFF" w:themeColor="background1"/>
              <w:right w:val="nil"/>
            </w:tcBorders>
            <w:vAlign w:val="center"/>
          </w:tcPr>
          <w:p w14:paraId="2CCF9691" w14:textId="77777777" w:rsidR="0001617D" w:rsidRPr="00FC1EA5" w:rsidRDefault="0001617D" w:rsidP="0001617D">
            <w:pPr>
              <w:jc w:val="right"/>
              <w:rPr>
                <w:rFonts w:ascii="Calibri" w:hAnsi="Calibri" w:cs="Calibri"/>
                <w:b/>
                <w:bCs/>
                <w:sz w:val="20"/>
                <w:szCs w:val="20"/>
              </w:rPr>
            </w:pPr>
            <w:r w:rsidRPr="00FC1EA5">
              <w:rPr>
                <w:rFonts w:ascii="Calibri" w:hAnsi="Calibri" w:cs="Calibri"/>
                <w:b/>
                <w:bCs/>
                <w:sz w:val="20"/>
                <w:szCs w:val="20"/>
              </w:rPr>
              <w:t>987,590</w:t>
            </w:r>
          </w:p>
        </w:tc>
        <w:tc>
          <w:tcPr>
            <w:tcW w:w="1212" w:type="dxa"/>
            <w:tcBorders>
              <w:top w:val="single" w:sz="4" w:space="0" w:color="FFFFFF" w:themeColor="background1"/>
              <w:left w:val="nil"/>
              <w:bottom w:val="single" w:sz="4" w:space="0" w:color="FFFFFF" w:themeColor="background1"/>
              <w:right w:val="nil"/>
            </w:tcBorders>
            <w:vAlign w:val="center"/>
          </w:tcPr>
          <w:p w14:paraId="2CCF9692" w14:textId="77777777" w:rsidR="0001617D" w:rsidRPr="00FC1EA5" w:rsidRDefault="0001617D" w:rsidP="006A64F0">
            <w:pPr>
              <w:jc w:val="right"/>
              <w:rPr>
                <w:rFonts w:ascii="Calibri" w:hAnsi="Calibri" w:cs="Calibri"/>
                <w:b/>
                <w:bCs/>
                <w:sz w:val="20"/>
                <w:szCs w:val="20"/>
              </w:rPr>
            </w:pPr>
            <w:r w:rsidRPr="00FC1EA5">
              <w:rPr>
                <w:rFonts w:ascii="Calibri" w:hAnsi="Calibri" w:cs="Calibri"/>
                <w:b/>
                <w:bCs/>
                <w:sz w:val="20"/>
                <w:szCs w:val="20"/>
              </w:rPr>
              <w:t>976,230</w:t>
            </w:r>
          </w:p>
        </w:tc>
      </w:tr>
      <w:tr w:rsidR="00FC1EA5" w:rsidRPr="00FC1EA5" w14:paraId="2CCF969A" w14:textId="77777777" w:rsidTr="002B43E9">
        <w:trPr>
          <w:trHeight w:val="315"/>
        </w:trPr>
        <w:tc>
          <w:tcPr>
            <w:tcW w:w="3227" w:type="dxa"/>
            <w:tcBorders>
              <w:top w:val="single" w:sz="4" w:space="0" w:color="FFFFFF" w:themeColor="background1"/>
              <w:left w:val="nil"/>
              <w:right w:val="single" w:sz="4" w:space="0" w:color="FFFFFF" w:themeColor="background1"/>
            </w:tcBorders>
            <w:vAlign w:val="center"/>
          </w:tcPr>
          <w:p w14:paraId="2CCF9694" w14:textId="77777777" w:rsidR="0001617D" w:rsidRPr="00FC1EA5" w:rsidRDefault="0001617D" w:rsidP="006A64F0">
            <w:pPr>
              <w:ind w:right="157"/>
              <w:rPr>
                <w:rFonts w:ascii="Calibri" w:hAnsi="Calibri" w:cs="Arial"/>
                <w:b/>
                <w:sz w:val="20"/>
                <w:szCs w:val="20"/>
              </w:rPr>
            </w:pPr>
            <w:r w:rsidRPr="00FC1EA5">
              <w:rPr>
                <w:rFonts w:ascii="Calibri" w:hAnsi="Calibri" w:cs="Arial"/>
                <w:b/>
                <w:sz w:val="20"/>
                <w:szCs w:val="20"/>
              </w:rPr>
              <w:t xml:space="preserve">Per cent of Australian </w:t>
            </w:r>
            <w:proofErr w:type="spellStart"/>
            <w:r w:rsidRPr="00FC1EA5">
              <w:rPr>
                <w:rFonts w:ascii="Calibri" w:hAnsi="Calibri" w:cs="Arial"/>
                <w:b/>
                <w:sz w:val="20"/>
                <w:szCs w:val="20"/>
              </w:rPr>
              <w:t>population</w:t>
            </w:r>
            <w:r w:rsidRPr="00FC1EA5">
              <w:rPr>
                <w:rFonts w:ascii="Calibri" w:hAnsi="Calibri" w:cs="Arial"/>
                <w:b/>
                <w:sz w:val="20"/>
                <w:szCs w:val="20"/>
                <w:vertAlign w:val="superscript"/>
              </w:rPr>
              <w:t>2</w:t>
            </w:r>
            <w:proofErr w:type="spellEnd"/>
          </w:p>
        </w:tc>
        <w:tc>
          <w:tcPr>
            <w:tcW w:w="1212" w:type="dxa"/>
            <w:tcBorders>
              <w:top w:val="single" w:sz="4" w:space="0" w:color="FFFFFF" w:themeColor="background1"/>
              <w:left w:val="single" w:sz="4" w:space="0" w:color="FFFFFF" w:themeColor="background1"/>
              <w:right w:val="nil"/>
            </w:tcBorders>
            <w:vAlign w:val="center"/>
          </w:tcPr>
          <w:p w14:paraId="2CCF9695" w14:textId="77777777" w:rsidR="0001617D" w:rsidRPr="00FC1EA5" w:rsidRDefault="0001617D" w:rsidP="0001617D">
            <w:pPr>
              <w:jc w:val="right"/>
              <w:rPr>
                <w:rFonts w:ascii="Calibri" w:hAnsi="Calibri" w:cs="Arial"/>
                <w:b/>
                <w:sz w:val="20"/>
                <w:szCs w:val="20"/>
              </w:rPr>
            </w:pPr>
            <w:r w:rsidRPr="00FC1EA5">
              <w:rPr>
                <w:rFonts w:ascii="Calibri" w:hAnsi="Calibri" w:cs="Arial"/>
                <w:b/>
                <w:sz w:val="20"/>
                <w:szCs w:val="20"/>
              </w:rPr>
              <w:t>25.9%</w:t>
            </w:r>
          </w:p>
        </w:tc>
        <w:tc>
          <w:tcPr>
            <w:tcW w:w="1212" w:type="dxa"/>
            <w:tcBorders>
              <w:top w:val="single" w:sz="4" w:space="0" w:color="FFFFFF" w:themeColor="background1"/>
              <w:left w:val="nil"/>
              <w:right w:val="nil"/>
            </w:tcBorders>
            <w:vAlign w:val="center"/>
          </w:tcPr>
          <w:p w14:paraId="2CCF9696" w14:textId="77777777" w:rsidR="0001617D" w:rsidRPr="00FC1EA5" w:rsidRDefault="0001617D" w:rsidP="0001617D">
            <w:pPr>
              <w:jc w:val="right"/>
              <w:rPr>
                <w:rFonts w:ascii="Calibri" w:hAnsi="Calibri" w:cs="Arial"/>
                <w:b/>
                <w:sz w:val="20"/>
                <w:szCs w:val="20"/>
              </w:rPr>
            </w:pPr>
            <w:r w:rsidRPr="00FC1EA5">
              <w:rPr>
                <w:rFonts w:ascii="Calibri" w:hAnsi="Calibri" w:cs="Arial"/>
                <w:b/>
                <w:sz w:val="20"/>
                <w:szCs w:val="20"/>
              </w:rPr>
              <w:t>26.1%</w:t>
            </w:r>
          </w:p>
        </w:tc>
        <w:tc>
          <w:tcPr>
            <w:tcW w:w="1212" w:type="dxa"/>
            <w:tcBorders>
              <w:top w:val="single" w:sz="4" w:space="0" w:color="FFFFFF" w:themeColor="background1"/>
              <w:left w:val="nil"/>
              <w:right w:val="nil"/>
            </w:tcBorders>
            <w:vAlign w:val="center"/>
          </w:tcPr>
          <w:p w14:paraId="2CCF9697" w14:textId="77777777" w:rsidR="0001617D" w:rsidRPr="00FC1EA5" w:rsidRDefault="0001617D" w:rsidP="0001617D">
            <w:pPr>
              <w:jc w:val="right"/>
              <w:rPr>
                <w:rFonts w:ascii="Calibri" w:hAnsi="Calibri" w:cs="Arial"/>
                <w:b/>
                <w:sz w:val="20"/>
                <w:szCs w:val="20"/>
              </w:rPr>
            </w:pPr>
            <w:r w:rsidRPr="00FC1EA5">
              <w:rPr>
                <w:rFonts w:ascii="Calibri" w:hAnsi="Calibri" w:cs="Arial"/>
                <w:b/>
                <w:sz w:val="20"/>
                <w:szCs w:val="20"/>
              </w:rPr>
              <w:t>27.6%</w:t>
            </w:r>
          </w:p>
        </w:tc>
        <w:tc>
          <w:tcPr>
            <w:tcW w:w="1212" w:type="dxa"/>
            <w:tcBorders>
              <w:top w:val="single" w:sz="4" w:space="0" w:color="FFFFFF" w:themeColor="background1"/>
              <w:left w:val="nil"/>
              <w:right w:val="nil"/>
            </w:tcBorders>
            <w:vAlign w:val="center"/>
          </w:tcPr>
          <w:p w14:paraId="2CCF9698" w14:textId="77777777" w:rsidR="0001617D" w:rsidRPr="00FC1EA5" w:rsidRDefault="0001617D" w:rsidP="0001617D">
            <w:pPr>
              <w:jc w:val="right"/>
              <w:rPr>
                <w:rFonts w:ascii="Calibri" w:hAnsi="Calibri" w:cs="Arial"/>
                <w:b/>
                <w:sz w:val="20"/>
                <w:szCs w:val="20"/>
              </w:rPr>
            </w:pPr>
            <w:r w:rsidRPr="00FC1EA5">
              <w:rPr>
                <w:rFonts w:ascii="Calibri" w:hAnsi="Calibri" w:cs="Arial"/>
                <w:b/>
                <w:sz w:val="20"/>
                <w:szCs w:val="20"/>
              </w:rPr>
              <w:t>27.5%</w:t>
            </w:r>
          </w:p>
        </w:tc>
        <w:tc>
          <w:tcPr>
            <w:tcW w:w="1212" w:type="dxa"/>
            <w:tcBorders>
              <w:top w:val="single" w:sz="4" w:space="0" w:color="FFFFFF" w:themeColor="background1"/>
              <w:left w:val="nil"/>
              <w:right w:val="nil"/>
            </w:tcBorders>
            <w:vAlign w:val="center"/>
          </w:tcPr>
          <w:p w14:paraId="2CCF9699" w14:textId="77777777" w:rsidR="0001617D" w:rsidRPr="00FC1EA5" w:rsidRDefault="0001617D" w:rsidP="0001617D">
            <w:pPr>
              <w:jc w:val="right"/>
              <w:rPr>
                <w:rFonts w:ascii="Calibri" w:hAnsi="Calibri" w:cs="Arial"/>
                <w:b/>
                <w:sz w:val="20"/>
                <w:szCs w:val="20"/>
              </w:rPr>
            </w:pPr>
            <w:r w:rsidRPr="00FC1EA5">
              <w:rPr>
                <w:rFonts w:ascii="Calibri" w:hAnsi="Calibri" w:cs="Arial"/>
                <w:b/>
                <w:sz w:val="20"/>
                <w:szCs w:val="20"/>
              </w:rPr>
              <w:t>27.2%</w:t>
            </w:r>
          </w:p>
        </w:tc>
      </w:tr>
    </w:tbl>
    <w:p w14:paraId="2CCF969B"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As children may use more than one service type in any particular quarter and due to rounding, the sum of the component parts may not equal the Total. </w:t>
      </w:r>
      <w:r w:rsidRPr="00FC1EA5">
        <w:rPr>
          <w:rFonts w:ascii="Calibri" w:hAnsi="Calibri"/>
          <w:sz w:val="16"/>
          <w:szCs w:val="16"/>
        </w:rPr>
        <w:t>Tota</w:t>
      </w:r>
      <w:r w:rsidR="002C7929" w:rsidRPr="00FC1EA5">
        <w:rPr>
          <w:rFonts w:ascii="Calibri" w:hAnsi="Calibri"/>
          <w:sz w:val="16"/>
          <w:szCs w:val="16"/>
        </w:rPr>
        <w:t>ls</w:t>
      </w:r>
      <w:r w:rsidRPr="00FC1EA5">
        <w:rPr>
          <w:rFonts w:ascii="Calibri" w:hAnsi="Calibri"/>
          <w:sz w:val="16"/>
          <w:szCs w:val="16"/>
        </w:rPr>
        <w:t xml:space="preserve"> for </w:t>
      </w:r>
      <w:r w:rsidR="002C7929" w:rsidRPr="00FC1EA5">
        <w:rPr>
          <w:rFonts w:ascii="Calibri" w:hAnsi="Calibri"/>
          <w:sz w:val="16"/>
          <w:szCs w:val="16"/>
        </w:rPr>
        <w:t xml:space="preserve">the September </w:t>
      </w:r>
      <w:r w:rsidR="0001617D" w:rsidRPr="00FC1EA5">
        <w:rPr>
          <w:rFonts w:ascii="Calibri" w:hAnsi="Calibri"/>
          <w:sz w:val="16"/>
          <w:szCs w:val="16"/>
        </w:rPr>
        <w:t xml:space="preserve">and December </w:t>
      </w:r>
      <w:r w:rsidR="002C7929" w:rsidRPr="00FC1EA5">
        <w:rPr>
          <w:rFonts w:ascii="Calibri" w:hAnsi="Calibri"/>
          <w:sz w:val="16"/>
          <w:szCs w:val="16"/>
        </w:rPr>
        <w:t>quarter</w:t>
      </w:r>
      <w:r w:rsidR="0001617D" w:rsidRPr="00FC1EA5">
        <w:rPr>
          <w:rFonts w:ascii="Calibri" w:hAnsi="Calibri"/>
          <w:sz w:val="16"/>
          <w:szCs w:val="16"/>
        </w:rPr>
        <w:t>s</w:t>
      </w:r>
      <w:r w:rsidR="002C7929" w:rsidRPr="00FC1EA5">
        <w:rPr>
          <w:rFonts w:ascii="Calibri" w:hAnsi="Calibri"/>
          <w:sz w:val="16"/>
          <w:szCs w:val="16"/>
        </w:rPr>
        <w:t xml:space="preserve"> 2011 and the </w:t>
      </w:r>
      <w:r w:rsidR="0001617D" w:rsidRPr="00FC1EA5">
        <w:rPr>
          <w:rFonts w:ascii="Calibri" w:hAnsi="Calibri"/>
          <w:sz w:val="16"/>
          <w:szCs w:val="16"/>
        </w:rPr>
        <w:t>March quarter 2012</w:t>
      </w:r>
      <w:r w:rsidR="002C7929" w:rsidRPr="00FC1EA5">
        <w:rPr>
          <w:rFonts w:ascii="Calibri" w:hAnsi="Calibri"/>
          <w:sz w:val="16"/>
          <w:szCs w:val="16"/>
        </w:rPr>
        <w:t xml:space="preserve"> include </w:t>
      </w:r>
      <w:r w:rsidRPr="00FC1EA5">
        <w:rPr>
          <w:rFonts w:ascii="Calibri" w:hAnsi="Calibri"/>
          <w:sz w:val="16"/>
          <w:szCs w:val="16"/>
        </w:rPr>
        <w:t>a very small number of children for wh</w:t>
      </w:r>
      <w:r w:rsidR="000C4FD5" w:rsidRPr="00FC1EA5">
        <w:rPr>
          <w:rFonts w:ascii="Calibri" w:hAnsi="Calibri"/>
          <w:sz w:val="16"/>
          <w:szCs w:val="16"/>
        </w:rPr>
        <w:t>om</w:t>
      </w:r>
      <w:r w:rsidRPr="00FC1EA5">
        <w:rPr>
          <w:rFonts w:ascii="Calibri" w:hAnsi="Calibri"/>
          <w:sz w:val="16"/>
          <w:szCs w:val="16"/>
        </w:rPr>
        <w:t xml:space="preserve"> other details are unknown.</w:t>
      </w:r>
    </w:p>
    <w:p w14:paraId="2CCF969C" w14:textId="77777777" w:rsidR="006A64F0" w:rsidRPr="00FC1EA5" w:rsidRDefault="006A64F0" w:rsidP="006A64F0">
      <w:pPr>
        <w:rPr>
          <w:rFonts w:ascii="Calibri" w:hAnsi="Calibri" w:cs="Arial"/>
          <w:snapToGrid w:val="0"/>
          <w:sz w:val="16"/>
          <w:szCs w:val="16"/>
        </w:rPr>
      </w:pPr>
      <w:r w:rsidRPr="00FC1EA5">
        <w:rPr>
          <w:rFonts w:ascii="Calibri" w:hAnsi="Calibri" w:cs="Arial"/>
          <w:snapToGrid w:val="0"/>
          <w:sz w:val="16"/>
          <w:szCs w:val="16"/>
          <w:vertAlign w:val="superscript"/>
        </w:rPr>
        <w:t xml:space="preserve">2 </w:t>
      </w:r>
      <w:r w:rsidRPr="00FC1EA5">
        <w:rPr>
          <w:rFonts w:ascii="Calibri" w:hAnsi="Calibri" w:cs="Arial"/>
          <w:snapToGrid w:val="0"/>
          <w:sz w:val="16"/>
          <w:szCs w:val="16"/>
        </w:rPr>
        <w:t>Number of children using child care as a per cent of all Australian children aged 0-12 years.</w:t>
      </w:r>
    </w:p>
    <w:p w14:paraId="2CCF969D" w14:textId="77777777" w:rsidR="006A64F0" w:rsidRPr="00FC1EA5" w:rsidRDefault="006A64F0" w:rsidP="006A64F0">
      <w:pPr>
        <w:rPr>
          <w:rFonts w:asciiTheme="minorHAnsi" w:hAnsiTheme="minorHAnsi" w:cs="Calibri"/>
          <w:sz w:val="16"/>
          <w:szCs w:val="16"/>
        </w:rPr>
      </w:pPr>
      <w:r w:rsidRPr="00FC1EA5">
        <w:rPr>
          <w:rFonts w:ascii="Calibri" w:hAnsi="Calibri" w:cs="Arial"/>
          <w:sz w:val="16"/>
          <w:szCs w:val="16"/>
        </w:rPr>
        <w:t>Source: D</w:t>
      </w:r>
      <w:r w:rsidR="00880D15" w:rsidRPr="00FC1EA5">
        <w:rPr>
          <w:rFonts w:ascii="Calibri" w:hAnsi="Calibri" w:cs="Arial"/>
          <w:sz w:val="16"/>
          <w:szCs w:val="16"/>
        </w:rPr>
        <w:t>ept. o</w:t>
      </w:r>
      <w:r w:rsidRPr="00FC1EA5">
        <w:rPr>
          <w:rFonts w:ascii="Calibri" w:hAnsi="Calibri" w:cs="Arial"/>
          <w:sz w:val="16"/>
          <w:szCs w:val="16"/>
        </w:rPr>
        <w:t>f Education, Employment and Workplace Relati</w:t>
      </w:r>
      <w:r w:rsidR="002C7929" w:rsidRPr="00FC1EA5">
        <w:rPr>
          <w:rFonts w:ascii="Calibri" w:hAnsi="Calibri" w:cs="Arial"/>
          <w:sz w:val="16"/>
          <w:szCs w:val="16"/>
        </w:rPr>
        <w:t>ons (DEEWR) administrative data</w:t>
      </w:r>
      <w:r w:rsidR="00880D15" w:rsidRPr="00FC1EA5">
        <w:rPr>
          <w:rFonts w:ascii="Calibri" w:hAnsi="Calibri" w:cs="Arial"/>
          <w:sz w:val="16"/>
          <w:szCs w:val="16"/>
        </w:rPr>
        <w:t>;</w:t>
      </w:r>
      <w:r w:rsidR="000C4FD5" w:rsidRPr="00FC1EA5">
        <w:rPr>
          <w:rFonts w:ascii="Calibri" w:hAnsi="Calibri" w:cs="Arial"/>
          <w:sz w:val="16"/>
          <w:szCs w:val="16"/>
        </w:rPr>
        <w:t xml:space="preserve"> ABS Cat no. 3201.0 </w:t>
      </w:r>
      <w:r w:rsidR="000C4FD5" w:rsidRPr="00FC1EA5">
        <w:rPr>
          <w:rFonts w:ascii="Calibri" w:hAnsi="Calibri" w:cs="Arial"/>
          <w:i/>
          <w:sz w:val="16"/>
          <w:szCs w:val="16"/>
        </w:rPr>
        <w:t>Population by age and sex, Australian s</w:t>
      </w:r>
      <w:r w:rsidR="00880D15" w:rsidRPr="00FC1EA5">
        <w:rPr>
          <w:rFonts w:ascii="Calibri" w:hAnsi="Calibri" w:cs="Arial"/>
          <w:i/>
          <w:sz w:val="16"/>
          <w:szCs w:val="16"/>
        </w:rPr>
        <w:t>tates and territories, June 2010</w:t>
      </w:r>
      <w:proofErr w:type="gramStart"/>
      <w:r w:rsidR="00880D15" w:rsidRPr="00FC1EA5">
        <w:rPr>
          <w:rFonts w:ascii="Calibri" w:hAnsi="Calibri" w:cs="Arial"/>
          <w:i/>
          <w:sz w:val="16"/>
          <w:szCs w:val="16"/>
        </w:rPr>
        <w:t>;</w:t>
      </w:r>
      <w:r w:rsidR="000C4FD5" w:rsidRPr="00FC1EA5">
        <w:rPr>
          <w:rFonts w:ascii="Calibri" w:hAnsi="Calibri" w:cs="Arial"/>
          <w:i/>
          <w:sz w:val="16"/>
          <w:szCs w:val="16"/>
        </w:rPr>
        <w:t xml:space="preserve">  </w:t>
      </w:r>
      <w:r w:rsidR="000C4FD5" w:rsidRPr="00FC1EA5">
        <w:rPr>
          <w:rFonts w:asciiTheme="minorHAnsi" w:hAnsiTheme="minorHAnsi" w:cs="Calibri"/>
          <w:sz w:val="16"/>
          <w:szCs w:val="16"/>
          <w:u w:color="000000"/>
        </w:rPr>
        <w:t>ABS</w:t>
      </w:r>
      <w:proofErr w:type="gramEnd"/>
      <w:r w:rsidR="000C4FD5" w:rsidRPr="00FC1EA5">
        <w:rPr>
          <w:rFonts w:asciiTheme="minorHAnsi" w:hAnsiTheme="minorHAnsi" w:cs="Calibri"/>
          <w:sz w:val="16"/>
          <w:szCs w:val="16"/>
          <w:u w:color="000000"/>
        </w:rPr>
        <w:t xml:space="preserve"> Cat. </w:t>
      </w:r>
      <w:proofErr w:type="gramStart"/>
      <w:r w:rsidR="000C4FD5" w:rsidRPr="00FC1EA5">
        <w:rPr>
          <w:rFonts w:asciiTheme="minorHAnsi" w:hAnsiTheme="minorHAnsi" w:cs="Calibri"/>
          <w:sz w:val="16"/>
          <w:szCs w:val="16"/>
          <w:u w:color="000000"/>
        </w:rPr>
        <w:t>no</w:t>
      </w:r>
      <w:proofErr w:type="gramEnd"/>
      <w:r w:rsidR="000C4FD5" w:rsidRPr="00FC1EA5">
        <w:rPr>
          <w:rFonts w:asciiTheme="minorHAnsi" w:hAnsiTheme="minorHAnsi" w:cs="Calibri"/>
          <w:sz w:val="16"/>
          <w:szCs w:val="16"/>
          <w:u w:color="000000"/>
        </w:rPr>
        <w:t xml:space="preserve">. 3101.0 </w:t>
      </w:r>
      <w:r w:rsidR="000C4FD5" w:rsidRPr="00FC1EA5">
        <w:rPr>
          <w:rFonts w:asciiTheme="minorHAnsi" w:hAnsiTheme="minorHAnsi" w:cs="Calibri"/>
          <w:i/>
          <w:sz w:val="16"/>
          <w:szCs w:val="16"/>
          <w:u w:color="000000"/>
        </w:rPr>
        <w:t>Australian Demographic Statistics, June 201</w:t>
      </w:r>
      <w:r w:rsidR="00880D15" w:rsidRPr="00FC1EA5">
        <w:rPr>
          <w:rFonts w:asciiTheme="minorHAnsi" w:hAnsiTheme="minorHAnsi" w:cs="Calibri"/>
          <w:i/>
          <w:sz w:val="16"/>
          <w:szCs w:val="16"/>
          <w:u w:color="000000"/>
        </w:rPr>
        <w:t>;</w:t>
      </w:r>
      <w:r w:rsidR="000C4FD5" w:rsidRPr="00FC1EA5">
        <w:rPr>
          <w:rFonts w:asciiTheme="minorHAnsi" w:hAnsiTheme="minorHAnsi" w:cs="Calibri"/>
          <w:i/>
          <w:sz w:val="16"/>
          <w:szCs w:val="16"/>
          <w:u w:color="000000"/>
        </w:rPr>
        <w:t xml:space="preserve">, </w:t>
      </w:r>
      <w:r w:rsidR="002C7929" w:rsidRPr="00FC1EA5">
        <w:rPr>
          <w:rFonts w:ascii="Calibri" w:hAnsi="Calibri" w:cs="Arial"/>
          <w:sz w:val="16"/>
          <w:szCs w:val="16"/>
        </w:rPr>
        <w:t xml:space="preserve"> and</w:t>
      </w:r>
      <w:r w:rsidRPr="00FC1EA5">
        <w:rPr>
          <w:rFonts w:ascii="Calibri" w:hAnsi="Calibri" w:cs="Arial"/>
          <w:sz w:val="16"/>
          <w:szCs w:val="16"/>
        </w:rPr>
        <w:t xml:space="preserve"> ABS Cat no. </w:t>
      </w:r>
      <w:r w:rsidR="002C7929" w:rsidRPr="00FC1EA5">
        <w:rPr>
          <w:rFonts w:ascii="Calibri" w:hAnsi="Calibri" w:cs="Arial"/>
          <w:sz w:val="16"/>
          <w:szCs w:val="16"/>
        </w:rPr>
        <w:t>2001</w:t>
      </w:r>
      <w:r w:rsidRPr="00FC1EA5">
        <w:rPr>
          <w:rFonts w:ascii="Calibri" w:hAnsi="Calibri" w:cs="Arial"/>
          <w:sz w:val="16"/>
          <w:szCs w:val="16"/>
        </w:rPr>
        <w:t xml:space="preserve">.0 </w:t>
      </w:r>
      <w:r w:rsidR="002C7929" w:rsidRPr="00FC1EA5">
        <w:rPr>
          <w:rFonts w:ascii="Calibri" w:hAnsi="Calibri" w:cs="Arial"/>
          <w:i/>
          <w:sz w:val="16"/>
          <w:szCs w:val="16"/>
        </w:rPr>
        <w:t>Census 2011</w:t>
      </w:r>
      <w:r w:rsidR="00D0132F" w:rsidRPr="00FC1EA5">
        <w:rPr>
          <w:rFonts w:asciiTheme="minorHAnsi" w:hAnsiTheme="minorHAnsi" w:cs="Calibri"/>
          <w:i/>
          <w:sz w:val="16"/>
          <w:szCs w:val="16"/>
          <w:u w:color="000000"/>
        </w:rPr>
        <w:t>.</w:t>
      </w:r>
    </w:p>
    <w:p w14:paraId="2CCF969E" w14:textId="77777777" w:rsidR="006A64F0" w:rsidRPr="00FC1EA5" w:rsidRDefault="006A64F0" w:rsidP="006A64F0">
      <w:pPr>
        <w:rPr>
          <w:rFonts w:ascii="Calibri" w:hAnsi="Calibri" w:cs="Arial"/>
          <w:sz w:val="22"/>
          <w:szCs w:val="22"/>
        </w:rPr>
      </w:pPr>
    </w:p>
    <w:p w14:paraId="2CCF969F" w14:textId="5EBEAE13" w:rsidR="006A64F0" w:rsidRPr="00FC1EA5" w:rsidRDefault="006A64F0" w:rsidP="006A64F0">
      <w:pPr>
        <w:rPr>
          <w:rFonts w:ascii="Calibri" w:hAnsi="Calibri" w:cs="Arial"/>
          <w:sz w:val="22"/>
          <w:szCs w:val="22"/>
        </w:rPr>
      </w:pPr>
      <w:r w:rsidRPr="00FC1EA5">
        <w:rPr>
          <w:rFonts w:ascii="Calibri" w:hAnsi="Calibri" w:cs="Arial"/>
          <w:sz w:val="22"/>
          <w:szCs w:val="22"/>
        </w:rPr>
        <w:t xml:space="preserve">While most children who used child care </w:t>
      </w:r>
      <w:r w:rsidR="00394F51" w:rsidRPr="00FC1EA5">
        <w:rPr>
          <w:rFonts w:ascii="Calibri" w:hAnsi="Calibri" w:cs="Arial"/>
          <w:sz w:val="22"/>
          <w:szCs w:val="22"/>
        </w:rPr>
        <w:t>used services</w:t>
      </w:r>
      <w:r w:rsidRPr="00FC1EA5">
        <w:rPr>
          <w:rFonts w:ascii="Calibri" w:hAnsi="Calibri" w:cs="Arial"/>
          <w:sz w:val="22"/>
          <w:szCs w:val="22"/>
        </w:rPr>
        <w:t xml:space="preserve"> located in major cities, over one in four (27.</w:t>
      </w:r>
      <w:r w:rsidR="00CC2CA9" w:rsidRPr="00FC1EA5">
        <w:rPr>
          <w:rFonts w:ascii="Calibri" w:hAnsi="Calibri" w:cs="Arial"/>
          <w:sz w:val="22"/>
          <w:szCs w:val="22"/>
        </w:rPr>
        <w:t>5</w:t>
      </w:r>
      <w:r w:rsidR="00AD7472">
        <w:rPr>
          <w:rFonts w:ascii="Calibri" w:hAnsi="Calibri" w:cs="Arial"/>
          <w:sz w:val="22"/>
          <w:szCs w:val="22"/>
        </w:rPr>
        <w:t> </w:t>
      </w:r>
      <w:r w:rsidR="00880D15" w:rsidRPr="00FC1EA5">
        <w:rPr>
          <w:rFonts w:ascii="Calibri" w:hAnsi="Calibri" w:cs="Arial"/>
          <w:sz w:val="22"/>
          <w:szCs w:val="22"/>
        </w:rPr>
        <w:t>per</w:t>
      </w:r>
      <w:r w:rsidR="00AD7472">
        <w:rPr>
          <w:rFonts w:ascii="Calibri" w:hAnsi="Calibri" w:cs="Arial"/>
          <w:sz w:val="22"/>
          <w:szCs w:val="22"/>
        </w:rPr>
        <w:t> </w:t>
      </w:r>
      <w:r w:rsidR="00880D15" w:rsidRPr="00FC1EA5">
        <w:rPr>
          <w:rFonts w:ascii="Calibri" w:hAnsi="Calibri" w:cs="Arial"/>
          <w:sz w:val="22"/>
          <w:szCs w:val="22"/>
        </w:rPr>
        <w:t>cent)</w:t>
      </w:r>
      <w:r w:rsidRPr="00FC1EA5">
        <w:rPr>
          <w:rFonts w:ascii="Calibri" w:hAnsi="Calibri" w:cs="Arial"/>
          <w:sz w:val="22"/>
          <w:szCs w:val="22"/>
        </w:rPr>
        <w:t xml:space="preserve"> used child care</w:t>
      </w:r>
      <w:r w:rsidR="00394F51" w:rsidRPr="00FC1EA5">
        <w:rPr>
          <w:rFonts w:ascii="Calibri" w:hAnsi="Calibri" w:cs="Arial"/>
          <w:sz w:val="22"/>
          <w:szCs w:val="22"/>
        </w:rPr>
        <w:t xml:space="preserve"> services located</w:t>
      </w:r>
      <w:r w:rsidRPr="00FC1EA5">
        <w:rPr>
          <w:rFonts w:ascii="Calibri" w:hAnsi="Calibri" w:cs="Arial"/>
          <w:sz w:val="22"/>
          <w:szCs w:val="22"/>
        </w:rPr>
        <w:t xml:space="preserve"> in regional areas. </w:t>
      </w:r>
    </w:p>
    <w:p w14:paraId="2CCF96A0" w14:textId="77777777" w:rsidR="006A64F0" w:rsidRPr="00FC1EA5" w:rsidRDefault="006A64F0" w:rsidP="006A64F0">
      <w:pPr>
        <w:rPr>
          <w:rFonts w:ascii="Calibri" w:hAnsi="Calibri" w:cs="Arial"/>
          <w:sz w:val="22"/>
          <w:szCs w:val="22"/>
        </w:rPr>
      </w:pPr>
    </w:p>
    <w:p w14:paraId="2CCF96A1" w14:textId="77777777" w:rsidR="006A64F0" w:rsidRPr="00FC1EA5" w:rsidRDefault="006A64F0" w:rsidP="006A64F0">
      <w:pPr>
        <w:pStyle w:val="Caption"/>
        <w:keepNext/>
        <w:rPr>
          <w:rFonts w:ascii="Calibri" w:hAnsi="Calibri"/>
          <w:sz w:val="22"/>
          <w:szCs w:val="22"/>
        </w:rPr>
      </w:pPr>
      <w:r w:rsidRPr="00FC1EA5">
        <w:rPr>
          <w:rFonts w:ascii="Calibri" w:hAnsi="Calibri"/>
          <w:sz w:val="22"/>
          <w:szCs w:val="22"/>
        </w:rPr>
        <w:t xml:space="preserve">Table 2: </w:t>
      </w:r>
      <w:r w:rsidRPr="00FC1EA5">
        <w:rPr>
          <w:rFonts w:ascii="Calibri" w:hAnsi="Calibri" w:cs="Arial"/>
          <w:bCs w:val="0"/>
          <w:sz w:val="22"/>
          <w:szCs w:val="22"/>
        </w:rPr>
        <w:t xml:space="preserve">Number of children using child care by region, </w:t>
      </w:r>
      <w:r w:rsidR="0001617D" w:rsidRPr="00FC1EA5">
        <w:rPr>
          <w:rFonts w:ascii="Calibri" w:hAnsi="Calibri" w:cs="Arial"/>
          <w:bCs w:val="0"/>
          <w:sz w:val="22"/>
          <w:szCs w:val="22"/>
        </w:rPr>
        <w:t>March quarter 2012</w:t>
      </w:r>
      <w:r w:rsidRPr="00FC1EA5">
        <w:rPr>
          <w:rFonts w:ascii="Calibri" w:hAnsi="Calibri"/>
          <w:sz w:val="22"/>
          <w:szCs w:val="22"/>
        </w:rPr>
        <w:t xml:space="preserve"> </w:t>
      </w:r>
    </w:p>
    <w:tbl>
      <w:tblPr>
        <w:tblW w:w="8946" w:type="dxa"/>
        <w:tblInd w:w="93" w:type="dxa"/>
        <w:tblLayout w:type="fixed"/>
        <w:tblLook w:val="0000" w:firstRow="0" w:lastRow="0" w:firstColumn="0" w:lastColumn="0" w:noHBand="0" w:noVBand="0"/>
      </w:tblPr>
      <w:tblGrid>
        <w:gridCol w:w="4126"/>
        <w:gridCol w:w="2410"/>
        <w:gridCol w:w="2410"/>
      </w:tblGrid>
      <w:tr w:rsidR="002B43E9" w:rsidRPr="00FC1EA5" w14:paraId="2CCF96A5" w14:textId="77777777" w:rsidTr="002B43E9">
        <w:trPr>
          <w:trHeight w:val="255"/>
        </w:trPr>
        <w:tc>
          <w:tcPr>
            <w:tcW w:w="4126" w:type="dxa"/>
            <w:tcBorders>
              <w:top w:val="single" w:sz="4" w:space="0" w:color="FFFFFF" w:themeColor="background1"/>
              <w:left w:val="nil"/>
              <w:right w:val="single" w:sz="4" w:space="0" w:color="FFFFFF" w:themeColor="background1"/>
            </w:tcBorders>
            <w:vAlign w:val="center"/>
          </w:tcPr>
          <w:p w14:paraId="2CCF96A2" w14:textId="77777777" w:rsidR="006A64F0" w:rsidRPr="00FC1EA5" w:rsidRDefault="006A64F0" w:rsidP="006A64F0">
            <w:pPr>
              <w:ind w:right="157"/>
              <w:rPr>
                <w:rFonts w:ascii="Calibri" w:hAnsi="Calibri" w:cs="Arial"/>
                <w:b/>
                <w:bCs/>
                <w:sz w:val="20"/>
                <w:szCs w:val="20"/>
              </w:rPr>
            </w:pPr>
            <w:r w:rsidRPr="00FC1EA5">
              <w:rPr>
                <w:rFonts w:ascii="Calibri" w:hAnsi="Calibri" w:cs="Arial"/>
                <w:b/>
                <w:bCs/>
                <w:sz w:val="20"/>
                <w:szCs w:val="20"/>
              </w:rPr>
              <w:t>Service type</w:t>
            </w:r>
          </w:p>
        </w:tc>
        <w:tc>
          <w:tcPr>
            <w:tcW w:w="2410" w:type="dxa"/>
            <w:tcBorders>
              <w:top w:val="single" w:sz="4" w:space="0" w:color="FFFFFF" w:themeColor="background1"/>
              <w:left w:val="single" w:sz="4" w:space="0" w:color="FFFFFF" w:themeColor="background1"/>
            </w:tcBorders>
            <w:vAlign w:val="center"/>
          </w:tcPr>
          <w:p w14:paraId="2CCF96A3"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Major Cities of Australia</w:t>
            </w:r>
          </w:p>
        </w:tc>
        <w:tc>
          <w:tcPr>
            <w:tcW w:w="2410" w:type="dxa"/>
            <w:tcBorders>
              <w:top w:val="single" w:sz="4" w:space="0" w:color="FFFFFF" w:themeColor="background1"/>
              <w:left w:val="nil"/>
              <w:right w:val="nil"/>
            </w:tcBorders>
            <w:vAlign w:val="center"/>
          </w:tcPr>
          <w:p w14:paraId="2CCF96A4"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Regional and Remote Australia</w:t>
            </w:r>
          </w:p>
        </w:tc>
      </w:tr>
      <w:tr w:rsidR="002B43E9" w:rsidRPr="00FC1EA5" w14:paraId="2CCF96A9" w14:textId="77777777" w:rsidTr="002B43E9">
        <w:trPr>
          <w:trHeight w:val="255"/>
        </w:trPr>
        <w:tc>
          <w:tcPr>
            <w:tcW w:w="4126" w:type="dxa"/>
            <w:tcBorders>
              <w:left w:val="nil"/>
              <w:bottom w:val="nil"/>
              <w:right w:val="single" w:sz="4" w:space="0" w:color="FFFFFF" w:themeColor="background1"/>
            </w:tcBorders>
            <w:vAlign w:val="center"/>
          </w:tcPr>
          <w:p w14:paraId="2CCF96A6" w14:textId="77777777" w:rsidR="00BF70D3" w:rsidRPr="00FC1EA5" w:rsidRDefault="00BF70D3" w:rsidP="006A64F0">
            <w:pPr>
              <w:ind w:right="157"/>
              <w:rPr>
                <w:rFonts w:ascii="Calibri" w:hAnsi="Calibri" w:cs="Arial"/>
                <w:sz w:val="20"/>
                <w:szCs w:val="20"/>
              </w:rPr>
            </w:pPr>
            <w:r w:rsidRPr="00FC1EA5">
              <w:rPr>
                <w:rFonts w:ascii="Calibri" w:hAnsi="Calibri" w:cs="Arial"/>
                <w:sz w:val="20"/>
                <w:szCs w:val="20"/>
              </w:rPr>
              <w:t>Long day care</w:t>
            </w:r>
          </w:p>
        </w:tc>
        <w:tc>
          <w:tcPr>
            <w:tcW w:w="2410" w:type="dxa"/>
            <w:tcBorders>
              <w:left w:val="single" w:sz="4" w:space="0" w:color="FFFFFF" w:themeColor="background1"/>
              <w:bottom w:val="nil"/>
            </w:tcBorders>
            <w:vAlign w:val="center"/>
          </w:tcPr>
          <w:p w14:paraId="2CCF96A7" w14:textId="77777777" w:rsidR="00BF70D3" w:rsidRPr="00FC1EA5" w:rsidRDefault="00BF70D3" w:rsidP="00CC2CA9">
            <w:pPr>
              <w:autoSpaceDE w:val="0"/>
              <w:autoSpaceDN w:val="0"/>
              <w:adjustRightInd w:val="0"/>
              <w:jc w:val="right"/>
              <w:rPr>
                <w:rFonts w:ascii="Calibri" w:hAnsi="Calibri" w:cs="Calibri"/>
                <w:sz w:val="20"/>
                <w:szCs w:val="20"/>
              </w:rPr>
            </w:pPr>
            <w:r w:rsidRPr="00FC1EA5">
              <w:rPr>
                <w:rFonts w:ascii="Calibri" w:hAnsi="Calibri" w:cs="Calibri"/>
                <w:sz w:val="20"/>
                <w:szCs w:val="20"/>
              </w:rPr>
              <w:t>435,100</w:t>
            </w:r>
          </w:p>
        </w:tc>
        <w:tc>
          <w:tcPr>
            <w:tcW w:w="2410" w:type="dxa"/>
            <w:tcBorders>
              <w:left w:val="nil"/>
              <w:bottom w:val="nil"/>
              <w:right w:val="nil"/>
            </w:tcBorders>
            <w:vAlign w:val="center"/>
          </w:tcPr>
          <w:p w14:paraId="2CCF96A8"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164,950</w:t>
            </w:r>
          </w:p>
        </w:tc>
      </w:tr>
      <w:tr w:rsidR="002B43E9" w:rsidRPr="00FC1EA5" w14:paraId="2CCF96AD" w14:textId="77777777" w:rsidTr="002B43E9">
        <w:trPr>
          <w:trHeight w:val="255"/>
        </w:trPr>
        <w:tc>
          <w:tcPr>
            <w:tcW w:w="4126" w:type="dxa"/>
            <w:tcBorders>
              <w:top w:val="nil"/>
              <w:left w:val="nil"/>
              <w:bottom w:val="nil"/>
              <w:right w:val="single" w:sz="4" w:space="0" w:color="FFFFFF" w:themeColor="background1"/>
            </w:tcBorders>
            <w:vAlign w:val="center"/>
          </w:tcPr>
          <w:p w14:paraId="2CCF96AA" w14:textId="77777777" w:rsidR="00BF70D3" w:rsidRPr="00FC1EA5" w:rsidRDefault="00BF70D3" w:rsidP="006A64F0">
            <w:pPr>
              <w:ind w:right="157"/>
              <w:rPr>
                <w:rFonts w:ascii="Calibri" w:hAnsi="Calibri" w:cs="Arial"/>
                <w:sz w:val="20"/>
                <w:szCs w:val="20"/>
              </w:rPr>
            </w:pPr>
            <w:r w:rsidRPr="00FC1EA5">
              <w:rPr>
                <w:rFonts w:ascii="Calibri" w:hAnsi="Calibri" w:cs="Arial"/>
                <w:sz w:val="20"/>
                <w:szCs w:val="20"/>
              </w:rPr>
              <w:t>Family day care and In-home care</w:t>
            </w:r>
          </w:p>
        </w:tc>
        <w:tc>
          <w:tcPr>
            <w:tcW w:w="2410" w:type="dxa"/>
            <w:tcBorders>
              <w:top w:val="nil"/>
              <w:left w:val="single" w:sz="4" w:space="0" w:color="FFFFFF" w:themeColor="background1"/>
              <w:bottom w:val="nil"/>
            </w:tcBorders>
            <w:vAlign w:val="center"/>
          </w:tcPr>
          <w:p w14:paraId="2CCF96AB" w14:textId="77777777" w:rsidR="00BF70D3" w:rsidRPr="00FC1EA5" w:rsidRDefault="00BF70D3" w:rsidP="00CC2CA9">
            <w:pPr>
              <w:autoSpaceDE w:val="0"/>
              <w:autoSpaceDN w:val="0"/>
              <w:adjustRightInd w:val="0"/>
              <w:jc w:val="right"/>
              <w:rPr>
                <w:rFonts w:ascii="Calibri" w:hAnsi="Calibri" w:cs="Calibri"/>
                <w:sz w:val="20"/>
                <w:szCs w:val="20"/>
              </w:rPr>
            </w:pPr>
            <w:r w:rsidRPr="00FC1EA5">
              <w:rPr>
                <w:rFonts w:ascii="Calibri" w:hAnsi="Calibri" w:cs="Calibri"/>
                <w:sz w:val="20"/>
                <w:szCs w:val="20"/>
              </w:rPr>
              <w:t>72,140</w:t>
            </w:r>
          </w:p>
        </w:tc>
        <w:tc>
          <w:tcPr>
            <w:tcW w:w="2410" w:type="dxa"/>
            <w:tcBorders>
              <w:top w:val="nil"/>
              <w:left w:val="nil"/>
              <w:bottom w:val="nil"/>
              <w:right w:val="nil"/>
            </w:tcBorders>
            <w:vAlign w:val="center"/>
          </w:tcPr>
          <w:p w14:paraId="2CCF96AC"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45,890</w:t>
            </w:r>
          </w:p>
        </w:tc>
      </w:tr>
      <w:tr w:rsidR="002B43E9" w:rsidRPr="00FC1EA5" w14:paraId="2CCF96B1" w14:textId="77777777" w:rsidTr="002B43E9">
        <w:trPr>
          <w:trHeight w:val="255"/>
        </w:trPr>
        <w:tc>
          <w:tcPr>
            <w:tcW w:w="4126" w:type="dxa"/>
            <w:tcBorders>
              <w:top w:val="nil"/>
              <w:left w:val="nil"/>
              <w:bottom w:val="nil"/>
              <w:right w:val="single" w:sz="4" w:space="0" w:color="FFFFFF" w:themeColor="background1"/>
            </w:tcBorders>
            <w:vAlign w:val="center"/>
          </w:tcPr>
          <w:p w14:paraId="2CCF96AE" w14:textId="77777777" w:rsidR="00BF70D3" w:rsidRPr="00FC1EA5" w:rsidRDefault="00BF70D3" w:rsidP="006A64F0">
            <w:pPr>
              <w:ind w:right="157"/>
              <w:rPr>
                <w:rFonts w:ascii="Calibri" w:hAnsi="Calibri" w:cs="Arial"/>
                <w:sz w:val="20"/>
                <w:szCs w:val="20"/>
              </w:rPr>
            </w:pPr>
            <w:r w:rsidRPr="00FC1EA5">
              <w:rPr>
                <w:rFonts w:ascii="Calibri" w:hAnsi="Calibri" w:cs="Arial"/>
                <w:sz w:val="20"/>
                <w:szCs w:val="20"/>
              </w:rPr>
              <w:t>Occasional care</w:t>
            </w:r>
          </w:p>
        </w:tc>
        <w:tc>
          <w:tcPr>
            <w:tcW w:w="2410" w:type="dxa"/>
            <w:tcBorders>
              <w:top w:val="nil"/>
              <w:left w:val="single" w:sz="4" w:space="0" w:color="FFFFFF" w:themeColor="background1"/>
              <w:bottom w:val="nil"/>
            </w:tcBorders>
            <w:vAlign w:val="center"/>
          </w:tcPr>
          <w:p w14:paraId="2CCF96AF" w14:textId="77777777" w:rsidR="00BF70D3" w:rsidRPr="00FC1EA5" w:rsidRDefault="00BF70D3" w:rsidP="00CC2CA9">
            <w:pPr>
              <w:jc w:val="right"/>
              <w:rPr>
                <w:rFonts w:ascii="Calibri" w:hAnsi="Calibri" w:cs="Calibri"/>
                <w:sz w:val="20"/>
                <w:szCs w:val="20"/>
              </w:rPr>
            </w:pPr>
            <w:r w:rsidRPr="00FC1EA5">
              <w:rPr>
                <w:rFonts w:ascii="Calibri" w:hAnsi="Calibri" w:cs="Calibri"/>
                <w:sz w:val="20"/>
                <w:szCs w:val="20"/>
              </w:rPr>
              <w:t>3,670</w:t>
            </w:r>
          </w:p>
        </w:tc>
        <w:tc>
          <w:tcPr>
            <w:tcW w:w="2410" w:type="dxa"/>
            <w:tcBorders>
              <w:top w:val="nil"/>
              <w:left w:val="nil"/>
              <w:bottom w:val="nil"/>
              <w:right w:val="nil"/>
            </w:tcBorders>
            <w:vAlign w:val="center"/>
          </w:tcPr>
          <w:p w14:paraId="2CCF96B0"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2,410</w:t>
            </w:r>
          </w:p>
        </w:tc>
      </w:tr>
      <w:tr w:rsidR="002B43E9" w:rsidRPr="00FC1EA5" w14:paraId="2CCF96B5" w14:textId="77777777" w:rsidTr="002B43E9">
        <w:trPr>
          <w:trHeight w:val="255"/>
        </w:trPr>
        <w:tc>
          <w:tcPr>
            <w:tcW w:w="4126" w:type="dxa"/>
            <w:tcBorders>
              <w:top w:val="nil"/>
              <w:left w:val="nil"/>
              <w:bottom w:val="single" w:sz="4" w:space="0" w:color="FFFFFF" w:themeColor="background1"/>
              <w:right w:val="single" w:sz="4" w:space="0" w:color="FFFFFF" w:themeColor="background1"/>
            </w:tcBorders>
            <w:vAlign w:val="center"/>
          </w:tcPr>
          <w:p w14:paraId="2CCF96B2" w14:textId="77777777" w:rsidR="00BF70D3" w:rsidRPr="00FC1EA5" w:rsidRDefault="00BF70D3" w:rsidP="006A64F0">
            <w:pPr>
              <w:ind w:right="157"/>
              <w:rPr>
                <w:rFonts w:ascii="Calibri" w:hAnsi="Calibri" w:cs="Arial"/>
                <w:sz w:val="20"/>
                <w:szCs w:val="20"/>
              </w:rPr>
            </w:pPr>
            <w:r w:rsidRPr="00FC1EA5">
              <w:rPr>
                <w:rFonts w:ascii="Calibri" w:hAnsi="Calibri" w:cs="Arial"/>
                <w:sz w:val="20"/>
                <w:szCs w:val="20"/>
              </w:rPr>
              <w:t>Outside school hours care</w:t>
            </w:r>
          </w:p>
        </w:tc>
        <w:tc>
          <w:tcPr>
            <w:tcW w:w="2410" w:type="dxa"/>
            <w:tcBorders>
              <w:top w:val="nil"/>
              <w:left w:val="single" w:sz="4" w:space="0" w:color="FFFFFF" w:themeColor="background1"/>
              <w:bottom w:val="single" w:sz="4" w:space="0" w:color="FFFFFF" w:themeColor="background1"/>
            </w:tcBorders>
            <w:vAlign w:val="center"/>
          </w:tcPr>
          <w:p w14:paraId="2CCF96B3" w14:textId="77777777" w:rsidR="00BF70D3" w:rsidRPr="00FC1EA5" w:rsidRDefault="00BF70D3" w:rsidP="00CC2CA9">
            <w:pPr>
              <w:jc w:val="right"/>
              <w:rPr>
                <w:rFonts w:ascii="Calibri" w:hAnsi="Calibri" w:cs="Calibri"/>
                <w:sz w:val="20"/>
                <w:szCs w:val="20"/>
              </w:rPr>
            </w:pPr>
            <w:r w:rsidRPr="00FC1EA5">
              <w:rPr>
                <w:rFonts w:ascii="Calibri" w:hAnsi="Calibri" w:cs="Calibri"/>
                <w:sz w:val="20"/>
                <w:szCs w:val="20"/>
              </w:rPr>
              <w:t>233,420</w:t>
            </w:r>
          </w:p>
        </w:tc>
        <w:tc>
          <w:tcPr>
            <w:tcW w:w="2410" w:type="dxa"/>
            <w:tcBorders>
              <w:top w:val="nil"/>
              <w:left w:val="nil"/>
              <w:bottom w:val="single" w:sz="4" w:space="0" w:color="FFFFFF" w:themeColor="background1"/>
              <w:right w:val="nil"/>
            </w:tcBorders>
            <w:vAlign w:val="center"/>
          </w:tcPr>
          <w:p w14:paraId="2CCF96B4"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66,480</w:t>
            </w:r>
          </w:p>
        </w:tc>
      </w:tr>
      <w:tr w:rsidR="002B43E9" w:rsidRPr="00FC1EA5" w14:paraId="2CCF96B9" w14:textId="77777777" w:rsidTr="002B43E9">
        <w:trPr>
          <w:trHeight w:val="315"/>
        </w:trPr>
        <w:tc>
          <w:tcPr>
            <w:tcW w:w="4126"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6B6" w14:textId="77777777" w:rsidR="00BF70D3" w:rsidRPr="00FC1EA5" w:rsidRDefault="00BF70D3" w:rsidP="006A64F0">
            <w:pPr>
              <w:ind w:right="157"/>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1</w:t>
            </w:r>
            <w:proofErr w:type="spellEnd"/>
          </w:p>
        </w:tc>
        <w:tc>
          <w:tcPr>
            <w:tcW w:w="2410" w:type="dxa"/>
            <w:tcBorders>
              <w:top w:val="single" w:sz="4" w:space="0" w:color="FFFFFF" w:themeColor="background1"/>
              <w:left w:val="single" w:sz="4" w:space="0" w:color="FFFFFF" w:themeColor="background1"/>
              <w:bottom w:val="single" w:sz="4" w:space="0" w:color="FFFFFF" w:themeColor="background1"/>
            </w:tcBorders>
            <w:vAlign w:val="center"/>
          </w:tcPr>
          <w:p w14:paraId="2CCF96B7" w14:textId="77777777" w:rsidR="00BF70D3" w:rsidRPr="00FC1EA5" w:rsidRDefault="00BF70D3" w:rsidP="00CC2CA9">
            <w:pPr>
              <w:jc w:val="right"/>
              <w:rPr>
                <w:rFonts w:ascii="Calibri" w:hAnsi="Calibri" w:cs="Calibri"/>
                <w:b/>
                <w:bCs/>
                <w:sz w:val="20"/>
                <w:szCs w:val="20"/>
              </w:rPr>
            </w:pPr>
            <w:r w:rsidRPr="00FC1EA5">
              <w:rPr>
                <w:rFonts w:ascii="Calibri" w:hAnsi="Calibri" w:cs="Calibri"/>
                <w:b/>
                <w:bCs/>
                <w:sz w:val="20"/>
                <w:szCs w:val="20"/>
              </w:rPr>
              <w:t>714,280</w:t>
            </w:r>
          </w:p>
        </w:tc>
        <w:tc>
          <w:tcPr>
            <w:tcW w:w="2410" w:type="dxa"/>
            <w:tcBorders>
              <w:top w:val="single" w:sz="4" w:space="0" w:color="FFFFFF" w:themeColor="background1"/>
              <w:left w:val="nil"/>
              <w:bottom w:val="single" w:sz="4" w:space="0" w:color="FFFFFF" w:themeColor="background1"/>
              <w:right w:val="nil"/>
            </w:tcBorders>
            <w:vAlign w:val="center"/>
          </w:tcPr>
          <w:p w14:paraId="2CCF96B8" w14:textId="77777777" w:rsidR="00BF70D3" w:rsidRPr="00FC1EA5" w:rsidRDefault="00BF70D3" w:rsidP="00BF70D3">
            <w:pPr>
              <w:autoSpaceDE w:val="0"/>
              <w:autoSpaceDN w:val="0"/>
              <w:adjustRightInd w:val="0"/>
              <w:jc w:val="right"/>
              <w:rPr>
                <w:rFonts w:ascii="Calibri" w:hAnsi="Calibri" w:cs="Calibri"/>
                <w:b/>
                <w:sz w:val="20"/>
                <w:szCs w:val="20"/>
              </w:rPr>
            </w:pPr>
            <w:r w:rsidRPr="00FC1EA5">
              <w:rPr>
                <w:rFonts w:ascii="Calibri" w:hAnsi="Calibri" w:cs="Calibri"/>
                <w:b/>
                <w:sz w:val="20"/>
                <w:szCs w:val="20"/>
              </w:rPr>
              <w:t>266,920</w:t>
            </w:r>
          </w:p>
        </w:tc>
      </w:tr>
    </w:tbl>
    <w:p w14:paraId="2CCF96BA"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As children may use more than one service type in more than one region in any particular quarter and due to rounding, the sum of the component parts may not equal the Total. </w:t>
      </w:r>
      <w:r w:rsidRPr="00FC1EA5">
        <w:rPr>
          <w:rFonts w:ascii="Calibri" w:hAnsi="Calibri"/>
          <w:sz w:val="16"/>
          <w:szCs w:val="16"/>
        </w:rPr>
        <w:t xml:space="preserve">Total for </w:t>
      </w:r>
      <w:r w:rsidR="0001617D" w:rsidRPr="00FC1EA5">
        <w:rPr>
          <w:rFonts w:ascii="Calibri" w:hAnsi="Calibri"/>
          <w:sz w:val="16"/>
          <w:szCs w:val="16"/>
        </w:rPr>
        <w:t>March quarter 2012</w:t>
      </w:r>
      <w:r w:rsidRPr="00FC1EA5">
        <w:rPr>
          <w:rFonts w:ascii="Calibri" w:hAnsi="Calibri"/>
          <w:sz w:val="16"/>
          <w:szCs w:val="16"/>
        </w:rPr>
        <w:t xml:space="preserve"> includes a very small number of children for </w:t>
      </w:r>
      <w:r w:rsidR="00D2420C" w:rsidRPr="00FC1EA5">
        <w:rPr>
          <w:rFonts w:ascii="Calibri" w:hAnsi="Calibri"/>
          <w:sz w:val="16"/>
          <w:szCs w:val="16"/>
        </w:rPr>
        <w:t>whom</w:t>
      </w:r>
      <w:r w:rsidRPr="00FC1EA5">
        <w:rPr>
          <w:rFonts w:ascii="Calibri" w:hAnsi="Calibri"/>
          <w:sz w:val="16"/>
          <w:szCs w:val="16"/>
        </w:rPr>
        <w:t xml:space="preserve"> other details are unknown.</w:t>
      </w:r>
    </w:p>
    <w:p w14:paraId="2CCF96BC" w14:textId="1B6DA5F7" w:rsidR="006A64F0" w:rsidRDefault="006A64F0" w:rsidP="006A64F0">
      <w:pPr>
        <w:rPr>
          <w:rFonts w:ascii="Calibri" w:hAnsi="Calibri" w:cs="Arial"/>
          <w:sz w:val="16"/>
          <w:szCs w:val="16"/>
        </w:rPr>
      </w:pPr>
      <w:r w:rsidRPr="00FC1EA5">
        <w:rPr>
          <w:rFonts w:ascii="Calibri" w:hAnsi="Calibri" w:cs="Arial"/>
          <w:sz w:val="16"/>
          <w:szCs w:val="16"/>
        </w:rPr>
        <w:t>Source: DEEWR administrative data</w:t>
      </w:r>
      <w:r w:rsidR="00C77484">
        <w:rPr>
          <w:rFonts w:ascii="Calibri" w:hAnsi="Calibri" w:cs="Arial"/>
          <w:sz w:val="16"/>
          <w:szCs w:val="16"/>
        </w:rPr>
        <w:t>.</w:t>
      </w:r>
    </w:p>
    <w:p w14:paraId="2CCF96BD" w14:textId="13862519" w:rsidR="006A64F0" w:rsidRPr="00FC1EA5" w:rsidRDefault="006A64F0" w:rsidP="006A64F0">
      <w:pPr>
        <w:rPr>
          <w:rFonts w:ascii="Calibri" w:hAnsi="Calibri" w:cs="Arial"/>
          <w:sz w:val="22"/>
          <w:szCs w:val="22"/>
        </w:rPr>
      </w:pPr>
      <w:r w:rsidRPr="00FC1EA5">
        <w:rPr>
          <w:rFonts w:ascii="Calibri" w:hAnsi="Calibri" w:cs="Arial"/>
          <w:sz w:val="22"/>
          <w:szCs w:val="22"/>
        </w:rPr>
        <w:br w:type="page"/>
      </w:r>
    </w:p>
    <w:p w14:paraId="2CCF96BE" w14:textId="77777777" w:rsidR="006A64F0" w:rsidRPr="00FC1EA5" w:rsidRDefault="006A64F0" w:rsidP="006A64F0">
      <w:pPr>
        <w:rPr>
          <w:rFonts w:ascii="Calibri" w:hAnsi="Calibri" w:cs="Arial"/>
          <w:sz w:val="22"/>
          <w:szCs w:val="22"/>
        </w:rPr>
      </w:pPr>
      <w:r w:rsidRPr="00FC1EA5">
        <w:rPr>
          <w:rFonts w:ascii="Calibri" w:hAnsi="Calibri" w:cs="Arial"/>
          <w:sz w:val="22"/>
          <w:szCs w:val="22"/>
        </w:rPr>
        <w:lastRenderedPageBreak/>
        <w:t>During the</w:t>
      </w:r>
      <w:r w:rsidRPr="00FC1EA5">
        <w:rPr>
          <w:rStyle w:val="BodyBOLD"/>
          <w:rFonts w:ascii="Calibri" w:hAnsi="Calibri"/>
          <w:spacing w:val="-1"/>
          <w:sz w:val="22"/>
          <w:szCs w:val="22"/>
          <w:u w:color="000000"/>
          <w:lang w:val="en-GB"/>
        </w:rPr>
        <w:t xml:space="preserve"> </w:t>
      </w:r>
      <w:r w:rsidR="0001617D" w:rsidRPr="00FC1EA5">
        <w:rPr>
          <w:rStyle w:val="BodyBOLD"/>
          <w:rFonts w:ascii="Calibri" w:hAnsi="Calibri"/>
          <w:spacing w:val="-1"/>
          <w:sz w:val="22"/>
          <w:szCs w:val="22"/>
          <w:u w:color="000000"/>
          <w:lang w:val="en-GB"/>
        </w:rPr>
        <w:t>March quarter 2012</w:t>
      </w:r>
      <w:r w:rsidRPr="00FC1EA5">
        <w:rPr>
          <w:rStyle w:val="BodyBOLD"/>
          <w:rFonts w:ascii="Calibri" w:hAnsi="Calibri"/>
          <w:spacing w:val="-1"/>
          <w:sz w:val="22"/>
          <w:szCs w:val="22"/>
          <w:u w:color="000000"/>
          <w:lang w:val="en-GB"/>
        </w:rPr>
        <w:t>, for all types of child care,</w:t>
      </w:r>
      <w:r w:rsidRPr="00FC1EA5">
        <w:rPr>
          <w:rFonts w:ascii="Calibri" w:hAnsi="Calibri" w:cs="Arial"/>
          <w:sz w:val="22"/>
          <w:szCs w:val="22"/>
        </w:rPr>
        <w:t xml:space="preserve"> the average time that a child spent in approved child care was 23.</w:t>
      </w:r>
      <w:r w:rsidR="00C24A64" w:rsidRPr="00FC1EA5">
        <w:rPr>
          <w:rFonts w:ascii="Calibri" w:hAnsi="Calibri" w:cs="Arial"/>
          <w:sz w:val="22"/>
          <w:szCs w:val="22"/>
        </w:rPr>
        <w:t>8</w:t>
      </w:r>
      <w:r w:rsidRPr="00FC1EA5">
        <w:rPr>
          <w:rFonts w:ascii="Calibri" w:hAnsi="Calibri" w:cs="Arial"/>
          <w:sz w:val="22"/>
          <w:szCs w:val="22"/>
        </w:rPr>
        <w:t xml:space="preserve"> hours per week. This compares with children who </w:t>
      </w:r>
      <w:r w:rsidR="00096147" w:rsidRPr="00FC1EA5">
        <w:rPr>
          <w:rFonts w:ascii="Calibri" w:hAnsi="Calibri" w:cs="Arial"/>
          <w:sz w:val="22"/>
          <w:szCs w:val="22"/>
        </w:rPr>
        <w:t>used</w:t>
      </w:r>
      <w:r w:rsidRPr="00FC1EA5">
        <w:rPr>
          <w:rFonts w:ascii="Calibri" w:hAnsi="Calibri" w:cs="Arial"/>
          <w:sz w:val="22"/>
          <w:szCs w:val="22"/>
        </w:rPr>
        <w:t xml:space="preserve"> long day care who </w:t>
      </w:r>
      <w:r w:rsidR="00096147" w:rsidRPr="00FC1EA5">
        <w:rPr>
          <w:rFonts w:ascii="Calibri" w:hAnsi="Calibri" w:cs="Arial"/>
          <w:sz w:val="22"/>
          <w:szCs w:val="22"/>
        </w:rPr>
        <w:t>attended for</w:t>
      </w:r>
      <w:r w:rsidRPr="00FC1EA5">
        <w:rPr>
          <w:rFonts w:ascii="Calibri" w:hAnsi="Calibri" w:cs="Arial"/>
          <w:sz w:val="22"/>
          <w:szCs w:val="22"/>
        </w:rPr>
        <w:t xml:space="preserve"> an average of </w:t>
      </w:r>
      <w:r w:rsidR="00C24A64" w:rsidRPr="00FC1EA5">
        <w:rPr>
          <w:rFonts w:ascii="Calibri" w:hAnsi="Calibri" w:cs="Arial"/>
          <w:sz w:val="22"/>
          <w:szCs w:val="22"/>
        </w:rPr>
        <w:t>27.4</w:t>
      </w:r>
      <w:r w:rsidRPr="00FC1EA5">
        <w:rPr>
          <w:rFonts w:ascii="Calibri" w:hAnsi="Calibri" w:cs="Arial"/>
          <w:sz w:val="22"/>
          <w:szCs w:val="22"/>
        </w:rPr>
        <w:t xml:space="preserve"> hours per week.</w:t>
      </w:r>
    </w:p>
    <w:p w14:paraId="2CCF96BF" w14:textId="77777777" w:rsidR="006A64F0" w:rsidRPr="00FC1EA5" w:rsidRDefault="006A64F0" w:rsidP="006A64F0">
      <w:pPr>
        <w:rPr>
          <w:rFonts w:ascii="Calibri" w:hAnsi="Calibri" w:cs="Arial"/>
          <w:sz w:val="22"/>
          <w:szCs w:val="22"/>
        </w:rPr>
      </w:pPr>
    </w:p>
    <w:p w14:paraId="2CCF96C0" w14:textId="77777777" w:rsidR="006A64F0" w:rsidRPr="00FC1EA5" w:rsidRDefault="006A64F0" w:rsidP="006A64F0">
      <w:pPr>
        <w:pStyle w:val="Caption"/>
        <w:keepNext/>
        <w:rPr>
          <w:rFonts w:ascii="Calibri" w:hAnsi="Calibri"/>
          <w:sz w:val="22"/>
          <w:szCs w:val="22"/>
        </w:rPr>
      </w:pPr>
      <w:r w:rsidRPr="00FC1EA5">
        <w:rPr>
          <w:rFonts w:ascii="Calibri" w:hAnsi="Calibri"/>
          <w:sz w:val="22"/>
          <w:szCs w:val="22"/>
        </w:rPr>
        <w:t xml:space="preserve">Table 3: </w:t>
      </w:r>
      <w:r w:rsidRPr="00FC1EA5">
        <w:rPr>
          <w:rFonts w:ascii="Calibri" w:hAnsi="Calibri" w:cs="Arial"/>
          <w:bCs w:val="0"/>
          <w:sz w:val="22"/>
          <w:szCs w:val="22"/>
        </w:rPr>
        <w:t xml:space="preserve">Average weekly </w:t>
      </w:r>
      <w:proofErr w:type="spellStart"/>
      <w:r w:rsidRPr="00FC1EA5">
        <w:rPr>
          <w:rFonts w:ascii="Calibri" w:hAnsi="Calibri" w:cs="Arial"/>
          <w:bCs w:val="0"/>
          <w:sz w:val="22"/>
          <w:szCs w:val="22"/>
        </w:rPr>
        <w:t>hours</w:t>
      </w:r>
      <w:r w:rsidR="003E0748" w:rsidRPr="00FC1EA5">
        <w:rPr>
          <w:rFonts w:ascii="Calibri" w:hAnsi="Calibri" w:cs="Arial"/>
          <w:bCs w:val="0"/>
          <w:sz w:val="22"/>
          <w:szCs w:val="22"/>
          <w:vertAlign w:val="superscript"/>
        </w:rPr>
        <w:t>1</w:t>
      </w:r>
      <w:proofErr w:type="spellEnd"/>
      <w:r w:rsidRPr="00FC1EA5">
        <w:rPr>
          <w:rFonts w:ascii="Calibri" w:hAnsi="Calibri" w:cs="Arial"/>
          <w:bCs w:val="0"/>
          <w:sz w:val="22"/>
          <w:szCs w:val="22"/>
        </w:rPr>
        <w:t xml:space="preserve"> in child care, </w:t>
      </w:r>
      <w:r w:rsidR="00C24A64" w:rsidRPr="00FC1EA5">
        <w:rPr>
          <w:rFonts w:ascii="Calibri" w:hAnsi="Calibri" w:cs="Arial"/>
          <w:bCs w:val="0"/>
          <w:sz w:val="22"/>
          <w:szCs w:val="22"/>
        </w:rPr>
        <w:t>March</w:t>
      </w:r>
      <w:r w:rsidRPr="00FC1EA5">
        <w:rPr>
          <w:rFonts w:ascii="Calibri" w:hAnsi="Calibri" w:cs="Arial"/>
          <w:bCs w:val="0"/>
          <w:sz w:val="22"/>
          <w:szCs w:val="22"/>
        </w:rPr>
        <w:t xml:space="preserve"> quarter 201</w:t>
      </w:r>
      <w:r w:rsidR="00C24A64" w:rsidRPr="00FC1EA5">
        <w:rPr>
          <w:rFonts w:ascii="Calibri" w:hAnsi="Calibri" w:cs="Arial"/>
          <w:bCs w:val="0"/>
          <w:sz w:val="22"/>
          <w:szCs w:val="22"/>
        </w:rPr>
        <w:t>1</w:t>
      </w:r>
      <w:r w:rsidRPr="00FC1EA5">
        <w:rPr>
          <w:rFonts w:ascii="Calibri" w:hAnsi="Calibri" w:cs="Arial"/>
          <w:bCs w:val="0"/>
          <w:sz w:val="22"/>
          <w:szCs w:val="22"/>
        </w:rPr>
        <w:t xml:space="preserve"> to </w:t>
      </w:r>
      <w:r w:rsidR="0001617D" w:rsidRPr="00FC1EA5">
        <w:rPr>
          <w:rFonts w:ascii="Calibri" w:hAnsi="Calibri" w:cs="Arial"/>
          <w:bCs w:val="0"/>
          <w:sz w:val="22"/>
          <w:szCs w:val="22"/>
        </w:rPr>
        <w:t>March quarter 2012</w:t>
      </w:r>
    </w:p>
    <w:tbl>
      <w:tblPr>
        <w:tblW w:w="8563" w:type="dxa"/>
        <w:tblInd w:w="93" w:type="dxa"/>
        <w:tblLook w:val="0000" w:firstRow="0" w:lastRow="0" w:firstColumn="0" w:lastColumn="0" w:noHBand="0" w:noVBand="0"/>
      </w:tblPr>
      <w:tblGrid>
        <w:gridCol w:w="3763"/>
        <w:gridCol w:w="960"/>
        <w:gridCol w:w="960"/>
        <w:gridCol w:w="960"/>
        <w:gridCol w:w="960"/>
        <w:gridCol w:w="960"/>
      </w:tblGrid>
      <w:tr w:rsidR="002B43E9" w:rsidRPr="00FC1EA5" w14:paraId="2CCF96C7" w14:textId="77777777" w:rsidTr="002B43E9">
        <w:trPr>
          <w:trHeight w:val="255"/>
        </w:trPr>
        <w:tc>
          <w:tcPr>
            <w:tcW w:w="3763"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6C1" w14:textId="77777777" w:rsidR="00C24A64" w:rsidRPr="00FC1EA5" w:rsidRDefault="00C24A64" w:rsidP="006A64F0">
            <w:pPr>
              <w:rPr>
                <w:rFonts w:ascii="Calibri" w:hAnsi="Calibri" w:cs="Arial"/>
                <w:b/>
                <w:bCs/>
                <w:sz w:val="20"/>
                <w:szCs w:val="20"/>
              </w:rPr>
            </w:pPr>
            <w:r w:rsidRPr="00FC1EA5">
              <w:rPr>
                <w:rFonts w:ascii="Calibri" w:hAnsi="Calibri" w:cs="Arial"/>
                <w:b/>
                <w:bCs/>
                <w:sz w:val="20"/>
                <w:szCs w:val="20"/>
              </w:rPr>
              <w:t>Service type</w:t>
            </w:r>
          </w:p>
        </w:tc>
        <w:tc>
          <w:tcPr>
            <w:tcW w:w="960" w:type="dxa"/>
            <w:tcBorders>
              <w:top w:val="single" w:sz="4" w:space="0" w:color="FFFFFF" w:themeColor="background1"/>
              <w:left w:val="single" w:sz="4" w:space="0" w:color="FFFFFF" w:themeColor="background1"/>
              <w:bottom w:val="single" w:sz="4" w:space="0" w:color="FFFFFF" w:themeColor="background1"/>
            </w:tcBorders>
            <w:vAlign w:val="center"/>
          </w:tcPr>
          <w:p w14:paraId="2CCF96C2" w14:textId="77777777" w:rsidR="00C24A64" w:rsidRPr="00FC1EA5" w:rsidRDefault="00C24A64" w:rsidP="00C24A64">
            <w:pPr>
              <w:jc w:val="right"/>
              <w:rPr>
                <w:rFonts w:ascii="Calibri" w:hAnsi="Calibri" w:cs="Arial"/>
                <w:b/>
                <w:bCs/>
                <w:sz w:val="20"/>
                <w:szCs w:val="20"/>
              </w:rPr>
            </w:pPr>
            <w:r w:rsidRPr="00FC1EA5">
              <w:rPr>
                <w:rFonts w:ascii="Calibri" w:hAnsi="Calibri" w:cs="Arial"/>
                <w:b/>
                <w:bCs/>
                <w:sz w:val="20"/>
                <w:szCs w:val="20"/>
              </w:rPr>
              <w:t>Mar. 11</w:t>
            </w:r>
          </w:p>
        </w:tc>
        <w:tc>
          <w:tcPr>
            <w:tcW w:w="960" w:type="dxa"/>
            <w:tcBorders>
              <w:top w:val="single" w:sz="4" w:space="0" w:color="FFFFFF" w:themeColor="background1"/>
              <w:bottom w:val="single" w:sz="4" w:space="0" w:color="FFFFFF" w:themeColor="background1"/>
            </w:tcBorders>
            <w:vAlign w:val="center"/>
          </w:tcPr>
          <w:p w14:paraId="2CCF96C3" w14:textId="77777777" w:rsidR="00C24A64" w:rsidRPr="00FC1EA5" w:rsidRDefault="00C24A64" w:rsidP="00C24A64">
            <w:pPr>
              <w:jc w:val="right"/>
              <w:rPr>
                <w:rFonts w:ascii="Calibri" w:hAnsi="Calibri" w:cs="Arial"/>
                <w:b/>
                <w:bCs/>
                <w:sz w:val="20"/>
                <w:szCs w:val="20"/>
              </w:rPr>
            </w:pPr>
            <w:r w:rsidRPr="00FC1EA5">
              <w:rPr>
                <w:rFonts w:ascii="Calibri" w:hAnsi="Calibri" w:cs="Arial"/>
                <w:b/>
                <w:bCs/>
                <w:sz w:val="20"/>
                <w:szCs w:val="20"/>
              </w:rPr>
              <w:t>June 11</w:t>
            </w:r>
          </w:p>
        </w:tc>
        <w:tc>
          <w:tcPr>
            <w:tcW w:w="960" w:type="dxa"/>
            <w:tcBorders>
              <w:top w:val="single" w:sz="4" w:space="0" w:color="FFFFFF" w:themeColor="background1"/>
              <w:bottom w:val="single" w:sz="4" w:space="0" w:color="FFFFFF" w:themeColor="background1"/>
            </w:tcBorders>
            <w:vAlign w:val="center"/>
          </w:tcPr>
          <w:p w14:paraId="2CCF96C4" w14:textId="77777777" w:rsidR="00C24A64" w:rsidRPr="00FC1EA5" w:rsidRDefault="00C24A64" w:rsidP="00C24A64">
            <w:pPr>
              <w:jc w:val="right"/>
              <w:rPr>
                <w:rFonts w:ascii="Calibri" w:hAnsi="Calibri" w:cs="Arial"/>
                <w:b/>
                <w:bCs/>
                <w:sz w:val="20"/>
                <w:szCs w:val="20"/>
              </w:rPr>
            </w:pPr>
            <w:r w:rsidRPr="00FC1EA5">
              <w:rPr>
                <w:rFonts w:ascii="Calibri" w:hAnsi="Calibri" w:cs="Arial"/>
                <w:b/>
                <w:bCs/>
                <w:sz w:val="20"/>
                <w:szCs w:val="20"/>
              </w:rPr>
              <w:t>Sept. 11</w:t>
            </w:r>
          </w:p>
        </w:tc>
        <w:tc>
          <w:tcPr>
            <w:tcW w:w="960" w:type="dxa"/>
            <w:tcBorders>
              <w:top w:val="single" w:sz="4" w:space="0" w:color="FFFFFF" w:themeColor="background1"/>
              <w:bottom w:val="single" w:sz="4" w:space="0" w:color="FFFFFF" w:themeColor="background1"/>
            </w:tcBorders>
            <w:vAlign w:val="center"/>
          </w:tcPr>
          <w:p w14:paraId="2CCF96C5" w14:textId="77777777" w:rsidR="00C24A64" w:rsidRPr="00FC1EA5" w:rsidRDefault="00C24A64" w:rsidP="00C24A64">
            <w:pPr>
              <w:jc w:val="right"/>
              <w:rPr>
                <w:rFonts w:ascii="Calibri" w:hAnsi="Calibri" w:cs="Arial"/>
                <w:b/>
                <w:bCs/>
                <w:sz w:val="20"/>
                <w:szCs w:val="20"/>
              </w:rPr>
            </w:pPr>
            <w:r w:rsidRPr="00FC1EA5">
              <w:rPr>
                <w:rFonts w:ascii="Calibri" w:hAnsi="Calibri" w:cs="Arial"/>
                <w:b/>
                <w:bCs/>
                <w:sz w:val="20"/>
                <w:szCs w:val="20"/>
              </w:rPr>
              <w:t>Dec. 11</w:t>
            </w:r>
          </w:p>
        </w:tc>
        <w:tc>
          <w:tcPr>
            <w:tcW w:w="960" w:type="dxa"/>
            <w:tcBorders>
              <w:top w:val="single" w:sz="4" w:space="0" w:color="FFFFFF" w:themeColor="background1"/>
              <w:left w:val="nil"/>
              <w:bottom w:val="single" w:sz="4" w:space="0" w:color="FFFFFF" w:themeColor="background1"/>
              <w:right w:val="nil"/>
            </w:tcBorders>
            <w:vAlign w:val="center"/>
          </w:tcPr>
          <w:p w14:paraId="2CCF96C6" w14:textId="77777777" w:rsidR="00C24A64" w:rsidRPr="00FC1EA5" w:rsidRDefault="00C24A64" w:rsidP="00C24A64">
            <w:pPr>
              <w:jc w:val="right"/>
              <w:rPr>
                <w:rFonts w:ascii="Calibri" w:hAnsi="Calibri" w:cs="Arial"/>
                <w:b/>
                <w:bCs/>
                <w:sz w:val="20"/>
                <w:szCs w:val="20"/>
              </w:rPr>
            </w:pPr>
            <w:r w:rsidRPr="00FC1EA5">
              <w:rPr>
                <w:rFonts w:ascii="Calibri" w:hAnsi="Calibri" w:cs="Arial"/>
                <w:b/>
                <w:bCs/>
                <w:sz w:val="20"/>
                <w:szCs w:val="20"/>
              </w:rPr>
              <w:t>Mar. 12</w:t>
            </w:r>
          </w:p>
        </w:tc>
      </w:tr>
      <w:tr w:rsidR="002B43E9" w:rsidRPr="00FC1EA5" w14:paraId="2CCF96CE" w14:textId="77777777" w:rsidTr="002B43E9">
        <w:trPr>
          <w:trHeight w:val="255"/>
        </w:trPr>
        <w:tc>
          <w:tcPr>
            <w:tcW w:w="3763" w:type="dxa"/>
            <w:tcBorders>
              <w:top w:val="single" w:sz="4" w:space="0" w:color="FFFFFF" w:themeColor="background1"/>
              <w:left w:val="nil"/>
              <w:bottom w:val="nil"/>
              <w:right w:val="single" w:sz="4" w:space="0" w:color="FFFFFF" w:themeColor="background1"/>
            </w:tcBorders>
            <w:vAlign w:val="center"/>
          </w:tcPr>
          <w:p w14:paraId="2CCF96C8" w14:textId="77777777" w:rsidR="00C24A64" w:rsidRPr="00FC1EA5" w:rsidRDefault="00C24A64" w:rsidP="006A64F0">
            <w:pPr>
              <w:rPr>
                <w:rFonts w:ascii="Calibri" w:hAnsi="Calibri" w:cs="Arial"/>
                <w:sz w:val="20"/>
                <w:szCs w:val="20"/>
              </w:rPr>
            </w:pPr>
            <w:r w:rsidRPr="00FC1EA5">
              <w:rPr>
                <w:rFonts w:ascii="Calibri" w:hAnsi="Calibri" w:cs="Arial"/>
                <w:sz w:val="20"/>
                <w:szCs w:val="20"/>
              </w:rPr>
              <w:t>Long day care</w:t>
            </w:r>
          </w:p>
        </w:tc>
        <w:tc>
          <w:tcPr>
            <w:tcW w:w="960" w:type="dxa"/>
            <w:tcBorders>
              <w:top w:val="single" w:sz="4" w:space="0" w:color="FFFFFF" w:themeColor="background1"/>
              <w:left w:val="single" w:sz="4" w:space="0" w:color="FFFFFF" w:themeColor="background1"/>
              <w:bottom w:val="nil"/>
            </w:tcBorders>
            <w:vAlign w:val="center"/>
          </w:tcPr>
          <w:p w14:paraId="2CCF96C9"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26.4</w:t>
            </w:r>
          </w:p>
        </w:tc>
        <w:tc>
          <w:tcPr>
            <w:tcW w:w="960" w:type="dxa"/>
            <w:tcBorders>
              <w:top w:val="single" w:sz="4" w:space="0" w:color="FFFFFF" w:themeColor="background1"/>
              <w:bottom w:val="nil"/>
            </w:tcBorders>
            <w:vAlign w:val="center"/>
          </w:tcPr>
          <w:p w14:paraId="2CCF96CA"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26.0</w:t>
            </w:r>
          </w:p>
        </w:tc>
        <w:tc>
          <w:tcPr>
            <w:tcW w:w="960" w:type="dxa"/>
            <w:tcBorders>
              <w:top w:val="single" w:sz="4" w:space="0" w:color="FFFFFF" w:themeColor="background1"/>
              <w:bottom w:val="nil"/>
            </w:tcBorders>
            <w:vAlign w:val="center"/>
          </w:tcPr>
          <w:p w14:paraId="2CCF96CB"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26.9</w:t>
            </w:r>
          </w:p>
        </w:tc>
        <w:tc>
          <w:tcPr>
            <w:tcW w:w="960" w:type="dxa"/>
            <w:tcBorders>
              <w:top w:val="single" w:sz="4" w:space="0" w:color="FFFFFF" w:themeColor="background1"/>
              <w:bottom w:val="nil"/>
            </w:tcBorders>
            <w:vAlign w:val="center"/>
          </w:tcPr>
          <w:p w14:paraId="2CCF96CC"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26.9</w:t>
            </w:r>
          </w:p>
        </w:tc>
        <w:tc>
          <w:tcPr>
            <w:tcW w:w="960" w:type="dxa"/>
            <w:tcBorders>
              <w:top w:val="single" w:sz="4" w:space="0" w:color="FFFFFF" w:themeColor="background1"/>
              <w:left w:val="nil"/>
              <w:bottom w:val="nil"/>
              <w:right w:val="nil"/>
            </w:tcBorders>
            <w:vAlign w:val="center"/>
          </w:tcPr>
          <w:p w14:paraId="2CCF96CD" w14:textId="77777777" w:rsidR="00C24A64" w:rsidRPr="00FC1EA5" w:rsidRDefault="00C24A64" w:rsidP="006A64F0">
            <w:pPr>
              <w:jc w:val="right"/>
              <w:rPr>
                <w:rFonts w:ascii="Calibri" w:hAnsi="Calibri" w:cs="Calibri"/>
                <w:sz w:val="20"/>
                <w:szCs w:val="20"/>
              </w:rPr>
            </w:pPr>
            <w:r w:rsidRPr="00FC1EA5">
              <w:rPr>
                <w:rFonts w:ascii="Calibri" w:hAnsi="Calibri" w:cs="Calibri"/>
                <w:sz w:val="20"/>
                <w:szCs w:val="20"/>
              </w:rPr>
              <w:t>27.4</w:t>
            </w:r>
          </w:p>
        </w:tc>
      </w:tr>
      <w:tr w:rsidR="002B43E9" w:rsidRPr="00FC1EA5" w14:paraId="2CCF96D5" w14:textId="77777777" w:rsidTr="002B43E9">
        <w:trPr>
          <w:trHeight w:val="255"/>
        </w:trPr>
        <w:tc>
          <w:tcPr>
            <w:tcW w:w="3763" w:type="dxa"/>
            <w:tcBorders>
              <w:top w:val="nil"/>
              <w:left w:val="nil"/>
              <w:bottom w:val="nil"/>
              <w:right w:val="single" w:sz="4" w:space="0" w:color="FFFFFF" w:themeColor="background1"/>
            </w:tcBorders>
            <w:vAlign w:val="center"/>
          </w:tcPr>
          <w:p w14:paraId="2CCF96CF" w14:textId="77777777" w:rsidR="00C24A64" w:rsidRPr="00FC1EA5" w:rsidRDefault="00C24A64" w:rsidP="006A64F0">
            <w:pPr>
              <w:rPr>
                <w:rFonts w:ascii="Calibri" w:hAnsi="Calibri" w:cs="Arial"/>
                <w:sz w:val="20"/>
                <w:szCs w:val="20"/>
              </w:rPr>
            </w:pPr>
            <w:r w:rsidRPr="00FC1EA5">
              <w:rPr>
                <w:rFonts w:ascii="Calibri" w:hAnsi="Calibri" w:cs="Arial"/>
                <w:sz w:val="20"/>
                <w:szCs w:val="20"/>
              </w:rPr>
              <w:t>Family day care and In-home care</w:t>
            </w:r>
          </w:p>
        </w:tc>
        <w:tc>
          <w:tcPr>
            <w:tcW w:w="960" w:type="dxa"/>
            <w:tcBorders>
              <w:top w:val="nil"/>
              <w:left w:val="single" w:sz="4" w:space="0" w:color="FFFFFF" w:themeColor="background1"/>
              <w:bottom w:val="nil"/>
            </w:tcBorders>
            <w:vAlign w:val="center"/>
          </w:tcPr>
          <w:p w14:paraId="2CCF96D0"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21.3</w:t>
            </w:r>
          </w:p>
        </w:tc>
        <w:tc>
          <w:tcPr>
            <w:tcW w:w="960" w:type="dxa"/>
            <w:tcBorders>
              <w:top w:val="nil"/>
              <w:bottom w:val="nil"/>
            </w:tcBorders>
            <w:vAlign w:val="center"/>
          </w:tcPr>
          <w:p w14:paraId="2CCF96D1"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21.0</w:t>
            </w:r>
          </w:p>
        </w:tc>
        <w:tc>
          <w:tcPr>
            <w:tcW w:w="960" w:type="dxa"/>
            <w:tcBorders>
              <w:top w:val="nil"/>
              <w:bottom w:val="nil"/>
            </w:tcBorders>
            <w:vAlign w:val="center"/>
          </w:tcPr>
          <w:p w14:paraId="2CCF96D2"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21.7</w:t>
            </w:r>
          </w:p>
        </w:tc>
        <w:tc>
          <w:tcPr>
            <w:tcW w:w="960" w:type="dxa"/>
            <w:tcBorders>
              <w:top w:val="nil"/>
              <w:bottom w:val="nil"/>
            </w:tcBorders>
            <w:vAlign w:val="center"/>
          </w:tcPr>
          <w:p w14:paraId="2CCF96D3"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22.4</w:t>
            </w:r>
          </w:p>
        </w:tc>
        <w:tc>
          <w:tcPr>
            <w:tcW w:w="960" w:type="dxa"/>
            <w:tcBorders>
              <w:top w:val="nil"/>
              <w:left w:val="nil"/>
              <w:bottom w:val="nil"/>
              <w:right w:val="nil"/>
            </w:tcBorders>
            <w:vAlign w:val="center"/>
          </w:tcPr>
          <w:p w14:paraId="2CCF96D4" w14:textId="77777777" w:rsidR="00C24A64" w:rsidRPr="00FC1EA5" w:rsidRDefault="00C24A64" w:rsidP="00BF71AF">
            <w:pPr>
              <w:jc w:val="right"/>
              <w:rPr>
                <w:rFonts w:ascii="Calibri" w:hAnsi="Calibri" w:cs="Calibri"/>
                <w:sz w:val="20"/>
                <w:szCs w:val="20"/>
              </w:rPr>
            </w:pPr>
            <w:r w:rsidRPr="00FC1EA5">
              <w:rPr>
                <w:rFonts w:ascii="Calibri" w:hAnsi="Calibri" w:cs="Calibri"/>
                <w:sz w:val="20"/>
                <w:szCs w:val="20"/>
              </w:rPr>
              <w:t>23.6</w:t>
            </w:r>
          </w:p>
        </w:tc>
      </w:tr>
      <w:tr w:rsidR="002B43E9" w:rsidRPr="00FC1EA5" w14:paraId="2CCF96DC" w14:textId="77777777" w:rsidTr="002B43E9">
        <w:trPr>
          <w:trHeight w:val="255"/>
        </w:trPr>
        <w:tc>
          <w:tcPr>
            <w:tcW w:w="3763" w:type="dxa"/>
            <w:tcBorders>
              <w:top w:val="nil"/>
              <w:left w:val="nil"/>
              <w:bottom w:val="nil"/>
              <w:right w:val="single" w:sz="4" w:space="0" w:color="FFFFFF" w:themeColor="background1"/>
            </w:tcBorders>
            <w:vAlign w:val="center"/>
          </w:tcPr>
          <w:p w14:paraId="2CCF96D6" w14:textId="77777777" w:rsidR="00C24A64" w:rsidRPr="00FC1EA5" w:rsidRDefault="00C24A64" w:rsidP="006A64F0">
            <w:pPr>
              <w:rPr>
                <w:rFonts w:ascii="Calibri" w:hAnsi="Calibri" w:cs="Arial"/>
                <w:sz w:val="20"/>
                <w:szCs w:val="20"/>
              </w:rPr>
            </w:pPr>
            <w:r w:rsidRPr="00FC1EA5">
              <w:rPr>
                <w:rFonts w:ascii="Calibri" w:hAnsi="Calibri" w:cs="Arial"/>
                <w:sz w:val="20"/>
                <w:szCs w:val="20"/>
              </w:rPr>
              <w:t>Occasional care</w:t>
            </w:r>
          </w:p>
        </w:tc>
        <w:tc>
          <w:tcPr>
            <w:tcW w:w="960" w:type="dxa"/>
            <w:tcBorders>
              <w:top w:val="nil"/>
              <w:left w:val="single" w:sz="4" w:space="0" w:color="FFFFFF" w:themeColor="background1"/>
              <w:bottom w:val="nil"/>
            </w:tcBorders>
            <w:vAlign w:val="center"/>
          </w:tcPr>
          <w:p w14:paraId="2CCF96D7"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11.4</w:t>
            </w:r>
          </w:p>
        </w:tc>
        <w:tc>
          <w:tcPr>
            <w:tcW w:w="960" w:type="dxa"/>
            <w:tcBorders>
              <w:top w:val="nil"/>
              <w:bottom w:val="nil"/>
            </w:tcBorders>
            <w:vAlign w:val="center"/>
          </w:tcPr>
          <w:p w14:paraId="2CCF96D8"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11.0</w:t>
            </w:r>
          </w:p>
        </w:tc>
        <w:tc>
          <w:tcPr>
            <w:tcW w:w="960" w:type="dxa"/>
            <w:tcBorders>
              <w:top w:val="nil"/>
              <w:bottom w:val="nil"/>
            </w:tcBorders>
            <w:vAlign w:val="center"/>
          </w:tcPr>
          <w:p w14:paraId="2CCF96D9"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11.6</w:t>
            </w:r>
          </w:p>
        </w:tc>
        <w:tc>
          <w:tcPr>
            <w:tcW w:w="960" w:type="dxa"/>
            <w:tcBorders>
              <w:top w:val="nil"/>
              <w:bottom w:val="nil"/>
            </w:tcBorders>
            <w:vAlign w:val="center"/>
          </w:tcPr>
          <w:p w14:paraId="2CCF96DA"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11.6</w:t>
            </w:r>
          </w:p>
        </w:tc>
        <w:tc>
          <w:tcPr>
            <w:tcW w:w="960" w:type="dxa"/>
            <w:tcBorders>
              <w:top w:val="nil"/>
              <w:left w:val="nil"/>
              <w:bottom w:val="nil"/>
              <w:right w:val="nil"/>
            </w:tcBorders>
            <w:vAlign w:val="center"/>
          </w:tcPr>
          <w:p w14:paraId="2CCF96DB" w14:textId="77777777" w:rsidR="00C24A64" w:rsidRPr="00FC1EA5" w:rsidRDefault="00C24A64" w:rsidP="000473B7">
            <w:pPr>
              <w:jc w:val="right"/>
              <w:rPr>
                <w:rFonts w:ascii="Calibri" w:hAnsi="Calibri" w:cs="Calibri"/>
                <w:sz w:val="20"/>
                <w:szCs w:val="20"/>
              </w:rPr>
            </w:pPr>
            <w:r w:rsidRPr="00FC1EA5">
              <w:rPr>
                <w:rFonts w:ascii="Calibri" w:hAnsi="Calibri" w:cs="Calibri"/>
                <w:sz w:val="20"/>
                <w:szCs w:val="20"/>
              </w:rPr>
              <w:t>12.4</w:t>
            </w:r>
          </w:p>
        </w:tc>
      </w:tr>
      <w:tr w:rsidR="002B43E9" w:rsidRPr="00FC1EA5" w14:paraId="2CCF96E3" w14:textId="77777777" w:rsidTr="002B43E9">
        <w:trPr>
          <w:trHeight w:val="255"/>
        </w:trPr>
        <w:tc>
          <w:tcPr>
            <w:tcW w:w="3763" w:type="dxa"/>
            <w:tcBorders>
              <w:top w:val="nil"/>
              <w:left w:val="nil"/>
              <w:bottom w:val="single" w:sz="4" w:space="0" w:color="FFFFFF" w:themeColor="background1"/>
              <w:right w:val="single" w:sz="4" w:space="0" w:color="FFFFFF" w:themeColor="background1"/>
            </w:tcBorders>
            <w:vAlign w:val="center"/>
          </w:tcPr>
          <w:p w14:paraId="2CCF96DD" w14:textId="77777777" w:rsidR="00C24A64" w:rsidRPr="00FC1EA5" w:rsidRDefault="00C24A64" w:rsidP="006A64F0">
            <w:pPr>
              <w:rPr>
                <w:rFonts w:ascii="Calibri" w:hAnsi="Calibri" w:cs="Arial"/>
                <w:sz w:val="20"/>
                <w:szCs w:val="20"/>
              </w:rPr>
            </w:pPr>
            <w:r w:rsidRPr="00FC1EA5">
              <w:rPr>
                <w:rFonts w:ascii="Calibri" w:hAnsi="Calibri" w:cs="Arial"/>
                <w:sz w:val="20"/>
                <w:szCs w:val="20"/>
              </w:rPr>
              <w:t>Outside school hours care</w:t>
            </w:r>
          </w:p>
        </w:tc>
        <w:tc>
          <w:tcPr>
            <w:tcW w:w="960" w:type="dxa"/>
            <w:tcBorders>
              <w:top w:val="nil"/>
              <w:left w:val="single" w:sz="4" w:space="0" w:color="FFFFFF" w:themeColor="background1"/>
              <w:bottom w:val="single" w:sz="4" w:space="0" w:color="FFFFFF" w:themeColor="background1"/>
            </w:tcBorders>
            <w:vAlign w:val="center"/>
          </w:tcPr>
          <w:p w14:paraId="2CCF96DE"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12.1</w:t>
            </w:r>
          </w:p>
        </w:tc>
        <w:tc>
          <w:tcPr>
            <w:tcW w:w="960" w:type="dxa"/>
            <w:tcBorders>
              <w:top w:val="nil"/>
              <w:bottom w:val="single" w:sz="4" w:space="0" w:color="FFFFFF" w:themeColor="background1"/>
            </w:tcBorders>
            <w:vAlign w:val="center"/>
          </w:tcPr>
          <w:p w14:paraId="2CCF96DF"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10.2</w:t>
            </w:r>
          </w:p>
        </w:tc>
        <w:tc>
          <w:tcPr>
            <w:tcW w:w="960" w:type="dxa"/>
            <w:tcBorders>
              <w:top w:val="nil"/>
              <w:bottom w:val="single" w:sz="4" w:space="0" w:color="FFFFFF" w:themeColor="background1"/>
            </w:tcBorders>
            <w:vAlign w:val="center"/>
          </w:tcPr>
          <w:p w14:paraId="2CCF96E0"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11.7</w:t>
            </w:r>
          </w:p>
        </w:tc>
        <w:tc>
          <w:tcPr>
            <w:tcW w:w="960" w:type="dxa"/>
            <w:tcBorders>
              <w:top w:val="nil"/>
              <w:bottom w:val="single" w:sz="4" w:space="0" w:color="FFFFFF" w:themeColor="background1"/>
            </w:tcBorders>
            <w:vAlign w:val="center"/>
          </w:tcPr>
          <w:p w14:paraId="2CCF96E1"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11.1</w:t>
            </w:r>
          </w:p>
        </w:tc>
        <w:tc>
          <w:tcPr>
            <w:tcW w:w="960" w:type="dxa"/>
            <w:tcBorders>
              <w:top w:val="nil"/>
              <w:left w:val="nil"/>
              <w:bottom w:val="single" w:sz="4" w:space="0" w:color="FFFFFF" w:themeColor="background1"/>
              <w:right w:val="nil"/>
            </w:tcBorders>
            <w:vAlign w:val="center"/>
          </w:tcPr>
          <w:p w14:paraId="2CCF96E2" w14:textId="77777777" w:rsidR="00C24A64" w:rsidRPr="00FC1EA5" w:rsidRDefault="00C24A64" w:rsidP="00BF71AF">
            <w:pPr>
              <w:jc w:val="right"/>
              <w:rPr>
                <w:rFonts w:ascii="Calibri" w:hAnsi="Calibri" w:cs="Calibri"/>
                <w:sz w:val="20"/>
                <w:szCs w:val="20"/>
              </w:rPr>
            </w:pPr>
            <w:r w:rsidRPr="00FC1EA5">
              <w:rPr>
                <w:rFonts w:ascii="Calibri" w:hAnsi="Calibri" w:cs="Calibri"/>
                <w:sz w:val="20"/>
                <w:szCs w:val="20"/>
              </w:rPr>
              <w:t>12.1</w:t>
            </w:r>
          </w:p>
        </w:tc>
      </w:tr>
      <w:tr w:rsidR="002B43E9" w:rsidRPr="00FC1EA5" w14:paraId="2CCF96EA" w14:textId="77777777" w:rsidTr="002B43E9">
        <w:trPr>
          <w:trHeight w:val="315"/>
        </w:trPr>
        <w:tc>
          <w:tcPr>
            <w:tcW w:w="3763" w:type="dxa"/>
            <w:tcBorders>
              <w:top w:val="single" w:sz="4" w:space="0" w:color="FFFFFF" w:themeColor="background1"/>
              <w:left w:val="nil"/>
              <w:right w:val="single" w:sz="4" w:space="0" w:color="FFFFFF" w:themeColor="background1"/>
            </w:tcBorders>
            <w:vAlign w:val="center"/>
          </w:tcPr>
          <w:p w14:paraId="2CCF96E4" w14:textId="77777777" w:rsidR="00C24A64" w:rsidRPr="00FC1EA5" w:rsidRDefault="00C24A64" w:rsidP="003E0748">
            <w:pPr>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2</w:t>
            </w:r>
            <w:proofErr w:type="spellEnd"/>
          </w:p>
        </w:tc>
        <w:tc>
          <w:tcPr>
            <w:tcW w:w="960" w:type="dxa"/>
            <w:tcBorders>
              <w:top w:val="single" w:sz="4" w:space="0" w:color="FFFFFF" w:themeColor="background1"/>
              <w:left w:val="single" w:sz="4" w:space="0" w:color="FFFFFF" w:themeColor="background1"/>
            </w:tcBorders>
            <w:vAlign w:val="center"/>
          </w:tcPr>
          <w:p w14:paraId="2CCF96E5" w14:textId="77777777" w:rsidR="00C24A64" w:rsidRPr="00FC1EA5" w:rsidRDefault="00C24A64" w:rsidP="00C24A64">
            <w:pPr>
              <w:jc w:val="right"/>
              <w:rPr>
                <w:rFonts w:ascii="Calibri" w:hAnsi="Calibri" w:cs="Arial"/>
                <w:b/>
                <w:sz w:val="20"/>
                <w:szCs w:val="20"/>
              </w:rPr>
            </w:pPr>
            <w:r w:rsidRPr="00FC1EA5">
              <w:rPr>
                <w:rFonts w:ascii="Calibri" w:hAnsi="Calibri" w:cs="Arial"/>
                <w:b/>
                <w:sz w:val="20"/>
                <w:szCs w:val="20"/>
              </w:rPr>
              <w:t>23.0</w:t>
            </w:r>
          </w:p>
        </w:tc>
        <w:tc>
          <w:tcPr>
            <w:tcW w:w="960" w:type="dxa"/>
            <w:tcBorders>
              <w:top w:val="single" w:sz="4" w:space="0" w:color="FFFFFF" w:themeColor="background1"/>
            </w:tcBorders>
            <w:vAlign w:val="center"/>
          </w:tcPr>
          <w:p w14:paraId="2CCF96E6" w14:textId="77777777" w:rsidR="00C24A64" w:rsidRPr="00FC1EA5" w:rsidRDefault="00C24A64" w:rsidP="00C24A64">
            <w:pPr>
              <w:jc w:val="right"/>
              <w:rPr>
                <w:rFonts w:ascii="Calibri" w:hAnsi="Calibri" w:cs="Arial"/>
                <w:b/>
                <w:sz w:val="20"/>
                <w:szCs w:val="20"/>
              </w:rPr>
            </w:pPr>
            <w:r w:rsidRPr="00FC1EA5">
              <w:rPr>
                <w:rFonts w:ascii="Calibri" w:hAnsi="Calibri" w:cs="Arial"/>
                <w:b/>
                <w:sz w:val="20"/>
                <w:szCs w:val="20"/>
              </w:rPr>
              <w:t>22.2</w:t>
            </w:r>
          </w:p>
        </w:tc>
        <w:tc>
          <w:tcPr>
            <w:tcW w:w="960" w:type="dxa"/>
            <w:tcBorders>
              <w:top w:val="single" w:sz="4" w:space="0" w:color="FFFFFF" w:themeColor="background1"/>
            </w:tcBorders>
            <w:vAlign w:val="center"/>
          </w:tcPr>
          <w:p w14:paraId="2CCF96E7" w14:textId="77777777" w:rsidR="00C24A64" w:rsidRPr="00FC1EA5" w:rsidRDefault="00C24A64" w:rsidP="00C24A64">
            <w:pPr>
              <w:jc w:val="right"/>
              <w:rPr>
                <w:rFonts w:ascii="Calibri" w:hAnsi="Calibri" w:cs="Arial"/>
                <w:b/>
                <w:sz w:val="20"/>
                <w:szCs w:val="20"/>
              </w:rPr>
            </w:pPr>
            <w:r w:rsidRPr="00FC1EA5">
              <w:rPr>
                <w:rFonts w:ascii="Calibri" w:hAnsi="Calibri" w:cs="Arial"/>
                <w:b/>
                <w:sz w:val="20"/>
                <w:szCs w:val="20"/>
              </w:rPr>
              <w:t>23.3</w:t>
            </w:r>
          </w:p>
        </w:tc>
        <w:tc>
          <w:tcPr>
            <w:tcW w:w="960" w:type="dxa"/>
            <w:tcBorders>
              <w:top w:val="single" w:sz="4" w:space="0" w:color="FFFFFF" w:themeColor="background1"/>
            </w:tcBorders>
            <w:vAlign w:val="center"/>
          </w:tcPr>
          <w:p w14:paraId="2CCF96E8" w14:textId="77777777" w:rsidR="00C24A64" w:rsidRPr="00FC1EA5" w:rsidRDefault="00C24A64" w:rsidP="00C24A64">
            <w:pPr>
              <w:jc w:val="right"/>
              <w:rPr>
                <w:rFonts w:ascii="Calibri" w:hAnsi="Calibri" w:cs="Arial"/>
                <w:b/>
                <w:sz w:val="20"/>
                <w:szCs w:val="20"/>
              </w:rPr>
            </w:pPr>
            <w:r w:rsidRPr="00FC1EA5">
              <w:rPr>
                <w:rFonts w:ascii="Calibri" w:hAnsi="Calibri" w:cs="Arial"/>
                <w:b/>
                <w:sz w:val="20"/>
                <w:szCs w:val="20"/>
              </w:rPr>
              <w:t>23.4</w:t>
            </w:r>
          </w:p>
        </w:tc>
        <w:tc>
          <w:tcPr>
            <w:tcW w:w="960" w:type="dxa"/>
            <w:tcBorders>
              <w:top w:val="single" w:sz="4" w:space="0" w:color="FFFFFF" w:themeColor="background1"/>
              <w:left w:val="nil"/>
              <w:right w:val="nil"/>
            </w:tcBorders>
            <w:vAlign w:val="center"/>
          </w:tcPr>
          <w:p w14:paraId="2CCF96E9" w14:textId="77777777" w:rsidR="00C24A64" w:rsidRPr="00FC1EA5" w:rsidRDefault="00C24A64" w:rsidP="00C24A64">
            <w:pPr>
              <w:jc w:val="right"/>
              <w:rPr>
                <w:rFonts w:ascii="Calibri" w:hAnsi="Calibri" w:cs="Arial"/>
                <w:b/>
                <w:sz w:val="20"/>
                <w:szCs w:val="20"/>
              </w:rPr>
            </w:pPr>
            <w:r w:rsidRPr="00FC1EA5">
              <w:rPr>
                <w:rFonts w:ascii="Calibri" w:hAnsi="Calibri" w:cs="Arial"/>
                <w:b/>
                <w:sz w:val="20"/>
                <w:szCs w:val="20"/>
              </w:rPr>
              <w:t>23.8</w:t>
            </w:r>
          </w:p>
        </w:tc>
      </w:tr>
    </w:tbl>
    <w:p w14:paraId="2CCF96EB" w14:textId="77777777" w:rsidR="003E0748" w:rsidRPr="00FC1EA5" w:rsidRDefault="003E0748" w:rsidP="001D55BB">
      <w:pPr>
        <w:ind w:right="522"/>
        <w:rPr>
          <w:rFonts w:ascii="Calibri" w:hAnsi="Calibri" w:cs="Arial"/>
          <w:sz w:val="16"/>
          <w:szCs w:val="16"/>
        </w:rPr>
      </w:pPr>
      <w:r w:rsidRPr="00FC1EA5">
        <w:rPr>
          <w:rFonts w:ascii="Calibri" w:hAnsi="Calibri" w:cs="Arial"/>
          <w:sz w:val="16"/>
          <w:szCs w:val="16"/>
          <w:vertAlign w:val="superscript"/>
        </w:rPr>
        <w:t>1</w:t>
      </w:r>
      <w:r w:rsidRPr="00FC1EA5">
        <w:rPr>
          <w:rFonts w:ascii="Calibri" w:hAnsi="Calibri"/>
          <w:sz w:val="16"/>
          <w:szCs w:val="16"/>
        </w:rPr>
        <w:t xml:space="preserve"> </w:t>
      </w:r>
      <w:r w:rsidR="000542C4" w:rsidRPr="00FC1EA5">
        <w:rPr>
          <w:rFonts w:ascii="Calibri" w:hAnsi="Calibri"/>
          <w:sz w:val="16"/>
          <w:szCs w:val="16"/>
        </w:rPr>
        <w:t>Due to improved data collection arrangements</w:t>
      </w:r>
      <w:r w:rsidR="004A403E" w:rsidRPr="00FC1EA5">
        <w:rPr>
          <w:rFonts w:ascii="Calibri" w:hAnsi="Calibri"/>
          <w:sz w:val="16"/>
          <w:szCs w:val="16"/>
        </w:rPr>
        <w:t>, from the September quarter 2011,</w:t>
      </w:r>
      <w:r w:rsidR="000542C4" w:rsidRPr="00FC1EA5">
        <w:rPr>
          <w:rFonts w:ascii="Calibri" w:hAnsi="Calibri"/>
          <w:sz w:val="16"/>
          <w:szCs w:val="16"/>
        </w:rPr>
        <w:t xml:space="preserve"> the methodology for calculating </w:t>
      </w:r>
      <w:r w:rsidR="000542C4" w:rsidRPr="00FC1EA5">
        <w:rPr>
          <w:rFonts w:ascii="Calibri" w:hAnsi="Calibri"/>
          <w:i/>
          <w:sz w:val="16"/>
          <w:szCs w:val="16"/>
        </w:rPr>
        <w:t>Average number of hours per week</w:t>
      </w:r>
      <w:r w:rsidR="000542C4" w:rsidRPr="00FC1EA5">
        <w:rPr>
          <w:rFonts w:ascii="Calibri" w:hAnsi="Calibri"/>
          <w:sz w:val="16"/>
          <w:szCs w:val="16"/>
        </w:rPr>
        <w:t xml:space="preserve"> has changed. The new methodology has been applied to the previous quarters shown above for consistency.  This has resulted in minor variations to the Average number of hours per week in child care that was previously reported. Data from the quarters above should not be compared to previously published data.</w:t>
      </w:r>
    </w:p>
    <w:p w14:paraId="2CCF96EC" w14:textId="77777777" w:rsidR="006A64F0" w:rsidRPr="00FC1EA5" w:rsidRDefault="003E0748" w:rsidP="001D55BB">
      <w:pPr>
        <w:ind w:right="522"/>
        <w:rPr>
          <w:rFonts w:ascii="Calibri" w:hAnsi="Calibri" w:cs="Arial"/>
          <w:snapToGrid w:val="0"/>
          <w:sz w:val="16"/>
          <w:szCs w:val="16"/>
        </w:rPr>
      </w:pPr>
      <w:r w:rsidRPr="00FC1EA5">
        <w:rPr>
          <w:rFonts w:ascii="Calibri" w:hAnsi="Calibri" w:cs="Arial"/>
          <w:sz w:val="16"/>
          <w:szCs w:val="16"/>
          <w:vertAlign w:val="superscript"/>
        </w:rPr>
        <w:t>2</w:t>
      </w:r>
      <w:r w:rsidR="006A64F0" w:rsidRPr="00FC1EA5">
        <w:rPr>
          <w:rFonts w:ascii="Calibri" w:hAnsi="Calibri"/>
          <w:sz w:val="16"/>
          <w:szCs w:val="16"/>
        </w:rPr>
        <w:t xml:space="preserve"> </w:t>
      </w:r>
      <w:r w:rsidR="00D2420C" w:rsidRPr="00FC1EA5">
        <w:rPr>
          <w:rFonts w:ascii="Calibri" w:hAnsi="Calibri"/>
          <w:sz w:val="16"/>
          <w:szCs w:val="16"/>
        </w:rPr>
        <w:t xml:space="preserve">Totals for the September </w:t>
      </w:r>
      <w:r w:rsidR="00C24A64" w:rsidRPr="00FC1EA5">
        <w:rPr>
          <w:rFonts w:ascii="Calibri" w:hAnsi="Calibri"/>
          <w:sz w:val="16"/>
          <w:szCs w:val="16"/>
        </w:rPr>
        <w:t xml:space="preserve">and December </w:t>
      </w:r>
      <w:r w:rsidR="00D2420C" w:rsidRPr="00FC1EA5">
        <w:rPr>
          <w:rFonts w:ascii="Calibri" w:hAnsi="Calibri"/>
          <w:sz w:val="16"/>
          <w:szCs w:val="16"/>
        </w:rPr>
        <w:t>quarter</w:t>
      </w:r>
      <w:r w:rsidR="00C24A64" w:rsidRPr="00FC1EA5">
        <w:rPr>
          <w:rFonts w:ascii="Calibri" w:hAnsi="Calibri"/>
          <w:sz w:val="16"/>
          <w:szCs w:val="16"/>
        </w:rPr>
        <w:t>s</w:t>
      </w:r>
      <w:r w:rsidR="00D2420C" w:rsidRPr="00FC1EA5">
        <w:rPr>
          <w:rFonts w:ascii="Calibri" w:hAnsi="Calibri"/>
          <w:sz w:val="16"/>
          <w:szCs w:val="16"/>
        </w:rPr>
        <w:t xml:space="preserve"> 2011 and the </w:t>
      </w:r>
      <w:r w:rsidR="0001617D" w:rsidRPr="00FC1EA5">
        <w:rPr>
          <w:rFonts w:ascii="Calibri" w:hAnsi="Calibri"/>
          <w:sz w:val="16"/>
          <w:szCs w:val="16"/>
        </w:rPr>
        <w:t>March quarter 2012</w:t>
      </w:r>
      <w:r w:rsidR="00D2420C" w:rsidRPr="00FC1EA5">
        <w:rPr>
          <w:rFonts w:ascii="Calibri" w:hAnsi="Calibri"/>
          <w:sz w:val="16"/>
          <w:szCs w:val="16"/>
        </w:rPr>
        <w:t xml:space="preserve"> include a very small number of children for whom other details are unknown.</w:t>
      </w:r>
    </w:p>
    <w:p w14:paraId="2CCF96ED" w14:textId="77777777" w:rsidR="006A64F0" w:rsidRPr="00FC1EA5" w:rsidRDefault="006A64F0" w:rsidP="001D55BB">
      <w:pPr>
        <w:rPr>
          <w:rFonts w:ascii="Calibri" w:hAnsi="Calibri" w:cs="Arial"/>
          <w:sz w:val="16"/>
          <w:szCs w:val="16"/>
        </w:rPr>
      </w:pPr>
      <w:r w:rsidRPr="00FC1EA5">
        <w:rPr>
          <w:rFonts w:ascii="Calibri" w:hAnsi="Calibri" w:cs="Arial"/>
          <w:sz w:val="16"/>
          <w:szCs w:val="16"/>
        </w:rPr>
        <w:t>Source: DEEWR administrative data.</w:t>
      </w:r>
    </w:p>
    <w:p w14:paraId="2CCF96EF" w14:textId="77777777" w:rsidR="001D55BB" w:rsidRPr="00C77484" w:rsidRDefault="001D55BB" w:rsidP="001D55BB">
      <w:pPr>
        <w:rPr>
          <w:rFonts w:asciiTheme="minorHAnsi" w:hAnsiTheme="minorHAnsi" w:cs="Calibri"/>
          <w:sz w:val="22"/>
          <w:szCs w:val="22"/>
        </w:rPr>
      </w:pPr>
    </w:p>
    <w:p w14:paraId="2CCF96F0" w14:textId="77777777" w:rsidR="006A64F0" w:rsidRPr="00FC1EA5" w:rsidRDefault="006A64F0" w:rsidP="001D55BB">
      <w:pPr>
        <w:pStyle w:val="Heading1"/>
        <w:spacing w:after="0"/>
        <w:rPr>
          <w:rFonts w:ascii="Calibri" w:hAnsi="Calibri"/>
          <w:b/>
          <w:color w:val="auto"/>
        </w:rPr>
      </w:pPr>
      <w:r w:rsidRPr="00FC1EA5">
        <w:rPr>
          <w:rFonts w:ascii="Calibri" w:hAnsi="Calibri"/>
          <w:b/>
          <w:color w:val="auto"/>
        </w:rPr>
        <w:t>Families</w:t>
      </w:r>
    </w:p>
    <w:p w14:paraId="2CCF96F1" w14:textId="77777777" w:rsidR="006A64F0" w:rsidRPr="00FC1EA5" w:rsidRDefault="006A64F0" w:rsidP="006A64F0">
      <w:pPr>
        <w:pStyle w:val="QMIRText"/>
        <w:spacing w:line="260" w:lineRule="atLeast"/>
      </w:pPr>
      <w:r w:rsidRPr="00FC1EA5">
        <w:rPr>
          <w:sz w:val="22"/>
          <w:u w:color="000000"/>
        </w:rPr>
        <w:t xml:space="preserve">During the </w:t>
      </w:r>
      <w:r w:rsidR="0001617D" w:rsidRPr="00FC1EA5">
        <w:rPr>
          <w:sz w:val="22"/>
          <w:u w:color="000000"/>
        </w:rPr>
        <w:t>March quarter 2012</w:t>
      </w:r>
      <w:r w:rsidRPr="00FC1EA5">
        <w:rPr>
          <w:sz w:val="22"/>
          <w:u w:color="000000"/>
        </w:rPr>
        <w:t xml:space="preserve">, there were </w:t>
      </w:r>
      <w:r w:rsidR="00C24A64" w:rsidRPr="00FC1EA5">
        <w:rPr>
          <w:sz w:val="22"/>
          <w:u w:color="000000"/>
        </w:rPr>
        <w:t>689,790</w:t>
      </w:r>
      <w:r w:rsidRPr="00FC1EA5">
        <w:rPr>
          <w:sz w:val="22"/>
          <w:u w:color="000000"/>
        </w:rPr>
        <w:t xml:space="preserve"> families using some form of approved child care for their children, an increase of </w:t>
      </w:r>
      <w:r w:rsidR="00C24A64" w:rsidRPr="00FC1EA5">
        <w:rPr>
          <w:sz w:val="22"/>
          <w:u w:color="000000"/>
        </w:rPr>
        <w:t>2.0</w:t>
      </w:r>
      <w:r w:rsidRPr="00FC1EA5">
        <w:rPr>
          <w:sz w:val="22"/>
          <w:u w:color="000000"/>
        </w:rPr>
        <w:t xml:space="preserve"> per cent over the year. </w:t>
      </w:r>
    </w:p>
    <w:p w14:paraId="2CCF96F2" w14:textId="77777777" w:rsidR="006A64F0" w:rsidRPr="00FC1EA5" w:rsidRDefault="006A64F0" w:rsidP="006A64F0">
      <w:pPr>
        <w:rPr>
          <w:rFonts w:asciiTheme="minorHAnsi" w:hAnsiTheme="minorHAnsi" w:cs="Calibri"/>
          <w:snapToGrid w:val="0"/>
          <w:sz w:val="22"/>
          <w:szCs w:val="22"/>
        </w:rPr>
      </w:pPr>
    </w:p>
    <w:p w14:paraId="2CCF96F3" w14:textId="77777777" w:rsidR="006A64F0" w:rsidRPr="00FC1EA5" w:rsidRDefault="006A64F0" w:rsidP="006A64F0">
      <w:pPr>
        <w:keepNext/>
        <w:rPr>
          <w:rFonts w:ascii="Calibri" w:hAnsi="Calibri" w:cs="Arial"/>
          <w:b/>
          <w:sz w:val="22"/>
          <w:szCs w:val="22"/>
        </w:rPr>
      </w:pPr>
      <w:r w:rsidRPr="00FC1EA5">
        <w:rPr>
          <w:rFonts w:ascii="Calibri" w:hAnsi="Calibri"/>
          <w:b/>
          <w:sz w:val="22"/>
          <w:szCs w:val="22"/>
        </w:rPr>
        <w:t xml:space="preserve">Table 4: Number of families using child care, </w:t>
      </w:r>
      <w:r w:rsidR="00C24A64" w:rsidRPr="00FC1EA5">
        <w:rPr>
          <w:rFonts w:ascii="Calibri" w:hAnsi="Calibri" w:cs="Arial"/>
          <w:b/>
          <w:bCs/>
          <w:sz w:val="22"/>
          <w:szCs w:val="22"/>
        </w:rPr>
        <w:t xml:space="preserve">March quarter 2011 </w:t>
      </w:r>
      <w:r w:rsidRPr="00FC1EA5">
        <w:rPr>
          <w:rFonts w:ascii="Calibri" w:hAnsi="Calibri"/>
          <w:b/>
          <w:sz w:val="22"/>
          <w:szCs w:val="22"/>
        </w:rPr>
        <w:t xml:space="preserve">to </w:t>
      </w:r>
      <w:r w:rsidR="0001617D" w:rsidRPr="00FC1EA5">
        <w:rPr>
          <w:rFonts w:ascii="Calibri" w:hAnsi="Calibri"/>
          <w:b/>
          <w:sz w:val="22"/>
          <w:szCs w:val="22"/>
        </w:rPr>
        <w:t>March quarter 2012</w:t>
      </w:r>
    </w:p>
    <w:tbl>
      <w:tblPr>
        <w:tblW w:w="9468" w:type="dxa"/>
        <w:tblInd w:w="93" w:type="dxa"/>
        <w:tblLayout w:type="fixed"/>
        <w:tblLook w:val="0000" w:firstRow="0" w:lastRow="0" w:firstColumn="0" w:lastColumn="0" w:noHBand="0" w:noVBand="0"/>
      </w:tblPr>
      <w:tblGrid>
        <w:gridCol w:w="4335"/>
        <w:gridCol w:w="1026"/>
        <w:gridCol w:w="1027"/>
        <w:gridCol w:w="1026"/>
        <w:gridCol w:w="1027"/>
        <w:gridCol w:w="1027"/>
      </w:tblGrid>
      <w:tr w:rsidR="002B43E9" w:rsidRPr="00FC1EA5" w14:paraId="2CCF96FA" w14:textId="77777777" w:rsidTr="002B43E9">
        <w:trPr>
          <w:trHeight w:val="255"/>
        </w:trPr>
        <w:tc>
          <w:tcPr>
            <w:tcW w:w="4335"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6F4" w14:textId="77777777" w:rsidR="00C24A64" w:rsidRPr="00FC1EA5" w:rsidRDefault="00C24A64" w:rsidP="006A64F0">
            <w:pPr>
              <w:keepNext/>
              <w:ind w:right="-55"/>
              <w:rPr>
                <w:rFonts w:ascii="Calibri" w:hAnsi="Calibri" w:cs="Arial"/>
                <w:b/>
                <w:bCs/>
                <w:sz w:val="20"/>
                <w:szCs w:val="20"/>
              </w:rPr>
            </w:pPr>
            <w:r w:rsidRPr="00FC1EA5">
              <w:rPr>
                <w:rFonts w:ascii="Calibri" w:hAnsi="Calibri" w:cs="Arial"/>
                <w:b/>
                <w:bCs/>
                <w:sz w:val="20"/>
                <w:szCs w:val="20"/>
              </w:rPr>
              <w:t>Service type</w:t>
            </w:r>
          </w:p>
        </w:tc>
        <w:tc>
          <w:tcPr>
            <w:tcW w:w="1026"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6F5" w14:textId="77777777" w:rsidR="00C24A64" w:rsidRPr="00FC1EA5" w:rsidRDefault="00C24A64" w:rsidP="00C24A64">
            <w:pPr>
              <w:jc w:val="right"/>
              <w:rPr>
                <w:rFonts w:ascii="Calibri" w:hAnsi="Calibri"/>
                <w:b/>
                <w:sz w:val="20"/>
                <w:szCs w:val="20"/>
              </w:rPr>
            </w:pPr>
            <w:r w:rsidRPr="00FC1EA5">
              <w:rPr>
                <w:rFonts w:ascii="Calibri" w:hAnsi="Calibri"/>
                <w:b/>
                <w:sz w:val="20"/>
                <w:szCs w:val="20"/>
              </w:rPr>
              <w:t>Mar. 11</w:t>
            </w:r>
          </w:p>
        </w:tc>
        <w:tc>
          <w:tcPr>
            <w:tcW w:w="1027" w:type="dxa"/>
            <w:tcBorders>
              <w:top w:val="single" w:sz="4" w:space="0" w:color="FFFFFF" w:themeColor="background1"/>
              <w:left w:val="nil"/>
              <w:bottom w:val="single" w:sz="4" w:space="0" w:color="FFFFFF" w:themeColor="background1"/>
              <w:right w:val="nil"/>
            </w:tcBorders>
            <w:vAlign w:val="center"/>
          </w:tcPr>
          <w:p w14:paraId="2CCF96F6" w14:textId="77777777" w:rsidR="00C24A64" w:rsidRPr="00FC1EA5" w:rsidRDefault="00C24A64" w:rsidP="00C24A64">
            <w:pPr>
              <w:jc w:val="right"/>
              <w:rPr>
                <w:rFonts w:ascii="Calibri" w:hAnsi="Calibri"/>
                <w:b/>
                <w:sz w:val="20"/>
                <w:szCs w:val="20"/>
              </w:rPr>
            </w:pPr>
            <w:r w:rsidRPr="00FC1EA5">
              <w:rPr>
                <w:rFonts w:ascii="Calibri" w:hAnsi="Calibri"/>
                <w:b/>
                <w:sz w:val="20"/>
                <w:szCs w:val="20"/>
              </w:rPr>
              <w:t>June 11</w:t>
            </w:r>
          </w:p>
        </w:tc>
        <w:tc>
          <w:tcPr>
            <w:tcW w:w="1026" w:type="dxa"/>
            <w:tcBorders>
              <w:top w:val="single" w:sz="4" w:space="0" w:color="FFFFFF" w:themeColor="background1"/>
              <w:left w:val="nil"/>
              <w:bottom w:val="single" w:sz="4" w:space="0" w:color="FFFFFF" w:themeColor="background1"/>
              <w:right w:val="nil"/>
            </w:tcBorders>
            <w:vAlign w:val="center"/>
          </w:tcPr>
          <w:p w14:paraId="2CCF96F7" w14:textId="77777777" w:rsidR="00C24A64" w:rsidRPr="00FC1EA5" w:rsidRDefault="00C24A64" w:rsidP="00C24A64">
            <w:pPr>
              <w:jc w:val="right"/>
              <w:rPr>
                <w:rFonts w:ascii="Calibri" w:hAnsi="Calibri"/>
                <w:b/>
                <w:sz w:val="20"/>
                <w:szCs w:val="20"/>
              </w:rPr>
            </w:pPr>
            <w:r w:rsidRPr="00FC1EA5">
              <w:rPr>
                <w:rFonts w:ascii="Calibri" w:hAnsi="Calibri"/>
                <w:b/>
                <w:sz w:val="20"/>
                <w:szCs w:val="20"/>
              </w:rPr>
              <w:t>Sept. 11</w:t>
            </w:r>
          </w:p>
        </w:tc>
        <w:tc>
          <w:tcPr>
            <w:tcW w:w="1027" w:type="dxa"/>
            <w:tcBorders>
              <w:top w:val="single" w:sz="4" w:space="0" w:color="FFFFFF" w:themeColor="background1"/>
              <w:left w:val="nil"/>
              <w:bottom w:val="single" w:sz="4" w:space="0" w:color="FFFFFF" w:themeColor="background1"/>
              <w:right w:val="nil"/>
            </w:tcBorders>
            <w:vAlign w:val="center"/>
          </w:tcPr>
          <w:p w14:paraId="2CCF96F8" w14:textId="77777777" w:rsidR="00C24A64" w:rsidRPr="00FC1EA5" w:rsidRDefault="00C24A64" w:rsidP="00C24A64">
            <w:pPr>
              <w:jc w:val="right"/>
              <w:rPr>
                <w:rFonts w:ascii="Calibri" w:hAnsi="Calibri"/>
                <w:b/>
                <w:sz w:val="20"/>
                <w:szCs w:val="20"/>
              </w:rPr>
            </w:pPr>
            <w:r w:rsidRPr="00FC1EA5">
              <w:rPr>
                <w:rFonts w:ascii="Calibri" w:hAnsi="Calibri"/>
                <w:b/>
                <w:sz w:val="20"/>
                <w:szCs w:val="20"/>
              </w:rPr>
              <w:t>Dec. 11</w:t>
            </w:r>
          </w:p>
        </w:tc>
        <w:tc>
          <w:tcPr>
            <w:tcW w:w="1027" w:type="dxa"/>
            <w:tcBorders>
              <w:top w:val="single" w:sz="4" w:space="0" w:color="FFFFFF" w:themeColor="background1"/>
              <w:left w:val="nil"/>
              <w:bottom w:val="single" w:sz="4" w:space="0" w:color="FFFFFF" w:themeColor="background1"/>
              <w:right w:val="nil"/>
            </w:tcBorders>
            <w:vAlign w:val="center"/>
          </w:tcPr>
          <w:p w14:paraId="2CCF96F9" w14:textId="77777777" w:rsidR="00C24A64" w:rsidRPr="00FC1EA5" w:rsidRDefault="00C24A64" w:rsidP="00C24A64">
            <w:pPr>
              <w:jc w:val="right"/>
              <w:rPr>
                <w:rFonts w:ascii="Calibri" w:hAnsi="Calibri"/>
                <w:b/>
                <w:sz w:val="20"/>
                <w:szCs w:val="20"/>
              </w:rPr>
            </w:pPr>
            <w:r w:rsidRPr="00FC1EA5">
              <w:rPr>
                <w:rFonts w:ascii="Calibri" w:hAnsi="Calibri"/>
                <w:b/>
                <w:sz w:val="20"/>
                <w:szCs w:val="20"/>
              </w:rPr>
              <w:t>Mar. 12</w:t>
            </w:r>
          </w:p>
        </w:tc>
      </w:tr>
      <w:tr w:rsidR="002B43E9" w:rsidRPr="00FC1EA5" w14:paraId="2CCF9701" w14:textId="77777777" w:rsidTr="002B43E9">
        <w:trPr>
          <w:trHeight w:val="255"/>
        </w:trPr>
        <w:tc>
          <w:tcPr>
            <w:tcW w:w="4335" w:type="dxa"/>
            <w:tcBorders>
              <w:top w:val="single" w:sz="4" w:space="0" w:color="FFFFFF" w:themeColor="background1"/>
              <w:left w:val="nil"/>
              <w:bottom w:val="nil"/>
              <w:right w:val="single" w:sz="4" w:space="0" w:color="FFFFFF" w:themeColor="background1"/>
            </w:tcBorders>
            <w:vAlign w:val="center"/>
          </w:tcPr>
          <w:p w14:paraId="2CCF96FB" w14:textId="77777777" w:rsidR="00C24A64" w:rsidRPr="00FC1EA5" w:rsidRDefault="00C24A64" w:rsidP="006A64F0">
            <w:pPr>
              <w:keepNext/>
              <w:ind w:right="-55"/>
              <w:rPr>
                <w:rFonts w:ascii="Calibri" w:hAnsi="Calibri" w:cs="Arial"/>
                <w:sz w:val="20"/>
                <w:szCs w:val="20"/>
              </w:rPr>
            </w:pPr>
            <w:r w:rsidRPr="00FC1EA5">
              <w:rPr>
                <w:rFonts w:ascii="Calibri" w:hAnsi="Calibri" w:cs="Arial"/>
                <w:sz w:val="20"/>
                <w:szCs w:val="20"/>
              </w:rPr>
              <w:t>Long day care</w:t>
            </w:r>
          </w:p>
        </w:tc>
        <w:tc>
          <w:tcPr>
            <w:tcW w:w="1026" w:type="dxa"/>
            <w:tcBorders>
              <w:top w:val="single" w:sz="4" w:space="0" w:color="FFFFFF" w:themeColor="background1"/>
              <w:left w:val="single" w:sz="4" w:space="0" w:color="FFFFFF" w:themeColor="background1"/>
              <w:bottom w:val="nil"/>
              <w:right w:val="nil"/>
            </w:tcBorders>
            <w:vAlign w:val="center"/>
          </w:tcPr>
          <w:p w14:paraId="2CCF96FC"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473,610</w:t>
            </w:r>
          </w:p>
        </w:tc>
        <w:tc>
          <w:tcPr>
            <w:tcW w:w="1027" w:type="dxa"/>
            <w:tcBorders>
              <w:top w:val="single" w:sz="4" w:space="0" w:color="FFFFFF" w:themeColor="background1"/>
              <w:left w:val="nil"/>
              <w:bottom w:val="nil"/>
              <w:right w:val="nil"/>
            </w:tcBorders>
            <w:vAlign w:val="center"/>
          </w:tcPr>
          <w:p w14:paraId="2CCF96FD"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476,050</w:t>
            </w:r>
          </w:p>
        </w:tc>
        <w:tc>
          <w:tcPr>
            <w:tcW w:w="1026" w:type="dxa"/>
            <w:tcBorders>
              <w:top w:val="single" w:sz="4" w:space="0" w:color="FFFFFF" w:themeColor="background1"/>
              <w:left w:val="nil"/>
              <w:bottom w:val="nil"/>
              <w:right w:val="nil"/>
            </w:tcBorders>
            <w:vAlign w:val="center"/>
          </w:tcPr>
          <w:p w14:paraId="2CCF96FE"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489,410</w:t>
            </w:r>
          </w:p>
        </w:tc>
        <w:tc>
          <w:tcPr>
            <w:tcW w:w="1027" w:type="dxa"/>
            <w:tcBorders>
              <w:top w:val="single" w:sz="4" w:space="0" w:color="FFFFFF" w:themeColor="background1"/>
              <w:left w:val="nil"/>
              <w:bottom w:val="nil"/>
              <w:right w:val="nil"/>
            </w:tcBorders>
            <w:vAlign w:val="center"/>
          </w:tcPr>
          <w:p w14:paraId="2CCF96FF"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490,910</w:t>
            </w:r>
          </w:p>
        </w:tc>
        <w:tc>
          <w:tcPr>
            <w:tcW w:w="1027" w:type="dxa"/>
            <w:tcBorders>
              <w:top w:val="single" w:sz="4" w:space="0" w:color="FFFFFF" w:themeColor="background1"/>
              <w:left w:val="nil"/>
              <w:bottom w:val="nil"/>
              <w:right w:val="nil"/>
            </w:tcBorders>
            <w:vAlign w:val="center"/>
          </w:tcPr>
          <w:p w14:paraId="2CCF9700" w14:textId="77777777" w:rsidR="00C24A64" w:rsidRPr="00FC1EA5" w:rsidRDefault="00C24A64" w:rsidP="00C24A64">
            <w:pPr>
              <w:autoSpaceDE w:val="0"/>
              <w:autoSpaceDN w:val="0"/>
              <w:adjustRightInd w:val="0"/>
              <w:jc w:val="right"/>
              <w:rPr>
                <w:rFonts w:ascii="Calibri" w:hAnsi="Calibri" w:cs="Calibri"/>
                <w:sz w:val="20"/>
                <w:szCs w:val="20"/>
              </w:rPr>
            </w:pPr>
            <w:r w:rsidRPr="00FC1EA5">
              <w:rPr>
                <w:rFonts w:ascii="Calibri" w:hAnsi="Calibri" w:cs="Calibri"/>
                <w:sz w:val="20"/>
                <w:szCs w:val="20"/>
              </w:rPr>
              <w:t>479,530</w:t>
            </w:r>
          </w:p>
        </w:tc>
      </w:tr>
      <w:tr w:rsidR="002B43E9" w:rsidRPr="00FC1EA5" w14:paraId="2CCF9708" w14:textId="77777777" w:rsidTr="002B43E9">
        <w:trPr>
          <w:trHeight w:val="255"/>
        </w:trPr>
        <w:tc>
          <w:tcPr>
            <w:tcW w:w="4335" w:type="dxa"/>
            <w:tcBorders>
              <w:top w:val="nil"/>
              <w:left w:val="nil"/>
              <w:bottom w:val="nil"/>
              <w:right w:val="single" w:sz="4" w:space="0" w:color="FFFFFF" w:themeColor="background1"/>
            </w:tcBorders>
            <w:vAlign w:val="center"/>
          </w:tcPr>
          <w:p w14:paraId="2CCF9702" w14:textId="77777777" w:rsidR="00C24A64" w:rsidRPr="00FC1EA5" w:rsidRDefault="00C24A64" w:rsidP="006A64F0">
            <w:pPr>
              <w:keepNext/>
              <w:ind w:right="-55"/>
              <w:rPr>
                <w:rFonts w:ascii="Calibri" w:hAnsi="Calibri" w:cs="Arial"/>
                <w:sz w:val="20"/>
                <w:szCs w:val="20"/>
              </w:rPr>
            </w:pPr>
            <w:r w:rsidRPr="00FC1EA5">
              <w:rPr>
                <w:rFonts w:ascii="Calibri" w:hAnsi="Calibri" w:cs="Arial"/>
                <w:sz w:val="20"/>
                <w:szCs w:val="20"/>
              </w:rPr>
              <w:t>Family day care and In-home care</w:t>
            </w:r>
          </w:p>
        </w:tc>
        <w:tc>
          <w:tcPr>
            <w:tcW w:w="1026" w:type="dxa"/>
            <w:tcBorders>
              <w:top w:val="nil"/>
              <w:left w:val="single" w:sz="4" w:space="0" w:color="FFFFFF" w:themeColor="background1"/>
              <w:bottom w:val="nil"/>
              <w:right w:val="nil"/>
            </w:tcBorders>
            <w:vAlign w:val="center"/>
          </w:tcPr>
          <w:p w14:paraId="2CCF9703"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76,990</w:t>
            </w:r>
          </w:p>
        </w:tc>
        <w:tc>
          <w:tcPr>
            <w:tcW w:w="1027" w:type="dxa"/>
            <w:tcBorders>
              <w:top w:val="nil"/>
              <w:left w:val="nil"/>
              <w:bottom w:val="nil"/>
              <w:right w:val="nil"/>
            </w:tcBorders>
            <w:vAlign w:val="center"/>
          </w:tcPr>
          <w:p w14:paraId="2CCF9704"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76,690</w:t>
            </w:r>
          </w:p>
        </w:tc>
        <w:tc>
          <w:tcPr>
            <w:tcW w:w="1026" w:type="dxa"/>
            <w:tcBorders>
              <w:top w:val="nil"/>
              <w:left w:val="nil"/>
              <w:bottom w:val="nil"/>
              <w:right w:val="nil"/>
            </w:tcBorders>
            <w:vAlign w:val="center"/>
          </w:tcPr>
          <w:p w14:paraId="2CCF9705"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77,830</w:t>
            </w:r>
          </w:p>
        </w:tc>
        <w:tc>
          <w:tcPr>
            <w:tcW w:w="1027" w:type="dxa"/>
            <w:tcBorders>
              <w:top w:val="nil"/>
              <w:left w:val="nil"/>
              <w:bottom w:val="nil"/>
              <w:right w:val="nil"/>
            </w:tcBorders>
            <w:vAlign w:val="center"/>
          </w:tcPr>
          <w:p w14:paraId="2CCF9706" w14:textId="77777777" w:rsidR="00C24A64" w:rsidRPr="00FC1EA5" w:rsidRDefault="00C24A64" w:rsidP="00C24A64">
            <w:pPr>
              <w:jc w:val="right"/>
              <w:rPr>
                <w:rFonts w:ascii="Calibri" w:hAnsi="Calibri" w:cs="Calibri"/>
                <w:sz w:val="20"/>
                <w:szCs w:val="20"/>
              </w:rPr>
            </w:pPr>
            <w:r w:rsidRPr="00FC1EA5">
              <w:rPr>
                <w:rFonts w:ascii="Calibri" w:hAnsi="Calibri" w:cs="Calibri"/>
                <w:sz w:val="20"/>
                <w:szCs w:val="20"/>
              </w:rPr>
              <w:t>76,990</w:t>
            </w:r>
          </w:p>
        </w:tc>
        <w:tc>
          <w:tcPr>
            <w:tcW w:w="1027" w:type="dxa"/>
            <w:tcBorders>
              <w:top w:val="nil"/>
              <w:left w:val="nil"/>
              <w:bottom w:val="nil"/>
              <w:right w:val="nil"/>
            </w:tcBorders>
            <w:vAlign w:val="center"/>
          </w:tcPr>
          <w:p w14:paraId="2CCF9707" w14:textId="77777777" w:rsidR="00C24A64" w:rsidRPr="00FC1EA5" w:rsidRDefault="00C24A64" w:rsidP="00C24A64">
            <w:pPr>
              <w:autoSpaceDE w:val="0"/>
              <w:autoSpaceDN w:val="0"/>
              <w:adjustRightInd w:val="0"/>
              <w:jc w:val="right"/>
              <w:rPr>
                <w:rFonts w:ascii="Calibri" w:hAnsi="Calibri" w:cs="Calibri"/>
                <w:sz w:val="20"/>
                <w:szCs w:val="20"/>
              </w:rPr>
            </w:pPr>
            <w:r w:rsidRPr="00FC1EA5">
              <w:rPr>
                <w:rFonts w:ascii="Calibri" w:hAnsi="Calibri" w:cs="Calibri"/>
                <w:sz w:val="20"/>
                <w:szCs w:val="20"/>
              </w:rPr>
              <w:t>77,420</w:t>
            </w:r>
          </w:p>
        </w:tc>
      </w:tr>
      <w:tr w:rsidR="002B43E9" w:rsidRPr="00FC1EA5" w14:paraId="2CCF970F" w14:textId="77777777" w:rsidTr="002B43E9">
        <w:trPr>
          <w:trHeight w:val="255"/>
        </w:trPr>
        <w:tc>
          <w:tcPr>
            <w:tcW w:w="4335" w:type="dxa"/>
            <w:tcBorders>
              <w:top w:val="nil"/>
              <w:left w:val="nil"/>
              <w:bottom w:val="nil"/>
              <w:right w:val="single" w:sz="4" w:space="0" w:color="FFFFFF" w:themeColor="background1"/>
            </w:tcBorders>
            <w:vAlign w:val="center"/>
          </w:tcPr>
          <w:p w14:paraId="2CCF9709" w14:textId="77777777" w:rsidR="00251D84" w:rsidRPr="00FC1EA5" w:rsidRDefault="00251D84" w:rsidP="006A64F0">
            <w:pPr>
              <w:keepNext/>
              <w:ind w:right="-55"/>
              <w:rPr>
                <w:rFonts w:ascii="Calibri" w:hAnsi="Calibri" w:cs="Arial"/>
                <w:sz w:val="20"/>
                <w:szCs w:val="20"/>
              </w:rPr>
            </w:pPr>
            <w:r w:rsidRPr="00FC1EA5">
              <w:rPr>
                <w:rFonts w:ascii="Calibri" w:hAnsi="Calibri" w:cs="Arial"/>
                <w:sz w:val="20"/>
                <w:szCs w:val="20"/>
              </w:rPr>
              <w:t>Occasional care</w:t>
            </w:r>
          </w:p>
        </w:tc>
        <w:tc>
          <w:tcPr>
            <w:tcW w:w="1026" w:type="dxa"/>
            <w:tcBorders>
              <w:top w:val="nil"/>
              <w:left w:val="single" w:sz="4" w:space="0" w:color="FFFFFF" w:themeColor="background1"/>
              <w:bottom w:val="nil"/>
              <w:right w:val="nil"/>
            </w:tcBorders>
            <w:vAlign w:val="center"/>
          </w:tcPr>
          <w:p w14:paraId="2CCF970A"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5,870</w:t>
            </w:r>
          </w:p>
        </w:tc>
        <w:tc>
          <w:tcPr>
            <w:tcW w:w="1027" w:type="dxa"/>
            <w:tcBorders>
              <w:top w:val="nil"/>
              <w:left w:val="nil"/>
              <w:bottom w:val="nil"/>
              <w:right w:val="nil"/>
            </w:tcBorders>
            <w:vAlign w:val="center"/>
          </w:tcPr>
          <w:p w14:paraId="2CCF970B"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6,260</w:t>
            </w:r>
          </w:p>
        </w:tc>
        <w:tc>
          <w:tcPr>
            <w:tcW w:w="1026" w:type="dxa"/>
            <w:tcBorders>
              <w:top w:val="nil"/>
              <w:left w:val="nil"/>
              <w:bottom w:val="nil"/>
              <w:right w:val="nil"/>
            </w:tcBorders>
            <w:vAlign w:val="center"/>
          </w:tcPr>
          <w:p w14:paraId="2CCF970C"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6,280</w:t>
            </w:r>
          </w:p>
        </w:tc>
        <w:tc>
          <w:tcPr>
            <w:tcW w:w="1027" w:type="dxa"/>
            <w:tcBorders>
              <w:top w:val="nil"/>
              <w:left w:val="nil"/>
              <w:bottom w:val="nil"/>
              <w:right w:val="nil"/>
            </w:tcBorders>
            <w:vAlign w:val="center"/>
          </w:tcPr>
          <w:p w14:paraId="2CCF970D"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5,930</w:t>
            </w:r>
          </w:p>
        </w:tc>
        <w:tc>
          <w:tcPr>
            <w:tcW w:w="1027" w:type="dxa"/>
            <w:tcBorders>
              <w:top w:val="nil"/>
              <w:left w:val="nil"/>
              <w:bottom w:val="nil"/>
              <w:right w:val="nil"/>
            </w:tcBorders>
            <w:vAlign w:val="center"/>
          </w:tcPr>
          <w:p w14:paraId="2CCF970E" w14:textId="77777777" w:rsidR="00251D84" w:rsidRPr="00FC1EA5" w:rsidRDefault="00251D84" w:rsidP="00933A6C">
            <w:pPr>
              <w:autoSpaceDE w:val="0"/>
              <w:autoSpaceDN w:val="0"/>
              <w:adjustRightInd w:val="0"/>
              <w:jc w:val="right"/>
              <w:rPr>
                <w:rFonts w:ascii="Calibri" w:hAnsi="Calibri" w:cs="Calibri"/>
                <w:sz w:val="20"/>
                <w:szCs w:val="20"/>
              </w:rPr>
            </w:pPr>
            <w:r w:rsidRPr="00FC1EA5">
              <w:rPr>
                <w:rFonts w:ascii="Calibri" w:hAnsi="Calibri" w:cs="Calibri"/>
                <w:sz w:val="20"/>
                <w:szCs w:val="20"/>
              </w:rPr>
              <w:t>5,030</w:t>
            </w:r>
          </w:p>
        </w:tc>
      </w:tr>
      <w:tr w:rsidR="002B43E9" w:rsidRPr="00FC1EA5" w14:paraId="2CCF9716" w14:textId="77777777" w:rsidTr="002B43E9">
        <w:trPr>
          <w:trHeight w:val="255"/>
        </w:trPr>
        <w:tc>
          <w:tcPr>
            <w:tcW w:w="4335" w:type="dxa"/>
            <w:tcBorders>
              <w:top w:val="nil"/>
              <w:left w:val="nil"/>
              <w:bottom w:val="single" w:sz="4" w:space="0" w:color="FFFFFF" w:themeColor="background1"/>
              <w:right w:val="single" w:sz="4" w:space="0" w:color="FFFFFF" w:themeColor="background1"/>
            </w:tcBorders>
            <w:vAlign w:val="center"/>
          </w:tcPr>
          <w:p w14:paraId="2CCF9710" w14:textId="77777777" w:rsidR="00251D84" w:rsidRPr="00FC1EA5" w:rsidRDefault="00251D84" w:rsidP="006A64F0">
            <w:pPr>
              <w:keepNext/>
              <w:ind w:right="-55"/>
              <w:rPr>
                <w:rFonts w:ascii="Calibri" w:hAnsi="Calibri" w:cs="Arial"/>
                <w:sz w:val="20"/>
                <w:szCs w:val="20"/>
              </w:rPr>
            </w:pPr>
            <w:r w:rsidRPr="00FC1EA5">
              <w:rPr>
                <w:rFonts w:ascii="Calibri" w:hAnsi="Calibri" w:cs="Arial"/>
                <w:sz w:val="20"/>
                <w:szCs w:val="20"/>
              </w:rPr>
              <w:t>Outside school hours care</w:t>
            </w:r>
          </w:p>
        </w:tc>
        <w:tc>
          <w:tcPr>
            <w:tcW w:w="1026" w:type="dxa"/>
            <w:tcBorders>
              <w:top w:val="nil"/>
              <w:left w:val="single" w:sz="4" w:space="0" w:color="FFFFFF" w:themeColor="background1"/>
              <w:bottom w:val="single" w:sz="4" w:space="0" w:color="FFFFFF" w:themeColor="background1"/>
              <w:right w:val="nil"/>
            </w:tcBorders>
            <w:vAlign w:val="center"/>
          </w:tcPr>
          <w:p w14:paraId="2CCF9711"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199,850</w:t>
            </w:r>
          </w:p>
        </w:tc>
        <w:tc>
          <w:tcPr>
            <w:tcW w:w="1027" w:type="dxa"/>
            <w:tcBorders>
              <w:top w:val="nil"/>
              <w:left w:val="nil"/>
              <w:bottom w:val="single" w:sz="4" w:space="0" w:color="FFFFFF" w:themeColor="background1"/>
              <w:right w:val="nil"/>
            </w:tcBorders>
            <w:vAlign w:val="center"/>
          </w:tcPr>
          <w:p w14:paraId="2CCF9712"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207,310</w:t>
            </w:r>
          </w:p>
        </w:tc>
        <w:tc>
          <w:tcPr>
            <w:tcW w:w="1026" w:type="dxa"/>
            <w:tcBorders>
              <w:top w:val="nil"/>
              <w:left w:val="nil"/>
              <w:bottom w:val="single" w:sz="4" w:space="0" w:color="FFFFFF" w:themeColor="background1"/>
              <w:right w:val="nil"/>
            </w:tcBorders>
            <w:vAlign w:val="center"/>
          </w:tcPr>
          <w:p w14:paraId="2CCF9713"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210,190</w:t>
            </w:r>
          </w:p>
        </w:tc>
        <w:tc>
          <w:tcPr>
            <w:tcW w:w="1027" w:type="dxa"/>
            <w:tcBorders>
              <w:top w:val="nil"/>
              <w:left w:val="nil"/>
              <w:bottom w:val="single" w:sz="4" w:space="0" w:color="FFFFFF" w:themeColor="background1"/>
              <w:right w:val="nil"/>
            </w:tcBorders>
            <w:vAlign w:val="center"/>
          </w:tcPr>
          <w:p w14:paraId="2CCF9714" w14:textId="77777777" w:rsidR="00251D84" w:rsidRPr="00FC1EA5" w:rsidRDefault="00251D84" w:rsidP="00C24A64">
            <w:pPr>
              <w:jc w:val="right"/>
              <w:rPr>
                <w:rFonts w:ascii="Calibri" w:hAnsi="Calibri" w:cs="Calibri"/>
                <w:sz w:val="20"/>
                <w:szCs w:val="20"/>
              </w:rPr>
            </w:pPr>
            <w:r w:rsidRPr="00FC1EA5">
              <w:rPr>
                <w:rFonts w:ascii="Calibri" w:hAnsi="Calibri" w:cs="Calibri"/>
                <w:sz w:val="20"/>
                <w:szCs w:val="20"/>
              </w:rPr>
              <w:t>203,390</w:t>
            </w:r>
          </w:p>
        </w:tc>
        <w:tc>
          <w:tcPr>
            <w:tcW w:w="1027" w:type="dxa"/>
            <w:tcBorders>
              <w:top w:val="nil"/>
              <w:left w:val="nil"/>
              <w:bottom w:val="single" w:sz="4" w:space="0" w:color="FFFFFF" w:themeColor="background1"/>
              <w:right w:val="nil"/>
            </w:tcBorders>
            <w:vAlign w:val="center"/>
          </w:tcPr>
          <w:p w14:paraId="2CCF9715" w14:textId="77777777" w:rsidR="00251D84" w:rsidRPr="00FC1EA5" w:rsidRDefault="00251D84" w:rsidP="00933A6C">
            <w:pPr>
              <w:autoSpaceDE w:val="0"/>
              <w:autoSpaceDN w:val="0"/>
              <w:adjustRightInd w:val="0"/>
              <w:jc w:val="right"/>
              <w:rPr>
                <w:rFonts w:ascii="Calibri" w:hAnsi="Calibri" w:cs="Calibri"/>
                <w:sz w:val="20"/>
                <w:szCs w:val="20"/>
              </w:rPr>
            </w:pPr>
            <w:r w:rsidRPr="00FC1EA5">
              <w:rPr>
                <w:rFonts w:ascii="Calibri" w:hAnsi="Calibri" w:cs="Calibri"/>
                <w:sz w:val="20"/>
                <w:szCs w:val="20"/>
              </w:rPr>
              <w:t>213,330</w:t>
            </w:r>
          </w:p>
        </w:tc>
      </w:tr>
      <w:tr w:rsidR="002B43E9" w:rsidRPr="00FC1EA5" w14:paraId="2CCF971D" w14:textId="77777777" w:rsidTr="002B43E9">
        <w:trPr>
          <w:trHeight w:val="315"/>
        </w:trPr>
        <w:tc>
          <w:tcPr>
            <w:tcW w:w="4335"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717" w14:textId="77777777" w:rsidR="00C24A64" w:rsidRPr="00FC1EA5" w:rsidRDefault="00C24A64" w:rsidP="006A64F0">
            <w:pPr>
              <w:keepNext/>
              <w:ind w:right="-55"/>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1</w:t>
            </w:r>
            <w:proofErr w:type="spellEnd"/>
          </w:p>
        </w:tc>
        <w:tc>
          <w:tcPr>
            <w:tcW w:w="1026"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18" w14:textId="77777777" w:rsidR="00C24A64" w:rsidRPr="00FC1EA5" w:rsidRDefault="00C24A64" w:rsidP="00C24A64">
            <w:pPr>
              <w:jc w:val="right"/>
              <w:rPr>
                <w:rFonts w:ascii="Calibri" w:hAnsi="Calibri" w:cs="Calibri"/>
                <w:b/>
                <w:sz w:val="20"/>
                <w:szCs w:val="20"/>
              </w:rPr>
            </w:pPr>
            <w:r w:rsidRPr="00FC1EA5">
              <w:rPr>
                <w:rFonts w:ascii="Calibri" w:hAnsi="Calibri" w:cs="Calibri"/>
                <w:b/>
                <w:sz w:val="20"/>
                <w:szCs w:val="20"/>
              </w:rPr>
              <w:t>676,270</w:t>
            </w:r>
          </w:p>
        </w:tc>
        <w:tc>
          <w:tcPr>
            <w:tcW w:w="1027" w:type="dxa"/>
            <w:tcBorders>
              <w:top w:val="single" w:sz="4" w:space="0" w:color="FFFFFF" w:themeColor="background1"/>
              <w:left w:val="nil"/>
              <w:bottom w:val="single" w:sz="4" w:space="0" w:color="FFFFFF" w:themeColor="background1"/>
              <w:right w:val="nil"/>
            </w:tcBorders>
            <w:vAlign w:val="center"/>
          </w:tcPr>
          <w:p w14:paraId="2CCF9719" w14:textId="77777777" w:rsidR="00C24A64" w:rsidRPr="00FC1EA5" w:rsidRDefault="00C24A64" w:rsidP="00C24A64">
            <w:pPr>
              <w:jc w:val="right"/>
              <w:rPr>
                <w:rFonts w:ascii="Calibri" w:hAnsi="Calibri" w:cs="Calibri"/>
                <w:b/>
                <w:sz w:val="20"/>
                <w:szCs w:val="20"/>
              </w:rPr>
            </w:pPr>
            <w:r w:rsidRPr="00FC1EA5">
              <w:rPr>
                <w:rFonts w:ascii="Calibri" w:hAnsi="Calibri" w:cs="Calibri"/>
                <w:b/>
                <w:sz w:val="20"/>
                <w:szCs w:val="20"/>
              </w:rPr>
              <w:t>691,060</w:t>
            </w:r>
          </w:p>
        </w:tc>
        <w:tc>
          <w:tcPr>
            <w:tcW w:w="1026" w:type="dxa"/>
            <w:tcBorders>
              <w:top w:val="single" w:sz="4" w:space="0" w:color="FFFFFF" w:themeColor="background1"/>
              <w:left w:val="nil"/>
              <w:bottom w:val="single" w:sz="4" w:space="0" w:color="FFFFFF" w:themeColor="background1"/>
              <w:right w:val="nil"/>
            </w:tcBorders>
            <w:vAlign w:val="center"/>
          </w:tcPr>
          <w:p w14:paraId="2CCF971A" w14:textId="77777777" w:rsidR="00C24A64" w:rsidRPr="00FC1EA5" w:rsidRDefault="00C24A64" w:rsidP="00C24A64">
            <w:pPr>
              <w:jc w:val="right"/>
              <w:rPr>
                <w:rFonts w:ascii="Calibri" w:hAnsi="Calibri" w:cs="Calibri"/>
                <w:b/>
                <w:sz w:val="20"/>
                <w:szCs w:val="20"/>
              </w:rPr>
            </w:pPr>
            <w:r w:rsidRPr="00FC1EA5">
              <w:rPr>
                <w:rFonts w:ascii="Calibri" w:hAnsi="Calibri" w:cs="Calibri"/>
                <w:b/>
                <w:sz w:val="20"/>
                <w:szCs w:val="20"/>
              </w:rPr>
              <w:t>704,030</w:t>
            </w:r>
          </w:p>
        </w:tc>
        <w:tc>
          <w:tcPr>
            <w:tcW w:w="1027" w:type="dxa"/>
            <w:tcBorders>
              <w:top w:val="single" w:sz="4" w:space="0" w:color="FFFFFF" w:themeColor="background1"/>
              <w:left w:val="nil"/>
              <w:bottom w:val="single" w:sz="4" w:space="0" w:color="FFFFFF" w:themeColor="background1"/>
              <w:right w:val="nil"/>
            </w:tcBorders>
            <w:vAlign w:val="center"/>
          </w:tcPr>
          <w:p w14:paraId="2CCF971B" w14:textId="77777777" w:rsidR="00C24A64" w:rsidRPr="00FC1EA5" w:rsidRDefault="00C24A64" w:rsidP="00C24A64">
            <w:pPr>
              <w:jc w:val="right"/>
              <w:rPr>
                <w:rFonts w:ascii="Calibri" w:hAnsi="Calibri" w:cs="Calibri"/>
                <w:b/>
                <w:sz w:val="20"/>
                <w:szCs w:val="20"/>
              </w:rPr>
            </w:pPr>
            <w:r w:rsidRPr="00FC1EA5">
              <w:rPr>
                <w:rFonts w:ascii="Calibri" w:hAnsi="Calibri" w:cs="Calibri"/>
                <w:b/>
                <w:sz w:val="20"/>
                <w:szCs w:val="20"/>
              </w:rPr>
              <w:t>700,110</w:t>
            </w:r>
          </w:p>
        </w:tc>
        <w:tc>
          <w:tcPr>
            <w:tcW w:w="1027" w:type="dxa"/>
            <w:tcBorders>
              <w:top w:val="single" w:sz="4" w:space="0" w:color="FFFFFF" w:themeColor="background1"/>
              <w:left w:val="nil"/>
              <w:bottom w:val="single" w:sz="4" w:space="0" w:color="FFFFFF" w:themeColor="background1"/>
              <w:right w:val="nil"/>
            </w:tcBorders>
            <w:vAlign w:val="center"/>
          </w:tcPr>
          <w:p w14:paraId="2CCF971C" w14:textId="77777777" w:rsidR="00C24A64" w:rsidRPr="00FC1EA5" w:rsidRDefault="00251D84" w:rsidP="00BF71AF">
            <w:pPr>
              <w:jc w:val="right"/>
              <w:rPr>
                <w:rFonts w:ascii="Calibri" w:hAnsi="Calibri" w:cs="Calibri"/>
                <w:b/>
                <w:sz w:val="20"/>
                <w:szCs w:val="20"/>
              </w:rPr>
            </w:pPr>
            <w:r w:rsidRPr="00FC1EA5">
              <w:rPr>
                <w:rFonts w:ascii="Calibri" w:hAnsi="Calibri" w:cs="Calibri"/>
                <w:b/>
                <w:bCs/>
                <w:sz w:val="20"/>
                <w:szCs w:val="20"/>
              </w:rPr>
              <w:t>689,790</w:t>
            </w:r>
          </w:p>
        </w:tc>
      </w:tr>
    </w:tbl>
    <w:p w14:paraId="2CCF971E"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As families may use more than one service type in any particular quarter and due to rounding, the sum of the component parts may not equal the Total. </w:t>
      </w:r>
      <w:r w:rsidR="00D2420C" w:rsidRPr="00FC1EA5">
        <w:rPr>
          <w:rFonts w:ascii="Calibri" w:hAnsi="Calibri"/>
          <w:sz w:val="16"/>
          <w:szCs w:val="16"/>
        </w:rPr>
        <w:t xml:space="preserve">Totals for the </w:t>
      </w:r>
      <w:r w:rsidR="00251D84" w:rsidRPr="00FC1EA5">
        <w:rPr>
          <w:rFonts w:ascii="Calibri" w:hAnsi="Calibri"/>
          <w:sz w:val="16"/>
          <w:szCs w:val="16"/>
        </w:rPr>
        <w:t xml:space="preserve">September and December quarters 2011 and </w:t>
      </w:r>
      <w:r w:rsidR="00D2420C" w:rsidRPr="00FC1EA5">
        <w:rPr>
          <w:rFonts w:ascii="Calibri" w:hAnsi="Calibri"/>
          <w:sz w:val="16"/>
          <w:szCs w:val="16"/>
        </w:rPr>
        <w:t xml:space="preserve">the </w:t>
      </w:r>
      <w:r w:rsidR="0001617D" w:rsidRPr="00FC1EA5">
        <w:rPr>
          <w:rFonts w:ascii="Calibri" w:hAnsi="Calibri"/>
          <w:sz w:val="16"/>
          <w:szCs w:val="16"/>
        </w:rPr>
        <w:t>March quarter 2012</w:t>
      </w:r>
      <w:r w:rsidR="00D2420C" w:rsidRPr="00FC1EA5">
        <w:rPr>
          <w:rFonts w:ascii="Calibri" w:hAnsi="Calibri"/>
          <w:sz w:val="16"/>
          <w:szCs w:val="16"/>
        </w:rPr>
        <w:t xml:space="preserve"> include a very small number of </w:t>
      </w:r>
      <w:r w:rsidR="001D55BB" w:rsidRPr="00FC1EA5">
        <w:rPr>
          <w:rFonts w:ascii="Calibri" w:hAnsi="Calibri"/>
          <w:sz w:val="16"/>
          <w:szCs w:val="16"/>
        </w:rPr>
        <w:t>families</w:t>
      </w:r>
      <w:r w:rsidR="00D2420C" w:rsidRPr="00FC1EA5">
        <w:rPr>
          <w:rFonts w:ascii="Calibri" w:hAnsi="Calibri"/>
          <w:sz w:val="16"/>
          <w:szCs w:val="16"/>
        </w:rPr>
        <w:t xml:space="preserve"> for whom other details are unknown.</w:t>
      </w:r>
    </w:p>
    <w:p w14:paraId="2CCF971F" w14:textId="77777777" w:rsidR="006A64F0" w:rsidRPr="00FC1EA5" w:rsidRDefault="006A64F0" w:rsidP="006A64F0">
      <w:pPr>
        <w:rPr>
          <w:rFonts w:ascii="Calibri" w:hAnsi="Calibri" w:cs="Arial"/>
          <w:b/>
          <w:bCs/>
          <w:snapToGrid w:val="0"/>
          <w:sz w:val="16"/>
          <w:szCs w:val="16"/>
        </w:rPr>
      </w:pPr>
      <w:r w:rsidRPr="00FC1EA5">
        <w:rPr>
          <w:rFonts w:ascii="Calibri" w:hAnsi="Calibri" w:cs="Arial"/>
          <w:sz w:val="16"/>
          <w:szCs w:val="16"/>
        </w:rPr>
        <w:t>Source: DEEWR administrative data.</w:t>
      </w:r>
    </w:p>
    <w:p w14:paraId="2CCF9720" w14:textId="77777777" w:rsidR="006A64F0" w:rsidRPr="00FC1EA5" w:rsidRDefault="006A64F0" w:rsidP="006A64F0">
      <w:pPr>
        <w:rPr>
          <w:rFonts w:asciiTheme="minorHAnsi" w:hAnsiTheme="minorHAnsi" w:cs="Calibri"/>
          <w:sz w:val="22"/>
          <w:szCs w:val="22"/>
        </w:rPr>
      </w:pPr>
    </w:p>
    <w:p w14:paraId="2CCF9721" w14:textId="77777777" w:rsidR="006A64F0" w:rsidRPr="00FC1EA5" w:rsidRDefault="006A64F0" w:rsidP="006A64F0">
      <w:pPr>
        <w:pStyle w:val="Heading1"/>
        <w:spacing w:after="0"/>
        <w:rPr>
          <w:rFonts w:ascii="Calibri" w:hAnsi="Calibri"/>
          <w:b/>
          <w:snapToGrid w:val="0"/>
          <w:color w:val="auto"/>
        </w:rPr>
      </w:pPr>
      <w:r w:rsidRPr="00FC1EA5">
        <w:rPr>
          <w:rFonts w:ascii="Calibri" w:hAnsi="Calibri"/>
          <w:b/>
          <w:color w:val="auto"/>
        </w:rPr>
        <w:t>Services</w:t>
      </w:r>
    </w:p>
    <w:p w14:paraId="2CCF9722" w14:textId="77777777" w:rsidR="006A64F0" w:rsidRPr="00FC1EA5" w:rsidRDefault="006A64F0" w:rsidP="006A64F0">
      <w:pPr>
        <w:pStyle w:val="QMIRText"/>
        <w:spacing w:after="85" w:line="260" w:lineRule="atLeast"/>
        <w:rPr>
          <w:sz w:val="22"/>
          <w:u w:color="000000"/>
        </w:rPr>
      </w:pPr>
      <w:r w:rsidRPr="00FC1EA5">
        <w:rPr>
          <w:sz w:val="22"/>
          <w:u w:color="000000"/>
        </w:rPr>
        <w:t xml:space="preserve">During the </w:t>
      </w:r>
      <w:r w:rsidR="0001617D" w:rsidRPr="00FC1EA5">
        <w:rPr>
          <w:sz w:val="22"/>
          <w:u w:color="000000"/>
        </w:rPr>
        <w:t>March quarter 2012</w:t>
      </w:r>
      <w:r w:rsidRPr="00FC1EA5">
        <w:rPr>
          <w:sz w:val="22"/>
          <w:u w:color="000000"/>
        </w:rPr>
        <w:t xml:space="preserve">, there </w:t>
      </w:r>
      <w:proofErr w:type="gramStart"/>
      <w:r w:rsidRPr="00FC1EA5">
        <w:rPr>
          <w:sz w:val="22"/>
          <w:u w:color="000000"/>
        </w:rPr>
        <w:t>w</w:t>
      </w:r>
      <w:r w:rsidR="001D55BB" w:rsidRPr="00FC1EA5">
        <w:rPr>
          <w:sz w:val="22"/>
          <w:u w:color="000000"/>
        </w:rPr>
        <w:t>as</w:t>
      </w:r>
      <w:proofErr w:type="gramEnd"/>
      <w:r w:rsidRPr="00FC1EA5">
        <w:rPr>
          <w:sz w:val="22"/>
          <w:u w:color="000000"/>
        </w:rPr>
        <w:t xml:space="preserve"> </w:t>
      </w:r>
      <w:r w:rsidR="00D2420C" w:rsidRPr="00FC1EA5">
        <w:rPr>
          <w:sz w:val="22"/>
          <w:u w:color="000000"/>
        </w:rPr>
        <w:t xml:space="preserve">a record number of </w:t>
      </w:r>
      <w:r w:rsidRPr="00FC1EA5">
        <w:rPr>
          <w:sz w:val="22"/>
          <w:u w:color="000000"/>
        </w:rPr>
        <w:t>14,</w:t>
      </w:r>
      <w:r w:rsidR="00251D84" w:rsidRPr="00FC1EA5">
        <w:rPr>
          <w:sz w:val="22"/>
          <w:u w:color="000000"/>
        </w:rPr>
        <w:t>851</w:t>
      </w:r>
      <w:r w:rsidRPr="00FC1EA5">
        <w:rPr>
          <w:sz w:val="22"/>
          <w:u w:color="000000"/>
        </w:rPr>
        <w:t xml:space="preserve"> approved child care services operating in Australia, an increase of </w:t>
      </w:r>
      <w:r w:rsidR="00251D84" w:rsidRPr="00FC1EA5">
        <w:rPr>
          <w:sz w:val="22"/>
          <w:u w:color="000000"/>
        </w:rPr>
        <w:t>3.9</w:t>
      </w:r>
      <w:r w:rsidRPr="00FC1EA5">
        <w:rPr>
          <w:sz w:val="22"/>
          <w:u w:color="000000"/>
        </w:rPr>
        <w:t xml:space="preserve"> per cent (</w:t>
      </w:r>
      <w:r w:rsidR="00251D84" w:rsidRPr="00FC1EA5">
        <w:rPr>
          <w:sz w:val="22"/>
          <w:u w:color="000000"/>
        </w:rPr>
        <w:t>561</w:t>
      </w:r>
      <w:r w:rsidRPr="00FC1EA5">
        <w:rPr>
          <w:sz w:val="22"/>
          <w:u w:color="000000"/>
        </w:rPr>
        <w:t xml:space="preserve"> services) over the year.  </w:t>
      </w:r>
    </w:p>
    <w:p w14:paraId="2CCF9723" w14:textId="4C9613F2" w:rsidR="006A64F0" w:rsidRPr="00FC1EA5" w:rsidRDefault="006A64F0" w:rsidP="001D55BB">
      <w:pPr>
        <w:pStyle w:val="QMIRText"/>
        <w:spacing w:line="260" w:lineRule="atLeast"/>
        <w:jc w:val="both"/>
        <w:rPr>
          <w:sz w:val="22"/>
          <w:u w:color="000000"/>
        </w:rPr>
      </w:pPr>
      <w:r w:rsidRPr="00FC1EA5">
        <w:rPr>
          <w:sz w:val="22"/>
          <w:u w:color="000000"/>
        </w:rPr>
        <w:t xml:space="preserve">In the </w:t>
      </w:r>
      <w:r w:rsidR="0001617D" w:rsidRPr="00FC1EA5">
        <w:rPr>
          <w:sz w:val="22"/>
          <w:u w:color="000000"/>
        </w:rPr>
        <w:t>March quarter 2012</w:t>
      </w:r>
      <w:r w:rsidRPr="00FC1EA5">
        <w:rPr>
          <w:sz w:val="22"/>
          <w:u w:color="000000"/>
        </w:rPr>
        <w:t xml:space="preserve">, outside school hours care services accounted for </w:t>
      </w:r>
      <w:r w:rsidR="00251D84" w:rsidRPr="00FC1EA5">
        <w:rPr>
          <w:sz w:val="22"/>
          <w:u w:color="000000"/>
        </w:rPr>
        <w:t>55.2</w:t>
      </w:r>
      <w:r w:rsidRPr="00FC1EA5">
        <w:rPr>
          <w:sz w:val="22"/>
          <w:u w:color="000000"/>
        </w:rPr>
        <w:t xml:space="preserve"> per cent of all services, while long day care services accounted for 41.</w:t>
      </w:r>
      <w:r w:rsidR="00251D84" w:rsidRPr="00FC1EA5">
        <w:rPr>
          <w:sz w:val="22"/>
          <w:u w:color="000000"/>
        </w:rPr>
        <w:t>3</w:t>
      </w:r>
      <w:r w:rsidRPr="00FC1EA5">
        <w:rPr>
          <w:sz w:val="22"/>
          <w:u w:color="000000"/>
        </w:rPr>
        <w:t xml:space="preserve"> per cent of all services.</w:t>
      </w:r>
    </w:p>
    <w:p w14:paraId="2CCF9724" w14:textId="77777777" w:rsidR="006A64F0" w:rsidRPr="00FC1EA5" w:rsidRDefault="006A64F0" w:rsidP="006A64F0">
      <w:pPr>
        <w:rPr>
          <w:rFonts w:asciiTheme="minorHAnsi" w:hAnsiTheme="minorHAnsi" w:cs="Calibri"/>
          <w:snapToGrid w:val="0"/>
          <w:sz w:val="22"/>
          <w:szCs w:val="22"/>
        </w:rPr>
      </w:pPr>
    </w:p>
    <w:p w14:paraId="2CCF9725" w14:textId="77777777" w:rsidR="006A64F0" w:rsidRPr="00FC1EA5" w:rsidRDefault="006A64F0" w:rsidP="006A64F0">
      <w:pPr>
        <w:pStyle w:val="Caption"/>
        <w:keepNext/>
        <w:ind w:right="-469"/>
        <w:rPr>
          <w:rFonts w:ascii="Calibri" w:hAnsi="Calibri"/>
          <w:sz w:val="22"/>
          <w:szCs w:val="22"/>
        </w:rPr>
      </w:pPr>
      <w:r w:rsidRPr="00FC1EA5">
        <w:rPr>
          <w:rFonts w:ascii="Calibri" w:hAnsi="Calibri"/>
          <w:sz w:val="22"/>
          <w:szCs w:val="22"/>
        </w:rPr>
        <w:t xml:space="preserve">Table 5: Number of </w:t>
      </w:r>
      <w:r w:rsidRPr="00FC1EA5">
        <w:rPr>
          <w:rFonts w:ascii="Calibri" w:hAnsi="Calibri" w:cs="Arial"/>
          <w:bCs w:val="0"/>
          <w:sz w:val="22"/>
          <w:szCs w:val="22"/>
        </w:rPr>
        <w:t xml:space="preserve">child care services by service type, </w:t>
      </w:r>
      <w:r w:rsidR="00251D84" w:rsidRPr="00FC1EA5">
        <w:rPr>
          <w:rFonts w:ascii="Calibri" w:hAnsi="Calibri" w:cs="Arial"/>
          <w:bCs w:val="0"/>
          <w:sz w:val="22"/>
          <w:szCs w:val="22"/>
        </w:rPr>
        <w:t>March</w:t>
      </w:r>
      <w:r w:rsidRPr="00FC1EA5">
        <w:rPr>
          <w:rFonts w:ascii="Calibri" w:hAnsi="Calibri" w:cs="Arial"/>
          <w:bCs w:val="0"/>
          <w:sz w:val="22"/>
          <w:szCs w:val="22"/>
        </w:rPr>
        <w:t xml:space="preserve"> quarter 201</w:t>
      </w:r>
      <w:r w:rsidR="00251D84" w:rsidRPr="00FC1EA5">
        <w:rPr>
          <w:rFonts w:ascii="Calibri" w:hAnsi="Calibri" w:cs="Arial"/>
          <w:bCs w:val="0"/>
          <w:sz w:val="22"/>
          <w:szCs w:val="22"/>
        </w:rPr>
        <w:t>1</w:t>
      </w:r>
      <w:r w:rsidRPr="00FC1EA5">
        <w:rPr>
          <w:rFonts w:ascii="Calibri" w:hAnsi="Calibri" w:cs="Arial"/>
          <w:bCs w:val="0"/>
          <w:sz w:val="22"/>
          <w:szCs w:val="22"/>
        </w:rPr>
        <w:t xml:space="preserve"> to </w:t>
      </w:r>
      <w:r w:rsidR="0001617D" w:rsidRPr="00FC1EA5">
        <w:rPr>
          <w:rFonts w:ascii="Calibri" w:hAnsi="Calibri" w:cs="Arial"/>
          <w:bCs w:val="0"/>
          <w:sz w:val="22"/>
          <w:szCs w:val="22"/>
        </w:rPr>
        <w:t>March quarter 2012</w:t>
      </w:r>
    </w:p>
    <w:tbl>
      <w:tblPr>
        <w:tblW w:w="9555" w:type="dxa"/>
        <w:tblInd w:w="93" w:type="dxa"/>
        <w:tblLayout w:type="fixed"/>
        <w:tblLook w:val="0000" w:firstRow="0" w:lastRow="0" w:firstColumn="0" w:lastColumn="0" w:noHBand="0" w:noVBand="0"/>
      </w:tblPr>
      <w:tblGrid>
        <w:gridCol w:w="4335"/>
        <w:gridCol w:w="1044"/>
        <w:gridCol w:w="1044"/>
        <w:gridCol w:w="1044"/>
        <w:gridCol w:w="1044"/>
        <w:gridCol w:w="1044"/>
      </w:tblGrid>
      <w:tr w:rsidR="002B43E9" w:rsidRPr="00FC1EA5" w14:paraId="2CCF972C" w14:textId="77777777" w:rsidTr="002B43E9">
        <w:trPr>
          <w:trHeight w:val="270"/>
        </w:trPr>
        <w:tc>
          <w:tcPr>
            <w:tcW w:w="4335"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726" w14:textId="77777777" w:rsidR="00251D84" w:rsidRPr="00FC1EA5" w:rsidRDefault="00251D84" w:rsidP="006A64F0">
            <w:pPr>
              <w:rPr>
                <w:rFonts w:ascii="Calibri" w:hAnsi="Calibri" w:cs="Arial"/>
                <w:b/>
                <w:bCs/>
                <w:sz w:val="20"/>
                <w:szCs w:val="20"/>
              </w:rPr>
            </w:pPr>
            <w:r w:rsidRPr="00FC1EA5">
              <w:rPr>
                <w:rFonts w:ascii="Calibri" w:hAnsi="Calibri" w:cs="Arial"/>
                <w:b/>
                <w:bCs/>
                <w:sz w:val="20"/>
                <w:szCs w:val="20"/>
              </w:rPr>
              <w:t>Service type</w:t>
            </w:r>
          </w:p>
        </w:tc>
        <w:tc>
          <w:tcPr>
            <w:tcW w:w="1044"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27" w14:textId="77777777" w:rsidR="00251D84" w:rsidRPr="00FC1EA5" w:rsidRDefault="00251D84" w:rsidP="00933A6C">
            <w:pPr>
              <w:jc w:val="right"/>
              <w:rPr>
                <w:rFonts w:ascii="Calibri" w:hAnsi="Calibri"/>
                <w:b/>
                <w:sz w:val="20"/>
                <w:szCs w:val="20"/>
              </w:rPr>
            </w:pPr>
            <w:r w:rsidRPr="00FC1EA5">
              <w:rPr>
                <w:rFonts w:ascii="Calibri" w:hAnsi="Calibri"/>
                <w:b/>
                <w:sz w:val="20"/>
                <w:szCs w:val="20"/>
              </w:rPr>
              <w:t>Mar. 11</w:t>
            </w:r>
          </w:p>
        </w:tc>
        <w:tc>
          <w:tcPr>
            <w:tcW w:w="1044" w:type="dxa"/>
            <w:tcBorders>
              <w:top w:val="single" w:sz="4" w:space="0" w:color="FFFFFF" w:themeColor="background1"/>
              <w:left w:val="nil"/>
              <w:bottom w:val="single" w:sz="4" w:space="0" w:color="FFFFFF" w:themeColor="background1"/>
              <w:right w:val="nil"/>
            </w:tcBorders>
            <w:vAlign w:val="center"/>
          </w:tcPr>
          <w:p w14:paraId="2CCF9728" w14:textId="77777777" w:rsidR="00251D84" w:rsidRPr="00FC1EA5" w:rsidRDefault="00251D84" w:rsidP="00933A6C">
            <w:pPr>
              <w:jc w:val="right"/>
              <w:rPr>
                <w:rFonts w:ascii="Calibri" w:hAnsi="Calibri"/>
                <w:b/>
                <w:sz w:val="20"/>
                <w:szCs w:val="20"/>
              </w:rPr>
            </w:pPr>
            <w:r w:rsidRPr="00FC1EA5">
              <w:rPr>
                <w:rFonts w:ascii="Calibri" w:hAnsi="Calibri"/>
                <w:b/>
                <w:sz w:val="20"/>
                <w:szCs w:val="20"/>
              </w:rPr>
              <w:t>June 11</w:t>
            </w:r>
          </w:p>
        </w:tc>
        <w:tc>
          <w:tcPr>
            <w:tcW w:w="1044" w:type="dxa"/>
            <w:tcBorders>
              <w:top w:val="single" w:sz="4" w:space="0" w:color="FFFFFF" w:themeColor="background1"/>
              <w:left w:val="nil"/>
              <w:bottom w:val="single" w:sz="4" w:space="0" w:color="FFFFFF" w:themeColor="background1"/>
              <w:right w:val="nil"/>
            </w:tcBorders>
            <w:vAlign w:val="center"/>
          </w:tcPr>
          <w:p w14:paraId="2CCF9729" w14:textId="77777777" w:rsidR="00251D84" w:rsidRPr="00FC1EA5" w:rsidRDefault="00251D84" w:rsidP="00933A6C">
            <w:pPr>
              <w:jc w:val="right"/>
              <w:rPr>
                <w:rFonts w:ascii="Calibri" w:hAnsi="Calibri"/>
                <w:b/>
                <w:sz w:val="20"/>
                <w:szCs w:val="20"/>
              </w:rPr>
            </w:pPr>
            <w:r w:rsidRPr="00FC1EA5">
              <w:rPr>
                <w:rFonts w:ascii="Calibri" w:hAnsi="Calibri"/>
                <w:b/>
                <w:sz w:val="20"/>
                <w:szCs w:val="20"/>
              </w:rPr>
              <w:t>Sept. 11</w:t>
            </w:r>
          </w:p>
        </w:tc>
        <w:tc>
          <w:tcPr>
            <w:tcW w:w="1044" w:type="dxa"/>
            <w:tcBorders>
              <w:top w:val="single" w:sz="4" w:space="0" w:color="FFFFFF" w:themeColor="background1"/>
              <w:left w:val="nil"/>
              <w:bottom w:val="single" w:sz="4" w:space="0" w:color="FFFFFF" w:themeColor="background1"/>
              <w:right w:val="nil"/>
            </w:tcBorders>
            <w:vAlign w:val="center"/>
          </w:tcPr>
          <w:p w14:paraId="2CCF972A" w14:textId="77777777" w:rsidR="00251D84" w:rsidRPr="00FC1EA5" w:rsidRDefault="00251D84" w:rsidP="00933A6C">
            <w:pPr>
              <w:jc w:val="right"/>
              <w:rPr>
                <w:rFonts w:ascii="Calibri" w:hAnsi="Calibri"/>
                <w:b/>
                <w:sz w:val="20"/>
                <w:szCs w:val="20"/>
              </w:rPr>
            </w:pPr>
            <w:r w:rsidRPr="00FC1EA5">
              <w:rPr>
                <w:rFonts w:ascii="Calibri" w:hAnsi="Calibri"/>
                <w:b/>
                <w:sz w:val="20"/>
                <w:szCs w:val="20"/>
              </w:rPr>
              <w:t>Dec. 11</w:t>
            </w:r>
          </w:p>
        </w:tc>
        <w:tc>
          <w:tcPr>
            <w:tcW w:w="1044" w:type="dxa"/>
            <w:tcBorders>
              <w:top w:val="single" w:sz="4" w:space="0" w:color="FFFFFF" w:themeColor="background1"/>
              <w:left w:val="nil"/>
              <w:bottom w:val="single" w:sz="4" w:space="0" w:color="FFFFFF" w:themeColor="background1"/>
              <w:right w:val="nil"/>
            </w:tcBorders>
            <w:vAlign w:val="center"/>
          </w:tcPr>
          <w:p w14:paraId="2CCF972B" w14:textId="77777777" w:rsidR="00251D84" w:rsidRPr="00FC1EA5" w:rsidRDefault="00251D84" w:rsidP="00251D84">
            <w:pPr>
              <w:jc w:val="right"/>
              <w:rPr>
                <w:rFonts w:ascii="Calibri" w:hAnsi="Calibri"/>
                <w:b/>
                <w:sz w:val="20"/>
                <w:szCs w:val="20"/>
              </w:rPr>
            </w:pPr>
            <w:r w:rsidRPr="00FC1EA5">
              <w:rPr>
                <w:rFonts w:ascii="Calibri" w:hAnsi="Calibri"/>
                <w:b/>
                <w:sz w:val="20"/>
                <w:szCs w:val="20"/>
              </w:rPr>
              <w:t>Mar. 12</w:t>
            </w:r>
          </w:p>
        </w:tc>
      </w:tr>
      <w:tr w:rsidR="002B43E9" w:rsidRPr="00FC1EA5" w14:paraId="2CCF9733" w14:textId="77777777" w:rsidTr="002B43E9">
        <w:trPr>
          <w:trHeight w:val="255"/>
        </w:trPr>
        <w:tc>
          <w:tcPr>
            <w:tcW w:w="4335" w:type="dxa"/>
            <w:tcBorders>
              <w:top w:val="single" w:sz="4" w:space="0" w:color="FFFFFF" w:themeColor="background1"/>
              <w:left w:val="nil"/>
              <w:bottom w:val="nil"/>
              <w:right w:val="single" w:sz="4" w:space="0" w:color="FFFFFF" w:themeColor="background1"/>
            </w:tcBorders>
            <w:noWrap/>
            <w:vAlign w:val="center"/>
          </w:tcPr>
          <w:p w14:paraId="2CCF972D" w14:textId="77777777" w:rsidR="00251D84" w:rsidRPr="00FC1EA5" w:rsidRDefault="00251D84" w:rsidP="006A64F0">
            <w:pPr>
              <w:rPr>
                <w:rFonts w:ascii="Calibri" w:hAnsi="Calibri" w:cs="Arial"/>
                <w:sz w:val="20"/>
                <w:szCs w:val="20"/>
              </w:rPr>
            </w:pPr>
            <w:r w:rsidRPr="00FC1EA5">
              <w:rPr>
                <w:rFonts w:ascii="Calibri" w:hAnsi="Calibri" w:cs="Arial"/>
                <w:sz w:val="20"/>
                <w:szCs w:val="20"/>
              </w:rPr>
              <w:t>Long day care</w:t>
            </w:r>
          </w:p>
        </w:tc>
        <w:tc>
          <w:tcPr>
            <w:tcW w:w="1044" w:type="dxa"/>
            <w:tcBorders>
              <w:top w:val="single" w:sz="4" w:space="0" w:color="FFFFFF" w:themeColor="background1"/>
              <w:left w:val="single" w:sz="4" w:space="0" w:color="FFFFFF" w:themeColor="background1"/>
              <w:bottom w:val="nil"/>
              <w:right w:val="nil"/>
            </w:tcBorders>
            <w:noWrap/>
            <w:vAlign w:val="center"/>
          </w:tcPr>
          <w:p w14:paraId="2CCF972E"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6,086</w:t>
            </w:r>
          </w:p>
        </w:tc>
        <w:tc>
          <w:tcPr>
            <w:tcW w:w="1044" w:type="dxa"/>
            <w:tcBorders>
              <w:top w:val="single" w:sz="4" w:space="0" w:color="FFFFFF" w:themeColor="background1"/>
              <w:left w:val="nil"/>
              <w:bottom w:val="nil"/>
              <w:right w:val="nil"/>
            </w:tcBorders>
            <w:noWrap/>
            <w:vAlign w:val="center"/>
          </w:tcPr>
          <w:p w14:paraId="2CCF972F"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6,053</w:t>
            </w:r>
          </w:p>
        </w:tc>
        <w:tc>
          <w:tcPr>
            <w:tcW w:w="1044" w:type="dxa"/>
            <w:tcBorders>
              <w:top w:val="single" w:sz="4" w:space="0" w:color="FFFFFF" w:themeColor="background1"/>
              <w:left w:val="nil"/>
              <w:bottom w:val="nil"/>
              <w:right w:val="nil"/>
            </w:tcBorders>
            <w:noWrap/>
            <w:vAlign w:val="center"/>
          </w:tcPr>
          <w:p w14:paraId="2CCF9730"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6,071</w:t>
            </w:r>
          </w:p>
        </w:tc>
        <w:tc>
          <w:tcPr>
            <w:tcW w:w="1044" w:type="dxa"/>
            <w:tcBorders>
              <w:top w:val="single" w:sz="4" w:space="0" w:color="FFFFFF" w:themeColor="background1"/>
              <w:left w:val="nil"/>
              <w:bottom w:val="nil"/>
              <w:right w:val="nil"/>
            </w:tcBorders>
            <w:vAlign w:val="center"/>
          </w:tcPr>
          <w:p w14:paraId="2CCF9731"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6,123</w:t>
            </w:r>
          </w:p>
        </w:tc>
        <w:tc>
          <w:tcPr>
            <w:tcW w:w="1044" w:type="dxa"/>
            <w:tcBorders>
              <w:top w:val="single" w:sz="4" w:space="0" w:color="FFFFFF" w:themeColor="background1"/>
              <w:left w:val="nil"/>
              <w:bottom w:val="nil"/>
              <w:right w:val="nil"/>
            </w:tcBorders>
            <w:vAlign w:val="center"/>
          </w:tcPr>
          <w:p w14:paraId="2CCF9732" w14:textId="77777777" w:rsidR="00251D84" w:rsidRPr="00FC1EA5" w:rsidRDefault="00251D84" w:rsidP="00251D84">
            <w:pPr>
              <w:jc w:val="right"/>
              <w:rPr>
                <w:rFonts w:ascii="Calibri" w:hAnsi="Calibri" w:cs="Calibri"/>
                <w:sz w:val="20"/>
                <w:szCs w:val="20"/>
              </w:rPr>
            </w:pPr>
            <w:r w:rsidRPr="00FC1EA5">
              <w:rPr>
                <w:rFonts w:ascii="Calibri" w:hAnsi="Calibri" w:cs="Calibri"/>
                <w:sz w:val="20"/>
                <w:szCs w:val="20"/>
              </w:rPr>
              <w:t>6,133</w:t>
            </w:r>
          </w:p>
        </w:tc>
      </w:tr>
      <w:tr w:rsidR="002B43E9" w:rsidRPr="00FC1EA5" w14:paraId="2CCF973A" w14:textId="77777777" w:rsidTr="002B43E9">
        <w:trPr>
          <w:trHeight w:val="255"/>
        </w:trPr>
        <w:tc>
          <w:tcPr>
            <w:tcW w:w="4335" w:type="dxa"/>
            <w:tcBorders>
              <w:top w:val="nil"/>
              <w:left w:val="nil"/>
              <w:bottom w:val="nil"/>
              <w:right w:val="single" w:sz="4" w:space="0" w:color="FFFFFF" w:themeColor="background1"/>
            </w:tcBorders>
            <w:noWrap/>
            <w:vAlign w:val="center"/>
          </w:tcPr>
          <w:p w14:paraId="2CCF9734" w14:textId="77777777" w:rsidR="00251D84" w:rsidRPr="00FC1EA5" w:rsidRDefault="00251D84" w:rsidP="006A64F0">
            <w:pPr>
              <w:rPr>
                <w:rFonts w:ascii="Calibri" w:hAnsi="Calibri" w:cs="Arial"/>
                <w:sz w:val="20"/>
                <w:szCs w:val="20"/>
              </w:rPr>
            </w:pPr>
            <w:r w:rsidRPr="00FC1EA5">
              <w:rPr>
                <w:rFonts w:ascii="Calibri" w:hAnsi="Calibri" w:cs="Arial"/>
                <w:sz w:val="20"/>
                <w:szCs w:val="20"/>
              </w:rPr>
              <w:t>Family day care and In-home care</w:t>
            </w:r>
          </w:p>
        </w:tc>
        <w:tc>
          <w:tcPr>
            <w:tcW w:w="1044" w:type="dxa"/>
            <w:tcBorders>
              <w:top w:val="nil"/>
              <w:left w:val="single" w:sz="4" w:space="0" w:color="FFFFFF" w:themeColor="background1"/>
              <w:bottom w:val="nil"/>
              <w:right w:val="nil"/>
            </w:tcBorders>
            <w:noWrap/>
            <w:vAlign w:val="center"/>
          </w:tcPr>
          <w:p w14:paraId="2CCF9735"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401</w:t>
            </w:r>
          </w:p>
        </w:tc>
        <w:tc>
          <w:tcPr>
            <w:tcW w:w="1044" w:type="dxa"/>
            <w:tcBorders>
              <w:top w:val="nil"/>
              <w:left w:val="nil"/>
              <w:bottom w:val="nil"/>
              <w:right w:val="nil"/>
            </w:tcBorders>
            <w:noWrap/>
            <w:vAlign w:val="center"/>
          </w:tcPr>
          <w:p w14:paraId="2CCF9736"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413</w:t>
            </w:r>
          </w:p>
        </w:tc>
        <w:tc>
          <w:tcPr>
            <w:tcW w:w="1044" w:type="dxa"/>
            <w:tcBorders>
              <w:top w:val="nil"/>
              <w:left w:val="nil"/>
              <w:bottom w:val="nil"/>
              <w:right w:val="nil"/>
            </w:tcBorders>
            <w:noWrap/>
            <w:vAlign w:val="center"/>
          </w:tcPr>
          <w:p w14:paraId="2CCF9737"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419</w:t>
            </w:r>
          </w:p>
        </w:tc>
        <w:tc>
          <w:tcPr>
            <w:tcW w:w="1044" w:type="dxa"/>
            <w:tcBorders>
              <w:top w:val="nil"/>
              <w:left w:val="nil"/>
              <w:bottom w:val="nil"/>
              <w:right w:val="nil"/>
            </w:tcBorders>
            <w:vAlign w:val="center"/>
          </w:tcPr>
          <w:p w14:paraId="2CCF9738"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424</w:t>
            </w:r>
          </w:p>
        </w:tc>
        <w:tc>
          <w:tcPr>
            <w:tcW w:w="1044" w:type="dxa"/>
            <w:tcBorders>
              <w:top w:val="nil"/>
              <w:left w:val="nil"/>
              <w:bottom w:val="nil"/>
              <w:right w:val="nil"/>
            </w:tcBorders>
            <w:vAlign w:val="center"/>
          </w:tcPr>
          <w:p w14:paraId="2CCF9739" w14:textId="77777777" w:rsidR="00251D84" w:rsidRPr="00FC1EA5" w:rsidRDefault="00251D84" w:rsidP="00251D84">
            <w:pPr>
              <w:jc w:val="right"/>
              <w:rPr>
                <w:rFonts w:ascii="Calibri" w:hAnsi="Calibri" w:cs="Calibri"/>
                <w:sz w:val="20"/>
                <w:szCs w:val="20"/>
              </w:rPr>
            </w:pPr>
            <w:r w:rsidRPr="00FC1EA5">
              <w:rPr>
                <w:rFonts w:ascii="Calibri" w:hAnsi="Calibri" w:cs="Calibri"/>
                <w:sz w:val="20"/>
                <w:szCs w:val="20"/>
              </w:rPr>
              <w:t>434</w:t>
            </w:r>
          </w:p>
        </w:tc>
      </w:tr>
      <w:tr w:rsidR="002B43E9" w:rsidRPr="00FC1EA5" w14:paraId="2CCF9741" w14:textId="77777777" w:rsidTr="002B43E9">
        <w:trPr>
          <w:trHeight w:val="255"/>
        </w:trPr>
        <w:tc>
          <w:tcPr>
            <w:tcW w:w="4335" w:type="dxa"/>
            <w:tcBorders>
              <w:top w:val="nil"/>
              <w:left w:val="nil"/>
              <w:bottom w:val="nil"/>
              <w:right w:val="single" w:sz="4" w:space="0" w:color="FFFFFF" w:themeColor="background1"/>
            </w:tcBorders>
            <w:noWrap/>
            <w:vAlign w:val="center"/>
          </w:tcPr>
          <w:p w14:paraId="2CCF973B" w14:textId="77777777" w:rsidR="00251D84" w:rsidRPr="00FC1EA5" w:rsidRDefault="00251D84" w:rsidP="006A64F0">
            <w:pPr>
              <w:rPr>
                <w:rFonts w:ascii="Calibri" w:hAnsi="Calibri" w:cs="Arial"/>
                <w:sz w:val="20"/>
                <w:szCs w:val="20"/>
              </w:rPr>
            </w:pPr>
            <w:r w:rsidRPr="00FC1EA5">
              <w:rPr>
                <w:rFonts w:ascii="Calibri" w:hAnsi="Calibri" w:cs="Arial"/>
                <w:sz w:val="20"/>
                <w:szCs w:val="20"/>
              </w:rPr>
              <w:t>Occasional care</w:t>
            </w:r>
          </w:p>
        </w:tc>
        <w:tc>
          <w:tcPr>
            <w:tcW w:w="1044" w:type="dxa"/>
            <w:tcBorders>
              <w:top w:val="nil"/>
              <w:left w:val="single" w:sz="4" w:space="0" w:color="FFFFFF" w:themeColor="background1"/>
              <w:bottom w:val="nil"/>
              <w:right w:val="nil"/>
            </w:tcBorders>
            <w:noWrap/>
            <w:vAlign w:val="center"/>
          </w:tcPr>
          <w:p w14:paraId="2CCF973C"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85</w:t>
            </w:r>
          </w:p>
        </w:tc>
        <w:tc>
          <w:tcPr>
            <w:tcW w:w="1044" w:type="dxa"/>
            <w:tcBorders>
              <w:top w:val="nil"/>
              <w:left w:val="nil"/>
              <w:bottom w:val="nil"/>
              <w:right w:val="nil"/>
            </w:tcBorders>
            <w:noWrap/>
            <w:vAlign w:val="center"/>
          </w:tcPr>
          <w:p w14:paraId="2CCF973D"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84</w:t>
            </w:r>
          </w:p>
        </w:tc>
        <w:tc>
          <w:tcPr>
            <w:tcW w:w="1044" w:type="dxa"/>
            <w:tcBorders>
              <w:top w:val="nil"/>
              <w:left w:val="nil"/>
              <w:bottom w:val="nil"/>
              <w:right w:val="nil"/>
            </w:tcBorders>
            <w:noWrap/>
            <w:vAlign w:val="center"/>
          </w:tcPr>
          <w:p w14:paraId="2CCF973E"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82</w:t>
            </w:r>
          </w:p>
        </w:tc>
        <w:tc>
          <w:tcPr>
            <w:tcW w:w="1044" w:type="dxa"/>
            <w:tcBorders>
              <w:top w:val="nil"/>
              <w:left w:val="nil"/>
              <w:bottom w:val="nil"/>
              <w:right w:val="nil"/>
            </w:tcBorders>
            <w:vAlign w:val="center"/>
          </w:tcPr>
          <w:p w14:paraId="2CCF973F"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82</w:t>
            </w:r>
          </w:p>
        </w:tc>
        <w:tc>
          <w:tcPr>
            <w:tcW w:w="1044" w:type="dxa"/>
            <w:tcBorders>
              <w:top w:val="nil"/>
              <w:left w:val="nil"/>
              <w:bottom w:val="nil"/>
              <w:right w:val="nil"/>
            </w:tcBorders>
            <w:vAlign w:val="center"/>
          </w:tcPr>
          <w:p w14:paraId="2CCF9740" w14:textId="77777777" w:rsidR="00251D84" w:rsidRPr="00FC1EA5" w:rsidRDefault="00251D84" w:rsidP="00251D84">
            <w:pPr>
              <w:jc w:val="right"/>
              <w:rPr>
                <w:rFonts w:ascii="Calibri" w:hAnsi="Calibri" w:cs="Calibri"/>
                <w:sz w:val="20"/>
                <w:szCs w:val="20"/>
              </w:rPr>
            </w:pPr>
            <w:r w:rsidRPr="00FC1EA5">
              <w:rPr>
                <w:rFonts w:ascii="Calibri" w:hAnsi="Calibri" w:cs="Calibri"/>
                <w:sz w:val="20"/>
                <w:szCs w:val="20"/>
              </w:rPr>
              <w:t>80</w:t>
            </w:r>
          </w:p>
        </w:tc>
      </w:tr>
      <w:tr w:rsidR="002B43E9" w:rsidRPr="00FC1EA5" w14:paraId="2CCF9748" w14:textId="77777777" w:rsidTr="002B43E9">
        <w:trPr>
          <w:trHeight w:val="255"/>
        </w:trPr>
        <w:tc>
          <w:tcPr>
            <w:tcW w:w="4335" w:type="dxa"/>
            <w:tcBorders>
              <w:top w:val="nil"/>
              <w:left w:val="nil"/>
              <w:bottom w:val="single" w:sz="4" w:space="0" w:color="FFFFFF" w:themeColor="background1"/>
              <w:right w:val="single" w:sz="4" w:space="0" w:color="FFFFFF" w:themeColor="background1"/>
            </w:tcBorders>
            <w:vAlign w:val="center"/>
          </w:tcPr>
          <w:p w14:paraId="2CCF9742" w14:textId="77777777" w:rsidR="00251D84" w:rsidRPr="00FC1EA5" w:rsidRDefault="00251D84" w:rsidP="006A64F0">
            <w:pPr>
              <w:rPr>
                <w:rFonts w:ascii="Calibri" w:hAnsi="Calibri" w:cs="Arial"/>
                <w:sz w:val="20"/>
                <w:szCs w:val="20"/>
              </w:rPr>
            </w:pPr>
            <w:r w:rsidRPr="00FC1EA5">
              <w:rPr>
                <w:rFonts w:ascii="Calibri" w:hAnsi="Calibri" w:cs="Arial"/>
                <w:sz w:val="20"/>
                <w:szCs w:val="20"/>
              </w:rPr>
              <w:t>Outside school hours care</w:t>
            </w:r>
          </w:p>
        </w:tc>
        <w:tc>
          <w:tcPr>
            <w:tcW w:w="1044" w:type="dxa"/>
            <w:tcBorders>
              <w:top w:val="nil"/>
              <w:left w:val="single" w:sz="4" w:space="0" w:color="FFFFFF" w:themeColor="background1"/>
              <w:bottom w:val="single" w:sz="4" w:space="0" w:color="FFFFFF" w:themeColor="background1"/>
              <w:right w:val="nil"/>
            </w:tcBorders>
            <w:noWrap/>
            <w:vAlign w:val="center"/>
          </w:tcPr>
          <w:p w14:paraId="2CCF9743"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7,718</w:t>
            </w:r>
          </w:p>
        </w:tc>
        <w:tc>
          <w:tcPr>
            <w:tcW w:w="1044" w:type="dxa"/>
            <w:tcBorders>
              <w:top w:val="nil"/>
              <w:left w:val="nil"/>
              <w:bottom w:val="single" w:sz="4" w:space="0" w:color="FFFFFF" w:themeColor="background1"/>
              <w:right w:val="nil"/>
            </w:tcBorders>
            <w:noWrap/>
            <w:vAlign w:val="center"/>
          </w:tcPr>
          <w:p w14:paraId="2CCF9744"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7,891</w:t>
            </w:r>
          </w:p>
        </w:tc>
        <w:tc>
          <w:tcPr>
            <w:tcW w:w="1044" w:type="dxa"/>
            <w:tcBorders>
              <w:top w:val="nil"/>
              <w:left w:val="nil"/>
              <w:bottom w:val="single" w:sz="4" w:space="0" w:color="FFFFFF" w:themeColor="background1"/>
              <w:right w:val="nil"/>
            </w:tcBorders>
            <w:noWrap/>
            <w:vAlign w:val="center"/>
          </w:tcPr>
          <w:p w14:paraId="2CCF9745"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7,950</w:t>
            </w:r>
          </w:p>
        </w:tc>
        <w:tc>
          <w:tcPr>
            <w:tcW w:w="1044" w:type="dxa"/>
            <w:tcBorders>
              <w:top w:val="nil"/>
              <w:left w:val="nil"/>
              <w:bottom w:val="single" w:sz="4" w:space="0" w:color="FFFFFF" w:themeColor="background1"/>
              <w:right w:val="nil"/>
            </w:tcBorders>
            <w:vAlign w:val="center"/>
          </w:tcPr>
          <w:p w14:paraId="2CCF9746" w14:textId="77777777" w:rsidR="00251D84" w:rsidRPr="00FC1EA5" w:rsidRDefault="00251D84" w:rsidP="00933A6C">
            <w:pPr>
              <w:jc w:val="right"/>
              <w:rPr>
                <w:rFonts w:ascii="Calibri" w:hAnsi="Calibri" w:cs="Calibri"/>
                <w:sz w:val="20"/>
                <w:szCs w:val="20"/>
              </w:rPr>
            </w:pPr>
            <w:r w:rsidRPr="00FC1EA5">
              <w:rPr>
                <w:rFonts w:ascii="Calibri" w:hAnsi="Calibri" w:cs="Calibri"/>
                <w:sz w:val="20"/>
                <w:szCs w:val="20"/>
              </w:rPr>
              <w:t>7,985</w:t>
            </w:r>
          </w:p>
        </w:tc>
        <w:tc>
          <w:tcPr>
            <w:tcW w:w="1044" w:type="dxa"/>
            <w:tcBorders>
              <w:top w:val="nil"/>
              <w:left w:val="nil"/>
              <w:bottom w:val="single" w:sz="4" w:space="0" w:color="FFFFFF" w:themeColor="background1"/>
              <w:right w:val="nil"/>
            </w:tcBorders>
            <w:vAlign w:val="center"/>
          </w:tcPr>
          <w:p w14:paraId="2CCF9747" w14:textId="77777777" w:rsidR="00251D84" w:rsidRPr="00FC1EA5" w:rsidRDefault="00251D84" w:rsidP="00BF71AF">
            <w:pPr>
              <w:jc w:val="right"/>
              <w:rPr>
                <w:rFonts w:ascii="Calibri" w:hAnsi="Calibri" w:cs="Calibri"/>
                <w:sz w:val="20"/>
                <w:szCs w:val="20"/>
              </w:rPr>
            </w:pPr>
            <w:r w:rsidRPr="00FC1EA5">
              <w:rPr>
                <w:rFonts w:ascii="Calibri" w:hAnsi="Calibri" w:cs="Calibri"/>
                <w:sz w:val="20"/>
                <w:szCs w:val="20"/>
              </w:rPr>
              <w:t>8,203</w:t>
            </w:r>
          </w:p>
        </w:tc>
      </w:tr>
      <w:tr w:rsidR="002B43E9" w:rsidRPr="00FC1EA5" w14:paraId="2CCF974F" w14:textId="77777777" w:rsidTr="002B43E9">
        <w:trPr>
          <w:trHeight w:val="270"/>
        </w:trPr>
        <w:tc>
          <w:tcPr>
            <w:tcW w:w="4335" w:type="dxa"/>
            <w:tcBorders>
              <w:top w:val="single" w:sz="4" w:space="0" w:color="FFFFFF" w:themeColor="background1"/>
              <w:left w:val="nil"/>
              <w:bottom w:val="single" w:sz="4" w:space="0" w:color="FFFFFF" w:themeColor="background1"/>
              <w:right w:val="single" w:sz="4" w:space="0" w:color="FFFFFF" w:themeColor="background1"/>
            </w:tcBorders>
            <w:noWrap/>
            <w:vAlign w:val="center"/>
          </w:tcPr>
          <w:p w14:paraId="2CCF9749" w14:textId="77777777" w:rsidR="00251D84" w:rsidRPr="00FC1EA5" w:rsidRDefault="00251D84" w:rsidP="006A64F0">
            <w:pPr>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1</w:t>
            </w:r>
            <w:proofErr w:type="spellEnd"/>
          </w:p>
        </w:tc>
        <w:tc>
          <w:tcPr>
            <w:tcW w:w="1044" w:type="dxa"/>
            <w:tcBorders>
              <w:top w:val="single" w:sz="4" w:space="0" w:color="FFFFFF" w:themeColor="background1"/>
              <w:left w:val="single" w:sz="4" w:space="0" w:color="FFFFFF" w:themeColor="background1"/>
              <w:bottom w:val="single" w:sz="4" w:space="0" w:color="FFFFFF" w:themeColor="background1"/>
              <w:right w:val="nil"/>
            </w:tcBorders>
            <w:noWrap/>
            <w:vAlign w:val="center"/>
          </w:tcPr>
          <w:p w14:paraId="2CCF974A" w14:textId="77777777" w:rsidR="00251D84" w:rsidRPr="00FC1EA5" w:rsidRDefault="00251D84" w:rsidP="00933A6C">
            <w:pPr>
              <w:jc w:val="right"/>
              <w:rPr>
                <w:rFonts w:ascii="Calibri" w:hAnsi="Calibri" w:cs="Calibri"/>
                <w:b/>
                <w:bCs/>
                <w:sz w:val="20"/>
                <w:szCs w:val="20"/>
              </w:rPr>
            </w:pPr>
            <w:r w:rsidRPr="00FC1EA5">
              <w:rPr>
                <w:rFonts w:ascii="Calibri" w:hAnsi="Calibri" w:cs="Calibri"/>
                <w:b/>
                <w:bCs/>
                <w:sz w:val="20"/>
                <w:szCs w:val="20"/>
              </w:rPr>
              <w:t>14,290</w:t>
            </w:r>
          </w:p>
        </w:tc>
        <w:tc>
          <w:tcPr>
            <w:tcW w:w="1044" w:type="dxa"/>
            <w:tcBorders>
              <w:top w:val="single" w:sz="4" w:space="0" w:color="FFFFFF" w:themeColor="background1"/>
              <w:left w:val="nil"/>
              <w:bottom w:val="single" w:sz="4" w:space="0" w:color="FFFFFF" w:themeColor="background1"/>
              <w:right w:val="nil"/>
            </w:tcBorders>
            <w:noWrap/>
            <w:vAlign w:val="center"/>
          </w:tcPr>
          <w:p w14:paraId="2CCF974B" w14:textId="77777777" w:rsidR="00251D84" w:rsidRPr="00FC1EA5" w:rsidRDefault="00251D84" w:rsidP="00933A6C">
            <w:pPr>
              <w:jc w:val="right"/>
              <w:rPr>
                <w:rFonts w:ascii="Calibri" w:hAnsi="Calibri" w:cs="Calibri"/>
                <w:b/>
                <w:bCs/>
                <w:sz w:val="20"/>
                <w:szCs w:val="20"/>
              </w:rPr>
            </w:pPr>
            <w:r w:rsidRPr="00FC1EA5">
              <w:rPr>
                <w:rFonts w:ascii="Calibri" w:hAnsi="Calibri" w:cs="Calibri"/>
                <w:b/>
                <w:bCs/>
                <w:sz w:val="20"/>
                <w:szCs w:val="20"/>
              </w:rPr>
              <w:t>14,441</w:t>
            </w:r>
          </w:p>
        </w:tc>
        <w:tc>
          <w:tcPr>
            <w:tcW w:w="1044" w:type="dxa"/>
            <w:tcBorders>
              <w:top w:val="single" w:sz="4" w:space="0" w:color="FFFFFF" w:themeColor="background1"/>
              <w:left w:val="nil"/>
              <w:bottom w:val="single" w:sz="4" w:space="0" w:color="FFFFFF" w:themeColor="background1"/>
              <w:right w:val="nil"/>
            </w:tcBorders>
            <w:noWrap/>
            <w:vAlign w:val="center"/>
          </w:tcPr>
          <w:p w14:paraId="2CCF974C" w14:textId="77777777" w:rsidR="00251D84" w:rsidRPr="00FC1EA5" w:rsidRDefault="00251D84" w:rsidP="00933A6C">
            <w:pPr>
              <w:jc w:val="right"/>
              <w:rPr>
                <w:rFonts w:ascii="Calibri" w:hAnsi="Calibri" w:cs="Calibri"/>
                <w:b/>
                <w:bCs/>
                <w:sz w:val="20"/>
                <w:szCs w:val="20"/>
              </w:rPr>
            </w:pPr>
            <w:r w:rsidRPr="00FC1EA5">
              <w:rPr>
                <w:rFonts w:ascii="Calibri" w:hAnsi="Calibri" w:cs="Calibri"/>
                <w:b/>
                <w:bCs/>
                <w:sz w:val="20"/>
                <w:szCs w:val="20"/>
              </w:rPr>
              <w:t>14,523</w:t>
            </w:r>
          </w:p>
        </w:tc>
        <w:tc>
          <w:tcPr>
            <w:tcW w:w="1044" w:type="dxa"/>
            <w:tcBorders>
              <w:top w:val="single" w:sz="4" w:space="0" w:color="FFFFFF" w:themeColor="background1"/>
              <w:left w:val="nil"/>
              <w:bottom w:val="single" w:sz="4" w:space="0" w:color="FFFFFF" w:themeColor="background1"/>
              <w:right w:val="nil"/>
            </w:tcBorders>
            <w:vAlign w:val="center"/>
          </w:tcPr>
          <w:p w14:paraId="2CCF974D" w14:textId="77777777" w:rsidR="00251D84" w:rsidRPr="00FC1EA5" w:rsidRDefault="00251D84" w:rsidP="00933A6C">
            <w:pPr>
              <w:jc w:val="right"/>
              <w:rPr>
                <w:rFonts w:ascii="Calibri" w:hAnsi="Calibri" w:cs="Calibri"/>
                <w:b/>
                <w:bCs/>
                <w:sz w:val="20"/>
                <w:szCs w:val="20"/>
              </w:rPr>
            </w:pPr>
            <w:r w:rsidRPr="00FC1EA5">
              <w:rPr>
                <w:rFonts w:ascii="Calibri" w:hAnsi="Calibri" w:cs="Calibri"/>
                <w:b/>
                <w:bCs/>
                <w:sz w:val="20"/>
                <w:szCs w:val="20"/>
              </w:rPr>
              <w:t>14,614</w:t>
            </w:r>
          </w:p>
        </w:tc>
        <w:tc>
          <w:tcPr>
            <w:tcW w:w="1044" w:type="dxa"/>
            <w:tcBorders>
              <w:top w:val="single" w:sz="4" w:space="0" w:color="FFFFFF" w:themeColor="background1"/>
              <w:left w:val="nil"/>
              <w:bottom w:val="single" w:sz="4" w:space="0" w:color="FFFFFF" w:themeColor="background1"/>
              <w:right w:val="nil"/>
            </w:tcBorders>
            <w:vAlign w:val="center"/>
          </w:tcPr>
          <w:p w14:paraId="2CCF974E" w14:textId="77777777" w:rsidR="00251D84" w:rsidRPr="00FC1EA5" w:rsidRDefault="00251D84" w:rsidP="00251D84">
            <w:pPr>
              <w:jc w:val="right"/>
              <w:rPr>
                <w:rFonts w:ascii="Calibri" w:hAnsi="Calibri" w:cs="Calibri"/>
                <w:b/>
                <w:bCs/>
                <w:sz w:val="20"/>
                <w:szCs w:val="20"/>
              </w:rPr>
            </w:pPr>
            <w:r w:rsidRPr="00FC1EA5">
              <w:rPr>
                <w:rFonts w:ascii="Calibri" w:hAnsi="Calibri" w:cs="Calibri"/>
                <w:b/>
                <w:bCs/>
                <w:sz w:val="20"/>
                <w:szCs w:val="20"/>
              </w:rPr>
              <w:t>14,851</w:t>
            </w:r>
          </w:p>
        </w:tc>
      </w:tr>
    </w:tbl>
    <w:p w14:paraId="2CCF9750"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z w:val="16"/>
          <w:szCs w:val="16"/>
          <w:vertAlign w:val="superscript"/>
        </w:rPr>
        <w:t>1</w:t>
      </w:r>
      <w:r w:rsidRPr="00FC1EA5">
        <w:rPr>
          <w:rFonts w:ascii="Calibri" w:hAnsi="Calibri"/>
          <w:sz w:val="16"/>
          <w:szCs w:val="16"/>
        </w:rPr>
        <w:t xml:space="preserve"> </w:t>
      </w:r>
      <w:r w:rsidR="001D55BB" w:rsidRPr="00FC1EA5">
        <w:rPr>
          <w:rFonts w:ascii="Calibri" w:hAnsi="Calibri"/>
          <w:sz w:val="16"/>
          <w:szCs w:val="16"/>
        </w:rPr>
        <w:t xml:space="preserve">Totals for the </w:t>
      </w:r>
      <w:r w:rsidR="00251D84" w:rsidRPr="00FC1EA5">
        <w:rPr>
          <w:rFonts w:ascii="Calibri" w:hAnsi="Calibri"/>
          <w:sz w:val="16"/>
          <w:szCs w:val="16"/>
        </w:rPr>
        <w:t xml:space="preserve">September and December quarters </w:t>
      </w:r>
      <w:proofErr w:type="gramStart"/>
      <w:r w:rsidR="00251D84" w:rsidRPr="00FC1EA5">
        <w:rPr>
          <w:rFonts w:ascii="Calibri" w:hAnsi="Calibri"/>
          <w:sz w:val="16"/>
          <w:szCs w:val="16"/>
        </w:rPr>
        <w:t xml:space="preserve">2011  </w:t>
      </w:r>
      <w:r w:rsidR="001D55BB" w:rsidRPr="00FC1EA5">
        <w:rPr>
          <w:rFonts w:ascii="Calibri" w:hAnsi="Calibri"/>
          <w:sz w:val="16"/>
          <w:szCs w:val="16"/>
        </w:rPr>
        <w:t>and</w:t>
      </w:r>
      <w:proofErr w:type="gramEnd"/>
      <w:r w:rsidR="001D55BB" w:rsidRPr="00FC1EA5">
        <w:rPr>
          <w:rFonts w:ascii="Calibri" w:hAnsi="Calibri"/>
          <w:sz w:val="16"/>
          <w:szCs w:val="16"/>
        </w:rPr>
        <w:t xml:space="preserve"> the </w:t>
      </w:r>
      <w:r w:rsidR="0001617D" w:rsidRPr="00FC1EA5">
        <w:rPr>
          <w:rFonts w:ascii="Calibri" w:hAnsi="Calibri"/>
          <w:sz w:val="16"/>
          <w:szCs w:val="16"/>
        </w:rPr>
        <w:t>March quarter 2012</w:t>
      </w:r>
      <w:r w:rsidR="001D55BB" w:rsidRPr="00FC1EA5">
        <w:rPr>
          <w:rFonts w:ascii="Calibri" w:hAnsi="Calibri"/>
          <w:sz w:val="16"/>
          <w:szCs w:val="16"/>
        </w:rPr>
        <w:t xml:space="preserve"> include a very small number of services for which other details are unknown.</w:t>
      </w:r>
    </w:p>
    <w:p w14:paraId="2CCF9751" w14:textId="77777777" w:rsidR="006A64F0" w:rsidRPr="00FC1EA5" w:rsidRDefault="006A64F0" w:rsidP="006A64F0">
      <w:pPr>
        <w:rPr>
          <w:rFonts w:ascii="Calibri" w:hAnsi="Calibri" w:cs="Arial"/>
          <w:snapToGrid w:val="0"/>
          <w:sz w:val="16"/>
          <w:szCs w:val="16"/>
        </w:rPr>
      </w:pPr>
      <w:r w:rsidRPr="00FC1EA5">
        <w:rPr>
          <w:rFonts w:ascii="Calibri" w:hAnsi="Calibri" w:cs="Arial"/>
          <w:snapToGrid w:val="0"/>
          <w:sz w:val="16"/>
          <w:szCs w:val="16"/>
        </w:rPr>
        <w:t>Source: DEEWR administrative data.</w:t>
      </w:r>
    </w:p>
    <w:p w14:paraId="2CCF9752" w14:textId="4185B0AE" w:rsidR="006A64F0" w:rsidRPr="00FC1EA5" w:rsidRDefault="006A64F0" w:rsidP="006A64F0">
      <w:pPr>
        <w:pStyle w:val="Heading1"/>
        <w:spacing w:after="0"/>
        <w:rPr>
          <w:rFonts w:ascii="Calibri" w:hAnsi="Calibri"/>
          <w:color w:val="auto"/>
        </w:rPr>
      </w:pPr>
      <w:r w:rsidRPr="00FC1EA5">
        <w:rPr>
          <w:color w:val="auto"/>
        </w:rPr>
        <w:br w:type="page"/>
      </w:r>
      <w:r w:rsidRPr="00FC1EA5">
        <w:rPr>
          <w:rFonts w:asciiTheme="minorHAnsi" w:hAnsiTheme="minorHAnsi" w:cs="Calibri"/>
          <w:b/>
          <w:color w:val="auto"/>
        </w:rPr>
        <w:lastRenderedPageBreak/>
        <w:t>Costs of care</w:t>
      </w:r>
    </w:p>
    <w:p w14:paraId="2CCF9753" w14:textId="77777777" w:rsidR="006A64F0" w:rsidRPr="00FC1EA5" w:rsidRDefault="006A64F0" w:rsidP="006A64F0">
      <w:pPr>
        <w:rPr>
          <w:rFonts w:ascii="Calibri" w:hAnsi="Calibri" w:cs="Arial"/>
          <w:sz w:val="22"/>
          <w:szCs w:val="22"/>
        </w:rPr>
      </w:pPr>
    </w:p>
    <w:p w14:paraId="2CCF9754" w14:textId="77777777" w:rsidR="006A64F0" w:rsidRPr="00FC1EA5" w:rsidRDefault="006A64F0" w:rsidP="006A64F0">
      <w:pPr>
        <w:rPr>
          <w:rFonts w:ascii="Calibri" w:hAnsi="Calibri" w:cs="Arial"/>
          <w:sz w:val="22"/>
          <w:szCs w:val="22"/>
        </w:rPr>
      </w:pPr>
      <w:r w:rsidRPr="00FC1EA5">
        <w:rPr>
          <w:rFonts w:ascii="Calibri" w:hAnsi="Calibri" w:cs="Arial"/>
          <w:sz w:val="22"/>
          <w:szCs w:val="22"/>
        </w:rPr>
        <w:t xml:space="preserve">The Australian Government subsidises the cost of child care for eligible families through </w:t>
      </w:r>
      <w:r w:rsidR="00023427" w:rsidRPr="00FC1EA5">
        <w:rPr>
          <w:rFonts w:ascii="Calibri" w:hAnsi="Calibri" w:cs="Arial"/>
          <w:sz w:val="22"/>
          <w:szCs w:val="22"/>
        </w:rPr>
        <w:t xml:space="preserve">the </w:t>
      </w:r>
      <w:r w:rsidRPr="00FC1EA5">
        <w:rPr>
          <w:rFonts w:ascii="Calibri" w:hAnsi="Calibri" w:cs="Arial"/>
          <w:sz w:val="22"/>
          <w:szCs w:val="22"/>
        </w:rPr>
        <w:t>Child Care Benefit and the Child Care Rebate to help parents with th</w:t>
      </w:r>
      <w:r w:rsidR="00023427" w:rsidRPr="00FC1EA5">
        <w:rPr>
          <w:rFonts w:ascii="Calibri" w:hAnsi="Calibri" w:cs="Arial"/>
          <w:sz w:val="22"/>
          <w:szCs w:val="22"/>
        </w:rPr>
        <w:t xml:space="preserve">e cost of approved child care. </w:t>
      </w:r>
      <w:r w:rsidRPr="00FC1EA5">
        <w:rPr>
          <w:rFonts w:ascii="Calibri" w:hAnsi="Calibri" w:cs="Arial"/>
          <w:sz w:val="22"/>
          <w:szCs w:val="22"/>
        </w:rPr>
        <w:t>From 1 July 2008, the Child Care Rebate increased from 30 per cent to 50 per cent of all approved out-of-pocket child care costs up to an annual cap</w:t>
      </w:r>
      <w:r w:rsidR="000C606D" w:rsidRPr="00FC1EA5">
        <w:rPr>
          <w:rFonts w:ascii="Calibri" w:hAnsi="Calibri" w:cs="Arial"/>
          <w:sz w:val="22"/>
          <w:szCs w:val="22"/>
        </w:rPr>
        <w:t xml:space="preserve"> of $7,500</w:t>
      </w:r>
      <w:r w:rsidRPr="00FC1EA5">
        <w:rPr>
          <w:rFonts w:ascii="Calibri" w:hAnsi="Calibri" w:cs="Arial"/>
          <w:sz w:val="22"/>
          <w:szCs w:val="22"/>
        </w:rPr>
        <w:t>.</w:t>
      </w:r>
    </w:p>
    <w:p w14:paraId="2CCF9755" w14:textId="77777777" w:rsidR="006A64F0" w:rsidRPr="00FC1EA5" w:rsidRDefault="006A64F0" w:rsidP="006A64F0">
      <w:pPr>
        <w:ind w:right="-290"/>
        <w:rPr>
          <w:rFonts w:ascii="Calibri" w:hAnsi="Calibri" w:cs="Arial"/>
          <w:sz w:val="22"/>
          <w:szCs w:val="22"/>
        </w:rPr>
      </w:pPr>
    </w:p>
    <w:p w14:paraId="2CCF9756" w14:textId="77777777" w:rsidR="006A64F0" w:rsidRPr="00FC1EA5" w:rsidRDefault="006A64F0" w:rsidP="006A64F0">
      <w:pPr>
        <w:ind w:right="-290"/>
        <w:rPr>
          <w:rFonts w:ascii="Calibri" w:hAnsi="Calibri" w:cs="Arial"/>
          <w:sz w:val="22"/>
          <w:szCs w:val="22"/>
        </w:rPr>
      </w:pPr>
      <w:r w:rsidRPr="00FC1EA5">
        <w:rPr>
          <w:rFonts w:ascii="Calibri" w:hAnsi="Calibri" w:cs="Arial"/>
          <w:sz w:val="22"/>
          <w:szCs w:val="22"/>
        </w:rPr>
        <w:t xml:space="preserve">During the </w:t>
      </w:r>
      <w:r w:rsidR="0001617D" w:rsidRPr="00FC1EA5">
        <w:rPr>
          <w:rFonts w:ascii="Calibri" w:hAnsi="Calibri" w:cs="Arial"/>
          <w:sz w:val="22"/>
          <w:szCs w:val="22"/>
        </w:rPr>
        <w:t>March quarter 2012</w:t>
      </w:r>
      <w:r w:rsidRPr="00FC1EA5">
        <w:rPr>
          <w:rFonts w:ascii="Calibri" w:hAnsi="Calibri" w:cs="Arial"/>
          <w:sz w:val="22"/>
          <w:szCs w:val="22"/>
        </w:rPr>
        <w:t>, the total estimated expenditure on Child Care Benefit and Child Care Rebate was $</w:t>
      </w:r>
      <w:r w:rsidR="00BF70D3" w:rsidRPr="00FC1EA5">
        <w:rPr>
          <w:rFonts w:ascii="Calibri" w:hAnsi="Calibri" w:cs="Arial"/>
          <w:sz w:val="22"/>
          <w:szCs w:val="22"/>
        </w:rPr>
        <w:t>945.1 million</w:t>
      </w:r>
      <w:r w:rsidRPr="00FC1EA5">
        <w:rPr>
          <w:rFonts w:ascii="Calibri" w:hAnsi="Calibri" w:cs="Arial"/>
          <w:sz w:val="22"/>
          <w:szCs w:val="22"/>
        </w:rPr>
        <w:t>. Approximately three quarters (</w:t>
      </w:r>
      <w:r w:rsidR="00BF70D3" w:rsidRPr="00FC1EA5">
        <w:rPr>
          <w:rFonts w:ascii="Calibri" w:hAnsi="Calibri" w:cs="Arial"/>
          <w:sz w:val="22"/>
          <w:szCs w:val="22"/>
        </w:rPr>
        <w:t>75.9</w:t>
      </w:r>
      <w:r w:rsidRPr="00FC1EA5">
        <w:rPr>
          <w:rFonts w:ascii="Calibri" w:hAnsi="Calibri" w:cs="Arial"/>
          <w:sz w:val="22"/>
          <w:szCs w:val="22"/>
        </w:rPr>
        <w:t xml:space="preserve"> per cent) of this was paid </w:t>
      </w:r>
      <w:r w:rsidR="00C9657F" w:rsidRPr="00FC1EA5">
        <w:rPr>
          <w:rFonts w:ascii="Calibri" w:hAnsi="Calibri" w:cs="Arial"/>
          <w:sz w:val="22"/>
          <w:szCs w:val="22"/>
        </w:rPr>
        <w:t>on behalf of</w:t>
      </w:r>
      <w:r w:rsidRPr="00FC1EA5">
        <w:rPr>
          <w:rFonts w:ascii="Calibri" w:hAnsi="Calibri" w:cs="Arial"/>
          <w:sz w:val="22"/>
          <w:szCs w:val="22"/>
        </w:rPr>
        <w:t xml:space="preserve"> families using long day care services (Table 6).</w:t>
      </w:r>
    </w:p>
    <w:p w14:paraId="2CCF9757" w14:textId="77777777" w:rsidR="006A64F0" w:rsidRPr="00FC1EA5" w:rsidRDefault="006A64F0" w:rsidP="006A64F0">
      <w:pPr>
        <w:ind w:right="-290"/>
        <w:rPr>
          <w:rFonts w:ascii="Calibri" w:hAnsi="Calibri" w:cs="Arial"/>
          <w:sz w:val="22"/>
          <w:szCs w:val="22"/>
        </w:rPr>
      </w:pPr>
    </w:p>
    <w:p w14:paraId="2CCF9758" w14:textId="77777777" w:rsidR="006A64F0" w:rsidRPr="00FC1EA5" w:rsidRDefault="006A64F0" w:rsidP="0069712A">
      <w:pPr>
        <w:pStyle w:val="figs3"/>
        <w:rPr>
          <w:color w:val="auto"/>
        </w:rPr>
      </w:pPr>
      <w:bookmarkStart w:id="0" w:name="OLE_LINK3"/>
      <w:bookmarkStart w:id="1" w:name="OLE_LINK4"/>
      <w:r w:rsidRPr="00FC1EA5">
        <w:rPr>
          <w:color w:val="auto"/>
        </w:rPr>
        <w:t xml:space="preserve">Table 6: Total estimated Child Care Benefit and Child Care Rebate entitlements by service type, </w:t>
      </w:r>
      <w:r w:rsidR="0001617D" w:rsidRPr="00FC1EA5">
        <w:rPr>
          <w:color w:val="auto"/>
        </w:rPr>
        <w:t>March quarter 2012</w:t>
      </w:r>
    </w:p>
    <w:tbl>
      <w:tblPr>
        <w:tblW w:w="9168" w:type="dxa"/>
        <w:tblInd w:w="93" w:type="dxa"/>
        <w:tblLook w:val="0000" w:firstRow="0" w:lastRow="0" w:firstColumn="0" w:lastColumn="0" w:noHBand="0" w:noVBand="0"/>
      </w:tblPr>
      <w:tblGrid>
        <w:gridCol w:w="3480"/>
        <w:gridCol w:w="1896"/>
        <w:gridCol w:w="1896"/>
        <w:gridCol w:w="1896"/>
      </w:tblGrid>
      <w:tr w:rsidR="002B43E9" w:rsidRPr="00FC1EA5" w14:paraId="2CCF9760" w14:textId="77777777" w:rsidTr="002B43E9">
        <w:trPr>
          <w:trHeight w:val="255"/>
        </w:trPr>
        <w:tc>
          <w:tcPr>
            <w:tcW w:w="3480"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759" w14:textId="77777777" w:rsidR="006A64F0" w:rsidRPr="00FC1EA5" w:rsidRDefault="006A64F0" w:rsidP="006A64F0">
            <w:pPr>
              <w:rPr>
                <w:rFonts w:ascii="Calibri" w:hAnsi="Calibri" w:cs="Arial"/>
                <w:b/>
                <w:bCs/>
                <w:sz w:val="20"/>
                <w:szCs w:val="20"/>
              </w:rPr>
            </w:pPr>
            <w:r w:rsidRPr="00FC1EA5">
              <w:rPr>
                <w:rFonts w:ascii="Calibri" w:hAnsi="Calibri" w:cs="Arial"/>
                <w:b/>
                <w:bCs/>
                <w:sz w:val="20"/>
                <w:szCs w:val="20"/>
              </w:rPr>
              <w:t>Service type</w:t>
            </w:r>
          </w:p>
        </w:tc>
        <w:tc>
          <w:tcPr>
            <w:tcW w:w="1896"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5A"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Child Care Benefit</w:t>
            </w:r>
          </w:p>
          <w:p w14:paraId="2CCF975B"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(‘000)</w:t>
            </w:r>
          </w:p>
        </w:tc>
        <w:tc>
          <w:tcPr>
            <w:tcW w:w="1896" w:type="dxa"/>
            <w:tcBorders>
              <w:top w:val="single" w:sz="4" w:space="0" w:color="FFFFFF" w:themeColor="background1"/>
              <w:left w:val="nil"/>
              <w:bottom w:val="single" w:sz="4" w:space="0" w:color="FFFFFF" w:themeColor="background1"/>
              <w:right w:val="nil"/>
            </w:tcBorders>
            <w:vAlign w:val="center"/>
          </w:tcPr>
          <w:p w14:paraId="2CCF975C"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Child Care Rebate</w:t>
            </w:r>
          </w:p>
          <w:p w14:paraId="2CCF975D"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(‘000)</w:t>
            </w:r>
          </w:p>
        </w:tc>
        <w:tc>
          <w:tcPr>
            <w:tcW w:w="1896" w:type="dxa"/>
            <w:tcBorders>
              <w:top w:val="single" w:sz="4" w:space="0" w:color="FFFFFF" w:themeColor="background1"/>
              <w:left w:val="nil"/>
              <w:bottom w:val="single" w:sz="4" w:space="0" w:color="FFFFFF" w:themeColor="background1"/>
              <w:right w:val="nil"/>
            </w:tcBorders>
            <w:noWrap/>
            <w:vAlign w:val="center"/>
          </w:tcPr>
          <w:p w14:paraId="2CCF975E"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Total</w:t>
            </w:r>
          </w:p>
          <w:p w14:paraId="2CCF975F"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(‘000)</w:t>
            </w:r>
          </w:p>
        </w:tc>
      </w:tr>
      <w:tr w:rsidR="002B43E9" w:rsidRPr="00FC1EA5" w14:paraId="2CCF9765" w14:textId="77777777" w:rsidTr="002B43E9">
        <w:trPr>
          <w:trHeight w:val="255"/>
        </w:trPr>
        <w:tc>
          <w:tcPr>
            <w:tcW w:w="0" w:type="auto"/>
            <w:tcBorders>
              <w:top w:val="single" w:sz="4" w:space="0" w:color="FFFFFF" w:themeColor="background1"/>
              <w:left w:val="nil"/>
              <w:bottom w:val="nil"/>
              <w:right w:val="single" w:sz="4" w:space="0" w:color="FFFFFF" w:themeColor="background1"/>
            </w:tcBorders>
            <w:vAlign w:val="center"/>
          </w:tcPr>
          <w:p w14:paraId="2CCF9761" w14:textId="77777777" w:rsidR="00BF70D3" w:rsidRPr="00FC1EA5" w:rsidRDefault="00BF70D3" w:rsidP="006A64F0">
            <w:pPr>
              <w:rPr>
                <w:rFonts w:ascii="Calibri" w:hAnsi="Calibri" w:cs="Arial"/>
                <w:sz w:val="20"/>
                <w:szCs w:val="20"/>
              </w:rPr>
            </w:pPr>
            <w:r w:rsidRPr="00FC1EA5">
              <w:rPr>
                <w:rFonts w:ascii="Calibri" w:hAnsi="Calibri" w:cs="Arial"/>
                <w:sz w:val="20"/>
                <w:szCs w:val="20"/>
              </w:rPr>
              <w:t>Long day care</w:t>
            </w:r>
          </w:p>
        </w:tc>
        <w:tc>
          <w:tcPr>
            <w:tcW w:w="1896" w:type="dxa"/>
            <w:tcBorders>
              <w:top w:val="single" w:sz="4" w:space="0" w:color="FFFFFF" w:themeColor="background1"/>
              <w:left w:val="single" w:sz="4" w:space="0" w:color="FFFFFF" w:themeColor="background1"/>
              <w:bottom w:val="nil"/>
              <w:right w:val="nil"/>
            </w:tcBorders>
            <w:vAlign w:val="center"/>
          </w:tcPr>
          <w:p w14:paraId="2CCF9762"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$348,997</w:t>
            </w:r>
          </w:p>
        </w:tc>
        <w:tc>
          <w:tcPr>
            <w:tcW w:w="1896" w:type="dxa"/>
            <w:tcBorders>
              <w:top w:val="single" w:sz="4" w:space="0" w:color="FFFFFF" w:themeColor="background1"/>
              <w:left w:val="nil"/>
              <w:bottom w:val="nil"/>
              <w:right w:val="nil"/>
            </w:tcBorders>
            <w:vAlign w:val="center"/>
          </w:tcPr>
          <w:p w14:paraId="2CCF9763"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$368,443</w:t>
            </w:r>
          </w:p>
        </w:tc>
        <w:tc>
          <w:tcPr>
            <w:tcW w:w="1896" w:type="dxa"/>
            <w:tcBorders>
              <w:top w:val="single" w:sz="4" w:space="0" w:color="FFFFFF" w:themeColor="background1"/>
              <w:left w:val="nil"/>
              <w:bottom w:val="nil"/>
              <w:right w:val="nil"/>
            </w:tcBorders>
            <w:noWrap/>
            <w:vAlign w:val="center"/>
          </w:tcPr>
          <w:p w14:paraId="2CCF9764"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$717,439</w:t>
            </w:r>
          </w:p>
        </w:tc>
      </w:tr>
      <w:tr w:rsidR="002B43E9" w:rsidRPr="00FC1EA5" w14:paraId="2CCF976A" w14:textId="77777777" w:rsidTr="002B43E9">
        <w:trPr>
          <w:trHeight w:val="255"/>
        </w:trPr>
        <w:tc>
          <w:tcPr>
            <w:tcW w:w="0" w:type="auto"/>
            <w:tcBorders>
              <w:top w:val="nil"/>
              <w:left w:val="nil"/>
              <w:bottom w:val="nil"/>
              <w:right w:val="single" w:sz="4" w:space="0" w:color="FFFFFF" w:themeColor="background1"/>
            </w:tcBorders>
            <w:vAlign w:val="center"/>
          </w:tcPr>
          <w:p w14:paraId="2CCF9766" w14:textId="77777777" w:rsidR="00BF70D3" w:rsidRPr="00FC1EA5" w:rsidRDefault="00BF70D3" w:rsidP="006A64F0">
            <w:pPr>
              <w:rPr>
                <w:rFonts w:ascii="Calibri" w:hAnsi="Calibri" w:cs="Arial"/>
                <w:sz w:val="20"/>
                <w:szCs w:val="20"/>
              </w:rPr>
            </w:pPr>
            <w:r w:rsidRPr="00FC1EA5">
              <w:rPr>
                <w:rFonts w:ascii="Calibri" w:hAnsi="Calibri" w:cs="Arial"/>
                <w:sz w:val="20"/>
                <w:szCs w:val="20"/>
              </w:rPr>
              <w:t>Family day care and In-home care</w:t>
            </w:r>
          </w:p>
        </w:tc>
        <w:tc>
          <w:tcPr>
            <w:tcW w:w="1896" w:type="dxa"/>
            <w:tcBorders>
              <w:top w:val="nil"/>
              <w:left w:val="single" w:sz="4" w:space="0" w:color="FFFFFF" w:themeColor="background1"/>
              <w:bottom w:val="nil"/>
              <w:right w:val="nil"/>
            </w:tcBorders>
            <w:vAlign w:val="center"/>
          </w:tcPr>
          <w:p w14:paraId="2CCF9767"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$98,292</w:t>
            </w:r>
          </w:p>
        </w:tc>
        <w:tc>
          <w:tcPr>
            <w:tcW w:w="1896" w:type="dxa"/>
            <w:tcBorders>
              <w:top w:val="nil"/>
              <w:left w:val="nil"/>
              <w:bottom w:val="nil"/>
              <w:right w:val="nil"/>
            </w:tcBorders>
            <w:vAlign w:val="center"/>
          </w:tcPr>
          <w:p w14:paraId="2CCF9768"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$36,322</w:t>
            </w:r>
          </w:p>
        </w:tc>
        <w:tc>
          <w:tcPr>
            <w:tcW w:w="1896" w:type="dxa"/>
            <w:tcBorders>
              <w:top w:val="nil"/>
              <w:left w:val="nil"/>
              <w:bottom w:val="nil"/>
              <w:right w:val="nil"/>
            </w:tcBorders>
            <w:noWrap/>
            <w:vAlign w:val="center"/>
          </w:tcPr>
          <w:p w14:paraId="2CCF9769"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$134,614</w:t>
            </w:r>
          </w:p>
        </w:tc>
      </w:tr>
      <w:tr w:rsidR="002B43E9" w:rsidRPr="00FC1EA5" w14:paraId="2CCF976F" w14:textId="77777777" w:rsidTr="002B43E9">
        <w:trPr>
          <w:trHeight w:val="255"/>
        </w:trPr>
        <w:tc>
          <w:tcPr>
            <w:tcW w:w="0" w:type="auto"/>
            <w:tcBorders>
              <w:top w:val="nil"/>
              <w:left w:val="nil"/>
              <w:bottom w:val="nil"/>
              <w:right w:val="single" w:sz="4" w:space="0" w:color="FFFFFF" w:themeColor="background1"/>
            </w:tcBorders>
            <w:vAlign w:val="center"/>
          </w:tcPr>
          <w:p w14:paraId="2CCF976B" w14:textId="77777777" w:rsidR="00BF70D3" w:rsidRPr="00FC1EA5" w:rsidRDefault="00BF70D3" w:rsidP="006A64F0">
            <w:pPr>
              <w:rPr>
                <w:rFonts w:ascii="Calibri" w:hAnsi="Calibri" w:cs="Arial"/>
                <w:sz w:val="20"/>
                <w:szCs w:val="20"/>
              </w:rPr>
            </w:pPr>
            <w:r w:rsidRPr="00FC1EA5">
              <w:rPr>
                <w:rFonts w:ascii="Calibri" w:hAnsi="Calibri" w:cs="Arial"/>
                <w:sz w:val="20"/>
                <w:szCs w:val="20"/>
              </w:rPr>
              <w:t>Occasional care</w:t>
            </w:r>
          </w:p>
        </w:tc>
        <w:tc>
          <w:tcPr>
            <w:tcW w:w="1896" w:type="dxa"/>
            <w:tcBorders>
              <w:top w:val="nil"/>
              <w:left w:val="single" w:sz="4" w:space="0" w:color="FFFFFF" w:themeColor="background1"/>
              <w:bottom w:val="nil"/>
              <w:right w:val="nil"/>
            </w:tcBorders>
            <w:vAlign w:val="center"/>
          </w:tcPr>
          <w:p w14:paraId="2CCF976C"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$1,134</w:t>
            </w:r>
          </w:p>
        </w:tc>
        <w:tc>
          <w:tcPr>
            <w:tcW w:w="1896" w:type="dxa"/>
            <w:tcBorders>
              <w:top w:val="nil"/>
              <w:left w:val="nil"/>
              <w:bottom w:val="nil"/>
              <w:right w:val="nil"/>
            </w:tcBorders>
            <w:vAlign w:val="center"/>
          </w:tcPr>
          <w:p w14:paraId="2CCF976D"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$1,316</w:t>
            </w:r>
          </w:p>
        </w:tc>
        <w:tc>
          <w:tcPr>
            <w:tcW w:w="1896" w:type="dxa"/>
            <w:tcBorders>
              <w:top w:val="nil"/>
              <w:left w:val="nil"/>
              <w:bottom w:val="nil"/>
              <w:right w:val="nil"/>
            </w:tcBorders>
            <w:noWrap/>
            <w:vAlign w:val="center"/>
          </w:tcPr>
          <w:p w14:paraId="2CCF976E"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$2,450</w:t>
            </w:r>
          </w:p>
        </w:tc>
      </w:tr>
      <w:tr w:rsidR="002B43E9" w:rsidRPr="00FC1EA5" w14:paraId="2CCF9774" w14:textId="77777777" w:rsidTr="002B43E9">
        <w:trPr>
          <w:trHeight w:val="255"/>
        </w:trPr>
        <w:tc>
          <w:tcPr>
            <w:tcW w:w="0" w:type="auto"/>
            <w:tcBorders>
              <w:top w:val="nil"/>
              <w:left w:val="nil"/>
              <w:bottom w:val="single" w:sz="4" w:space="0" w:color="FFFFFF" w:themeColor="background1"/>
              <w:right w:val="single" w:sz="4" w:space="0" w:color="FFFFFF" w:themeColor="background1"/>
            </w:tcBorders>
            <w:vAlign w:val="center"/>
          </w:tcPr>
          <w:p w14:paraId="2CCF9770" w14:textId="77777777" w:rsidR="00BF70D3" w:rsidRPr="00FC1EA5" w:rsidRDefault="00BF70D3" w:rsidP="006A64F0">
            <w:pPr>
              <w:rPr>
                <w:rFonts w:ascii="Calibri" w:hAnsi="Calibri" w:cs="Arial"/>
                <w:sz w:val="20"/>
                <w:szCs w:val="20"/>
              </w:rPr>
            </w:pPr>
            <w:r w:rsidRPr="00FC1EA5">
              <w:rPr>
                <w:rFonts w:ascii="Calibri" w:hAnsi="Calibri" w:cs="Arial"/>
                <w:sz w:val="20"/>
                <w:szCs w:val="20"/>
              </w:rPr>
              <w:t>Outside school hours care</w:t>
            </w:r>
          </w:p>
        </w:tc>
        <w:tc>
          <w:tcPr>
            <w:tcW w:w="1896" w:type="dxa"/>
            <w:tcBorders>
              <w:top w:val="nil"/>
              <w:left w:val="single" w:sz="4" w:space="0" w:color="FFFFFF" w:themeColor="background1"/>
              <w:bottom w:val="single" w:sz="4" w:space="0" w:color="FFFFFF" w:themeColor="background1"/>
              <w:right w:val="nil"/>
            </w:tcBorders>
            <w:vAlign w:val="center"/>
          </w:tcPr>
          <w:p w14:paraId="2CCF9771"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$44,393</w:t>
            </w:r>
          </w:p>
        </w:tc>
        <w:tc>
          <w:tcPr>
            <w:tcW w:w="1896" w:type="dxa"/>
            <w:tcBorders>
              <w:top w:val="nil"/>
              <w:left w:val="nil"/>
              <w:bottom w:val="single" w:sz="4" w:space="0" w:color="FFFFFF" w:themeColor="background1"/>
              <w:right w:val="nil"/>
            </w:tcBorders>
            <w:vAlign w:val="center"/>
          </w:tcPr>
          <w:p w14:paraId="2CCF9772"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$46,198</w:t>
            </w:r>
          </w:p>
        </w:tc>
        <w:tc>
          <w:tcPr>
            <w:tcW w:w="1896" w:type="dxa"/>
            <w:tcBorders>
              <w:top w:val="nil"/>
              <w:left w:val="nil"/>
              <w:bottom w:val="single" w:sz="4" w:space="0" w:color="FFFFFF" w:themeColor="background1"/>
              <w:right w:val="nil"/>
            </w:tcBorders>
            <w:noWrap/>
            <w:vAlign w:val="center"/>
          </w:tcPr>
          <w:p w14:paraId="2CCF9773" w14:textId="77777777" w:rsidR="00BF70D3" w:rsidRPr="00FC1EA5" w:rsidRDefault="00BF70D3" w:rsidP="00BF70D3">
            <w:pPr>
              <w:autoSpaceDE w:val="0"/>
              <w:autoSpaceDN w:val="0"/>
              <w:adjustRightInd w:val="0"/>
              <w:jc w:val="right"/>
              <w:rPr>
                <w:rFonts w:ascii="Calibri" w:hAnsi="Calibri" w:cs="Calibri"/>
                <w:sz w:val="20"/>
                <w:szCs w:val="20"/>
              </w:rPr>
            </w:pPr>
            <w:r w:rsidRPr="00FC1EA5">
              <w:rPr>
                <w:rFonts w:ascii="Calibri" w:hAnsi="Calibri" w:cs="Calibri"/>
                <w:sz w:val="20"/>
                <w:szCs w:val="20"/>
              </w:rPr>
              <w:t>$90,591</w:t>
            </w:r>
          </w:p>
        </w:tc>
      </w:tr>
      <w:tr w:rsidR="002B43E9" w:rsidRPr="00FC1EA5" w14:paraId="2CCF9779" w14:textId="77777777" w:rsidTr="002B43E9">
        <w:trPr>
          <w:trHeight w:val="315"/>
        </w:trPr>
        <w:tc>
          <w:tcPr>
            <w:tcW w:w="3480"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775" w14:textId="77777777" w:rsidR="00BF70D3" w:rsidRPr="00FC1EA5" w:rsidRDefault="00BF70D3" w:rsidP="006A64F0">
            <w:pPr>
              <w:rPr>
                <w:rFonts w:ascii="Calibri" w:hAnsi="Calibri" w:cs="Arial"/>
                <w:b/>
                <w:sz w:val="20"/>
                <w:szCs w:val="20"/>
              </w:rPr>
            </w:pPr>
            <w:proofErr w:type="spellStart"/>
            <w:r w:rsidRPr="00FC1EA5">
              <w:rPr>
                <w:rFonts w:ascii="Calibri" w:hAnsi="Calibri" w:cs="Arial"/>
                <w:b/>
                <w:sz w:val="20"/>
                <w:szCs w:val="20"/>
              </w:rPr>
              <w:t>Total</w:t>
            </w:r>
            <w:r w:rsidRPr="00FC1EA5">
              <w:rPr>
                <w:rFonts w:ascii="Calibri" w:hAnsi="Calibri" w:cs="Arial"/>
                <w:b/>
                <w:sz w:val="20"/>
                <w:szCs w:val="20"/>
                <w:vertAlign w:val="superscript"/>
              </w:rPr>
              <w:t>1</w:t>
            </w:r>
            <w:proofErr w:type="spellEnd"/>
          </w:p>
        </w:tc>
        <w:tc>
          <w:tcPr>
            <w:tcW w:w="1896"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76" w14:textId="77777777" w:rsidR="00BF70D3" w:rsidRPr="00FC1EA5" w:rsidRDefault="00BF70D3" w:rsidP="00BF70D3">
            <w:pPr>
              <w:autoSpaceDE w:val="0"/>
              <w:autoSpaceDN w:val="0"/>
              <w:adjustRightInd w:val="0"/>
              <w:jc w:val="right"/>
              <w:rPr>
                <w:rFonts w:ascii="Calibri" w:hAnsi="Calibri" w:cs="Calibri"/>
                <w:b/>
                <w:sz w:val="20"/>
                <w:szCs w:val="20"/>
              </w:rPr>
            </w:pPr>
            <w:r w:rsidRPr="00FC1EA5">
              <w:rPr>
                <w:rFonts w:ascii="Calibri" w:hAnsi="Calibri" w:cs="Calibri"/>
                <w:b/>
                <w:sz w:val="20"/>
                <w:szCs w:val="20"/>
              </w:rPr>
              <w:t>$492,817</w:t>
            </w:r>
          </w:p>
        </w:tc>
        <w:tc>
          <w:tcPr>
            <w:tcW w:w="1896" w:type="dxa"/>
            <w:tcBorders>
              <w:top w:val="single" w:sz="4" w:space="0" w:color="FFFFFF" w:themeColor="background1"/>
              <w:left w:val="nil"/>
              <w:bottom w:val="single" w:sz="4" w:space="0" w:color="FFFFFF" w:themeColor="background1"/>
              <w:right w:val="nil"/>
            </w:tcBorders>
            <w:vAlign w:val="center"/>
          </w:tcPr>
          <w:p w14:paraId="2CCF9777" w14:textId="77777777" w:rsidR="00BF70D3" w:rsidRPr="00FC1EA5" w:rsidRDefault="00BF70D3" w:rsidP="00BF70D3">
            <w:pPr>
              <w:autoSpaceDE w:val="0"/>
              <w:autoSpaceDN w:val="0"/>
              <w:adjustRightInd w:val="0"/>
              <w:jc w:val="right"/>
              <w:rPr>
                <w:rFonts w:ascii="Calibri" w:hAnsi="Calibri" w:cs="Calibri"/>
                <w:b/>
                <w:sz w:val="20"/>
                <w:szCs w:val="20"/>
              </w:rPr>
            </w:pPr>
            <w:r w:rsidRPr="00FC1EA5">
              <w:rPr>
                <w:rFonts w:ascii="Calibri" w:hAnsi="Calibri" w:cs="Calibri"/>
                <w:b/>
                <w:sz w:val="20"/>
                <w:szCs w:val="20"/>
              </w:rPr>
              <w:t>$452,280</w:t>
            </w:r>
          </w:p>
        </w:tc>
        <w:tc>
          <w:tcPr>
            <w:tcW w:w="1896" w:type="dxa"/>
            <w:tcBorders>
              <w:top w:val="single" w:sz="4" w:space="0" w:color="FFFFFF" w:themeColor="background1"/>
              <w:left w:val="nil"/>
              <w:bottom w:val="single" w:sz="4" w:space="0" w:color="FFFFFF" w:themeColor="background1"/>
              <w:right w:val="nil"/>
            </w:tcBorders>
            <w:noWrap/>
            <w:vAlign w:val="center"/>
          </w:tcPr>
          <w:p w14:paraId="2CCF9778" w14:textId="77777777" w:rsidR="00BF70D3" w:rsidRPr="00FC1EA5" w:rsidRDefault="00BF70D3" w:rsidP="00BF70D3">
            <w:pPr>
              <w:autoSpaceDE w:val="0"/>
              <w:autoSpaceDN w:val="0"/>
              <w:adjustRightInd w:val="0"/>
              <w:jc w:val="right"/>
              <w:rPr>
                <w:rFonts w:ascii="Calibri" w:hAnsi="Calibri" w:cs="Calibri"/>
                <w:b/>
                <w:sz w:val="20"/>
                <w:szCs w:val="20"/>
              </w:rPr>
            </w:pPr>
            <w:r w:rsidRPr="00FC1EA5">
              <w:rPr>
                <w:rFonts w:ascii="Calibri" w:hAnsi="Calibri" w:cs="Calibri"/>
                <w:b/>
                <w:sz w:val="20"/>
                <w:szCs w:val="20"/>
              </w:rPr>
              <w:t>$945,097</w:t>
            </w:r>
          </w:p>
        </w:tc>
      </w:tr>
    </w:tbl>
    <w:bookmarkEnd w:id="0"/>
    <w:bookmarkEnd w:id="1"/>
    <w:p w14:paraId="2CCF977A"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w:t>
      </w:r>
      <w:r w:rsidRPr="00FC1EA5">
        <w:rPr>
          <w:rFonts w:ascii="Calibri" w:hAnsi="Calibri"/>
          <w:sz w:val="16"/>
          <w:szCs w:val="16"/>
        </w:rPr>
        <w:t xml:space="preserve">Total for </w:t>
      </w:r>
      <w:r w:rsidR="0001617D" w:rsidRPr="00FC1EA5">
        <w:rPr>
          <w:rFonts w:ascii="Calibri" w:hAnsi="Calibri"/>
          <w:sz w:val="16"/>
          <w:szCs w:val="16"/>
        </w:rPr>
        <w:t>March quarter 2012</w:t>
      </w:r>
      <w:r w:rsidRPr="00FC1EA5">
        <w:rPr>
          <w:rFonts w:ascii="Calibri" w:hAnsi="Calibri"/>
          <w:sz w:val="16"/>
          <w:szCs w:val="16"/>
        </w:rPr>
        <w:t xml:space="preserve"> includes a very small number of services for which other details are unknown.</w:t>
      </w:r>
    </w:p>
    <w:p w14:paraId="2CCF977B" w14:textId="77777777" w:rsidR="006A64F0" w:rsidRPr="00FC1EA5" w:rsidRDefault="006A64F0" w:rsidP="006A64F0">
      <w:pPr>
        <w:rPr>
          <w:rFonts w:ascii="Calibri" w:hAnsi="Calibri" w:cs="Arial"/>
          <w:snapToGrid w:val="0"/>
          <w:sz w:val="16"/>
          <w:szCs w:val="16"/>
        </w:rPr>
      </w:pPr>
      <w:r w:rsidRPr="00FC1EA5">
        <w:rPr>
          <w:rFonts w:ascii="Calibri" w:hAnsi="Calibri" w:cs="Arial"/>
          <w:snapToGrid w:val="0"/>
          <w:sz w:val="16"/>
          <w:szCs w:val="16"/>
        </w:rPr>
        <w:t>Source:  DEEWR administrative data</w:t>
      </w:r>
      <w:r w:rsidR="000C606D" w:rsidRPr="00FC1EA5">
        <w:rPr>
          <w:rFonts w:ascii="Calibri" w:hAnsi="Calibri" w:cs="Arial"/>
          <w:snapToGrid w:val="0"/>
          <w:sz w:val="16"/>
          <w:szCs w:val="16"/>
        </w:rPr>
        <w:t xml:space="preserve"> – based on estimated entitlements</w:t>
      </w:r>
      <w:r w:rsidRPr="00FC1EA5">
        <w:rPr>
          <w:rFonts w:ascii="Calibri" w:hAnsi="Calibri" w:cs="Arial"/>
          <w:snapToGrid w:val="0"/>
          <w:sz w:val="16"/>
          <w:szCs w:val="16"/>
        </w:rPr>
        <w:t>.</w:t>
      </w:r>
    </w:p>
    <w:p w14:paraId="2CCF977C" w14:textId="77777777" w:rsidR="006A64F0" w:rsidRPr="00FC1EA5" w:rsidRDefault="006A64F0" w:rsidP="006A64F0">
      <w:pPr>
        <w:rPr>
          <w:rFonts w:ascii="Calibri" w:hAnsi="Calibri" w:cs="Arial"/>
          <w:sz w:val="22"/>
          <w:szCs w:val="22"/>
        </w:rPr>
      </w:pPr>
    </w:p>
    <w:p w14:paraId="2CCF977D" w14:textId="77777777" w:rsidR="00051D1E" w:rsidRPr="00FC1EA5" w:rsidRDefault="006A64F0" w:rsidP="00051D1E">
      <w:pPr>
        <w:ind w:right="-290"/>
        <w:rPr>
          <w:rFonts w:ascii="Calibri" w:hAnsi="Calibri" w:cs="Arial"/>
          <w:sz w:val="22"/>
          <w:szCs w:val="22"/>
        </w:rPr>
      </w:pPr>
      <w:r w:rsidRPr="00FC1EA5">
        <w:rPr>
          <w:rFonts w:ascii="Calibri" w:hAnsi="Calibri" w:cs="Arial"/>
          <w:sz w:val="22"/>
          <w:szCs w:val="22"/>
        </w:rPr>
        <w:t>Out-of-pocket costs to paren</w:t>
      </w:r>
      <w:r w:rsidR="008C1CAD" w:rsidRPr="00FC1EA5">
        <w:rPr>
          <w:rFonts w:ascii="Calibri" w:hAnsi="Calibri" w:cs="Arial"/>
          <w:sz w:val="22"/>
          <w:szCs w:val="22"/>
        </w:rPr>
        <w:t>ts have fallen from 2004 to 2012</w:t>
      </w:r>
      <w:r w:rsidRPr="00FC1EA5">
        <w:rPr>
          <w:rFonts w:ascii="Calibri" w:hAnsi="Calibri" w:cs="Arial"/>
          <w:sz w:val="22"/>
          <w:szCs w:val="22"/>
        </w:rPr>
        <w:t xml:space="preserve"> across the income spectrum. </w:t>
      </w:r>
      <w:r w:rsidR="00880D15" w:rsidRPr="00FC1EA5">
        <w:rPr>
          <w:rFonts w:ascii="Calibri" w:hAnsi="Calibri" w:cs="Arial"/>
          <w:sz w:val="22"/>
          <w:szCs w:val="22"/>
        </w:rPr>
        <w:t>In 2004, the out-of-pocket cost</w:t>
      </w:r>
      <w:r w:rsidRPr="00FC1EA5">
        <w:rPr>
          <w:rFonts w:ascii="Calibri" w:hAnsi="Calibri" w:cs="Arial"/>
          <w:sz w:val="22"/>
          <w:szCs w:val="22"/>
        </w:rPr>
        <w:t xml:space="preserve">, after Australian Government subsidies, for a family with one child in long day care and earning </w:t>
      </w:r>
      <w:r w:rsidR="00880D15" w:rsidRPr="00FC1EA5">
        <w:rPr>
          <w:rFonts w:ascii="Calibri" w:hAnsi="Calibri" w:cs="Arial"/>
          <w:sz w:val="22"/>
          <w:szCs w:val="22"/>
        </w:rPr>
        <w:t xml:space="preserve">a gross income of </w:t>
      </w:r>
      <w:r w:rsidRPr="00FC1EA5">
        <w:rPr>
          <w:rFonts w:ascii="Calibri" w:hAnsi="Calibri" w:cs="Arial"/>
          <w:sz w:val="22"/>
          <w:szCs w:val="22"/>
        </w:rPr>
        <w:t xml:space="preserve">$55,000 a </w:t>
      </w:r>
      <w:r w:rsidR="00880D15" w:rsidRPr="00FC1EA5">
        <w:rPr>
          <w:rFonts w:ascii="Calibri" w:hAnsi="Calibri" w:cs="Arial"/>
          <w:sz w:val="22"/>
          <w:szCs w:val="22"/>
        </w:rPr>
        <w:t>year were 13.2 per cent of</w:t>
      </w:r>
      <w:r w:rsidRPr="00FC1EA5">
        <w:rPr>
          <w:rFonts w:ascii="Calibri" w:hAnsi="Calibri" w:cs="Arial"/>
          <w:sz w:val="22"/>
          <w:szCs w:val="22"/>
        </w:rPr>
        <w:t xml:space="preserve"> disposable income</w:t>
      </w:r>
      <w:r w:rsidR="00051D1E" w:rsidRPr="00FC1EA5">
        <w:rPr>
          <w:rFonts w:ascii="Calibri" w:hAnsi="Calibri" w:cs="Arial"/>
          <w:sz w:val="22"/>
          <w:szCs w:val="22"/>
        </w:rPr>
        <w:t>. In 201</w:t>
      </w:r>
      <w:r w:rsidR="008C1CAD" w:rsidRPr="00FC1EA5">
        <w:rPr>
          <w:rFonts w:ascii="Calibri" w:hAnsi="Calibri" w:cs="Arial"/>
          <w:sz w:val="22"/>
          <w:szCs w:val="22"/>
        </w:rPr>
        <w:t>2</w:t>
      </w:r>
      <w:r w:rsidR="00051D1E" w:rsidRPr="00FC1EA5">
        <w:rPr>
          <w:rFonts w:ascii="Calibri" w:hAnsi="Calibri" w:cs="Arial"/>
          <w:sz w:val="22"/>
          <w:szCs w:val="22"/>
        </w:rPr>
        <w:t xml:space="preserve">, this proportion had declined to just </w:t>
      </w:r>
      <w:r w:rsidR="008C1CAD" w:rsidRPr="00FC1EA5">
        <w:rPr>
          <w:rFonts w:ascii="Calibri" w:hAnsi="Calibri" w:cs="Arial"/>
          <w:sz w:val="22"/>
          <w:szCs w:val="22"/>
        </w:rPr>
        <w:t>8</w:t>
      </w:r>
      <w:r w:rsidR="00051D1E" w:rsidRPr="00FC1EA5">
        <w:rPr>
          <w:rFonts w:ascii="Calibri" w:hAnsi="Calibri" w:cs="Arial"/>
          <w:sz w:val="22"/>
          <w:szCs w:val="22"/>
        </w:rPr>
        <w:t>.6 per cent. For families with a gross annual income of</w:t>
      </w:r>
      <w:r w:rsidR="00880D15" w:rsidRPr="00FC1EA5">
        <w:rPr>
          <w:rFonts w:ascii="Calibri" w:hAnsi="Calibri" w:cs="Arial"/>
          <w:sz w:val="22"/>
          <w:szCs w:val="22"/>
        </w:rPr>
        <w:t xml:space="preserve"> $115,000 the proportion of</w:t>
      </w:r>
      <w:r w:rsidR="00051D1E" w:rsidRPr="00FC1EA5">
        <w:rPr>
          <w:rFonts w:ascii="Calibri" w:hAnsi="Calibri" w:cs="Arial"/>
          <w:sz w:val="22"/>
          <w:szCs w:val="22"/>
        </w:rPr>
        <w:t xml:space="preserve"> disposable income spent on child care declined from 11.4 per cent in 2004 to </w:t>
      </w:r>
      <w:r w:rsidR="008C1CAD" w:rsidRPr="00FC1EA5">
        <w:rPr>
          <w:rFonts w:ascii="Calibri" w:hAnsi="Calibri" w:cs="Arial"/>
          <w:sz w:val="22"/>
          <w:szCs w:val="22"/>
        </w:rPr>
        <w:t>8.6</w:t>
      </w:r>
      <w:r w:rsidR="00051D1E" w:rsidRPr="00FC1EA5">
        <w:rPr>
          <w:rFonts w:ascii="Calibri" w:hAnsi="Calibri" w:cs="Arial"/>
          <w:sz w:val="22"/>
          <w:szCs w:val="22"/>
        </w:rPr>
        <w:t xml:space="preserve"> per cent in 201</w:t>
      </w:r>
      <w:r w:rsidR="008C1CAD" w:rsidRPr="00FC1EA5">
        <w:rPr>
          <w:rFonts w:ascii="Calibri" w:hAnsi="Calibri" w:cs="Arial"/>
          <w:sz w:val="22"/>
          <w:szCs w:val="22"/>
        </w:rPr>
        <w:t>2</w:t>
      </w:r>
      <w:r w:rsidR="00051D1E" w:rsidRPr="00FC1EA5">
        <w:rPr>
          <w:rFonts w:ascii="Calibri" w:hAnsi="Calibri" w:cs="Arial"/>
          <w:sz w:val="22"/>
          <w:szCs w:val="22"/>
        </w:rPr>
        <w:t xml:space="preserve"> (Figure 1).</w:t>
      </w:r>
    </w:p>
    <w:p w14:paraId="2CCF977E" w14:textId="77777777" w:rsidR="00051D1E" w:rsidRPr="00FC1EA5" w:rsidRDefault="00051D1E" w:rsidP="00051D1E">
      <w:pPr>
        <w:rPr>
          <w:rFonts w:ascii="Calibri" w:hAnsi="Calibri" w:cs="Arial"/>
          <w:sz w:val="22"/>
          <w:szCs w:val="22"/>
        </w:rPr>
      </w:pPr>
    </w:p>
    <w:p w14:paraId="2CCF977F" w14:textId="77777777" w:rsidR="00051D1E" w:rsidRDefault="00051D1E" w:rsidP="0069712A">
      <w:pPr>
        <w:pStyle w:val="figs3"/>
        <w:rPr>
          <w:color w:val="auto"/>
        </w:rPr>
      </w:pPr>
      <w:r w:rsidRPr="00FC1EA5">
        <w:rPr>
          <w:color w:val="auto"/>
        </w:rPr>
        <w:t>Figure 1:  Out-of-pocket costs as a proportion of disposable income in long day care by selected fam</w:t>
      </w:r>
      <w:r w:rsidR="008C1CAD" w:rsidRPr="00FC1EA5">
        <w:rPr>
          <w:color w:val="auto"/>
        </w:rPr>
        <w:t>ily income ranges, 2004 and 2012</w:t>
      </w:r>
    </w:p>
    <w:p w14:paraId="2CCF9780" w14:textId="77777777" w:rsidR="00D61FD5" w:rsidRPr="00FC1EA5" w:rsidRDefault="00BA6972" w:rsidP="0069712A">
      <w:pPr>
        <w:pStyle w:val="figs3"/>
        <w:rPr>
          <w:color w:val="auto"/>
        </w:rPr>
      </w:pPr>
      <w:r>
        <w:rPr>
          <w:noProof/>
        </w:rPr>
        <w:drawing>
          <wp:inline distT="0" distB="0" distL="0" distR="0" wp14:anchorId="2CCF9860" wp14:editId="77B3D7E8">
            <wp:extent cx="5938520" cy="3110865"/>
            <wp:effectExtent l="0" t="0" r="24130" b="13335"/>
            <wp:docPr id="3" name="Chart 1" title="Figure 1:  Out-of-pocket costs as a proportion of disposable income in long day care by selected family income ranges, 2004 and 20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CCF9781" w14:textId="77777777" w:rsidR="00051D1E" w:rsidRPr="00FC1EA5" w:rsidRDefault="00051D1E" w:rsidP="00051D1E">
      <w:pPr>
        <w:rPr>
          <w:rFonts w:ascii="Calibri" w:hAnsi="Calibri" w:cs="Arial"/>
          <w:snapToGrid w:val="0"/>
          <w:sz w:val="16"/>
          <w:szCs w:val="16"/>
        </w:rPr>
      </w:pPr>
      <w:r w:rsidRPr="00FC1EA5">
        <w:rPr>
          <w:rFonts w:ascii="Calibri" w:hAnsi="Calibri" w:cs="Arial"/>
          <w:snapToGrid w:val="0"/>
          <w:sz w:val="16"/>
          <w:szCs w:val="16"/>
        </w:rPr>
        <w:t>Source:  DEEWR administrative data.</w:t>
      </w:r>
    </w:p>
    <w:p w14:paraId="2CCF9782" w14:textId="77777777" w:rsidR="00051D1E" w:rsidRPr="00FC1EA5" w:rsidRDefault="00051D1E" w:rsidP="00051D1E">
      <w:pPr>
        <w:rPr>
          <w:rFonts w:ascii="Calibri" w:hAnsi="Calibri" w:cs="Arial"/>
          <w:snapToGrid w:val="0"/>
          <w:sz w:val="16"/>
          <w:szCs w:val="16"/>
        </w:rPr>
      </w:pPr>
      <w:r w:rsidRPr="00FC1EA5">
        <w:rPr>
          <w:rFonts w:ascii="Calibri" w:hAnsi="Calibri" w:cs="Arial"/>
          <w:snapToGrid w:val="0"/>
          <w:sz w:val="16"/>
          <w:szCs w:val="16"/>
        </w:rPr>
        <w:t xml:space="preserve">Note:  This graph depicts families with one child, using 50 hours of care per week, paying the average cost for long day care in </w:t>
      </w:r>
      <w:r w:rsidR="00657921" w:rsidRPr="00FC1EA5">
        <w:rPr>
          <w:rFonts w:ascii="Calibri" w:hAnsi="Calibri" w:cs="Arial"/>
          <w:snapToGrid w:val="0"/>
          <w:sz w:val="16"/>
          <w:szCs w:val="16"/>
        </w:rPr>
        <w:t xml:space="preserve">the March quarter </w:t>
      </w:r>
      <w:r w:rsidRPr="00FC1EA5">
        <w:rPr>
          <w:rFonts w:ascii="Calibri" w:hAnsi="Calibri" w:cs="Arial"/>
          <w:snapToGrid w:val="0"/>
          <w:sz w:val="16"/>
          <w:szCs w:val="16"/>
        </w:rPr>
        <w:t xml:space="preserve">2004, </w:t>
      </w:r>
      <w:r w:rsidR="00657921" w:rsidRPr="00FC1EA5">
        <w:rPr>
          <w:rFonts w:ascii="Calibri" w:hAnsi="Calibri" w:cs="Arial"/>
          <w:snapToGrid w:val="0"/>
          <w:sz w:val="16"/>
          <w:szCs w:val="16"/>
        </w:rPr>
        <w:t>and the March quarter 2012.</w:t>
      </w:r>
      <w:r w:rsidRPr="00FC1EA5">
        <w:rPr>
          <w:rFonts w:ascii="Calibri" w:hAnsi="Calibri" w:cs="Arial"/>
          <w:snapToGrid w:val="0"/>
          <w:sz w:val="16"/>
          <w:szCs w:val="16"/>
        </w:rPr>
        <w:t xml:space="preserve"> Data for gross family income of $150,000 </w:t>
      </w:r>
      <w:proofErr w:type="gramStart"/>
      <w:r w:rsidRPr="00FC1EA5">
        <w:rPr>
          <w:rFonts w:ascii="Calibri" w:hAnsi="Calibri" w:cs="Arial"/>
          <w:snapToGrid w:val="0"/>
          <w:sz w:val="16"/>
          <w:szCs w:val="16"/>
        </w:rPr>
        <w:t>n/a</w:t>
      </w:r>
      <w:proofErr w:type="gramEnd"/>
      <w:r w:rsidRPr="00FC1EA5">
        <w:rPr>
          <w:rFonts w:ascii="Calibri" w:hAnsi="Calibri" w:cs="Arial"/>
          <w:snapToGrid w:val="0"/>
          <w:sz w:val="16"/>
          <w:szCs w:val="16"/>
        </w:rPr>
        <w:t xml:space="preserve"> for 2004.  </w:t>
      </w:r>
    </w:p>
    <w:p w14:paraId="2CCF9783" w14:textId="77777777" w:rsidR="00051D1E" w:rsidRPr="00FC1EA5" w:rsidRDefault="00051D1E" w:rsidP="00051D1E">
      <w:pPr>
        <w:ind w:right="-290"/>
        <w:rPr>
          <w:rFonts w:ascii="Calibri" w:hAnsi="Calibri" w:cs="Arial"/>
          <w:sz w:val="22"/>
          <w:szCs w:val="22"/>
        </w:rPr>
      </w:pPr>
      <w:r w:rsidRPr="00FC1EA5">
        <w:rPr>
          <w:rFonts w:ascii="Calibri" w:hAnsi="Calibri" w:cs="Arial"/>
          <w:sz w:val="22"/>
          <w:szCs w:val="22"/>
        </w:rPr>
        <w:lastRenderedPageBreak/>
        <w:t>Figure 2 pr</w:t>
      </w:r>
      <w:r w:rsidR="00880D15" w:rsidRPr="00FC1EA5">
        <w:rPr>
          <w:rFonts w:ascii="Calibri" w:hAnsi="Calibri" w:cs="Arial"/>
          <w:sz w:val="22"/>
          <w:szCs w:val="22"/>
        </w:rPr>
        <w:t>esents</w:t>
      </w:r>
      <w:r w:rsidRPr="00FC1EA5">
        <w:rPr>
          <w:rFonts w:ascii="Calibri" w:hAnsi="Calibri" w:cs="Arial"/>
          <w:sz w:val="22"/>
          <w:szCs w:val="22"/>
        </w:rPr>
        <w:t xml:space="preserve"> the out-of-pocket costs (before and after Australian Government subsidies) for families with one child using long day care for 50 hours of care per week. Before subsidies, out-of-pocket costs varied from </w:t>
      </w:r>
      <w:r w:rsidR="00657921" w:rsidRPr="00FC1EA5">
        <w:rPr>
          <w:rFonts w:ascii="Calibri" w:hAnsi="Calibri" w:cs="Arial"/>
          <w:sz w:val="22"/>
          <w:szCs w:val="22"/>
        </w:rPr>
        <w:t>39.7</w:t>
      </w:r>
      <w:r w:rsidRPr="00FC1EA5">
        <w:rPr>
          <w:rFonts w:ascii="Calibri" w:hAnsi="Calibri" w:cs="Arial"/>
          <w:sz w:val="22"/>
          <w:szCs w:val="22"/>
        </w:rPr>
        <w:t xml:space="preserve"> per cent of weekly disposable income for families earning</w:t>
      </w:r>
      <w:r w:rsidR="00880D15" w:rsidRPr="00FC1EA5">
        <w:rPr>
          <w:rFonts w:ascii="Calibri" w:hAnsi="Calibri" w:cs="Arial"/>
          <w:sz w:val="22"/>
          <w:szCs w:val="22"/>
        </w:rPr>
        <w:t xml:space="preserve"> a gross income of</w:t>
      </w:r>
      <w:r w:rsidRPr="00FC1EA5">
        <w:rPr>
          <w:rFonts w:ascii="Calibri" w:hAnsi="Calibri" w:cs="Arial"/>
          <w:sz w:val="22"/>
          <w:szCs w:val="22"/>
        </w:rPr>
        <w:t xml:space="preserve"> $35,000 per year, to </w:t>
      </w:r>
      <w:r w:rsidR="00657921" w:rsidRPr="00FC1EA5">
        <w:rPr>
          <w:rFonts w:ascii="Calibri" w:hAnsi="Calibri" w:cs="Arial"/>
          <w:sz w:val="22"/>
          <w:szCs w:val="22"/>
        </w:rPr>
        <w:t>15</w:t>
      </w:r>
      <w:r w:rsidRPr="00FC1EA5">
        <w:rPr>
          <w:rFonts w:ascii="Calibri" w:hAnsi="Calibri" w:cs="Arial"/>
          <w:sz w:val="22"/>
          <w:szCs w:val="22"/>
        </w:rPr>
        <w:t>.4 per cent for families earning</w:t>
      </w:r>
      <w:r w:rsidR="00880D15" w:rsidRPr="00FC1EA5">
        <w:rPr>
          <w:rFonts w:ascii="Calibri" w:hAnsi="Calibri" w:cs="Arial"/>
          <w:sz w:val="22"/>
          <w:szCs w:val="22"/>
        </w:rPr>
        <w:t xml:space="preserve"> a gross income of</w:t>
      </w:r>
      <w:r w:rsidRPr="00FC1EA5">
        <w:rPr>
          <w:rFonts w:ascii="Calibri" w:hAnsi="Calibri" w:cs="Arial"/>
          <w:sz w:val="22"/>
          <w:szCs w:val="22"/>
        </w:rPr>
        <w:t xml:space="preserve"> $150,000 per year. After subsidies, out-of-pocket costs were significantly reduced to around </w:t>
      </w:r>
      <w:r w:rsidR="00657921" w:rsidRPr="00FC1EA5">
        <w:rPr>
          <w:rFonts w:ascii="Calibri" w:hAnsi="Calibri" w:cs="Arial"/>
          <w:sz w:val="22"/>
          <w:szCs w:val="22"/>
        </w:rPr>
        <w:t xml:space="preserve">9.0 </w:t>
      </w:r>
      <w:r w:rsidRPr="00FC1EA5">
        <w:rPr>
          <w:rFonts w:ascii="Calibri" w:hAnsi="Calibri" w:cs="Arial"/>
          <w:sz w:val="22"/>
          <w:szCs w:val="22"/>
        </w:rPr>
        <w:t>per cent of disposable income across all income ranges.</w:t>
      </w:r>
    </w:p>
    <w:p w14:paraId="2CCF9784" w14:textId="77777777" w:rsidR="00051D1E" w:rsidRPr="00FC1EA5" w:rsidRDefault="00051D1E" w:rsidP="00051D1E">
      <w:pPr>
        <w:rPr>
          <w:rFonts w:ascii="Calibri" w:hAnsi="Calibri" w:cs="Arial"/>
          <w:sz w:val="22"/>
          <w:szCs w:val="22"/>
        </w:rPr>
      </w:pPr>
    </w:p>
    <w:p w14:paraId="2CCF9785" w14:textId="77777777" w:rsidR="00051D1E" w:rsidRDefault="00051D1E" w:rsidP="0069712A">
      <w:pPr>
        <w:pStyle w:val="figs3"/>
        <w:rPr>
          <w:color w:val="auto"/>
        </w:rPr>
      </w:pPr>
      <w:r w:rsidRPr="00FC1EA5">
        <w:rPr>
          <w:color w:val="auto"/>
        </w:rPr>
        <w:t xml:space="preserve">Figure 2: Out-of-pocket costs for one child in long day care before and after Australian Government subsidies, </w:t>
      </w:r>
      <w:r w:rsidR="008C68D1" w:rsidRPr="00FC1EA5">
        <w:rPr>
          <w:color w:val="auto"/>
        </w:rPr>
        <w:t>March quarter 2012</w:t>
      </w:r>
    </w:p>
    <w:p w14:paraId="2CCF9786" w14:textId="77777777" w:rsidR="00D61FD5" w:rsidRPr="00FC1EA5" w:rsidRDefault="00BA6972" w:rsidP="0069712A">
      <w:pPr>
        <w:pStyle w:val="figs3"/>
        <w:rPr>
          <w:color w:val="auto"/>
        </w:rPr>
      </w:pPr>
      <w:r>
        <w:rPr>
          <w:noProof/>
        </w:rPr>
        <w:drawing>
          <wp:inline distT="0" distB="0" distL="0" distR="0" wp14:anchorId="2CCF9862" wp14:editId="7E99A8F9">
            <wp:extent cx="5938520" cy="3310890"/>
            <wp:effectExtent l="0" t="0" r="24130" b="22860"/>
            <wp:docPr id="2" name="Chart 9" title="Figure 2: Out-of-pocket costs for one child in long day care before and after Australian Government subsidies, March quarter 20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CCF9787" w14:textId="77777777" w:rsidR="00051D1E" w:rsidRPr="00FC1EA5" w:rsidRDefault="00051D1E" w:rsidP="00051D1E">
      <w:pPr>
        <w:rPr>
          <w:rFonts w:ascii="Calibri" w:hAnsi="Calibri" w:cs="Arial"/>
          <w:snapToGrid w:val="0"/>
          <w:sz w:val="16"/>
          <w:szCs w:val="16"/>
        </w:rPr>
      </w:pPr>
      <w:r w:rsidRPr="00FC1EA5">
        <w:rPr>
          <w:rFonts w:ascii="Calibri" w:hAnsi="Calibri" w:cs="Arial"/>
          <w:snapToGrid w:val="0"/>
          <w:sz w:val="16"/>
          <w:szCs w:val="16"/>
        </w:rPr>
        <w:t>Source:  DEEWR administrative data.</w:t>
      </w:r>
    </w:p>
    <w:p w14:paraId="2CCF978A" w14:textId="77777777" w:rsidR="006A64F0" w:rsidRPr="00FC1EA5" w:rsidRDefault="006A64F0" w:rsidP="006A64F0">
      <w:pPr>
        <w:rPr>
          <w:rFonts w:ascii="Calibri" w:hAnsi="Calibri" w:cs="Arial"/>
          <w:sz w:val="22"/>
          <w:szCs w:val="22"/>
        </w:rPr>
      </w:pPr>
    </w:p>
    <w:p w14:paraId="2CCF978B" w14:textId="77777777" w:rsidR="006A64F0" w:rsidRPr="00FC1EA5" w:rsidRDefault="006A64F0" w:rsidP="006A64F0">
      <w:pPr>
        <w:pStyle w:val="Heading1"/>
        <w:spacing w:after="0"/>
        <w:rPr>
          <w:rFonts w:ascii="Calibri" w:hAnsi="Calibri"/>
          <w:b/>
          <w:color w:val="auto"/>
        </w:rPr>
      </w:pPr>
      <w:r w:rsidRPr="00FC1EA5">
        <w:rPr>
          <w:rFonts w:ascii="Calibri" w:hAnsi="Calibri"/>
          <w:b/>
          <w:color w:val="auto"/>
        </w:rPr>
        <w:t>State by state</w:t>
      </w:r>
    </w:p>
    <w:p w14:paraId="2CCF978C" w14:textId="77777777" w:rsidR="006A64F0" w:rsidRPr="00FC1EA5" w:rsidRDefault="006A64F0" w:rsidP="006A64F0">
      <w:pPr>
        <w:ind w:right="-649"/>
        <w:rPr>
          <w:rFonts w:ascii="Calibri" w:hAnsi="Calibri" w:cs="Arial"/>
          <w:sz w:val="22"/>
          <w:szCs w:val="22"/>
        </w:rPr>
      </w:pPr>
    </w:p>
    <w:p w14:paraId="2CCF978D" w14:textId="6A24FD91" w:rsidR="006A64F0" w:rsidRPr="00FC1EA5" w:rsidRDefault="006A64F0" w:rsidP="006A64F0">
      <w:pPr>
        <w:ind w:right="-649"/>
        <w:rPr>
          <w:rFonts w:ascii="Calibri" w:hAnsi="Calibri"/>
          <w:sz w:val="22"/>
          <w:szCs w:val="22"/>
        </w:rPr>
      </w:pPr>
      <w:r w:rsidRPr="00FC1EA5">
        <w:rPr>
          <w:rFonts w:ascii="Calibri" w:hAnsi="Calibri" w:cs="Arial"/>
          <w:sz w:val="22"/>
          <w:szCs w:val="22"/>
        </w:rPr>
        <w:t xml:space="preserve">In the </w:t>
      </w:r>
      <w:r w:rsidR="0001617D" w:rsidRPr="00FC1EA5">
        <w:rPr>
          <w:rFonts w:ascii="Calibri" w:hAnsi="Calibri" w:cs="Arial"/>
          <w:sz w:val="22"/>
          <w:szCs w:val="22"/>
        </w:rPr>
        <w:t>March quarter 2012</w:t>
      </w:r>
      <w:r w:rsidRPr="00FC1EA5">
        <w:rPr>
          <w:rFonts w:ascii="Calibri" w:hAnsi="Calibri" w:cs="Arial"/>
          <w:sz w:val="22"/>
          <w:szCs w:val="22"/>
        </w:rPr>
        <w:t>, t</w:t>
      </w:r>
      <w:r w:rsidRPr="00FC1EA5">
        <w:rPr>
          <w:rFonts w:ascii="Calibri" w:hAnsi="Calibri"/>
          <w:sz w:val="22"/>
          <w:szCs w:val="22"/>
        </w:rPr>
        <w:t>he largest proportion of children attending approved child care services was in New South Wales (32.</w:t>
      </w:r>
      <w:r w:rsidR="00933A6C" w:rsidRPr="00FC1EA5">
        <w:rPr>
          <w:rFonts w:ascii="Calibri" w:hAnsi="Calibri"/>
          <w:sz w:val="22"/>
          <w:szCs w:val="22"/>
        </w:rPr>
        <w:t>1</w:t>
      </w:r>
      <w:r w:rsidRPr="00FC1EA5">
        <w:rPr>
          <w:rFonts w:ascii="Calibri" w:hAnsi="Calibri"/>
          <w:sz w:val="22"/>
          <w:szCs w:val="22"/>
        </w:rPr>
        <w:t xml:space="preserve"> per cent), followed by Queensland (</w:t>
      </w:r>
      <w:r w:rsidR="00933A6C" w:rsidRPr="00FC1EA5">
        <w:rPr>
          <w:rFonts w:ascii="Calibri" w:hAnsi="Calibri"/>
          <w:sz w:val="22"/>
          <w:szCs w:val="22"/>
        </w:rPr>
        <w:t>24.8</w:t>
      </w:r>
      <w:r w:rsidRPr="00FC1EA5">
        <w:rPr>
          <w:rFonts w:ascii="Calibri" w:hAnsi="Calibri"/>
          <w:sz w:val="22"/>
          <w:szCs w:val="22"/>
        </w:rPr>
        <w:t xml:space="preserve"> per cent) and Victoria (23.</w:t>
      </w:r>
      <w:r w:rsidR="00BF71AF" w:rsidRPr="00FC1EA5">
        <w:rPr>
          <w:rFonts w:ascii="Calibri" w:hAnsi="Calibri"/>
          <w:sz w:val="22"/>
          <w:szCs w:val="22"/>
        </w:rPr>
        <w:t>0</w:t>
      </w:r>
      <w:r w:rsidRPr="00FC1EA5">
        <w:rPr>
          <w:rFonts w:ascii="Calibri" w:hAnsi="Calibri"/>
          <w:sz w:val="22"/>
          <w:szCs w:val="22"/>
        </w:rPr>
        <w:t xml:space="preserve"> per cent). </w:t>
      </w:r>
      <w:r w:rsidRPr="00FC1EA5">
        <w:rPr>
          <w:rFonts w:ascii="Calibri" w:hAnsi="Calibri" w:cs="Arial"/>
          <w:sz w:val="22"/>
          <w:szCs w:val="22"/>
        </w:rPr>
        <w:t xml:space="preserve">In each of the states and </w:t>
      </w:r>
      <w:r w:rsidR="00DE6158" w:rsidRPr="00FC1EA5">
        <w:rPr>
          <w:rFonts w:ascii="Calibri" w:hAnsi="Calibri" w:cs="Arial"/>
          <w:sz w:val="22"/>
          <w:szCs w:val="22"/>
        </w:rPr>
        <w:t xml:space="preserve">territories, the largest </w:t>
      </w:r>
      <w:proofErr w:type="gramStart"/>
      <w:r w:rsidR="00DE6158" w:rsidRPr="00FC1EA5">
        <w:rPr>
          <w:rFonts w:ascii="Calibri" w:hAnsi="Calibri" w:cs="Arial"/>
          <w:sz w:val="22"/>
          <w:szCs w:val="22"/>
        </w:rPr>
        <w:t>number</w:t>
      </w:r>
      <w:r w:rsidRPr="00FC1EA5">
        <w:rPr>
          <w:rFonts w:ascii="Calibri" w:hAnsi="Calibri" w:cs="Arial"/>
          <w:sz w:val="22"/>
          <w:szCs w:val="22"/>
        </w:rPr>
        <w:t xml:space="preserve"> of children w</w:t>
      </w:r>
      <w:r w:rsidR="00C77484">
        <w:rPr>
          <w:rFonts w:ascii="Calibri" w:hAnsi="Calibri" w:cs="Arial"/>
          <w:sz w:val="22"/>
          <w:szCs w:val="22"/>
        </w:rPr>
        <w:t>ere</w:t>
      </w:r>
      <w:proofErr w:type="gramEnd"/>
      <w:r w:rsidR="00C77484">
        <w:rPr>
          <w:rFonts w:ascii="Calibri" w:hAnsi="Calibri" w:cs="Arial"/>
          <w:sz w:val="22"/>
          <w:szCs w:val="22"/>
        </w:rPr>
        <w:t xml:space="preserve"> in long day care (Table 7).</w:t>
      </w:r>
    </w:p>
    <w:p w14:paraId="2CCF978E" w14:textId="77777777" w:rsidR="006A64F0" w:rsidRPr="00FC1EA5" w:rsidRDefault="006A64F0" w:rsidP="006A64F0">
      <w:pPr>
        <w:rPr>
          <w:rFonts w:asciiTheme="minorHAnsi" w:hAnsiTheme="minorHAnsi" w:cs="Calibri"/>
          <w:sz w:val="22"/>
          <w:szCs w:val="22"/>
        </w:rPr>
      </w:pPr>
    </w:p>
    <w:p w14:paraId="2CCF978F" w14:textId="77777777" w:rsidR="006A64F0" w:rsidRPr="00FC1EA5" w:rsidRDefault="006A64F0" w:rsidP="006A64F0">
      <w:pPr>
        <w:pStyle w:val="Caption"/>
        <w:keepNext/>
        <w:ind w:right="-649"/>
        <w:rPr>
          <w:rFonts w:ascii="Calibri" w:hAnsi="Calibri"/>
          <w:sz w:val="22"/>
          <w:szCs w:val="22"/>
        </w:rPr>
      </w:pPr>
      <w:r w:rsidRPr="00FC1EA5">
        <w:rPr>
          <w:rFonts w:ascii="Calibri" w:hAnsi="Calibri"/>
          <w:sz w:val="22"/>
          <w:szCs w:val="22"/>
        </w:rPr>
        <w:t xml:space="preserve">Table 7: </w:t>
      </w:r>
      <w:r w:rsidRPr="00FC1EA5">
        <w:rPr>
          <w:rFonts w:ascii="Calibri" w:hAnsi="Calibri" w:cs="Arial"/>
          <w:bCs w:val="0"/>
          <w:sz w:val="22"/>
          <w:szCs w:val="22"/>
        </w:rPr>
        <w:t xml:space="preserve">Number of children using child care by service type and state or territory, </w:t>
      </w:r>
      <w:r w:rsidR="0001617D" w:rsidRPr="00FC1EA5">
        <w:rPr>
          <w:rFonts w:ascii="Calibri" w:hAnsi="Calibri" w:cs="Arial"/>
          <w:bCs w:val="0"/>
          <w:sz w:val="22"/>
          <w:szCs w:val="22"/>
        </w:rPr>
        <w:t>March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D61FD5" w:rsidRPr="00FC1EA5" w14:paraId="2CCF979A" w14:textId="77777777" w:rsidTr="00D61FD5">
        <w:trPr>
          <w:trHeight w:val="255"/>
        </w:trPr>
        <w:tc>
          <w:tcPr>
            <w:tcW w:w="3075" w:type="dxa"/>
            <w:tcBorders>
              <w:top w:val="single" w:sz="4" w:space="0" w:color="FFFFFF" w:themeColor="background1"/>
              <w:left w:val="nil"/>
              <w:bottom w:val="single" w:sz="4" w:space="0" w:color="FFFFFF" w:themeColor="background1"/>
              <w:right w:val="single" w:sz="4" w:space="0" w:color="FFFFFF" w:themeColor="background1"/>
            </w:tcBorders>
            <w:vAlign w:val="center"/>
          </w:tcPr>
          <w:p w14:paraId="2CCF9790" w14:textId="77777777" w:rsidR="006A64F0" w:rsidRPr="00FC1EA5" w:rsidRDefault="006A64F0" w:rsidP="006A64F0">
            <w:pPr>
              <w:ind w:right="-288"/>
              <w:rPr>
                <w:rFonts w:ascii="Calibri" w:hAnsi="Calibri" w:cs="Arial"/>
                <w:b/>
                <w:bCs/>
                <w:sz w:val="20"/>
                <w:szCs w:val="20"/>
              </w:rPr>
            </w:pPr>
            <w:r w:rsidRPr="00FC1EA5">
              <w:rPr>
                <w:rFonts w:ascii="Calibri" w:hAnsi="Calibri" w:cs="Arial"/>
                <w:b/>
                <w:bCs/>
                <w:sz w:val="20"/>
                <w:szCs w:val="20"/>
              </w:rPr>
              <w:t>Service type</w:t>
            </w:r>
          </w:p>
        </w:tc>
        <w:tc>
          <w:tcPr>
            <w:tcW w:w="83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91"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NSW</w:t>
            </w:r>
          </w:p>
        </w:tc>
        <w:tc>
          <w:tcPr>
            <w:tcW w:w="833" w:type="dxa"/>
            <w:tcBorders>
              <w:top w:val="single" w:sz="4" w:space="0" w:color="FFFFFF" w:themeColor="background1"/>
              <w:left w:val="nil"/>
              <w:bottom w:val="single" w:sz="4" w:space="0" w:color="FFFFFF" w:themeColor="background1"/>
              <w:right w:val="nil"/>
            </w:tcBorders>
            <w:vAlign w:val="center"/>
          </w:tcPr>
          <w:p w14:paraId="2CCF9792"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Vic.</w:t>
            </w:r>
          </w:p>
        </w:tc>
        <w:tc>
          <w:tcPr>
            <w:tcW w:w="832" w:type="dxa"/>
            <w:tcBorders>
              <w:top w:val="single" w:sz="4" w:space="0" w:color="FFFFFF" w:themeColor="background1"/>
              <w:left w:val="nil"/>
              <w:bottom w:val="single" w:sz="4" w:space="0" w:color="FFFFFF" w:themeColor="background1"/>
              <w:right w:val="nil"/>
            </w:tcBorders>
            <w:vAlign w:val="center"/>
          </w:tcPr>
          <w:p w14:paraId="2CCF9793"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Qld</w:t>
            </w:r>
          </w:p>
        </w:tc>
        <w:tc>
          <w:tcPr>
            <w:tcW w:w="833" w:type="dxa"/>
            <w:tcBorders>
              <w:top w:val="single" w:sz="4" w:space="0" w:color="FFFFFF" w:themeColor="background1"/>
              <w:left w:val="nil"/>
              <w:bottom w:val="single" w:sz="4" w:space="0" w:color="FFFFFF" w:themeColor="background1"/>
              <w:right w:val="nil"/>
            </w:tcBorders>
            <w:vAlign w:val="center"/>
          </w:tcPr>
          <w:p w14:paraId="2CCF9794"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SA</w:t>
            </w:r>
          </w:p>
        </w:tc>
        <w:tc>
          <w:tcPr>
            <w:tcW w:w="832" w:type="dxa"/>
            <w:tcBorders>
              <w:top w:val="single" w:sz="4" w:space="0" w:color="FFFFFF" w:themeColor="background1"/>
              <w:left w:val="nil"/>
              <w:bottom w:val="single" w:sz="4" w:space="0" w:color="FFFFFF" w:themeColor="background1"/>
              <w:right w:val="nil"/>
            </w:tcBorders>
            <w:vAlign w:val="center"/>
          </w:tcPr>
          <w:p w14:paraId="2CCF9795"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WA</w:t>
            </w:r>
          </w:p>
        </w:tc>
        <w:tc>
          <w:tcPr>
            <w:tcW w:w="833" w:type="dxa"/>
            <w:tcBorders>
              <w:top w:val="single" w:sz="4" w:space="0" w:color="FFFFFF" w:themeColor="background1"/>
              <w:left w:val="nil"/>
              <w:bottom w:val="single" w:sz="4" w:space="0" w:color="FFFFFF" w:themeColor="background1"/>
              <w:right w:val="nil"/>
            </w:tcBorders>
            <w:vAlign w:val="center"/>
          </w:tcPr>
          <w:p w14:paraId="2CCF9796"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Tas.</w:t>
            </w:r>
          </w:p>
        </w:tc>
        <w:tc>
          <w:tcPr>
            <w:tcW w:w="765" w:type="dxa"/>
            <w:tcBorders>
              <w:top w:val="single" w:sz="4" w:space="0" w:color="FFFFFF" w:themeColor="background1"/>
              <w:left w:val="nil"/>
              <w:bottom w:val="single" w:sz="4" w:space="0" w:color="FFFFFF" w:themeColor="background1"/>
              <w:right w:val="nil"/>
            </w:tcBorders>
            <w:vAlign w:val="center"/>
          </w:tcPr>
          <w:p w14:paraId="2CCF9797"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NT</w:t>
            </w:r>
          </w:p>
        </w:tc>
        <w:tc>
          <w:tcPr>
            <w:tcW w:w="720" w:type="dxa"/>
            <w:tcBorders>
              <w:top w:val="single" w:sz="4" w:space="0" w:color="FFFFFF" w:themeColor="background1"/>
              <w:left w:val="nil"/>
              <w:bottom w:val="single" w:sz="4" w:space="0" w:color="FFFFFF" w:themeColor="background1"/>
              <w:right w:val="nil"/>
            </w:tcBorders>
            <w:vAlign w:val="center"/>
          </w:tcPr>
          <w:p w14:paraId="2CCF9798"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ACT</w:t>
            </w:r>
          </w:p>
        </w:tc>
        <w:tc>
          <w:tcPr>
            <w:tcW w:w="900" w:type="dxa"/>
            <w:tcBorders>
              <w:top w:val="single" w:sz="4" w:space="0" w:color="FFFFFF" w:themeColor="background1"/>
              <w:left w:val="nil"/>
              <w:bottom w:val="single" w:sz="4" w:space="0" w:color="FFFFFF" w:themeColor="background1"/>
              <w:right w:val="nil"/>
            </w:tcBorders>
            <w:vAlign w:val="center"/>
          </w:tcPr>
          <w:p w14:paraId="2CCF9799" w14:textId="77777777" w:rsidR="006A64F0" w:rsidRPr="00FC1EA5" w:rsidRDefault="006A64F0" w:rsidP="006A64F0">
            <w:pPr>
              <w:ind w:left="-108"/>
              <w:jc w:val="right"/>
              <w:rPr>
                <w:rFonts w:ascii="Calibri" w:hAnsi="Calibri" w:cs="Arial"/>
                <w:b/>
                <w:bCs/>
                <w:sz w:val="20"/>
                <w:szCs w:val="20"/>
              </w:rPr>
            </w:pPr>
            <w:r w:rsidRPr="00FC1EA5">
              <w:rPr>
                <w:rFonts w:ascii="Calibri" w:hAnsi="Calibri" w:cs="Arial"/>
                <w:b/>
                <w:bCs/>
                <w:sz w:val="20"/>
                <w:szCs w:val="20"/>
              </w:rPr>
              <w:t>Australia</w:t>
            </w:r>
          </w:p>
        </w:tc>
      </w:tr>
      <w:tr w:rsidR="00D61FD5" w:rsidRPr="00FC1EA5" w14:paraId="2CCF97A5" w14:textId="77777777" w:rsidTr="00D61FD5">
        <w:trPr>
          <w:trHeight w:val="255"/>
        </w:trPr>
        <w:tc>
          <w:tcPr>
            <w:tcW w:w="3075" w:type="dxa"/>
            <w:tcBorders>
              <w:top w:val="single" w:sz="4" w:space="0" w:color="FFFFFF" w:themeColor="background1"/>
              <w:left w:val="nil"/>
              <w:bottom w:val="nil"/>
              <w:right w:val="single" w:sz="4" w:space="0" w:color="FFFFFF" w:themeColor="background1"/>
            </w:tcBorders>
            <w:noWrap/>
            <w:vAlign w:val="center"/>
          </w:tcPr>
          <w:p w14:paraId="2CCF979B" w14:textId="77777777" w:rsidR="003924DD" w:rsidRPr="00FC1EA5" w:rsidRDefault="003924DD" w:rsidP="006A64F0">
            <w:pPr>
              <w:ind w:right="-288"/>
              <w:rPr>
                <w:rFonts w:ascii="Calibri" w:hAnsi="Calibri" w:cs="Arial"/>
                <w:sz w:val="20"/>
                <w:szCs w:val="20"/>
              </w:rPr>
            </w:pPr>
            <w:r w:rsidRPr="00FC1EA5">
              <w:rPr>
                <w:rFonts w:ascii="Calibri" w:hAnsi="Calibri" w:cs="Arial"/>
                <w:sz w:val="20"/>
                <w:szCs w:val="20"/>
              </w:rPr>
              <w:t>Long day care</w:t>
            </w:r>
          </w:p>
        </w:tc>
        <w:tc>
          <w:tcPr>
            <w:tcW w:w="832" w:type="dxa"/>
            <w:tcBorders>
              <w:top w:val="single" w:sz="4" w:space="0" w:color="FFFFFF" w:themeColor="background1"/>
              <w:left w:val="single" w:sz="4" w:space="0" w:color="FFFFFF" w:themeColor="background1"/>
              <w:bottom w:val="nil"/>
              <w:right w:val="nil"/>
            </w:tcBorders>
            <w:vAlign w:val="center"/>
          </w:tcPr>
          <w:p w14:paraId="2CCF979C" w14:textId="77777777" w:rsidR="003924DD" w:rsidRPr="00FC1EA5" w:rsidRDefault="003924DD" w:rsidP="003924DD">
            <w:pPr>
              <w:autoSpaceDE w:val="0"/>
              <w:autoSpaceDN w:val="0"/>
              <w:adjustRightInd w:val="0"/>
              <w:ind w:hanging="49"/>
              <w:jc w:val="right"/>
              <w:rPr>
                <w:rFonts w:ascii="Calibri" w:hAnsi="Calibri" w:cs="Calibri"/>
                <w:sz w:val="20"/>
                <w:szCs w:val="20"/>
              </w:rPr>
            </w:pPr>
            <w:r w:rsidRPr="00FC1EA5">
              <w:rPr>
                <w:rFonts w:ascii="Calibri" w:hAnsi="Calibri" w:cs="Calibri"/>
                <w:sz w:val="20"/>
                <w:szCs w:val="20"/>
              </w:rPr>
              <w:t>198,320</w:t>
            </w:r>
          </w:p>
        </w:tc>
        <w:tc>
          <w:tcPr>
            <w:tcW w:w="833" w:type="dxa"/>
            <w:tcBorders>
              <w:top w:val="single" w:sz="4" w:space="0" w:color="FFFFFF" w:themeColor="background1"/>
              <w:left w:val="nil"/>
              <w:bottom w:val="nil"/>
              <w:right w:val="nil"/>
            </w:tcBorders>
            <w:vAlign w:val="center"/>
          </w:tcPr>
          <w:p w14:paraId="2CCF979D" w14:textId="77777777" w:rsidR="003924DD" w:rsidRPr="00FC1EA5" w:rsidRDefault="003924DD" w:rsidP="003924DD">
            <w:pPr>
              <w:autoSpaceDE w:val="0"/>
              <w:autoSpaceDN w:val="0"/>
              <w:adjustRightInd w:val="0"/>
              <w:ind w:hanging="55"/>
              <w:jc w:val="right"/>
              <w:rPr>
                <w:rFonts w:ascii="Calibri" w:hAnsi="Calibri" w:cs="Calibri"/>
                <w:sz w:val="20"/>
                <w:szCs w:val="20"/>
              </w:rPr>
            </w:pPr>
            <w:r w:rsidRPr="00FC1EA5">
              <w:rPr>
                <w:rFonts w:ascii="Calibri" w:hAnsi="Calibri" w:cs="Calibri"/>
                <w:sz w:val="20"/>
                <w:szCs w:val="20"/>
              </w:rPr>
              <w:t>132,060</w:t>
            </w:r>
          </w:p>
        </w:tc>
        <w:tc>
          <w:tcPr>
            <w:tcW w:w="832" w:type="dxa"/>
            <w:tcBorders>
              <w:top w:val="single" w:sz="4" w:space="0" w:color="FFFFFF" w:themeColor="background1"/>
              <w:left w:val="nil"/>
              <w:bottom w:val="nil"/>
              <w:right w:val="nil"/>
            </w:tcBorders>
            <w:vAlign w:val="center"/>
          </w:tcPr>
          <w:p w14:paraId="2CCF979E" w14:textId="77777777" w:rsidR="003924DD" w:rsidRPr="00FC1EA5" w:rsidRDefault="003924DD" w:rsidP="003924DD">
            <w:pPr>
              <w:autoSpaceDE w:val="0"/>
              <w:autoSpaceDN w:val="0"/>
              <w:adjustRightInd w:val="0"/>
              <w:ind w:hanging="155"/>
              <w:jc w:val="right"/>
              <w:rPr>
                <w:rFonts w:ascii="Calibri" w:hAnsi="Calibri" w:cs="Calibri"/>
                <w:sz w:val="20"/>
                <w:szCs w:val="20"/>
              </w:rPr>
            </w:pPr>
            <w:r w:rsidRPr="00FC1EA5">
              <w:rPr>
                <w:rFonts w:ascii="Calibri" w:hAnsi="Calibri" w:cs="Calibri"/>
                <w:sz w:val="20"/>
                <w:szCs w:val="20"/>
              </w:rPr>
              <w:t>154,550</w:t>
            </w:r>
          </w:p>
        </w:tc>
        <w:tc>
          <w:tcPr>
            <w:tcW w:w="833" w:type="dxa"/>
            <w:tcBorders>
              <w:top w:val="single" w:sz="4" w:space="0" w:color="FFFFFF" w:themeColor="background1"/>
              <w:left w:val="nil"/>
              <w:bottom w:val="nil"/>
              <w:right w:val="nil"/>
            </w:tcBorders>
            <w:vAlign w:val="center"/>
          </w:tcPr>
          <w:p w14:paraId="2CCF979F" w14:textId="77777777" w:rsidR="003924DD"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37,900</w:t>
            </w:r>
          </w:p>
        </w:tc>
        <w:tc>
          <w:tcPr>
            <w:tcW w:w="832" w:type="dxa"/>
            <w:tcBorders>
              <w:top w:val="single" w:sz="4" w:space="0" w:color="FFFFFF" w:themeColor="background1"/>
              <w:left w:val="nil"/>
              <w:bottom w:val="nil"/>
              <w:right w:val="nil"/>
            </w:tcBorders>
            <w:vAlign w:val="center"/>
          </w:tcPr>
          <w:p w14:paraId="2CCF97A0" w14:textId="77777777" w:rsidR="003924DD"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49,250</w:t>
            </w:r>
          </w:p>
        </w:tc>
        <w:tc>
          <w:tcPr>
            <w:tcW w:w="833" w:type="dxa"/>
            <w:tcBorders>
              <w:top w:val="single" w:sz="4" w:space="0" w:color="FFFFFF" w:themeColor="background1"/>
              <w:left w:val="nil"/>
              <w:bottom w:val="nil"/>
              <w:right w:val="nil"/>
            </w:tcBorders>
            <w:vAlign w:val="center"/>
          </w:tcPr>
          <w:p w14:paraId="2CCF97A1" w14:textId="77777777" w:rsidR="003924DD"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11,350</w:t>
            </w:r>
          </w:p>
        </w:tc>
        <w:tc>
          <w:tcPr>
            <w:tcW w:w="765" w:type="dxa"/>
            <w:tcBorders>
              <w:top w:val="single" w:sz="4" w:space="0" w:color="FFFFFF" w:themeColor="background1"/>
              <w:left w:val="nil"/>
              <w:bottom w:val="nil"/>
              <w:right w:val="nil"/>
            </w:tcBorders>
            <w:vAlign w:val="center"/>
          </w:tcPr>
          <w:p w14:paraId="2CCF97A2" w14:textId="77777777" w:rsidR="003924DD" w:rsidRPr="00FC1EA5" w:rsidRDefault="003924DD" w:rsidP="003924DD">
            <w:pPr>
              <w:jc w:val="right"/>
              <w:rPr>
                <w:rFonts w:ascii="Calibri" w:hAnsi="Calibri" w:cs="Calibri"/>
                <w:sz w:val="20"/>
                <w:szCs w:val="20"/>
              </w:rPr>
            </w:pPr>
            <w:r w:rsidRPr="00FC1EA5">
              <w:rPr>
                <w:rFonts w:ascii="Calibri" w:hAnsi="Calibri" w:cs="Calibri"/>
                <w:sz w:val="20"/>
                <w:szCs w:val="20"/>
              </w:rPr>
              <w:t>4,610</w:t>
            </w:r>
          </w:p>
        </w:tc>
        <w:tc>
          <w:tcPr>
            <w:tcW w:w="720" w:type="dxa"/>
            <w:tcBorders>
              <w:top w:val="single" w:sz="4" w:space="0" w:color="FFFFFF" w:themeColor="background1"/>
              <w:left w:val="nil"/>
              <w:bottom w:val="nil"/>
              <w:right w:val="nil"/>
            </w:tcBorders>
            <w:vAlign w:val="center"/>
          </w:tcPr>
          <w:p w14:paraId="2CCF97A3" w14:textId="77777777" w:rsidR="003924DD" w:rsidRPr="00FC1EA5" w:rsidRDefault="003924DD" w:rsidP="003924DD">
            <w:pPr>
              <w:autoSpaceDE w:val="0"/>
              <w:autoSpaceDN w:val="0"/>
              <w:adjustRightInd w:val="0"/>
              <w:ind w:hanging="139"/>
              <w:jc w:val="right"/>
              <w:rPr>
                <w:rFonts w:ascii="Calibri" w:hAnsi="Calibri" w:cs="Calibri"/>
                <w:sz w:val="20"/>
                <w:szCs w:val="20"/>
              </w:rPr>
            </w:pPr>
            <w:r w:rsidRPr="00FC1EA5">
              <w:rPr>
                <w:rFonts w:ascii="Calibri" w:hAnsi="Calibri" w:cs="Calibri"/>
                <w:sz w:val="20"/>
                <w:szCs w:val="20"/>
              </w:rPr>
              <w:t>11,510</w:t>
            </w:r>
          </w:p>
        </w:tc>
        <w:tc>
          <w:tcPr>
            <w:tcW w:w="900" w:type="dxa"/>
            <w:tcBorders>
              <w:top w:val="single" w:sz="4" w:space="0" w:color="FFFFFF" w:themeColor="background1"/>
              <w:left w:val="nil"/>
              <w:bottom w:val="nil"/>
              <w:right w:val="nil"/>
            </w:tcBorders>
            <w:vAlign w:val="center"/>
          </w:tcPr>
          <w:p w14:paraId="2CCF97A4"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598,450</w:t>
            </w:r>
          </w:p>
        </w:tc>
      </w:tr>
      <w:tr w:rsidR="00D61FD5" w:rsidRPr="00FC1EA5" w14:paraId="2CCF97B0" w14:textId="77777777" w:rsidTr="00D61FD5">
        <w:trPr>
          <w:trHeight w:val="255"/>
        </w:trPr>
        <w:tc>
          <w:tcPr>
            <w:tcW w:w="3075" w:type="dxa"/>
            <w:tcBorders>
              <w:top w:val="nil"/>
              <w:left w:val="nil"/>
              <w:bottom w:val="nil"/>
              <w:right w:val="single" w:sz="4" w:space="0" w:color="FFFFFF" w:themeColor="background1"/>
            </w:tcBorders>
            <w:noWrap/>
            <w:vAlign w:val="center"/>
          </w:tcPr>
          <w:p w14:paraId="2CCF97A6" w14:textId="77777777" w:rsidR="00933A6C" w:rsidRPr="00FC1EA5" w:rsidRDefault="00933A6C" w:rsidP="006A64F0">
            <w:pPr>
              <w:ind w:right="-288"/>
              <w:rPr>
                <w:rFonts w:ascii="Calibri" w:hAnsi="Calibri" w:cs="Arial"/>
                <w:sz w:val="20"/>
                <w:szCs w:val="20"/>
              </w:rPr>
            </w:pPr>
            <w:r w:rsidRPr="00FC1EA5">
              <w:rPr>
                <w:rFonts w:ascii="Calibri" w:hAnsi="Calibri" w:cs="Arial"/>
                <w:sz w:val="20"/>
                <w:szCs w:val="20"/>
              </w:rPr>
              <w:t>Family day care and In-home care</w:t>
            </w:r>
          </w:p>
        </w:tc>
        <w:tc>
          <w:tcPr>
            <w:tcW w:w="832" w:type="dxa"/>
            <w:tcBorders>
              <w:top w:val="nil"/>
              <w:left w:val="single" w:sz="4" w:space="0" w:color="FFFFFF" w:themeColor="background1"/>
              <w:bottom w:val="nil"/>
              <w:right w:val="nil"/>
            </w:tcBorders>
            <w:vAlign w:val="center"/>
          </w:tcPr>
          <w:p w14:paraId="2CCF97A7"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38,310</w:t>
            </w:r>
          </w:p>
        </w:tc>
        <w:tc>
          <w:tcPr>
            <w:tcW w:w="833" w:type="dxa"/>
            <w:tcBorders>
              <w:top w:val="nil"/>
              <w:left w:val="nil"/>
              <w:bottom w:val="nil"/>
              <w:right w:val="nil"/>
            </w:tcBorders>
            <w:vAlign w:val="center"/>
          </w:tcPr>
          <w:p w14:paraId="2CCF97A8"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33,150</w:t>
            </w:r>
          </w:p>
        </w:tc>
        <w:tc>
          <w:tcPr>
            <w:tcW w:w="832" w:type="dxa"/>
            <w:tcBorders>
              <w:top w:val="nil"/>
              <w:left w:val="nil"/>
              <w:bottom w:val="nil"/>
              <w:right w:val="nil"/>
            </w:tcBorders>
            <w:vAlign w:val="center"/>
          </w:tcPr>
          <w:p w14:paraId="2CCF97A9"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24,020</w:t>
            </w:r>
          </w:p>
        </w:tc>
        <w:tc>
          <w:tcPr>
            <w:tcW w:w="833" w:type="dxa"/>
            <w:tcBorders>
              <w:top w:val="nil"/>
              <w:left w:val="nil"/>
              <w:bottom w:val="nil"/>
              <w:right w:val="nil"/>
            </w:tcBorders>
            <w:vAlign w:val="center"/>
          </w:tcPr>
          <w:p w14:paraId="2CCF97AA"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7,740</w:t>
            </w:r>
          </w:p>
        </w:tc>
        <w:tc>
          <w:tcPr>
            <w:tcW w:w="832" w:type="dxa"/>
            <w:tcBorders>
              <w:top w:val="nil"/>
              <w:left w:val="nil"/>
              <w:bottom w:val="nil"/>
              <w:right w:val="nil"/>
            </w:tcBorders>
            <w:vAlign w:val="center"/>
          </w:tcPr>
          <w:p w14:paraId="2CCF97AB"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7,370</w:t>
            </w:r>
          </w:p>
        </w:tc>
        <w:tc>
          <w:tcPr>
            <w:tcW w:w="833" w:type="dxa"/>
            <w:tcBorders>
              <w:top w:val="nil"/>
              <w:left w:val="nil"/>
              <w:bottom w:val="nil"/>
              <w:right w:val="nil"/>
            </w:tcBorders>
            <w:vAlign w:val="center"/>
          </w:tcPr>
          <w:p w14:paraId="2CCF97AC"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5,560</w:t>
            </w:r>
          </w:p>
        </w:tc>
        <w:tc>
          <w:tcPr>
            <w:tcW w:w="765" w:type="dxa"/>
            <w:tcBorders>
              <w:top w:val="nil"/>
              <w:left w:val="nil"/>
              <w:bottom w:val="nil"/>
              <w:right w:val="nil"/>
            </w:tcBorders>
            <w:vAlign w:val="center"/>
          </w:tcPr>
          <w:p w14:paraId="2CCF97AD"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530</w:t>
            </w:r>
          </w:p>
        </w:tc>
        <w:tc>
          <w:tcPr>
            <w:tcW w:w="720" w:type="dxa"/>
            <w:tcBorders>
              <w:top w:val="nil"/>
              <w:left w:val="nil"/>
              <w:bottom w:val="nil"/>
              <w:right w:val="nil"/>
            </w:tcBorders>
            <w:vAlign w:val="center"/>
          </w:tcPr>
          <w:p w14:paraId="2CCF97AE"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1,200</w:t>
            </w:r>
          </w:p>
        </w:tc>
        <w:tc>
          <w:tcPr>
            <w:tcW w:w="900" w:type="dxa"/>
            <w:tcBorders>
              <w:top w:val="nil"/>
              <w:left w:val="nil"/>
              <w:bottom w:val="nil"/>
              <w:right w:val="nil"/>
            </w:tcBorders>
            <w:vAlign w:val="center"/>
          </w:tcPr>
          <w:p w14:paraId="2CCF97AF" w14:textId="77777777" w:rsidR="00933A6C" w:rsidRPr="00FC1EA5" w:rsidRDefault="00933A6C"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117,790</w:t>
            </w:r>
          </w:p>
        </w:tc>
      </w:tr>
      <w:tr w:rsidR="00D61FD5" w:rsidRPr="00FC1EA5" w14:paraId="2CCF97BB" w14:textId="77777777" w:rsidTr="00D61FD5">
        <w:trPr>
          <w:trHeight w:val="255"/>
        </w:trPr>
        <w:tc>
          <w:tcPr>
            <w:tcW w:w="3075" w:type="dxa"/>
            <w:tcBorders>
              <w:top w:val="nil"/>
              <w:left w:val="nil"/>
              <w:bottom w:val="nil"/>
              <w:right w:val="single" w:sz="4" w:space="0" w:color="FFFFFF" w:themeColor="background1"/>
            </w:tcBorders>
            <w:noWrap/>
            <w:vAlign w:val="center"/>
          </w:tcPr>
          <w:p w14:paraId="2CCF97B1" w14:textId="77777777" w:rsidR="00933A6C" w:rsidRPr="00FC1EA5" w:rsidRDefault="00933A6C" w:rsidP="006A64F0">
            <w:pPr>
              <w:ind w:right="-288"/>
              <w:rPr>
                <w:rFonts w:ascii="Calibri" w:hAnsi="Calibri" w:cs="Arial"/>
                <w:sz w:val="20"/>
                <w:szCs w:val="20"/>
              </w:rPr>
            </w:pPr>
            <w:r w:rsidRPr="00FC1EA5">
              <w:rPr>
                <w:rFonts w:ascii="Calibri" w:hAnsi="Calibri" w:cs="Arial"/>
                <w:sz w:val="20"/>
                <w:szCs w:val="20"/>
              </w:rPr>
              <w:t>Occasional care</w:t>
            </w:r>
          </w:p>
        </w:tc>
        <w:tc>
          <w:tcPr>
            <w:tcW w:w="832" w:type="dxa"/>
            <w:tcBorders>
              <w:top w:val="nil"/>
              <w:left w:val="single" w:sz="4" w:space="0" w:color="FFFFFF" w:themeColor="background1"/>
              <w:bottom w:val="nil"/>
              <w:right w:val="nil"/>
            </w:tcBorders>
            <w:vAlign w:val="center"/>
          </w:tcPr>
          <w:p w14:paraId="2CCF97B2"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2,370</w:t>
            </w:r>
          </w:p>
        </w:tc>
        <w:tc>
          <w:tcPr>
            <w:tcW w:w="833" w:type="dxa"/>
            <w:tcBorders>
              <w:top w:val="nil"/>
              <w:left w:val="nil"/>
              <w:bottom w:val="nil"/>
              <w:right w:val="nil"/>
            </w:tcBorders>
            <w:vAlign w:val="center"/>
          </w:tcPr>
          <w:p w14:paraId="2CCF97B3"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1,700</w:t>
            </w:r>
          </w:p>
        </w:tc>
        <w:tc>
          <w:tcPr>
            <w:tcW w:w="832" w:type="dxa"/>
            <w:tcBorders>
              <w:top w:val="nil"/>
              <w:left w:val="nil"/>
              <w:bottom w:val="nil"/>
              <w:right w:val="nil"/>
            </w:tcBorders>
            <w:vAlign w:val="center"/>
          </w:tcPr>
          <w:p w14:paraId="2CCF97B4"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730</w:t>
            </w:r>
          </w:p>
        </w:tc>
        <w:tc>
          <w:tcPr>
            <w:tcW w:w="833" w:type="dxa"/>
            <w:tcBorders>
              <w:top w:val="nil"/>
              <w:left w:val="nil"/>
              <w:bottom w:val="nil"/>
              <w:right w:val="nil"/>
            </w:tcBorders>
            <w:vAlign w:val="center"/>
          </w:tcPr>
          <w:p w14:paraId="2CCF97B5"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130</w:t>
            </w:r>
          </w:p>
        </w:tc>
        <w:tc>
          <w:tcPr>
            <w:tcW w:w="832" w:type="dxa"/>
            <w:tcBorders>
              <w:top w:val="nil"/>
              <w:left w:val="nil"/>
              <w:bottom w:val="nil"/>
              <w:right w:val="nil"/>
            </w:tcBorders>
            <w:vAlign w:val="center"/>
          </w:tcPr>
          <w:p w14:paraId="2CCF97B6"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850</w:t>
            </w:r>
          </w:p>
        </w:tc>
        <w:tc>
          <w:tcPr>
            <w:tcW w:w="833" w:type="dxa"/>
            <w:tcBorders>
              <w:top w:val="nil"/>
              <w:left w:val="nil"/>
              <w:bottom w:val="nil"/>
              <w:right w:val="nil"/>
            </w:tcBorders>
            <w:vAlign w:val="center"/>
          </w:tcPr>
          <w:p w14:paraId="2CCF97B7"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140</w:t>
            </w:r>
          </w:p>
        </w:tc>
        <w:tc>
          <w:tcPr>
            <w:tcW w:w="765" w:type="dxa"/>
            <w:tcBorders>
              <w:top w:val="nil"/>
              <w:left w:val="nil"/>
              <w:bottom w:val="nil"/>
              <w:right w:val="nil"/>
            </w:tcBorders>
            <w:vAlign w:val="center"/>
          </w:tcPr>
          <w:p w14:paraId="2CCF97B8"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0</w:t>
            </w:r>
          </w:p>
        </w:tc>
        <w:tc>
          <w:tcPr>
            <w:tcW w:w="720" w:type="dxa"/>
            <w:tcBorders>
              <w:top w:val="nil"/>
              <w:left w:val="nil"/>
              <w:bottom w:val="nil"/>
              <w:right w:val="nil"/>
            </w:tcBorders>
            <w:vAlign w:val="center"/>
          </w:tcPr>
          <w:p w14:paraId="2CCF97B9"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200</w:t>
            </w:r>
          </w:p>
        </w:tc>
        <w:tc>
          <w:tcPr>
            <w:tcW w:w="900" w:type="dxa"/>
            <w:tcBorders>
              <w:top w:val="nil"/>
              <w:left w:val="nil"/>
              <w:bottom w:val="nil"/>
              <w:right w:val="nil"/>
            </w:tcBorders>
            <w:vAlign w:val="center"/>
          </w:tcPr>
          <w:p w14:paraId="2CCF97BA" w14:textId="77777777" w:rsidR="00933A6C" w:rsidRPr="00FC1EA5" w:rsidRDefault="00933A6C"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6,130</w:t>
            </w:r>
          </w:p>
        </w:tc>
      </w:tr>
      <w:tr w:rsidR="00D61FD5" w:rsidRPr="00FC1EA5" w14:paraId="2CCF97C6" w14:textId="77777777" w:rsidTr="00D61FD5">
        <w:trPr>
          <w:trHeight w:val="255"/>
        </w:trPr>
        <w:tc>
          <w:tcPr>
            <w:tcW w:w="3075" w:type="dxa"/>
            <w:tcBorders>
              <w:top w:val="nil"/>
              <w:left w:val="nil"/>
              <w:bottom w:val="single" w:sz="4" w:space="0" w:color="FFFFFF" w:themeColor="background1"/>
              <w:right w:val="single" w:sz="4" w:space="0" w:color="FFFFFF" w:themeColor="background1"/>
            </w:tcBorders>
            <w:noWrap/>
            <w:vAlign w:val="center"/>
          </w:tcPr>
          <w:p w14:paraId="2CCF97BC" w14:textId="77777777" w:rsidR="00933A6C" w:rsidRPr="00FC1EA5" w:rsidRDefault="00933A6C" w:rsidP="006A64F0">
            <w:pPr>
              <w:ind w:right="-288"/>
              <w:rPr>
                <w:rFonts w:ascii="Calibri" w:hAnsi="Calibri" w:cs="Arial"/>
                <w:sz w:val="20"/>
                <w:szCs w:val="20"/>
              </w:rPr>
            </w:pPr>
            <w:r w:rsidRPr="00FC1EA5">
              <w:rPr>
                <w:rFonts w:ascii="Calibri" w:hAnsi="Calibri" w:cs="Arial"/>
                <w:sz w:val="20"/>
                <w:szCs w:val="20"/>
              </w:rPr>
              <w:t>Outside school hours care</w:t>
            </w:r>
          </w:p>
        </w:tc>
        <w:tc>
          <w:tcPr>
            <w:tcW w:w="832" w:type="dxa"/>
            <w:tcBorders>
              <w:top w:val="nil"/>
              <w:left w:val="single" w:sz="4" w:space="0" w:color="FFFFFF" w:themeColor="background1"/>
              <w:bottom w:val="single" w:sz="4" w:space="0" w:color="FFFFFF" w:themeColor="background1"/>
              <w:right w:val="nil"/>
            </w:tcBorders>
            <w:vAlign w:val="center"/>
          </w:tcPr>
          <w:p w14:paraId="2CCF97BD" w14:textId="77777777" w:rsidR="00933A6C"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88,460</w:t>
            </w:r>
          </w:p>
        </w:tc>
        <w:tc>
          <w:tcPr>
            <w:tcW w:w="833" w:type="dxa"/>
            <w:tcBorders>
              <w:top w:val="nil"/>
              <w:left w:val="nil"/>
              <w:bottom w:val="single" w:sz="4" w:space="0" w:color="FFFFFF" w:themeColor="background1"/>
              <w:right w:val="nil"/>
            </w:tcBorders>
            <w:vAlign w:val="center"/>
          </w:tcPr>
          <w:p w14:paraId="2CCF97BE"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67,160</w:t>
            </w:r>
          </w:p>
        </w:tc>
        <w:tc>
          <w:tcPr>
            <w:tcW w:w="832" w:type="dxa"/>
            <w:tcBorders>
              <w:top w:val="nil"/>
              <w:left w:val="nil"/>
              <w:bottom w:val="single" w:sz="4" w:space="0" w:color="FFFFFF" w:themeColor="background1"/>
              <w:right w:val="nil"/>
            </w:tcBorders>
            <w:vAlign w:val="center"/>
          </w:tcPr>
          <w:p w14:paraId="2CCF97BF" w14:textId="77777777" w:rsidR="00933A6C"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74,510</w:t>
            </w:r>
          </w:p>
        </w:tc>
        <w:tc>
          <w:tcPr>
            <w:tcW w:w="833" w:type="dxa"/>
            <w:tcBorders>
              <w:top w:val="nil"/>
              <w:left w:val="nil"/>
              <w:bottom w:val="single" w:sz="4" w:space="0" w:color="FFFFFF" w:themeColor="background1"/>
              <w:right w:val="nil"/>
            </w:tcBorders>
            <w:vAlign w:val="center"/>
          </w:tcPr>
          <w:p w14:paraId="2CCF97C0"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30,760</w:t>
            </w:r>
          </w:p>
        </w:tc>
        <w:tc>
          <w:tcPr>
            <w:tcW w:w="832" w:type="dxa"/>
            <w:tcBorders>
              <w:top w:val="nil"/>
              <w:left w:val="nil"/>
              <w:bottom w:val="single" w:sz="4" w:space="0" w:color="FFFFFF" w:themeColor="background1"/>
              <w:right w:val="nil"/>
            </w:tcBorders>
            <w:vAlign w:val="center"/>
          </w:tcPr>
          <w:p w14:paraId="2CCF97C1"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20,220</w:t>
            </w:r>
          </w:p>
        </w:tc>
        <w:tc>
          <w:tcPr>
            <w:tcW w:w="833" w:type="dxa"/>
            <w:tcBorders>
              <w:top w:val="nil"/>
              <w:left w:val="nil"/>
              <w:bottom w:val="single" w:sz="4" w:space="0" w:color="FFFFFF" w:themeColor="background1"/>
              <w:right w:val="nil"/>
            </w:tcBorders>
            <w:vAlign w:val="center"/>
          </w:tcPr>
          <w:p w14:paraId="2CCF97C2"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7,360</w:t>
            </w:r>
          </w:p>
        </w:tc>
        <w:tc>
          <w:tcPr>
            <w:tcW w:w="765" w:type="dxa"/>
            <w:tcBorders>
              <w:top w:val="nil"/>
              <w:left w:val="nil"/>
              <w:bottom w:val="single" w:sz="4" w:space="0" w:color="FFFFFF" w:themeColor="background1"/>
              <w:right w:val="nil"/>
            </w:tcBorders>
            <w:vAlign w:val="center"/>
          </w:tcPr>
          <w:p w14:paraId="2CCF97C3"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3,340</w:t>
            </w:r>
          </w:p>
        </w:tc>
        <w:tc>
          <w:tcPr>
            <w:tcW w:w="720" w:type="dxa"/>
            <w:tcBorders>
              <w:top w:val="nil"/>
              <w:left w:val="nil"/>
              <w:bottom w:val="single" w:sz="4" w:space="0" w:color="FFFFFF" w:themeColor="background1"/>
              <w:right w:val="nil"/>
            </w:tcBorders>
            <w:vAlign w:val="center"/>
          </w:tcPr>
          <w:p w14:paraId="2CCF97C4" w14:textId="77777777" w:rsidR="00933A6C" w:rsidRPr="00FC1EA5" w:rsidRDefault="00933A6C"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7,730</w:t>
            </w:r>
          </w:p>
        </w:tc>
        <w:tc>
          <w:tcPr>
            <w:tcW w:w="900" w:type="dxa"/>
            <w:tcBorders>
              <w:top w:val="nil"/>
              <w:left w:val="nil"/>
              <w:bottom w:val="single" w:sz="4" w:space="0" w:color="FFFFFF" w:themeColor="background1"/>
              <w:right w:val="nil"/>
            </w:tcBorders>
            <w:vAlign w:val="center"/>
          </w:tcPr>
          <w:p w14:paraId="2CCF97C5" w14:textId="77777777" w:rsidR="00933A6C" w:rsidRPr="00FC1EA5" w:rsidRDefault="00933A6C"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299,420</w:t>
            </w:r>
          </w:p>
        </w:tc>
      </w:tr>
      <w:tr w:rsidR="00D61FD5" w:rsidRPr="00FC1EA5" w14:paraId="2CCF97D1" w14:textId="77777777" w:rsidTr="00D61FD5">
        <w:trPr>
          <w:trHeight w:val="270"/>
        </w:trPr>
        <w:tc>
          <w:tcPr>
            <w:tcW w:w="3075" w:type="dxa"/>
            <w:tcBorders>
              <w:top w:val="single" w:sz="4" w:space="0" w:color="FFFFFF" w:themeColor="background1"/>
              <w:left w:val="nil"/>
              <w:bottom w:val="single" w:sz="4" w:space="0" w:color="FFFFFF" w:themeColor="background1"/>
              <w:right w:val="single" w:sz="4" w:space="0" w:color="FFFFFF" w:themeColor="background1"/>
            </w:tcBorders>
            <w:noWrap/>
            <w:vAlign w:val="center"/>
          </w:tcPr>
          <w:p w14:paraId="2CCF97C7" w14:textId="77777777" w:rsidR="003924DD" w:rsidRPr="00FC1EA5" w:rsidRDefault="003924DD" w:rsidP="006A64F0">
            <w:pPr>
              <w:ind w:right="-288"/>
              <w:rPr>
                <w:rFonts w:ascii="Calibri" w:hAnsi="Calibri" w:cs="Arial"/>
                <w:b/>
                <w:sz w:val="20"/>
                <w:szCs w:val="20"/>
              </w:rPr>
            </w:pPr>
            <w:r w:rsidRPr="00FC1EA5">
              <w:rPr>
                <w:rFonts w:ascii="Calibri" w:hAnsi="Calibri" w:cs="Arial"/>
                <w:b/>
                <w:sz w:val="20"/>
                <w:szCs w:val="20"/>
              </w:rPr>
              <w:t xml:space="preserve">Total approved </w:t>
            </w:r>
            <w:proofErr w:type="spellStart"/>
            <w:r w:rsidRPr="00FC1EA5">
              <w:rPr>
                <w:rFonts w:ascii="Calibri" w:hAnsi="Calibri" w:cs="Arial"/>
                <w:b/>
                <w:sz w:val="20"/>
                <w:szCs w:val="20"/>
              </w:rPr>
              <w:t>care</w:t>
            </w:r>
            <w:r w:rsidRPr="00FC1EA5">
              <w:rPr>
                <w:rFonts w:ascii="Calibri" w:hAnsi="Calibri" w:cs="Arial"/>
                <w:b/>
                <w:sz w:val="20"/>
                <w:szCs w:val="20"/>
                <w:vertAlign w:val="superscript"/>
              </w:rPr>
              <w:t>1</w:t>
            </w:r>
            <w:proofErr w:type="spellEnd"/>
          </w:p>
        </w:tc>
        <w:tc>
          <w:tcPr>
            <w:tcW w:w="83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C8" w14:textId="77777777" w:rsidR="003924DD" w:rsidRPr="00FC1EA5" w:rsidRDefault="003924DD" w:rsidP="003924DD">
            <w:pPr>
              <w:autoSpaceDE w:val="0"/>
              <w:autoSpaceDN w:val="0"/>
              <w:adjustRightInd w:val="0"/>
              <w:ind w:hanging="49"/>
              <w:jc w:val="right"/>
              <w:rPr>
                <w:rFonts w:ascii="Calibri" w:hAnsi="Calibri" w:cs="Calibri"/>
                <w:b/>
                <w:bCs/>
                <w:sz w:val="20"/>
                <w:szCs w:val="20"/>
              </w:rPr>
            </w:pPr>
            <w:r w:rsidRPr="00FC1EA5">
              <w:rPr>
                <w:rFonts w:ascii="Calibri" w:hAnsi="Calibri" w:cs="Calibri"/>
                <w:b/>
                <w:bCs/>
                <w:sz w:val="20"/>
                <w:szCs w:val="20"/>
              </w:rPr>
              <w:t>313,700</w:t>
            </w:r>
          </w:p>
        </w:tc>
        <w:tc>
          <w:tcPr>
            <w:tcW w:w="833" w:type="dxa"/>
            <w:tcBorders>
              <w:top w:val="single" w:sz="4" w:space="0" w:color="FFFFFF" w:themeColor="background1"/>
              <w:left w:val="nil"/>
              <w:bottom w:val="single" w:sz="4" w:space="0" w:color="FFFFFF" w:themeColor="background1"/>
              <w:right w:val="nil"/>
            </w:tcBorders>
            <w:vAlign w:val="center"/>
          </w:tcPr>
          <w:p w14:paraId="2CCF97C9" w14:textId="77777777" w:rsidR="003924DD" w:rsidRPr="00FC1EA5" w:rsidRDefault="003924DD" w:rsidP="003924DD">
            <w:pPr>
              <w:autoSpaceDE w:val="0"/>
              <w:autoSpaceDN w:val="0"/>
              <w:adjustRightInd w:val="0"/>
              <w:ind w:hanging="172"/>
              <w:jc w:val="right"/>
              <w:rPr>
                <w:rFonts w:ascii="Calibri" w:hAnsi="Calibri" w:cs="Calibri"/>
                <w:b/>
                <w:bCs/>
                <w:sz w:val="20"/>
                <w:szCs w:val="20"/>
              </w:rPr>
            </w:pPr>
            <w:r w:rsidRPr="00FC1EA5">
              <w:rPr>
                <w:rFonts w:ascii="Calibri" w:hAnsi="Calibri" w:cs="Calibri"/>
                <w:b/>
                <w:bCs/>
                <w:sz w:val="20"/>
                <w:szCs w:val="20"/>
              </w:rPr>
              <w:t>224,470</w:t>
            </w:r>
          </w:p>
        </w:tc>
        <w:tc>
          <w:tcPr>
            <w:tcW w:w="832" w:type="dxa"/>
            <w:tcBorders>
              <w:top w:val="single" w:sz="4" w:space="0" w:color="FFFFFF" w:themeColor="background1"/>
              <w:left w:val="nil"/>
              <w:bottom w:val="single" w:sz="4" w:space="0" w:color="FFFFFF" w:themeColor="background1"/>
              <w:right w:val="nil"/>
            </w:tcBorders>
            <w:vAlign w:val="center"/>
          </w:tcPr>
          <w:p w14:paraId="2CCF97CA" w14:textId="77777777" w:rsidR="003924DD" w:rsidRPr="00FC1EA5" w:rsidRDefault="003924DD" w:rsidP="003924DD">
            <w:pPr>
              <w:autoSpaceDE w:val="0"/>
              <w:autoSpaceDN w:val="0"/>
              <w:adjustRightInd w:val="0"/>
              <w:ind w:hanging="155"/>
              <w:jc w:val="right"/>
              <w:rPr>
                <w:rFonts w:ascii="Calibri" w:hAnsi="Calibri" w:cs="Calibri"/>
                <w:b/>
                <w:bCs/>
                <w:sz w:val="20"/>
                <w:szCs w:val="20"/>
              </w:rPr>
            </w:pPr>
            <w:r w:rsidRPr="00FC1EA5">
              <w:rPr>
                <w:rFonts w:ascii="Calibri" w:hAnsi="Calibri" w:cs="Calibri"/>
                <w:b/>
                <w:bCs/>
                <w:sz w:val="20"/>
                <w:szCs w:val="20"/>
              </w:rPr>
              <w:t>241,800</w:t>
            </w:r>
          </w:p>
        </w:tc>
        <w:tc>
          <w:tcPr>
            <w:tcW w:w="833" w:type="dxa"/>
            <w:tcBorders>
              <w:top w:val="single" w:sz="4" w:space="0" w:color="FFFFFF" w:themeColor="background1"/>
              <w:left w:val="nil"/>
              <w:bottom w:val="single" w:sz="4" w:space="0" w:color="FFFFFF" w:themeColor="background1"/>
              <w:right w:val="nil"/>
            </w:tcBorders>
            <w:vAlign w:val="center"/>
          </w:tcPr>
          <w:p w14:paraId="2CCF97CB"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73,460</w:t>
            </w:r>
          </w:p>
        </w:tc>
        <w:tc>
          <w:tcPr>
            <w:tcW w:w="832" w:type="dxa"/>
            <w:tcBorders>
              <w:top w:val="single" w:sz="4" w:space="0" w:color="FFFFFF" w:themeColor="background1"/>
              <w:left w:val="nil"/>
              <w:bottom w:val="single" w:sz="4" w:space="0" w:color="FFFFFF" w:themeColor="background1"/>
              <w:right w:val="nil"/>
            </w:tcBorders>
            <w:vAlign w:val="center"/>
          </w:tcPr>
          <w:p w14:paraId="2CCF97CC"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73,680</w:t>
            </w:r>
          </w:p>
        </w:tc>
        <w:tc>
          <w:tcPr>
            <w:tcW w:w="833" w:type="dxa"/>
            <w:tcBorders>
              <w:top w:val="single" w:sz="4" w:space="0" w:color="FFFFFF" w:themeColor="background1"/>
              <w:left w:val="nil"/>
              <w:bottom w:val="single" w:sz="4" w:space="0" w:color="FFFFFF" w:themeColor="background1"/>
              <w:right w:val="nil"/>
            </w:tcBorders>
            <w:vAlign w:val="center"/>
          </w:tcPr>
          <w:p w14:paraId="2CCF97CD"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22,710</w:t>
            </w:r>
          </w:p>
        </w:tc>
        <w:tc>
          <w:tcPr>
            <w:tcW w:w="765" w:type="dxa"/>
            <w:tcBorders>
              <w:top w:val="single" w:sz="4" w:space="0" w:color="FFFFFF" w:themeColor="background1"/>
              <w:left w:val="nil"/>
              <w:bottom w:val="single" w:sz="4" w:space="0" w:color="FFFFFF" w:themeColor="background1"/>
              <w:right w:val="nil"/>
            </w:tcBorders>
            <w:vAlign w:val="center"/>
          </w:tcPr>
          <w:p w14:paraId="2CCF97CE"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8,130</w:t>
            </w:r>
          </w:p>
        </w:tc>
        <w:tc>
          <w:tcPr>
            <w:tcW w:w="720" w:type="dxa"/>
            <w:tcBorders>
              <w:top w:val="single" w:sz="4" w:space="0" w:color="FFFFFF" w:themeColor="background1"/>
              <w:left w:val="nil"/>
              <w:bottom w:val="single" w:sz="4" w:space="0" w:color="FFFFFF" w:themeColor="background1"/>
              <w:right w:val="nil"/>
            </w:tcBorders>
            <w:vAlign w:val="center"/>
          </w:tcPr>
          <w:p w14:paraId="2CCF97CF" w14:textId="77777777" w:rsidR="003924DD" w:rsidRPr="00FC1EA5" w:rsidRDefault="003924DD" w:rsidP="003924DD">
            <w:pPr>
              <w:autoSpaceDE w:val="0"/>
              <w:autoSpaceDN w:val="0"/>
              <w:adjustRightInd w:val="0"/>
              <w:ind w:hanging="139"/>
              <w:jc w:val="right"/>
              <w:rPr>
                <w:rFonts w:ascii="Calibri" w:hAnsi="Calibri" w:cs="Calibri"/>
                <w:b/>
                <w:bCs/>
                <w:sz w:val="20"/>
                <w:szCs w:val="20"/>
              </w:rPr>
            </w:pPr>
            <w:r w:rsidRPr="00FC1EA5">
              <w:rPr>
                <w:rFonts w:ascii="Calibri" w:hAnsi="Calibri" w:cs="Calibri"/>
                <w:b/>
                <w:bCs/>
                <w:sz w:val="20"/>
                <w:szCs w:val="20"/>
              </w:rPr>
              <w:t>19,920</w:t>
            </w:r>
          </w:p>
        </w:tc>
        <w:tc>
          <w:tcPr>
            <w:tcW w:w="900" w:type="dxa"/>
            <w:tcBorders>
              <w:top w:val="single" w:sz="4" w:space="0" w:color="FFFFFF" w:themeColor="background1"/>
              <w:left w:val="nil"/>
              <w:bottom w:val="single" w:sz="4" w:space="0" w:color="FFFFFF" w:themeColor="background1"/>
              <w:right w:val="nil"/>
            </w:tcBorders>
            <w:vAlign w:val="center"/>
          </w:tcPr>
          <w:p w14:paraId="2CCF97D0" w14:textId="77777777" w:rsidR="003924DD" w:rsidRPr="00FC1EA5" w:rsidRDefault="003924DD" w:rsidP="003924DD">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976,230</w:t>
            </w:r>
          </w:p>
        </w:tc>
      </w:tr>
    </w:tbl>
    <w:p w14:paraId="2CCF97D2"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As children may use more than one service type in more than one state or territory in any particular quarter and due to rounding, the sum of the component parts may not equal the Total. </w:t>
      </w:r>
      <w:r w:rsidRPr="00FC1EA5">
        <w:rPr>
          <w:rFonts w:ascii="Calibri" w:hAnsi="Calibri"/>
          <w:sz w:val="16"/>
          <w:szCs w:val="16"/>
        </w:rPr>
        <w:t>Total for</w:t>
      </w:r>
      <w:r w:rsidR="008B435B" w:rsidRPr="00FC1EA5">
        <w:rPr>
          <w:rFonts w:ascii="Calibri" w:hAnsi="Calibri"/>
          <w:sz w:val="16"/>
          <w:szCs w:val="16"/>
        </w:rPr>
        <w:t xml:space="preserve"> the</w:t>
      </w:r>
      <w:r w:rsidRPr="00FC1EA5">
        <w:rPr>
          <w:rFonts w:ascii="Calibri" w:hAnsi="Calibri"/>
          <w:sz w:val="16"/>
          <w:szCs w:val="16"/>
        </w:rPr>
        <w:t xml:space="preserve"> </w:t>
      </w:r>
      <w:r w:rsidR="0001617D" w:rsidRPr="00FC1EA5">
        <w:rPr>
          <w:rFonts w:ascii="Calibri" w:hAnsi="Calibri"/>
          <w:sz w:val="16"/>
          <w:szCs w:val="16"/>
        </w:rPr>
        <w:t>March quarter 2012</w:t>
      </w:r>
      <w:r w:rsidRPr="00FC1EA5">
        <w:rPr>
          <w:rFonts w:ascii="Calibri" w:hAnsi="Calibri"/>
          <w:sz w:val="16"/>
          <w:szCs w:val="16"/>
        </w:rPr>
        <w:t xml:space="preserve"> includes a very small number of children for wh</w:t>
      </w:r>
      <w:r w:rsidR="008B435B" w:rsidRPr="00FC1EA5">
        <w:rPr>
          <w:rFonts w:ascii="Calibri" w:hAnsi="Calibri"/>
          <w:sz w:val="16"/>
          <w:szCs w:val="16"/>
        </w:rPr>
        <w:t>om</w:t>
      </w:r>
      <w:r w:rsidRPr="00FC1EA5">
        <w:rPr>
          <w:rFonts w:ascii="Calibri" w:hAnsi="Calibri"/>
          <w:sz w:val="16"/>
          <w:szCs w:val="16"/>
        </w:rPr>
        <w:t xml:space="preserve"> other details are unknown.</w:t>
      </w:r>
      <w:r w:rsidRPr="00FC1EA5">
        <w:rPr>
          <w:rFonts w:ascii="Calibri" w:hAnsi="Calibri" w:cs="Arial"/>
          <w:snapToGrid w:val="0"/>
          <w:sz w:val="16"/>
          <w:szCs w:val="16"/>
        </w:rPr>
        <w:t xml:space="preserve"> </w:t>
      </w:r>
    </w:p>
    <w:p w14:paraId="2CCF97D3" w14:textId="77777777" w:rsidR="006A64F0" w:rsidRPr="00FC1EA5" w:rsidRDefault="006A64F0" w:rsidP="006A64F0">
      <w:pPr>
        <w:rPr>
          <w:rFonts w:ascii="Calibri" w:hAnsi="Calibri" w:cs="Arial"/>
          <w:sz w:val="16"/>
          <w:szCs w:val="16"/>
        </w:rPr>
      </w:pPr>
      <w:r w:rsidRPr="00FC1EA5">
        <w:rPr>
          <w:rFonts w:ascii="Calibri" w:hAnsi="Calibri" w:cs="Arial"/>
          <w:sz w:val="16"/>
          <w:szCs w:val="16"/>
        </w:rPr>
        <w:t>Source: DEEWR administrative data.</w:t>
      </w:r>
    </w:p>
    <w:p w14:paraId="2CCF97D5" w14:textId="77777777" w:rsidR="006A64F0" w:rsidRPr="00FC1EA5" w:rsidRDefault="006A64F0" w:rsidP="006A64F0">
      <w:pPr>
        <w:rPr>
          <w:rFonts w:ascii="Calibri" w:hAnsi="Calibri" w:cs="Arial"/>
          <w:sz w:val="22"/>
          <w:szCs w:val="22"/>
        </w:rPr>
      </w:pPr>
      <w:r w:rsidRPr="00FC1EA5">
        <w:rPr>
          <w:rFonts w:ascii="Calibri" w:hAnsi="Calibri" w:cs="Arial"/>
          <w:sz w:val="22"/>
          <w:szCs w:val="22"/>
        </w:rPr>
        <w:br w:type="page"/>
      </w:r>
    </w:p>
    <w:p w14:paraId="2CCF97D6" w14:textId="2B0ED501" w:rsidR="006A64F0" w:rsidRPr="00FC1EA5" w:rsidRDefault="006A64F0" w:rsidP="006A64F0">
      <w:pPr>
        <w:ind w:right="-649"/>
        <w:rPr>
          <w:rFonts w:ascii="Calibri" w:hAnsi="Calibri"/>
          <w:sz w:val="22"/>
          <w:szCs w:val="22"/>
        </w:rPr>
      </w:pPr>
      <w:r w:rsidRPr="00FC1EA5">
        <w:rPr>
          <w:rFonts w:ascii="Calibri" w:hAnsi="Calibri" w:cs="Arial"/>
          <w:sz w:val="22"/>
          <w:szCs w:val="22"/>
        </w:rPr>
        <w:lastRenderedPageBreak/>
        <w:t xml:space="preserve">In the </w:t>
      </w:r>
      <w:r w:rsidR="0001617D" w:rsidRPr="00FC1EA5">
        <w:rPr>
          <w:rFonts w:ascii="Calibri" w:hAnsi="Calibri" w:cs="Arial"/>
          <w:sz w:val="22"/>
          <w:szCs w:val="22"/>
        </w:rPr>
        <w:t>March quarter 2012</w:t>
      </w:r>
      <w:r w:rsidRPr="00FC1EA5">
        <w:rPr>
          <w:rFonts w:ascii="Calibri" w:hAnsi="Calibri" w:cs="Arial"/>
          <w:sz w:val="22"/>
          <w:szCs w:val="22"/>
        </w:rPr>
        <w:t xml:space="preserve">, </w:t>
      </w:r>
      <w:r w:rsidR="008B435B" w:rsidRPr="00FC1EA5">
        <w:rPr>
          <w:rFonts w:ascii="Calibri" w:hAnsi="Calibri" w:cs="Arial"/>
          <w:sz w:val="22"/>
          <w:szCs w:val="22"/>
        </w:rPr>
        <w:t>2</w:t>
      </w:r>
      <w:r w:rsidR="00815503" w:rsidRPr="00FC1EA5">
        <w:rPr>
          <w:rFonts w:ascii="Calibri" w:hAnsi="Calibri" w:cs="Arial"/>
          <w:sz w:val="22"/>
          <w:szCs w:val="22"/>
        </w:rPr>
        <w:t>28</w:t>
      </w:r>
      <w:r w:rsidR="008B435B" w:rsidRPr="00FC1EA5">
        <w:rPr>
          <w:rFonts w:ascii="Calibri" w:hAnsi="Calibri" w:cs="Arial"/>
          <w:sz w:val="22"/>
          <w:szCs w:val="22"/>
        </w:rPr>
        <w:t>,</w:t>
      </w:r>
      <w:r w:rsidR="00815503" w:rsidRPr="00FC1EA5">
        <w:rPr>
          <w:rFonts w:ascii="Calibri" w:hAnsi="Calibri" w:cs="Arial"/>
          <w:sz w:val="22"/>
          <w:szCs w:val="22"/>
        </w:rPr>
        <w:t>6</w:t>
      </w:r>
      <w:r w:rsidR="003924DD" w:rsidRPr="00FC1EA5">
        <w:rPr>
          <w:rFonts w:ascii="Calibri" w:hAnsi="Calibri" w:cs="Arial"/>
          <w:sz w:val="22"/>
          <w:szCs w:val="22"/>
        </w:rPr>
        <w:t>9</w:t>
      </w:r>
      <w:r w:rsidR="008B435B" w:rsidRPr="00FC1EA5">
        <w:rPr>
          <w:rFonts w:ascii="Calibri" w:hAnsi="Calibri" w:cs="Arial"/>
          <w:sz w:val="22"/>
          <w:szCs w:val="22"/>
        </w:rPr>
        <w:t>0</w:t>
      </w:r>
      <w:r w:rsidRPr="00FC1EA5">
        <w:rPr>
          <w:rFonts w:ascii="Calibri" w:hAnsi="Calibri" w:cs="Arial"/>
          <w:sz w:val="22"/>
          <w:szCs w:val="22"/>
        </w:rPr>
        <w:t xml:space="preserve"> families had children attending approved child care in New South Wales, followed by Queensland (</w:t>
      </w:r>
      <w:r w:rsidR="00815503" w:rsidRPr="00FC1EA5">
        <w:rPr>
          <w:rFonts w:ascii="Calibri" w:hAnsi="Calibri" w:cs="Arial"/>
          <w:sz w:val="22"/>
          <w:szCs w:val="22"/>
        </w:rPr>
        <w:t>167,1</w:t>
      </w:r>
      <w:r w:rsidR="003924DD" w:rsidRPr="00FC1EA5">
        <w:rPr>
          <w:rFonts w:ascii="Calibri" w:hAnsi="Calibri" w:cs="Arial"/>
          <w:sz w:val="22"/>
          <w:szCs w:val="22"/>
        </w:rPr>
        <w:t>5</w:t>
      </w:r>
      <w:r w:rsidR="00815503" w:rsidRPr="00FC1EA5">
        <w:rPr>
          <w:rFonts w:ascii="Calibri" w:hAnsi="Calibri" w:cs="Arial"/>
          <w:sz w:val="22"/>
          <w:szCs w:val="22"/>
        </w:rPr>
        <w:t>0</w:t>
      </w:r>
      <w:r w:rsidRPr="00FC1EA5">
        <w:rPr>
          <w:rFonts w:ascii="Calibri" w:hAnsi="Calibri" w:cs="Arial"/>
          <w:sz w:val="22"/>
          <w:szCs w:val="22"/>
        </w:rPr>
        <w:t>) and Victoria (</w:t>
      </w:r>
      <w:r w:rsidR="00815503" w:rsidRPr="00FC1EA5">
        <w:rPr>
          <w:rFonts w:ascii="Calibri" w:hAnsi="Calibri" w:cs="Arial"/>
          <w:sz w:val="22"/>
          <w:szCs w:val="22"/>
        </w:rPr>
        <w:t>155,</w:t>
      </w:r>
      <w:r w:rsidR="003924DD" w:rsidRPr="00FC1EA5">
        <w:rPr>
          <w:rFonts w:ascii="Calibri" w:hAnsi="Calibri" w:cs="Arial"/>
          <w:sz w:val="22"/>
          <w:szCs w:val="22"/>
        </w:rPr>
        <w:t>90</w:t>
      </w:r>
      <w:r w:rsidR="00815503" w:rsidRPr="00FC1EA5">
        <w:rPr>
          <w:rFonts w:ascii="Calibri" w:hAnsi="Calibri" w:cs="Arial"/>
          <w:sz w:val="22"/>
          <w:szCs w:val="22"/>
        </w:rPr>
        <w:t>0</w:t>
      </w:r>
      <w:r w:rsidRPr="00FC1EA5">
        <w:rPr>
          <w:rFonts w:ascii="Calibri" w:hAnsi="Calibri" w:cs="Arial"/>
          <w:sz w:val="22"/>
          <w:szCs w:val="22"/>
        </w:rPr>
        <w:t>). Across Australia, more than two-thirds (</w:t>
      </w:r>
      <w:r w:rsidR="00815503" w:rsidRPr="00FC1EA5">
        <w:rPr>
          <w:rFonts w:ascii="Calibri" w:hAnsi="Calibri" w:cs="Arial"/>
          <w:sz w:val="22"/>
          <w:szCs w:val="22"/>
        </w:rPr>
        <w:t>69.5</w:t>
      </w:r>
      <w:r w:rsidRPr="00FC1EA5">
        <w:rPr>
          <w:rFonts w:ascii="Calibri" w:hAnsi="Calibri" w:cs="Arial"/>
          <w:sz w:val="22"/>
          <w:szCs w:val="22"/>
        </w:rPr>
        <w:t xml:space="preserve"> per cent) of all families had children in long day care </w:t>
      </w:r>
      <w:r w:rsidR="00815503" w:rsidRPr="00FC1EA5">
        <w:rPr>
          <w:rFonts w:ascii="Calibri" w:hAnsi="Calibri" w:cs="Arial"/>
          <w:sz w:val="22"/>
          <w:szCs w:val="22"/>
        </w:rPr>
        <w:t>and around one-third of families had children in outside school hours care (30.9 per cent)</w:t>
      </w:r>
      <w:r w:rsidRPr="00FC1EA5">
        <w:rPr>
          <w:rFonts w:ascii="Calibri" w:hAnsi="Calibri" w:cs="Arial"/>
          <w:sz w:val="22"/>
          <w:szCs w:val="22"/>
        </w:rPr>
        <w:t xml:space="preserve">(Table 8). </w:t>
      </w:r>
    </w:p>
    <w:p w14:paraId="2CCF97D7" w14:textId="77777777" w:rsidR="006A64F0" w:rsidRPr="00FC1EA5" w:rsidRDefault="006A64F0" w:rsidP="006A64F0">
      <w:pPr>
        <w:rPr>
          <w:rFonts w:ascii="Calibri" w:hAnsi="Calibri"/>
          <w:sz w:val="22"/>
          <w:szCs w:val="22"/>
        </w:rPr>
      </w:pPr>
    </w:p>
    <w:p w14:paraId="2CCF97D8" w14:textId="77777777" w:rsidR="006A64F0" w:rsidRPr="00FC1EA5" w:rsidRDefault="006A64F0" w:rsidP="00AD7472">
      <w:pPr>
        <w:pStyle w:val="Caption"/>
        <w:keepNext/>
        <w:ind w:right="-649"/>
        <w:rPr>
          <w:rFonts w:ascii="Calibri" w:hAnsi="Calibri"/>
          <w:sz w:val="22"/>
          <w:szCs w:val="22"/>
        </w:rPr>
      </w:pPr>
      <w:bookmarkStart w:id="2" w:name="OLE_LINK6"/>
      <w:bookmarkStart w:id="3" w:name="OLE_LINK7"/>
      <w:bookmarkStart w:id="4" w:name="_GoBack"/>
      <w:r w:rsidRPr="00FC1EA5">
        <w:rPr>
          <w:rFonts w:ascii="Calibri" w:hAnsi="Calibri"/>
          <w:sz w:val="22"/>
          <w:szCs w:val="22"/>
        </w:rPr>
        <w:t xml:space="preserve">Table 8: </w:t>
      </w:r>
      <w:r w:rsidRPr="00AD7472">
        <w:rPr>
          <w:rFonts w:ascii="Calibri" w:hAnsi="Calibri"/>
          <w:sz w:val="22"/>
          <w:szCs w:val="22"/>
        </w:rPr>
        <w:t xml:space="preserve">Number of families using child care by service type and state or territory, </w:t>
      </w:r>
      <w:r w:rsidR="0001617D" w:rsidRPr="00AD7472">
        <w:rPr>
          <w:rFonts w:ascii="Calibri" w:hAnsi="Calibri"/>
          <w:sz w:val="22"/>
          <w:szCs w:val="22"/>
        </w:rPr>
        <w:t>March quarter 2012</w:t>
      </w:r>
    </w:p>
    <w:tbl>
      <w:tblPr>
        <w:tblW w:w="10455" w:type="dxa"/>
        <w:tblInd w:w="93" w:type="dxa"/>
        <w:tblLayout w:type="fixed"/>
        <w:tblLook w:val="0000" w:firstRow="0" w:lastRow="0" w:firstColumn="0" w:lastColumn="0" w:noHBand="0" w:noVBand="0"/>
      </w:tblPr>
      <w:tblGrid>
        <w:gridCol w:w="3075"/>
        <w:gridCol w:w="832"/>
        <w:gridCol w:w="833"/>
        <w:gridCol w:w="832"/>
        <w:gridCol w:w="833"/>
        <w:gridCol w:w="832"/>
        <w:gridCol w:w="833"/>
        <w:gridCol w:w="765"/>
        <w:gridCol w:w="720"/>
        <w:gridCol w:w="900"/>
      </w:tblGrid>
      <w:tr w:rsidR="00D61FD5" w:rsidRPr="00FC1EA5" w14:paraId="2CCF97E3" w14:textId="77777777" w:rsidTr="00D61FD5">
        <w:trPr>
          <w:trHeight w:val="255"/>
        </w:trPr>
        <w:tc>
          <w:tcPr>
            <w:tcW w:w="3075" w:type="dxa"/>
            <w:tcBorders>
              <w:top w:val="single" w:sz="4" w:space="0" w:color="FFFFFF" w:themeColor="background1"/>
              <w:left w:val="nil"/>
              <w:bottom w:val="single" w:sz="4" w:space="0" w:color="FFFFFF" w:themeColor="background1"/>
              <w:right w:val="single" w:sz="4" w:space="0" w:color="FFFFFF" w:themeColor="background1"/>
            </w:tcBorders>
            <w:vAlign w:val="center"/>
          </w:tcPr>
          <w:bookmarkEnd w:id="4"/>
          <w:p w14:paraId="2CCF97D9" w14:textId="77777777" w:rsidR="006A64F0" w:rsidRPr="00FC1EA5" w:rsidRDefault="006A64F0" w:rsidP="006A64F0">
            <w:pPr>
              <w:rPr>
                <w:rFonts w:ascii="Calibri" w:hAnsi="Calibri" w:cs="Arial"/>
                <w:b/>
                <w:bCs/>
                <w:sz w:val="20"/>
                <w:szCs w:val="20"/>
              </w:rPr>
            </w:pPr>
            <w:r w:rsidRPr="00FC1EA5">
              <w:rPr>
                <w:rFonts w:ascii="Calibri" w:hAnsi="Calibri" w:cs="Arial"/>
                <w:b/>
                <w:bCs/>
                <w:sz w:val="20"/>
                <w:szCs w:val="20"/>
              </w:rPr>
              <w:t>Service type</w:t>
            </w:r>
          </w:p>
        </w:tc>
        <w:tc>
          <w:tcPr>
            <w:tcW w:w="832" w:type="dxa"/>
            <w:tcBorders>
              <w:top w:val="single" w:sz="4" w:space="0" w:color="FFFFFF" w:themeColor="background1"/>
              <w:left w:val="single" w:sz="4" w:space="0" w:color="FFFFFF" w:themeColor="background1"/>
              <w:bottom w:val="single" w:sz="4" w:space="0" w:color="FFFFFF" w:themeColor="background1"/>
              <w:right w:val="nil"/>
            </w:tcBorders>
            <w:vAlign w:val="center"/>
          </w:tcPr>
          <w:p w14:paraId="2CCF97DA"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NSW</w:t>
            </w:r>
          </w:p>
        </w:tc>
        <w:tc>
          <w:tcPr>
            <w:tcW w:w="833" w:type="dxa"/>
            <w:tcBorders>
              <w:top w:val="single" w:sz="4" w:space="0" w:color="FFFFFF" w:themeColor="background1"/>
              <w:left w:val="nil"/>
              <w:bottom w:val="single" w:sz="4" w:space="0" w:color="FFFFFF" w:themeColor="background1"/>
              <w:right w:val="nil"/>
            </w:tcBorders>
            <w:vAlign w:val="center"/>
          </w:tcPr>
          <w:p w14:paraId="2CCF97DB"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Vic.</w:t>
            </w:r>
          </w:p>
        </w:tc>
        <w:tc>
          <w:tcPr>
            <w:tcW w:w="832" w:type="dxa"/>
            <w:tcBorders>
              <w:top w:val="single" w:sz="4" w:space="0" w:color="FFFFFF" w:themeColor="background1"/>
              <w:left w:val="nil"/>
              <w:bottom w:val="single" w:sz="4" w:space="0" w:color="FFFFFF" w:themeColor="background1"/>
              <w:right w:val="nil"/>
            </w:tcBorders>
            <w:vAlign w:val="center"/>
          </w:tcPr>
          <w:p w14:paraId="2CCF97DC"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Qld</w:t>
            </w:r>
          </w:p>
        </w:tc>
        <w:tc>
          <w:tcPr>
            <w:tcW w:w="833" w:type="dxa"/>
            <w:tcBorders>
              <w:top w:val="single" w:sz="4" w:space="0" w:color="FFFFFF" w:themeColor="background1"/>
              <w:left w:val="nil"/>
              <w:bottom w:val="single" w:sz="4" w:space="0" w:color="FFFFFF" w:themeColor="background1"/>
              <w:right w:val="nil"/>
            </w:tcBorders>
            <w:vAlign w:val="center"/>
          </w:tcPr>
          <w:p w14:paraId="2CCF97DD"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SA</w:t>
            </w:r>
          </w:p>
        </w:tc>
        <w:tc>
          <w:tcPr>
            <w:tcW w:w="832" w:type="dxa"/>
            <w:tcBorders>
              <w:top w:val="single" w:sz="4" w:space="0" w:color="FFFFFF" w:themeColor="background1"/>
              <w:left w:val="nil"/>
              <w:bottom w:val="single" w:sz="4" w:space="0" w:color="FFFFFF" w:themeColor="background1"/>
              <w:right w:val="nil"/>
            </w:tcBorders>
            <w:vAlign w:val="center"/>
          </w:tcPr>
          <w:p w14:paraId="2CCF97DE"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WA</w:t>
            </w:r>
          </w:p>
        </w:tc>
        <w:tc>
          <w:tcPr>
            <w:tcW w:w="833" w:type="dxa"/>
            <w:tcBorders>
              <w:top w:val="single" w:sz="4" w:space="0" w:color="FFFFFF" w:themeColor="background1"/>
              <w:left w:val="nil"/>
              <w:bottom w:val="single" w:sz="4" w:space="0" w:color="FFFFFF" w:themeColor="background1"/>
              <w:right w:val="nil"/>
            </w:tcBorders>
            <w:vAlign w:val="center"/>
          </w:tcPr>
          <w:p w14:paraId="2CCF97DF"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Tas.</w:t>
            </w:r>
          </w:p>
        </w:tc>
        <w:tc>
          <w:tcPr>
            <w:tcW w:w="765" w:type="dxa"/>
            <w:tcBorders>
              <w:top w:val="single" w:sz="4" w:space="0" w:color="FFFFFF" w:themeColor="background1"/>
              <w:left w:val="nil"/>
              <w:bottom w:val="single" w:sz="4" w:space="0" w:color="FFFFFF" w:themeColor="background1"/>
              <w:right w:val="nil"/>
            </w:tcBorders>
            <w:vAlign w:val="center"/>
          </w:tcPr>
          <w:p w14:paraId="2CCF97E0"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NT</w:t>
            </w:r>
          </w:p>
        </w:tc>
        <w:tc>
          <w:tcPr>
            <w:tcW w:w="720" w:type="dxa"/>
            <w:tcBorders>
              <w:top w:val="single" w:sz="4" w:space="0" w:color="FFFFFF" w:themeColor="background1"/>
              <w:left w:val="nil"/>
              <w:bottom w:val="single" w:sz="4" w:space="0" w:color="FFFFFF" w:themeColor="background1"/>
              <w:right w:val="nil"/>
            </w:tcBorders>
            <w:vAlign w:val="center"/>
          </w:tcPr>
          <w:p w14:paraId="2CCF97E1" w14:textId="77777777" w:rsidR="006A64F0" w:rsidRPr="00FC1EA5" w:rsidRDefault="006A64F0" w:rsidP="006A64F0">
            <w:pPr>
              <w:jc w:val="right"/>
              <w:rPr>
                <w:rFonts w:ascii="Calibri" w:hAnsi="Calibri" w:cs="Arial"/>
                <w:b/>
                <w:bCs/>
                <w:sz w:val="20"/>
                <w:szCs w:val="20"/>
              </w:rPr>
            </w:pPr>
            <w:r w:rsidRPr="00FC1EA5">
              <w:rPr>
                <w:rFonts w:ascii="Calibri" w:hAnsi="Calibri" w:cs="Arial"/>
                <w:b/>
                <w:bCs/>
                <w:sz w:val="20"/>
                <w:szCs w:val="20"/>
              </w:rPr>
              <w:t>ACT</w:t>
            </w:r>
          </w:p>
        </w:tc>
        <w:tc>
          <w:tcPr>
            <w:tcW w:w="900" w:type="dxa"/>
            <w:tcBorders>
              <w:top w:val="single" w:sz="4" w:space="0" w:color="FFFFFF" w:themeColor="background1"/>
              <w:left w:val="nil"/>
              <w:bottom w:val="single" w:sz="4" w:space="0" w:color="FFFFFF" w:themeColor="background1"/>
              <w:right w:val="nil"/>
            </w:tcBorders>
            <w:vAlign w:val="center"/>
          </w:tcPr>
          <w:p w14:paraId="2CCF97E2" w14:textId="77777777" w:rsidR="006A64F0" w:rsidRPr="00FC1EA5" w:rsidRDefault="006A64F0" w:rsidP="006A64F0">
            <w:pPr>
              <w:ind w:left="-108"/>
              <w:jc w:val="right"/>
              <w:rPr>
                <w:rFonts w:ascii="Calibri" w:hAnsi="Calibri" w:cs="Arial"/>
                <w:b/>
                <w:bCs/>
                <w:sz w:val="20"/>
                <w:szCs w:val="20"/>
              </w:rPr>
            </w:pPr>
            <w:r w:rsidRPr="00FC1EA5">
              <w:rPr>
                <w:rFonts w:ascii="Calibri" w:hAnsi="Calibri" w:cs="Arial"/>
                <w:b/>
                <w:bCs/>
                <w:sz w:val="20"/>
                <w:szCs w:val="20"/>
              </w:rPr>
              <w:t>Australia</w:t>
            </w:r>
          </w:p>
        </w:tc>
      </w:tr>
      <w:tr w:rsidR="00D61FD5" w:rsidRPr="00FC1EA5" w14:paraId="2CCF97EE" w14:textId="77777777" w:rsidTr="00D61FD5">
        <w:trPr>
          <w:trHeight w:val="255"/>
        </w:trPr>
        <w:tc>
          <w:tcPr>
            <w:tcW w:w="3075" w:type="dxa"/>
            <w:tcBorders>
              <w:top w:val="single" w:sz="4" w:space="0" w:color="FFFFFF" w:themeColor="background1"/>
              <w:left w:val="nil"/>
              <w:bottom w:val="nil"/>
              <w:right w:val="single" w:sz="4" w:space="0" w:color="FFFFFF" w:themeColor="background1"/>
            </w:tcBorders>
            <w:noWrap/>
            <w:vAlign w:val="center"/>
          </w:tcPr>
          <w:p w14:paraId="2CCF97E4" w14:textId="77777777" w:rsidR="003924DD" w:rsidRPr="00FC1EA5" w:rsidRDefault="003924DD" w:rsidP="006A64F0">
            <w:pPr>
              <w:rPr>
                <w:rFonts w:ascii="Calibri" w:hAnsi="Calibri" w:cs="Arial"/>
                <w:sz w:val="20"/>
                <w:szCs w:val="20"/>
              </w:rPr>
            </w:pPr>
            <w:r w:rsidRPr="00FC1EA5">
              <w:rPr>
                <w:rFonts w:ascii="Calibri" w:hAnsi="Calibri" w:cs="Arial"/>
                <w:sz w:val="20"/>
                <w:szCs w:val="20"/>
              </w:rPr>
              <w:t>Long day care</w:t>
            </w:r>
          </w:p>
        </w:tc>
        <w:tc>
          <w:tcPr>
            <w:tcW w:w="832" w:type="dxa"/>
            <w:tcBorders>
              <w:top w:val="single" w:sz="4" w:space="0" w:color="FFFFFF" w:themeColor="background1"/>
              <w:left w:val="single" w:sz="4" w:space="0" w:color="FFFFFF" w:themeColor="background1"/>
              <w:bottom w:val="nil"/>
              <w:right w:val="nil"/>
            </w:tcBorders>
            <w:noWrap/>
          </w:tcPr>
          <w:p w14:paraId="2CCF97E5" w14:textId="77777777" w:rsidR="003924DD" w:rsidRPr="00FC1EA5" w:rsidRDefault="003924DD">
            <w:pPr>
              <w:autoSpaceDE w:val="0"/>
              <w:autoSpaceDN w:val="0"/>
              <w:adjustRightInd w:val="0"/>
              <w:jc w:val="right"/>
              <w:rPr>
                <w:rFonts w:ascii="Calibri" w:hAnsi="Calibri" w:cs="Calibri"/>
                <w:sz w:val="18"/>
                <w:szCs w:val="18"/>
              </w:rPr>
            </w:pPr>
            <w:r w:rsidRPr="00FC1EA5">
              <w:rPr>
                <w:rFonts w:ascii="Calibri" w:hAnsi="Calibri" w:cs="Calibri"/>
                <w:sz w:val="18"/>
                <w:szCs w:val="18"/>
              </w:rPr>
              <w:t>163,190</w:t>
            </w:r>
          </w:p>
        </w:tc>
        <w:tc>
          <w:tcPr>
            <w:tcW w:w="833" w:type="dxa"/>
            <w:tcBorders>
              <w:top w:val="single" w:sz="4" w:space="0" w:color="FFFFFF" w:themeColor="background1"/>
              <w:left w:val="nil"/>
              <w:bottom w:val="nil"/>
              <w:right w:val="nil"/>
            </w:tcBorders>
            <w:noWrap/>
          </w:tcPr>
          <w:p w14:paraId="2CCF97E6" w14:textId="77777777" w:rsidR="003924DD" w:rsidRPr="00FC1EA5" w:rsidRDefault="003924DD">
            <w:pPr>
              <w:autoSpaceDE w:val="0"/>
              <w:autoSpaceDN w:val="0"/>
              <w:adjustRightInd w:val="0"/>
              <w:jc w:val="right"/>
              <w:rPr>
                <w:rFonts w:ascii="Calibri" w:hAnsi="Calibri" w:cs="Calibri"/>
                <w:sz w:val="18"/>
                <w:szCs w:val="18"/>
              </w:rPr>
            </w:pPr>
            <w:r w:rsidRPr="00FC1EA5">
              <w:rPr>
                <w:rFonts w:ascii="Calibri" w:hAnsi="Calibri" w:cs="Calibri"/>
                <w:sz w:val="18"/>
                <w:szCs w:val="18"/>
              </w:rPr>
              <w:t>105,850</w:t>
            </w:r>
          </w:p>
        </w:tc>
        <w:tc>
          <w:tcPr>
            <w:tcW w:w="832" w:type="dxa"/>
            <w:tcBorders>
              <w:top w:val="single" w:sz="4" w:space="0" w:color="FFFFFF" w:themeColor="background1"/>
              <w:left w:val="nil"/>
              <w:bottom w:val="nil"/>
              <w:right w:val="nil"/>
            </w:tcBorders>
            <w:noWrap/>
            <w:vAlign w:val="center"/>
          </w:tcPr>
          <w:p w14:paraId="2CCF97E7" w14:textId="77777777" w:rsidR="003924DD" w:rsidRPr="00FC1EA5" w:rsidRDefault="003924DD" w:rsidP="00815503">
            <w:pPr>
              <w:autoSpaceDE w:val="0"/>
              <w:autoSpaceDN w:val="0"/>
              <w:adjustRightInd w:val="0"/>
              <w:ind w:hanging="155"/>
              <w:jc w:val="right"/>
              <w:rPr>
                <w:rFonts w:ascii="Calibri" w:hAnsi="Calibri" w:cs="Calibri"/>
                <w:sz w:val="20"/>
                <w:szCs w:val="20"/>
              </w:rPr>
            </w:pPr>
            <w:r w:rsidRPr="00FC1EA5">
              <w:rPr>
                <w:rFonts w:ascii="Calibri" w:hAnsi="Calibri" w:cs="Calibri"/>
                <w:sz w:val="20"/>
                <w:szCs w:val="20"/>
              </w:rPr>
              <w:t>119,310</w:t>
            </w:r>
          </w:p>
        </w:tc>
        <w:tc>
          <w:tcPr>
            <w:tcW w:w="833" w:type="dxa"/>
            <w:tcBorders>
              <w:top w:val="single" w:sz="4" w:space="0" w:color="FFFFFF" w:themeColor="background1"/>
              <w:left w:val="nil"/>
              <w:bottom w:val="nil"/>
              <w:right w:val="nil"/>
            </w:tcBorders>
            <w:noWrap/>
            <w:vAlign w:val="center"/>
          </w:tcPr>
          <w:p w14:paraId="2CCF97E8" w14:textId="77777777" w:rsidR="003924DD" w:rsidRPr="00FC1EA5" w:rsidRDefault="003924DD"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30,580</w:t>
            </w:r>
          </w:p>
        </w:tc>
        <w:tc>
          <w:tcPr>
            <w:tcW w:w="832" w:type="dxa"/>
            <w:tcBorders>
              <w:top w:val="single" w:sz="4" w:space="0" w:color="FFFFFF" w:themeColor="background1"/>
              <w:left w:val="nil"/>
              <w:bottom w:val="nil"/>
              <w:right w:val="nil"/>
            </w:tcBorders>
            <w:noWrap/>
            <w:vAlign w:val="center"/>
          </w:tcPr>
          <w:p w14:paraId="2CCF97E9" w14:textId="77777777" w:rsidR="003924DD" w:rsidRPr="00FC1EA5" w:rsidRDefault="003924DD"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39,350</w:t>
            </w:r>
          </w:p>
        </w:tc>
        <w:tc>
          <w:tcPr>
            <w:tcW w:w="833" w:type="dxa"/>
            <w:tcBorders>
              <w:top w:val="single" w:sz="4" w:space="0" w:color="FFFFFF" w:themeColor="background1"/>
              <w:left w:val="nil"/>
              <w:bottom w:val="nil"/>
              <w:right w:val="nil"/>
            </w:tcBorders>
            <w:noWrap/>
            <w:vAlign w:val="center"/>
          </w:tcPr>
          <w:p w14:paraId="2CCF97EA" w14:textId="77777777" w:rsidR="003924DD" w:rsidRPr="00FC1EA5" w:rsidRDefault="003924DD"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9,050</w:t>
            </w:r>
          </w:p>
        </w:tc>
        <w:tc>
          <w:tcPr>
            <w:tcW w:w="765" w:type="dxa"/>
            <w:tcBorders>
              <w:top w:val="single" w:sz="4" w:space="0" w:color="FFFFFF" w:themeColor="background1"/>
              <w:left w:val="nil"/>
              <w:bottom w:val="nil"/>
              <w:right w:val="nil"/>
            </w:tcBorders>
            <w:noWrap/>
            <w:vAlign w:val="center"/>
          </w:tcPr>
          <w:p w14:paraId="2CCF97EB" w14:textId="77777777" w:rsidR="003924DD" w:rsidRPr="00FC1EA5" w:rsidRDefault="003924DD" w:rsidP="003924DD">
            <w:pPr>
              <w:autoSpaceDE w:val="0"/>
              <w:autoSpaceDN w:val="0"/>
              <w:adjustRightInd w:val="0"/>
              <w:jc w:val="right"/>
              <w:rPr>
                <w:rFonts w:ascii="Calibri" w:hAnsi="Calibri" w:cs="Calibri"/>
                <w:sz w:val="20"/>
                <w:szCs w:val="20"/>
              </w:rPr>
            </w:pPr>
            <w:r w:rsidRPr="00FC1EA5">
              <w:rPr>
                <w:rFonts w:ascii="Calibri" w:hAnsi="Calibri" w:cs="Calibri"/>
                <w:sz w:val="20"/>
                <w:szCs w:val="20"/>
              </w:rPr>
              <w:t>3,810</w:t>
            </w:r>
          </w:p>
        </w:tc>
        <w:tc>
          <w:tcPr>
            <w:tcW w:w="720" w:type="dxa"/>
            <w:tcBorders>
              <w:top w:val="single" w:sz="4" w:space="0" w:color="FFFFFF" w:themeColor="background1"/>
              <w:left w:val="nil"/>
              <w:bottom w:val="nil"/>
              <w:right w:val="nil"/>
            </w:tcBorders>
            <w:noWrap/>
            <w:vAlign w:val="center"/>
          </w:tcPr>
          <w:p w14:paraId="2CCF97EC" w14:textId="77777777" w:rsidR="003924DD" w:rsidRPr="00FC1EA5" w:rsidRDefault="003924DD"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9,320</w:t>
            </w:r>
          </w:p>
        </w:tc>
        <w:tc>
          <w:tcPr>
            <w:tcW w:w="900" w:type="dxa"/>
            <w:tcBorders>
              <w:top w:val="single" w:sz="4" w:space="0" w:color="FFFFFF" w:themeColor="background1"/>
              <w:left w:val="nil"/>
              <w:bottom w:val="nil"/>
              <w:right w:val="nil"/>
            </w:tcBorders>
            <w:noWrap/>
            <w:vAlign w:val="center"/>
          </w:tcPr>
          <w:p w14:paraId="2CCF97ED" w14:textId="77777777" w:rsidR="003924DD" w:rsidRPr="00FC1EA5" w:rsidRDefault="003924DD"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479,530</w:t>
            </w:r>
          </w:p>
        </w:tc>
      </w:tr>
      <w:tr w:rsidR="00D61FD5" w:rsidRPr="00FC1EA5" w14:paraId="2CCF97F9" w14:textId="77777777" w:rsidTr="00D61FD5">
        <w:trPr>
          <w:trHeight w:val="255"/>
        </w:trPr>
        <w:tc>
          <w:tcPr>
            <w:tcW w:w="3075" w:type="dxa"/>
            <w:tcBorders>
              <w:top w:val="nil"/>
              <w:left w:val="nil"/>
              <w:bottom w:val="nil"/>
              <w:right w:val="single" w:sz="4" w:space="0" w:color="FFFFFF" w:themeColor="background1"/>
            </w:tcBorders>
            <w:noWrap/>
            <w:vAlign w:val="center"/>
          </w:tcPr>
          <w:p w14:paraId="2CCF97EF" w14:textId="77777777" w:rsidR="00815503" w:rsidRPr="00FC1EA5" w:rsidRDefault="00815503" w:rsidP="006A64F0">
            <w:pPr>
              <w:rPr>
                <w:rFonts w:ascii="Calibri" w:hAnsi="Calibri" w:cs="Arial"/>
                <w:sz w:val="20"/>
                <w:szCs w:val="20"/>
              </w:rPr>
            </w:pPr>
            <w:r w:rsidRPr="00FC1EA5">
              <w:rPr>
                <w:rFonts w:ascii="Calibri" w:hAnsi="Calibri" w:cs="Arial"/>
                <w:sz w:val="20"/>
                <w:szCs w:val="20"/>
              </w:rPr>
              <w:t>Family day care and In-home care</w:t>
            </w:r>
          </w:p>
        </w:tc>
        <w:tc>
          <w:tcPr>
            <w:tcW w:w="832" w:type="dxa"/>
            <w:tcBorders>
              <w:top w:val="nil"/>
              <w:left w:val="single" w:sz="4" w:space="0" w:color="FFFFFF" w:themeColor="background1"/>
              <w:bottom w:val="nil"/>
              <w:right w:val="nil"/>
            </w:tcBorders>
            <w:noWrap/>
            <w:vAlign w:val="center"/>
          </w:tcPr>
          <w:p w14:paraId="2CCF97F0"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27,230</w:t>
            </w:r>
          </w:p>
        </w:tc>
        <w:tc>
          <w:tcPr>
            <w:tcW w:w="833" w:type="dxa"/>
            <w:tcBorders>
              <w:top w:val="nil"/>
              <w:left w:val="nil"/>
              <w:bottom w:val="nil"/>
              <w:right w:val="nil"/>
            </w:tcBorders>
            <w:noWrap/>
            <w:vAlign w:val="center"/>
          </w:tcPr>
          <w:p w14:paraId="2CCF97F1"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18,940</w:t>
            </w:r>
          </w:p>
        </w:tc>
        <w:tc>
          <w:tcPr>
            <w:tcW w:w="832" w:type="dxa"/>
            <w:tcBorders>
              <w:top w:val="nil"/>
              <w:left w:val="nil"/>
              <w:bottom w:val="nil"/>
              <w:right w:val="nil"/>
            </w:tcBorders>
            <w:noWrap/>
            <w:vAlign w:val="center"/>
          </w:tcPr>
          <w:p w14:paraId="2CCF97F2"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16,170</w:t>
            </w:r>
          </w:p>
        </w:tc>
        <w:tc>
          <w:tcPr>
            <w:tcW w:w="833" w:type="dxa"/>
            <w:tcBorders>
              <w:top w:val="nil"/>
              <w:left w:val="nil"/>
              <w:bottom w:val="nil"/>
              <w:right w:val="nil"/>
            </w:tcBorders>
            <w:noWrap/>
            <w:vAlign w:val="center"/>
          </w:tcPr>
          <w:p w14:paraId="2CCF97F3"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4,920</w:t>
            </w:r>
          </w:p>
        </w:tc>
        <w:tc>
          <w:tcPr>
            <w:tcW w:w="832" w:type="dxa"/>
            <w:tcBorders>
              <w:top w:val="nil"/>
              <w:left w:val="nil"/>
              <w:bottom w:val="nil"/>
              <w:right w:val="nil"/>
            </w:tcBorders>
            <w:noWrap/>
            <w:vAlign w:val="center"/>
          </w:tcPr>
          <w:p w14:paraId="2CCF97F4"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5,110</w:t>
            </w:r>
          </w:p>
        </w:tc>
        <w:tc>
          <w:tcPr>
            <w:tcW w:w="833" w:type="dxa"/>
            <w:tcBorders>
              <w:top w:val="nil"/>
              <w:left w:val="nil"/>
              <w:bottom w:val="nil"/>
              <w:right w:val="nil"/>
            </w:tcBorders>
            <w:noWrap/>
            <w:vAlign w:val="center"/>
          </w:tcPr>
          <w:p w14:paraId="2CCF97F5"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3,770</w:t>
            </w:r>
          </w:p>
        </w:tc>
        <w:tc>
          <w:tcPr>
            <w:tcW w:w="765" w:type="dxa"/>
            <w:tcBorders>
              <w:top w:val="nil"/>
              <w:left w:val="nil"/>
              <w:bottom w:val="nil"/>
              <w:right w:val="nil"/>
            </w:tcBorders>
            <w:noWrap/>
            <w:vAlign w:val="center"/>
          </w:tcPr>
          <w:p w14:paraId="2CCF97F6"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420</w:t>
            </w:r>
          </w:p>
        </w:tc>
        <w:tc>
          <w:tcPr>
            <w:tcW w:w="720" w:type="dxa"/>
            <w:tcBorders>
              <w:top w:val="nil"/>
              <w:left w:val="nil"/>
              <w:bottom w:val="nil"/>
              <w:right w:val="nil"/>
            </w:tcBorders>
            <w:noWrap/>
            <w:vAlign w:val="center"/>
          </w:tcPr>
          <w:p w14:paraId="2CCF97F7"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930</w:t>
            </w:r>
          </w:p>
        </w:tc>
        <w:tc>
          <w:tcPr>
            <w:tcW w:w="900" w:type="dxa"/>
            <w:tcBorders>
              <w:top w:val="nil"/>
              <w:left w:val="nil"/>
              <w:bottom w:val="nil"/>
              <w:right w:val="nil"/>
            </w:tcBorders>
            <w:noWrap/>
            <w:vAlign w:val="center"/>
          </w:tcPr>
          <w:p w14:paraId="2CCF97F8"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77,420</w:t>
            </w:r>
          </w:p>
        </w:tc>
      </w:tr>
      <w:tr w:rsidR="00D61FD5" w:rsidRPr="00FC1EA5" w14:paraId="2CCF9804" w14:textId="77777777" w:rsidTr="00D61FD5">
        <w:trPr>
          <w:trHeight w:val="255"/>
        </w:trPr>
        <w:tc>
          <w:tcPr>
            <w:tcW w:w="3075" w:type="dxa"/>
            <w:tcBorders>
              <w:top w:val="nil"/>
              <w:left w:val="nil"/>
              <w:bottom w:val="nil"/>
              <w:right w:val="single" w:sz="4" w:space="0" w:color="FFFFFF" w:themeColor="background1"/>
            </w:tcBorders>
            <w:noWrap/>
            <w:vAlign w:val="center"/>
          </w:tcPr>
          <w:p w14:paraId="2CCF97FA" w14:textId="77777777" w:rsidR="00815503" w:rsidRPr="00FC1EA5" w:rsidRDefault="00815503" w:rsidP="006A64F0">
            <w:pPr>
              <w:rPr>
                <w:rFonts w:ascii="Calibri" w:hAnsi="Calibri" w:cs="Arial"/>
                <w:sz w:val="20"/>
                <w:szCs w:val="20"/>
              </w:rPr>
            </w:pPr>
            <w:r w:rsidRPr="00FC1EA5">
              <w:rPr>
                <w:rFonts w:ascii="Calibri" w:hAnsi="Calibri" w:cs="Arial"/>
                <w:sz w:val="20"/>
                <w:szCs w:val="20"/>
              </w:rPr>
              <w:t>Occasional care</w:t>
            </w:r>
          </w:p>
        </w:tc>
        <w:tc>
          <w:tcPr>
            <w:tcW w:w="832" w:type="dxa"/>
            <w:tcBorders>
              <w:top w:val="nil"/>
              <w:left w:val="single" w:sz="4" w:space="0" w:color="FFFFFF" w:themeColor="background1"/>
              <w:bottom w:val="nil"/>
              <w:right w:val="nil"/>
            </w:tcBorders>
            <w:noWrap/>
            <w:vAlign w:val="center"/>
          </w:tcPr>
          <w:p w14:paraId="2CCF97FB"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1,960</w:t>
            </w:r>
          </w:p>
        </w:tc>
        <w:tc>
          <w:tcPr>
            <w:tcW w:w="833" w:type="dxa"/>
            <w:tcBorders>
              <w:top w:val="nil"/>
              <w:left w:val="nil"/>
              <w:bottom w:val="nil"/>
              <w:right w:val="nil"/>
            </w:tcBorders>
            <w:noWrap/>
            <w:vAlign w:val="center"/>
          </w:tcPr>
          <w:p w14:paraId="2CCF97FC"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1,410</w:t>
            </w:r>
          </w:p>
        </w:tc>
        <w:tc>
          <w:tcPr>
            <w:tcW w:w="832" w:type="dxa"/>
            <w:tcBorders>
              <w:top w:val="nil"/>
              <w:left w:val="nil"/>
              <w:bottom w:val="nil"/>
              <w:right w:val="nil"/>
            </w:tcBorders>
            <w:noWrap/>
            <w:vAlign w:val="center"/>
          </w:tcPr>
          <w:p w14:paraId="2CCF97FD"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590</w:t>
            </w:r>
          </w:p>
        </w:tc>
        <w:tc>
          <w:tcPr>
            <w:tcW w:w="833" w:type="dxa"/>
            <w:tcBorders>
              <w:top w:val="nil"/>
              <w:left w:val="nil"/>
              <w:bottom w:val="nil"/>
              <w:right w:val="nil"/>
            </w:tcBorders>
            <w:noWrap/>
            <w:vAlign w:val="center"/>
          </w:tcPr>
          <w:p w14:paraId="2CCF97FE"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110</w:t>
            </w:r>
          </w:p>
        </w:tc>
        <w:tc>
          <w:tcPr>
            <w:tcW w:w="832" w:type="dxa"/>
            <w:tcBorders>
              <w:top w:val="nil"/>
              <w:left w:val="nil"/>
              <w:bottom w:val="nil"/>
              <w:right w:val="nil"/>
            </w:tcBorders>
            <w:noWrap/>
            <w:vAlign w:val="center"/>
          </w:tcPr>
          <w:p w14:paraId="2CCF97FF"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690</w:t>
            </w:r>
          </w:p>
        </w:tc>
        <w:tc>
          <w:tcPr>
            <w:tcW w:w="833" w:type="dxa"/>
            <w:tcBorders>
              <w:top w:val="nil"/>
              <w:left w:val="nil"/>
              <w:bottom w:val="nil"/>
              <w:right w:val="nil"/>
            </w:tcBorders>
            <w:noWrap/>
            <w:vAlign w:val="center"/>
          </w:tcPr>
          <w:p w14:paraId="2CCF9800"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110</w:t>
            </w:r>
          </w:p>
        </w:tc>
        <w:tc>
          <w:tcPr>
            <w:tcW w:w="765" w:type="dxa"/>
            <w:tcBorders>
              <w:top w:val="nil"/>
              <w:left w:val="nil"/>
              <w:bottom w:val="nil"/>
              <w:right w:val="nil"/>
            </w:tcBorders>
            <w:noWrap/>
            <w:vAlign w:val="center"/>
          </w:tcPr>
          <w:p w14:paraId="2CCF9801"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0</w:t>
            </w:r>
          </w:p>
        </w:tc>
        <w:tc>
          <w:tcPr>
            <w:tcW w:w="720" w:type="dxa"/>
            <w:tcBorders>
              <w:top w:val="nil"/>
              <w:left w:val="nil"/>
              <w:bottom w:val="nil"/>
              <w:right w:val="nil"/>
            </w:tcBorders>
            <w:noWrap/>
            <w:vAlign w:val="center"/>
          </w:tcPr>
          <w:p w14:paraId="2CCF9802"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160</w:t>
            </w:r>
          </w:p>
        </w:tc>
        <w:tc>
          <w:tcPr>
            <w:tcW w:w="900" w:type="dxa"/>
            <w:tcBorders>
              <w:top w:val="nil"/>
              <w:left w:val="nil"/>
              <w:bottom w:val="nil"/>
              <w:right w:val="nil"/>
            </w:tcBorders>
            <w:noWrap/>
            <w:vAlign w:val="center"/>
          </w:tcPr>
          <w:p w14:paraId="2CCF9803"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5,030</w:t>
            </w:r>
          </w:p>
        </w:tc>
      </w:tr>
      <w:tr w:rsidR="00D61FD5" w:rsidRPr="00FC1EA5" w14:paraId="2CCF980F" w14:textId="77777777" w:rsidTr="00D61FD5">
        <w:trPr>
          <w:trHeight w:val="255"/>
        </w:trPr>
        <w:tc>
          <w:tcPr>
            <w:tcW w:w="3075" w:type="dxa"/>
            <w:tcBorders>
              <w:top w:val="nil"/>
              <w:left w:val="nil"/>
              <w:bottom w:val="single" w:sz="4" w:space="0" w:color="FFFFFF" w:themeColor="background1"/>
              <w:right w:val="single" w:sz="4" w:space="0" w:color="FFFFFF" w:themeColor="background1"/>
            </w:tcBorders>
            <w:vAlign w:val="center"/>
          </w:tcPr>
          <w:p w14:paraId="2CCF9805" w14:textId="77777777" w:rsidR="00815503" w:rsidRPr="00FC1EA5" w:rsidRDefault="00815503" w:rsidP="006A64F0">
            <w:pPr>
              <w:rPr>
                <w:rFonts w:ascii="Calibri" w:hAnsi="Calibri" w:cs="Arial"/>
                <w:sz w:val="20"/>
                <w:szCs w:val="20"/>
              </w:rPr>
            </w:pPr>
            <w:r w:rsidRPr="00FC1EA5">
              <w:rPr>
                <w:rFonts w:ascii="Calibri" w:hAnsi="Calibri" w:cs="Arial"/>
                <w:sz w:val="20"/>
                <w:szCs w:val="20"/>
              </w:rPr>
              <w:t>Outside school hours care</w:t>
            </w:r>
          </w:p>
        </w:tc>
        <w:tc>
          <w:tcPr>
            <w:tcW w:w="832" w:type="dxa"/>
            <w:tcBorders>
              <w:top w:val="nil"/>
              <w:left w:val="single" w:sz="4" w:space="0" w:color="FFFFFF" w:themeColor="background1"/>
              <w:bottom w:val="single" w:sz="4" w:space="0" w:color="FFFFFF" w:themeColor="background1"/>
              <w:right w:val="nil"/>
            </w:tcBorders>
            <w:noWrap/>
            <w:vAlign w:val="center"/>
          </w:tcPr>
          <w:p w14:paraId="2CCF9806" w14:textId="77777777" w:rsidR="00815503" w:rsidRPr="00FC1EA5" w:rsidRDefault="00815503" w:rsidP="006768BA">
            <w:pPr>
              <w:autoSpaceDE w:val="0"/>
              <w:autoSpaceDN w:val="0"/>
              <w:adjustRightInd w:val="0"/>
              <w:jc w:val="right"/>
              <w:rPr>
                <w:rFonts w:ascii="Calibri" w:hAnsi="Calibri" w:cs="Calibri"/>
                <w:sz w:val="20"/>
                <w:szCs w:val="20"/>
              </w:rPr>
            </w:pPr>
            <w:r w:rsidRPr="00FC1EA5">
              <w:rPr>
                <w:rFonts w:ascii="Calibri" w:hAnsi="Calibri" w:cs="Calibri"/>
                <w:sz w:val="20"/>
                <w:szCs w:val="20"/>
              </w:rPr>
              <w:t>63,7</w:t>
            </w:r>
            <w:r w:rsidR="006768BA" w:rsidRPr="00FC1EA5">
              <w:rPr>
                <w:rFonts w:ascii="Calibri" w:hAnsi="Calibri" w:cs="Calibri"/>
                <w:sz w:val="20"/>
                <w:szCs w:val="20"/>
              </w:rPr>
              <w:t>9</w:t>
            </w:r>
            <w:r w:rsidRPr="00FC1EA5">
              <w:rPr>
                <w:rFonts w:ascii="Calibri" w:hAnsi="Calibri" w:cs="Calibri"/>
                <w:sz w:val="20"/>
                <w:szCs w:val="20"/>
              </w:rPr>
              <w:t>0</w:t>
            </w:r>
          </w:p>
        </w:tc>
        <w:tc>
          <w:tcPr>
            <w:tcW w:w="833" w:type="dxa"/>
            <w:tcBorders>
              <w:top w:val="nil"/>
              <w:left w:val="nil"/>
              <w:bottom w:val="single" w:sz="4" w:space="0" w:color="FFFFFF" w:themeColor="background1"/>
              <w:right w:val="nil"/>
            </w:tcBorders>
            <w:noWrap/>
            <w:vAlign w:val="center"/>
          </w:tcPr>
          <w:p w14:paraId="2CCF9807"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48,570</w:t>
            </w:r>
          </w:p>
        </w:tc>
        <w:tc>
          <w:tcPr>
            <w:tcW w:w="832" w:type="dxa"/>
            <w:tcBorders>
              <w:top w:val="nil"/>
              <w:left w:val="nil"/>
              <w:bottom w:val="single" w:sz="4" w:space="0" w:color="FFFFFF" w:themeColor="background1"/>
              <w:right w:val="nil"/>
            </w:tcBorders>
            <w:noWrap/>
            <w:vAlign w:val="center"/>
          </w:tcPr>
          <w:p w14:paraId="2CCF9808" w14:textId="77777777" w:rsidR="00815503" w:rsidRPr="00FC1EA5" w:rsidRDefault="00815503" w:rsidP="006768BA">
            <w:pPr>
              <w:autoSpaceDE w:val="0"/>
              <w:autoSpaceDN w:val="0"/>
              <w:adjustRightInd w:val="0"/>
              <w:jc w:val="right"/>
              <w:rPr>
                <w:rFonts w:ascii="Calibri" w:hAnsi="Calibri" w:cs="Calibri"/>
                <w:sz w:val="20"/>
                <w:szCs w:val="20"/>
              </w:rPr>
            </w:pPr>
            <w:r w:rsidRPr="00FC1EA5">
              <w:rPr>
                <w:rFonts w:ascii="Calibri" w:hAnsi="Calibri" w:cs="Calibri"/>
                <w:sz w:val="20"/>
                <w:szCs w:val="20"/>
              </w:rPr>
              <w:t>51,9</w:t>
            </w:r>
            <w:r w:rsidR="006768BA" w:rsidRPr="00FC1EA5">
              <w:rPr>
                <w:rFonts w:ascii="Calibri" w:hAnsi="Calibri" w:cs="Calibri"/>
                <w:sz w:val="20"/>
                <w:szCs w:val="20"/>
              </w:rPr>
              <w:t>4</w:t>
            </w:r>
            <w:r w:rsidRPr="00FC1EA5">
              <w:rPr>
                <w:rFonts w:ascii="Calibri" w:hAnsi="Calibri" w:cs="Calibri"/>
                <w:sz w:val="20"/>
                <w:szCs w:val="20"/>
              </w:rPr>
              <w:t>0</w:t>
            </w:r>
          </w:p>
        </w:tc>
        <w:tc>
          <w:tcPr>
            <w:tcW w:w="833" w:type="dxa"/>
            <w:tcBorders>
              <w:top w:val="nil"/>
              <w:left w:val="nil"/>
              <w:bottom w:val="single" w:sz="4" w:space="0" w:color="FFFFFF" w:themeColor="background1"/>
              <w:right w:val="nil"/>
            </w:tcBorders>
            <w:noWrap/>
            <w:vAlign w:val="center"/>
          </w:tcPr>
          <w:p w14:paraId="2CCF9809"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21,480</w:t>
            </w:r>
          </w:p>
        </w:tc>
        <w:tc>
          <w:tcPr>
            <w:tcW w:w="832" w:type="dxa"/>
            <w:tcBorders>
              <w:top w:val="nil"/>
              <w:left w:val="nil"/>
              <w:bottom w:val="single" w:sz="4" w:space="0" w:color="FFFFFF" w:themeColor="background1"/>
              <w:right w:val="nil"/>
            </w:tcBorders>
            <w:noWrap/>
            <w:vAlign w:val="center"/>
          </w:tcPr>
          <w:p w14:paraId="2CCF980A"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14,360</w:t>
            </w:r>
          </w:p>
        </w:tc>
        <w:tc>
          <w:tcPr>
            <w:tcW w:w="833" w:type="dxa"/>
            <w:tcBorders>
              <w:top w:val="nil"/>
              <w:left w:val="nil"/>
              <w:bottom w:val="single" w:sz="4" w:space="0" w:color="FFFFFF" w:themeColor="background1"/>
              <w:right w:val="nil"/>
            </w:tcBorders>
            <w:noWrap/>
            <w:vAlign w:val="center"/>
          </w:tcPr>
          <w:p w14:paraId="2CCF980B"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5,170</w:t>
            </w:r>
          </w:p>
        </w:tc>
        <w:tc>
          <w:tcPr>
            <w:tcW w:w="765" w:type="dxa"/>
            <w:tcBorders>
              <w:top w:val="nil"/>
              <w:left w:val="nil"/>
              <w:bottom w:val="single" w:sz="4" w:space="0" w:color="FFFFFF" w:themeColor="background1"/>
              <w:right w:val="nil"/>
            </w:tcBorders>
            <w:noWrap/>
            <w:vAlign w:val="center"/>
          </w:tcPr>
          <w:p w14:paraId="2CCF980C"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2,440</w:t>
            </w:r>
          </w:p>
        </w:tc>
        <w:tc>
          <w:tcPr>
            <w:tcW w:w="720" w:type="dxa"/>
            <w:tcBorders>
              <w:top w:val="nil"/>
              <w:left w:val="nil"/>
              <w:bottom w:val="single" w:sz="4" w:space="0" w:color="FFFFFF" w:themeColor="background1"/>
              <w:right w:val="nil"/>
            </w:tcBorders>
            <w:noWrap/>
            <w:vAlign w:val="center"/>
          </w:tcPr>
          <w:p w14:paraId="2CCF980D" w14:textId="77777777" w:rsidR="00815503" w:rsidRPr="00FC1EA5" w:rsidRDefault="00815503" w:rsidP="00815503">
            <w:pPr>
              <w:autoSpaceDE w:val="0"/>
              <w:autoSpaceDN w:val="0"/>
              <w:adjustRightInd w:val="0"/>
              <w:jc w:val="right"/>
              <w:rPr>
                <w:rFonts w:ascii="Calibri" w:hAnsi="Calibri" w:cs="Calibri"/>
                <w:sz w:val="20"/>
                <w:szCs w:val="20"/>
              </w:rPr>
            </w:pPr>
            <w:r w:rsidRPr="00FC1EA5">
              <w:rPr>
                <w:rFonts w:ascii="Calibri" w:hAnsi="Calibri" w:cs="Calibri"/>
                <w:sz w:val="20"/>
                <w:szCs w:val="20"/>
              </w:rPr>
              <w:t>5,680</w:t>
            </w:r>
          </w:p>
        </w:tc>
        <w:tc>
          <w:tcPr>
            <w:tcW w:w="900" w:type="dxa"/>
            <w:tcBorders>
              <w:top w:val="nil"/>
              <w:left w:val="nil"/>
              <w:bottom w:val="single" w:sz="4" w:space="0" w:color="FFFFFF" w:themeColor="background1"/>
              <w:right w:val="nil"/>
            </w:tcBorders>
            <w:noWrap/>
            <w:vAlign w:val="center"/>
          </w:tcPr>
          <w:p w14:paraId="2CCF980E"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213,330</w:t>
            </w:r>
          </w:p>
        </w:tc>
      </w:tr>
      <w:tr w:rsidR="00D61FD5" w:rsidRPr="00FC1EA5" w14:paraId="2CCF981A" w14:textId="77777777" w:rsidTr="00D61FD5">
        <w:trPr>
          <w:trHeight w:val="270"/>
        </w:trPr>
        <w:tc>
          <w:tcPr>
            <w:tcW w:w="3075" w:type="dxa"/>
            <w:tcBorders>
              <w:top w:val="single" w:sz="4" w:space="0" w:color="FFFFFF" w:themeColor="background1"/>
              <w:left w:val="nil"/>
              <w:bottom w:val="single" w:sz="4" w:space="0" w:color="FFFFFF" w:themeColor="background1"/>
              <w:right w:val="single" w:sz="4" w:space="0" w:color="FFFFFF" w:themeColor="background1"/>
            </w:tcBorders>
            <w:noWrap/>
            <w:vAlign w:val="center"/>
          </w:tcPr>
          <w:p w14:paraId="2CCF9810" w14:textId="77777777" w:rsidR="00815503" w:rsidRPr="00FC1EA5" w:rsidRDefault="00815503" w:rsidP="006A64F0">
            <w:pPr>
              <w:rPr>
                <w:rFonts w:ascii="Calibri" w:hAnsi="Calibri" w:cs="Arial"/>
                <w:b/>
                <w:sz w:val="20"/>
                <w:szCs w:val="20"/>
              </w:rPr>
            </w:pPr>
            <w:r w:rsidRPr="00FC1EA5">
              <w:rPr>
                <w:rFonts w:ascii="Calibri" w:hAnsi="Calibri" w:cs="Arial"/>
                <w:b/>
                <w:sz w:val="20"/>
                <w:szCs w:val="20"/>
              </w:rPr>
              <w:t xml:space="preserve">Total approved </w:t>
            </w:r>
            <w:proofErr w:type="spellStart"/>
            <w:r w:rsidRPr="00FC1EA5">
              <w:rPr>
                <w:rFonts w:ascii="Calibri" w:hAnsi="Calibri" w:cs="Arial"/>
                <w:b/>
                <w:sz w:val="20"/>
                <w:szCs w:val="20"/>
              </w:rPr>
              <w:t>care</w:t>
            </w:r>
            <w:r w:rsidRPr="00FC1EA5">
              <w:rPr>
                <w:rFonts w:ascii="Calibri" w:hAnsi="Calibri" w:cs="Arial"/>
                <w:b/>
                <w:sz w:val="20"/>
                <w:szCs w:val="20"/>
                <w:vertAlign w:val="superscript"/>
              </w:rPr>
              <w:t>1</w:t>
            </w:r>
            <w:proofErr w:type="spellEnd"/>
          </w:p>
        </w:tc>
        <w:tc>
          <w:tcPr>
            <w:tcW w:w="832" w:type="dxa"/>
            <w:tcBorders>
              <w:top w:val="single" w:sz="4" w:space="0" w:color="FFFFFF" w:themeColor="background1"/>
              <w:left w:val="single" w:sz="4" w:space="0" w:color="FFFFFF" w:themeColor="background1"/>
              <w:bottom w:val="single" w:sz="4" w:space="0" w:color="FFFFFF" w:themeColor="background1"/>
              <w:right w:val="nil"/>
            </w:tcBorders>
            <w:noWrap/>
            <w:vAlign w:val="center"/>
          </w:tcPr>
          <w:p w14:paraId="2CCF9811" w14:textId="77777777" w:rsidR="00815503" w:rsidRPr="00FC1EA5" w:rsidRDefault="00815503" w:rsidP="006768BA">
            <w:pPr>
              <w:autoSpaceDE w:val="0"/>
              <w:autoSpaceDN w:val="0"/>
              <w:adjustRightInd w:val="0"/>
              <w:ind w:hanging="49"/>
              <w:jc w:val="right"/>
              <w:rPr>
                <w:rFonts w:ascii="Calibri" w:hAnsi="Calibri" w:cs="Calibri"/>
                <w:b/>
                <w:bCs/>
                <w:sz w:val="20"/>
                <w:szCs w:val="20"/>
              </w:rPr>
            </w:pPr>
            <w:r w:rsidRPr="00FC1EA5">
              <w:rPr>
                <w:rFonts w:ascii="Calibri" w:hAnsi="Calibri" w:cs="Calibri"/>
                <w:b/>
                <w:bCs/>
                <w:sz w:val="20"/>
                <w:szCs w:val="20"/>
              </w:rPr>
              <w:t>228,6</w:t>
            </w:r>
            <w:r w:rsidR="006768BA" w:rsidRPr="00FC1EA5">
              <w:rPr>
                <w:rFonts w:ascii="Calibri" w:hAnsi="Calibri" w:cs="Calibri"/>
                <w:b/>
                <w:bCs/>
                <w:sz w:val="20"/>
                <w:szCs w:val="20"/>
              </w:rPr>
              <w:t>9</w:t>
            </w:r>
            <w:r w:rsidRPr="00FC1EA5">
              <w:rPr>
                <w:rFonts w:ascii="Calibri" w:hAnsi="Calibri" w:cs="Calibri"/>
                <w:b/>
                <w:bCs/>
                <w:sz w:val="20"/>
                <w:szCs w:val="20"/>
              </w:rPr>
              <w:t>0</w:t>
            </w:r>
          </w:p>
        </w:tc>
        <w:tc>
          <w:tcPr>
            <w:tcW w:w="833" w:type="dxa"/>
            <w:tcBorders>
              <w:top w:val="single" w:sz="4" w:space="0" w:color="FFFFFF" w:themeColor="background1"/>
              <w:left w:val="nil"/>
              <w:bottom w:val="single" w:sz="4" w:space="0" w:color="FFFFFF" w:themeColor="background1"/>
              <w:right w:val="nil"/>
            </w:tcBorders>
            <w:noWrap/>
            <w:vAlign w:val="center"/>
          </w:tcPr>
          <w:p w14:paraId="2CCF9812" w14:textId="77777777" w:rsidR="00815503" w:rsidRPr="00FC1EA5" w:rsidRDefault="00815503" w:rsidP="006768BA">
            <w:pPr>
              <w:autoSpaceDE w:val="0"/>
              <w:autoSpaceDN w:val="0"/>
              <w:adjustRightInd w:val="0"/>
              <w:ind w:hanging="172"/>
              <w:jc w:val="right"/>
              <w:rPr>
                <w:rFonts w:ascii="Calibri" w:hAnsi="Calibri" w:cs="Calibri"/>
                <w:b/>
                <w:bCs/>
                <w:sz w:val="20"/>
                <w:szCs w:val="20"/>
              </w:rPr>
            </w:pPr>
            <w:r w:rsidRPr="00FC1EA5">
              <w:rPr>
                <w:rFonts w:ascii="Calibri" w:hAnsi="Calibri" w:cs="Calibri"/>
                <w:b/>
                <w:bCs/>
                <w:sz w:val="20"/>
                <w:szCs w:val="20"/>
              </w:rPr>
              <w:t>155,</w:t>
            </w:r>
            <w:r w:rsidR="006768BA" w:rsidRPr="00FC1EA5">
              <w:rPr>
                <w:rFonts w:ascii="Calibri" w:hAnsi="Calibri" w:cs="Calibri"/>
                <w:b/>
                <w:bCs/>
                <w:sz w:val="20"/>
                <w:szCs w:val="20"/>
              </w:rPr>
              <w:t>90</w:t>
            </w:r>
            <w:r w:rsidRPr="00FC1EA5">
              <w:rPr>
                <w:rFonts w:ascii="Calibri" w:hAnsi="Calibri" w:cs="Calibri"/>
                <w:b/>
                <w:bCs/>
                <w:sz w:val="20"/>
                <w:szCs w:val="20"/>
              </w:rPr>
              <w:t>0</w:t>
            </w:r>
          </w:p>
        </w:tc>
        <w:tc>
          <w:tcPr>
            <w:tcW w:w="832" w:type="dxa"/>
            <w:tcBorders>
              <w:top w:val="single" w:sz="4" w:space="0" w:color="FFFFFF" w:themeColor="background1"/>
              <w:left w:val="nil"/>
              <w:bottom w:val="single" w:sz="4" w:space="0" w:color="FFFFFF" w:themeColor="background1"/>
              <w:right w:val="nil"/>
            </w:tcBorders>
            <w:noWrap/>
            <w:vAlign w:val="center"/>
          </w:tcPr>
          <w:p w14:paraId="2CCF9813" w14:textId="77777777" w:rsidR="00815503" w:rsidRPr="00FC1EA5" w:rsidRDefault="00815503" w:rsidP="006768BA">
            <w:pPr>
              <w:autoSpaceDE w:val="0"/>
              <w:autoSpaceDN w:val="0"/>
              <w:adjustRightInd w:val="0"/>
              <w:ind w:hanging="155"/>
              <w:jc w:val="right"/>
              <w:rPr>
                <w:rFonts w:ascii="Calibri" w:hAnsi="Calibri" w:cs="Calibri"/>
                <w:b/>
                <w:bCs/>
                <w:sz w:val="20"/>
                <w:szCs w:val="20"/>
              </w:rPr>
            </w:pPr>
            <w:r w:rsidRPr="00FC1EA5">
              <w:rPr>
                <w:rFonts w:ascii="Calibri" w:hAnsi="Calibri" w:cs="Calibri"/>
                <w:b/>
                <w:bCs/>
                <w:sz w:val="20"/>
                <w:szCs w:val="20"/>
              </w:rPr>
              <w:t>167,1</w:t>
            </w:r>
            <w:r w:rsidR="006768BA" w:rsidRPr="00FC1EA5">
              <w:rPr>
                <w:rFonts w:ascii="Calibri" w:hAnsi="Calibri" w:cs="Calibri"/>
                <w:b/>
                <w:bCs/>
                <w:sz w:val="20"/>
                <w:szCs w:val="20"/>
              </w:rPr>
              <w:t>5</w:t>
            </w:r>
            <w:r w:rsidRPr="00FC1EA5">
              <w:rPr>
                <w:rFonts w:ascii="Calibri" w:hAnsi="Calibri" w:cs="Calibri"/>
                <w:b/>
                <w:bCs/>
                <w:sz w:val="20"/>
                <w:szCs w:val="20"/>
              </w:rPr>
              <w:t>0</w:t>
            </w:r>
          </w:p>
        </w:tc>
        <w:tc>
          <w:tcPr>
            <w:tcW w:w="833" w:type="dxa"/>
            <w:tcBorders>
              <w:top w:val="single" w:sz="4" w:space="0" w:color="FFFFFF" w:themeColor="background1"/>
              <w:left w:val="nil"/>
              <w:bottom w:val="single" w:sz="4" w:space="0" w:color="FFFFFF" w:themeColor="background1"/>
              <w:right w:val="nil"/>
            </w:tcBorders>
            <w:noWrap/>
            <w:vAlign w:val="center"/>
          </w:tcPr>
          <w:p w14:paraId="2CCF9814"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50,280</w:t>
            </w:r>
          </w:p>
        </w:tc>
        <w:tc>
          <w:tcPr>
            <w:tcW w:w="832" w:type="dxa"/>
            <w:tcBorders>
              <w:top w:val="single" w:sz="4" w:space="0" w:color="FFFFFF" w:themeColor="background1"/>
              <w:left w:val="nil"/>
              <w:bottom w:val="single" w:sz="4" w:space="0" w:color="FFFFFF" w:themeColor="background1"/>
              <w:right w:val="nil"/>
            </w:tcBorders>
            <w:noWrap/>
            <w:vAlign w:val="center"/>
          </w:tcPr>
          <w:p w14:paraId="2CCF9815"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53,740</w:t>
            </w:r>
          </w:p>
        </w:tc>
        <w:tc>
          <w:tcPr>
            <w:tcW w:w="833" w:type="dxa"/>
            <w:tcBorders>
              <w:top w:val="single" w:sz="4" w:space="0" w:color="FFFFFF" w:themeColor="background1"/>
              <w:left w:val="nil"/>
              <w:bottom w:val="single" w:sz="4" w:space="0" w:color="FFFFFF" w:themeColor="background1"/>
              <w:right w:val="nil"/>
            </w:tcBorders>
            <w:noWrap/>
            <w:vAlign w:val="center"/>
          </w:tcPr>
          <w:p w14:paraId="2CCF9816"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15,600</w:t>
            </w:r>
          </w:p>
        </w:tc>
        <w:tc>
          <w:tcPr>
            <w:tcW w:w="765" w:type="dxa"/>
            <w:tcBorders>
              <w:top w:val="single" w:sz="4" w:space="0" w:color="FFFFFF" w:themeColor="background1"/>
              <w:left w:val="nil"/>
              <w:bottom w:val="single" w:sz="4" w:space="0" w:color="FFFFFF" w:themeColor="background1"/>
              <w:right w:val="nil"/>
            </w:tcBorders>
            <w:noWrap/>
            <w:vAlign w:val="center"/>
          </w:tcPr>
          <w:p w14:paraId="2CCF9817"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5,760</w:t>
            </w:r>
          </w:p>
        </w:tc>
        <w:tc>
          <w:tcPr>
            <w:tcW w:w="720" w:type="dxa"/>
            <w:tcBorders>
              <w:top w:val="single" w:sz="4" w:space="0" w:color="FFFFFF" w:themeColor="background1"/>
              <w:left w:val="nil"/>
              <w:bottom w:val="single" w:sz="4" w:space="0" w:color="FFFFFF" w:themeColor="background1"/>
              <w:right w:val="nil"/>
            </w:tcBorders>
            <w:noWrap/>
            <w:vAlign w:val="center"/>
          </w:tcPr>
          <w:p w14:paraId="2CCF9818" w14:textId="77777777" w:rsidR="00815503" w:rsidRPr="00FC1EA5" w:rsidRDefault="00815503" w:rsidP="00815503">
            <w:pPr>
              <w:autoSpaceDE w:val="0"/>
              <w:autoSpaceDN w:val="0"/>
              <w:adjustRightInd w:val="0"/>
              <w:ind w:hanging="139"/>
              <w:jc w:val="right"/>
              <w:rPr>
                <w:rFonts w:ascii="Calibri" w:hAnsi="Calibri" w:cs="Calibri"/>
                <w:b/>
                <w:bCs/>
                <w:sz w:val="20"/>
                <w:szCs w:val="20"/>
              </w:rPr>
            </w:pPr>
            <w:r w:rsidRPr="00FC1EA5">
              <w:rPr>
                <w:rFonts w:ascii="Calibri" w:hAnsi="Calibri" w:cs="Calibri"/>
                <w:b/>
                <w:bCs/>
                <w:sz w:val="20"/>
                <w:szCs w:val="20"/>
              </w:rPr>
              <w:t>14,120</w:t>
            </w:r>
          </w:p>
        </w:tc>
        <w:tc>
          <w:tcPr>
            <w:tcW w:w="900" w:type="dxa"/>
            <w:tcBorders>
              <w:top w:val="single" w:sz="4" w:space="0" w:color="FFFFFF" w:themeColor="background1"/>
              <w:left w:val="nil"/>
              <w:bottom w:val="single" w:sz="4" w:space="0" w:color="FFFFFF" w:themeColor="background1"/>
              <w:right w:val="nil"/>
            </w:tcBorders>
            <w:noWrap/>
            <w:vAlign w:val="center"/>
          </w:tcPr>
          <w:p w14:paraId="2CCF9819" w14:textId="77777777" w:rsidR="00815503" w:rsidRPr="00FC1EA5" w:rsidRDefault="00815503" w:rsidP="00815503">
            <w:pPr>
              <w:autoSpaceDE w:val="0"/>
              <w:autoSpaceDN w:val="0"/>
              <w:adjustRightInd w:val="0"/>
              <w:jc w:val="right"/>
              <w:rPr>
                <w:rFonts w:ascii="Calibri" w:hAnsi="Calibri" w:cs="Calibri"/>
                <w:b/>
                <w:bCs/>
                <w:sz w:val="20"/>
                <w:szCs w:val="20"/>
              </w:rPr>
            </w:pPr>
            <w:r w:rsidRPr="00FC1EA5">
              <w:rPr>
                <w:rFonts w:ascii="Calibri" w:hAnsi="Calibri" w:cs="Calibri"/>
                <w:b/>
                <w:bCs/>
                <w:sz w:val="20"/>
                <w:szCs w:val="20"/>
              </w:rPr>
              <w:t>689,790</w:t>
            </w:r>
          </w:p>
        </w:tc>
      </w:tr>
    </w:tbl>
    <w:p w14:paraId="2CCF981B" w14:textId="77777777" w:rsidR="006A64F0" w:rsidRPr="00FC1EA5" w:rsidRDefault="006A64F0" w:rsidP="006A64F0">
      <w:pPr>
        <w:spacing w:line="160" w:lineRule="atLeast"/>
        <w:ind w:right="522"/>
        <w:rPr>
          <w:rFonts w:ascii="Calibri" w:hAnsi="Calibri" w:cs="Arial"/>
          <w:snapToGrid w:val="0"/>
          <w:sz w:val="16"/>
          <w:szCs w:val="16"/>
        </w:rPr>
      </w:pPr>
      <w:r w:rsidRPr="00FC1EA5">
        <w:rPr>
          <w:rFonts w:ascii="Calibri" w:hAnsi="Calibri" w:cs="Arial"/>
          <w:snapToGrid w:val="0"/>
          <w:sz w:val="16"/>
          <w:szCs w:val="16"/>
          <w:vertAlign w:val="superscript"/>
        </w:rPr>
        <w:t>1</w:t>
      </w:r>
      <w:r w:rsidRPr="00FC1EA5">
        <w:rPr>
          <w:rFonts w:ascii="Calibri" w:hAnsi="Calibri" w:cs="Arial"/>
          <w:snapToGrid w:val="0"/>
          <w:sz w:val="16"/>
          <w:szCs w:val="16"/>
        </w:rPr>
        <w:t xml:space="preserve"> As families may use more than one service type in more than one state or territory in any particular quarter and due to rounding, the sum of the component parts may not equal the Total. </w:t>
      </w:r>
      <w:r w:rsidRPr="00FC1EA5">
        <w:rPr>
          <w:rFonts w:ascii="Calibri" w:hAnsi="Calibri"/>
          <w:sz w:val="16"/>
          <w:szCs w:val="16"/>
        </w:rPr>
        <w:t xml:space="preserve">Total for </w:t>
      </w:r>
      <w:r w:rsidR="008B435B" w:rsidRPr="00FC1EA5">
        <w:rPr>
          <w:rFonts w:ascii="Calibri" w:hAnsi="Calibri"/>
          <w:sz w:val="16"/>
          <w:szCs w:val="16"/>
        </w:rPr>
        <w:t xml:space="preserve">the </w:t>
      </w:r>
      <w:r w:rsidR="0001617D" w:rsidRPr="00FC1EA5">
        <w:rPr>
          <w:rFonts w:ascii="Calibri" w:hAnsi="Calibri"/>
          <w:sz w:val="16"/>
          <w:szCs w:val="16"/>
        </w:rPr>
        <w:t>March quarter 2012</w:t>
      </w:r>
      <w:r w:rsidRPr="00FC1EA5">
        <w:rPr>
          <w:rFonts w:ascii="Calibri" w:hAnsi="Calibri"/>
          <w:sz w:val="16"/>
          <w:szCs w:val="16"/>
        </w:rPr>
        <w:t xml:space="preserve"> includes a very small number of families for which other details are unknown.</w:t>
      </w:r>
    </w:p>
    <w:p w14:paraId="2CCF981C" w14:textId="77777777" w:rsidR="006A64F0" w:rsidRPr="00FC1EA5" w:rsidRDefault="006A64F0" w:rsidP="006A64F0">
      <w:pPr>
        <w:rPr>
          <w:rFonts w:ascii="Calibri" w:hAnsi="Calibri" w:cs="Arial"/>
          <w:snapToGrid w:val="0"/>
          <w:sz w:val="16"/>
          <w:szCs w:val="16"/>
        </w:rPr>
      </w:pPr>
      <w:r w:rsidRPr="00FC1EA5">
        <w:rPr>
          <w:rFonts w:ascii="Calibri" w:hAnsi="Calibri" w:cs="Arial"/>
          <w:sz w:val="16"/>
          <w:szCs w:val="16"/>
        </w:rPr>
        <w:t>Source: DEEWR administrative data.</w:t>
      </w:r>
    </w:p>
    <w:p w14:paraId="2CCF981D" w14:textId="77777777" w:rsidR="006A64F0" w:rsidRPr="00FC1EA5" w:rsidRDefault="006A64F0" w:rsidP="006A64F0">
      <w:pPr>
        <w:ind w:right="-1201"/>
        <w:rPr>
          <w:rFonts w:asciiTheme="minorHAnsi" w:hAnsiTheme="minorHAnsi" w:cs="Calibri"/>
          <w:b/>
          <w:bCs/>
          <w:sz w:val="22"/>
          <w:szCs w:val="22"/>
        </w:rPr>
      </w:pPr>
    </w:p>
    <w:bookmarkEnd w:id="2"/>
    <w:bookmarkEnd w:id="3"/>
    <w:p w14:paraId="2CCF981E" w14:textId="77777777" w:rsidR="006A64F0" w:rsidRPr="00FC1EA5" w:rsidRDefault="006A64F0" w:rsidP="006A64F0">
      <w:pPr>
        <w:pStyle w:val="QMIRText"/>
        <w:spacing w:after="85" w:line="260" w:lineRule="atLeast"/>
        <w:ind w:right="-143"/>
        <w:rPr>
          <w:sz w:val="22"/>
        </w:rPr>
      </w:pPr>
      <w:proofErr w:type="gramStart"/>
      <w:r w:rsidRPr="00FC1EA5">
        <w:rPr>
          <w:rFonts w:cs="Arial"/>
          <w:sz w:val="22"/>
          <w:szCs w:val="22"/>
        </w:rPr>
        <w:t>A mix of approved child care services are</w:t>
      </w:r>
      <w:proofErr w:type="gramEnd"/>
      <w:r w:rsidRPr="00FC1EA5">
        <w:rPr>
          <w:rFonts w:cs="Arial"/>
          <w:sz w:val="22"/>
          <w:szCs w:val="22"/>
        </w:rPr>
        <w:t xml:space="preserve"> located in all states and territories. In the </w:t>
      </w:r>
      <w:r w:rsidR="0001617D" w:rsidRPr="00FC1EA5">
        <w:rPr>
          <w:rFonts w:cs="Arial"/>
          <w:sz w:val="22"/>
          <w:szCs w:val="22"/>
        </w:rPr>
        <w:t>March quarter 2012</w:t>
      </w:r>
      <w:r w:rsidRPr="00FC1EA5">
        <w:rPr>
          <w:rFonts w:cs="Arial"/>
          <w:sz w:val="22"/>
          <w:szCs w:val="22"/>
        </w:rPr>
        <w:t>, more than o</w:t>
      </w:r>
      <w:r w:rsidRPr="00FC1EA5">
        <w:rPr>
          <w:sz w:val="22"/>
        </w:rPr>
        <w:t>ne third of services were located in New South Wales (34.</w:t>
      </w:r>
      <w:r w:rsidR="008A3A39" w:rsidRPr="00FC1EA5">
        <w:rPr>
          <w:sz w:val="22"/>
        </w:rPr>
        <w:t>3</w:t>
      </w:r>
      <w:r w:rsidRPr="00FC1EA5">
        <w:rPr>
          <w:sz w:val="22"/>
        </w:rPr>
        <w:t xml:space="preserve"> per cent), with 22.</w:t>
      </w:r>
      <w:r w:rsidR="008A3A39" w:rsidRPr="00FC1EA5">
        <w:rPr>
          <w:sz w:val="22"/>
        </w:rPr>
        <w:t>6</w:t>
      </w:r>
      <w:r w:rsidRPr="00FC1EA5">
        <w:rPr>
          <w:sz w:val="22"/>
        </w:rPr>
        <w:t xml:space="preserve"> per cent in Victoria and 21.</w:t>
      </w:r>
      <w:r w:rsidR="008A3A39" w:rsidRPr="00FC1EA5">
        <w:rPr>
          <w:sz w:val="22"/>
        </w:rPr>
        <w:t>6</w:t>
      </w:r>
      <w:r w:rsidRPr="00FC1EA5">
        <w:rPr>
          <w:sz w:val="22"/>
        </w:rPr>
        <w:t xml:space="preserve"> per cent in Queensland. </w:t>
      </w:r>
    </w:p>
    <w:p w14:paraId="2CCF9822" w14:textId="77777777" w:rsidR="00D61FD5" w:rsidRDefault="00D61FD5">
      <w:pPr>
        <w:rPr>
          <w:rFonts w:ascii="Calibri" w:hAnsi="Calibri" w:cs="Tahoma"/>
          <w:b/>
          <w:sz w:val="48"/>
          <w:szCs w:val="48"/>
          <w:lang w:val="en-US"/>
        </w:rPr>
      </w:pPr>
      <w:r>
        <w:rPr>
          <w:rFonts w:ascii="Calibri" w:hAnsi="Calibri"/>
          <w:b/>
        </w:rPr>
        <w:br w:type="page"/>
      </w:r>
    </w:p>
    <w:p w14:paraId="2CCF9823" w14:textId="77777777" w:rsidR="00B00D6D" w:rsidRPr="00FC1EA5" w:rsidRDefault="00B00D6D" w:rsidP="00B00D6D">
      <w:pPr>
        <w:pStyle w:val="Heading1"/>
        <w:rPr>
          <w:rFonts w:ascii="Calibri" w:hAnsi="Calibri"/>
          <w:b/>
          <w:color w:val="auto"/>
        </w:rPr>
      </w:pPr>
      <w:r w:rsidRPr="00FC1EA5">
        <w:rPr>
          <w:rFonts w:ascii="Calibri" w:hAnsi="Calibri"/>
          <w:b/>
          <w:color w:val="auto"/>
        </w:rPr>
        <w:lastRenderedPageBreak/>
        <w:t>Technical Notes</w:t>
      </w:r>
    </w:p>
    <w:p w14:paraId="2CCF9824" w14:textId="77777777" w:rsidR="00B00D6D" w:rsidRPr="00FC1EA5" w:rsidRDefault="00B00D6D" w:rsidP="00B00D6D">
      <w:pPr>
        <w:pStyle w:val="Nonnumberedheading"/>
        <w:rPr>
          <w:bCs/>
          <w:color w:val="auto"/>
          <w:sz w:val="26"/>
        </w:rPr>
      </w:pPr>
      <w:r w:rsidRPr="00FC1EA5">
        <w:rPr>
          <w:bCs/>
          <w:color w:val="auto"/>
          <w:sz w:val="26"/>
        </w:rPr>
        <w:t>General counting rules</w:t>
      </w:r>
    </w:p>
    <w:p w14:paraId="2CCF9825" w14:textId="77777777" w:rsidR="00B00D6D" w:rsidRPr="00FC1EA5" w:rsidRDefault="00B00D6D" w:rsidP="00B00D6D">
      <w:pPr>
        <w:pStyle w:val="Nonnumberedheading"/>
        <w:rPr>
          <w:bCs/>
          <w:color w:val="auto"/>
          <w:sz w:val="26"/>
        </w:rPr>
      </w:pPr>
    </w:p>
    <w:p w14:paraId="2CCF9826" w14:textId="77777777" w:rsidR="00B00D6D" w:rsidRPr="00FC1EA5" w:rsidRDefault="00B00D6D" w:rsidP="00B00D6D">
      <w:pPr>
        <w:pStyle w:val="QMIRText"/>
        <w:spacing w:after="85" w:line="260" w:lineRule="atLeast"/>
        <w:rPr>
          <w:sz w:val="22"/>
          <w:szCs w:val="22"/>
          <w:u w:color="000000"/>
        </w:rPr>
      </w:pPr>
      <w:r w:rsidRPr="00FC1EA5">
        <w:rPr>
          <w:sz w:val="22"/>
          <w:szCs w:val="22"/>
          <w:u w:color="000000"/>
        </w:rPr>
        <w:t>Use of child care services is counted for each individual child using approved child care services. An instance of child care usage is defined as at least one child care attendance per child care service for the quarter irrespe</w:t>
      </w:r>
      <w:r w:rsidR="00B33C0B" w:rsidRPr="00FC1EA5">
        <w:rPr>
          <w:sz w:val="22"/>
          <w:szCs w:val="22"/>
          <w:u w:color="000000"/>
        </w:rPr>
        <w:t xml:space="preserve">ctive of duration or frequency. </w:t>
      </w:r>
      <w:r w:rsidRPr="00FC1EA5">
        <w:rPr>
          <w:sz w:val="22"/>
          <w:szCs w:val="22"/>
          <w:u w:color="000000"/>
        </w:rPr>
        <w:t xml:space="preserve">For example, a single hour at an occasional care centre or 40 hours per week throughout the quarter at a long day care centre, are both counted as an instance of child care usage. </w:t>
      </w:r>
    </w:p>
    <w:p w14:paraId="2CCF9827" w14:textId="77777777" w:rsidR="00B00D6D" w:rsidRPr="00FC1EA5" w:rsidRDefault="00B00D6D" w:rsidP="00B00D6D">
      <w:pPr>
        <w:pStyle w:val="QMIRText"/>
        <w:spacing w:after="85" w:line="260" w:lineRule="atLeast"/>
        <w:rPr>
          <w:sz w:val="22"/>
          <w:szCs w:val="22"/>
          <w:u w:color="000000"/>
        </w:rPr>
      </w:pPr>
      <w:r w:rsidRPr="00FC1EA5">
        <w:rPr>
          <w:sz w:val="22"/>
          <w:szCs w:val="22"/>
          <w:u w:color="000000"/>
        </w:rPr>
        <w:t>Children and families are recorded for each of the service types that they use during the quarter. Children and families using more than one service type during the quarter or financial year are counted only once within each applicable service type category and only once within the ‘Total’ category for the relevant time period. Note that as children and families may use more than one service type in any particular time frame the sum of the component parts may not equal the ‘Total’ category.</w:t>
      </w:r>
    </w:p>
    <w:p w14:paraId="2CCF9828" w14:textId="77777777" w:rsidR="00B00D6D" w:rsidRPr="00FC1EA5" w:rsidRDefault="00B00D6D" w:rsidP="00B00D6D">
      <w:pPr>
        <w:pStyle w:val="QMIRText"/>
        <w:spacing w:after="85" w:line="260" w:lineRule="atLeast"/>
        <w:rPr>
          <w:rFonts w:cs="Arial"/>
          <w:sz w:val="22"/>
          <w:szCs w:val="22"/>
          <w:u w:color="000000"/>
        </w:rPr>
      </w:pPr>
      <w:r w:rsidRPr="00FC1EA5">
        <w:rPr>
          <w:sz w:val="22"/>
          <w:szCs w:val="22"/>
          <w:u w:color="000000"/>
        </w:rPr>
        <w:t xml:space="preserve">Changes in service type numbers need to be understood in the context of counting rules. Prior to the implementation of the </w:t>
      </w:r>
      <w:r w:rsidRPr="00FC1EA5">
        <w:rPr>
          <w:rFonts w:cs="Arial"/>
          <w:sz w:val="22"/>
          <w:szCs w:val="22"/>
          <w:u w:color="000000"/>
        </w:rPr>
        <w:t xml:space="preserve">Child Care Management System (CCMS) all services with an ‘active’ status were included regardless of attendance. This resulted in a small number of services being included in the data that did not actually have any children in attendance. Under CCMS a service is counted as ‘active’ only if it had at least one child attending at some time during the quarter, thus aligning the counting rules for children, families and services. </w:t>
      </w:r>
    </w:p>
    <w:p w14:paraId="2CCF9829" w14:textId="77777777" w:rsidR="00B33C0B" w:rsidRPr="00FC1EA5" w:rsidRDefault="00B33C0B" w:rsidP="00B00D6D">
      <w:pPr>
        <w:pStyle w:val="QMIRText"/>
        <w:spacing w:after="85" w:line="260" w:lineRule="atLeast"/>
        <w:rPr>
          <w:rFonts w:cs="Arial"/>
          <w:sz w:val="22"/>
          <w:szCs w:val="22"/>
          <w:u w:color="000000"/>
        </w:rPr>
      </w:pPr>
    </w:p>
    <w:p w14:paraId="2CCF982A" w14:textId="77777777" w:rsidR="00B00D6D" w:rsidRPr="00FC1EA5" w:rsidRDefault="00B00D6D" w:rsidP="00B00D6D">
      <w:pPr>
        <w:pStyle w:val="Nonnumberedheading"/>
        <w:rPr>
          <w:bCs/>
          <w:color w:val="auto"/>
          <w:sz w:val="26"/>
          <w:szCs w:val="26"/>
        </w:rPr>
      </w:pPr>
      <w:r w:rsidRPr="00FC1EA5">
        <w:rPr>
          <w:bCs/>
          <w:color w:val="auto"/>
          <w:sz w:val="26"/>
          <w:szCs w:val="26"/>
        </w:rPr>
        <w:t>Data sources</w:t>
      </w:r>
    </w:p>
    <w:p w14:paraId="2CCF982B" w14:textId="77777777" w:rsidR="00B33C0B" w:rsidRPr="00FC1EA5" w:rsidRDefault="00B33C0B" w:rsidP="00B00D6D">
      <w:pPr>
        <w:pStyle w:val="Nonnumberedheading"/>
        <w:rPr>
          <w:bCs/>
          <w:color w:val="auto"/>
          <w:sz w:val="26"/>
          <w:szCs w:val="26"/>
        </w:rPr>
      </w:pPr>
    </w:p>
    <w:p w14:paraId="2CCF982C" w14:textId="77777777" w:rsidR="00B00D6D" w:rsidRPr="00FC1EA5" w:rsidRDefault="00B00D6D" w:rsidP="00B00D6D">
      <w:pPr>
        <w:pStyle w:val="QMIRText"/>
        <w:spacing w:after="85" w:line="260" w:lineRule="atLeast"/>
        <w:rPr>
          <w:rFonts w:cs="Arial"/>
          <w:sz w:val="22"/>
          <w:szCs w:val="22"/>
          <w:u w:color="000000"/>
        </w:rPr>
      </w:pPr>
      <w:r w:rsidRPr="00FC1EA5">
        <w:rPr>
          <w:rFonts w:cs="Arial"/>
          <w:sz w:val="22"/>
          <w:szCs w:val="22"/>
          <w:u w:color="000000"/>
        </w:rPr>
        <w:t>Data included in this report comes from the following sources:</w:t>
      </w:r>
    </w:p>
    <w:p w14:paraId="2CCF982D" w14:textId="77777777" w:rsidR="00B00D6D" w:rsidRPr="00FC1EA5" w:rsidRDefault="00B00D6D" w:rsidP="00B00D6D">
      <w:pPr>
        <w:pStyle w:val="QMIRText"/>
        <w:numPr>
          <w:ilvl w:val="0"/>
          <w:numId w:val="4"/>
        </w:numPr>
        <w:spacing w:after="85" w:line="260" w:lineRule="atLeast"/>
        <w:rPr>
          <w:bCs/>
          <w:sz w:val="22"/>
          <w:szCs w:val="22"/>
        </w:rPr>
      </w:pPr>
      <w:r w:rsidRPr="00FC1EA5">
        <w:rPr>
          <w:bCs/>
          <w:sz w:val="22"/>
          <w:szCs w:val="22"/>
        </w:rPr>
        <w:t xml:space="preserve">From </w:t>
      </w:r>
      <w:r w:rsidR="00B33C0B" w:rsidRPr="00FC1EA5">
        <w:rPr>
          <w:bCs/>
          <w:sz w:val="22"/>
          <w:szCs w:val="22"/>
        </w:rPr>
        <w:t xml:space="preserve">the </w:t>
      </w:r>
      <w:r w:rsidR="008B435B" w:rsidRPr="00FC1EA5">
        <w:rPr>
          <w:bCs/>
          <w:sz w:val="22"/>
          <w:szCs w:val="22"/>
        </w:rPr>
        <w:t>September</w:t>
      </w:r>
      <w:r w:rsidRPr="00FC1EA5">
        <w:rPr>
          <w:bCs/>
          <w:sz w:val="22"/>
          <w:szCs w:val="22"/>
        </w:rPr>
        <w:t xml:space="preserve"> quarter 2011 the majority of data is extracted from the Child Care Data and Reporting System (CCDARS). CCDARS is a DEEWR based data storage system for data collected from approved child care services via the Child Care Management System. </w:t>
      </w:r>
    </w:p>
    <w:p w14:paraId="2CCF982E" w14:textId="77777777" w:rsidR="00B00D6D" w:rsidRPr="00FC1EA5" w:rsidRDefault="00B33C0B" w:rsidP="00B00D6D">
      <w:pPr>
        <w:pStyle w:val="QMIRText"/>
        <w:numPr>
          <w:ilvl w:val="0"/>
          <w:numId w:val="4"/>
        </w:numPr>
        <w:spacing w:after="85" w:line="260" w:lineRule="atLeast"/>
        <w:rPr>
          <w:b/>
          <w:bCs/>
          <w:sz w:val="22"/>
          <w:szCs w:val="22"/>
        </w:rPr>
      </w:pPr>
      <w:r w:rsidRPr="00FC1EA5">
        <w:rPr>
          <w:sz w:val="22"/>
          <w:szCs w:val="22"/>
        </w:rPr>
        <w:t>For</w:t>
      </w:r>
      <w:r w:rsidR="00B00D6D" w:rsidRPr="00FC1EA5">
        <w:rPr>
          <w:sz w:val="22"/>
          <w:szCs w:val="22"/>
        </w:rPr>
        <w:t xml:space="preserve"> previous quarters, the majority of data is extracted from the Centrelink Mainframe. Supplementary data is sourced from the FaHCSIA Online Funding Management System (FOFMS).</w:t>
      </w:r>
    </w:p>
    <w:p w14:paraId="2CCF982F" w14:textId="77777777" w:rsidR="008B435B" w:rsidRPr="00FC1EA5" w:rsidRDefault="008B435B" w:rsidP="00B00D6D">
      <w:pPr>
        <w:tabs>
          <w:tab w:val="left" w:pos="1701"/>
        </w:tabs>
        <w:spacing w:before="120"/>
        <w:rPr>
          <w:rStyle w:val="BodyBOLD"/>
          <w:rFonts w:ascii="Calibri" w:hAnsi="Calibri"/>
          <w:b/>
          <w:spacing w:val="-1"/>
          <w:kern w:val="32"/>
          <w:sz w:val="22"/>
          <w:szCs w:val="22"/>
          <w:u w:color="000000"/>
        </w:rPr>
      </w:pPr>
    </w:p>
    <w:p w14:paraId="2CCF9830" w14:textId="0A7B2574" w:rsidR="00B00D6D" w:rsidRPr="00FC1EA5" w:rsidRDefault="00B00D6D" w:rsidP="00B00D6D">
      <w:pPr>
        <w:tabs>
          <w:tab w:val="left" w:pos="1701"/>
        </w:tabs>
        <w:spacing w:before="120"/>
        <w:rPr>
          <w:rFonts w:ascii="Calibri" w:hAnsi="Calibri" w:cs="Arial"/>
          <w:sz w:val="22"/>
          <w:szCs w:val="22"/>
        </w:rPr>
      </w:pPr>
      <w:r w:rsidRPr="00FC1EA5">
        <w:rPr>
          <w:rStyle w:val="BodyBOLD"/>
          <w:rFonts w:ascii="Calibri" w:hAnsi="Calibri"/>
          <w:b/>
          <w:spacing w:val="-1"/>
          <w:kern w:val="32"/>
          <w:sz w:val="22"/>
          <w:szCs w:val="22"/>
          <w:u w:color="000000"/>
        </w:rPr>
        <w:t>Revisions:</w:t>
      </w:r>
      <w:r w:rsidRPr="00FC1EA5">
        <w:rPr>
          <w:rStyle w:val="BodyBOLD"/>
          <w:rFonts w:ascii="Calibri" w:hAnsi="Calibri"/>
          <w:spacing w:val="-1"/>
          <w:kern w:val="32"/>
          <w:sz w:val="22"/>
          <w:szCs w:val="22"/>
          <w:u w:color="000000"/>
        </w:rPr>
        <w:t xml:space="preserve">  Due to changes in the administrative system, data may be revised to ensure the most accurate, up</w:t>
      </w:r>
      <w:r w:rsidR="00C77484">
        <w:rPr>
          <w:rStyle w:val="BodyBOLD"/>
          <w:rFonts w:ascii="Calibri" w:hAnsi="Calibri"/>
          <w:spacing w:val="-1"/>
          <w:kern w:val="32"/>
          <w:sz w:val="22"/>
          <w:szCs w:val="22"/>
          <w:u w:color="000000"/>
        </w:rPr>
        <w:noBreakHyphen/>
      </w:r>
      <w:r w:rsidRPr="00FC1EA5">
        <w:rPr>
          <w:rStyle w:val="BodyBOLD"/>
          <w:rFonts w:ascii="Calibri" w:hAnsi="Calibri"/>
          <w:spacing w:val="-1"/>
          <w:kern w:val="32"/>
          <w:sz w:val="22"/>
          <w:szCs w:val="22"/>
          <w:u w:color="000000"/>
        </w:rPr>
        <w:t>to</w:t>
      </w:r>
      <w:r w:rsidR="00C77484">
        <w:rPr>
          <w:rStyle w:val="BodyBOLD"/>
          <w:rFonts w:ascii="Calibri" w:hAnsi="Calibri"/>
          <w:spacing w:val="-1"/>
          <w:kern w:val="32"/>
          <w:sz w:val="22"/>
          <w:szCs w:val="22"/>
          <w:u w:color="000000"/>
        </w:rPr>
        <w:noBreakHyphen/>
      </w:r>
      <w:r w:rsidRPr="00FC1EA5">
        <w:rPr>
          <w:rStyle w:val="BodyBOLD"/>
          <w:rFonts w:ascii="Calibri" w:hAnsi="Calibri"/>
          <w:spacing w:val="-1"/>
          <w:kern w:val="32"/>
          <w:sz w:val="22"/>
          <w:szCs w:val="22"/>
          <w:u w:color="000000"/>
        </w:rPr>
        <w:t xml:space="preserve">date figures are published. </w:t>
      </w:r>
    </w:p>
    <w:p w14:paraId="2CCF9832" w14:textId="77777777" w:rsidR="00B33C0B" w:rsidRPr="00FC1EA5" w:rsidRDefault="00B33C0B">
      <w:pPr>
        <w:rPr>
          <w:rFonts w:ascii="Calibri" w:hAnsi="Calibri" w:cs="Tahoma"/>
          <w:b/>
          <w:sz w:val="48"/>
          <w:szCs w:val="48"/>
          <w:lang w:val="en-US"/>
        </w:rPr>
      </w:pPr>
      <w:r w:rsidRPr="00FC1EA5">
        <w:rPr>
          <w:rFonts w:ascii="Calibri" w:hAnsi="Calibri"/>
          <w:b/>
        </w:rPr>
        <w:br w:type="page"/>
      </w:r>
    </w:p>
    <w:p w14:paraId="2CCF9833" w14:textId="77777777" w:rsidR="00B00D6D" w:rsidRPr="00FC1EA5" w:rsidRDefault="00B00D6D" w:rsidP="00B00D6D">
      <w:pPr>
        <w:pStyle w:val="Heading1"/>
        <w:spacing w:after="0"/>
        <w:rPr>
          <w:rStyle w:val="BodyBOLD"/>
          <w:rFonts w:ascii="Calibri" w:hAnsi="Calibri"/>
          <w:b/>
          <w:color w:val="auto"/>
          <w:spacing w:val="-1"/>
          <w:kern w:val="32"/>
          <w:sz w:val="18"/>
          <w:szCs w:val="18"/>
          <w:u w:color="000000"/>
        </w:rPr>
      </w:pPr>
      <w:r w:rsidRPr="00FC1EA5">
        <w:rPr>
          <w:rFonts w:ascii="Calibri" w:hAnsi="Calibri"/>
          <w:b/>
          <w:color w:val="auto"/>
        </w:rPr>
        <w:lastRenderedPageBreak/>
        <w:t>Definitions</w:t>
      </w:r>
    </w:p>
    <w:p w14:paraId="2CCF9834" w14:textId="77777777" w:rsidR="00B00D6D" w:rsidRPr="00D61FD5" w:rsidRDefault="00B00D6D" w:rsidP="00B00D6D">
      <w:pPr>
        <w:rPr>
          <w:rStyle w:val="BodyBOLD"/>
          <w:rFonts w:ascii="Calibri" w:hAnsi="Calibri"/>
          <w:b/>
          <w:bCs/>
          <w:spacing w:val="-1"/>
          <w:kern w:val="32"/>
          <w:szCs w:val="20"/>
          <w:u w:color="000000"/>
        </w:rPr>
      </w:pPr>
    </w:p>
    <w:p w14:paraId="2CCF9835"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Approved care:</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Care provided by long day care, family day care, in-home care, outside school hours care and occasional care services approved by the Australian Government to receive Child Care Benefit on behalf of families.</w:t>
      </w:r>
    </w:p>
    <w:p w14:paraId="2CCF9836" w14:textId="77777777" w:rsidR="00B00D6D" w:rsidRPr="00D61FD5" w:rsidRDefault="00B00D6D" w:rsidP="00B00D6D">
      <w:pPr>
        <w:ind w:right="-109"/>
        <w:rPr>
          <w:rStyle w:val="BodyBOLD"/>
          <w:rFonts w:ascii="Calibri" w:hAnsi="Calibri" w:cs="Arial"/>
          <w:spacing w:val="-1"/>
          <w:kern w:val="32"/>
          <w:szCs w:val="20"/>
          <w:u w:color="000000"/>
        </w:rPr>
      </w:pPr>
    </w:p>
    <w:p w14:paraId="2CCF9837"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Child Care Benefit (CCB):</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A payment made by the Australian Government to families to assist with the cost of child care.</w:t>
      </w:r>
    </w:p>
    <w:p w14:paraId="2CCF9838" w14:textId="77777777" w:rsidR="00B00D6D" w:rsidRPr="00D61FD5" w:rsidRDefault="00B00D6D" w:rsidP="00B00D6D">
      <w:pPr>
        <w:rPr>
          <w:rStyle w:val="BodyBOLD"/>
          <w:rFonts w:ascii="Calibri" w:hAnsi="Calibri" w:cs="Arial"/>
          <w:spacing w:val="-1"/>
          <w:kern w:val="32"/>
          <w:szCs w:val="20"/>
          <w:u w:color="000000"/>
        </w:rPr>
      </w:pPr>
    </w:p>
    <w:p w14:paraId="2CCF9839"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Child Care Management System (CCMS):</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This is the electronic system used for the administration of CCB. Under CCMS, approved child care services submit attendance information to DEEWR over the internet. Data in this report are primarily sourced from CCMS.</w:t>
      </w:r>
    </w:p>
    <w:p w14:paraId="2CCF983A" w14:textId="77777777" w:rsidR="00B00D6D" w:rsidRPr="00D61FD5" w:rsidRDefault="00B00D6D" w:rsidP="00B00D6D">
      <w:pPr>
        <w:rPr>
          <w:rStyle w:val="BodyBOLD"/>
          <w:rFonts w:ascii="Calibri" w:hAnsi="Calibri" w:cs="Arial"/>
          <w:spacing w:val="-1"/>
          <w:kern w:val="32"/>
          <w:szCs w:val="20"/>
          <w:u w:color="000000"/>
        </w:rPr>
      </w:pPr>
    </w:p>
    <w:p w14:paraId="2CCF983B"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Child Care Rebate (CCR):</w:t>
      </w:r>
      <w:r w:rsidRPr="00D61FD5">
        <w:rPr>
          <w:rStyle w:val="BodyBOLD"/>
          <w:rFonts w:ascii="Calibri" w:hAnsi="Calibri"/>
          <w:spacing w:val="-1"/>
          <w:kern w:val="32"/>
          <w:szCs w:val="20"/>
          <w:u w:color="000000"/>
        </w:rPr>
        <w:t xml:space="preserve">  </w:t>
      </w:r>
      <w:r w:rsidRPr="00D61FD5">
        <w:rPr>
          <w:rStyle w:val="BodyBOLD"/>
          <w:rFonts w:ascii="Calibri" w:hAnsi="Calibri"/>
          <w:spacing w:val="-1"/>
          <w:szCs w:val="20"/>
          <w:u w:color="000000"/>
          <w:lang w:val="en-GB"/>
        </w:rPr>
        <w:t xml:space="preserve">A payment made by the Australian Government to assist eligible working families with the out-of-pocket cost of child care. CCR is calculated based on the gap between the fees charged by the child care service and the CCB paid in respect of fee relief. </w:t>
      </w:r>
      <w:r w:rsidRPr="00D61FD5">
        <w:rPr>
          <w:rFonts w:asciiTheme="minorHAnsi" w:hAnsiTheme="minorHAnsi" w:cs="Calibri"/>
          <w:bCs/>
          <w:sz w:val="20"/>
          <w:szCs w:val="20"/>
        </w:rPr>
        <w:t>Families who satisfy the work/training/study test requirements may be entitled to receive CCR for 50% of all out-of-pocket costs up to an annual cap.</w:t>
      </w:r>
    </w:p>
    <w:p w14:paraId="2CCF983C" w14:textId="77777777" w:rsidR="00B00D6D" w:rsidRPr="00D61FD5" w:rsidRDefault="00B00D6D" w:rsidP="00B00D6D">
      <w:pPr>
        <w:rPr>
          <w:rStyle w:val="BodyBOLD"/>
          <w:rFonts w:ascii="Calibri" w:hAnsi="Calibri" w:cs="Arial"/>
          <w:spacing w:val="-1"/>
          <w:kern w:val="32"/>
          <w:szCs w:val="20"/>
          <w:u w:color="000000"/>
        </w:rPr>
      </w:pPr>
    </w:p>
    <w:p w14:paraId="2CCF983D"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Family day care:</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 xml:space="preserve">A family day care scheme is a network of experienced caregivers who provide care and development activities for other peoples young children in the caregiver’s own home. Schemes are administered and supported by central coordination units. </w:t>
      </w:r>
    </w:p>
    <w:p w14:paraId="2CCF983E" w14:textId="77777777" w:rsidR="00B00D6D" w:rsidRPr="00D61FD5" w:rsidRDefault="00B00D6D" w:rsidP="00B00D6D">
      <w:pPr>
        <w:rPr>
          <w:rStyle w:val="BodyBOLD"/>
          <w:rFonts w:ascii="Calibri" w:hAnsi="Calibri" w:cs="Arial"/>
          <w:spacing w:val="-1"/>
          <w:kern w:val="32"/>
          <w:szCs w:val="20"/>
          <w:u w:color="000000"/>
        </w:rPr>
      </w:pPr>
    </w:p>
    <w:p w14:paraId="2CCF983F"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In-home care:</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A form of approved child care in which experienced caregivers provide care for children in their own home.</w:t>
      </w:r>
    </w:p>
    <w:p w14:paraId="2CCF9840" w14:textId="77777777" w:rsidR="00B00D6D" w:rsidRPr="00D61FD5" w:rsidRDefault="00B00D6D" w:rsidP="00B00D6D">
      <w:pPr>
        <w:rPr>
          <w:rStyle w:val="BodyBOLD"/>
          <w:rFonts w:ascii="Calibri" w:hAnsi="Calibri" w:cs="Arial"/>
          <w:spacing w:val="-1"/>
          <w:kern w:val="32"/>
          <w:szCs w:val="20"/>
          <w:u w:color="000000"/>
        </w:rPr>
      </w:pPr>
    </w:p>
    <w:p w14:paraId="2CCF9841"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Long day care:</w:t>
      </w:r>
      <w:r w:rsidRPr="00D61FD5">
        <w:rPr>
          <w:rStyle w:val="BodyBOLD"/>
          <w:rFonts w:ascii="Calibri" w:hAnsi="Calibri"/>
          <w:spacing w:val="-1"/>
          <w:kern w:val="32"/>
          <w:szCs w:val="20"/>
          <w:u w:color="000000"/>
        </w:rPr>
        <w:t xml:space="preserve">  </w:t>
      </w:r>
      <w:r w:rsidRPr="00D61FD5">
        <w:rPr>
          <w:rStyle w:val="BodyBOLD"/>
          <w:rFonts w:ascii="Calibri" w:hAnsi="Calibri" w:cs="Arial"/>
          <w:spacing w:val="-1"/>
          <w:kern w:val="32"/>
          <w:szCs w:val="20"/>
          <w:u w:color="000000"/>
        </w:rPr>
        <w:t xml:space="preserve">This is a centre-based form of child care service. Long day care services provide quality all day or part-time care for children of working families and the general community. </w:t>
      </w:r>
    </w:p>
    <w:p w14:paraId="2CCF9842" w14:textId="77777777" w:rsidR="00B00D6D" w:rsidRPr="00D61FD5" w:rsidRDefault="00B00D6D" w:rsidP="00B00D6D">
      <w:pPr>
        <w:rPr>
          <w:rStyle w:val="BodyBOLD"/>
          <w:rFonts w:ascii="Calibri" w:hAnsi="Calibri" w:cs="Arial"/>
          <w:spacing w:val="-1"/>
          <w:kern w:val="32"/>
          <w:szCs w:val="20"/>
          <w:u w:color="000000"/>
        </w:rPr>
      </w:pPr>
    </w:p>
    <w:p w14:paraId="2CCF9843"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Occasional care:</w:t>
      </w:r>
      <w:r w:rsidRPr="00D61FD5">
        <w:rPr>
          <w:rStyle w:val="BodyBOLD"/>
          <w:rFonts w:ascii="Calibri" w:hAnsi="Calibri"/>
          <w:spacing w:val="-1"/>
          <w:kern w:val="32"/>
          <w:szCs w:val="20"/>
          <w:u w:color="000000"/>
        </w:rPr>
        <w:t xml:space="preserve">  This is a</w:t>
      </w:r>
      <w:r w:rsidRPr="00D61FD5">
        <w:rPr>
          <w:rStyle w:val="BodyBOLD"/>
          <w:rFonts w:ascii="Calibri" w:hAnsi="Calibri" w:cs="Arial"/>
          <w:spacing w:val="-1"/>
          <w:kern w:val="32"/>
          <w:szCs w:val="20"/>
          <w:u w:color="000000"/>
        </w:rPr>
        <w:t xml:space="preserve"> care type mainly for non-school aged children. These services cater mainly for the needs of families who require short-term care for their children. </w:t>
      </w:r>
    </w:p>
    <w:p w14:paraId="2CCF9844" w14:textId="77777777" w:rsidR="00B00D6D" w:rsidRPr="00D61FD5" w:rsidRDefault="00B00D6D" w:rsidP="00B00D6D">
      <w:pPr>
        <w:rPr>
          <w:rStyle w:val="BodyBOLD"/>
          <w:rFonts w:ascii="Calibri" w:hAnsi="Calibri" w:cs="Arial"/>
          <w:spacing w:val="-1"/>
          <w:kern w:val="32"/>
          <w:szCs w:val="20"/>
          <w:u w:color="000000"/>
        </w:rPr>
      </w:pPr>
    </w:p>
    <w:p w14:paraId="2CCF9845" w14:textId="77777777" w:rsidR="00B00D6D" w:rsidRPr="00D61FD5" w:rsidRDefault="00B00D6D" w:rsidP="00B00D6D">
      <w:pPr>
        <w:rPr>
          <w:rStyle w:val="BodyBOLD"/>
          <w:rFonts w:ascii="Calibri" w:hAnsi="Calibri" w:cs="Arial"/>
          <w:spacing w:val="-1"/>
          <w:kern w:val="32"/>
          <w:szCs w:val="20"/>
          <w:u w:color="000000"/>
        </w:rPr>
      </w:pPr>
      <w:r w:rsidRPr="00D61FD5">
        <w:rPr>
          <w:rStyle w:val="BodyBOLD"/>
          <w:rFonts w:ascii="Calibri" w:hAnsi="Calibri"/>
          <w:b/>
          <w:bCs/>
          <w:spacing w:val="-1"/>
          <w:kern w:val="32"/>
          <w:szCs w:val="20"/>
          <w:u w:color="000000"/>
        </w:rPr>
        <w:t xml:space="preserve">Outside school </w:t>
      </w:r>
      <w:proofErr w:type="gramStart"/>
      <w:r w:rsidRPr="00D61FD5">
        <w:rPr>
          <w:rStyle w:val="BodyBOLD"/>
          <w:rFonts w:ascii="Calibri" w:hAnsi="Calibri"/>
          <w:b/>
          <w:bCs/>
          <w:spacing w:val="-1"/>
          <w:kern w:val="32"/>
          <w:szCs w:val="20"/>
          <w:u w:color="000000"/>
        </w:rPr>
        <w:t>hours</w:t>
      </w:r>
      <w:proofErr w:type="gramEnd"/>
      <w:r w:rsidRPr="00D61FD5">
        <w:rPr>
          <w:rStyle w:val="BodyBOLD"/>
          <w:rFonts w:ascii="Calibri" w:hAnsi="Calibri"/>
          <w:b/>
          <w:bCs/>
          <w:spacing w:val="-1"/>
          <w:kern w:val="32"/>
          <w:szCs w:val="20"/>
          <w:u w:color="000000"/>
        </w:rPr>
        <w:t xml:space="preserve"> care: </w:t>
      </w:r>
      <w:r w:rsidRPr="00D61FD5">
        <w:rPr>
          <w:rStyle w:val="BodyBOLD"/>
          <w:rFonts w:ascii="Calibri" w:hAnsi="Calibri"/>
          <w:spacing w:val="-1"/>
          <w:kern w:val="32"/>
          <w:szCs w:val="20"/>
          <w:u w:color="000000"/>
        </w:rPr>
        <w:t xml:space="preserve"> S</w:t>
      </w:r>
      <w:r w:rsidRPr="00D61FD5">
        <w:rPr>
          <w:rStyle w:val="BodyBOLD"/>
          <w:rFonts w:ascii="Calibri" w:hAnsi="Calibri" w:cs="Arial"/>
          <w:spacing w:val="-1"/>
          <w:kern w:val="32"/>
          <w:szCs w:val="20"/>
          <w:u w:color="000000"/>
        </w:rPr>
        <w:t>ervices provide care for school aged children before and/or after school during the school term. Some services also provide care on 'pupil free' days. Vacation care is also included in this category. Vacation care services provide care for school children during the school holidays.</w:t>
      </w:r>
    </w:p>
    <w:p w14:paraId="2CCF9846" w14:textId="77777777" w:rsidR="00B00D6D" w:rsidRPr="00D61FD5" w:rsidRDefault="00B00D6D" w:rsidP="00B00D6D">
      <w:pPr>
        <w:rPr>
          <w:rStyle w:val="BodyBOLD"/>
          <w:rFonts w:ascii="Calibri" w:hAnsi="Calibri" w:cs="Arial"/>
          <w:spacing w:val="-1"/>
          <w:kern w:val="32"/>
          <w:szCs w:val="20"/>
          <w:u w:color="000000"/>
        </w:rPr>
      </w:pPr>
    </w:p>
    <w:p w14:paraId="2CCF9847" w14:textId="77777777" w:rsidR="00B00D6D" w:rsidRPr="00D61FD5" w:rsidRDefault="00B00D6D" w:rsidP="00B00D6D">
      <w:pPr>
        <w:rPr>
          <w:rFonts w:ascii="Calibri" w:hAnsi="Calibri"/>
          <w:sz w:val="20"/>
          <w:szCs w:val="20"/>
        </w:rPr>
      </w:pPr>
      <w:r w:rsidRPr="00D61FD5">
        <w:rPr>
          <w:rStyle w:val="BodyBOLD"/>
          <w:rFonts w:ascii="Calibri" w:hAnsi="Calibri"/>
          <w:b/>
          <w:bCs/>
          <w:spacing w:val="-1"/>
          <w:kern w:val="32"/>
          <w:szCs w:val="20"/>
          <w:u w:color="000000"/>
        </w:rPr>
        <w:t xml:space="preserve">Region:  </w:t>
      </w:r>
      <w:r w:rsidRPr="00D61FD5">
        <w:rPr>
          <w:rStyle w:val="BodyBOLD"/>
          <w:rFonts w:ascii="Calibri" w:hAnsi="Calibri"/>
          <w:spacing w:val="-1"/>
          <w:kern w:val="32"/>
          <w:szCs w:val="20"/>
          <w:u w:color="000000"/>
        </w:rPr>
        <w:t>Regions of Australia are classified according to the</w:t>
      </w:r>
      <w:r w:rsidRPr="00D61FD5">
        <w:rPr>
          <w:rFonts w:ascii="Calibri" w:hAnsi="Calibri"/>
          <w:sz w:val="20"/>
          <w:szCs w:val="20"/>
        </w:rPr>
        <w:t xml:space="preserve"> Australian Bureau of Statistics, Accessibility/Remoteness Index of Australia (ARIA) 2006. For more information on ARIA, please refer to ABS publications </w:t>
      </w:r>
      <w:r w:rsidRPr="00D61FD5">
        <w:rPr>
          <w:rFonts w:ascii="Calibri" w:hAnsi="Calibri"/>
          <w:i/>
          <w:sz w:val="20"/>
          <w:szCs w:val="20"/>
        </w:rPr>
        <w:t>Australian Standard Geographical Classification (</w:t>
      </w:r>
      <w:proofErr w:type="spellStart"/>
      <w:r w:rsidRPr="00D61FD5">
        <w:rPr>
          <w:rFonts w:ascii="Calibri" w:hAnsi="Calibri"/>
          <w:i/>
          <w:sz w:val="20"/>
          <w:szCs w:val="20"/>
        </w:rPr>
        <w:t>ASGC</w:t>
      </w:r>
      <w:proofErr w:type="spellEnd"/>
      <w:r w:rsidRPr="00D61FD5">
        <w:rPr>
          <w:rFonts w:ascii="Calibri" w:hAnsi="Calibri"/>
          <w:i/>
          <w:sz w:val="20"/>
          <w:szCs w:val="20"/>
        </w:rPr>
        <w:t>) 2006 (cat. no. 1216.0)</w:t>
      </w:r>
      <w:r w:rsidRPr="00D61FD5">
        <w:rPr>
          <w:rFonts w:ascii="Calibri" w:hAnsi="Calibri"/>
          <w:sz w:val="20"/>
          <w:szCs w:val="20"/>
        </w:rPr>
        <w:t xml:space="preserve"> and </w:t>
      </w:r>
      <w:r w:rsidRPr="00D61FD5">
        <w:rPr>
          <w:rFonts w:ascii="Calibri" w:hAnsi="Calibri"/>
          <w:i/>
          <w:sz w:val="20"/>
          <w:szCs w:val="20"/>
        </w:rPr>
        <w:t>Information Paper: ABS Views on Remoteness 2001 (cat no. 1244.0)</w:t>
      </w:r>
      <w:r w:rsidRPr="00D61FD5">
        <w:rPr>
          <w:rFonts w:ascii="Calibri" w:hAnsi="Calibri"/>
          <w:sz w:val="20"/>
          <w:szCs w:val="20"/>
        </w:rPr>
        <w:t xml:space="preserve">. </w:t>
      </w:r>
    </w:p>
    <w:p w14:paraId="2CCF9848" w14:textId="77777777" w:rsidR="00B00D6D" w:rsidRPr="00D61FD5" w:rsidRDefault="00B00D6D" w:rsidP="00B00D6D">
      <w:pPr>
        <w:rPr>
          <w:rStyle w:val="BodyBOLD"/>
          <w:rFonts w:ascii="Calibri" w:hAnsi="Calibri" w:cs="Arial"/>
          <w:spacing w:val="-1"/>
          <w:kern w:val="32"/>
          <w:szCs w:val="20"/>
          <w:u w:color="000000"/>
        </w:rPr>
      </w:pPr>
    </w:p>
    <w:p w14:paraId="2CCF9849" w14:textId="77777777" w:rsidR="00B00D6D" w:rsidRPr="00FC1EA5" w:rsidRDefault="00B00D6D" w:rsidP="00D61FD5">
      <w:pPr>
        <w:rPr>
          <w:rFonts w:ascii="Calibri" w:hAnsi="Calibri" w:cs="Arial"/>
          <w:b/>
          <w:sz w:val="18"/>
          <w:szCs w:val="18"/>
        </w:rPr>
      </w:pPr>
      <w:r w:rsidRPr="00D61FD5">
        <w:rPr>
          <w:rStyle w:val="BodyBOLD"/>
          <w:rFonts w:ascii="Calibri" w:hAnsi="Calibri"/>
          <w:b/>
          <w:bCs/>
          <w:spacing w:val="-1"/>
          <w:kern w:val="32"/>
          <w:szCs w:val="20"/>
          <w:u w:color="000000"/>
        </w:rPr>
        <w:t>Service:</w:t>
      </w:r>
      <w:r w:rsidRPr="00D61FD5">
        <w:rPr>
          <w:rStyle w:val="BodyBOLD"/>
          <w:rFonts w:ascii="Calibri" w:hAnsi="Calibri"/>
          <w:spacing w:val="-1"/>
          <w:kern w:val="32"/>
          <w:szCs w:val="20"/>
          <w:u w:color="000000"/>
        </w:rPr>
        <w:t xml:space="preserve">  </w:t>
      </w:r>
      <w:r w:rsidRPr="00D61FD5">
        <w:rPr>
          <w:rFonts w:ascii="Calibri" w:hAnsi="Calibri" w:cs="Arial"/>
          <w:sz w:val="20"/>
          <w:szCs w:val="20"/>
        </w:rPr>
        <w:t xml:space="preserve">Child care services are approved by the Australian Government to receive CCB on behalf of families. Most long day care, family day care, before and after school </w:t>
      </w:r>
      <w:proofErr w:type="gramStart"/>
      <w:r w:rsidRPr="00D61FD5">
        <w:rPr>
          <w:rFonts w:ascii="Calibri" w:hAnsi="Calibri" w:cs="Arial"/>
          <w:sz w:val="20"/>
          <w:szCs w:val="20"/>
        </w:rPr>
        <w:t>hours</w:t>
      </w:r>
      <w:proofErr w:type="gramEnd"/>
      <w:r w:rsidRPr="00D61FD5">
        <w:rPr>
          <w:rFonts w:ascii="Calibri" w:hAnsi="Calibri" w:cs="Arial"/>
          <w:sz w:val="20"/>
          <w:szCs w:val="20"/>
        </w:rPr>
        <w:t xml:space="preserve"> care, vacation care services and some in-home care and occasional care services are approved child care services. </w:t>
      </w:r>
      <w:r w:rsidRPr="00D61FD5">
        <w:rPr>
          <w:rStyle w:val="BodyBOLD"/>
          <w:rFonts w:ascii="Calibri" w:hAnsi="Calibri" w:cs="Arial"/>
          <w:spacing w:val="-1"/>
          <w:kern w:val="32"/>
          <w:szCs w:val="20"/>
          <w:u w:color="000000"/>
        </w:rPr>
        <w:t xml:space="preserve">Private operators, local councils, community organisations, employers or non-profit organisations may run these services. </w:t>
      </w:r>
      <w:r w:rsidRPr="00D61FD5">
        <w:rPr>
          <w:rFonts w:ascii="Calibri" w:hAnsi="Calibri"/>
          <w:sz w:val="20"/>
          <w:szCs w:val="20"/>
        </w:rPr>
        <w:t xml:space="preserve">The total number of services refers to the number of services that were active during the </w:t>
      </w:r>
      <w:r w:rsidR="0001617D" w:rsidRPr="00D61FD5">
        <w:rPr>
          <w:rFonts w:ascii="Calibri" w:hAnsi="Calibri"/>
          <w:sz w:val="20"/>
          <w:szCs w:val="20"/>
        </w:rPr>
        <w:t>March quarter 2012</w:t>
      </w:r>
      <w:r w:rsidRPr="00D61FD5">
        <w:rPr>
          <w:rFonts w:ascii="Calibri" w:hAnsi="Calibri"/>
          <w:sz w:val="20"/>
          <w:szCs w:val="20"/>
        </w:rPr>
        <w:t>, that is, they had at least one record of child care attendance in the quarter.</w:t>
      </w:r>
    </w:p>
    <w:p w14:paraId="2CCF984A" w14:textId="77777777" w:rsidR="00B00D6D" w:rsidRPr="00FC1EA5" w:rsidRDefault="00B00D6D" w:rsidP="00C77484">
      <w:pPr>
        <w:spacing w:before="240"/>
        <w:ind w:right="-1009"/>
        <w:rPr>
          <w:rFonts w:ascii="Calibri" w:hAnsi="Calibri" w:cs="Arial"/>
          <w:b/>
          <w:sz w:val="18"/>
          <w:szCs w:val="18"/>
        </w:rPr>
      </w:pPr>
      <w:r w:rsidRPr="00FC1EA5">
        <w:rPr>
          <w:rFonts w:ascii="Calibri" w:hAnsi="Calibri" w:cs="Arial"/>
          <w:b/>
          <w:sz w:val="18"/>
          <w:szCs w:val="18"/>
        </w:rPr>
        <w:t>_____________________________________________________________________________________________________</w:t>
      </w:r>
    </w:p>
    <w:p w14:paraId="2CCF984B" w14:textId="77777777" w:rsidR="00B00D6D" w:rsidRPr="00FC1EA5" w:rsidRDefault="00B00D6D" w:rsidP="00B00D6D">
      <w:pPr>
        <w:rPr>
          <w:rFonts w:ascii="Calibri" w:hAnsi="Calibri" w:cs="Arial"/>
          <w:b/>
          <w:sz w:val="18"/>
          <w:szCs w:val="18"/>
        </w:rPr>
      </w:pPr>
      <w:r w:rsidRPr="00FC1EA5">
        <w:rPr>
          <w:rFonts w:ascii="Calibri" w:hAnsi="Calibri" w:cs="Arial"/>
          <w:b/>
          <w:sz w:val="18"/>
          <w:szCs w:val="18"/>
        </w:rPr>
        <w:t>© Commonwealth of Australia, 201</w:t>
      </w:r>
      <w:r w:rsidR="00765C8E" w:rsidRPr="00FC1EA5">
        <w:rPr>
          <w:rFonts w:ascii="Calibri" w:hAnsi="Calibri" w:cs="Arial"/>
          <w:b/>
          <w:sz w:val="18"/>
          <w:szCs w:val="18"/>
        </w:rPr>
        <w:t>3</w:t>
      </w:r>
    </w:p>
    <w:p w14:paraId="2CCF984C" w14:textId="77777777" w:rsidR="00B00D6D" w:rsidRPr="00FC1EA5" w:rsidRDefault="00B00D6D" w:rsidP="00013CA2">
      <w:pPr>
        <w:pStyle w:val="Imprint"/>
        <w:spacing w:beforeLines="20" w:before="48" w:line="240" w:lineRule="auto"/>
        <w:ind w:right="-289"/>
        <w:rPr>
          <w:rStyle w:val="BodyBOLD"/>
          <w:rFonts w:ascii="Calibri" w:hAnsi="Calibri"/>
          <w:bCs w:val="0"/>
          <w:spacing w:val="-1"/>
          <w:kern w:val="32"/>
          <w:sz w:val="16"/>
          <w:u w:color="000000"/>
        </w:rPr>
      </w:pPr>
      <w:r w:rsidRPr="00FC1EA5">
        <w:rPr>
          <w:rStyle w:val="BodyBOLD"/>
          <w:rFonts w:ascii="Calibri" w:hAnsi="Calibri"/>
          <w:bCs w:val="0"/>
          <w:spacing w:val="-1"/>
          <w:kern w:val="32"/>
          <w:sz w:val="16"/>
          <w:u w:color="000000"/>
        </w:rPr>
        <w:t xml:space="preserve">This work has been produced by the Department of Education, Employment and Workplace Relations (DEEWR) on behalf of the Australian Government.  Apart from any use permitted under the </w:t>
      </w:r>
      <w:r w:rsidRPr="00FC1EA5">
        <w:rPr>
          <w:rStyle w:val="BodyBOLD"/>
          <w:rFonts w:ascii="Calibri" w:hAnsi="Calibri"/>
          <w:bCs w:val="0"/>
          <w:i/>
          <w:spacing w:val="-1"/>
          <w:kern w:val="32"/>
          <w:sz w:val="16"/>
          <w:u w:color="000000"/>
        </w:rPr>
        <w:t>Copyright Act 1968</w:t>
      </w:r>
      <w:r w:rsidRPr="00FC1EA5">
        <w:rPr>
          <w:rStyle w:val="BodyBOLD"/>
          <w:rFonts w:ascii="Calibri" w:hAnsi="Calibri"/>
          <w:bCs w:val="0"/>
          <w:spacing w:val="-1"/>
          <w:kern w:val="32"/>
          <w:sz w:val="16"/>
          <w:u w:color="000000"/>
        </w:rPr>
        <w:t>, no part of this publication may be reproduced by any process without written permission from DEEWR.</w:t>
      </w:r>
    </w:p>
    <w:p w14:paraId="2CCF984D" w14:textId="77777777" w:rsidR="00C8716C" w:rsidRPr="00FC1EA5" w:rsidRDefault="00B00D6D" w:rsidP="00C8716C">
      <w:pPr>
        <w:rPr>
          <w:rFonts w:ascii="Arial" w:hAnsi="Arial" w:cs="Arial"/>
          <w:sz w:val="18"/>
          <w:szCs w:val="18"/>
        </w:rPr>
      </w:pPr>
      <w:proofErr w:type="gramStart"/>
      <w:r w:rsidRPr="00FC1EA5">
        <w:rPr>
          <w:rStyle w:val="BodyBOLD"/>
          <w:rFonts w:ascii="Calibri" w:hAnsi="Calibri"/>
          <w:spacing w:val="-1"/>
          <w:kern w:val="32"/>
          <w:sz w:val="18"/>
          <w:szCs w:val="18"/>
          <w:u w:color="000000"/>
        </w:rPr>
        <w:t xml:space="preserve">Cataloguing title:  Child Care Update, </w:t>
      </w:r>
      <w:r w:rsidR="0001617D" w:rsidRPr="00FC1EA5">
        <w:rPr>
          <w:rStyle w:val="BodyBOLD"/>
          <w:rFonts w:ascii="Calibri" w:hAnsi="Calibri"/>
          <w:spacing w:val="-1"/>
          <w:kern w:val="32"/>
          <w:sz w:val="18"/>
          <w:szCs w:val="18"/>
          <w:u w:color="000000"/>
        </w:rPr>
        <w:t>March quarter 2012</w:t>
      </w:r>
      <w:r w:rsidRPr="00FC1EA5">
        <w:rPr>
          <w:rStyle w:val="BodyBOLD"/>
          <w:rFonts w:asciiTheme="minorHAnsi" w:hAnsiTheme="minorHAnsi" w:cs="Calibri"/>
          <w:spacing w:val="-1"/>
          <w:kern w:val="32"/>
          <w:sz w:val="18"/>
          <w:szCs w:val="18"/>
          <w:u w:color="000000"/>
        </w:rPr>
        <w:t>.</w:t>
      </w:r>
      <w:proofErr w:type="gramEnd"/>
      <w:r w:rsidRPr="00FC1EA5">
        <w:rPr>
          <w:rStyle w:val="BodyBOLD"/>
          <w:rFonts w:asciiTheme="minorHAnsi" w:hAnsiTheme="minorHAnsi" w:cs="Calibri"/>
          <w:spacing w:val="-1"/>
          <w:kern w:val="32"/>
          <w:sz w:val="18"/>
          <w:szCs w:val="18"/>
          <w:u w:color="000000"/>
        </w:rPr>
        <w:t xml:space="preserve">  </w:t>
      </w:r>
      <w:r w:rsidR="00C8716C" w:rsidRPr="00FC1EA5">
        <w:rPr>
          <w:rStyle w:val="BodyBOLD"/>
          <w:rFonts w:asciiTheme="minorHAnsi" w:hAnsiTheme="minorHAnsi" w:cs="Calibri"/>
          <w:spacing w:val="-1"/>
          <w:kern w:val="32"/>
          <w:sz w:val="18"/>
          <w:szCs w:val="18"/>
          <w:u w:color="000000"/>
        </w:rPr>
        <w:t xml:space="preserve">ISBN: </w:t>
      </w:r>
      <w:r w:rsidR="001B30FA" w:rsidRPr="00FC1EA5">
        <w:rPr>
          <w:rFonts w:asciiTheme="minorHAnsi" w:hAnsiTheme="minorHAnsi" w:cs="Calibri"/>
          <w:sz w:val="18"/>
          <w:szCs w:val="18"/>
        </w:rPr>
        <w:t>978-0-642-78584-8</w:t>
      </w:r>
    </w:p>
    <w:p w14:paraId="2CCF984E" w14:textId="77777777" w:rsidR="00B00D6D" w:rsidRPr="00FC1EA5" w:rsidRDefault="00B00D6D" w:rsidP="00013CA2">
      <w:pPr>
        <w:pStyle w:val="Imprint"/>
        <w:spacing w:beforeLines="20" w:before="48"/>
        <w:rPr>
          <w:rStyle w:val="BodyBOLD"/>
          <w:rFonts w:ascii="Calibri" w:hAnsi="Calibri" w:cs="Times New Roman"/>
          <w:bCs w:val="0"/>
          <w:spacing w:val="-1"/>
          <w:kern w:val="32"/>
          <w:sz w:val="18"/>
          <w:szCs w:val="18"/>
          <w:u w:color="000000"/>
          <w:lang w:eastAsia="en-AU"/>
        </w:rPr>
      </w:pPr>
      <w:r w:rsidRPr="00FC1EA5">
        <w:rPr>
          <w:rStyle w:val="BodyBOLD"/>
          <w:rFonts w:ascii="Calibri" w:hAnsi="Calibri"/>
          <w:bCs w:val="0"/>
          <w:spacing w:val="-1"/>
          <w:kern w:val="32"/>
          <w:sz w:val="18"/>
          <w:szCs w:val="18"/>
          <w:u w:color="000000"/>
        </w:rPr>
        <w:t>Comments and suggestions regarding this publication are welcomed and should be forwarded to DEEWR.</w:t>
      </w:r>
    </w:p>
    <w:p w14:paraId="2CCF984F" w14:textId="77777777" w:rsidR="00B00D6D" w:rsidRPr="00FC1EA5" w:rsidRDefault="00B00D6D" w:rsidP="00013CA2">
      <w:pPr>
        <w:pStyle w:val="Imprint"/>
        <w:spacing w:beforeLines="20" w:before="48"/>
        <w:rPr>
          <w:rStyle w:val="BodyBOLD"/>
          <w:rFonts w:ascii="Calibri" w:hAnsi="Calibri" w:cs="Times New Roman"/>
          <w:bCs w:val="0"/>
          <w:spacing w:val="-1"/>
          <w:kern w:val="32"/>
          <w:sz w:val="18"/>
          <w:szCs w:val="18"/>
          <w:u w:color="000000"/>
          <w:lang w:eastAsia="en-AU"/>
        </w:rPr>
      </w:pPr>
      <w:r w:rsidRPr="00FC1EA5">
        <w:rPr>
          <w:rStyle w:val="BodyBOLD"/>
          <w:rFonts w:ascii="Calibri" w:hAnsi="Calibri"/>
          <w:bCs w:val="0"/>
          <w:spacing w:val="-1"/>
          <w:kern w:val="32"/>
          <w:sz w:val="18"/>
          <w:szCs w:val="18"/>
          <w:u w:color="000000"/>
        </w:rPr>
        <w:t>Published by DEEWR</w:t>
      </w:r>
    </w:p>
    <w:p w14:paraId="2CCF9850" w14:textId="77777777" w:rsidR="00B00D6D" w:rsidRPr="00FC1EA5" w:rsidRDefault="00B00D6D" w:rsidP="00B00D6D">
      <w:pPr>
        <w:pStyle w:val="Imprint"/>
        <w:spacing w:before="0"/>
        <w:rPr>
          <w:rStyle w:val="BodyBOLD"/>
          <w:rFonts w:ascii="Calibri" w:hAnsi="Calibri"/>
          <w:bCs w:val="0"/>
          <w:spacing w:val="-1"/>
          <w:kern w:val="32"/>
          <w:sz w:val="18"/>
          <w:szCs w:val="18"/>
          <w:u w:color="000000"/>
        </w:rPr>
      </w:pPr>
      <w:r w:rsidRPr="00FC1EA5">
        <w:rPr>
          <w:rStyle w:val="BodyBOLD"/>
          <w:rFonts w:ascii="Calibri" w:hAnsi="Calibri"/>
          <w:bCs w:val="0"/>
          <w:spacing w:val="-1"/>
          <w:kern w:val="32"/>
          <w:sz w:val="18"/>
          <w:szCs w:val="18"/>
          <w:u w:color="000000"/>
        </w:rPr>
        <w:t>ABN 87 007 967 311</w:t>
      </w:r>
    </w:p>
    <w:p w14:paraId="2CCF9851" w14:textId="77777777" w:rsidR="00B00D6D" w:rsidRPr="00FC1EA5" w:rsidRDefault="00B00D6D" w:rsidP="00B00D6D">
      <w:pPr>
        <w:pStyle w:val="Imprint"/>
        <w:spacing w:before="0"/>
        <w:rPr>
          <w:rStyle w:val="BodyBOLD"/>
          <w:rFonts w:ascii="Calibri" w:hAnsi="Calibri"/>
          <w:bCs w:val="0"/>
          <w:spacing w:val="-1"/>
          <w:kern w:val="32"/>
          <w:sz w:val="18"/>
          <w:szCs w:val="18"/>
          <w:u w:color="000000"/>
        </w:rPr>
      </w:pPr>
      <w:r w:rsidRPr="00FC1EA5">
        <w:rPr>
          <w:rStyle w:val="BodyBOLD"/>
          <w:rFonts w:ascii="Calibri" w:hAnsi="Calibri"/>
          <w:bCs w:val="0"/>
          <w:spacing w:val="-1"/>
          <w:kern w:val="32"/>
          <w:sz w:val="18"/>
          <w:szCs w:val="18"/>
          <w:u w:color="000000"/>
        </w:rPr>
        <w:t xml:space="preserve">Level </w:t>
      </w:r>
      <w:r w:rsidR="00712133" w:rsidRPr="00FC1EA5">
        <w:rPr>
          <w:rStyle w:val="BodyBOLD"/>
          <w:rFonts w:ascii="Calibri" w:hAnsi="Calibri"/>
          <w:bCs w:val="0"/>
          <w:spacing w:val="-1"/>
          <w:kern w:val="32"/>
          <w:sz w:val="18"/>
          <w:szCs w:val="18"/>
          <w:u w:color="000000"/>
        </w:rPr>
        <w:t>2</w:t>
      </w:r>
      <w:r w:rsidRPr="00FC1EA5">
        <w:rPr>
          <w:rStyle w:val="BodyBOLD"/>
          <w:rFonts w:ascii="Calibri" w:hAnsi="Calibri"/>
          <w:bCs w:val="0"/>
          <w:spacing w:val="-1"/>
          <w:kern w:val="32"/>
          <w:sz w:val="18"/>
          <w:szCs w:val="18"/>
          <w:u w:color="000000"/>
        </w:rPr>
        <w:t>, 17 Moore Street, Canberra ACT 2600</w:t>
      </w:r>
    </w:p>
    <w:p w14:paraId="2CCF9852" w14:textId="77777777" w:rsidR="00B00D6D" w:rsidRPr="00FC1EA5" w:rsidRDefault="00B00D6D" w:rsidP="00B00D6D">
      <w:pPr>
        <w:pStyle w:val="Imprint"/>
        <w:spacing w:before="0"/>
        <w:rPr>
          <w:rStyle w:val="BodyBOLD"/>
          <w:rFonts w:ascii="Calibri" w:hAnsi="Calibri"/>
          <w:bCs w:val="0"/>
          <w:spacing w:val="-1"/>
          <w:kern w:val="32"/>
          <w:sz w:val="18"/>
          <w:szCs w:val="18"/>
          <w:u w:color="000000"/>
        </w:rPr>
      </w:pPr>
      <w:r w:rsidRPr="00FC1EA5">
        <w:rPr>
          <w:rStyle w:val="BodyBOLD"/>
          <w:rFonts w:ascii="Calibri" w:hAnsi="Calibri"/>
          <w:bCs w:val="0"/>
          <w:spacing w:val="-1"/>
          <w:kern w:val="32"/>
          <w:sz w:val="18"/>
          <w:szCs w:val="18"/>
          <w:u w:color="000000"/>
        </w:rPr>
        <w:t>GPO Box 9880 Canberra ACT 2601, Australia</w:t>
      </w:r>
    </w:p>
    <w:p w14:paraId="2CCF9853" w14:textId="77777777" w:rsidR="00D7131A" w:rsidRPr="00FC1EA5" w:rsidRDefault="00B00D6D" w:rsidP="00830A91">
      <w:pPr>
        <w:pStyle w:val="Imprint"/>
        <w:spacing w:before="0"/>
        <w:rPr>
          <w:rFonts w:ascii="Calibri" w:hAnsi="Calibri"/>
          <w:bCs w:val="0"/>
          <w:spacing w:val="-1"/>
          <w:kern w:val="32"/>
          <w:sz w:val="18"/>
          <w:szCs w:val="18"/>
          <w:u w:color="3366FF"/>
        </w:rPr>
      </w:pPr>
      <w:r w:rsidRPr="00FC1EA5">
        <w:rPr>
          <w:rStyle w:val="BodyBOLD"/>
          <w:rFonts w:ascii="Calibri" w:hAnsi="Calibri"/>
          <w:bCs w:val="0"/>
          <w:spacing w:val="-1"/>
          <w:kern w:val="32"/>
          <w:sz w:val="18"/>
          <w:szCs w:val="18"/>
          <w:u w:color="000000"/>
        </w:rPr>
        <w:t xml:space="preserve">Web: </w:t>
      </w:r>
      <w:hyperlink r:id="rId16" w:history="1">
        <w:r w:rsidRPr="00FC1EA5">
          <w:rPr>
            <w:rStyle w:val="Hyperlink"/>
            <w:rFonts w:cs="Arial"/>
            <w:color w:val="auto"/>
          </w:rPr>
          <w:t>http://www.DEEWR.gov.au</w:t>
        </w:r>
      </w:hyperlink>
      <w:r w:rsidRPr="00FC1EA5">
        <w:t xml:space="preserve">  </w:t>
      </w:r>
      <w:r w:rsidRPr="00FC1EA5">
        <w:tab/>
        <w:t>E</w:t>
      </w:r>
      <w:r w:rsidRPr="00FC1EA5">
        <w:rPr>
          <w:rStyle w:val="BodyBOLD"/>
          <w:rFonts w:ascii="Calibri" w:hAnsi="Calibri"/>
          <w:bCs w:val="0"/>
          <w:spacing w:val="-1"/>
          <w:kern w:val="32"/>
          <w:sz w:val="18"/>
          <w:szCs w:val="18"/>
          <w:u w:color="000000"/>
        </w:rPr>
        <w:t xml:space="preserve">mail: </w:t>
      </w:r>
      <w:hyperlink r:id="rId17" w:history="1">
        <w:r w:rsidRPr="00FC1EA5">
          <w:rPr>
            <w:rStyle w:val="Hyperlink"/>
            <w:rFonts w:ascii="Calibri" w:hAnsi="Calibri" w:cs="Arial"/>
            <w:b/>
            <w:color w:val="auto"/>
            <w:spacing w:val="-1"/>
            <w:kern w:val="32"/>
            <w:sz w:val="18"/>
            <w:szCs w:val="18"/>
            <w:u w:color="3366FF"/>
          </w:rPr>
          <w:t>childcare.data@deewr.gov.au</w:t>
        </w:r>
      </w:hyperlink>
    </w:p>
    <w:sectPr w:rsidR="00D7131A" w:rsidRPr="00FC1EA5" w:rsidSect="00C77484">
      <w:headerReference w:type="even" r:id="rId18"/>
      <w:headerReference w:type="default" r:id="rId19"/>
      <w:footerReference w:type="even" r:id="rId20"/>
      <w:footerReference w:type="default" r:id="rId21"/>
      <w:headerReference w:type="first" r:id="rId22"/>
      <w:footerReference w:type="first" r:id="rId23"/>
      <w:type w:val="continuous"/>
      <w:pgSz w:w="11906" w:h="16838" w:code="9"/>
      <w:pgMar w:top="1440" w:right="991" w:bottom="902" w:left="1134" w:header="709" w:footer="25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CF9866" w14:textId="77777777" w:rsidR="00D270BA" w:rsidRDefault="00D270BA">
      <w:r>
        <w:separator/>
      </w:r>
    </w:p>
  </w:endnote>
  <w:endnote w:type="continuationSeparator" w:id="0">
    <w:p w14:paraId="2CCF9867" w14:textId="77777777" w:rsidR="00D270BA" w:rsidRDefault="00D2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Kristen ITC">
    <w:panose1 w:val="03050502040202030202"/>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etaPlusBold-Roman">
    <w:altName w:val="MetaPlus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notTrueType/>
    <w:pitch w:val="variable"/>
    <w:sig w:usb0="00000003" w:usb1="00000000" w:usb2="00000000" w:usb3="00000000" w:csb0="00000001" w:csb1="00000000"/>
  </w:font>
  <w:font w:name="Angsana New">
    <w:panose1 w:val="02020603050405020304"/>
    <w:charset w:val="00"/>
    <w:family w:val="roman"/>
    <w:pitch w:val="variable"/>
    <w:sig w:usb0="81000003" w:usb1="00000000" w:usb2="00000000" w:usb3="00000000" w:csb0="00010001"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6B" w14:textId="5C1DE635" w:rsidR="009A1274" w:rsidRPr="00AD7472" w:rsidRDefault="009A1274" w:rsidP="00C77484">
    <w:pPr>
      <w:tabs>
        <w:tab w:val="left" w:pos="2835"/>
        <w:tab w:val="right" w:pos="10348"/>
      </w:tabs>
      <w:rPr>
        <w:rFonts w:ascii="Arial" w:hAnsi="Arial" w:cs="Arial"/>
        <w:sz w:val="20"/>
        <w:szCs w:val="20"/>
      </w:rPr>
    </w:pPr>
    <w:r w:rsidRPr="00AD7472">
      <w:rPr>
        <w:rFonts w:ascii="Arial" w:hAnsi="Arial" w:cs="Arial"/>
        <w:sz w:val="20"/>
        <w:szCs w:val="20"/>
      </w:rPr>
      <w:tab/>
    </w:r>
    <w:r w:rsidRPr="00AD7472">
      <w:rPr>
        <w:rFonts w:ascii="Arial" w:hAnsi="Arial" w:cs="Arial"/>
        <w:sz w:val="22"/>
        <w:szCs w:val="22"/>
      </w:rPr>
      <w:t>Child Care Update - March quarter 2012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6D" w14:textId="77777777" w:rsidR="00FC1EA5" w:rsidRPr="00FC1EA5" w:rsidRDefault="00FC1EA5" w:rsidP="00FC1EA5">
    <w:pPr>
      <w:pStyle w:val="Footer"/>
      <w:jc w:val="center"/>
      <w:rPr>
        <w:rFonts w:asciiTheme="minorHAnsi" w:hAnsiTheme="minorHAnsi" w:cs="Calibri"/>
        <w:sz w:val="22"/>
        <w:szCs w:val="22"/>
      </w:rPr>
    </w:pPr>
    <w:r w:rsidRPr="00FC1EA5">
      <w:rPr>
        <w:rFonts w:asciiTheme="minorHAnsi" w:hAnsiTheme="minorHAnsi" w:cs="Calibri"/>
        <w:sz w:val="22"/>
        <w:szCs w:val="22"/>
      </w:rPr>
      <w:t>Child Care Update – March quarter 2012</w:t>
    </w:r>
  </w:p>
  <w:p w14:paraId="2CCF986E" w14:textId="77777777" w:rsidR="009A1274" w:rsidRPr="007927F6" w:rsidRDefault="009A1274" w:rsidP="007927F6">
    <w:pPr>
      <w:tabs>
        <w:tab w:val="left" w:pos="1305"/>
        <w:tab w:val="left" w:pos="8700"/>
        <w:tab w:val="right" w:pos="9070"/>
        <w:tab w:val="right" w:pos="9900"/>
      </w:tabs>
      <w:rPr>
        <w:rFonts w:ascii="Arial" w:hAnsi="Arial" w:cs="Arial"/>
        <w:b/>
        <w:color w:val="FFFFFF"/>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71" w14:textId="77777777" w:rsidR="009A1274" w:rsidRDefault="009A1274">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F9920E" w14:textId="06243E00" w:rsidR="00C77484" w:rsidRPr="00AD7472" w:rsidRDefault="00C77484" w:rsidP="00C77484">
    <w:pPr>
      <w:tabs>
        <w:tab w:val="left" w:pos="2835"/>
        <w:tab w:val="right" w:pos="10348"/>
      </w:tabs>
      <w:rPr>
        <w:rFonts w:ascii="Arial" w:hAnsi="Arial" w:cs="Arial"/>
        <w:sz w:val="20"/>
        <w:szCs w:val="20"/>
      </w:rPr>
    </w:pPr>
    <w:r w:rsidRPr="00AD7472">
      <w:rPr>
        <w:rFonts w:ascii="Arial" w:hAnsi="Arial" w:cs="Arial"/>
        <w:sz w:val="20"/>
        <w:szCs w:val="20"/>
      </w:rPr>
      <w:tab/>
    </w:r>
    <w:r w:rsidRPr="00AD7472">
      <w:rPr>
        <w:rFonts w:ascii="Arial" w:hAnsi="Arial" w:cs="Arial"/>
        <w:sz w:val="22"/>
        <w:szCs w:val="22"/>
      </w:rPr>
      <w:t>Child Care Update - March quarter 2012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74" w14:textId="77777777" w:rsidR="00FC1EA5" w:rsidRDefault="00FC1EA5" w:rsidP="00FC1EA5">
    <w:pPr>
      <w:pStyle w:val="Footer"/>
      <w:jc w:val="center"/>
      <w:rPr>
        <w:rFonts w:asciiTheme="minorHAnsi" w:hAnsiTheme="minorHAnsi" w:cs="Calibri"/>
        <w:sz w:val="22"/>
        <w:szCs w:val="22"/>
      </w:rPr>
    </w:pPr>
  </w:p>
  <w:p w14:paraId="2CCF9875" w14:textId="77777777" w:rsidR="009A1274" w:rsidRPr="00FC1EA5" w:rsidRDefault="00FC1EA5" w:rsidP="00FC1EA5">
    <w:pPr>
      <w:pStyle w:val="Footer"/>
      <w:jc w:val="center"/>
      <w:rPr>
        <w:rFonts w:asciiTheme="minorHAnsi" w:hAnsiTheme="minorHAnsi" w:cs="Calibri"/>
        <w:sz w:val="22"/>
        <w:szCs w:val="22"/>
      </w:rPr>
    </w:pPr>
    <w:r w:rsidRPr="00FC1EA5">
      <w:rPr>
        <w:rFonts w:asciiTheme="minorHAnsi" w:hAnsiTheme="minorHAnsi" w:cs="Calibri"/>
        <w:sz w:val="22"/>
        <w:szCs w:val="22"/>
      </w:rPr>
      <w:t>Child Care Update – March quarter 2012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F9864" w14:textId="77777777" w:rsidR="00D270BA" w:rsidRDefault="00D270BA">
      <w:r>
        <w:separator/>
      </w:r>
    </w:p>
  </w:footnote>
  <w:footnote w:type="continuationSeparator" w:id="0">
    <w:p w14:paraId="2CCF9865" w14:textId="77777777" w:rsidR="00D270BA" w:rsidRDefault="00D270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6F" w14:textId="77777777" w:rsidR="009A1274" w:rsidRDefault="009A127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70" w14:textId="77777777" w:rsidR="009A1274" w:rsidRDefault="009A12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9873" w14:textId="77777777" w:rsidR="009A1274" w:rsidRDefault="009A127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3AFC"/>
    <w:multiLevelType w:val="hybridMultilevel"/>
    <w:tmpl w:val="3222B800"/>
    <w:lvl w:ilvl="0" w:tplc="6DDC21C8">
      <w:start w:val="1"/>
      <w:numFmt w:val="bullet"/>
      <w:lvlText w:val=""/>
      <w:lvlJc w:val="left"/>
      <w:pPr>
        <w:tabs>
          <w:tab w:val="num" w:pos="567"/>
        </w:tabs>
        <w:ind w:left="567" w:hanging="283"/>
      </w:pPr>
      <w:rPr>
        <w:rFonts w:ascii="Wingdings" w:hAnsi="Wingdings" w:hint="default"/>
      </w:rPr>
    </w:lvl>
    <w:lvl w:ilvl="1" w:tplc="0C090001">
      <w:start w:val="1"/>
      <w:numFmt w:val="bullet"/>
      <w:lvlText w:val=""/>
      <w:lvlJc w:val="left"/>
      <w:pPr>
        <w:tabs>
          <w:tab w:val="num" w:pos="1440"/>
        </w:tabs>
        <w:ind w:left="1440" w:hanging="360"/>
      </w:pPr>
      <w:rPr>
        <w:rFonts w:ascii="Symbol" w:hAnsi="Symbol"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nsid w:val="24406654"/>
    <w:multiLevelType w:val="hybridMultilevel"/>
    <w:tmpl w:val="CAB4D72E"/>
    <w:lvl w:ilvl="0" w:tplc="6DDC21C8">
      <w:start w:val="1"/>
      <w:numFmt w:val="bullet"/>
      <w:pStyle w:val="bullets"/>
      <w:lvlText w:val=""/>
      <w:lvlJc w:val="left"/>
      <w:pPr>
        <w:tabs>
          <w:tab w:val="num" w:pos="567"/>
        </w:tabs>
        <w:ind w:left="567" w:hanging="283"/>
      </w:pPr>
      <w:rPr>
        <w:rFonts w:ascii="Wingdings" w:hAnsi="Wingdings"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nsid w:val="2F981059"/>
    <w:multiLevelType w:val="hybridMultilevel"/>
    <w:tmpl w:val="A1582018"/>
    <w:lvl w:ilvl="0" w:tplc="0C090001">
      <w:start w:val="1"/>
      <w:numFmt w:val="bullet"/>
      <w:lvlText w:val=""/>
      <w:lvlJc w:val="left"/>
      <w:pPr>
        <w:tabs>
          <w:tab w:val="num" w:pos="6"/>
        </w:tabs>
        <w:ind w:left="6" w:hanging="360"/>
      </w:pPr>
      <w:rPr>
        <w:rFonts w:ascii="Symbol" w:hAnsi="Symbol" w:hint="default"/>
      </w:rPr>
    </w:lvl>
    <w:lvl w:ilvl="1" w:tplc="0C090003">
      <w:start w:val="1"/>
      <w:numFmt w:val="bullet"/>
      <w:lvlText w:val="o"/>
      <w:lvlJc w:val="left"/>
      <w:pPr>
        <w:tabs>
          <w:tab w:val="num" w:pos="726"/>
        </w:tabs>
        <w:ind w:left="726" w:hanging="360"/>
      </w:pPr>
      <w:rPr>
        <w:rFonts w:ascii="Courier New" w:hAnsi="Courier New" w:hint="default"/>
      </w:rPr>
    </w:lvl>
    <w:lvl w:ilvl="2" w:tplc="0C090005" w:tentative="1">
      <w:start w:val="1"/>
      <w:numFmt w:val="bullet"/>
      <w:lvlText w:val=""/>
      <w:lvlJc w:val="left"/>
      <w:pPr>
        <w:tabs>
          <w:tab w:val="num" w:pos="1446"/>
        </w:tabs>
        <w:ind w:left="1446" w:hanging="360"/>
      </w:pPr>
      <w:rPr>
        <w:rFonts w:ascii="Wingdings" w:hAnsi="Wingdings" w:hint="default"/>
      </w:rPr>
    </w:lvl>
    <w:lvl w:ilvl="3" w:tplc="0C090001" w:tentative="1">
      <w:start w:val="1"/>
      <w:numFmt w:val="bullet"/>
      <w:lvlText w:val=""/>
      <w:lvlJc w:val="left"/>
      <w:pPr>
        <w:tabs>
          <w:tab w:val="num" w:pos="2166"/>
        </w:tabs>
        <w:ind w:left="2166" w:hanging="360"/>
      </w:pPr>
      <w:rPr>
        <w:rFonts w:ascii="Symbol" w:hAnsi="Symbol" w:hint="default"/>
      </w:rPr>
    </w:lvl>
    <w:lvl w:ilvl="4" w:tplc="0C090003" w:tentative="1">
      <w:start w:val="1"/>
      <w:numFmt w:val="bullet"/>
      <w:lvlText w:val="o"/>
      <w:lvlJc w:val="left"/>
      <w:pPr>
        <w:tabs>
          <w:tab w:val="num" w:pos="2886"/>
        </w:tabs>
        <w:ind w:left="2886" w:hanging="360"/>
      </w:pPr>
      <w:rPr>
        <w:rFonts w:ascii="Courier New" w:hAnsi="Courier New" w:hint="default"/>
      </w:rPr>
    </w:lvl>
    <w:lvl w:ilvl="5" w:tplc="0C090005" w:tentative="1">
      <w:start w:val="1"/>
      <w:numFmt w:val="bullet"/>
      <w:lvlText w:val=""/>
      <w:lvlJc w:val="left"/>
      <w:pPr>
        <w:tabs>
          <w:tab w:val="num" w:pos="3606"/>
        </w:tabs>
        <w:ind w:left="3606" w:hanging="360"/>
      </w:pPr>
      <w:rPr>
        <w:rFonts w:ascii="Wingdings" w:hAnsi="Wingdings" w:hint="default"/>
      </w:rPr>
    </w:lvl>
    <w:lvl w:ilvl="6" w:tplc="0C090001" w:tentative="1">
      <w:start w:val="1"/>
      <w:numFmt w:val="bullet"/>
      <w:lvlText w:val=""/>
      <w:lvlJc w:val="left"/>
      <w:pPr>
        <w:tabs>
          <w:tab w:val="num" w:pos="4326"/>
        </w:tabs>
        <w:ind w:left="4326" w:hanging="360"/>
      </w:pPr>
      <w:rPr>
        <w:rFonts w:ascii="Symbol" w:hAnsi="Symbol" w:hint="default"/>
      </w:rPr>
    </w:lvl>
    <w:lvl w:ilvl="7" w:tplc="0C090003" w:tentative="1">
      <w:start w:val="1"/>
      <w:numFmt w:val="bullet"/>
      <w:lvlText w:val="o"/>
      <w:lvlJc w:val="left"/>
      <w:pPr>
        <w:tabs>
          <w:tab w:val="num" w:pos="5046"/>
        </w:tabs>
        <w:ind w:left="5046" w:hanging="360"/>
      </w:pPr>
      <w:rPr>
        <w:rFonts w:ascii="Courier New" w:hAnsi="Courier New" w:hint="default"/>
      </w:rPr>
    </w:lvl>
    <w:lvl w:ilvl="8" w:tplc="0C090005" w:tentative="1">
      <w:start w:val="1"/>
      <w:numFmt w:val="bullet"/>
      <w:lvlText w:val=""/>
      <w:lvlJc w:val="left"/>
      <w:pPr>
        <w:tabs>
          <w:tab w:val="num" w:pos="5766"/>
        </w:tabs>
        <w:ind w:left="5766" w:hanging="360"/>
      </w:pPr>
      <w:rPr>
        <w:rFonts w:ascii="Wingdings" w:hAnsi="Wingdings" w:hint="default"/>
      </w:rPr>
    </w:lvl>
  </w:abstractNum>
  <w:abstractNum w:abstractNumId="3">
    <w:nsid w:val="3FD03F80"/>
    <w:multiLevelType w:val="hybridMultilevel"/>
    <w:tmpl w:val="8886E61E"/>
    <w:lvl w:ilvl="0" w:tplc="0C090005">
      <w:start w:val="1"/>
      <w:numFmt w:val="bullet"/>
      <w:lvlText w:val=""/>
      <w:lvlJc w:val="left"/>
      <w:pPr>
        <w:tabs>
          <w:tab w:val="num" w:pos="405"/>
        </w:tabs>
        <w:ind w:left="405" w:hanging="360"/>
      </w:pPr>
      <w:rPr>
        <w:rFonts w:ascii="Wingdings" w:hAnsi="Wingdings" w:hint="default"/>
      </w:rPr>
    </w:lvl>
    <w:lvl w:ilvl="1" w:tplc="3FDEAF4C">
      <w:start w:val="1"/>
      <w:numFmt w:val="bullet"/>
      <w:lvlText w:val=""/>
      <w:lvlJc w:val="left"/>
      <w:pPr>
        <w:tabs>
          <w:tab w:val="num" w:pos="1125"/>
        </w:tabs>
        <w:ind w:left="1125" w:hanging="360"/>
      </w:pPr>
      <w:rPr>
        <w:rFonts w:ascii="Symbol" w:hAnsi="Symbol" w:hint="default"/>
        <w:color w:val="auto"/>
      </w:rPr>
    </w:lvl>
    <w:lvl w:ilvl="2" w:tplc="0C090005" w:tentative="1">
      <w:start w:val="1"/>
      <w:numFmt w:val="bullet"/>
      <w:lvlText w:val=""/>
      <w:lvlJc w:val="left"/>
      <w:pPr>
        <w:tabs>
          <w:tab w:val="num" w:pos="1845"/>
        </w:tabs>
        <w:ind w:left="1845" w:hanging="360"/>
      </w:pPr>
      <w:rPr>
        <w:rFonts w:ascii="Wingdings" w:hAnsi="Wingdings" w:hint="default"/>
      </w:rPr>
    </w:lvl>
    <w:lvl w:ilvl="3" w:tplc="0C090001" w:tentative="1">
      <w:start w:val="1"/>
      <w:numFmt w:val="bullet"/>
      <w:lvlText w:val=""/>
      <w:lvlJc w:val="left"/>
      <w:pPr>
        <w:tabs>
          <w:tab w:val="num" w:pos="2565"/>
        </w:tabs>
        <w:ind w:left="2565" w:hanging="360"/>
      </w:pPr>
      <w:rPr>
        <w:rFonts w:ascii="Symbol" w:hAnsi="Symbol" w:hint="default"/>
      </w:rPr>
    </w:lvl>
    <w:lvl w:ilvl="4" w:tplc="0C090003" w:tentative="1">
      <w:start w:val="1"/>
      <w:numFmt w:val="bullet"/>
      <w:lvlText w:val="o"/>
      <w:lvlJc w:val="left"/>
      <w:pPr>
        <w:tabs>
          <w:tab w:val="num" w:pos="3285"/>
        </w:tabs>
        <w:ind w:left="3285" w:hanging="360"/>
      </w:pPr>
      <w:rPr>
        <w:rFonts w:ascii="Courier New" w:hAnsi="Courier New" w:hint="default"/>
      </w:rPr>
    </w:lvl>
    <w:lvl w:ilvl="5" w:tplc="0C090005" w:tentative="1">
      <w:start w:val="1"/>
      <w:numFmt w:val="bullet"/>
      <w:lvlText w:val=""/>
      <w:lvlJc w:val="left"/>
      <w:pPr>
        <w:tabs>
          <w:tab w:val="num" w:pos="4005"/>
        </w:tabs>
        <w:ind w:left="4005" w:hanging="360"/>
      </w:pPr>
      <w:rPr>
        <w:rFonts w:ascii="Wingdings" w:hAnsi="Wingdings" w:hint="default"/>
      </w:rPr>
    </w:lvl>
    <w:lvl w:ilvl="6" w:tplc="0C090001" w:tentative="1">
      <w:start w:val="1"/>
      <w:numFmt w:val="bullet"/>
      <w:lvlText w:val=""/>
      <w:lvlJc w:val="left"/>
      <w:pPr>
        <w:tabs>
          <w:tab w:val="num" w:pos="4725"/>
        </w:tabs>
        <w:ind w:left="4725" w:hanging="360"/>
      </w:pPr>
      <w:rPr>
        <w:rFonts w:ascii="Symbol" w:hAnsi="Symbol" w:hint="default"/>
      </w:rPr>
    </w:lvl>
    <w:lvl w:ilvl="7" w:tplc="0C090003" w:tentative="1">
      <w:start w:val="1"/>
      <w:numFmt w:val="bullet"/>
      <w:lvlText w:val="o"/>
      <w:lvlJc w:val="left"/>
      <w:pPr>
        <w:tabs>
          <w:tab w:val="num" w:pos="5445"/>
        </w:tabs>
        <w:ind w:left="5445" w:hanging="360"/>
      </w:pPr>
      <w:rPr>
        <w:rFonts w:ascii="Courier New" w:hAnsi="Courier New" w:hint="default"/>
      </w:rPr>
    </w:lvl>
    <w:lvl w:ilvl="8" w:tplc="0C090005" w:tentative="1">
      <w:start w:val="1"/>
      <w:numFmt w:val="bullet"/>
      <w:lvlText w:val=""/>
      <w:lvlJc w:val="left"/>
      <w:pPr>
        <w:tabs>
          <w:tab w:val="num" w:pos="6165"/>
        </w:tabs>
        <w:ind w:left="6165" w:hanging="360"/>
      </w:pPr>
      <w:rPr>
        <w:rFonts w:ascii="Wingdings" w:hAnsi="Wingdings" w:hint="default"/>
      </w:rPr>
    </w:lvl>
  </w:abstractNum>
  <w:abstractNum w:abstractNumId="4">
    <w:nsid w:val="439D2D0F"/>
    <w:multiLevelType w:val="hybridMultilevel"/>
    <w:tmpl w:val="C54457AA"/>
    <w:lvl w:ilvl="0" w:tplc="0C090001">
      <w:start w:val="1"/>
      <w:numFmt w:val="bullet"/>
      <w:lvlText w:val=""/>
      <w:lvlJc w:val="left"/>
      <w:pPr>
        <w:ind w:left="1435" w:hanging="360"/>
      </w:pPr>
      <w:rPr>
        <w:rFonts w:ascii="Symbol" w:hAnsi="Symbol" w:hint="default"/>
      </w:rPr>
    </w:lvl>
    <w:lvl w:ilvl="1" w:tplc="0C090003" w:tentative="1">
      <w:start w:val="1"/>
      <w:numFmt w:val="bullet"/>
      <w:lvlText w:val="o"/>
      <w:lvlJc w:val="left"/>
      <w:pPr>
        <w:ind w:left="2155" w:hanging="360"/>
      </w:pPr>
      <w:rPr>
        <w:rFonts w:ascii="Courier New" w:hAnsi="Courier New" w:hint="default"/>
      </w:rPr>
    </w:lvl>
    <w:lvl w:ilvl="2" w:tplc="0C090005" w:tentative="1">
      <w:start w:val="1"/>
      <w:numFmt w:val="bullet"/>
      <w:lvlText w:val=""/>
      <w:lvlJc w:val="left"/>
      <w:pPr>
        <w:ind w:left="2875" w:hanging="360"/>
      </w:pPr>
      <w:rPr>
        <w:rFonts w:ascii="Wingdings" w:hAnsi="Wingdings" w:hint="default"/>
      </w:rPr>
    </w:lvl>
    <w:lvl w:ilvl="3" w:tplc="0C090001" w:tentative="1">
      <w:start w:val="1"/>
      <w:numFmt w:val="bullet"/>
      <w:lvlText w:val=""/>
      <w:lvlJc w:val="left"/>
      <w:pPr>
        <w:ind w:left="3595" w:hanging="360"/>
      </w:pPr>
      <w:rPr>
        <w:rFonts w:ascii="Symbol" w:hAnsi="Symbol" w:hint="default"/>
      </w:rPr>
    </w:lvl>
    <w:lvl w:ilvl="4" w:tplc="0C090003" w:tentative="1">
      <w:start w:val="1"/>
      <w:numFmt w:val="bullet"/>
      <w:lvlText w:val="o"/>
      <w:lvlJc w:val="left"/>
      <w:pPr>
        <w:ind w:left="4315" w:hanging="360"/>
      </w:pPr>
      <w:rPr>
        <w:rFonts w:ascii="Courier New" w:hAnsi="Courier New" w:hint="default"/>
      </w:rPr>
    </w:lvl>
    <w:lvl w:ilvl="5" w:tplc="0C090005" w:tentative="1">
      <w:start w:val="1"/>
      <w:numFmt w:val="bullet"/>
      <w:lvlText w:val=""/>
      <w:lvlJc w:val="left"/>
      <w:pPr>
        <w:ind w:left="5035" w:hanging="360"/>
      </w:pPr>
      <w:rPr>
        <w:rFonts w:ascii="Wingdings" w:hAnsi="Wingdings" w:hint="default"/>
      </w:rPr>
    </w:lvl>
    <w:lvl w:ilvl="6" w:tplc="0C090001" w:tentative="1">
      <w:start w:val="1"/>
      <w:numFmt w:val="bullet"/>
      <w:lvlText w:val=""/>
      <w:lvlJc w:val="left"/>
      <w:pPr>
        <w:ind w:left="5755" w:hanging="360"/>
      </w:pPr>
      <w:rPr>
        <w:rFonts w:ascii="Symbol" w:hAnsi="Symbol" w:hint="default"/>
      </w:rPr>
    </w:lvl>
    <w:lvl w:ilvl="7" w:tplc="0C090003" w:tentative="1">
      <w:start w:val="1"/>
      <w:numFmt w:val="bullet"/>
      <w:lvlText w:val="o"/>
      <w:lvlJc w:val="left"/>
      <w:pPr>
        <w:ind w:left="6475" w:hanging="360"/>
      </w:pPr>
      <w:rPr>
        <w:rFonts w:ascii="Courier New" w:hAnsi="Courier New" w:hint="default"/>
      </w:rPr>
    </w:lvl>
    <w:lvl w:ilvl="8" w:tplc="0C090005" w:tentative="1">
      <w:start w:val="1"/>
      <w:numFmt w:val="bullet"/>
      <w:lvlText w:val=""/>
      <w:lvlJc w:val="left"/>
      <w:pPr>
        <w:ind w:left="7195" w:hanging="360"/>
      </w:pPr>
      <w:rPr>
        <w:rFonts w:ascii="Wingdings" w:hAnsi="Wingdings" w:hint="default"/>
      </w:rPr>
    </w:lvl>
  </w:abstractNum>
  <w:abstractNum w:abstractNumId="5">
    <w:nsid w:val="44621CB9"/>
    <w:multiLevelType w:val="hybridMultilevel"/>
    <w:tmpl w:val="498E5C38"/>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6">
    <w:nsid w:val="627022BA"/>
    <w:multiLevelType w:val="hybridMultilevel"/>
    <w:tmpl w:val="6F8A749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nsid w:val="66830593"/>
    <w:multiLevelType w:val="hybridMultilevel"/>
    <w:tmpl w:val="0CF225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68D62878"/>
    <w:multiLevelType w:val="hybridMultilevel"/>
    <w:tmpl w:val="6FB86DDC"/>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num w:numId="1">
    <w:abstractNumId w:val="1"/>
  </w:num>
  <w:num w:numId="2">
    <w:abstractNumId w:val="0"/>
  </w:num>
  <w:num w:numId="3">
    <w:abstractNumId w:val="2"/>
  </w:num>
  <w:num w:numId="4">
    <w:abstractNumId w:val="7"/>
  </w:num>
  <w:num w:numId="5">
    <w:abstractNumId w:val="1"/>
  </w:num>
  <w:num w:numId="6">
    <w:abstractNumId w:val="4"/>
  </w:num>
  <w:num w:numId="7">
    <w:abstractNumId w:val="3"/>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XmlVersion" w:val="Empty"/>
    <w:docVar w:name="dgnword-docGUID" w:val="{9718382C-E566-4862-A6CD-073C43E4ACD7}"/>
    <w:docVar w:name="dgnword-eventsink" w:val="313094328"/>
  </w:docVars>
  <w:rsids>
    <w:rsidRoot w:val="00DD7647"/>
    <w:rsid w:val="00002462"/>
    <w:rsid w:val="00003626"/>
    <w:rsid w:val="00005A8D"/>
    <w:rsid w:val="00006DC3"/>
    <w:rsid w:val="000074A4"/>
    <w:rsid w:val="00013CA2"/>
    <w:rsid w:val="00014A61"/>
    <w:rsid w:val="00014B47"/>
    <w:rsid w:val="0001617D"/>
    <w:rsid w:val="00016F0C"/>
    <w:rsid w:val="00020B1C"/>
    <w:rsid w:val="00023427"/>
    <w:rsid w:val="000254D8"/>
    <w:rsid w:val="000320C0"/>
    <w:rsid w:val="00032CB9"/>
    <w:rsid w:val="000339A4"/>
    <w:rsid w:val="00033B2E"/>
    <w:rsid w:val="00034171"/>
    <w:rsid w:val="000409BF"/>
    <w:rsid w:val="00043388"/>
    <w:rsid w:val="00043996"/>
    <w:rsid w:val="00044B3F"/>
    <w:rsid w:val="00044C15"/>
    <w:rsid w:val="00046553"/>
    <w:rsid w:val="00046D04"/>
    <w:rsid w:val="000473B7"/>
    <w:rsid w:val="00047C05"/>
    <w:rsid w:val="00051D1E"/>
    <w:rsid w:val="00053C46"/>
    <w:rsid w:val="000542C4"/>
    <w:rsid w:val="000554FF"/>
    <w:rsid w:val="000629B2"/>
    <w:rsid w:val="00063639"/>
    <w:rsid w:val="00070BE1"/>
    <w:rsid w:val="000754C2"/>
    <w:rsid w:val="00081572"/>
    <w:rsid w:val="00084603"/>
    <w:rsid w:val="000867C0"/>
    <w:rsid w:val="00086F78"/>
    <w:rsid w:val="000875EC"/>
    <w:rsid w:val="000904CC"/>
    <w:rsid w:val="00090E14"/>
    <w:rsid w:val="00094634"/>
    <w:rsid w:val="0009483C"/>
    <w:rsid w:val="00096147"/>
    <w:rsid w:val="00096D45"/>
    <w:rsid w:val="000A1C68"/>
    <w:rsid w:val="000A4AAC"/>
    <w:rsid w:val="000A77F6"/>
    <w:rsid w:val="000B72B2"/>
    <w:rsid w:val="000C19FF"/>
    <w:rsid w:val="000C4FD5"/>
    <w:rsid w:val="000C514D"/>
    <w:rsid w:val="000C606D"/>
    <w:rsid w:val="000D0B00"/>
    <w:rsid w:val="000D2F42"/>
    <w:rsid w:val="000D6A5C"/>
    <w:rsid w:val="000D6BE4"/>
    <w:rsid w:val="000E1C16"/>
    <w:rsid w:val="000E57E6"/>
    <w:rsid w:val="000F11C6"/>
    <w:rsid w:val="000F3F0B"/>
    <w:rsid w:val="000F6A4D"/>
    <w:rsid w:val="000F719B"/>
    <w:rsid w:val="000F75F6"/>
    <w:rsid w:val="0010050D"/>
    <w:rsid w:val="00102771"/>
    <w:rsid w:val="001036BC"/>
    <w:rsid w:val="00104205"/>
    <w:rsid w:val="00105041"/>
    <w:rsid w:val="00106DAA"/>
    <w:rsid w:val="00107124"/>
    <w:rsid w:val="00107F7A"/>
    <w:rsid w:val="001131EC"/>
    <w:rsid w:val="0011564F"/>
    <w:rsid w:val="00116D02"/>
    <w:rsid w:val="001218CF"/>
    <w:rsid w:val="001244DE"/>
    <w:rsid w:val="001265C1"/>
    <w:rsid w:val="00130F2E"/>
    <w:rsid w:val="0013276E"/>
    <w:rsid w:val="00132CDF"/>
    <w:rsid w:val="001419D8"/>
    <w:rsid w:val="00141D13"/>
    <w:rsid w:val="0015034C"/>
    <w:rsid w:val="00151383"/>
    <w:rsid w:val="00153203"/>
    <w:rsid w:val="00154508"/>
    <w:rsid w:val="00155BD6"/>
    <w:rsid w:val="001560A4"/>
    <w:rsid w:val="00161DD9"/>
    <w:rsid w:val="00163BB5"/>
    <w:rsid w:val="0016557E"/>
    <w:rsid w:val="0017031A"/>
    <w:rsid w:val="001762D3"/>
    <w:rsid w:val="0018016B"/>
    <w:rsid w:val="001809B6"/>
    <w:rsid w:val="001827BD"/>
    <w:rsid w:val="00182C15"/>
    <w:rsid w:val="00185064"/>
    <w:rsid w:val="00186B3B"/>
    <w:rsid w:val="00186D08"/>
    <w:rsid w:val="00190DFC"/>
    <w:rsid w:val="00191F20"/>
    <w:rsid w:val="00196CE5"/>
    <w:rsid w:val="00197C85"/>
    <w:rsid w:val="001A0400"/>
    <w:rsid w:val="001A042C"/>
    <w:rsid w:val="001A0BB8"/>
    <w:rsid w:val="001A0F0B"/>
    <w:rsid w:val="001A6234"/>
    <w:rsid w:val="001B2DC3"/>
    <w:rsid w:val="001B30FA"/>
    <w:rsid w:val="001B3E35"/>
    <w:rsid w:val="001C0076"/>
    <w:rsid w:val="001C69FB"/>
    <w:rsid w:val="001D0131"/>
    <w:rsid w:val="001D4348"/>
    <w:rsid w:val="001D55BB"/>
    <w:rsid w:val="001D6A66"/>
    <w:rsid w:val="001E199E"/>
    <w:rsid w:val="001E45D6"/>
    <w:rsid w:val="001E6C9B"/>
    <w:rsid w:val="001F26D3"/>
    <w:rsid w:val="001F2E69"/>
    <w:rsid w:val="001F3C6A"/>
    <w:rsid w:val="001F5120"/>
    <w:rsid w:val="00200440"/>
    <w:rsid w:val="00202A21"/>
    <w:rsid w:val="0020381E"/>
    <w:rsid w:val="00206230"/>
    <w:rsid w:val="002076F8"/>
    <w:rsid w:val="002122C2"/>
    <w:rsid w:val="00213B08"/>
    <w:rsid w:val="002149D3"/>
    <w:rsid w:val="00215431"/>
    <w:rsid w:val="0021680D"/>
    <w:rsid w:val="00217E3D"/>
    <w:rsid w:val="002201A7"/>
    <w:rsid w:val="0022112A"/>
    <w:rsid w:val="00224DDE"/>
    <w:rsid w:val="00227583"/>
    <w:rsid w:val="00230CBD"/>
    <w:rsid w:val="00232349"/>
    <w:rsid w:val="00233127"/>
    <w:rsid w:val="00233917"/>
    <w:rsid w:val="00242A47"/>
    <w:rsid w:val="002432A1"/>
    <w:rsid w:val="00243F60"/>
    <w:rsid w:val="002440C5"/>
    <w:rsid w:val="00251D84"/>
    <w:rsid w:val="00254FCE"/>
    <w:rsid w:val="00256841"/>
    <w:rsid w:val="00261202"/>
    <w:rsid w:val="0026255E"/>
    <w:rsid w:val="00263E0A"/>
    <w:rsid w:val="00264184"/>
    <w:rsid w:val="002644AE"/>
    <w:rsid w:val="00266156"/>
    <w:rsid w:val="00271B6D"/>
    <w:rsid w:val="00272AC0"/>
    <w:rsid w:val="002734CB"/>
    <w:rsid w:val="002737DA"/>
    <w:rsid w:val="00280CF7"/>
    <w:rsid w:val="0028196B"/>
    <w:rsid w:val="00282800"/>
    <w:rsid w:val="00293B84"/>
    <w:rsid w:val="00294D6A"/>
    <w:rsid w:val="00294FB7"/>
    <w:rsid w:val="002969BA"/>
    <w:rsid w:val="002A0DA2"/>
    <w:rsid w:val="002A3FFA"/>
    <w:rsid w:val="002A5E18"/>
    <w:rsid w:val="002A731F"/>
    <w:rsid w:val="002B0073"/>
    <w:rsid w:val="002B0E10"/>
    <w:rsid w:val="002B1642"/>
    <w:rsid w:val="002B31DA"/>
    <w:rsid w:val="002B430C"/>
    <w:rsid w:val="002B43E9"/>
    <w:rsid w:val="002B73C2"/>
    <w:rsid w:val="002C307D"/>
    <w:rsid w:val="002C4283"/>
    <w:rsid w:val="002C4876"/>
    <w:rsid w:val="002C563C"/>
    <w:rsid w:val="002C7929"/>
    <w:rsid w:val="002D07C4"/>
    <w:rsid w:val="002D374B"/>
    <w:rsid w:val="002D45A5"/>
    <w:rsid w:val="002E2B63"/>
    <w:rsid w:val="002E4216"/>
    <w:rsid w:val="002F22B5"/>
    <w:rsid w:val="002F34A6"/>
    <w:rsid w:val="003035DC"/>
    <w:rsid w:val="00306456"/>
    <w:rsid w:val="003117C2"/>
    <w:rsid w:val="003142FA"/>
    <w:rsid w:val="0031447C"/>
    <w:rsid w:val="0031519F"/>
    <w:rsid w:val="00316A7C"/>
    <w:rsid w:val="003249ED"/>
    <w:rsid w:val="00324C56"/>
    <w:rsid w:val="003252E6"/>
    <w:rsid w:val="00334F09"/>
    <w:rsid w:val="00337C7C"/>
    <w:rsid w:val="00340608"/>
    <w:rsid w:val="00351FE2"/>
    <w:rsid w:val="00352832"/>
    <w:rsid w:val="0035438E"/>
    <w:rsid w:val="0035634C"/>
    <w:rsid w:val="0036162D"/>
    <w:rsid w:val="00364F68"/>
    <w:rsid w:val="003655DA"/>
    <w:rsid w:val="00365B8B"/>
    <w:rsid w:val="003670E2"/>
    <w:rsid w:val="0036792F"/>
    <w:rsid w:val="00367D1F"/>
    <w:rsid w:val="00371582"/>
    <w:rsid w:val="0037296A"/>
    <w:rsid w:val="00373287"/>
    <w:rsid w:val="003752C7"/>
    <w:rsid w:val="00380106"/>
    <w:rsid w:val="003851D7"/>
    <w:rsid w:val="0038729C"/>
    <w:rsid w:val="003873E7"/>
    <w:rsid w:val="003877F3"/>
    <w:rsid w:val="00391DE6"/>
    <w:rsid w:val="003924DD"/>
    <w:rsid w:val="003927C2"/>
    <w:rsid w:val="003934B6"/>
    <w:rsid w:val="00394F51"/>
    <w:rsid w:val="003A26DF"/>
    <w:rsid w:val="003A4B8C"/>
    <w:rsid w:val="003A4C6C"/>
    <w:rsid w:val="003A57FD"/>
    <w:rsid w:val="003B1D21"/>
    <w:rsid w:val="003B7B1C"/>
    <w:rsid w:val="003C091D"/>
    <w:rsid w:val="003C5478"/>
    <w:rsid w:val="003D0667"/>
    <w:rsid w:val="003D1442"/>
    <w:rsid w:val="003D5DBE"/>
    <w:rsid w:val="003D68A0"/>
    <w:rsid w:val="003E0693"/>
    <w:rsid w:val="003E0748"/>
    <w:rsid w:val="003E0F59"/>
    <w:rsid w:val="003E172E"/>
    <w:rsid w:val="003E19B7"/>
    <w:rsid w:val="003E1EE1"/>
    <w:rsid w:val="003E29AD"/>
    <w:rsid w:val="003E5373"/>
    <w:rsid w:val="003E53F0"/>
    <w:rsid w:val="003E7367"/>
    <w:rsid w:val="003F0CC5"/>
    <w:rsid w:val="003F4110"/>
    <w:rsid w:val="004008C5"/>
    <w:rsid w:val="00407A9C"/>
    <w:rsid w:val="00411600"/>
    <w:rsid w:val="0041392F"/>
    <w:rsid w:val="004166C9"/>
    <w:rsid w:val="00416A9C"/>
    <w:rsid w:val="00420590"/>
    <w:rsid w:val="004214CE"/>
    <w:rsid w:val="004226D8"/>
    <w:rsid w:val="00422B91"/>
    <w:rsid w:val="00425193"/>
    <w:rsid w:val="0043313D"/>
    <w:rsid w:val="004350F2"/>
    <w:rsid w:val="0044203F"/>
    <w:rsid w:val="004501EE"/>
    <w:rsid w:val="00451F4C"/>
    <w:rsid w:val="00452320"/>
    <w:rsid w:val="004552CD"/>
    <w:rsid w:val="00455959"/>
    <w:rsid w:val="0045672C"/>
    <w:rsid w:val="0045673F"/>
    <w:rsid w:val="00461162"/>
    <w:rsid w:val="00463131"/>
    <w:rsid w:val="004678B5"/>
    <w:rsid w:val="00471323"/>
    <w:rsid w:val="00472718"/>
    <w:rsid w:val="00472916"/>
    <w:rsid w:val="00473AFD"/>
    <w:rsid w:val="004747D4"/>
    <w:rsid w:val="00474DC7"/>
    <w:rsid w:val="00475DA0"/>
    <w:rsid w:val="00477AE0"/>
    <w:rsid w:val="00482D87"/>
    <w:rsid w:val="004917D3"/>
    <w:rsid w:val="004931CD"/>
    <w:rsid w:val="004931EA"/>
    <w:rsid w:val="00495959"/>
    <w:rsid w:val="00495991"/>
    <w:rsid w:val="00495CC5"/>
    <w:rsid w:val="00495FED"/>
    <w:rsid w:val="00497ED5"/>
    <w:rsid w:val="004A0407"/>
    <w:rsid w:val="004A0ED6"/>
    <w:rsid w:val="004A11FD"/>
    <w:rsid w:val="004A3392"/>
    <w:rsid w:val="004A403E"/>
    <w:rsid w:val="004A4EA9"/>
    <w:rsid w:val="004A56E8"/>
    <w:rsid w:val="004A66D8"/>
    <w:rsid w:val="004B0256"/>
    <w:rsid w:val="004B431B"/>
    <w:rsid w:val="004B44CF"/>
    <w:rsid w:val="004B570A"/>
    <w:rsid w:val="004C0A44"/>
    <w:rsid w:val="004C2710"/>
    <w:rsid w:val="004C4373"/>
    <w:rsid w:val="004C5B72"/>
    <w:rsid w:val="004C6981"/>
    <w:rsid w:val="004D0196"/>
    <w:rsid w:val="004D144D"/>
    <w:rsid w:val="004D1A82"/>
    <w:rsid w:val="004D3FE2"/>
    <w:rsid w:val="004D646B"/>
    <w:rsid w:val="004E128D"/>
    <w:rsid w:val="004E2893"/>
    <w:rsid w:val="004E4E47"/>
    <w:rsid w:val="004E607C"/>
    <w:rsid w:val="004F130B"/>
    <w:rsid w:val="004F3640"/>
    <w:rsid w:val="004F71A8"/>
    <w:rsid w:val="004F7DEE"/>
    <w:rsid w:val="005000DF"/>
    <w:rsid w:val="00504431"/>
    <w:rsid w:val="00504A95"/>
    <w:rsid w:val="005065BC"/>
    <w:rsid w:val="00510D44"/>
    <w:rsid w:val="00511667"/>
    <w:rsid w:val="0051339D"/>
    <w:rsid w:val="005155DF"/>
    <w:rsid w:val="005202FF"/>
    <w:rsid w:val="005250BE"/>
    <w:rsid w:val="005307C7"/>
    <w:rsid w:val="005311B3"/>
    <w:rsid w:val="00536062"/>
    <w:rsid w:val="0053715A"/>
    <w:rsid w:val="00541EFD"/>
    <w:rsid w:val="00544CC8"/>
    <w:rsid w:val="005467CF"/>
    <w:rsid w:val="00546C91"/>
    <w:rsid w:val="00552B49"/>
    <w:rsid w:val="00555FED"/>
    <w:rsid w:val="0056039E"/>
    <w:rsid w:val="0056286C"/>
    <w:rsid w:val="005631AC"/>
    <w:rsid w:val="00564578"/>
    <w:rsid w:val="00564667"/>
    <w:rsid w:val="00570AA4"/>
    <w:rsid w:val="00570FC3"/>
    <w:rsid w:val="0057469A"/>
    <w:rsid w:val="005750F4"/>
    <w:rsid w:val="00577D39"/>
    <w:rsid w:val="0058164F"/>
    <w:rsid w:val="00583D34"/>
    <w:rsid w:val="00585C65"/>
    <w:rsid w:val="005862E1"/>
    <w:rsid w:val="00590747"/>
    <w:rsid w:val="00592DA8"/>
    <w:rsid w:val="00594FEB"/>
    <w:rsid w:val="00595C2F"/>
    <w:rsid w:val="005977DD"/>
    <w:rsid w:val="005A3A11"/>
    <w:rsid w:val="005A5248"/>
    <w:rsid w:val="005A77B6"/>
    <w:rsid w:val="005A7D1D"/>
    <w:rsid w:val="005B3F70"/>
    <w:rsid w:val="005B4CB7"/>
    <w:rsid w:val="005B72F9"/>
    <w:rsid w:val="005C0BD8"/>
    <w:rsid w:val="005C15CE"/>
    <w:rsid w:val="005C42B0"/>
    <w:rsid w:val="005C4351"/>
    <w:rsid w:val="005D04F9"/>
    <w:rsid w:val="005D0DBC"/>
    <w:rsid w:val="005D2A60"/>
    <w:rsid w:val="005D3332"/>
    <w:rsid w:val="005D3FD1"/>
    <w:rsid w:val="005D666F"/>
    <w:rsid w:val="005D74F6"/>
    <w:rsid w:val="005D75DC"/>
    <w:rsid w:val="005E14DF"/>
    <w:rsid w:val="005E26BF"/>
    <w:rsid w:val="005E50A0"/>
    <w:rsid w:val="005E50FF"/>
    <w:rsid w:val="005E68A4"/>
    <w:rsid w:val="005E713A"/>
    <w:rsid w:val="005F0D41"/>
    <w:rsid w:val="005F180E"/>
    <w:rsid w:val="005F3C68"/>
    <w:rsid w:val="005F755F"/>
    <w:rsid w:val="00602557"/>
    <w:rsid w:val="00602CBD"/>
    <w:rsid w:val="00603065"/>
    <w:rsid w:val="00604925"/>
    <w:rsid w:val="00604B78"/>
    <w:rsid w:val="00607463"/>
    <w:rsid w:val="00615543"/>
    <w:rsid w:val="0061778D"/>
    <w:rsid w:val="00617DD3"/>
    <w:rsid w:val="00620893"/>
    <w:rsid w:val="006211A1"/>
    <w:rsid w:val="00626195"/>
    <w:rsid w:val="006262DC"/>
    <w:rsid w:val="0062734F"/>
    <w:rsid w:val="00636A59"/>
    <w:rsid w:val="00636B0D"/>
    <w:rsid w:val="006438B1"/>
    <w:rsid w:val="00646FE7"/>
    <w:rsid w:val="006506BB"/>
    <w:rsid w:val="006564F9"/>
    <w:rsid w:val="00657921"/>
    <w:rsid w:val="00657D82"/>
    <w:rsid w:val="00660EB6"/>
    <w:rsid w:val="006628E8"/>
    <w:rsid w:val="00662B8E"/>
    <w:rsid w:val="00666F98"/>
    <w:rsid w:val="00672F6E"/>
    <w:rsid w:val="0067465D"/>
    <w:rsid w:val="00675047"/>
    <w:rsid w:val="00675C23"/>
    <w:rsid w:val="006768BA"/>
    <w:rsid w:val="006768F2"/>
    <w:rsid w:val="0067751D"/>
    <w:rsid w:val="006848E2"/>
    <w:rsid w:val="0069712A"/>
    <w:rsid w:val="006A4A5B"/>
    <w:rsid w:val="006A64F0"/>
    <w:rsid w:val="006B1A21"/>
    <w:rsid w:val="006B4822"/>
    <w:rsid w:val="006B5D53"/>
    <w:rsid w:val="006B763B"/>
    <w:rsid w:val="006C1426"/>
    <w:rsid w:val="006C182F"/>
    <w:rsid w:val="006C346C"/>
    <w:rsid w:val="006C62DA"/>
    <w:rsid w:val="006C65C9"/>
    <w:rsid w:val="006D0E62"/>
    <w:rsid w:val="006D29E2"/>
    <w:rsid w:val="006D3277"/>
    <w:rsid w:val="006E1193"/>
    <w:rsid w:val="006E1ACA"/>
    <w:rsid w:val="006E3943"/>
    <w:rsid w:val="006E3BA2"/>
    <w:rsid w:val="006E3BDE"/>
    <w:rsid w:val="006E470F"/>
    <w:rsid w:val="006F3B88"/>
    <w:rsid w:val="006F6453"/>
    <w:rsid w:val="007038D5"/>
    <w:rsid w:val="00704FE2"/>
    <w:rsid w:val="007060AB"/>
    <w:rsid w:val="007118C7"/>
    <w:rsid w:val="00712133"/>
    <w:rsid w:val="00715176"/>
    <w:rsid w:val="007243F4"/>
    <w:rsid w:val="0072572B"/>
    <w:rsid w:val="00725F2C"/>
    <w:rsid w:val="00732368"/>
    <w:rsid w:val="00741B92"/>
    <w:rsid w:val="00741C29"/>
    <w:rsid w:val="007425CB"/>
    <w:rsid w:val="007438CF"/>
    <w:rsid w:val="00743CC4"/>
    <w:rsid w:val="00746813"/>
    <w:rsid w:val="00754468"/>
    <w:rsid w:val="00757B8B"/>
    <w:rsid w:val="00765C8E"/>
    <w:rsid w:val="00776495"/>
    <w:rsid w:val="0077736D"/>
    <w:rsid w:val="00777B59"/>
    <w:rsid w:val="007806B2"/>
    <w:rsid w:val="00781289"/>
    <w:rsid w:val="00781620"/>
    <w:rsid w:val="007818B5"/>
    <w:rsid w:val="00783499"/>
    <w:rsid w:val="0078462C"/>
    <w:rsid w:val="00792139"/>
    <w:rsid w:val="007927F6"/>
    <w:rsid w:val="00796888"/>
    <w:rsid w:val="007A695A"/>
    <w:rsid w:val="007A6E4F"/>
    <w:rsid w:val="007B1538"/>
    <w:rsid w:val="007B42AB"/>
    <w:rsid w:val="007B43EB"/>
    <w:rsid w:val="007B4C1D"/>
    <w:rsid w:val="007C3BE3"/>
    <w:rsid w:val="007C414F"/>
    <w:rsid w:val="007D1D54"/>
    <w:rsid w:val="007D3430"/>
    <w:rsid w:val="007D3443"/>
    <w:rsid w:val="007D44EB"/>
    <w:rsid w:val="007E68B4"/>
    <w:rsid w:val="007E7D51"/>
    <w:rsid w:val="007F31CF"/>
    <w:rsid w:val="007F5857"/>
    <w:rsid w:val="00800040"/>
    <w:rsid w:val="00801EF8"/>
    <w:rsid w:val="0080289E"/>
    <w:rsid w:val="008047B6"/>
    <w:rsid w:val="008063F3"/>
    <w:rsid w:val="0081013E"/>
    <w:rsid w:val="00812A5B"/>
    <w:rsid w:val="00814B38"/>
    <w:rsid w:val="00815503"/>
    <w:rsid w:val="0081735D"/>
    <w:rsid w:val="008256AF"/>
    <w:rsid w:val="00830A91"/>
    <w:rsid w:val="00831A78"/>
    <w:rsid w:val="0083258C"/>
    <w:rsid w:val="00835DDF"/>
    <w:rsid w:val="00841860"/>
    <w:rsid w:val="00841C62"/>
    <w:rsid w:val="00843178"/>
    <w:rsid w:val="00847B36"/>
    <w:rsid w:val="00847CD4"/>
    <w:rsid w:val="008505DD"/>
    <w:rsid w:val="00852742"/>
    <w:rsid w:val="0085543D"/>
    <w:rsid w:val="008566F6"/>
    <w:rsid w:val="008570AE"/>
    <w:rsid w:val="008601FB"/>
    <w:rsid w:val="00864BDB"/>
    <w:rsid w:val="00866C9C"/>
    <w:rsid w:val="00870953"/>
    <w:rsid w:val="008747D9"/>
    <w:rsid w:val="0088075C"/>
    <w:rsid w:val="00880D15"/>
    <w:rsid w:val="008813FB"/>
    <w:rsid w:val="00885717"/>
    <w:rsid w:val="00893C1C"/>
    <w:rsid w:val="008A1D96"/>
    <w:rsid w:val="008A1DB2"/>
    <w:rsid w:val="008A3A39"/>
    <w:rsid w:val="008A516D"/>
    <w:rsid w:val="008A5EAF"/>
    <w:rsid w:val="008B1168"/>
    <w:rsid w:val="008B153C"/>
    <w:rsid w:val="008B3385"/>
    <w:rsid w:val="008B435B"/>
    <w:rsid w:val="008B6698"/>
    <w:rsid w:val="008C07CE"/>
    <w:rsid w:val="008C11CF"/>
    <w:rsid w:val="008C1CAD"/>
    <w:rsid w:val="008C59C4"/>
    <w:rsid w:val="008C68D1"/>
    <w:rsid w:val="008C6E63"/>
    <w:rsid w:val="008D0A06"/>
    <w:rsid w:val="008D4269"/>
    <w:rsid w:val="008E1D73"/>
    <w:rsid w:val="008E2C70"/>
    <w:rsid w:val="008E4AB0"/>
    <w:rsid w:val="008E5312"/>
    <w:rsid w:val="008F0E08"/>
    <w:rsid w:val="008F178F"/>
    <w:rsid w:val="008F3D6F"/>
    <w:rsid w:val="008F40C4"/>
    <w:rsid w:val="008F7013"/>
    <w:rsid w:val="009024D7"/>
    <w:rsid w:val="009051E9"/>
    <w:rsid w:val="00910A72"/>
    <w:rsid w:val="009121B9"/>
    <w:rsid w:val="009158B0"/>
    <w:rsid w:val="0091737D"/>
    <w:rsid w:val="009205D0"/>
    <w:rsid w:val="00921936"/>
    <w:rsid w:val="00923970"/>
    <w:rsid w:val="00923F4C"/>
    <w:rsid w:val="00927149"/>
    <w:rsid w:val="00930C44"/>
    <w:rsid w:val="00933A6C"/>
    <w:rsid w:val="0093580F"/>
    <w:rsid w:val="00935FE3"/>
    <w:rsid w:val="00936C9E"/>
    <w:rsid w:val="009420D5"/>
    <w:rsid w:val="00943EB3"/>
    <w:rsid w:val="009440AD"/>
    <w:rsid w:val="00945B5C"/>
    <w:rsid w:val="00946AFC"/>
    <w:rsid w:val="00947B18"/>
    <w:rsid w:val="00947BE6"/>
    <w:rsid w:val="00953627"/>
    <w:rsid w:val="00954992"/>
    <w:rsid w:val="00955533"/>
    <w:rsid w:val="00962CB5"/>
    <w:rsid w:val="00966802"/>
    <w:rsid w:val="00970473"/>
    <w:rsid w:val="009705E1"/>
    <w:rsid w:val="0097141A"/>
    <w:rsid w:val="00971C3C"/>
    <w:rsid w:val="0097229C"/>
    <w:rsid w:val="009755FB"/>
    <w:rsid w:val="00975C49"/>
    <w:rsid w:val="00980413"/>
    <w:rsid w:val="00982B48"/>
    <w:rsid w:val="00982BBD"/>
    <w:rsid w:val="00984474"/>
    <w:rsid w:val="0098465E"/>
    <w:rsid w:val="009858E2"/>
    <w:rsid w:val="009873BB"/>
    <w:rsid w:val="00987E7B"/>
    <w:rsid w:val="009924FD"/>
    <w:rsid w:val="00996672"/>
    <w:rsid w:val="00997160"/>
    <w:rsid w:val="00997A7A"/>
    <w:rsid w:val="00997D31"/>
    <w:rsid w:val="009A1274"/>
    <w:rsid w:val="009A3393"/>
    <w:rsid w:val="009B2257"/>
    <w:rsid w:val="009B3C80"/>
    <w:rsid w:val="009B540C"/>
    <w:rsid w:val="009C04E3"/>
    <w:rsid w:val="009C17EF"/>
    <w:rsid w:val="009C3460"/>
    <w:rsid w:val="009C5559"/>
    <w:rsid w:val="009C5E89"/>
    <w:rsid w:val="009D1BA4"/>
    <w:rsid w:val="009D7C3B"/>
    <w:rsid w:val="009E2723"/>
    <w:rsid w:val="009E3209"/>
    <w:rsid w:val="009E6601"/>
    <w:rsid w:val="009E784C"/>
    <w:rsid w:val="009F0CBB"/>
    <w:rsid w:val="009F13F9"/>
    <w:rsid w:val="009F19BB"/>
    <w:rsid w:val="009F5031"/>
    <w:rsid w:val="00A0117D"/>
    <w:rsid w:val="00A02C98"/>
    <w:rsid w:val="00A05499"/>
    <w:rsid w:val="00A0640C"/>
    <w:rsid w:val="00A07193"/>
    <w:rsid w:val="00A12AC1"/>
    <w:rsid w:val="00A12E43"/>
    <w:rsid w:val="00A151B7"/>
    <w:rsid w:val="00A1687C"/>
    <w:rsid w:val="00A17272"/>
    <w:rsid w:val="00A20746"/>
    <w:rsid w:val="00A214FA"/>
    <w:rsid w:val="00A21B32"/>
    <w:rsid w:val="00A22D2D"/>
    <w:rsid w:val="00A231F1"/>
    <w:rsid w:val="00A34EE7"/>
    <w:rsid w:val="00A357DF"/>
    <w:rsid w:val="00A37532"/>
    <w:rsid w:val="00A42674"/>
    <w:rsid w:val="00A50219"/>
    <w:rsid w:val="00A51162"/>
    <w:rsid w:val="00A51190"/>
    <w:rsid w:val="00A570AA"/>
    <w:rsid w:val="00A65A54"/>
    <w:rsid w:val="00A67D69"/>
    <w:rsid w:val="00A7036E"/>
    <w:rsid w:val="00A70C0C"/>
    <w:rsid w:val="00A733DA"/>
    <w:rsid w:val="00A73CF1"/>
    <w:rsid w:val="00A7727D"/>
    <w:rsid w:val="00A77D3D"/>
    <w:rsid w:val="00A810E9"/>
    <w:rsid w:val="00A85336"/>
    <w:rsid w:val="00A87707"/>
    <w:rsid w:val="00A90C66"/>
    <w:rsid w:val="00A93BCA"/>
    <w:rsid w:val="00A97653"/>
    <w:rsid w:val="00A97906"/>
    <w:rsid w:val="00AA4BF3"/>
    <w:rsid w:val="00AA5882"/>
    <w:rsid w:val="00AA6960"/>
    <w:rsid w:val="00AB043F"/>
    <w:rsid w:val="00AB0AAB"/>
    <w:rsid w:val="00AB35CF"/>
    <w:rsid w:val="00AB67D2"/>
    <w:rsid w:val="00AC1C01"/>
    <w:rsid w:val="00AC1E91"/>
    <w:rsid w:val="00AC2020"/>
    <w:rsid w:val="00AC3941"/>
    <w:rsid w:val="00AC3E68"/>
    <w:rsid w:val="00AC696E"/>
    <w:rsid w:val="00AD5F82"/>
    <w:rsid w:val="00AD7472"/>
    <w:rsid w:val="00AE02B6"/>
    <w:rsid w:val="00AE11CE"/>
    <w:rsid w:val="00AE301E"/>
    <w:rsid w:val="00AE3259"/>
    <w:rsid w:val="00AE42C5"/>
    <w:rsid w:val="00AE4C59"/>
    <w:rsid w:val="00AE7550"/>
    <w:rsid w:val="00AF0090"/>
    <w:rsid w:val="00AF2632"/>
    <w:rsid w:val="00AF66F6"/>
    <w:rsid w:val="00B00D6D"/>
    <w:rsid w:val="00B035ED"/>
    <w:rsid w:val="00B06667"/>
    <w:rsid w:val="00B11812"/>
    <w:rsid w:val="00B11E95"/>
    <w:rsid w:val="00B14084"/>
    <w:rsid w:val="00B1661A"/>
    <w:rsid w:val="00B16DE1"/>
    <w:rsid w:val="00B240B4"/>
    <w:rsid w:val="00B277E5"/>
    <w:rsid w:val="00B301A7"/>
    <w:rsid w:val="00B33C0B"/>
    <w:rsid w:val="00B345AA"/>
    <w:rsid w:val="00B36265"/>
    <w:rsid w:val="00B411AB"/>
    <w:rsid w:val="00B41AA7"/>
    <w:rsid w:val="00B4299B"/>
    <w:rsid w:val="00B42C0C"/>
    <w:rsid w:val="00B43AE1"/>
    <w:rsid w:val="00B5180E"/>
    <w:rsid w:val="00B51A21"/>
    <w:rsid w:val="00B533C7"/>
    <w:rsid w:val="00B55407"/>
    <w:rsid w:val="00B60462"/>
    <w:rsid w:val="00B611AF"/>
    <w:rsid w:val="00B61775"/>
    <w:rsid w:val="00B67846"/>
    <w:rsid w:val="00B737C9"/>
    <w:rsid w:val="00B7752D"/>
    <w:rsid w:val="00B808BE"/>
    <w:rsid w:val="00B83FCF"/>
    <w:rsid w:val="00B8443E"/>
    <w:rsid w:val="00B85132"/>
    <w:rsid w:val="00B8533E"/>
    <w:rsid w:val="00B863A7"/>
    <w:rsid w:val="00B87DD3"/>
    <w:rsid w:val="00B91FBF"/>
    <w:rsid w:val="00B92A95"/>
    <w:rsid w:val="00B93930"/>
    <w:rsid w:val="00B97616"/>
    <w:rsid w:val="00BA1201"/>
    <w:rsid w:val="00BA3D99"/>
    <w:rsid w:val="00BA4D2C"/>
    <w:rsid w:val="00BA6972"/>
    <w:rsid w:val="00BA7000"/>
    <w:rsid w:val="00BB0469"/>
    <w:rsid w:val="00BB2069"/>
    <w:rsid w:val="00BB34C2"/>
    <w:rsid w:val="00BB449A"/>
    <w:rsid w:val="00BB45CA"/>
    <w:rsid w:val="00BB5A98"/>
    <w:rsid w:val="00BB6356"/>
    <w:rsid w:val="00BC155D"/>
    <w:rsid w:val="00BC16BF"/>
    <w:rsid w:val="00BC4B84"/>
    <w:rsid w:val="00BD1F15"/>
    <w:rsid w:val="00BD471E"/>
    <w:rsid w:val="00BE0DC2"/>
    <w:rsid w:val="00BE1776"/>
    <w:rsid w:val="00BF6DF8"/>
    <w:rsid w:val="00BF70D3"/>
    <w:rsid w:val="00BF71AF"/>
    <w:rsid w:val="00C0094C"/>
    <w:rsid w:val="00C01698"/>
    <w:rsid w:val="00C031BD"/>
    <w:rsid w:val="00C040B5"/>
    <w:rsid w:val="00C06753"/>
    <w:rsid w:val="00C072DA"/>
    <w:rsid w:val="00C079D6"/>
    <w:rsid w:val="00C12F0B"/>
    <w:rsid w:val="00C153CB"/>
    <w:rsid w:val="00C15E94"/>
    <w:rsid w:val="00C17F8A"/>
    <w:rsid w:val="00C17FDA"/>
    <w:rsid w:val="00C21476"/>
    <w:rsid w:val="00C226EF"/>
    <w:rsid w:val="00C24A64"/>
    <w:rsid w:val="00C30E78"/>
    <w:rsid w:val="00C348D1"/>
    <w:rsid w:val="00C355AA"/>
    <w:rsid w:val="00C35834"/>
    <w:rsid w:val="00C4534B"/>
    <w:rsid w:val="00C4712A"/>
    <w:rsid w:val="00C514C2"/>
    <w:rsid w:val="00C52C75"/>
    <w:rsid w:val="00C52F35"/>
    <w:rsid w:val="00C53D13"/>
    <w:rsid w:val="00C54106"/>
    <w:rsid w:val="00C54962"/>
    <w:rsid w:val="00C5563F"/>
    <w:rsid w:val="00C56EDF"/>
    <w:rsid w:val="00C632A1"/>
    <w:rsid w:val="00C64386"/>
    <w:rsid w:val="00C64DC7"/>
    <w:rsid w:val="00C65E58"/>
    <w:rsid w:val="00C675AD"/>
    <w:rsid w:val="00C716FD"/>
    <w:rsid w:val="00C74D34"/>
    <w:rsid w:val="00C77484"/>
    <w:rsid w:val="00C83EA9"/>
    <w:rsid w:val="00C85637"/>
    <w:rsid w:val="00C8716C"/>
    <w:rsid w:val="00C8725D"/>
    <w:rsid w:val="00C87B2B"/>
    <w:rsid w:val="00C87E68"/>
    <w:rsid w:val="00C920D3"/>
    <w:rsid w:val="00C92927"/>
    <w:rsid w:val="00C929CF"/>
    <w:rsid w:val="00C94114"/>
    <w:rsid w:val="00C945D7"/>
    <w:rsid w:val="00C9623C"/>
    <w:rsid w:val="00C9657F"/>
    <w:rsid w:val="00C96E5D"/>
    <w:rsid w:val="00CA1E43"/>
    <w:rsid w:val="00CA217F"/>
    <w:rsid w:val="00CA36E5"/>
    <w:rsid w:val="00CA55A6"/>
    <w:rsid w:val="00CB2842"/>
    <w:rsid w:val="00CB5C2F"/>
    <w:rsid w:val="00CB6312"/>
    <w:rsid w:val="00CC142B"/>
    <w:rsid w:val="00CC1FA8"/>
    <w:rsid w:val="00CC2CA9"/>
    <w:rsid w:val="00CC3D75"/>
    <w:rsid w:val="00CC3E09"/>
    <w:rsid w:val="00CC56CB"/>
    <w:rsid w:val="00CC57A0"/>
    <w:rsid w:val="00CC6915"/>
    <w:rsid w:val="00CD3F63"/>
    <w:rsid w:val="00CD5477"/>
    <w:rsid w:val="00CD6E42"/>
    <w:rsid w:val="00CE1BFF"/>
    <w:rsid w:val="00CE4590"/>
    <w:rsid w:val="00CE598D"/>
    <w:rsid w:val="00CE6D69"/>
    <w:rsid w:val="00CF0CE2"/>
    <w:rsid w:val="00D007FD"/>
    <w:rsid w:val="00D0132F"/>
    <w:rsid w:val="00D01B53"/>
    <w:rsid w:val="00D02A7B"/>
    <w:rsid w:val="00D066A8"/>
    <w:rsid w:val="00D10B63"/>
    <w:rsid w:val="00D135EB"/>
    <w:rsid w:val="00D143A3"/>
    <w:rsid w:val="00D14BB9"/>
    <w:rsid w:val="00D14FCD"/>
    <w:rsid w:val="00D16FCF"/>
    <w:rsid w:val="00D2191C"/>
    <w:rsid w:val="00D2420C"/>
    <w:rsid w:val="00D26F6C"/>
    <w:rsid w:val="00D270BA"/>
    <w:rsid w:val="00D2773C"/>
    <w:rsid w:val="00D325FD"/>
    <w:rsid w:val="00D417CB"/>
    <w:rsid w:val="00D43532"/>
    <w:rsid w:val="00D47219"/>
    <w:rsid w:val="00D4737E"/>
    <w:rsid w:val="00D502D3"/>
    <w:rsid w:val="00D53CD7"/>
    <w:rsid w:val="00D5500B"/>
    <w:rsid w:val="00D57CA6"/>
    <w:rsid w:val="00D61FD5"/>
    <w:rsid w:val="00D63180"/>
    <w:rsid w:val="00D63B9A"/>
    <w:rsid w:val="00D7131A"/>
    <w:rsid w:val="00D719A6"/>
    <w:rsid w:val="00D730E7"/>
    <w:rsid w:val="00D74873"/>
    <w:rsid w:val="00D75C8E"/>
    <w:rsid w:val="00D76D50"/>
    <w:rsid w:val="00D80077"/>
    <w:rsid w:val="00D804E8"/>
    <w:rsid w:val="00D80A74"/>
    <w:rsid w:val="00D82EA4"/>
    <w:rsid w:val="00D85808"/>
    <w:rsid w:val="00D85A25"/>
    <w:rsid w:val="00D8650E"/>
    <w:rsid w:val="00D91BEC"/>
    <w:rsid w:val="00D9243A"/>
    <w:rsid w:val="00D94385"/>
    <w:rsid w:val="00D95C5C"/>
    <w:rsid w:val="00D96E8F"/>
    <w:rsid w:val="00DA422B"/>
    <w:rsid w:val="00DA4625"/>
    <w:rsid w:val="00DA4B0D"/>
    <w:rsid w:val="00DA5712"/>
    <w:rsid w:val="00DA66B7"/>
    <w:rsid w:val="00DA6C40"/>
    <w:rsid w:val="00DB14D9"/>
    <w:rsid w:val="00DC04A8"/>
    <w:rsid w:val="00DC0E72"/>
    <w:rsid w:val="00DC1F23"/>
    <w:rsid w:val="00DC2614"/>
    <w:rsid w:val="00DC5B3D"/>
    <w:rsid w:val="00DC7F91"/>
    <w:rsid w:val="00DD1562"/>
    <w:rsid w:val="00DD3E7C"/>
    <w:rsid w:val="00DD559E"/>
    <w:rsid w:val="00DD7647"/>
    <w:rsid w:val="00DE6158"/>
    <w:rsid w:val="00DE7B4E"/>
    <w:rsid w:val="00DF232E"/>
    <w:rsid w:val="00DF4C00"/>
    <w:rsid w:val="00DF7FAB"/>
    <w:rsid w:val="00E006B5"/>
    <w:rsid w:val="00E00E92"/>
    <w:rsid w:val="00E01E93"/>
    <w:rsid w:val="00E01F29"/>
    <w:rsid w:val="00E040A2"/>
    <w:rsid w:val="00E06C70"/>
    <w:rsid w:val="00E078E7"/>
    <w:rsid w:val="00E07E57"/>
    <w:rsid w:val="00E10D0B"/>
    <w:rsid w:val="00E1245B"/>
    <w:rsid w:val="00E13899"/>
    <w:rsid w:val="00E14B50"/>
    <w:rsid w:val="00E14F78"/>
    <w:rsid w:val="00E16EEA"/>
    <w:rsid w:val="00E179A3"/>
    <w:rsid w:val="00E213CF"/>
    <w:rsid w:val="00E21EC8"/>
    <w:rsid w:val="00E22397"/>
    <w:rsid w:val="00E242D3"/>
    <w:rsid w:val="00E27F80"/>
    <w:rsid w:val="00E33752"/>
    <w:rsid w:val="00E35575"/>
    <w:rsid w:val="00E35A64"/>
    <w:rsid w:val="00E37A9F"/>
    <w:rsid w:val="00E402CF"/>
    <w:rsid w:val="00E46575"/>
    <w:rsid w:val="00E5589B"/>
    <w:rsid w:val="00E608E3"/>
    <w:rsid w:val="00E60DFC"/>
    <w:rsid w:val="00E61128"/>
    <w:rsid w:val="00E62FF7"/>
    <w:rsid w:val="00E65606"/>
    <w:rsid w:val="00E657BA"/>
    <w:rsid w:val="00E66362"/>
    <w:rsid w:val="00E6771C"/>
    <w:rsid w:val="00E70818"/>
    <w:rsid w:val="00E715B0"/>
    <w:rsid w:val="00E7341E"/>
    <w:rsid w:val="00E73A00"/>
    <w:rsid w:val="00E75F57"/>
    <w:rsid w:val="00E767D9"/>
    <w:rsid w:val="00E80AE1"/>
    <w:rsid w:val="00E82394"/>
    <w:rsid w:val="00E851CA"/>
    <w:rsid w:val="00E868AB"/>
    <w:rsid w:val="00E90FA7"/>
    <w:rsid w:val="00E92E55"/>
    <w:rsid w:val="00E93AC0"/>
    <w:rsid w:val="00E93BBE"/>
    <w:rsid w:val="00E942B4"/>
    <w:rsid w:val="00E94D28"/>
    <w:rsid w:val="00E9557C"/>
    <w:rsid w:val="00E95F32"/>
    <w:rsid w:val="00E972A2"/>
    <w:rsid w:val="00EB2612"/>
    <w:rsid w:val="00EB5381"/>
    <w:rsid w:val="00EB70C6"/>
    <w:rsid w:val="00EC2B3D"/>
    <w:rsid w:val="00EC419F"/>
    <w:rsid w:val="00EC5428"/>
    <w:rsid w:val="00EC558C"/>
    <w:rsid w:val="00EC79F6"/>
    <w:rsid w:val="00ED0E28"/>
    <w:rsid w:val="00ED1C3B"/>
    <w:rsid w:val="00ED1CBA"/>
    <w:rsid w:val="00ED3946"/>
    <w:rsid w:val="00ED4DF3"/>
    <w:rsid w:val="00ED69D7"/>
    <w:rsid w:val="00EE0D14"/>
    <w:rsid w:val="00EE1068"/>
    <w:rsid w:val="00EE485A"/>
    <w:rsid w:val="00EE6A6B"/>
    <w:rsid w:val="00EE79E6"/>
    <w:rsid w:val="00EE7C39"/>
    <w:rsid w:val="00EF112B"/>
    <w:rsid w:val="00EF4D20"/>
    <w:rsid w:val="00F03D2E"/>
    <w:rsid w:val="00F121BA"/>
    <w:rsid w:val="00F13A4D"/>
    <w:rsid w:val="00F162A6"/>
    <w:rsid w:val="00F20345"/>
    <w:rsid w:val="00F23BAD"/>
    <w:rsid w:val="00F30D6E"/>
    <w:rsid w:val="00F31CA5"/>
    <w:rsid w:val="00F32BF7"/>
    <w:rsid w:val="00F35F94"/>
    <w:rsid w:val="00F35FCC"/>
    <w:rsid w:val="00F40081"/>
    <w:rsid w:val="00F408D6"/>
    <w:rsid w:val="00F40B8E"/>
    <w:rsid w:val="00F42625"/>
    <w:rsid w:val="00F44012"/>
    <w:rsid w:val="00F45237"/>
    <w:rsid w:val="00F468BC"/>
    <w:rsid w:val="00F46A7B"/>
    <w:rsid w:val="00F472E4"/>
    <w:rsid w:val="00F47B34"/>
    <w:rsid w:val="00F50DC6"/>
    <w:rsid w:val="00F532FE"/>
    <w:rsid w:val="00F54700"/>
    <w:rsid w:val="00F552E8"/>
    <w:rsid w:val="00F56975"/>
    <w:rsid w:val="00F57011"/>
    <w:rsid w:val="00F5762A"/>
    <w:rsid w:val="00F64F94"/>
    <w:rsid w:val="00F65C6A"/>
    <w:rsid w:val="00F66259"/>
    <w:rsid w:val="00F67A69"/>
    <w:rsid w:val="00F72218"/>
    <w:rsid w:val="00F73F4C"/>
    <w:rsid w:val="00F7528B"/>
    <w:rsid w:val="00F8142F"/>
    <w:rsid w:val="00F85EE2"/>
    <w:rsid w:val="00F87BEA"/>
    <w:rsid w:val="00F9098F"/>
    <w:rsid w:val="00F90E77"/>
    <w:rsid w:val="00F95C9C"/>
    <w:rsid w:val="00FA4A10"/>
    <w:rsid w:val="00FA535F"/>
    <w:rsid w:val="00FA5411"/>
    <w:rsid w:val="00FA583B"/>
    <w:rsid w:val="00FA7A57"/>
    <w:rsid w:val="00FB0EE1"/>
    <w:rsid w:val="00FB4FBA"/>
    <w:rsid w:val="00FB6A41"/>
    <w:rsid w:val="00FC1EA5"/>
    <w:rsid w:val="00FC324D"/>
    <w:rsid w:val="00FC5B50"/>
    <w:rsid w:val="00FD0EC0"/>
    <w:rsid w:val="00FD1BA1"/>
    <w:rsid w:val="00FD402A"/>
    <w:rsid w:val="00FD4434"/>
    <w:rsid w:val="00FD49E9"/>
    <w:rsid w:val="00FD6AF4"/>
    <w:rsid w:val="00FE1DCD"/>
    <w:rsid w:val="00FE24DE"/>
    <w:rsid w:val="00FE4B0C"/>
    <w:rsid w:val="00FE73E2"/>
    <w:rsid w:val="00FF019C"/>
    <w:rsid w:val="00FF0FB6"/>
    <w:rsid w:val="00FF1126"/>
    <w:rsid w:val="00FF2B7B"/>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2CCF965E"/>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4F0"/>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sid w:val="007A6E4F"/>
    <w:rPr>
      <w:rFonts w:ascii="Arial" w:hAnsi="Arial" w:cs="Arial"/>
      <w:b/>
      <w:bCs/>
      <w:color w:val="000000"/>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character" w:customStyle="1" w:styleId="BodyText1">
    <w:name w:val="Body Text1"/>
    <w:basedOn w:val="DefaultParagraphFont"/>
    <w:rsid w:val="00DD7647"/>
    <w:rPr>
      <w:rFonts w:ascii="Tahoma" w:hAnsi="Tahoma" w:cs="Times New Roman"/>
      <w:color w:val="000000"/>
      <w:sz w:val="20"/>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69712A"/>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locked/>
    <w:rsid w:val="00FC1EA5"/>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051D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uiPriority="35"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64F0"/>
    <w:rPr>
      <w:sz w:val="24"/>
      <w:szCs w:val="24"/>
    </w:rPr>
  </w:style>
  <w:style w:type="paragraph" w:styleId="Heading1">
    <w:name w:val="heading 1"/>
    <w:basedOn w:val="Normal"/>
    <w:next w:val="Normal"/>
    <w:link w:val="Heading1Char"/>
    <w:uiPriority w:val="9"/>
    <w:qFormat/>
    <w:rsid w:val="00DD7647"/>
    <w:pPr>
      <w:autoSpaceDE w:val="0"/>
      <w:autoSpaceDN w:val="0"/>
      <w:adjustRightInd w:val="0"/>
      <w:spacing w:after="113" w:line="288" w:lineRule="auto"/>
      <w:textAlignment w:val="center"/>
      <w:outlineLvl w:val="0"/>
    </w:pPr>
    <w:rPr>
      <w:rFonts w:ascii="Tahoma" w:hAnsi="Tahoma" w:cs="Tahoma"/>
      <w:color w:val="006DB1"/>
      <w:sz w:val="48"/>
      <w:szCs w:val="48"/>
      <w:lang w:val="en-US"/>
    </w:rPr>
  </w:style>
  <w:style w:type="paragraph" w:styleId="Heading2">
    <w:name w:val="heading 2"/>
    <w:basedOn w:val="Normal"/>
    <w:next w:val="Normal"/>
    <w:link w:val="Heading2Char"/>
    <w:uiPriority w:val="9"/>
    <w:qFormat/>
    <w:rsid w:val="00DD7647"/>
    <w:pPr>
      <w:widowControl w:val="0"/>
      <w:outlineLvl w:val="1"/>
    </w:pPr>
    <w:rPr>
      <w:rFonts w:ascii="Tahoma" w:hAnsi="Tahoma" w:cs="Tahoma"/>
      <w:b/>
      <w:bCs/>
      <w:color w:val="0072BC"/>
      <w:sz w:val="28"/>
      <w:szCs w:val="32"/>
    </w:rPr>
  </w:style>
  <w:style w:type="paragraph" w:styleId="Heading3">
    <w:name w:val="heading 3"/>
    <w:basedOn w:val="Normal"/>
    <w:next w:val="Normal"/>
    <w:link w:val="Heading3Char"/>
    <w:uiPriority w:val="9"/>
    <w:qFormat/>
    <w:rsid w:val="00DD7647"/>
    <w:pPr>
      <w:keepNext/>
      <w:spacing w:before="240" w:after="60"/>
      <w:outlineLvl w:val="2"/>
    </w:pPr>
    <w:rPr>
      <w:rFonts w:ascii="Arial" w:hAnsi="Arial" w:cs="Arial"/>
      <w:b/>
      <w:bCs/>
      <w:color w:val="00000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D7647"/>
    <w:rPr>
      <w:rFonts w:ascii="Tahoma" w:hAnsi="Tahoma" w:cs="Tahoma"/>
      <w:color w:val="006DB1"/>
      <w:sz w:val="48"/>
      <w:szCs w:val="48"/>
      <w:lang w:val="en-US" w:eastAsia="en-AU" w:bidi="ar-SA"/>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3Char">
    <w:name w:val="Heading 3 Char"/>
    <w:basedOn w:val="DefaultParagraphFont"/>
    <w:link w:val="Heading3"/>
    <w:uiPriority w:val="9"/>
    <w:locked/>
    <w:rsid w:val="007A6E4F"/>
    <w:rPr>
      <w:rFonts w:ascii="Arial" w:hAnsi="Arial" w:cs="Arial"/>
      <w:b/>
      <w:bCs/>
      <w:color w:val="000000"/>
      <w:sz w:val="26"/>
      <w:szCs w:val="26"/>
    </w:rPr>
  </w:style>
  <w:style w:type="paragraph" w:customStyle="1" w:styleId="kernkristen">
    <w:name w:val="kern kristen"/>
    <w:basedOn w:val="Normal"/>
    <w:rsid w:val="00A0640C"/>
    <w:pPr>
      <w:spacing w:before="48" w:line="260" w:lineRule="atLeast"/>
      <w:ind w:right="-1021"/>
    </w:pPr>
    <w:rPr>
      <w:rFonts w:ascii="Kristen ITC" w:hAnsi="Kristen ITC"/>
      <w:sz w:val="18"/>
      <w:szCs w:val="20"/>
      <w:lang w:eastAsia="en-US"/>
    </w:rPr>
  </w:style>
  <w:style w:type="character" w:customStyle="1" w:styleId="TableFigSourcesfootnotesChar">
    <w:name w:val="Table/Fig: Sources &amp; footnotes Char"/>
    <w:basedOn w:val="DefaultParagraphFont"/>
    <w:link w:val="TableFigSourcesfootnotes"/>
    <w:locked/>
    <w:rsid w:val="00DD7647"/>
    <w:rPr>
      <w:rFonts w:ascii="Arial" w:hAnsi="Arial" w:cs="Arial"/>
      <w:sz w:val="18"/>
      <w:szCs w:val="18"/>
      <w:lang w:val="en-AU" w:eastAsia="en-US" w:bidi="ar-SA"/>
    </w:rPr>
  </w:style>
  <w:style w:type="paragraph" w:customStyle="1" w:styleId="TableFigSourcesfootnotes">
    <w:name w:val="Table/Fig: Sources &amp; footnotes"/>
    <w:link w:val="TableFigSourcesfootnotesChar"/>
    <w:autoRedefine/>
    <w:rsid w:val="00DD7647"/>
    <w:pPr>
      <w:keepLines/>
      <w:tabs>
        <w:tab w:val="left" w:pos="180"/>
      </w:tabs>
      <w:spacing w:before="40" w:after="40" w:line="180" w:lineRule="atLeast"/>
    </w:pPr>
    <w:rPr>
      <w:rFonts w:ascii="Arial" w:hAnsi="Arial" w:cs="Arial"/>
      <w:sz w:val="18"/>
      <w:szCs w:val="18"/>
      <w:lang w:eastAsia="en-US"/>
    </w:rPr>
  </w:style>
  <w:style w:type="character" w:customStyle="1" w:styleId="Tableheading">
    <w:name w:val="Table heading"/>
    <w:basedOn w:val="DefaultParagraphFont"/>
    <w:rsid w:val="00DD7647"/>
    <w:rPr>
      <w:rFonts w:ascii="Arial Narrow" w:hAnsi="Arial Narrow" w:cs="Times New Roman"/>
      <w:b/>
      <w:bCs/>
      <w:color w:val="FFFFFF"/>
      <w:sz w:val="22"/>
    </w:rPr>
  </w:style>
  <w:style w:type="character" w:customStyle="1" w:styleId="BodyText1">
    <w:name w:val="Body Text1"/>
    <w:basedOn w:val="DefaultParagraphFont"/>
    <w:rsid w:val="00DD7647"/>
    <w:rPr>
      <w:rFonts w:ascii="Tahoma" w:hAnsi="Tahoma" w:cs="Times New Roman"/>
      <w:color w:val="000000"/>
      <w:sz w:val="20"/>
    </w:rPr>
  </w:style>
  <w:style w:type="character" w:customStyle="1" w:styleId="Tabletext">
    <w:name w:val="Table text"/>
    <w:basedOn w:val="DefaultParagraphFont"/>
    <w:rsid w:val="00DD7647"/>
    <w:rPr>
      <w:rFonts w:ascii="Arial Narrow" w:hAnsi="Arial Narrow" w:cs="Times New Roman"/>
      <w:sz w:val="20"/>
    </w:rPr>
  </w:style>
  <w:style w:type="paragraph" w:customStyle="1" w:styleId="Tablesubheading">
    <w:name w:val="Table sub heading"/>
    <w:basedOn w:val="Normal"/>
    <w:rsid w:val="00DD7647"/>
    <w:pPr>
      <w:jc w:val="right"/>
    </w:pPr>
    <w:rPr>
      <w:rFonts w:ascii="Arial Narrow" w:hAnsi="Arial Narrow"/>
      <w:b/>
      <w:bCs/>
      <w:sz w:val="20"/>
      <w:szCs w:val="20"/>
    </w:rPr>
  </w:style>
  <w:style w:type="paragraph" w:customStyle="1" w:styleId="bullets">
    <w:name w:val="bullets"/>
    <w:basedOn w:val="Normal"/>
    <w:rsid w:val="00DD7647"/>
    <w:pPr>
      <w:numPr>
        <w:numId w:val="1"/>
      </w:numPr>
    </w:pPr>
    <w:rPr>
      <w:rFonts w:ascii="Tahoma" w:hAnsi="Tahoma"/>
      <w:color w:val="000000"/>
      <w:sz w:val="20"/>
    </w:rPr>
  </w:style>
  <w:style w:type="character" w:customStyle="1" w:styleId="BodyBOLD">
    <w:name w:val="Body BOLD"/>
    <w:rsid w:val="00DD7647"/>
    <w:rPr>
      <w:rFonts w:ascii="MetaPlusBold-Roman" w:hAnsi="MetaPlusBold-Roman"/>
      <w:sz w:val="20"/>
    </w:rPr>
  </w:style>
  <w:style w:type="paragraph" w:customStyle="1" w:styleId="figs3">
    <w:name w:val="figs3"/>
    <w:basedOn w:val="Normal"/>
    <w:autoRedefine/>
    <w:rsid w:val="0069712A"/>
    <w:rPr>
      <w:rFonts w:ascii="Calibri" w:hAnsi="Calibri"/>
      <w:b/>
      <w:bCs/>
      <w:color w:val="0070C0"/>
      <w:sz w:val="22"/>
      <w:szCs w:val="22"/>
    </w:rPr>
  </w:style>
  <w:style w:type="paragraph" w:customStyle="1" w:styleId="Imprint">
    <w:name w:val="Imprint"/>
    <w:rsid w:val="00DD7647"/>
    <w:pPr>
      <w:spacing w:before="160" w:line="260" w:lineRule="atLeast"/>
    </w:pPr>
    <w:rPr>
      <w:rFonts w:ascii="Helvetica" w:hAnsi="Helvetica" w:cs="Arial"/>
      <w:bCs/>
      <w:sz w:val="16"/>
      <w:szCs w:val="16"/>
      <w:lang w:eastAsia="en-US"/>
    </w:rPr>
  </w:style>
  <w:style w:type="character" w:styleId="Hyperlink">
    <w:name w:val="Hyperlink"/>
    <w:basedOn w:val="DefaultParagraphFont"/>
    <w:uiPriority w:val="99"/>
    <w:rsid w:val="00DD7647"/>
    <w:rPr>
      <w:rFonts w:cs="Times New Roman"/>
      <w:color w:val="0000FF"/>
      <w:u w:val="single"/>
    </w:rPr>
  </w:style>
  <w:style w:type="paragraph" w:styleId="Header">
    <w:name w:val="header"/>
    <w:basedOn w:val="Normal"/>
    <w:link w:val="HeaderChar"/>
    <w:uiPriority w:val="99"/>
    <w:rsid w:val="007E7D51"/>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7E7D51"/>
    <w:pPr>
      <w:tabs>
        <w:tab w:val="center" w:pos="4153"/>
        <w:tab w:val="right" w:pos="8306"/>
      </w:tabs>
    </w:pPr>
  </w:style>
  <w:style w:type="character" w:customStyle="1" w:styleId="FooterChar">
    <w:name w:val="Footer Char"/>
    <w:basedOn w:val="DefaultParagraphFont"/>
    <w:link w:val="Footer"/>
    <w:uiPriority w:val="99"/>
    <w:locked/>
    <w:rsid w:val="00FC1EA5"/>
    <w:rPr>
      <w:rFonts w:cs="Times New Roman"/>
      <w:sz w:val="24"/>
      <w:szCs w:val="24"/>
    </w:rPr>
  </w:style>
  <w:style w:type="paragraph" w:styleId="BalloonText">
    <w:name w:val="Balloon Text"/>
    <w:basedOn w:val="Normal"/>
    <w:link w:val="BalloonTextChar"/>
    <w:uiPriority w:val="99"/>
    <w:semiHidden/>
    <w:rsid w:val="00511667"/>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Caption">
    <w:name w:val="caption"/>
    <w:basedOn w:val="Normal"/>
    <w:next w:val="Normal"/>
    <w:uiPriority w:val="35"/>
    <w:qFormat/>
    <w:rsid w:val="000B72B2"/>
    <w:rPr>
      <w:b/>
      <w:bCs/>
      <w:sz w:val="20"/>
      <w:szCs w:val="20"/>
    </w:rPr>
  </w:style>
  <w:style w:type="character" w:styleId="CommentReference">
    <w:name w:val="annotation reference"/>
    <w:basedOn w:val="DefaultParagraphFont"/>
    <w:uiPriority w:val="99"/>
    <w:semiHidden/>
    <w:rsid w:val="00602CBD"/>
    <w:rPr>
      <w:rFonts w:cs="Times New Roman"/>
      <w:sz w:val="16"/>
      <w:szCs w:val="16"/>
    </w:rPr>
  </w:style>
  <w:style w:type="paragraph" w:styleId="CommentText">
    <w:name w:val="annotation text"/>
    <w:basedOn w:val="Normal"/>
    <w:link w:val="CommentTextChar"/>
    <w:uiPriority w:val="99"/>
    <w:semiHidden/>
    <w:rsid w:val="00602CBD"/>
    <w:rPr>
      <w:sz w:val="20"/>
      <w:szCs w:val="20"/>
    </w:rPr>
  </w:style>
  <w:style w:type="character" w:customStyle="1" w:styleId="CommentTextChar">
    <w:name w:val="Comment Text Char"/>
    <w:basedOn w:val="DefaultParagraphFont"/>
    <w:link w:val="CommentText"/>
    <w:uiPriority w:val="99"/>
    <w:semiHidden/>
    <w:locked/>
    <w:rPr>
      <w:rFonts w:cs="Times New Roman"/>
    </w:rPr>
  </w:style>
  <w:style w:type="paragraph" w:styleId="CommentSubject">
    <w:name w:val="annotation subject"/>
    <w:basedOn w:val="CommentText"/>
    <w:next w:val="CommentText"/>
    <w:link w:val="CommentSubjectChar"/>
    <w:uiPriority w:val="99"/>
    <w:semiHidden/>
    <w:rsid w:val="00602CB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customStyle="1" w:styleId="QMIRText">
    <w:name w:val="QMIR Text"/>
    <w:basedOn w:val="Normal"/>
    <w:link w:val="QMIRTextChar"/>
    <w:uiPriority w:val="99"/>
    <w:rsid w:val="002737DA"/>
    <w:rPr>
      <w:rFonts w:ascii="Calibri" w:hAnsi="Calibri"/>
      <w:lang w:eastAsia="en-US"/>
    </w:rPr>
  </w:style>
  <w:style w:type="character" w:customStyle="1" w:styleId="QMIRTextChar">
    <w:name w:val="QMIR Text Char"/>
    <w:basedOn w:val="DefaultParagraphFont"/>
    <w:link w:val="QMIRText"/>
    <w:uiPriority w:val="99"/>
    <w:locked/>
    <w:rsid w:val="002737DA"/>
    <w:rPr>
      <w:rFonts w:ascii="Calibri" w:hAnsi="Calibri" w:cs="Times New Roman"/>
      <w:sz w:val="24"/>
      <w:szCs w:val="24"/>
      <w:lang w:val="en-AU" w:eastAsia="en-US" w:bidi="ar-SA"/>
    </w:rPr>
  </w:style>
  <w:style w:type="character" w:styleId="FollowedHyperlink">
    <w:name w:val="FollowedHyperlink"/>
    <w:basedOn w:val="DefaultParagraphFont"/>
    <w:uiPriority w:val="99"/>
    <w:rsid w:val="00947B18"/>
    <w:rPr>
      <w:rFonts w:cs="Times New Roman"/>
      <w:color w:val="800080"/>
      <w:u w:val="single"/>
    </w:rPr>
  </w:style>
  <w:style w:type="paragraph" w:styleId="Revision">
    <w:name w:val="Revision"/>
    <w:hidden/>
    <w:uiPriority w:val="99"/>
    <w:semiHidden/>
    <w:rsid w:val="009F0CBB"/>
    <w:rPr>
      <w:sz w:val="24"/>
      <w:szCs w:val="24"/>
    </w:rPr>
  </w:style>
  <w:style w:type="paragraph" w:customStyle="1" w:styleId="Nonnumberedheading">
    <w:name w:val="Non_numbered heading"/>
    <w:basedOn w:val="QMIRText"/>
    <w:uiPriority w:val="99"/>
    <w:rsid w:val="006C65C9"/>
    <w:rPr>
      <w:b/>
      <w:color w:val="33CCCC"/>
      <w:sz w:val="28"/>
    </w:rPr>
  </w:style>
  <w:style w:type="paragraph" w:styleId="ListParagraph">
    <w:name w:val="List Paragraph"/>
    <w:basedOn w:val="Normal"/>
    <w:uiPriority w:val="34"/>
    <w:qFormat/>
    <w:rsid w:val="00051D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5549181">
      <w:marLeft w:val="0"/>
      <w:marRight w:val="0"/>
      <w:marTop w:val="0"/>
      <w:marBottom w:val="0"/>
      <w:divBdr>
        <w:top w:val="none" w:sz="0" w:space="0" w:color="auto"/>
        <w:left w:val="none" w:sz="0" w:space="0" w:color="auto"/>
        <w:bottom w:val="none" w:sz="0" w:space="0" w:color="auto"/>
        <w:right w:val="none" w:sz="0" w:space="0" w:color="auto"/>
      </w:divBdr>
    </w:div>
    <w:div w:id="2025549182">
      <w:marLeft w:val="0"/>
      <w:marRight w:val="0"/>
      <w:marTop w:val="0"/>
      <w:marBottom w:val="0"/>
      <w:divBdr>
        <w:top w:val="none" w:sz="0" w:space="0" w:color="auto"/>
        <w:left w:val="none" w:sz="0" w:space="0" w:color="auto"/>
        <w:bottom w:val="none" w:sz="0" w:space="0" w:color="auto"/>
        <w:right w:val="none" w:sz="0" w:space="0" w:color="auto"/>
      </w:divBdr>
    </w:div>
    <w:div w:id="2025549183">
      <w:marLeft w:val="0"/>
      <w:marRight w:val="0"/>
      <w:marTop w:val="0"/>
      <w:marBottom w:val="0"/>
      <w:divBdr>
        <w:top w:val="none" w:sz="0" w:space="0" w:color="auto"/>
        <w:left w:val="none" w:sz="0" w:space="0" w:color="auto"/>
        <w:bottom w:val="none" w:sz="0" w:space="0" w:color="auto"/>
        <w:right w:val="none" w:sz="0" w:space="0" w:color="auto"/>
      </w:divBdr>
    </w:div>
    <w:div w:id="2025549184">
      <w:marLeft w:val="0"/>
      <w:marRight w:val="0"/>
      <w:marTop w:val="0"/>
      <w:marBottom w:val="0"/>
      <w:divBdr>
        <w:top w:val="none" w:sz="0" w:space="0" w:color="auto"/>
        <w:left w:val="none" w:sz="0" w:space="0" w:color="auto"/>
        <w:bottom w:val="none" w:sz="0" w:space="0" w:color="auto"/>
        <w:right w:val="none" w:sz="0" w:space="0" w:color="auto"/>
      </w:divBdr>
    </w:div>
    <w:div w:id="2025549185">
      <w:marLeft w:val="0"/>
      <w:marRight w:val="0"/>
      <w:marTop w:val="0"/>
      <w:marBottom w:val="0"/>
      <w:divBdr>
        <w:top w:val="none" w:sz="0" w:space="0" w:color="auto"/>
        <w:left w:val="none" w:sz="0" w:space="0" w:color="auto"/>
        <w:bottom w:val="none" w:sz="0" w:space="0" w:color="auto"/>
        <w:right w:val="none" w:sz="0" w:space="0" w:color="auto"/>
      </w:divBdr>
    </w:div>
    <w:div w:id="2025549186">
      <w:marLeft w:val="0"/>
      <w:marRight w:val="0"/>
      <w:marTop w:val="0"/>
      <w:marBottom w:val="0"/>
      <w:divBdr>
        <w:top w:val="none" w:sz="0" w:space="0" w:color="auto"/>
        <w:left w:val="none" w:sz="0" w:space="0" w:color="auto"/>
        <w:bottom w:val="none" w:sz="0" w:space="0" w:color="auto"/>
        <w:right w:val="none" w:sz="0" w:space="0" w:color="auto"/>
      </w:divBdr>
    </w:div>
    <w:div w:id="2025549187">
      <w:marLeft w:val="0"/>
      <w:marRight w:val="0"/>
      <w:marTop w:val="0"/>
      <w:marBottom w:val="0"/>
      <w:divBdr>
        <w:top w:val="none" w:sz="0" w:space="0" w:color="auto"/>
        <w:left w:val="none" w:sz="0" w:space="0" w:color="auto"/>
        <w:bottom w:val="none" w:sz="0" w:space="0" w:color="auto"/>
        <w:right w:val="none" w:sz="0" w:space="0" w:color="auto"/>
      </w:divBdr>
    </w:div>
    <w:div w:id="2025549188">
      <w:marLeft w:val="0"/>
      <w:marRight w:val="0"/>
      <w:marTop w:val="0"/>
      <w:marBottom w:val="0"/>
      <w:divBdr>
        <w:top w:val="none" w:sz="0" w:space="0" w:color="auto"/>
        <w:left w:val="none" w:sz="0" w:space="0" w:color="auto"/>
        <w:bottom w:val="none" w:sz="0" w:space="0" w:color="auto"/>
        <w:right w:val="none" w:sz="0" w:space="0" w:color="auto"/>
      </w:divBdr>
    </w:div>
    <w:div w:id="2025549189">
      <w:marLeft w:val="0"/>
      <w:marRight w:val="0"/>
      <w:marTop w:val="0"/>
      <w:marBottom w:val="0"/>
      <w:divBdr>
        <w:top w:val="none" w:sz="0" w:space="0" w:color="auto"/>
        <w:left w:val="none" w:sz="0" w:space="0" w:color="auto"/>
        <w:bottom w:val="none" w:sz="0" w:space="0" w:color="auto"/>
        <w:right w:val="none" w:sz="0" w:space="0" w:color="auto"/>
      </w:divBdr>
    </w:div>
    <w:div w:id="2025549190">
      <w:marLeft w:val="0"/>
      <w:marRight w:val="0"/>
      <w:marTop w:val="0"/>
      <w:marBottom w:val="0"/>
      <w:divBdr>
        <w:top w:val="none" w:sz="0" w:space="0" w:color="auto"/>
        <w:left w:val="none" w:sz="0" w:space="0" w:color="auto"/>
        <w:bottom w:val="none" w:sz="0" w:space="0" w:color="auto"/>
        <w:right w:val="none" w:sz="0" w:space="0" w:color="auto"/>
      </w:divBdr>
    </w:div>
    <w:div w:id="2025549191">
      <w:marLeft w:val="0"/>
      <w:marRight w:val="0"/>
      <w:marTop w:val="0"/>
      <w:marBottom w:val="0"/>
      <w:divBdr>
        <w:top w:val="none" w:sz="0" w:space="0" w:color="auto"/>
        <w:left w:val="none" w:sz="0" w:space="0" w:color="auto"/>
        <w:bottom w:val="none" w:sz="0" w:space="0" w:color="auto"/>
        <w:right w:val="none" w:sz="0" w:space="0" w:color="auto"/>
      </w:divBdr>
    </w:div>
    <w:div w:id="2025549192">
      <w:marLeft w:val="0"/>
      <w:marRight w:val="0"/>
      <w:marTop w:val="0"/>
      <w:marBottom w:val="0"/>
      <w:divBdr>
        <w:top w:val="none" w:sz="0" w:space="0" w:color="auto"/>
        <w:left w:val="none" w:sz="0" w:space="0" w:color="auto"/>
        <w:bottom w:val="none" w:sz="0" w:space="0" w:color="auto"/>
        <w:right w:val="none" w:sz="0" w:space="0" w:color="auto"/>
      </w:divBdr>
    </w:div>
    <w:div w:id="2025549193">
      <w:marLeft w:val="0"/>
      <w:marRight w:val="0"/>
      <w:marTop w:val="0"/>
      <w:marBottom w:val="0"/>
      <w:divBdr>
        <w:top w:val="none" w:sz="0" w:space="0" w:color="auto"/>
        <w:left w:val="none" w:sz="0" w:space="0" w:color="auto"/>
        <w:bottom w:val="none" w:sz="0" w:space="0" w:color="auto"/>
        <w:right w:val="none" w:sz="0" w:space="0" w:color="auto"/>
      </w:divBdr>
    </w:div>
    <w:div w:id="2025549194">
      <w:marLeft w:val="0"/>
      <w:marRight w:val="0"/>
      <w:marTop w:val="0"/>
      <w:marBottom w:val="0"/>
      <w:divBdr>
        <w:top w:val="none" w:sz="0" w:space="0" w:color="auto"/>
        <w:left w:val="none" w:sz="0" w:space="0" w:color="auto"/>
        <w:bottom w:val="none" w:sz="0" w:space="0" w:color="auto"/>
        <w:right w:val="none" w:sz="0" w:space="0" w:color="auto"/>
      </w:divBdr>
    </w:div>
    <w:div w:id="2025549195">
      <w:marLeft w:val="0"/>
      <w:marRight w:val="0"/>
      <w:marTop w:val="0"/>
      <w:marBottom w:val="0"/>
      <w:divBdr>
        <w:top w:val="none" w:sz="0" w:space="0" w:color="auto"/>
        <w:left w:val="none" w:sz="0" w:space="0" w:color="auto"/>
        <w:bottom w:val="none" w:sz="0" w:space="0" w:color="auto"/>
        <w:right w:val="none" w:sz="0" w:space="0" w:color="auto"/>
      </w:divBdr>
    </w:div>
    <w:div w:id="2025549196">
      <w:marLeft w:val="0"/>
      <w:marRight w:val="0"/>
      <w:marTop w:val="0"/>
      <w:marBottom w:val="0"/>
      <w:divBdr>
        <w:top w:val="none" w:sz="0" w:space="0" w:color="auto"/>
        <w:left w:val="none" w:sz="0" w:space="0" w:color="auto"/>
        <w:bottom w:val="none" w:sz="0" w:space="0" w:color="auto"/>
        <w:right w:val="none" w:sz="0" w:space="0" w:color="auto"/>
      </w:divBdr>
    </w:div>
    <w:div w:id="2025549197">
      <w:marLeft w:val="0"/>
      <w:marRight w:val="0"/>
      <w:marTop w:val="0"/>
      <w:marBottom w:val="0"/>
      <w:divBdr>
        <w:top w:val="none" w:sz="0" w:space="0" w:color="auto"/>
        <w:left w:val="none" w:sz="0" w:space="0" w:color="auto"/>
        <w:bottom w:val="none" w:sz="0" w:space="0" w:color="auto"/>
        <w:right w:val="none" w:sz="0" w:space="0" w:color="auto"/>
      </w:divBdr>
    </w:div>
    <w:div w:id="2025549198">
      <w:marLeft w:val="0"/>
      <w:marRight w:val="0"/>
      <w:marTop w:val="0"/>
      <w:marBottom w:val="0"/>
      <w:divBdr>
        <w:top w:val="none" w:sz="0" w:space="0" w:color="auto"/>
        <w:left w:val="none" w:sz="0" w:space="0" w:color="auto"/>
        <w:bottom w:val="none" w:sz="0" w:space="0" w:color="auto"/>
        <w:right w:val="none" w:sz="0" w:space="0" w:color="auto"/>
      </w:divBdr>
    </w:div>
    <w:div w:id="2025549199">
      <w:marLeft w:val="0"/>
      <w:marRight w:val="0"/>
      <w:marTop w:val="0"/>
      <w:marBottom w:val="0"/>
      <w:divBdr>
        <w:top w:val="none" w:sz="0" w:space="0" w:color="auto"/>
        <w:left w:val="none" w:sz="0" w:space="0" w:color="auto"/>
        <w:bottom w:val="none" w:sz="0" w:space="0" w:color="auto"/>
        <w:right w:val="none" w:sz="0" w:space="0" w:color="auto"/>
      </w:divBdr>
    </w:div>
    <w:div w:id="2025549200">
      <w:marLeft w:val="0"/>
      <w:marRight w:val="0"/>
      <w:marTop w:val="0"/>
      <w:marBottom w:val="0"/>
      <w:divBdr>
        <w:top w:val="none" w:sz="0" w:space="0" w:color="auto"/>
        <w:left w:val="none" w:sz="0" w:space="0" w:color="auto"/>
        <w:bottom w:val="none" w:sz="0" w:space="0" w:color="auto"/>
        <w:right w:val="none" w:sz="0" w:space="0" w:color="auto"/>
      </w:divBdr>
    </w:div>
    <w:div w:id="2025549201">
      <w:marLeft w:val="0"/>
      <w:marRight w:val="0"/>
      <w:marTop w:val="0"/>
      <w:marBottom w:val="0"/>
      <w:divBdr>
        <w:top w:val="none" w:sz="0" w:space="0" w:color="auto"/>
        <w:left w:val="none" w:sz="0" w:space="0" w:color="auto"/>
        <w:bottom w:val="none" w:sz="0" w:space="0" w:color="auto"/>
        <w:right w:val="none" w:sz="0" w:space="0" w:color="auto"/>
      </w:divBdr>
    </w:div>
    <w:div w:id="2025549202">
      <w:marLeft w:val="0"/>
      <w:marRight w:val="0"/>
      <w:marTop w:val="0"/>
      <w:marBottom w:val="0"/>
      <w:divBdr>
        <w:top w:val="none" w:sz="0" w:space="0" w:color="auto"/>
        <w:left w:val="none" w:sz="0" w:space="0" w:color="auto"/>
        <w:bottom w:val="none" w:sz="0" w:space="0" w:color="auto"/>
        <w:right w:val="none" w:sz="0" w:space="0" w:color="auto"/>
      </w:divBdr>
    </w:div>
    <w:div w:id="2025549203">
      <w:marLeft w:val="0"/>
      <w:marRight w:val="0"/>
      <w:marTop w:val="0"/>
      <w:marBottom w:val="0"/>
      <w:divBdr>
        <w:top w:val="none" w:sz="0" w:space="0" w:color="auto"/>
        <w:left w:val="none" w:sz="0" w:space="0" w:color="auto"/>
        <w:bottom w:val="none" w:sz="0" w:space="0" w:color="auto"/>
        <w:right w:val="none" w:sz="0" w:space="0" w:color="auto"/>
      </w:divBdr>
    </w:div>
    <w:div w:id="2025549204">
      <w:marLeft w:val="0"/>
      <w:marRight w:val="0"/>
      <w:marTop w:val="0"/>
      <w:marBottom w:val="0"/>
      <w:divBdr>
        <w:top w:val="none" w:sz="0" w:space="0" w:color="auto"/>
        <w:left w:val="none" w:sz="0" w:space="0" w:color="auto"/>
        <w:bottom w:val="none" w:sz="0" w:space="0" w:color="auto"/>
        <w:right w:val="none" w:sz="0" w:space="0" w:color="auto"/>
      </w:divBdr>
    </w:div>
    <w:div w:id="2025549205">
      <w:marLeft w:val="0"/>
      <w:marRight w:val="0"/>
      <w:marTop w:val="0"/>
      <w:marBottom w:val="0"/>
      <w:divBdr>
        <w:top w:val="none" w:sz="0" w:space="0" w:color="auto"/>
        <w:left w:val="none" w:sz="0" w:space="0" w:color="auto"/>
        <w:bottom w:val="none" w:sz="0" w:space="0" w:color="auto"/>
        <w:right w:val="none" w:sz="0" w:space="0" w:color="auto"/>
      </w:divBdr>
    </w:div>
    <w:div w:id="2025549206">
      <w:marLeft w:val="0"/>
      <w:marRight w:val="0"/>
      <w:marTop w:val="0"/>
      <w:marBottom w:val="0"/>
      <w:divBdr>
        <w:top w:val="none" w:sz="0" w:space="0" w:color="auto"/>
        <w:left w:val="none" w:sz="0" w:space="0" w:color="auto"/>
        <w:bottom w:val="none" w:sz="0" w:space="0" w:color="auto"/>
        <w:right w:val="none" w:sz="0" w:space="0" w:color="auto"/>
      </w:divBdr>
    </w:div>
    <w:div w:id="2025549207">
      <w:marLeft w:val="0"/>
      <w:marRight w:val="0"/>
      <w:marTop w:val="0"/>
      <w:marBottom w:val="0"/>
      <w:divBdr>
        <w:top w:val="none" w:sz="0" w:space="0" w:color="auto"/>
        <w:left w:val="none" w:sz="0" w:space="0" w:color="auto"/>
        <w:bottom w:val="none" w:sz="0" w:space="0" w:color="auto"/>
        <w:right w:val="none" w:sz="0" w:space="0" w:color="auto"/>
      </w:divBdr>
    </w:div>
    <w:div w:id="2025549208">
      <w:marLeft w:val="0"/>
      <w:marRight w:val="0"/>
      <w:marTop w:val="0"/>
      <w:marBottom w:val="0"/>
      <w:divBdr>
        <w:top w:val="none" w:sz="0" w:space="0" w:color="auto"/>
        <w:left w:val="none" w:sz="0" w:space="0" w:color="auto"/>
        <w:bottom w:val="none" w:sz="0" w:space="0" w:color="auto"/>
        <w:right w:val="none" w:sz="0" w:space="0" w:color="auto"/>
      </w:divBdr>
    </w:div>
    <w:div w:id="20255492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4.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yperlink" Target="mailto:childcare.data@deewr.gov.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DEEWR.gov.au"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chart" Target="charts/chart1.xml"/><Relationship Id="rId22"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2\Disposable%20inc%20and%20OOP%20costs%20graphs%20March%20quarter%202012.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PNAS003\ECD\04.%20Management%20Information%20Reports\Child%20Care%20Update\March%20qtr%202012\Disposable%20inc%20and%20OOP%20costs%20graphs%20March%20quarter%202012.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872E-2"/>
          <c:w val="0.9125934729856886"/>
          <c:h val="0.7119400423048422"/>
        </c:manualLayout>
      </c:layout>
      <c:barChart>
        <c:barDir val="col"/>
        <c:grouping val="clustered"/>
        <c:varyColors val="0"/>
        <c:ser>
          <c:idx val="2"/>
          <c:order val="0"/>
          <c:tx>
            <c:strRef>
              <c:f>'March 2012'!$B$98</c:f>
              <c:strCache>
                <c:ptCount val="1"/>
                <c:pt idx="0">
                  <c:v>2004</c:v>
                </c:pt>
              </c:strCache>
            </c:strRef>
          </c:tx>
          <c:spPr>
            <a:solidFill>
              <a:schemeClr val="bg1">
                <a:lumMod val="50000"/>
              </a:schemeClr>
            </a:solidFill>
            <a:ln w="6350">
              <a:solidFill>
                <a:sysClr val="windowText" lastClr="000000"/>
              </a:solidFill>
            </a:ln>
          </c:spPr>
          <c:invertIfNegative val="0"/>
          <c:dPt>
            <c:idx val="0"/>
            <c:invertIfNegative val="0"/>
            <c:bubble3D val="0"/>
            <c:spPr>
              <a:solidFill>
                <a:schemeClr val="bg1">
                  <a:lumMod val="50000"/>
                </a:schemeClr>
              </a:solidFill>
              <a:ln w="6350">
                <a:solidFill>
                  <a:sysClr val="windowText" lastClr="000000"/>
                </a:solidFill>
              </a:ln>
            </c:spPr>
          </c:dPt>
          <c:dLbls>
            <c:numFmt formatCode="0.0%" sourceLinked="0"/>
            <c:spPr>
              <a:noFill/>
            </c:spPr>
            <c:txPr>
              <a:bodyPr/>
              <a:lstStyle/>
              <a:p>
                <a:pPr>
                  <a:defRPr sz="900"/>
                </a:pPr>
                <a:endParaRPr lang="en-US"/>
              </a:p>
            </c:txPr>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2012'!$B$99:$B$105</c:f>
              <c:numCache>
                <c:formatCode>0.0%</c:formatCode>
                <c:ptCount val="7"/>
                <c:pt idx="0">
                  <c:v>0.123</c:v>
                </c:pt>
                <c:pt idx="1">
                  <c:v>0.13200000000000001</c:v>
                </c:pt>
                <c:pt idx="2">
                  <c:v>0.12985601371900021</c:v>
                </c:pt>
                <c:pt idx="3">
                  <c:v>0.1336437168787144</c:v>
                </c:pt>
                <c:pt idx="4">
                  <c:v>0.11422511277643979</c:v>
                </c:pt>
                <c:pt idx="5">
                  <c:v>0.10041429561684909</c:v>
                </c:pt>
              </c:numCache>
            </c:numRef>
          </c:val>
        </c:ser>
        <c:ser>
          <c:idx val="0"/>
          <c:order val="1"/>
          <c:tx>
            <c:strRef>
              <c:f>'March 2012'!$D$3</c:f>
              <c:strCache>
                <c:ptCount val="1"/>
                <c:pt idx="0">
                  <c:v>2012</c:v>
                </c:pt>
              </c:strCache>
            </c:strRef>
          </c:tx>
          <c:spPr>
            <a:solidFill>
              <a:schemeClr val="bg1">
                <a:lumMod val="85000"/>
              </a:schemeClr>
            </a:solidFill>
            <a:ln w="6350">
              <a:solidFill>
                <a:prstClr val="black"/>
              </a:solidFill>
            </a:ln>
          </c:spPr>
          <c:invertIfNegative val="0"/>
          <c:dLbls>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2012'!$J$73:$J$79</c:f>
              <c:numCache>
                <c:formatCode>0.0%</c:formatCode>
                <c:ptCount val="7"/>
                <c:pt idx="0">
                  <c:v>8.8468802462227186E-2</c:v>
                </c:pt>
                <c:pt idx="1">
                  <c:v>8.6460850710198753E-2</c:v>
                </c:pt>
                <c:pt idx="2">
                  <c:v>8.4272078754789717E-2</c:v>
                </c:pt>
                <c:pt idx="3">
                  <c:v>8.2442167434784552E-2</c:v>
                </c:pt>
                <c:pt idx="4">
                  <c:v>8.5605044056742588E-2</c:v>
                </c:pt>
                <c:pt idx="5">
                  <c:v>9.3817899912028213E-2</c:v>
                </c:pt>
                <c:pt idx="6">
                  <c:v>8.8851370148838496E-2</c:v>
                </c:pt>
              </c:numCache>
            </c:numRef>
          </c:val>
        </c:ser>
        <c:dLbls>
          <c:showLegendKey val="0"/>
          <c:showVal val="0"/>
          <c:showCatName val="0"/>
          <c:showSerName val="0"/>
          <c:showPercent val="0"/>
          <c:showBubbleSize val="0"/>
        </c:dLbls>
        <c:gapWidth val="150"/>
        <c:axId val="43124608"/>
        <c:axId val="43148800"/>
      </c:barChart>
      <c:catAx>
        <c:axId val="43124608"/>
        <c:scaling>
          <c:orientation val="minMax"/>
        </c:scaling>
        <c:delete val="0"/>
        <c:axPos val="b"/>
        <c:title>
          <c:tx>
            <c:rich>
              <a:bodyPr/>
              <a:lstStyle/>
              <a:p>
                <a:pPr>
                  <a:defRPr/>
                </a:pPr>
                <a:r>
                  <a:rPr lang="en-AU"/>
                  <a:t>Gross Family Income</a:t>
                </a:r>
              </a:p>
            </c:rich>
          </c:tx>
          <c:layout>
            <c:manualLayout>
              <c:xMode val="edge"/>
              <c:yMode val="edge"/>
              <c:x val="0.43095255781706715"/>
              <c:y val="0.85046845410146521"/>
            </c:manualLayout>
          </c:layout>
          <c:overlay val="0"/>
        </c:title>
        <c:numFmt formatCode="&quot;$&quot;#,##0" sourceLinked="0"/>
        <c:majorTickMark val="out"/>
        <c:minorTickMark val="none"/>
        <c:tickLblPos val="nextTo"/>
        <c:crossAx val="43148800"/>
        <c:crosses val="autoZero"/>
        <c:auto val="1"/>
        <c:lblAlgn val="ctr"/>
        <c:lblOffset val="100"/>
        <c:noMultiLvlLbl val="0"/>
      </c:catAx>
      <c:valAx>
        <c:axId val="43148800"/>
        <c:scaling>
          <c:orientation val="minMax"/>
        </c:scaling>
        <c:delete val="0"/>
        <c:axPos val="l"/>
        <c:majorGridlines>
          <c:spPr>
            <a:ln w="0">
              <a:solidFill>
                <a:schemeClr val="bg1"/>
              </a:solidFill>
            </a:ln>
          </c:spPr>
        </c:majorGridlines>
        <c:numFmt formatCode="0%" sourceLinked="0"/>
        <c:majorTickMark val="out"/>
        <c:minorTickMark val="none"/>
        <c:tickLblPos val="nextTo"/>
        <c:crossAx val="43124608"/>
        <c:crosses val="autoZero"/>
        <c:crossBetween val="between"/>
      </c:valAx>
    </c:plotArea>
    <c:legend>
      <c:legendPos val="b"/>
      <c:layout>
        <c:manualLayout>
          <c:xMode val="edge"/>
          <c:yMode val="edge"/>
          <c:x val="0.32921055322630138"/>
          <c:y val="0.91490248845476596"/>
          <c:w val="0.37499295026138268"/>
          <c:h val="6.4000465131732034E-2"/>
        </c:manualLayout>
      </c:layout>
      <c:overlay val="0"/>
    </c:legend>
    <c:plotVisOnly val="1"/>
    <c:dispBlanksAs val="gap"/>
    <c:showDLblsOverMax val="0"/>
  </c:chart>
  <c:spPr>
    <a:ln w="12700">
      <a:solidFill>
        <a:schemeClr val="tx1"/>
      </a:solid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6.5787076202251563E-2"/>
          <c:y val="4.4379921259842907E-2"/>
          <c:w val="0.9125934729856886"/>
          <c:h val="0.71194004230484265"/>
        </c:manualLayout>
      </c:layout>
      <c:barChart>
        <c:barDir val="col"/>
        <c:grouping val="clustered"/>
        <c:varyColors val="0"/>
        <c:ser>
          <c:idx val="2"/>
          <c:order val="0"/>
          <c:tx>
            <c:strRef>
              <c:f>'March 2012'!$H$98</c:f>
              <c:strCache>
                <c:ptCount val="1"/>
                <c:pt idx="0">
                  <c:v>Before Government Subsidies</c:v>
                </c:pt>
              </c:strCache>
            </c:strRef>
          </c:tx>
          <c:spPr>
            <a:solidFill>
              <a:schemeClr val="bg1">
                <a:lumMod val="50000"/>
              </a:schemeClr>
            </a:solidFill>
            <a:ln w="6350">
              <a:solidFill>
                <a:prstClr val="black"/>
              </a:solidFill>
            </a:ln>
          </c:spPr>
          <c:invertIfNegative val="0"/>
          <c:dLbls>
            <c:txPr>
              <a:bodyPr/>
              <a:lstStyle/>
              <a:p>
                <a:pPr>
                  <a:defRPr sz="900"/>
                </a:pPr>
                <a:endParaRPr lang="en-US"/>
              </a:p>
            </c:txPr>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2012'!$J$64:$J$70</c:f>
              <c:numCache>
                <c:formatCode>0.0%</c:formatCode>
                <c:ptCount val="7"/>
                <c:pt idx="0">
                  <c:v>0.39727895914941241</c:v>
                </c:pt>
                <c:pt idx="1">
                  <c:v>0.32550697781046717</c:v>
                </c:pt>
                <c:pt idx="2">
                  <c:v>0.26167384643737474</c:v>
                </c:pt>
                <c:pt idx="3">
                  <c:v>0.21782374411127373</c:v>
                </c:pt>
                <c:pt idx="4">
                  <c:v>0.19169258982162243</c:v>
                </c:pt>
                <c:pt idx="5">
                  <c:v>0.16769186859043758</c:v>
                </c:pt>
                <c:pt idx="6">
                  <c:v>0.15405515370705244</c:v>
                </c:pt>
              </c:numCache>
            </c:numRef>
          </c:val>
        </c:ser>
        <c:ser>
          <c:idx val="0"/>
          <c:order val="1"/>
          <c:tx>
            <c:strRef>
              <c:f>'March 2012'!$I$98</c:f>
              <c:strCache>
                <c:ptCount val="1"/>
                <c:pt idx="0">
                  <c:v>After Government Subsidies</c:v>
                </c:pt>
              </c:strCache>
            </c:strRef>
          </c:tx>
          <c:spPr>
            <a:solidFill>
              <a:schemeClr val="bg1">
                <a:lumMod val="85000"/>
              </a:schemeClr>
            </a:solidFill>
            <a:ln w="6350">
              <a:solidFill>
                <a:prstClr val="black"/>
              </a:solidFill>
            </a:ln>
          </c:spPr>
          <c:invertIfNegative val="0"/>
          <c:dLbls>
            <c:dLbl>
              <c:idx val="0"/>
              <c:layout>
                <c:manualLayout>
                  <c:x val="5.9347181008902261E-3"/>
                  <c:y val="0"/>
                </c:manualLayout>
              </c:layout>
              <c:dLblPos val="outEnd"/>
              <c:showLegendKey val="0"/>
              <c:showVal val="1"/>
              <c:showCatName val="0"/>
              <c:showSerName val="0"/>
              <c:showPercent val="0"/>
              <c:showBubbleSize val="0"/>
            </c:dLbl>
            <c:dLbl>
              <c:idx val="1"/>
              <c:layout>
                <c:manualLayout>
                  <c:x val="5.9347181008902079E-3"/>
                  <c:y val="0"/>
                </c:manualLayout>
              </c:layout>
              <c:dLblPos val="outEnd"/>
              <c:showLegendKey val="0"/>
              <c:showVal val="1"/>
              <c:showCatName val="0"/>
              <c:showSerName val="0"/>
              <c:showPercent val="0"/>
              <c:showBubbleSize val="0"/>
            </c:dLbl>
            <c:dLbl>
              <c:idx val="2"/>
              <c:layout>
                <c:manualLayout>
                  <c:x val="5.9347181008902079E-3"/>
                  <c:y val="0"/>
                </c:manualLayout>
              </c:layout>
              <c:dLblPos val="outEnd"/>
              <c:showLegendKey val="0"/>
              <c:showVal val="1"/>
              <c:showCatName val="0"/>
              <c:showSerName val="0"/>
              <c:showPercent val="0"/>
              <c:showBubbleSize val="0"/>
            </c:dLbl>
            <c:dLbl>
              <c:idx val="3"/>
              <c:layout>
                <c:manualLayout>
                  <c:x val="5.9347181008902079E-3"/>
                  <c:y val="-6.5288894400102527E-17"/>
                </c:manualLayout>
              </c:layout>
              <c:dLblPos val="outEnd"/>
              <c:showLegendKey val="0"/>
              <c:showVal val="1"/>
              <c:showCatName val="0"/>
              <c:showSerName val="0"/>
              <c:showPercent val="0"/>
              <c:showBubbleSize val="0"/>
            </c:dLbl>
            <c:dLbl>
              <c:idx val="4"/>
              <c:layout>
                <c:manualLayout>
                  <c:x val="5.9347181008902079E-3"/>
                  <c:y val="0"/>
                </c:manualLayout>
              </c:layout>
              <c:dLblPos val="outEnd"/>
              <c:showLegendKey val="0"/>
              <c:showVal val="1"/>
              <c:showCatName val="0"/>
              <c:showSerName val="0"/>
              <c:showPercent val="0"/>
              <c:showBubbleSize val="0"/>
            </c:dLbl>
            <c:dLbl>
              <c:idx val="5"/>
              <c:layout>
                <c:manualLayout>
                  <c:x val="5.9347181008902079E-3"/>
                  <c:y val="0"/>
                </c:manualLayout>
              </c:layout>
              <c:dLblPos val="outEnd"/>
              <c:showLegendKey val="0"/>
              <c:showVal val="1"/>
              <c:showCatName val="0"/>
              <c:showSerName val="0"/>
              <c:showPercent val="0"/>
              <c:showBubbleSize val="0"/>
            </c:dLbl>
            <c:dLbl>
              <c:idx val="6"/>
              <c:layout>
                <c:manualLayout>
                  <c:x val="5.9347181008902079E-3"/>
                  <c:y val="-6.5288894400102527E-17"/>
                </c:manualLayout>
              </c:layout>
              <c:dLblPos val="outEnd"/>
              <c:showLegendKey val="0"/>
              <c:showVal val="1"/>
              <c:showCatName val="0"/>
              <c:showSerName val="0"/>
              <c:showPercent val="0"/>
              <c:showBubbleSize val="0"/>
            </c:dLbl>
            <c:numFmt formatCode="0.0%" sourceLinked="0"/>
            <c:txPr>
              <a:bodyPr/>
              <a:lstStyle/>
              <a:p>
                <a:pPr>
                  <a:defRPr sz="900"/>
                </a:pPr>
                <a:endParaRPr lang="en-US"/>
              </a:p>
            </c:txPr>
            <c:dLblPos val="outEnd"/>
            <c:showLegendKey val="0"/>
            <c:showVal val="1"/>
            <c:showCatName val="0"/>
            <c:showSerName val="0"/>
            <c:showPercent val="0"/>
            <c:showBubbleSize val="0"/>
            <c:showLeaderLines val="0"/>
          </c:dLbls>
          <c:cat>
            <c:numRef>
              <c:f>'March 2012'!$B$82:$H$82</c:f>
              <c:numCache>
                <c:formatCode>"$"#,##0</c:formatCode>
                <c:ptCount val="7"/>
                <c:pt idx="0">
                  <c:v>35000</c:v>
                </c:pt>
                <c:pt idx="1">
                  <c:v>55000</c:v>
                </c:pt>
                <c:pt idx="2">
                  <c:v>75000</c:v>
                </c:pt>
                <c:pt idx="3">
                  <c:v>95000</c:v>
                </c:pt>
                <c:pt idx="4">
                  <c:v>115000</c:v>
                </c:pt>
                <c:pt idx="5">
                  <c:v>135000</c:v>
                </c:pt>
                <c:pt idx="6">
                  <c:v>150000</c:v>
                </c:pt>
              </c:numCache>
            </c:numRef>
          </c:cat>
          <c:val>
            <c:numRef>
              <c:f>'March 2012'!$J$73:$J$79</c:f>
              <c:numCache>
                <c:formatCode>0.0%</c:formatCode>
                <c:ptCount val="7"/>
                <c:pt idx="0">
                  <c:v>8.8468802462227186E-2</c:v>
                </c:pt>
                <c:pt idx="1">
                  <c:v>8.6460850710198753E-2</c:v>
                </c:pt>
                <c:pt idx="2">
                  <c:v>8.4272078754789717E-2</c:v>
                </c:pt>
                <c:pt idx="3">
                  <c:v>8.2442167434784552E-2</c:v>
                </c:pt>
                <c:pt idx="4">
                  <c:v>8.5605044056742588E-2</c:v>
                </c:pt>
                <c:pt idx="5">
                  <c:v>9.3817899912028213E-2</c:v>
                </c:pt>
                <c:pt idx="6">
                  <c:v>8.8851370148838496E-2</c:v>
                </c:pt>
              </c:numCache>
            </c:numRef>
          </c:val>
        </c:ser>
        <c:dLbls>
          <c:showLegendKey val="0"/>
          <c:showVal val="0"/>
          <c:showCatName val="0"/>
          <c:showSerName val="0"/>
          <c:showPercent val="0"/>
          <c:showBubbleSize val="0"/>
        </c:dLbls>
        <c:gapWidth val="150"/>
        <c:axId val="83692928"/>
        <c:axId val="90364544"/>
      </c:barChart>
      <c:catAx>
        <c:axId val="83692928"/>
        <c:scaling>
          <c:orientation val="minMax"/>
        </c:scaling>
        <c:delete val="0"/>
        <c:axPos val="b"/>
        <c:title>
          <c:tx>
            <c:rich>
              <a:bodyPr/>
              <a:lstStyle/>
              <a:p>
                <a:pPr>
                  <a:defRPr/>
                </a:pPr>
                <a:r>
                  <a:rPr lang="en-AU"/>
                  <a:t>Gross Family Income</a:t>
                </a:r>
              </a:p>
            </c:rich>
          </c:tx>
          <c:layout>
            <c:manualLayout>
              <c:xMode val="edge"/>
              <c:yMode val="edge"/>
              <c:x val="0.43095255781706737"/>
              <c:y val="0.85046845410146521"/>
            </c:manualLayout>
          </c:layout>
          <c:overlay val="0"/>
        </c:title>
        <c:numFmt formatCode="&quot;$&quot;#,##0" sourceLinked="0"/>
        <c:majorTickMark val="out"/>
        <c:minorTickMark val="none"/>
        <c:tickLblPos val="nextTo"/>
        <c:crossAx val="90364544"/>
        <c:crosses val="autoZero"/>
        <c:auto val="1"/>
        <c:lblAlgn val="ctr"/>
        <c:lblOffset val="100"/>
        <c:noMultiLvlLbl val="0"/>
      </c:catAx>
      <c:valAx>
        <c:axId val="90364544"/>
        <c:scaling>
          <c:orientation val="minMax"/>
        </c:scaling>
        <c:delete val="0"/>
        <c:axPos val="l"/>
        <c:majorGridlines>
          <c:spPr>
            <a:ln w="0">
              <a:solidFill>
                <a:schemeClr val="bg1"/>
              </a:solidFill>
            </a:ln>
          </c:spPr>
        </c:majorGridlines>
        <c:numFmt formatCode="0%" sourceLinked="0"/>
        <c:majorTickMark val="out"/>
        <c:minorTickMark val="none"/>
        <c:tickLblPos val="nextTo"/>
        <c:crossAx val="83692928"/>
        <c:crosses val="autoZero"/>
        <c:crossBetween val="between"/>
      </c:valAx>
    </c:plotArea>
    <c:legend>
      <c:legendPos val="b"/>
      <c:layout>
        <c:manualLayout>
          <c:xMode val="edge"/>
          <c:yMode val="edge"/>
          <c:x val="7.9308939688324184E-2"/>
          <c:y val="0.91490259550889474"/>
          <c:w val="0.87479617733733694"/>
          <c:h val="6.4000465131732034E-2"/>
        </c:manualLayout>
      </c:layout>
      <c:overlay val="0"/>
    </c:legend>
    <c:plotVisOnly val="1"/>
    <c:dispBlanksAs val="gap"/>
    <c:showDLblsOverMax val="0"/>
  </c:chart>
  <c:spPr>
    <a:ln w="12700">
      <a:solidFill>
        <a:schemeClr val="tx1"/>
      </a:solid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15782D-FC40-48A7-8FC9-DB0FFD5DC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5FB84F9-BB22-4AA5-A6D6-8118E6DE3EF6}">
  <ds:schemaRefs>
    <ds:schemaRef ds:uri="http://schemas.microsoft.com/sharepoint/v3/contenttype/forms"/>
  </ds:schemaRefs>
</ds:datastoreItem>
</file>

<file path=customXml/itemProps3.xml><?xml version="1.0" encoding="utf-8"?>
<ds:datastoreItem xmlns:ds="http://schemas.openxmlformats.org/officeDocument/2006/customXml" ds:itemID="{180A8242-7F29-4805-B54C-A85CF2037CBB}">
  <ds:schemaRefs>
    <ds:schemaRef ds:uri="http://schemas.openxmlformats.org/package/2006/metadata/core-properties"/>
    <ds:schemaRef ds:uri="http://schemas.microsoft.com/office/infopath/2007/PartnerControls"/>
    <ds:schemaRef ds:uri="http://purl.org/dc/elements/1.1/"/>
    <ds:schemaRef ds:uri="http://schemas.microsoft.com/office/2006/documentManagement/types"/>
    <ds:schemaRef ds:uri="http://purl.org/dc/term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D86CA426-9D37-4707-853B-D40BFB5717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7313C728.dotm</Template>
  <TotalTime>9</TotalTime>
  <Pages>8</Pages>
  <Words>2993</Words>
  <Characters>15602</Characters>
  <Application>Microsoft Office Word</Application>
  <DocSecurity>0</DocSecurity>
  <Lines>130</Lines>
  <Paragraphs>37</Paragraphs>
  <ScaleCrop>false</ScaleCrop>
  <HeadingPairs>
    <vt:vector size="2" baseType="variant">
      <vt:variant>
        <vt:lpstr>Title</vt:lpstr>
      </vt:variant>
      <vt:variant>
        <vt:i4>1</vt:i4>
      </vt:variant>
    </vt:vector>
  </HeadingPairs>
  <TitlesOfParts>
    <vt:vector size="1" baseType="lpstr">
      <vt:lpstr>¬¬¬</vt:lpstr>
    </vt:vector>
  </TitlesOfParts>
  <Company>Australian Government</Company>
  <LinksUpToDate>false</LinksUpToDate>
  <CharactersWithSpaces>18558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jd1522_p</dc:creator>
  <cp:lastModifiedBy>Cara Stafford</cp:lastModifiedBy>
  <cp:revision>5</cp:revision>
  <cp:lastPrinted>2013-01-23T00:10:00Z</cp:lastPrinted>
  <dcterms:created xsi:type="dcterms:W3CDTF">2013-12-02T02:01:00Z</dcterms:created>
  <dcterms:modified xsi:type="dcterms:W3CDTF">2013-12-02T05:34:00Z</dcterms:modified>
</cp:coreProperties>
</file>