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B2437" w14:textId="341DB853" w:rsidR="007A0E7E" w:rsidRPr="003A2822" w:rsidRDefault="00894728" w:rsidP="00782526">
      <w:pPr>
        <w:pStyle w:val="Title"/>
        <w:spacing w:before="3000"/>
        <w:rPr>
          <w:color w:val="963721" w:themeColor="accent3" w:themeShade="BF"/>
        </w:rPr>
      </w:pPr>
      <w:r w:rsidRPr="003A2822">
        <w:rPr>
          <w:color w:val="963721" w:themeColor="accent3" w:themeShade="BF"/>
        </w:rPr>
        <w:t>Innovation</w:t>
      </w:r>
      <w:r w:rsidR="00A40ED2" w:rsidRPr="003A2822">
        <w:rPr>
          <w:color w:val="963721" w:themeColor="accent3" w:themeShade="BF"/>
        </w:rPr>
        <w:t xml:space="preserve"> Development Fund</w:t>
      </w:r>
      <w:r w:rsidRPr="003A2822">
        <w:rPr>
          <w:color w:val="963721" w:themeColor="accent3" w:themeShade="BF"/>
        </w:rPr>
        <w:t xml:space="preserve"> 2021</w:t>
      </w:r>
      <w:r w:rsidR="00A40ED2" w:rsidRPr="003A2822">
        <w:rPr>
          <w:color w:val="963721" w:themeColor="accent3" w:themeShade="BF"/>
        </w:rPr>
        <w:t>-22</w:t>
      </w:r>
    </w:p>
    <w:p w14:paraId="04392FCB" w14:textId="77777777" w:rsidR="007A0E7E" w:rsidRPr="003A2822" w:rsidRDefault="007A0E7E" w:rsidP="007A0E7E">
      <w:pPr>
        <w:pStyle w:val="Title"/>
      </w:pPr>
      <w:r w:rsidRPr="003A2822">
        <w:t>Guidelines</w:t>
      </w:r>
    </w:p>
    <w:p w14:paraId="20EB421C" w14:textId="77777777" w:rsidR="007A0E7E" w:rsidRPr="003A2822" w:rsidRDefault="007A0E7E" w:rsidP="007A0E7E">
      <w:pPr>
        <w:spacing w:line="240" w:lineRule="auto"/>
      </w:pPr>
    </w:p>
    <w:tbl>
      <w:tblPr>
        <w:tblStyle w:val="TableGrid"/>
        <w:tblW w:w="9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etails of Grant Opportunity"/>
        <w:tblDescription w:val="Basic details of Grant Opportunity "/>
      </w:tblPr>
      <w:tblGrid>
        <w:gridCol w:w="2977"/>
        <w:gridCol w:w="6404"/>
      </w:tblGrid>
      <w:tr w:rsidR="007A0E7E" w:rsidRPr="003A2822" w14:paraId="062F29C7" w14:textId="77777777" w:rsidTr="001433B0">
        <w:trPr>
          <w:tblHeader/>
        </w:trPr>
        <w:tc>
          <w:tcPr>
            <w:tcW w:w="2977" w:type="dxa"/>
          </w:tcPr>
          <w:p w14:paraId="7C53EAF5" w14:textId="77777777" w:rsidR="007A0E7E" w:rsidRPr="003A2822" w:rsidRDefault="007A0E7E" w:rsidP="00B3770E">
            <w:pPr>
              <w:spacing w:line="240" w:lineRule="auto"/>
            </w:pPr>
            <w:r w:rsidRPr="003A2822">
              <w:rPr>
                <w:b/>
              </w:rPr>
              <w:t>Commonwealth policy entity</w:t>
            </w:r>
            <w:r w:rsidRPr="003A2822">
              <w:t>:</w:t>
            </w:r>
          </w:p>
        </w:tc>
        <w:tc>
          <w:tcPr>
            <w:tcW w:w="6404" w:type="dxa"/>
            <w:shd w:val="clear" w:color="auto" w:fill="auto"/>
          </w:tcPr>
          <w:p w14:paraId="3A69C173" w14:textId="69CE54CD" w:rsidR="007A0E7E" w:rsidRPr="003A2822" w:rsidRDefault="00894728" w:rsidP="00AC4B34">
            <w:pPr>
              <w:spacing w:line="240" w:lineRule="auto"/>
            </w:pPr>
            <w:r w:rsidRPr="003A2822">
              <w:rPr>
                <w:rFonts w:eastAsia="Arial"/>
              </w:rPr>
              <w:t>Department of Education, Skills and Employment</w:t>
            </w:r>
          </w:p>
        </w:tc>
      </w:tr>
      <w:tr w:rsidR="00AC4B34" w:rsidRPr="003A2822" w14:paraId="6FB1B0C2" w14:textId="77777777" w:rsidTr="001433B0">
        <w:trPr>
          <w:tblHeader/>
        </w:trPr>
        <w:tc>
          <w:tcPr>
            <w:tcW w:w="2977" w:type="dxa"/>
          </w:tcPr>
          <w:p w14:paraId="5A627854" w14:textId="77777777" w:rsidR="00AC4B34" w:rsidRPr="003A2822" w:rsidRDefault="00AC4B34" w:rsidP="00B3770E">
            <w:pPr>
              <w:spacing w:line="240" w:lineRule="auto"/>
              <w:jc w:val="both"/>
              <w:rPr>
                <w:b/>
              </w:rPr>
            </w:pPr>
            <w:r w:rsidRPr="003A2822">
              <w:rPr>
                <w:b/>
              </w:rPr>
              <w:t>Administering entity</w:t>
            </w:r>
          </w:p>
        </w:tc>
        <w:tc>
          <w:tcPr>
            <w:tcW w:w="6404" w:type="dxa"/>
            <w:shd w:val="clear" w:color="auto" w:fill="auto"/>
          </w:tcPr>
          <w:p w14:paraId="0EAF21D5" w14:textId="0C278CA9" w:rsidR="00894728" w:rsidRPr="003A2822" w:rsidRDefault="00243621" w:rsidP="00B3770E">
            <w:pPr>
              <w:spacing w:line="240" w:lineRule="auto"/>
              <w:rPr>
                <w:rFonts w:eastAsia="Arial"/>
              </w:rPr>
            </w:pPr>
            <w:r>
              <w:rPr>
                <w:rFonts w:eastAsia="Arial"/>
              </w:rPr>
              <w:t>English Australia</w:t>
            </w:r>
          </w:p>
        </w:tc>
      </w:tr>
      <w:tr w:rsidR="007A0E7E" w:rsidRPr="003A2822" w14:paraId="5E7ACB54" w14:textId="77777777" w:rsidTr="001433B0">
        <w:trPr>
          <w:tblHeader/>
        </w:trPr>
        <w:tc>
          <w:tcPr>
            <w:tcW w:w="2977" w:type="dxa"/>
          </w:tcPr>
          <w:p w14:paraId="0ED6EE27" w14:textId="77777777" w:rsidR="007A0E7E" w:rsidRPr="003A2822" w:rsidRDefault="007A0E7E" w:rsidP="00B3770E">
            <w:pPr>
              <w:spacing w:line="240" w:lineRule="auto"/>
              <w:jc w:val="both"/>
              <w:rPr>
                <w:b/>
              </w:rPr>
            </w:pPr>
            <w:r w:rsidRPr="003A2822">
              <w:rPr>
                <w:b/>
              </w:rPr>
              <w:t>Enquiries:</w:t>
            </w:r>
          </w:p>
        </w:tc>
        <w:tc>
          <w:tcPr>
            <w:tcW w:w="6404" w:type="dxa"/>
            <w:shd w:val="clear" w:color="auto" w:fill="auto"/>
          </w:tcPr>
          <w:p w14:paraId="1817A753" w14:textId="1B4B3B27" w:rsidR="007A0E7E" w:rsidRPr="003A2822" w:rsidRDefault="007A0E7E" w:rsidP="006542D9">
            <w:pPr>
              <w:spacing w:line="240" w:lineRule="auto"/>
            </w:pPr>
            <w:r w:rsidRPr="003A2822">
              <w:t>If you have any questions, please contact</w:t>
            </w:r>
            <w:r w:rsidR="00243621">
              <w:br/>
            </w:r>
            <w:r w:rsidR="00243621" w:rsidRPr="00243621">
              <w:t>innovation@englishaustralia.com.au</w:t>
            </w:r>
            <w:r w:rsidR="00894728" w:rsidRPr="003A2822">
              <w:t xml:space="preserve"> </w:t>
            </w:r>
          </w:p>
        </w:tc>
      </w:tr>
      <w:tr w:rsidR="007A0E7E" w:rsidRPr="003A2822" w14:paraId="699643D2" w14:textId="77777777" w:rsidTr="001433B0">
        <w:trPr>
          <w:tblHeader/>
        </w:trPr>
        <w:tc>
          <w:tcPr>
            <w:tcW w:w="2977" w:type="dxa"/>
          </w:tcPr>
          <w:p w14:paraId="27D74DDA" w14:textId="77777777" w:rsidR="007A0E7E" w:rsidRPr="003A2822" w:rsidRDefault="007A0E7E" w:rsidP="00B3770E">
            <w:pPr>
              <w:spacing w:line="240" w:lineRule="auto"/>
              <w:jc w:val="both"/>
              <w:rPr>
                <w:b/>
              </w:rPr>
            </w:pPr>
            <w:r w:rsidRPr="003A2822">
              <w:rPr>
                <w:b/>
              </w:rPr>
              <w:t>Date guidelines released:</w:t>
            </w:r>
          </w:p>
        </w:tc>
        <w:tc>
          <w:tcPr>
            <w:tcW w:w="6404" w:type="dxa"/>
            <w:shd w:val="clear" w:color="auto" w:fill="auto"/>
          </w:tcPr>
          <w:p w14:paraId="09D27319" w14:textId="0B00138F" w:rsidR="007A0E7E" w:rsidRPr="003A2822" w:rsidRDefault="00243621" w:rsidP="00B3770E">
            <w:pPr>
              <w:spacing w:line="240" w:lineRule="auto"/>
            </w:pPr>
            <w:r>
              <w:t>4 January 2022</w:t>
            </w:r>
          </w:p>
        </w:tc>
      </w:tr>
      <w:tr w:rsidR="007A0E7E" w:rsidRPr="003A2822" w14:paraId="2BC7FF2C" w14:textId="77777777" w:rsidTr="001433B0">
        <w:trPr>
          <w:tblHeader/>
        </w:trPr>
        <w:tc>
          <w:tcPr>
            <w:tcW w:w="2977" w:type="dxa"/>
          </w:tcPr>
          <w:p w14:paraId="44B4C2E7" w14:textId="77777777" w:rsidR="007A0E7E" w:rsidRPr="003A2822" w:rsidRDefault="007A0E7E" w:rsidP="00AC4B34">
            <w:pPr>
              <w:spacing w:line="240" w:lineRule="auto"/>
              <w:jc w:val="both"/>
              <w:rPr>
                <w:b/>
              </w:rPr>
            </w:pPr>
            <w:r w:rsidRPr="003A2822">
              <w:rPr>
                <w:b/>
              </w:rPr>
              <w:t xml:space="preserve">Type of </w:t>
            </w:r>
            <w:r w:rsidR="00AC4B34" w:rsidRPr="003A2822">
              <w:rPr>
                <w:b/>
              </w:rPr>
              <w:t>g</w:t>
            </w:r>
            <w:r w:rsidRPr="003A2822">
              <w:rPr>
                <w:b/>
              </w:rPr>
              <w:t xml:space="preserve">rant </w:t>
            </w:r>
            <w:r w:rsidR="00AC4B34" w:rsidRPr="003A2822">
              <w:rPr>
                <w:b/>
              </w:rPr>
              <w:t>o</w:t>
            </w:r>
            <w:r w:rsidRPr="003A2822">
              <w:rPr>
                <w:b/>
              </w:rPr>
              <w:t>pportunity</w:t>
            </w:r>
          </w:p>
        </w:tc>
        <w:tc>
          <w:tcPr>
            <w:tcW w:w="6404" w:type="dxa"/>
            <w:shd w:val="clear" w:color="auto" w:fill="auto"/>
          </w:tcPr>
          <w:p w14:paraId="65A5FC2C" w14:textId="2AE5AFC5" w:rsidR="007A0E7E" w:rsidRPr="003A2822" w:rsidRDefault="00243621" w:rsidP="00B3770E">
            <w:pPr>
              <w:spacing w:line="240" w:lineRule="auto"/>
            </w:pPr>
            <w:r>
              <w:t>Targeted non-competitive</w:t>
            </w:r>
          </w:p>
        </w:tc>
      </w:tr>
    </w:tbl>
    <w:p w14:paraId="329516FF" w14:textId="77777777" w:rsidR="007A0E7E" w:rsidRPr="003A2822" w:rsidRDefault="007A0E7E" w:rsidP="007A0E7E"/>
    <w:p w14:paraId="1CA01094" w14:textId="77777777" w:rsidR="006C4DD1" w:rsidRPr="003A2822" w:rsidRDefault="006C4DD1" w:rsidP="006C4DD1"/>
    <w:p w14:paraId="43A8AC5F" w14:textId="77777777" w:rsidR="00D607FC" w:rsidRPr="003A2822" w:rsidRDefault="000C2A48" w:rsidP="00D607FC">
      <w:r w:rsidRPr="003A2822">
        <w:br w:type="page"/>
      </w:r>
    </w:p>
    <w:p w14:paraId="738399A8" w14:textId="77777777" w:rsidR="0020122A" w:rsidRPr="003A2822" w:rsidRDefault="0020122A" w:rsidP="0020122A">
      <w:pPr>
        <w:pStyle w:val="TOCHeading"/>
      </w:pPr>
      <w:r w:rsidRPr="003A2822">
        <w:lastRenderedPageBreak/>
        <w:t>Contents</w:t>
      </w:r>
    </w:p>
    <w:p w14:paraId="56690978" w14:textId="70B0FDCC" w:rsidR="006D7F25" w:rsidRPr="003A2822" w:rsidRDefault="0020122A">
      <w:pPr>
        <w:pStyle w:val="TOC1"/>
        <w:rPr>
          <w:rFonts w:eastAsiaTheme="minorEastAsia"/>
          <w:b w:val="0"/>
          <w:noProof/>
          <w:sz w:val="22"/>
          <w:lang w:eastAsia="en-AU"/>
        </w:rPr>
      </w:pPr>
      <w:r w:rsidRPr="003A2822">
        <w:rPr>
          <w:b w:val="0"/>
          <w:sz w:val="22"/>
        </w:rPr>
        <w:fldChar w:fldCharType="begin"/>
      </w:r>
      <w:r w:rsidRPr="003A2822">
        <w:rPr>
          <w:b w:val="0"/>
          <w:sz w:val="22"/>
        </w:rPr>
        <w:instrText xml:space="preserve"> TOC \o "2-3" \h \z \t "Heading 1,1,Heading 1 Numbered,1" </w:instrText>
      </w:r>
      <w:r w:rsidRPr="003A2822">
        <w:rPr>
          <w:b w:val="0"/>
          <w:sz w:val="22"/>
        </w:rPr>
        <w:fldChar w:fldCharType="separate"/>
      </w:r>
      <w:hyperlink w:anchor="_Toc88832354" w:history="1">
        <w:r w:rsidR="006D7F25" w:rsidRPr="003A2822">
          <w:rPr>
            <w:rStyle w:val="Hyperlink"/>
            <w:noProof/>
          </w:rPr>
          <w:t>1.</w:t>
        </w:r>
        <w:r w:rsidR="006D7F25" w:rsidRPr="003A2822">
          <w:rPr>
            <w:rFonts w:eastAsiaTheme="minorEastAsia"/>
            <w:b w:val="0"/>
            <w:noProof/>
            <w:sz w:val="22"/>
            <w:lang w:eastAsia="en-AU"/>
          </w:rPr>
          <w:tab/>
        </w:r>
        <w:r w:rsidR="006D7F25" w:rsidRPr="003A2822">
          <w:rPr>
            <w:rStyle w:val="Hyperlink"/>
            <w:noProof/>
          </w:rPr>
          <w:t>About the grant</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_Toc88832354 \h </w:instrText>
        </w:r>
        <w:r w:rsidR="006D7F25" w:rsidRPr="003A2822">
          <w:rPr>
            <w:noProof/>
            <w:webHidden/>
          </w:rPr>
        </w:r>
        <w:r w:rsidR="006D7F25" w:rsidRPr="003A2822">
          <w:rPr>
            <w:noProof/>
            <w:webHidden/>
          </w:rPr>
          <w:fldChar w:fldCharType="separate"/>
        </w:r>
        <w:r w:rsidR="00B63DFB">
          <w:rPr>
            <w:noProof/>
            <w:webHidden/>
          </w:rPr>
          <w:t>4</w:t>
        </w:r>
        <w:r w:rsidR="006D7F25" w:rsidRPr="003A2822">
          <w:rPr>
            <w:noProof/>
            <w:webHidden/>
          </w:rPr>
          <w:fldChar w:fldCharType="end"/>
        </w:r>
      </w:hyperlink>
    </w:p>
    <w:p w14:paraId="169D181D" w14:textId="2B87093C" w:rsidR="006D7F25" w:rsidRPr="003A2822" w:rsidRDefault="00A21103">
      <w:pPr>
        <w:pStyle w:val="TOC1"/>
        <w:rPr>
          <w:rFonts w:eastAsiaTheme="minorEastAsia"/>
          <w:b w:val="0"/>
          <w:noProof/>
          <w:sz w:val="22"/>
          <w:lang w:eastAsia="en-AU"/>
        </w:rPr>
      </w:pPr>
      <w:hyperlink w:anchor="_Toc88832355" w:history="1">
        <w:r w:rsidR="006D7F25" w:rsidRPr="003A2822">
          <w:rPr>
            <w:rStyle w:val="Hyperlink"/>
            <w:noProof/>
          </w:rPr>
          <w:t>2.</w:t>
        </w:r>
        <w:r w:rsidR="006D7F25" w:rsidRPr="003A2822">
          <w:rPr>
            <w:rFonts w:eastAsiaTheme="minorEastAsia"/>
            <w:b w:val="0"/>
            <w:noProof/>
            <w:sz w:val="22"/>
            <w:lang w:eastAsia="en-AU"/>
          </w:rPr>
          <w:tab/>
        </w:r>
        <w:r w:rsidR="006D7F25" w:rsidRPr="003A2822">
          <w:rPr>
            <w:rStyle w:val="Hyperlink"/>
            <w:noProof/>
          </w:rPr>
          <w:t>Grant amount and grant period</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_Toc88832355 \h </w:instrText>
        </w:r>
        <w:r w:rsidR="006D7F25" w:rsidRPr="003A2822">
          <w:rPr>
            <w:noProof/>
            <w:webHidden/>
          </w:rPr>
        </w:r>
        <w:r w:rsidR="006D7F25" w:rsidRPr="003A2822">
          <w:rPr>
            <w:noProof/>
            <w:webHidden/>
          </w:rPr>
          <w:fldChar w:fldCharType="separate"/>
        </w:r>
        <w:r w:rsidR="00B63DFB">
          <w:rPr>
            <w:noProof/>
            <w:webHidden/>
          </w:rPr>
          <w:t>5</w:t>
        </w:r>
        <w:r w:rsidR="006D7F25" w:rsidRPr="003A2822">
          <w:rPr>
            <w:noProof/>
            <w:webHidden/>
          </w:rPr>
          <w:fldChar w:fldCharType="end"/>
        </w:r>
      </w:hyperlink>
    </w:p>
    <w:p w14:paraId="23B2CA02" w14:textId="40962558" w:rsidR="006D7F25" w:rsidRPr="003A2822" w:rsidRDefault="00A21103">
      <w:pPr>
        <w:pStyle w:val="TOC2"/>
        <w:rPr>
          <w:rFonts w:eastAsiaTheme="minorEastAsia"/>
          <w:noProof/>
          <w:lang w:eastAsia="en-AU"/>
        </w:rPr>
      </w:pPr>
      <w:hyperlink w:anchor="_Toc88832356" w:history="1">
        <w:r w:rsidR="006D7F25" w:rsidRPr="003A2822">
          <w:rPr>
            <w:rStyle w:val="Hyperlink"/>
            <w:noProof/>
          </w:rPr>
          <w:t>2.1</w:t>
        </w:r>
        <w:r w:rsidR="006D7F25" w:rsidRPr="003A2822">
          <w:rPr>
            <w:rFonts w:eastAsiaTheme="minorEastAsia"/>
            <w:noProof/>
            <w:lang w:eastAsia="en-AU"/>
          </w:rPr>
          <w:tab/>
        </w:r>
        <w:r w:rsidR="006D7F25" w:rsidRPr="003A2822">
          <w:rPr>
            <w:rStyle w:val="Hyperlink"/>
            <w:noProof/>
          </w:rPr>
          <w:t>Grant amount</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_Toc88832356 \h </w:instrText>
        </w:r>
        <w:r w:rsidR="006D7F25" w:rsidRPr="003A2822">
          <w:rPr>
            <w:noProof/>
            <w:webHidden/>
          </w:rPr>
        </w:r>
        <w:r w:rsidR="006D7F25" w:rsidRPr="003A2822">
          <w:rPr>
            <w:noProof/>
            <w:webHidden/>
          </w:rPr>
          <w:fldChar w:fldCharType="separate"/>
        </w:r>
        <w:r w:rsidR="00B63DFB">
          <w:rPr>
            <w:noProof/>
            <w:webHidden/>
          </w:rPr>
          <w:t>5</w:t>
        </w:r>
        <w:r w:rsidR="006D7F25" w:rsidRPr="003A2822">
          <w:rPr>
            <w:noProof/>
            <w:webHidden/>
          </w:rPr>
          <w:fldChar w:fldCharType="end"/>
        </w:r>
      </w:hyperlink>
    </w:p>
    <w:p w14:paraId="1CFC6E6B" w14:textId="789046DF" w:rsidR="006D7F25" w:rsidRPr="003A2822" w:rsidRDefault="00A21103">
      <w:pPr>
        <w:pStyle w:val="TOC2"/>
        <w:rPr>
          <w:rFonts w:eastAsiaTheme="minorEastAsia"/>
          <w:noProof/>
          <w:lang w:eastAsia="en-AU"/>
        </w:rPr>
      </w:pPr>
      <w:hyperlink w:anchor="_Toc88832357" w:history="1">
        <w:r w:rsidR="006D7F25" w:rsidRPr="003A2822">
          <w:rPr>
            <w:rStyle w:val="Hyperlink"/>
            <w:noProof/>
          </w:rPr>
          <w:t>2.2</w:t>
        </w:r>
        <w:r w:rsidR="006D7F25" w:rsidRPr="003A2822">
          <w:rPr>
            <w:rFonts w:eastAsiaTheme="minorEastAsia"/>
            <w:noProof/>
            <w:lang w:eastAsia="en-AU"/>
          </w:rPr>
          <w:tab/>
        </w:r>
        <w:r w:rsidR="006D7F25" w:rsidRPr="003A2822">
          <w:rPr>
            <w:rStyle w:val="Hyperlink"/>
            <w:noProof/>
          </w:rPr>
          <w:t>Grant period</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_Toc88832357 \h </w:instrText>
        </w:r>
        <w:r w:rsidR="006D7F25" w:rsidRPr="003A2822">
          <w:rPr>
            <w:noProof/>
            <w:webHidden/>
          </w:rPr>
        </w:r>
        <w:r w:rsidR="006D7F25" w:rsidRPr="003A2822">
          <w:rPr>
            <w:noProof/>
            <w:webHidden/>
          </w:rPr>
          <w:fldChar w:fldCharType="separate"/>
        </w:r>
        <w:r w:rsidR="00B63DFB">
          <w:rPr>
            <w:noProof/>
            <w:webHidden/>
          </w:rPr>
          <w:t>5</w:t>
        </w:r>
        <w:r w:rsidR="006D7F25" w:rsidRPr="003A2822">
          <w:rPr>
            <w:noProof/>
            <w:webHidden/>
          </w:rPr>
          <w:fldChar w:fldCharType="end"/>
        </w:r>
      </w:hyperlink>
    </w:p>
    <w:p w14:paraId="1B24C17C" w14:textId="4544AAAD" w:rsidR="006D7F25" w:rsidRPr="003A2822" w:rsidRDefault="00A21103">
      <w:pPr>
        <w:pStyle w:val="TOC1"/>
        <w:rPr>
          <w:rFonts w:eastAsiaTheme="minorEastAsia"/>
          <w:b w:val="0"/>
          <w:noProof/>
          <w:sz w:val="22"/>
          <w:lang w:eastAsia="en-AU"/>
        </w:rPr>
      </w:pPr>
      <w:hyperlink w:anchor="_Toc88832358" w:history="1">
        <w:r w:rsidR="006D7F25" w:rsidRPr="003A2822">
          <w:rPr>
            <w:rStyle w:val="Hyperlink"/>
            <w:noProof/>
          </w:rPr>
          <w:t>3.</w:t>
        </w:r>
        <w:r w:rsidR="006D7F25" w:rsidRPr="003A2822">
          <w:rPr>
            <w:rFonts w:eastAsiaTheme="minorEastAsia"/>
            <w:b w:val="0"/>
            <w:noProof/>
            <w:sz w:val="22"/>
            <w:lang w:eastAsia="en-AU"/>
          </w:rPr>
          <w:tab/>
        </w:r>
        <w:r w:rsidR="006D7F25" w:rsidRPr="003A2822">
          <w:rPr>
            <w:rStyle w:val="Hyperlink"/>
            <w:noProof/>
          </w:rPr>
          <w:t>The grant selection process</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_Toc88832358 \h </w:instrText>
        </w:r>
        <w:r w:rsidR="006D7F25" w:rsidRPr="003A2822">
          <w:rPr>
            <w:noProof/>
            <w:webHidden/>
          </w:rPr>
        </w:r>
        <w:r w:rsidR="006D7F25" w:rsidRPr="003A2822">
          <w:rPr>
            <w:noProof/>
            <w:webHidden/>
          </w:rPr>
          <w:fldChar w:fldCharType="separate"/>
        </w:r>
        <w:r w:rsidR="00B63DFB">
          <w:rPr>
            <w:noProof/>
            <w:webHidden/>
          </w:rPr>
          <w:t>6</w:t>
        </w:r>
        <w:r w:rsidR="006D7F25" w:rsidRPr="003A2822">
          <w:rPr>
            <w:noProof/>
            <w:webHidden/>
          </w:rPr>
          <w:fldChar w:fldCharType="end"/>
        </w:r>
      </w:hyperlink>
    </w:p>
    <w:p w14:paraId="6C1F77E1" w14:textId="24B0723D" w:rsidR="006D7F25" w:rsidRPr="003A2822" w:rsidRDefault="00A21103">
      <w:pPr>
        <w:pStyle w:val="TOC2"/>
        <w:rPr>
          <w:rFonts w:eastAsiaTheme="minorEastAsia"/>
          <w:noProof/>
          <w:lang w:eastAsia="en-AU"/>
        </w:rPr>
      </w:pPr>
      <w:hyperlink w:anchor="_Toc88832359" w:history="1">
        <w:r w:rsidR="006D7F25" w:rsidRPr="003A2822">
          <w:rPr>
            <w:rStyle w:val="Hyperlink"/>
            <w:noProof/>
          </w:rPr>
          <w:t>3.1</w:t>
        </w:r>
        <w:r w:rsidR="006D7F25" w:rsidRPr="003A2822">
          <w:rPr>
            <w:rFonts w:eastAsiaTheme="minorEastAsia"/>
            <w:noProof/>
            <w:lang w:eastAsia="en-AU"/>
          </w:rPr>
          <w:tab/>
        </w:r>
        <w:r w:rsidR="006D7F25" w:rsidRPr="003A2822">
          <w:rPr>
            <w:rStyle w:val="Hyperlink"/>
            <w:noProof/>
          </w:rPr>
          <w:t>Eligibility criteria</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_Toc88832359 \h </w:instrText>
        </w:r>
        <w:r w:rsidR="006D7F25" w:rsidRPr="003A2822">
          <w:rPr>
            <w:noProof/>
            <w:webHidden/>
          </w:rPr>
        </w:r>
        <w:r w:rsidR="006D7F25" w:rsidRPr="003A2822">
          <w:rPr>
            <w:noProof/>
            <w:webHidden/>
          </w:rPr>
          <w:fldChar w:fldCharType="separate"/>
        </w:r>
        <w:r w:rsidR="00B63DFB">
          <w:rPr>
            <w:noProof/>
            <w:webHidden/>
          </w:rPr>
          <w:t>6</w:t>
        </w:r>
        <w:r w:rsidR="006D7F25" w:rsidRPr="003A2822">
          <w:rPr>
            <w:noProof/>
            <w:webHidden/>
          </w:rPr>
          <w:fldChar w:fldCharType="end"/>
        </w:r>
      </w:hyperlink>
    </w:p>
    <w:p w14:paraId="0E46D7AC" w14:textId="55AE2277" w:rsidR="006D7F25" w:rsidRPr="003A2822" w:rsidRDefault="00A21103">
      <w:pPr>
        <w:pStyle w:val="TOC2"/>
        <w:rPr>
          <w:rFonts w:eastAsiaTheme="minorEastAsia"/>
          <w:noProof/>
          <w:lang w:eastAsia="en-AU"/>
        </w:rPr>
      </w:pPr>
      <w:hyperlink w:anchor="_Toc88832360" w:history="1">
        <w:r w:rsidR="006D7F25" w:rsidRPr="003A2822">
          <w:rPr>
            <w:rStyle w:val="Hyperlink"/>
            <w:noProof/>
          </w:rPr>
          <w:t>3.2</w:t>
        </w:r>
        <w:r w:rsidR="006D7F25" w:rsidRPr="003A2822">
          <w:rPr>
            <w:rFonts w:eastAsiaTheme="minorEastAsia"/>
            <w:noProof/>
            <w:lang w:eastAsia="en-AU"/>
          </w:rPr>
          <w:tab/>
        </w:r>
        <w:r w:rsidR="006D7F25" w:rsidRPr="003A2822">
          <w:rPr>
            <w:rStyle w:val="Hyperlink"/>
            <w:noProof/>
          </w:rPr>
          <w:t>Selection criteria</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_Toc88832360 \h </w:instrText>
        </w:r>
        <w:r w:rsidR="006D7F25" w:rsidRPr="003A2822">
          <w:rPr>
            <w:noProof/>
            <w:webHidden/>
          </w:rPr>
        </w:r>
        <w:r w:rsidR="006D7F25" w:rsidRPr="003A2822">
          <w:rPr>
            <w:noProof/>
            <w:webHidden/>
          </w:rPr>
          <w:fldChar w:fldCharType="separate"/>
        </w:r>
        <w:r w:rsidR="00B63DFB">
          <w:rPr>
            <w:noProof/>
            <w:webHidden/>
          </w:rPr>
          <w:t>7</w:t>
        </w:r>
        <w:r w:rsidR="006D7F25" w:rsidRPr="003A2822">
          <w:rPr>
            <w:noProof/>
            <w:webHidden/>
          </w:rPr>
          <w:fldChar w:fldCharType="end"/>
        </w:r>
      </w:hyperlink>
    </w:p>
    <w:p w14:paraId="4ECC885F" w14:textId="37B0F5D0" w:rsidR="006D7F25" w:rsidRPr="003A2822" w:rsidRDefault="00A21103">
      <w:pPr>
        <w:pStyle w:val="TOC2"/>
        <w:rPr>
          <w:rFonts w:eastAsiaTheme="minorEastAsia"/>
          <w:noProof/>
          <w:lang w:eastAsia="en-AU"/>
        </w:rPr>
      </w:pPr>
      <w:hyperlink w:anchor="_Toc88832361" w:history="1">
        <w:r w:rsidR="006D7F25" w:rsidRPr="003A2822">
          <w:rPr>
            <w:rStyle w:val="Hyperlink"/>
            <w:noProof/>
          </w:rPr>
          <w:t>3.3</w:t>
        </w:r>
        <w:r w:rsidR="006D7F25" w:rsidRPr="003A2822">
          <w:rPr>
            <w:rFonts w:eastAsiaTheme="minorEastAsia"/>
            <w:noProof/>
            <w:lang w:eastAsia="en-AU"/>
          </w:rPr>
          <w:tab/>
        </w:r>
        <w:r w:rsidR="006D7F25" w:rsidRPr="003A2822">
          <w:rPr>
            <w:rStyle w:val="Hyperlink"/>
            <w:noProof/>
          </w:rPr>
          <w:t>Ineligibility</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_Toc88832361 \h </w:instrText>
        </w:r>
        <w:r w:rsidR="006D7F25" w:rsidRPr="003A2822">
          <w:rPr>
            <w:noProof/>
            <w:webHidden/>
          </w:rPr>
        </w:r>
        <w:r w:rsidR="006D7F25" w:rsidRPr="003A2822">
          <w:rPr>
            <w:noProof/>
            <w:webHidden/>
          </w:rPr>
          <w:fldChar w:fldCharType="separate"/>
        </w:r>
        <w:r w:rsidR="00B63DFB">
          <w:rPr>
            <w:noProof/>
            <w:webHidden/>
          </w:rPr>
          <w:t>7</w:t>
        </w:r>
        <w:r w:rsidR="006D7F25" w:rsidRPr="003A2822">
          <w:rPr>
            <w:noProof/>
            <w:webHidden/>
          </w:rPr>
          <w:fldChar w:fldCharType="end"/>
        </w:r>
      </w:hyperlink>
    </w:p>
    <w:p w14:paraId="179888C5" w14:textId="2BF1775E" w:rsidR="006D7F25" w:rsidRPr="003A2822" w:rsidRDefault="00A21103">
      <w:pPr>
        <w:pStyle w:val="TOC2"/>
        <w:rPr>
          <w:rFonts w:eastAsiaTheme="minorEastAsia"/>
          <w:noProof/>
          <w:lang w:eastAsia="en-AU"/>
        </w:rPr>
      </w:pPr>
      <w:hyperlink w:anchor="_Toc88832362" w:history="1">
        <w:r w:rsidR="006D7F25" w:rsidRPr="003A2822">
          <w:rPr>
            <w:rStyle w:val="Hyperlink"/>
            <w:noProof/>
          </w:rPr>
          <w:t>3.4</w:t>
        </w:r>
        <w:r w:rsidR="006D7F25" w:rsidRPr="003A2822">
          <w:rPr>
            <w:rFonts w:eastAsiaTheme="minorEastAsia"/>
            <w:noProof/>
            <w:lang w:eastAsia="en-AU"/>
          </w:rPr>
          <w:tab/>
        </w:r>
        <w:r w:rsidR="006D7F25" w:rsidRPr="003A2822">
          <w:rPr>
            <w:rStyle w:val="Hyperlink"/>
            <w:noProof/>
          </w:rPr>
          <w:t>Suitability and risk assessment</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_Toc88832362 \h </w:instrText>
        </w:r>
        <w:r w:rsidR="006D7F25" w:rsidRPr="003A2822">
          <w:rPr>
            <w:noProof/>
            <w:webHidden/>
          </w:rPr>
        </w:r>
        <w:r w:rsidR="006D7F25" w:rsidRPr="003A2822">
          <w:rPr>
            <w:noProof/>
            <w:webHidden/>
          </w:rPr>
          <w:fldChar w:fldCharType="separate"/>
        </w:r>
        <w:r w:rsidR="00B63DFB">
          <w:rPr>
            <w:noProof/>
            <w:webHidden/>
          </w:rPr>
          <w:t>8</w:t>
        </w:r>
        <w:r w:rsidR="006D7F25" w:rsidRPr="003A2822">
          <w:rPr>
            <w:noProof/>
            <w:webHidden/>
          </w:rPr>
          <w:fldChar w:fldCharType="end"/>
        </w:r>
      </w:hyperlink>
    </w:p>
    <w:p w14:paraId="51C3A264" w14:textId="011DC6A4" w:rsidR="006D7F25" w:rsidRPr="003A2822" w:rsidRDefault="00A21103">
      <w:pPr>
        <w:pStyle w:val="TOC2"/>
        <w:rPr>
          <w:rFonts w:eastAsiaTheme="minorEastAsia"/>
          <w:noProof/>
          <w:lang w:eastAsia="en-AU"/>
        </w:rPr>
      </w:pPr>
      <w:hyperlink w:anchor="_Toc88832363" w:history="1">
        <w:r w:rsidR="006D7F25" w:rsidRPr="003A2822">
          <w:rPr>
            <w:rStyle w:val="Hyperlink"/>
            <w:noProof/>
          </w:rPr>
          <w:t>3.5</w:t>
        </w:r>
        <w:r w:rsidR="006D7F25" w:rsidRPr="003A2822">
          <w:rPr>
            <w:rFonts w:eastAsiaTheme="minorEastAsia"/>
            <w:noProof/>
            <w:lang w:eastAsia="en-AU"/>
          </w:rPr>
          <w:tab/>
        </w:r>
        <w:r w:rsidR="006D7F25" w:rsidRPr="003A2822">
          <w:rPr>
            <w:rStyle w:val="Hyperlink"/>
            <w:noProof/>
          </w:rPr>
          <w:t>Length of operation</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_Toc88832363 \h </w:instrText>
        </w:r>
        <w:r w:rsidR="006D7F25" w:rsidRPr="003A2822">
          <w:rPr>
            <w:noProof/>
            <w:webHidden/>
          </w:rPr>
        </w:r>
        <w:r w:rsidR="006D7F25" w:rsidRPr="003A2822">
          <w:rPr>
            <w:noProof/>
            <w:webHidden/>
          </w:rPr>
          <w:fldChar w:fldCharType="separate"/>
        </w:r>
        <w:r w:rsidR="00B63DFB">
          <w:rPr>
            <w:noProof/>
            <w:webHidden/>
          </w:rPr>
          <w:t>8</w:t>
        </w:r>
        <w:r w:rsidR="006D7F25" w:rsidRPr="003A2822">
          <w:rPr>
            <w:noProof/>
            <w:webHidden/>
          </w:rPr>
          <w:fldChar w:fldCharType="end"/>
        </w:r>
      </w:hyperlink>
    </w:p>
    <w:p w14:paraId="5939B257" w14:textId="12DDCC5A" w:rsidR="006D7F25" w:rsidRPr="003A2822" w:rsidRDefault="00A21103">
      <w:pPr>
        <w:pStyle w:val="TOC1"/>
        <w:rPr>
          <w:rFonts w:eastAsiaTheme="minorEastAsia"/>
          <w:b w:val="0"/>
          <w:noProof/>
          <w:sz w:val="22"/>
          <w:lang w:eastAsia="en-AU"/>
        </w:rPr>
      </w:pPr>
      <w:hyperlink w:anchor="_Toc88832364" w:history="1">
        <w:r w:rsidR="006D7F25" w:rsidRPr="003A2822">
          <w:rPr>
            <w:rStyle w:val="Hyperlink"/>
            <w:noProof/>
          </w:rPr>
          <w:t>4.</w:t>
        </w:r>
        <w:r w:rsidR="006D7F25" w:rsidRPr="003A2822">
          <w:rPr>
            <w:rFonts w:eastAsiaTheme="minorEastAsia"/>
            <w:b w:val="0"/>
            <w:noProof/>
            <w:sz w:val="22"/>
            <w:lang w:eastAsia="en-AU"/>
          </w:rPr>
          <w:tab/>
        </w:r>
        <w:r w:rsidR="006D7F25" w:rsidRPr="003A2822">
          <w:rPr>
            <w:rStyle w:val="Hyperlink"/>
            <w:noProof/>
          </w:rPr>
          <w:t>How to apply</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_Toc88832364 \h </w:instrText>
        </w:r>
        <w:r w:rsidR="006D7F25" w:rsidRPr="003A2822">
          <w:rPr>
            <w:noProof/>
            <w:webHidden/>
          </w:rPr>
        </w:r>
        <w:r w:rsidR="006D7F25" w:rsidRPr="003A2822">
          <w:rPr>
            <w:noProof/>
            <w:webHidden/>
          </w:rPr>
          <w:fldChar w:fldCharType="separate"/>
        </w:r>
        <w:r w:rsidR="00B63DFB">
          <w:rPr>
            <w:noProof/>
            <w:webHidden/>
          </w:rPr>
          <w:t>8</w:t>
        </w:r>
        <w:r w:rsidR="006D7F25" w:rsidRPr="003A2822">
          <w:rPr>
            <w:noProof/>
            <w:webHidden/>
          </w:rPr>
          <w:fldChar w:fldCharType="end"/>
        </w:r>
      </w:hyperlink>
    </w:p>
    <w:p w14:paraId="157B8F8C" w14:textId="1C88EDDD" w:rsidR="006D7F25" w:rsidRPr="003A2822" w:rsidRDefault="00A21103">
      <w:pPr>
        <w:pStyle w:val="TOC2"/>
        <w:rPr>
          <w:rFonts w:eastAsiaTheme="minorEastAsia"/>
          <w:noProof/>
          <w:lang w:eastAsia="en-AU"/>
        </w:rPr>
      </w:pPr>
      <w:hyperlink w:anchor="_Toc88832365" w:history="1">
        <w:r w:rsidR="006D7F25" w:rsidRPr="003A2822">
          <w:rPr>
            <w:rStyle w:val="Hyperlink"/>
            <w:noProof/>
          </w:rPr>
          <w:t>4.1</w:t>
        </w:r>
        <w:r w:rsidR="006D7F25" w:rsidRPr="003A2822">
          <w:rPr>
            <w:rFonts w:eastAsiaTheme="minorEastAsia"/>
            <w:noProof/>
            <w:lang w:eastAsia="en-AU"/>
          </w:rPr>
          <w:tab/>
        </w:r>
        <w:r w:rsidR="006D7F25" w:rsidRPr="003A2822">
          <w:rPr>
            <w:rStyle w:val="Hyperlink"/>
            <w:noProof/>
          </w:rPr>
          <w:t>Application process</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_Toc88832365 \h </w:instrText>
        </w:r>
        <w:r w:rsidR="006D7F25" w:rsidRPr="003A2822">
          <w:rPr>
            <w:noProof/>
            <w:webHidden/>
          </w:rPr>
        </w:r>
        <w:r w:rsidR="006D7F25" w:rsidRPr="003A2822">
          <w:rPr>
            <w:noProof/>
            <w:webHidden/>
          </w:rPr>
          <w:fldChar w:fldCharType="separate"/>
        </w:r>
        <w:r w:rsidR="00B63DFB">
          <w:rPr>
            <w:noProof/>
            <w:webHidden/>
          </w:rPr>
          <w:t>8</w:t>
        </w:r>
        <w:r w:rsidR="006D7F25" w:rsidRPr="003A2822">
          <w:rPr>
            <w:noProof/>
            <w:webHidden/>
          </w:rPr>
          <w:fldChar w:fldCharType="end"/>
        </w:r>
      </w:hyperlink>
    </w:p>
    <w:p w14:paraId="403E9C77" w14:textId="1A97BDC5" w:rsidR="006D7F25" w:rsidRPr="003A2822" w:rsidRDefault="00A21103">
      <w:pPr>
        <w:pStyle w:val="TOC2"/>
        <w:rPr>
          <w:rFonts w:eastAsiaTheme="minorEastAsia"/>
          <w:noProof/>
          <w:lang w:eastAsia="en-AU"/>
        </w:rPr>
      </w:pPr>
      <w:hyperlink w:anchor="_Toc88832366" w:history="1">
        <w:r w:rsidR="006D7F25" w:rsidRPr="003A2822">
          <w:rPr>
            <w:rStyle w:val="Hyperlink"/>
            <w:noProof/>
          </w:rPr>
          <w:t>4.2</w:t>
        </w:r>
        <w:r w:rsidR="006D7F25" w:rsidRPr="003A2822">
          <w:rPr>
            <w:rFonts w:eastAsiaTheme="minorEastAsia"/>
            <w:noProof/>
            <w:lang w:eastAsia="en-AU"/>
          </w:rPr>
          <w:tab/>
        </w:r>
        <w:r w:rsidR="006D7F25" w:rsidRPr="003A2822">
          <w:rPr>
            <w:rStyle w:val="Hyperlink"/>
            <w:noProof/>
          </w:rPr>
          <w:t>Documentation and attachments</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_Toc88832366 \h </w:instrText>
        </w:r>
        <w:r w:rsidR="006D7F25" w:rsidRPr="003A2822">
          <w:rPr>
            <w:noProof/>
            <w:webHidden/>
          </w:rPr>
        </w:r>
        <w:r w:rsidR="006D7F25" w:rsidRPr="003A2822">
          <w:rPr>
            <w:noProof/>
            <w:webHidden/>
          </w:rPr>
          <w:fldChar w:fldCharType="separate"/>
        </w:r>
        <w:r w:rsidR="00B63DFB">
          <w:rPr>
            <w:noProof/>
            <w:webHidden/>
          </w:rPr>
          <w:t>9</w:t>
        </w:r>
        <w:r w:rsidR="006D7F25" w:rsidRPr="003A2822">
          <w:rPr>
            <w:noProof/>
            <w:webHidden/>
          </w:rPr>
          <w:fldChar w:fldCharType="end"/>
        </w:r>
      </w:hyperlink>
    </w:p>
    <w:p w14:paraId="3D055A52" w14:textId="2CCBE087" w:rsidR="006D7F25" w:rsidRPr="003A2822" w:rsidRDefault="00A21103">
      <w:pPr>
        <w:pStyle w:val="TOC2"/>
        <w:rPr>
          <w:rFonts w:eastAsiaTheme="minorEastAsia"/>
          <w:noProof/>
          <w:lang w:eastAsia="en-AU"/>
        </w:rPr>
      </w:pPr>
      <w:hyperlink w:anchor="_Toc88832367" w:history="1">
        <w:r w:rsidR="006D7F25" w:rsidRPr="003A2822">
          <w:rPr>
            <w:rStyle w:val="Hyperlink"/>
            <w:noProof/>
          </w:rPr>
          <w:t>4.3</w:t>
        </w:r>
        <w:r w:rsidR="006D7F25" w:rsidRPr="003A2822">
          <w:rPr>
            <w:rFonts w:eastAsiaTheme="minorEastAsia"/>
            <w:noProof/>
            <w:lang w:eastAsia="en-AU"/>
          </w:rPr>
          <w:tab/>
        </w:r>
        <w:r w:rsidR="006D7F25" w:rsidRPr="003A2822">
          <w:rPr>
            <w:rStyle w:val="Hyperlink"/>
            <w:noProof/>
          </w:rPr>
          <w:t>Grant Assessment</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_Toc88832367 \h </w:instrText>
        </w:r>
        <w:r w:rsidR="006D7F25" w:rsidRPr="003A2822">
          <w:rPr>
            <w:noProof/>
            <w:webHidden/>
          </w:rPr>
        </w:r>
        <w:r w:rsidR="006D7F25" w:rsidRPr="003A2822">
          <w:rPr>
            <w:noProof/>
            <w:webHidden/>
          </w:rPr>
          <w:fldChar w:fldCharType="separate"/>
        </w:r>
        <w:r w:rsidR="00B63DFB">
          <w:rPr>
            <w:noProof/>
            <w:webHidden/>
          </w:rPr>
          <w:t>9</w:t>
        </w:r>
        <w:r w:rsidR="006D7F25" w:rsidRPr="003A2822">
          <w:rPr>
            <w:noProof/>
            <w:webHidden/>
          </w:rPr>
          <w:fldChar w:fldCharType="end"/>
        </w:r>
      </w:hyperlink>
    </w:p>
    <w:p w14:paraId="1166D482" w14:textId="2AD54ADE" w:rsidR="006D7F25" w:rsidRPr="003A2822" w:rsidRDefault="00A21103">
      <w:pPr>
        <w:pStyle w:val="TOC1"/>
        <w:rPr>
          <w:rFonts w:eastAsiaTheme="minorEastAsia"/>
          <w:b w:val="0"/>
          <w:noProof/>
          <w:sz w:val="22"/>
          <w:lang w:eastAsia="en-AU"/>
        </w:rPr>
      </w:pPr>
      <w:hyperlink w:anchor="_Toc88832368" w:history="1">
        <w:r w:rsidR="006D7F25" w:rsidRPr="003A2822">
          <w:rPr>
            <w:rStyle w:val="Hyperlink"/>
            <w:noProof/>
          </w:rPr>
          <w:t>5.</w:t>
        </w:r>
        <w:r w:rsidR="006D7F25" w:rsidRPr="003A2822">
          <w:rPr>
            <w:rFonts w:eastAsiaTheme="minorEastAsia"/>
            <w:b w:val="0"/>
            <w:noProof/>
            <w:sz w:val="22"/>
            <w:lang w:eastAsia="en-AU"/>
          </w:rPr>
          <w:tab/>
        </w:r>
        <w:r w:rsidR="006D7F25" w:rsidRPr="003A2822">
          <w:rPr>
            <w:rStyle w:val="Hyperlink"/>
            <w:noProof/>
          </w:rPr>
          <w:t>Grant timeframe</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_Toc88832368 \h </w:instrText>
        </w:r>
        <w:r w:rsidR="006D7F25" w:rsidRPr="003A2822">
          <w:rPr>
            <w:noProof/>
            <w:webHidden/>
          </w:rPr>
        </w:r>
        <w:r w:rsidR="006D7F25" w:rsidRPr="003A2822">
          <w:rPr>
            <w:noProof/>
            <w:webHidden/>
          </w:rPr>
          <w:fldChar w:fldCharType="separate"/>
        </w:r>
        <w:r w:rsidR="00B63DFB">
          <w:rPr>
            <w:noProof/>
            <w:webHidden/>
          </w:rPr>
          <w:t>9</w:t>
        </w:r>
        <w:r w:rsidR="006D7F25" w:rsidRPr="003A2822">
          <w:rPr>
            <w:noProof/>
            <w:webHidden/>
          </w:rPr>
          <w:fldChar w:fldCharType="end"/>
        </w:r>
      </w:hyperlink>
    </w:p>
    <w:p w14:paraId="30F3351A" w14:textId="20FD9DA3" w:rsidR="006D7F25" w:rsidRPr="003A2822" w:rsidRDefault="00A21103">
      <w:pPr>
        <w:pStyle w:val="TOC2"/>
        <w:rPr>
          <w:rFonts w:eastAsiaTheme="minorEastAsia"/>
          <w:noProof/>
          <w:lang w:eastAsia="en-AU"/>
        </w:rPr>
      </w:pPr>
      <w:hyperlink w:anchor="_Toc88832369" w:history="1">
        <w:r w:rsidR="006D7F25" w:rsidRPr="003A2822">
          <w:rPr>
            <w:rStyle w:val="Hyperlink"/>
            <w:noProof/>
          </w:rPr>
          <w:t>5.1</w:t>
        </w:r>
        <w:r w:rsidR="006D7F25" w:rsidRPr="003A2822">
          <w:rPr>
            <w:rFonts w:eastAsiaTheme="minorEastAsia"/>
            <w:noProof/>
            <w:lang w:eastAsia="en-AU"/>
          </w:rPr>
          <w:tab/>
        </w:r>
        <w:r w:rsidR="006D7F25" w:rsidRPr="003A2822">
          <w:rPr>
            <w:rStyle w:val="Hyperlink"/>
            <w:noProof/>
          </w:rPr>
          <w:t>Late applications</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_Toc88832369 \h </w:instrText>
        </w:r>
        <w:r w:rsidR="006D7F25" w:rsidRPr="003A2822">
          <w:rPr>
            <w:noProof/>
            <w:webHidden/>
          </w:rPr>
        </w:r>
        <w:r w:rsidR="006D7F25" w:rsidRPr="003A2822">
          <w:rPr>
            <w:noProof/>
            <w:webHidden/>
          </w:rPr>
          <w:fldChar w:fldCharType="separate"/>
        </w:r>
        <w:r w:rsidR="00B63DFB">
          <w:rPr>
            <w:noProof/>
            <w:webHidden/>
          </w:rPr>
          <w:t>9</w:t>
        </w:r>
        <w:r w:rsidR="006D7F25" w:rsidRPr="003A2822">
          <w:rPr>
            <w:noProof/>
            <w:webHidden/>
          </w:rPr>
          <w:fldChar w:fldCharType="end"/>
        </w:r>
      </w:hyperlink>
    </w:p>
    <w:p w14:paraId="7D48F0EC" w14:textId="45ABCC16" w:rsidR="006D7F25" w:rsidRPr="003A2822" w:rsidRDefault="00A21103">
      <w:pPr>
        <w:pStyle w:val="TOC2"/>
        <w:rPr>
          <w:rFonts w:eastAsiaTheme="minorEastAsia"/>
          <w:noProof/>
          <w:lang w:eastAsia="en-AU"/>
        </w:rPr>
      </w:pPr>
      <w:hyperlink w:anchor="_Toc88832370" w:history="1">
        <w:r w:rsidR="006D7F25" w:rsidRPr="003A2822">
          <w:rPr>
            <w:rStyle w:val="Hyperlink"/>
            <w:noProof/>
          </w:rPr>
          <w:t>5.2</w:t>
        </w:r>
        <w:r w:rsidR="006D7F25" w:rsidRPr="003A2822">
          <w:rPr>
            <w:rFonts w:eastAsiaTheme="minorEastAsia"/>
            <w:noProof/>
            <w:lang w:eastAsia="en-AU"/>
          </w:rPr>
          <w:tab/>
        </w:r>
        <w:r w:rsidR="006D7F25" w:rsidRPr="003A2822">
          <w:rPr>
            <w:rStyle w:val="Hyperlink"/>
            <w:noProof/>
          </w:rPr>
          <w:t>Expected timeframe</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_Toc88832370 \h </w:instrText>
        </w:r>
        <w:r w:rsidR="006D7F25" w:rsidRPr="003A2822">
          <w:rPr>
            <w:noProof/>
            <w:webHidden/>
          </w:rPr>
        </w:r>
        <w:r w:rsidR="006D7F25" w:rsidRPr="003A2822">
          <w:rPr>
            <w:noProof/>
            <w:webHidden/>
          </w:rPr>
          <w:fldChar w:fldCharType="separate"/>
        </w:r>
        <w:r w:rsidR="00B63DFB">
          <w:rPr>
            <w:noProof/>
            <w:webHidden/>
          </w:rPr>
          <w:t>10</w:t>
        </w:r>
        <w:r w:rsidR="006D7F25" w:rsidRPr="003A2822">
          <w:rPr>
            <w:noProof/>
            <w:webHidden/>
          </w:rPr>
          <w:fldChar w:fldCharType="end"/>
        </w:r>
      </w:hyperlink>
    </w:p>
    <w:p w14:paraId="724F7CB3" w14:textId="153AC0B5" w:rsidR="006D7F25" w:rsidRPr="003A2822" w:rsidRDefault="00A21103">
      <w:pPr>
        <w:pStyle w:val="TOC1"/>
        <w:rPr>
          <w:rFonts w:eastAsiaTheme="minorEastAsia"/>
          <w:b w:val="0"/>
          <w:noProof/>
          <w:sz w:val="22"/>
          <w:lang w:eastAsia="en-AU"/>
        </w:rPr>
      </w:pPr>
      <w:hyperlink w:anchor="_Toc88832371" w:history="1">
        <w:r w:rsidR="006D7F25" w:rsidRPr="003A2822">
          <w:rPr>
            <w:rStyle w:val="Hyperlink"/>
            <w:noProof/>
          </w:rPr>
          <w:t>6.</w:t>
        </w:r>
        <w:r w:rsidR="006D7F25" w:rsidRPr="003A2822">
          <w:rPr>
            <w:rFonts w:eastAsiaTheme="minorEastAsia"/>
            <w:b w:val="0"/>
            <w:noProof/>
            <w:sz w:val="22"/>
            <w:lang w:eastAsia="en-AU"/>
          </w:rPr>
          <w:tab/>
        </w:r>
        <w:r w:rsidR="006D7F25" w:rsidRPr="003A2822">
          <w:rPr>
            <w:rStyle w:val="Hyperlink"/>
            <w:noProof/>
          </w:rPr>
          <w:t>Grant activities</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_Toc88832371 \h </w:instrText>
        </w:r>
        <w:r w:rsidR="006D7F25" w:rsidRPr="003A2822">
          <w:rPr>
            <w:noProof/>
            <w:webHidden/>
          </w:rPr>
        </w:r>
        <w:r w:rsidR="006D7F25" w:rsidRPr="003A2822">
          <w:rPr>
            <w:noProof/>
            <w:webHidden/>
          </w:rPr>
          <w:fldChar w:fldCharType="separate"/>
        </w:r>
        <w:r w:rsidR="00B63DFB">
          <w:rPr>
            <w:noProof/>
            <w:webHidden/>
          </w:rPr>
          <w:t>10</w:t>
        </w:r>
        <w:r w:rsidR="006D7F25" w:rsidRPr="003A2822">
          <w:rPr>
            <w:noProof/>
            <w:webHidden/>
          </w:rPr>
          <w:fldChar w:fldCharType="end"/>
        </w:r>
      </w:hyperlink>
    </w:p>
    <w:p w14:paraId="6E6FDFAD" w14:textId="2C5E5481" w:rsidR="006D7F25" w:rsidRPr="003A2822" w:rsidRDefault="00A21103">
      <w:pPr>
        <w:pStyle w:val="TOC2"/>
        <w:rPr>
          <w:rFonts w:eastAsiaTheme="minorEastAsia"/>
          <w:noProof/>
          <w:lang w:eastAsia="en-AU"/>
        </w:rPr>
      </w:pPr>
      <w:hyperlink w:anchor="_Toc88832372" w:history="1">
        <w:r w:rsidR="006D7F25" w:rsidRPr="003A2822">
          <w:rPr>
            <w:rStyle w:val="Hyperlink"/>
            <w:noProof/>
          </w:rPr>
          <w:t>6.1</w:t>
        </w:r>
        <w:r w:rsidR="006D7F25" w:rsidRPr="003A2822">
          <w:rPr>
            <w:rFonts w:eastAsiaTheme="minorEastAsia"/>
            <w:noProof/>
            <w:lang w:eastAsia="en-AU"/>
          </w:rPr>
          <w:tab/>
        </w:r>
        <w:r w:rsidR="006D7F25" w:rsidRPr="003A2822">
          <w:rPr>
            <w:rStyle w:val="Hyperlink"/>
            <w:noProof/>
          </w:rPr>
          <w:t>Eligible grant activities</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_Toc88832372 \h </w:instrText>
        </w:r>
        <w:r w:rsidR="006D7F25" w:rsidRPr="003A2822">
          <w:rPr>
            <w:noProof/>
            <w:webHidden/>
          </w:rPr>
        </w:r>
        <w:r w:rsidR="006D7F25" w:rsidRPr="003A2822">
          <w:rPr>
            <w:noProof/>
            <w:webHidden/>
          </w:rPr>
          <w:fldChar w:fldCharType="separate"/>
        </w:r>
        <w:r w:rsidR="00B63DFB">
          <w:rPr>
            <w:noProof/>
            <w:webHidden/>
          </w:rPr>
          <w:t>10</w:t>
        </w:r>
        <w:r w:rsidR="006D7F25" w:rsidRPr="003A2822">
          <w:rPr>
            <w:noProof/>
            <w:webHidden/>
          </w:rPr>
          <w:fldChar w:fldCharType="end"/>
        </w:r>
      </w:hyperlink>
    </w:p>
    <w:p w14:paraId="54E4EB67" w14:textId="60AF8CDB" w:rsidR="006D7F25" w:rsidRPr="003A2822" w:rsidRDefault="00A21103">
      <w:pPr>
        <w:pStyle w:val="TOC2"/>
        <w:rPr>
          <w:rFonts w:eastAsiaTheme="minorEastAsia"/>
          <w:noProof/>
          <w:lang w:eastAsia="en-AU"/>
        </w:rPr>
      </w:pPr>
      <w:hyperlink w:anchor="_Toc88832373" w:history="1">
        <w:r w:rsidR="006D7F25" w:rsidRPr="003A2822">
          <w:rPr>
            <w:rStyle w:val="Hyperlink"/>
            <w:noProof/>
          </w:rPr>
          <w:t>6.2</w:t>
        </w:r>
        <w:r w:rsidR="006D7F25" w:rsidRPr="003A2822">
          <w:rPr>
            <w:rFonts w:eastAsiaTheme="minorEastAsia"/>
            <w:noProof/>
            <w:lang w:eastAsia="en-AU"/>
          </w:rPr>
          <w:tab/>
        </w:r>
        <w:r w:rsidR="006D7F25" w:rsidRPr="003A2822">
          <w:rPr>
            <w:rStyle w:val="Hyperlink"/>
            <w:noProof/>
          </w:rPr>
          <w:t>Ineligible grant activities</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_Toc88832373 \h </w:instrText>
        </w:r>
        <w:r w:rsidR="006D7F25" w:rsidRPr="003A2822">
          <w:rPr>
            <w:noProof/>
            <w:webHidden/>
          </w:rPr>
        </w:r>
        <w:r w:rsidR="006D7F25" w:rsidRPr="003A2822">
          <w:rPr>
            <w:noProof/>
            <w:webHidden/>
          </w:rPr>
          <w:fldChar w:fldCharType="separate"/>
        </w:r>
        <w:r w:rsidR="00B63DFB">
          <w:rPr>
            <w:noProof/>
            <w:webHidden/>
          </w:rPr>
          <w:t>11</w:t>
        </w:r>
        <w:r w:rsidR="006D7F25" w:rsidRPr="003A2822">
          <w:rPr>
            <w:noProof/>
            <w:webHidden/>
          </w:rPr>
          <w:fldChar w:fldCharType="end"/>
        </w:r>
      </w:hyperlink>
    </w:p>
    <w:p w14:paraId="6D27BC7C" w14:textId="3E9BB3CF" w:rsidR="006D7F25" w:rsidRPr="003A2822" w:rsidRDefault="00A21103">
      <w:pPr>
        <w:pStyle w:val="TOC2"/>
        <w:rPr>
          <w:rFonts w:eastAsiaTheme="minorEastAsia"/>
          <w:noProof/>
          <w:lang w:eastAsia="en-AU"/>
        </w:rPr>
      </w:pPr>
      <w:hyperlink w:anchor="_Toc88832374" w:history="1">
        <w:r w:rsidR="006D7F25" w:rsidRPr="003A2822">
          <w:rPr>
            <w:rStyle w:val="Hyperlink"/>
            <w:noProof/>
          </w:rPr>
          <w:t>6.3</w:t>
        </w:r>
        <w:r w:rsidR="006D7F25" w:rsidRPr="003A2822">
          <w:rPr>
            <w:rFonts w:eastAsiaTheme="minorEastAsia"/>
            <w:noProof/>
            <w:lang w:eastAsia="en-AU"/>
          </w:rPr>
          <w:tab/>
        </w:r>
        <w:r w:rsidR="006D7F25" w:rsidRPr="003A2822">
          <w:rPr>
            <w:rStyle w:val="Hyperlink"/>
            <w:noProof/>
          </w:rPr>
          <w:t>Evidence of expenditure</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_Toc88832374 \h </w:instrText>
        </w:r>
        <w:r w:rsidR="006D7F25" w:rsidRPr="003A2822">
          <w:rPr>
            <w:noProof/>
            <w:webHidden/>
          </w:rPr>
        </w:r>
        <w:r w:rsidR="006D7F25" w:rsidRPr="003A2822">
          <w:rPr>
            <w:noProof/>
            <w:webHidden/>
          </w:rPr>
          <w:fldChar w:fldCharType="separate"/>
        </w:r>
        <w:r w:rsidR="00B63DFB">
          <w:rPr>
            <w:noProof/>
            <w:webHidden/>
          </w:rPr>
          <w:t>11</w:t>
        </w:r>
        <w:r w:rsidR="006D7F25" w:rsidRPr="003A2822">
          <w:rPr>
            <w:noProof/>
            <w:webHidden/>
          </w:rPr>
          <w:fldChar w:fldCharType="end"/>
        </w:r>
      </w:hyperlink>
    </w:p>
    <w:p w14:paraId="2876DABB" w14:textId="22C17EDD" w:rsidR="006D7F25" w:rsidRPr="003A2822" w:rsidRDefault="00A21103">
      <w:pPr>
        <w:pStyle w:val="TOC1"/>
        <w:rPr>
          <w:rFonts w:eastAsiaTheme="minorEastAsia"/>
          <w:b w:val="0"/>
          <w:noProof/>
          <w:sz w:val="22"/>
          <w:lang w:eastAsia="en-AU"/>
        </w:rPr>
      </w:pPr>
      <w:hyperlink w:anchor="_Toc88832375" w:history="1">
        <w:r w:rsidR="006D7F25" w:rsidRPr="003A2822">
          <w:rPr>
            <w:rStyle w:val="Hyperlink"/>
            <w:noProof/>
          </w:rPr>
          <w:t>7.</w:t>
        </w:r>
        <w:r w:rsidR="006D7F25" w:rsidRPr="003A2822">
          <w:rPr>
            <w:rFonts w:eastAsiaTheme="minorEastAsia"/>
            <w:b w:val="0"/>
            <w:noProof/>
            <w:sz w:val="22"/>
            <w:lang w:eastAsia="en-AU"/>
          </w:rPr>
          <w:tab/>
        </w:r>
        <w:r w:rsidR="006D7F25" w:rsidRPr="003A2822">
          <w:rPr>
            <w:rStyle w:val="Hyperlink"/>
            <w:noProof/>
          </w:rPr>
          <w:t>Grant delegate and approval process</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_Toc88832375 \h </w:instrText>
        </w:r>
        <w:r w:rsidR="006D7F25" w:rsidRPr="003A2822">
          <w:rPr>
            <w:noProof/>
            <w:webHidden/>
          </w:rPr>
        </w:r>
        <w:r w:rsidR="006D7F25" w:rsidRPr="003A2822">
          <w:rPr>
            <w:noProof/>
            <w:webHidden/>
          </w:rPr>
          <w:fldChar w:fldCharType="separate"/>
        </w:r>
        <w:r w:rsidR="00B63DFB">
          <w:rPr>
            <w:noProof/>
            <w:webHidden/>
          </w:rPr>
          <w:t>12</w:t>
        </w:r>
        <w:r w:rsidR="006D7F25" w:rsidRPr="003A2822">
          <w:rPr>
            <w:noProof/>
            <w:webHidden/>
          </w:rPr>
          <w:fldChar w:fldCharType="end"/>
        </w:r>
      </w:hyperlink>
    </w:p>
    <w:p w14:paraId="72B2112C" w14:textId="6EF1D80F" w:rsidR="006D7F25" w:rsidRPr="003A2822" w:rsidRDefault="00A21103">
      <w:pPr>
        <w:pStyle w:val="TOC2"/>
        <w:rPr>
          <w:rFonts w:eastAsiaTheme="minorEastAsia"/>
          <w:noProof/>
          <w:lang w:eastAsia="en-AU"/>
        </w:rPr>
      </w:pPr>
      <w:hyperlink w:anchor="_Toc88832376" w:history="1">
        <w:r w:rsidR="006D7F25" w:rsidRPr="003A2822">
          <w:rPr>
            <w:rStyle w:val="Hyperlink"/>
            <w:noProof/>
          </w:rPr>
          <w:t>7.1</w:t>
        </w:r>
        <w:r w:rsidR="006D7F25" w:rsidRPr="003A2822">
          <w:rPr>
            <w:rFonts w:eastAsiaTheme="minorEastAsia"/>
            <w:noProof/>
            <w:lang w:eastAsia="en-AU"/>
          </w:rPr>
          <w:tab/>
        </w:r>
        <w:r w:rsidR="006D7F25" w:rsidRPr="003A2822">
          <w:rPr>
            <w:rStyle w:val="Hyperlink"/>
            <w:noProof/>
          </w:rPr>
          <w:t>Assessment of grant applications</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_Toc88832376 \h </w:instrText>
        </w:r>
        <w:r w:rsidR="006D7F25" w:rsidRPr="003A2822">
          <w:rPr>
            <w:noProof/>
            <w:webHidden/>
          </w:rPr>
        </w:r>
        <w:r w:rsidR="006D7F25" w:rsidRPr="003A2822">
          <w:rPr>
            <w:noProof/>
            <w:webHidden/>
          </w:rPr>
          <w:fldChar w:fldCharType="separate"/>
        </w:r>
        <w:r w:rsidR="00B63DFB">
          <w:rPr>
            <w:noProof/>
            <w:webHidden/>
          </w:rPr>
          <w:t>12</w:t>
        </w:r>
        <w:r w:rsidR="006D7F25" w:rsidRPr="003A2822">
          <w:rPr>
            <w:noProof/>
            <w:webHidden/>
          </w:rPr>
          <w:fldChar w:fldCharType="end"/>
        </w:r>
      </w:hyperlink>
    </w:p>
    <w:p w14:paraId="3449ABA3" w14:textId="025BDF51" w:rsidR="006D7F25" w:rsidRPr="003A2822" w:rsidRDefault="00A21103">
      <w:pPr>
        <w:pStyle w:val="TOC2"/>
        <w:rPr>
          <w:rFonts w:eastAsiaTheme="minorEastAsia"/>
          <w:noProof/>
          <w:lang w:eastAsia="en-AU"/>
        </w:rPr>
      </w:pPr>
      <w:hyperlink w:anchor="_Toc88832377" w:history="1">
        <w:r w:rsidR="006D7F25" w:rsidRPr="003A2822">
          <w:rPr>
            <w:rStyle w:val="Hyperlink"/>
            <w:noProof/>
          </w:rPr>
          <w:t>7.2</w:t>
        </w:r>
        <w:r w:rsidR="006D7F25" w:rsidRPr="003A2822">
          <w:rPr>
            <w:rFonts w:eastAsiaTheme="minorEastAsia"/>
            <w:noProof/>
            <w:lang w:eastAsia="en-AU"/>
          </w:rPr>
          <w:tab/>
        </w:r>
        <w:r w:rsidR="006D7F25" w:rsidRPr="003A2822">
          <w:rPr>
            <w:rStyle w:val="Hyperlink"/>
            <w:noProof/>
          </w:rPr>
          <w:t>Who will approve the grants application</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_Toc88832377 \h </w:instrText>
        </w:r>
        <w:r w:rsidR="006D7F25" w:rsidRPr="003A2822">
          <w:rPr>
            <w:noProof/>
            <w:webHidden/>
          </w:rPr>
        </w:r>
        <w:r w:rsidR="006D7F25" w:rsidRPr="003A2822">
          <w:rPr>
            <w:noProof/>
            <w:webHidden/>
          </w:rPr>
          <w:fldChar w:fldCharType="separate"/>
        </w:r>
        <w:r w:rsidR="00B63DFB">
          <w:rPr>
            <w:noProof/>
            <w:webHidden/>
          </w:rPr>
          <w:t>12</w:t>
        </w:r>
        <w:r w:rsidR="006D7F25" w:rsidRPr="003A2822">
          <w:rPr>
            <w:noProof/>
            <w:webHidden/>
          </w:rPr>
          <w:fldChar w:fldCharType="end"/>
        </w:r>
      </w:hyperlink>
    </w:p>
    <w:p w14:paraId="094A605D" w14:textId="320BE11A" w:rsidR="006D7F25" w:rsidRPr="003A2822" w:rsidRDefault="00A21103">
      <w:pPr>
        <w:pStyle w:val="TOC2"/>
        <w:rPr>
          <w:rFonts w:eastAsiaTheme="minorEastAsia"/>
          <w:noProof/>
          <w:lang w:eastAsia="en-AU"/>
        </w:rPr>
      </w:pPr>
      <w:hyperlink w:anchor="_Toc88832378" w:history="1">
        <w:r w:rsidR="006D7F25" w:rsidRPr="003A2822">
          <w:rPr>
            <w:rStyle w:val="Hyperlink"/>
            <w:noProof/>
          </w:rPr>
          <w:t>7.3</w:t>
        </w:r>
        <w:r w:rsidR="006D7F25" w:rsidRPr="003A2822">
          <w:rPr>
            <w:rFonts w:eastAsiaTheme="minorEastAsia"/>
            <w:noProof/>
            <w:lang w:eastAsia="en-AU"/>
          </w:rPr>
          <w:tab/>
        </w:r>
        <w:r w:rsidR="006D7F25" w:rsidRPr="003A2822">
          <w:rPr>
            <w:rStyle w:val="Hyperlink"/>
            <w:noProof/>
          </w:rPr>
          <w:t>Dispute resolution</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_Toc88832378 \h </w:instrText>
        </w:r>
        <w:r w:rsidR="006D7F25" w:rsidRPr="003A2822">
          <w:rPr>
            <w:noProof/>
            <w:webHidden/>
          </w:rPr>
        </w:r>
        <w:r w:rsidR="006D7F25" w:rsidRPr="003A2822">
          <w:rPr>
            <w:noProof/>
            <w:webHidden/>
          </w:rPr>
          <w:fldChar w:fldCharType="separate"/>
        </w:r>
        <w:r w:rsidR="00B63DFB">
          <w:rPr>
            <w:noProof/>
            <w:webHidden/>
          </w:rPr>
          <w:t>12</w:t>
        </w:r>
        <w:r w:rsidR="006D7F25" w:rsidRPr="003A2822">
          <w:rPr>
            <w:noProof/>
            <w:webHidden/>
          </w:rPr>
          <w:fldChar w:fldCharType="end"/>
        </w:r>
      </w:hyperlink>
    </w:p>
    <w:p w14:paraId="055F8297" w14:textId="5A2BE2E2" w:rsidR="006D7F25" w:rsidRPr="003A2822" w:rsidRDefault="00A21103">
      <w:pPr>
        <w:pStyle w:val="TOC1"/>
        <w:rPr>
          <w:rFonts w:eastAsiaTheme="minorEastAsia"/>
          <w:b w:val="0"/>
          <w:noProof/>
          <w:sz w:val="22"/>
          <w:lang w:eastAsia="en-AU"/>
        </w:rPr>
      </w:pPr>
      <w:hyperlink w:anchor="_Toc88832379" w:history="1">
        <w:r w:rsidR="006D7F25" w:rsidRPr="003A2822">
          <w:rPr>
            <w:rStyle w:val="Hyperlink"/>
            <w:noProof/>
          </w:rPr>
          <w:t>8.</w:t>
        </w:r>
        <w:r w:rsidR="006D7F25" w:rsidRPr="003A2822">
          <w:rPr>
            <w:rFonts w:eastAsiaTheme="minorEastAsia"/>
            <w:b w:val="0"/>
            <w:noProof/>
            <w:sz w:val="22"/>
            <w:lang w:eastAsia="en-AU"/>
          </w:rPr>
          <w:tab/>
        </w:r>
        <w:r w:rsidR="006D7F25" w:rsidRPr="003A2822">
          <w:rPr>
            <w:rStyle w:val="Hyperlink"/>
            <w:noProof/>
          </w:rPr>
          <w:t>Successful grant applications</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_Toc88832379 \h </w:instrText>
        </w:r>
        <w:r w:rsidR="006D7F25" w:rsidRPr="003A2822">
          <w:rPr>
            <w:noProof/>
            <w:webHidden/>
          </w:rPr>
        </w:r>
        <w:r w:rsidR="006D7F25" w:rsidRPr="003A2822">
          <w:rPr>
            <w:noProof/>
            <w:webHidden/>
          </w:rPr>
          <w:fldChar w:fldCharType="separate"/>
        </w:r>
        <w:r w:rsidR="00B63DFB">
          <w:rPr>
            <w:noProof/>
            <w:webHidden/>
          </w:rPr>
          <w:t>12</w:t>
        </w:r>
        <w:r w:rsidR="006D7F25" w:rsidRPr="003A2822">
          <w:rPr>
            <w:noProof/>
            <w:webHidden/>
          </w:rPr>
          <w:fldChar w:fldCharType="end"/>
        </w:r>
      </w:hyperlink>
    </w:p>
    <w:p w14:paraId="3C21942D" w14:textId="3BA49095" w:rsidR="006D7F25" w:rsidRPr="003A2822" w:rsidRDefault="00A21103">
      <w:pPr>
        <w:pStyle w:val="TOC2"/>
        <w:rPr>
          <w:rFonts w:eastAsiaTheme="minorEastAsia"/>
          <w:noProof/>
          <w:lang w:eastAsia="en-AU"/>
        </w:rPr>
      </w:pPr>
      <w:hyperlink w:anchor="_Toc88832380" w:history="1">
        <w:r w:rsidR="006D7F25" w:rsidRPr="003A2822">
          <w:rPr>
            <w:rStyle w:val="Hyperlink"/>
            <w:noProof/>
          </w:rPr>
          <w:t>8.1</w:t>
        </w:r>
        <w:r w:rsidR="006D7F25" w:rsidRPr="003A2822">
          <w:rPr>
            <w:rFonts w:eastAsiaTheme="minorEastAsia"/>
            <w:noProof/>
            <w:lang w:eastAsia="en-AU"/>
          </w:rPr>
          <w:tab/>
        </w:r>
        <w:r w:rsidR="006D7F25" w:rsidRPr="003A2822">
          <w:rPr>
            <w:rStyle w:val="Hyperlink"/>
            <w:noProof/>
          </w:rPr>
          <w:t>The grant agreement</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_Toc88832380 \h </w:instrText>
        </w:r>
        <w:r w:rsidR="006D7F25" w:rsidRPr="003A2822">
          <w:rPr>
            <w:noProof/>
            <w:webHidden/>
          </w:rPr>
        </w:r>
        <w:r w:rsidR="006D7F25" w:rsidRPr="003A2822">
          <w:rPr>
            <w:noProof/>
            <w:webHidden/>
          </w:rPr>
          <w:fldChar w:fldCharType="separate"/>
        </w:r>
        <w:r w:rsidR="00B63DFB">
          <w:rPr>
            <w:noProof/>
            <w:webHidden/>
          </w:rPr>
          <w:t>12</w:t>
        </w:r>
        <w:r w:rsidR="006D7F25" w:rsidRPr="003A2822">
          <w:rPr>
            <w:noProof/>
            <w:webHidden/>
          </w:rPr>
          <w:fldChar w:fldCharType="end"/>
        </w:r>
      </w:hyperlink>
    </w:p>
    <w:p w14:paraId="6F3E5A76" w14:textId="7403CF8E" w:rsidR="006D7F25" w:rsidRPr="003A2822" w:rsidRDefault="00A21103">
      <w:pPr>
        <w:pStyle w:val="TOC2"/>
        <w:rPr>
          <w:rFonts w:eastAsiaTheme="minorEastAsia"/>
          <w:noProof/>
          <w:lang w:eastAsia="en-AU"/>
        </w:rPr>
      </w:pPr>
      <w:hyperlink w:anchor="_Toc88832381" w:history="1">
        <w:r w:rsidR="006D7F25" w:rsidRPr="003A2822">
          <w:rPr>
            <w:rStyle w:val="Hyperlink"/>
            <w:noProof/>
          </w:rPr>
          <w:t>8.2</w:t>
        </w:r>
        <w:r w:rsidR="006D7F25" w:rsidRPr="003A2822">
          <w:rPr>
            <w:rFonts w:eastAsiaTheme="minorEastAsia"/>
            <w:noProof/>
            <w:lang w:eastAsia="en-AU"/>
          </w:rPr>
          <w:tab/>
        </w:r>
        <w:r w:rsidR="006D7F25" w:rsidRPr="003A2822">
          <w:rPr>
            <w:rStyle w:val="Hyperlink"/>
            <w:noProof/>
          </w:rPr>
          <w:t>Commonwealth Child Safe Framework</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_Toc88832381 \h </w:instrText>
        </w:r>
        <w:r w:rsidR="006D7F25" w:rsidRPr="003A2822">
          <w:rPr>
            <w:noProof/>
            <w:webHidden/>
          </w:rPr>
        </w:r>
        <w:r w:rsidR="006D7F25" w:rsidRPr="003A2822">
          <w:rPr>
            <w:noProof/>
            <w:webHidden/>
          </w:rPr>
          <w:fldChar w:fldCharType="separate"/>
        </w:r>
        <w:r w:rsidR="00B63DFB">
          <w:rPr>
            <w:noProof/>
            <w:webHidden/>
          </w:rPr>
          <w:t>13</w:t>
        </w:r>
        <w:r w:rsidR="006D7F25" w:rsidRPr="003A2822">
          <w:rPr>
            <w:noProof/>
            <w:webHidden/>
          </w:rPr>
          <w:fldChar w:fldCharType="end"/>
        </w:r>
      </w:hyperlink>
    </w:p>
    <w:p w14:paraId="46215215" w14:textId="615BD2C5" w:rsidR="006D7F25" w:rsidRPr="003A2822" w:rsidRDefault="00A21103">
      <w:pPr>
        <w:pStyle w:val="TOC2"/>
        <w:rPr>
          <w:rFonts w:eastAsiaTheme="minorEastAsia"/>
          <w:noProof/>
          <w:lang w:eastAsia="en-AU"/>
        </w:rPr>
      </w:pPr>
      <w:hyperlink w:anchor="_Toc88832382" w:history="1">
        <w:r w:rsidR="006D7F25" w:rsidRPr="003A2822">
          <w:rPr>
            <w:rStyle w:val="Hyperlink"/>
            <w:noProof/>
          </w:rPr>
          <w:t>8.3</w:t>
        </w:r>
        <w:r w:rsidR="006D7F25" w:rsidRPr="003A2822">
          <w:rPr>
            <w:rFonts w:eastAsiaTheme="minorEastAsia"/>
            <w:noProof/>
            <w:lang w:eastAsia="en-AU"/>
          </w:rPr>
          <w:tab/>
        </w:r>
        <w:r w:rsidR="006D7F25" w:rsidRPr="003A2822">
          <w:rPr>
            <w:rStyle w:val="Hyperlink"/>
            <w:noProof/>
          </w:rPr>
          <w:t>How the grant will be paid</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_Toc88832382 \h </w:instrText>
        </w:r>
        <w:r w:rsidR="006D7F25" w:rsidRPr="003A2822">
          <w:rPr>
            <w:noProof/>
            <w:webHidden/>
          </w:rPr>
        </w:r>
        <w:r w:rsidR="006D7F25" w:rsidRPr="003A2822">
          <w:rPr>
            <w:noProof/>
            <w:webHidden/>
          </w:rPr>
          <w:fldChar w:fldCharType="separate"/>
        </w:r>
        <w:r w:rsidR="00B63DFB">
          <w:rPr>
            <w:noProof/>
            <w:webHidden/>
          </w:rPr>
          <w:t>13</w:t>
        </w:r>
        <w:r w:rsidR="006D7F25" w:rsidRPr="003A2822">
          <w:rPr>
            <w:noProof/>
            <w:webHidden/>
          </w:rPr>
          <w:fldChar w:fldCharType="end"/>
        </w:r>
      </w:hyperlink>
    </w:p>
    <w:p w14:paraId="0756DB28" w14:textId="311AFA26" w:rsidR="006D7F25" w:rsidRPr="003A2822" w:rsidRDefault="00A21103">
      <w:pPr>
        <w:pStyle w:val="TOC2"/>
        <w:rPr>
          <w:rFonts w:eastAsiaTheme="minorEastAsia"/>
          <w:noProof/>
          <w:lang w:eastAsia="en-AU"/>
        </w:rPr>
      </w:pPr>
      <w:hyperlink w:anchor="_Toc88832383" w:history="1">
        <w:r w:rsidR="006D7F25" w:rsidRPr="003A2822">
          <w:rPr>
            <w:rStyle w:val="Hyperlink"/>
            <w:noProof/>
          </w:rPr>
          <w:t>8.4</w:t>
        </w:r>
        <w:r w:rsidR="006D7F25" w:rsidRPr="003A2822">
          <w:rPr>
            <w:rFonts w:eastAsiaTheme="minorEastAsia"/>
            <w:noProof/>
            <w:lang w:eastAsia="en-AU"/>
          </w:rPr>
          <w:tab/>
        </w:r>
        <w:r w:rsidR="006D7F25" w:rsidRPr="003A2822">
          <w:rPr>
            <w:rStyle w:val="Hyperlink"/>
            <w:noProof/>
          </w:rPr>
          <w:t>Grant payments and GST</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_Toc88832383 \h </w:instrText>
        </w:r>
        <w:r w:rsidR="006D7F25" w:rsidRPr="003A2822">
          <w:rPr>
            <w:noProof/>
            <w:webHidden/>
          </w:rPr>
        </w:r>
        <w:r w:rsidR="006D7F25" w:rsidRPr="003A2822">
          <w:rPr>
            <w:noProof/>
            <w:webHidden/>
          </w:rPr>
          <w:fldChar w:fldCharType="separate"/>
        </w:r>
        <w:r w:rsidR="00B63DFB">
          <w:rPr>
            <w:noProof/>
            <w:webHidden/>
          </w:rPr>
          <w:t>13</w:t>
        </w:r>
        <w:r w:rsidR="006D7F25" w:rsidRPr="003A2822">
          <w:rPr>
            <w:noProof/>
            <w:webHidden/>
          </w:rPr>
          <w:fldChar w:fldCharType="end"/>
        </w:r>
      </w:hyperlink>
    </w:p>
    <w:p w14:paraId="2A2233BF" w14:textId="2BACA982" w:rsidR="006D7F25" w:rsidRPr="003A2822" w:rsidRDefault="00A21103">
      <w:pPr>
        <w:pStyle w:val="TOC1"/>
        <w:rPr>
          <w:rFonts w:eastAsiaTheme="minorEastAsia"/>
          <w:b w:val="0"/>
          <w:noProof/>
          <w:sz w:val="22"/>
          <w:lang w:eastAsia="en-AU"/>
        </w:rPr>
      </w:pPr>
      <w:hyperlink w:anchor="_Toc88832384" w:history="1">
        <w:r w:rsidR="006D7F25" w:rsidRPr="003A2822">
          <w:rPr>
            <w:rStyle w:val="Hyperlink"/>
            <w:noProof/>
          </w:rPr>
          <w:t>9.</w:t>
        </w:r>
        <w:r w:rsidR="006D7F25" w:rsidRPr="003A2822">
          <w:rPr>
            <w:rFonts w:eastAsiaTheme="minorEastAsia"/>
            <w:b w:val="0"/>
            <w:noProof/>
            <w:sz w:val="22"/>
            <w:lang w:eastAsia="en-AU"/>
          </w:rPr>
          <w:tab/>
        </w:r>
        <w:r w:rsidR="006D7F25" w:rsidRPr="003A2822">
          <w:rPr>
            <w:rStyle w:val="Hyperlink"/>
            <w:noProof/>
          </w:rPr>
          <w:t>Notification of the grant</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_Toc88832384 \h </w:instrText>
        </w:r>
        <w:r w:rsidR="006D7F25" w:rsidRPr="003A2822">
          <w:rPr>
            <w:noProof/>
            <w:webHidden/>
          </w:rPr>
        </w:r>
        <w:r w:rsidR="006D7F25" w:rsidRPr="003A2822">
          <w:rPr>
            <w:noProof/>
            <w:webHidden/>
          </w:rPr>
          <w:fldChar w:fldCharType="separate"/>
        </w:r>
        <w:r w:rsidR="00B63DFB">
          <w:rPr>
            <w:noProof/>
            <w:webHidden/>
          </w:rPr>
          <w:t>13</w:t>
        </w:r>
        <w:r w:rsidR="006D7F25" w:rsidRPr="003A2822">
          <w:rPr>
            <w:noProof/>
            <w:webHidden/>
          </w:rPr>
          <w:fldChar w:fldCharType="end"/>
        </w:r>
      </w:hyperlink>
    </w:p>
    <w:p w14:paraId="7D27F249" w14:textId="1C54B4C4" w:rsidR="006D7F25" w:rsidRPr="003A2822" w:rsidRDefault="00A21103">
      <w:pPr>
        <w:pStyle w:val="TOC2"/>
        <w:rPr>
          <w:rFonts w:eastAsiaTheme="minorEastAsia"/>
          <w:noProof/>
          <w:lang w:eastAsia="en-AU"/>
        </w:rPr>
      </w:pPr>
      <w:hyperlink w:anchor="_Toc88832385" w:history="1">
        <w:r w:rsidR="006D7F25" w:rsidRPr="003A2822">
          <w:rPr>
            <w:rStyle w:val="Hyperlink"/>
            <w:noProof/>
          </w:rPr>
          <w:t>9.1</w:t>
        </w:r>
        <w:r w:rsidR="006D7F25" w:rsidRPr="003A2822">
          <w:rPr>
            <w:rFonts w:eastAsiaTheme="minorEastAsia"/>
            <w:noProof/>
            <w:lang w:eastAsia="en-AU"/>
          </w:rPr>
          <w:tab/>
        </w:r>
        <w:r w:rsidR="006D7F25" w:rsidRPr="003A2822">
          <w:rPr>
            <w:rStyle w:val="Hyperlink"/>
            <w:noProof/>
          </w:rPr>
          <w:t>Grant acquittal and reporting</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_Toc88832385 \h </w:instrText>
        </w:r>
        <w:r w:rsidR="006D7F25" w:rsidRPr="003A2822">
          <w:rPr>
            <w:noProof/>
            <w:webHidden/>
          </w:rPr>
        </w:r>
        <w:r w:rsidR="006D7F25" w:rsidRPr="003A2822">
          <w:rPr>
            <w:noProof/>
            <w:webHidden/>
          </w:rPr>
          <w:fldChar w:fldCharType="separate"/>
        </w:r>
        <w:r w:rsidR="00B63DFB">
          <w:rPr>
            <w:noProof/>
            <w:webHidden/>
          </w:rPr>
          <w:t>13</w:t>
        </w:r>
        <w:r w:rsidR="006D7F25" w:rsidRPr="003A2822">
          <w:rPr>
            <w:noProof/>
            <w:webHidden/>
          </w:rPr>
          <w:fldChar w:fldCharType="end"/>
        </w:r>
      </w:hyperlink>
    </w:p>
    <w:p w14:paraId="0086DACD" w14:textId="4BE83E3A" w:rsidR="006D7F25" w:rsidRPr="003A2822" w:rsidRDefault="00A21103">
      <w:pPr>
        <w:pStyle w:val="TOC1"/>
        <w:rPr>
          <w:rFonts w:eastAsiaTheme="minorEastAsia"/>
          <w:b w:val="0"/>
          <w:noProof/>
          <w:sz w:val="22"/>
          <w:lang w:eastAsia="en-AU"/>
        </w:rPr>
      </w:pPr>
      <w:hyperlink w:anchor="_Toc88832386" w:history="1">
        <w:r w:rsidR="006D7F25" w:rsidRPr="003A2822">
          <w:rPr>
            <w:rStyle w:val="Hyperlink"/>
            <w:noProof/>
          </w:rPr>
          <w:t>10.</w:t>
        </w:r>
        <w:r w:rsidR="006D7F25" w:rsidRPr="003A2822">
          <w:rPr>
            <w:rFonts w:eastAsiaTheme="minorEastAsia"/>
            <w:b w:val="0"/>
            <w:noProof/>
            <w:sz w:val="22"/>
            <w:lang w:eastAsia="en-AU"/>
          </w:rPr>
          <w:tab/>
        </w:r>
        <w:r w:rsidR="006D7F25" w:rsidRPr="003A2822">
          <w:rPr>
            <w:rStyle w:val="Hyperlink"/>
            <w:noProof/>
          </w:rPr>
          <w:t>Announcement of the grant</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_Toc88832386 \h </w:instrText>
        </w:r>
        <w:r w:rsidR="006D7F25" w:rsidRPr="003A2822">
          <w:rPr>
            <w:noProof/>
            <w:webHidden/>
          </w:rPr>
        </w:r>
        <w:r w:rsidR="006D7F25" w:rsidRPr="003A2822">
          <w:rPr>
            <w:noProof/>
            <w:webHidden/>
          </w:rPr>
          <w:fldChar w:fldCharType="separate"/>
        </w:r>
        <w:r w:rsidR="00B63DFB">
          <w:rPr>
            <w:noProof/>
            <w:webHidden/>
          </w:rPr>
          <w:t>14</w:t>
        </w:r>
        <w:r w:rsidR="006D7F25" w:rsidRPr="003A2822">
          <w:rPr>
            <w:noProof/>
            <w:webHidden/>
          </w:rPr>
          <w:fldChar w:fldCharType="end"/>
        </w:r>
      </w:hyperlink>
    </w:p>
    <w:p w14:paraId="50849CC0" w14:textId="76558409" w:rsidR="006D7F25" w:rsidRPr="003A2822" w:rsidRDefault="00A21103">
      <w:pPr>
        <w:pStyle w:val="TOC1"/>
        <w:rPr>
          <w:rFonts w:eastAsiaTheme="minorEastAsia"/>
          <w:b w:val="0"/>
          <w:noProof/>
          <w:sz w:val="22"/>
          <w:lang w:eastAsia="en-AU"/>
        </w:rPr>
      </w:pPr>
      <w:hyperlink w:anchor="_Toc88832387" w:history="1">
        <w:r w:rsidR="006D7F25" w:rsidRPr="003A2822">
          <w:rPr>
            <w:rStyle w:val="Hyperlink"/>
            <w:noProof/>
          </w:rPr>
          <w:t>11.</w:t>
        </w:r>
        <w:r w:rsidR="006D7F25" w:rsidRPr="003A2822">
          <w:rPr>
            <w:rFonts w:eastAsiaTheme="minorEastAsia"/>
            <w:b w:val="0"/>
            <w:noProof/>
            <w:sz w:val="22"/>
            <w:lang w:eastAsia="en-AU"/>
          </w:rPr>
          <w:tab/>
        </w:r>
        <w:r w:rsidR="006D7F25" w:rsidRPr="003A2822">
          <w:rPr>
            <w:rStyle w:val="Hyperlink"/>
            <w:noProof/>
          </w:rPr>
          <w:t>Grant evaluation</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_Toc88832387 \h </w:instrText>
        </w:r>
        <w:r w:rsidR="006D7F25" w:rsidRPr="003A2822">
          <w:rPr>
            <w:noProof/>
            <w:webHidden/>
          </w:rPr>
        </w:r>
        <w:r w:rsidR="006D7F25" w:rsidRPr="003A2822">
          <w:rPr>
            <w:noProof/>
            <w:webHidden/>
          </w:rPr>
          <w:fldChar w:fldCharType="separate"/>
        </w:r>
        <w:r w:rsidR="00B63DFB">
          <w:rPr>
            <w:noProof/>
            <w:webHidden/>
          </w:rPr>
          <w:t>14</w:t>
        </w:r>
        <w:r w:rsidR="006D7F25" w:rsidRPr="003A2822">
          <w:rPr>
            <w:noProof/>
            <w:webHidden/>
          </w:rPr>
          <w:fldChar w:fldCharType="end"/>
        </w:r>
      </w:hyperlink>
    </w:p>
    <w:p w14:paraId="0A7E4706" w14:textId="18CAA535" w:rsidR="006D7F25" w:rsidRPr="003A2822" w:rsidRDefault="00A21103">
      <w:pPr>
        <w:pStyle w:val="TOC1"/>
        <w:rPr>
          <w:rFonts w:eastAsiaTheme="minorEastAsia"/>
          <w:b w:val="0"/>
          <w:noProof/>
          <w:sz w:val="22"/>
          <w:lang w:eastAsia="en-AU"/>
        </w:rPr>
      </w:pPr>
      <w:hyperlink w:anchor="_Toc88832388" w:history="1">
        <w:r w:rsidR="006D7F25" w:rsidRPr="003A2822">
          <w:rPr>
            <w:rStyle w:val="Hyperlink"/>
            <w:noProof/>
          </w:rPr>
          <w:t>12.</w:t>
        </w:r>
        <w:r w:rsidR="006D7F25" w:rsidRPr="003A2822">
          <w:rPr>
            <w:rFonts w:eastAsiaTheme="minorEastAsia"/>
            <w:b w:val="0"/>
            <w:noProof/>
            <w:sz w:val="22"/>
            <w:lang w:eastAsia="en-AU"/>
          </w:rPr>
          <w:tab/>
        </w:r>
        <w:r w:rsidR="006D7F25" w:rsidRPr="003A2822">
          <w:rPr>
            <w:rStyle w:val="Hyperlink"/>
            <w:noProof/>
          </w:rPr>
          <w:t>Glossary</w:t>
        </w:r>
        <w:r w:rsidR="006D7F25" w:rsidRPr="003A2822">
          <w:rPr>
            <w:noProof/>
            <w:webHidden/>
          </w:rPr>
          <w:tab/>
        </w:r>
        <w:r w:rsidR="006D7F25" w:rsidRPr="003A2822">
          <w:rPr>
            <w:noProof/>
            <w:webHidden/>
          </w:rPr>
          <w:fldChar w:fldCharType="begin"/>
        </w:r>
        <w:r w:rsidR="006D7F25" w:rsidRPr="003A2822">
          <w:rPr>
            <w:noProof/>
            <w:webHidden/>
          </w:rPr>
          <w:instrText xml:space="preserve"> PAGEREF _Toc88832388 \h </w:instrText>
        </w:r>
        <w:r w:rsidR="006D7F25" w:rsidRPr="003A2822">
          <w:rPr>
            <w:noProof/>
            <w:webHidden/>
          </w:rPr>
        </w:r>
        <w:r w:rsidR="006D7F25" w:rsidRPr="003A2822">
          <w:rPr>
            <w:noProof/>
            <w:webHidden/>
          </w:rPr>
          <w:fldChar w:fldCharType="separate"/>
        </w:r>
        <w:r w:rsidR="00B63DFB">
          <w:rPr>
            <w:noProof/>
            <w:webHidden/>
          </w:rPr>
          <w:t>15</w:t>
        </w:r>
        <w:r w:rsidR="006D7F25" w:rsidRPr="003A2822">
          <w:rPr>
            <w:noProof/>
            <w:webHidden/>
          </w:rPr>
          <w:fldChar w:fldCharType="end"/>
        </w:r>
      </w:hyperlink>
    </w:p>
    <w:p w14:paraId="2E151E72" w14:textId="297764E2" w:rsidR="0020122A" w:rsidRPr="003A2822" w:rsidRDefault="0020122A" w:rsidP="0020122A">
      <w:r w:rsidRPr="003A2822">
        <w:fldChar w:fldCharType="end"/>
      </w:r>
    </w:p>
    <w:p w14:paraId="7B3DC8D0" w14:textId="77777777" w:rsidR="00883FF8" w:rsidRPr="003A2822" w:rsidRDefault="00883FF8">
      <w:pPr>
        <w:suppressAutoHyphens w:val="0"/>
        <w:spacing w:before="0" w:after="120" w:line="440" w:lineRule="atLeast"/>
      </w:pPr>
      <w:r w:rsidRPr="003A2822">
        <w:br w:type="page"/>
      </w:r>
    </w:p>
    <w:p w14:paraId="30A4945A" w14:textId="77777777" w:rsidR="007D1D4F" w:rsidRPr="003A2822" w:rsidRDefault="00CA60FA" w:rsidP="007D1D4F">
      <w:pPr>
        <w:pStyle w:val="Heading1Numbered"/>
        <w:rPr>
          <w:color w:val="auto"/>
          <w:sz w:val="32"/>
          <w:szCs w:val="32"/>
        </w:rPr>
      </w:pPr>
      <w:bookmarkStart w:id="0" w:name="_Toc88832354"/>
      <w:r w:rsidRPr="003A2822">
        <w:rPr>
          <w:color w:val="auto"/>
          <w:sz w:val="32"/>
          <w:szCs w:val="32"/>
        </w:rPr>
        <w:t>About the grant</w:t>
      </w:r>
      <w:bookmarkEnd w:id="0"/>
    </w:p>
    <w:p w14:paraId="2B3C7037" w14:textId="2A428F0C" w:rsidR="00894728" w:rsidRPr="003A2822" w:rsidRDefault="00894728" w:rsidP="00894728">
      <w:pPr>
        <w:spacing w:before="120" w:after="120"/>
        <w:rPr>
          <w:rFonts w:cstheme="minorHAnsi"/>
        </w:rPr>
      </w:pPr>
      <w:bookmarkStart w:id="1" w:name="_Toc421777592"/>
      <w:bookmarkStart w:id="2" w:name="_Ref421785111"/>
      <w:r w:rsidRPr="003A2822">
        <w:rPr>
          <w:rFonts w:cstheme="minorHAnsi"/>
        </w:rPr>
        <w:t>The purpose of the Innovation</w:t>
      </w:r>
      <w:r w:rsidR="00726D07" w:rsidRPr="003A2822">
        <w:rPr>
          <w:rFonts w:cstheme="minorHAnsi"/>
        </w:rPr>
        <w:t xml:space="preserve"> Development</w:t>
      </w:r>
      <w:r w:rsidRPr="003A2822">
        <w:rPr>
          <w:rFonts w:cstheme="minorHAnsi"/>
        </w:rPr>
        <w:t xml:space="preserve"> Fund commencing from</w:t>
      </w:r>
      <w:r w:rsidR="002C1F78" w:rsidRPr="003A2822">
        <w:rPr>
          <w:rFonts w:cstheme="minorHAnsi"/>
        </w:rPr>
        <w:t xml:space="preserve"> </w:t>
      </w:r>
      <w:r w:rsidR="00243621">
        <w:rPr>
          <w:rFonts w:cstheme="minorHAnsi"/>
        </w:rPr>
        <w:t>4</w:t>
      </w:r>
      <w:r w:rsidR="00C6393D" w:rsidRPr="003A2822">
        <w:rPr>
          <w:rFonts w:cstheme="minorHAnsi"/>
        </w:rPr>
        <w:t xml:space="preserve"> </w:t>
      </w:r>
      <w:r w:rsidR="002C1F78" w:rsidRPr="003A2822">
        <w:rPr>
          <w:rFonts w:cstheme="minorHAnsi"/>
        </w:rPr>
        <w:t>January 2022</w:t>
      </w:r>
      <w:r w:rsidRPr="003A2822">
        <w:rPr>
          <w:rFonts w:cstheme="minorHAnsi"/>
        </w:rPr>
        <w:t>, is to allow eligible</w:t>
      </w:r>
      <w:r w:rsidR="00B600F9" w:rsidRPr="003A2822">
        <w:rPr>
          <w:rFonts w:cstheme="minorHAnsi"/>
        </w:rPr>
        <w:t xml:space="preserve"> </w:t>
      </w:r>
      <w:r w:rsidRPr="003A2822">
        <w:rPr>
          <w:rFonts w:cstheme="minorHAnsi"/>
        </w:rPr>
        <w:t xml:space="preserve">Commonwealth Register of Institutions and Courses for Overseas Students (CRICOS) registered private English Language Intensive Courses for Overseas Students (ELICOS) providers to apply for </w:t>
      </w:r>
      <w:r w:rsidR="002C1F78" w:rsidRPr="003A2822">
        <w:rPr>
          <w:rFonts w:cstheme="minorHAnsi"/>
        </w:rPr>
        <w:t xml:space="preserve">grant funding of </w:t>
      </w:r>
      <w:r w:rsidRPr="003A2822">
        <w:rPr>
          <w:rFonts w:cstheme="minorHAnsi"/>
        </w:rPr>
        <w:t>up to $1</w:t>
      </w:r>
      <w:r w:rsidR="00111063" w:rsidRPr="003A2822">
        <w:rPr>
          <w:rFonts w:cstheme="minorHAnsi"/>
        </w:rPr>
        <w:t>5</w:t>
      </w:r>
      <w:r w:rsidRPr="003A2822">
        <w:rPr>
          <w:rFonts w:cstheme="minorHAnsi"/>
        </w:rPr>
        <w:t xml:space="preserve">0,000 to </w:t>
      </w:r>
      <w:bookmarkStart w:id="3" w:name="_Hlk87881389"/>
      <w:r w:rsidR="00C941BF" w:rsidRPr="003A2822">
        <w:rPr>
          <w:rFonts w:cstheme="minorHAnsi"/>
        </w:rPr>
        <w:t>diversify their education offerings into online and offshore delivery</w:t>
      </w:r>
      <w:bookmarkEnd w:id="3"/>
      <w:r w:rsidRPr="003A2822">
        <w:rPr>
          <w:rFonts w:cstheme="minorHAnsi"/>
        </w:rPr>
        <w:t>.</w:t>
      </w:r>
    </w:p>
    <w:p w14:paraId="48A9CA38" w14:textId="43AC81D0" w:rsidR="00894728" w:rsidRPr="003A2822" w:rsidRDefault="00894728" w:rsidP="00894728">
      <w:pPr>
        <w:spacing w:before="120" w:after="120"/>
        <w:rPr>
          <w:rFonts w:cstheme="minorHAnsi"/>
        </w:rPr>
      </w:pPr>
      <w:bookmarkStart w:id="4" w:name="_Hlk87881427"/>
      <w:r w:rsidRPr="003A2822">
        <w:rPr>
          <w:rFonts w:cstheme="minorHAnsi"/>
        </w:rPr>
        <w:t xml:space="preserve">The grant </w:t>
      </w:r>
      <w:r w:rsidR="005E2620" w:rsidRPr="003A2822">
        <w:rPr>
          <w:rFonts w:cstheme="minorHAnsi"/>
        </w:rPr>
        <w:t>provide</w:t>
      </w:r>
      <w:r w:rsidR="00BD2107" w:rsidRPr="003A2822">
        <w:rPr>
          <w:rFonts w:cstheme="minorHAnsi"/>
        </w:rPr>
        <w:t>s</w:t>
      </w:r>
      <w:r w:rsidR="005E2620" w:rsidRPr="003A2822">
        <w:rPr>
          <w:rFonts w:cstheme="minorHAnsi"/>
        </w:rPr>
        <w:t xml:space="preserve"> short term </w:t>
      </w:r>
      <w:r w:rsidRPr="003A2822">
        <w:rPr>
          <w:rFonts w:cstheme="minorHAnsi"/>
        </w:rPr>
        <w:t xml:space="preserve">targeted </w:t>
      </w:r>
      <w:r w:rsidR="006A0218" w:rsidRPr="003A2822">
        <w:rPr>
          <w:rFonts w:cstheme="minorHAnsi"/>
        </w:rPr>
        <w:t xml:space="preserve">short term </w:t>
      </w:r>
      <w:r w:rsidR="005E2620" w:rsidRPr="003A2822">
        <w:rPr>
          <w:rFonts w:cstheme="minorHAnsi"/>
        </w:rPr>
        <w:t xml:space="preserve">support </w:t>
      </w:r>
      <w:r w:rsidRPr="003A2822">
        <w:rPr>
          <w:rFonts w:cstheme="minorHAnsi"/>
        </w:rPr>
        <w:t xml:space="preserve">to </w:t>
      </w:r>
      <w:r w:rsidR="00BD2107" w:rsidRPr="003A2822">
        <w:rPr>
          <w:rFonts w:cstheme="minorHAnsi"/>
        </w:rPr>
        <w:t>vulnerable</w:t>
      </w:r>
      <w:r w:rsidR="00C941BF" w:rsidRPr="003A2822">
        <w:rPr>
          <w:rFonts w:cstheme="minorHAnsi"/>
        </w:rPr>
        <w:t xml:space="preserve"> </w:t>
      </w:r>
      <w:r w:rsidRPr="003A2822">
        <w:rPr>
          <w:rFonts w:cstheme="minorHAnsi"/>
        </w:rPr>
        <w:t xml:space="preserve">private ELICOS providers </w:t>
      </w:r>
      <w:r w:rsidR="00C941BF" w:rsidRPr="003A2822">
        <w:rPr>
          <w:rFonts w:cstheme="minorHAnsi"/>
        </w:rPr>
        <w:t xml:space="preserve">which have experienced significant </w:t>
      </w:r>
      <w:r w:rsidR="002C1F78" w:rsidRPr="003A2822">
        <w:rPr>
          <w:rFonts w:cstheme="minorHAnsi"/>
        </w:rPr>
        <w:t xml:space="preserve">declines in international student </w:t>
      </w:r>
      <w:r w:rsidR="00AF06AA" w:rsidRPr="003A2822">
        <w:rPr>
          <w:rFonts w:cstheme="minorHAnsi"/>
        </w:rPr>
        <w:t>enrolments and</w:t>
      </w:r>
      <w:r w:rsidR="00C941BF" w:rsidRPr="003A2822">
        <w:rPr>
          <w:rFonts w:cstheme="minorHAnsi"/>
        </w:rPr>
        <w:t xml:space="preserve"> are most at risk of closure</w:t>
      </w:r>
      <w:r w:rsidR="005E2620" w:rsidRPr="003A2822">
        <w:rPr>
          <w:rFonts w:cstheme="minorHAnsi"/>
        </w:rPr>
        <w:t xml:space="preserve"> </w:t>
      </w:r>
      <w:proofErr w:type="gramStart"/>
      <w:r w:rsidR="006A0218" w:rsidRPr="003A2822">
        <w:rPr>
          <w:rFonts w:cstheme="minorHAnsi"/>
        </w:rPr>
        <w:t>as a result of</w:t>
      </w:r>
      <w:proofErr w:type="gramEnd"/>
      <w:r w:rsidR="005E2620" w:rsidRPr="003A2822">
        <w:rPr>
          <w:rFonts w:cstheme="minorHAnsi"/>
        </w:rPr>
        <w:t xml:space="preserve"> </w:t>
      </w:r>
      <w:r w:rsidR="002C1F78" w:rsidRPr="003A2822">
        <w:rPr>
          <w:rFonts w:cstheme="minorHAnsi"/>
        </w:rPr>
        <w:t xml:space="preserve">COVID-19 </w:t>
      </w:r>
      <w:r w:rsidR="006A0218" w:rsidRPr="003A2822">
        <w:rPr>
          <w:rFonts w:cstheme="minorHAnsi"/>
        </w:rPr>
        <w:t>border closures</w:t>
      </w:r>
      <w:r w:rsidR="005E2620" w:rsidRPr="003A2822">
        <w:rPr>
          <w:rFonts w:cstheme="minorHAnsi"/>
        </w:rPr>
        <w:t xml:space="preserve">, </w:t>
      </w:r>
      <w:r w:rsidR="00C941BF" w:rsidRPr="003A2822">
        <w:rPr>
          <w:rFonts w:cstheme="minorHAnsi"/>
        </w:rPr>
        <w:t>to invest into establishing and expanding online and offshore delivery</w:t>
      </w:r>
      <w:bookmarkEnd w:id="4"/>
      <w:r w:rsidR="00146D3C" w:rsidRPr="003A2822">
        <w:rPr>
          <w:rFonts w:cstheme="minorHAnsi"/>
        </w:rPr>
        <w:t xml:space="preserve"> to </w:t>
      </w:r>
      <w:r w:rsidR="00A972C0" w:rsidRPr="003A2822">
        <w:rPr>
          <w:rFonts w:cstheme="minorHAnsi"/>
        </w:rPr>
        <w:t>re-establish</w:t>
      </w:r>
      <w:r w:rsidR="00146D3C" w:rsidRPr="003A2822">
        <w:rPr>
          <w:rFonts w:cstheme="minorHAnsi"/>
        </w:rPr>
        <w:t xml:space="preserve"> a pipeline of students</w:t>
      </w:r>
      <w:r w:rsidR="00A972C0" w:rsidRPr="003A2822">
        <w:rPr>
          <w:rFonts w:cstheme="minorHAnsi"/>
        </w:rPr>
        <w:t xml:space="preserve"> and support long-term recovery of the international education sector</w:t>
      </w:r>
      <w:r w:rsidR="00C941BF" w:rsidRPr="003A2822">
        <w:rPr>
          <w:rFonts w:cstheme="minorHAnsi"/>
        </w:rPr>
        <w:t>.</w:t>
      </w:r>
    </w:p>
    <w:p w14:paraId="635FBFF4" w14:textId="47C43299" w:rsidR="00522121" w:rsidRPr="003A2822" w:rsidRDefault="006A0218" w:rsidP="00894728">
      <w:pPr>
        <w:spacing w:before="120" w:after="120"/>
        <w:rPr>
          <w:rFonts w:cstheme="minorHAnsi"/>
        </w:rPr>
      </w:pPr>
      <w:r w:rsidRPr="003A2822">
        <w:rPr>
          <w:rFonts w:cstheme="minorHAnsi"/>
        </w:rPr>
        <w:t>ELICOS p</w:t>
      </w:r>
      <w:r w:rsidR="00522121" w:rsidRPr="003A2822">
        <w:rPr>
          <w:rFonts w:cstheme="minorHAnsi"/>
        </w:rPr>
        <w:t xml:space="preserve">roviders can apply for funding </w:t>
      </w:r>
      <w:r w:rsidR="000866A9" w:rsidRPr="003A2822">
        <w:rPr>
          <w:rFonts w:cstheme="minorHAnsi"/>
        </w:rPr>
        <w:t>if</w:t>
      </w:r>
      <w:r w:rsidR="00522121" w:rsidRPr="003A2822">
        <w:rPr>
          <w:rFonts w:cstheme="minorHAnsi"/>
        </w:rPr>
        <w:t xml:space="preserve"> they meet the eligibility requirements</w:t>
      </w:r>
      <w:r w:rsidR="00E565F7" w:rsidRPr="003A2822">
        <w:rPr>
          <w:rFonts w:cstheme="minorHAnsi"/>
        </w:rPr>
        <w:t xml:space="preserve"> outlined in </w:t>
      </w:r>
      <w:r w:rsidR="00B653EF" w:rsidRPr="003A2822">
        <w:rPr>
          <w:rFonts w:cstheme="minorHAnsi"/>
        </w:rPr>
        <w:t>S</w:t>
      </w:r>
      <w:r w:rsidR="00E565F7" w:rsidRPr="003A2822">
        <w:rPr>
          <w:rFonts w:cstheme="minorHAnsi"/>
        </w:rPr>
        <w:t xml:space="preserve">ection </w:t>
      </w:r>
      <w:r w:rsidR="00B653EF" w:rsidRPr="003A2822">
        <w:rPr>
          <w:rFonts w:cstheme="minorHAnsi"/>
        </w:rPr>
        <w:t>3.1</w:t>
      </w:r>
      <w:r w:rsidR="00E565F7" w:rsidRPr="003A2822">
        <w:rPr>
          <w:rFonts w:cstheme="minorHAnsi"/>
        </w:rPr>
        <w:t xml:space="preserve"> of these guidelines</w:t>
      </w:r>
      <w:r w:rsidR="00522121" w:rsidRPr="003A2822">
        <w:rPr>
          <w:rFonts w:cstheme="minorHAnsi"/>
        </w:rPr>
        <w:t xml:space="preserve">. </w:t>
      </w:r>
    </w:p>
    <w:p w14:paraId="3423B742" w14:textId="4733B12D" w:rsidR="00894728" w:rsidRPr="003A2822" w:rsidRDefault="00894728" w:rsidP="00894728">
      <w:pPr>
        <w:spacing w:before="120" w:after="120"/>
        <w:rPr>
          <w:rFonts w:cstheme="minorHAnsi"/>
        </w:rPr>
      </w:pPr>
      <w:r w:rsidRPr="003A2822">
        <w:rPr>
          <w:rFonts w:cstheme="minorHAnsi"/>
        </w:rPr>
        <w:t>This grant will be administered by</w:t>
      </w:r>
      <w:r w:rsidR="00901532" w:rsidRPr="003A2822">
        <w:rPr>
          <w:rFonts w:cstheme="minorHAnsi"/>
        </w:rPr>
        <w:t xml:space="preserve"> </w:t>
      </w:r>
      <w:r w:rsidR="00243621">
        <w:rPr>
          <w:rFonts w:cstheme="minorHAnsi"/>
        </w:rPr>
        <w:t>English Australia</w:t>
      </w:r>
      <w:r w:rsidRPr="003A2822">
        <w:rPr>
          <w:rFonts w:cstheme="minorHAnsi"/>
        </w:rPr>
        <w:t xml:space="preserve">, known as the Program </w:t>
      </w:r>
      <w:proofErr w:type="gramStart"/>
      <w:r w:rsidRPr="003A2822">
        <w:rPr>
          <w:rFonts w:cstheme="minorHAnsi"/>
        </w:rPr>
        <w:t>Administrator</w:t>
      </w:r>
      <w:proofErr w:type="gramEnd"/>
      <w:r w:rsidR="00901532" w:rsidRPr="003A2822">
        <w:rPr>
          <w:rFonts w:cstheme="minorHAnsi"/>
        </w:rPr>
        <w:t xml:space="preserve"> to</w:t>
      </w:r>
      <w:r w:rsidRPr="003A2822">
        <w:rPr>
          <w:rFonts w:cstheme="minorHAnsi"/>
        </w:rPr>
        <w:t xml:space="preserve"> act on behalf of the Department of Education, Skills and Employment (the department).</w:t>
      </w:r>
      <w:r w:rsidR="004950DD" w:rsidRPr="003A2822">
        <w:rPr>
          <w:rFonts w:cstheme="minorHAnsi"/>
        </w:rPr>
        <w:t xml:space="preserve"> </w:t>
      </w:r>
    </w:p>
    <w:p w14:paraId="593A3930" w14:textId="77777777" w:rsidR="00894728" w:rsidRPr="003A2822" w:rsidRDefault="00894728" w:rsidP="00894728">
      <w:pPr>
        <w:spacing w:before="120" w:after="120"/>
        <w:rPr>
          <w:rFonts w:cstheme="minorHAnsi"/>
        </w:rPr>
      </w:pPr>
      <w:r w:rsidRPr="003A2822">
        <w:rPr>
          <w:rFonts w:cstheme="minorHAnsi"/>
        </w:rPr>
        <w:t xml:space="preserve">The Program Administrator will be responsible for: </w:t>
      </w:r>
    </w:p>
    <w:p w14:paraId="29B0DAF4" w14:textId="77777777" w:rsidR="00894728" w:rsidRPr="003A2822" w:rsidRDefault="00894728" w:rsidP="00894728">
      <w:pPr>
        <w:pStyle w:val="Bullet1"/>
        <w:spacing w:after="120" w:line="276" w:lineRule="auto"/>
        <w:rPr>
          <w:rFonts w:cstheme="minorHAnsi"/>
        </w:rPr>
      </w:pPr>
      <w:r w:rsidRPr="003A2822">
        <w:rPr>
          <w:rFonts w:cstheme="minorHAnsi"/>
        </w:rPr>
        <w:t>Administering the Program on behalf of the department</w:t>
      </w:r>
    </w:p>
    <w:p w14:paraId="00CC876E" w14:textId="59F19EA7" w:rsidR="00894728" w:rsidRPr="003A2822" w:rsidRDefault="00894728" w:rsidP="00894728">
      <w:pPr>
        <w:pStyle w:val="Bullet1"/>
        <w:spacing w:after="120" w:line="276" w:lineRule="auto"/>
        <w:rPr>
          <w:rFonts w:cstheme="minorHAnsi"/>
        </w:rPr>
      </w:pPr>
      <w:r w:rsidRPr="003A2822">
        <w:rPr>
          <w:rFonts w:cstheme="minorHAnsi"/>
        </w:rPr>
        <w:t>Assessing applications from eligible providers</w:t>
      </w:r>
      <w:r w:rsidR="00DA3093" w:rsidRPr="003A2822">
        <w:rPr>
          <w:rFonts w:cstheme="minorHAnsi"/>
        </w:rPr>
        <w:t xml:space="preserve"> </w:t>
      </w:r>
    </w:p>
    <w:p w14:paraId="417430B2" w14:textId="3068536B" w:rsidR="00894728" w:rsidRPr="003A2822" w:rsidRDefault="00F735B4" w:rsidP="00894728">
      <w:pPr>
        <w:pStyle w:val="Bullet1"/>
        <w:spacing w:after="120" w:line="276" w:lineRule="auto"/>
        <w:rPr>
          <w:rFonts w:cstheme="minorHAnsi"/>
        </w:rPr>
      </w:pPr>
      <w:r w:rsidRPr="003A2822">
        <w:rPr>
          <w:rFonts w:cstheme="minorHAnsi"/>
        </w:rPr>
        <w:t>Approving the allocation of funding to eligible providers</w:t>
      </w:r>
      <w:r w:rsidR="00DA3093" w:rsidRPr="003A2822">
        <w:t xml:space="preserve"> </w:t>
      </w:r>
    </w:p>
    <w:p w14:paraId="217CFD2D" w14:textId="77777777" w:rsidR="00894728" w:rsidRPr="003A2822" w:rsidRDefault="00894728" w:rsidP="00894728">
      <w:pPr>
        <w:pStyle w:val="Bullet1"/>
        <w:spacing w:after="120" w:line="276" w:lineRule="auto"/>
        <w:rPr>
          <w:rFonts w:cstheme="minorHAnsi"/>
        </w:rPr>
      </w:pPr>
      <w:r w:rsidRPr="003A2822">
        <w:rPr>
          <w:rFonts w:cstheme="minorHAnsi"/>
        </w:rPr>
        <w:t>Distributing grant funding to successful providers</w:t>
      </w:r>
    </w:p>
    <w:p w14:paraId="7B2C32E8" w14:textId="77777777" w:rsidR="000E24C0" w:rsidRPr="003A2822" w:rsidRDefault="00894728" w:rsidP="00894728">
      <w:pPr>
        <w:pStyle w:val="Bullet1"/>
        <w:spacing w:after="120" w:line="276" w:lineRule="auto"/>
        <w:rPr>
          <w:rFonts w:cstheme="minorHAnsi"/>
        </w:rPr>
      </w:pPr>
      <w:r w:rsidRPr="003A2822">
        <w:rPr>
          <w:rFonts w:cstheme="minorHAnsi"/>
        </w:rPr>
        <w:t>Acquitting funding provided to successful providers in line with the objectives of the Program</w:t>
      </w:r>
    </w:p>
    <w:p w14:paraId="5309647D" w14:textId="317AB840" w:rsidR="00894728" w:rsidRPr="003A2822" w:rsidRDefault="000E24C0" w:rsidP="00894728">
      <w:pPr>
        <w:pStyle w:val="Bullet1"/>
        <w:spacing w:after="120" w:line="276" w:lineRule="auto"/>
        <w:rPr>
          <w:rFonts w:cstheme="minorHAnsi"/>
        </w:rPr>
      </w:pPr>
      <w:r w:rsidRPr="003A2822">
        <w:rPr>
          <w:rFonts w:cstheme="minorHAnsi"/>
        </w:rPr>
        <w:t>R</w:t>
      </w:r>
      <w:r w:rsidR="00C62C80" w:rsidRPr="003A2822">
        <w:rPr>
          <w:rFonts w:cstheme="minorHAnsi"/>
        </w:rPr>
        <w:t>ecovering funds</w:t>
      </w:r>
      <w:r w:rsidR="001A24A4" w:rsidRPr="003A2822">
        <w:rPr>
          <w:rFonts w:cstheme="minorHAnsi"/>
        </w:rPr>
        <w:t xml:space="preserve"> paid to any providers which provide false and misleading information </w:t>
      </w:r>
      <w:proofErr w:type="gramStart"/>
      <w:r w:rsidR="001A24A4" w:rsidRPr="003A2822">
        <w:rPr>
          <w:rFonts w:cstheme="minorHAnsi"/>
        </w:rPr>
        <w:t>in order to</w:t>
      </w:r>
      <w:proofErr w:type="gramEnd"/>
      <w:r w:rsidR="001A24A4" w:rsidRPr="003A2822">
        <w:rPr>
          <w:rFonts w:cstheme="minorHAnsi"/>
        </w:rPr>
        <w:t xml:space="preserve"> receive funding under this grant opportunity</w:t>
      </w:r>
    </w:p>
    <w:p w14:paraId="2A60F1A5" w14:textId="70C01C05" w:rsidR="00894728" w:rsidRPr="003A2822" w:rsidRDefault="00894728" w:rsidP="00894728">
      <w:pPr>
        <w:pStyle w:val="Bullet1"/>
        <w:spacing w:after="120" w:line="276" w:lineRule="auto"/>
        <w:rPr>
          <w:rFonts w:cstheme="minorHAnsi"/>
        </w:rPr>
      </w:pPr>
      <w:r w:rsidRPr="003A2822">
        <w:rPr>
          <w:rFonts w:cstheme="minorHAnsi"/>
        </w:rPr>
        <w:t xml:space="preserve">Reviewing, </w:t>
      </w:r>
      <w:proofErr w:type="gramStart"/>
      <w:r w:rsidRPr="003A2822">
        <w:rPr>
          <w:rFonts w:cstheme="minorHAnsi"/>
        </w:rPr>
        <w:t>collating</w:t>
      </w:r>
      <w:proofErr w:type="gramEnd"/>
      <w:r w:rsidRPr="003A2822">
        <w:rPr>
          <w:rFonts w:cstheme="minorHAnsi"/>
        </w:rPr>
        <w:t xml:space="preserve"> and presenting grant statistics upon completion.</w:t>
      </w:r>
    </w:p>
    <w:p w14:paraId="14FFCE6D" w14:textId="3AC37CC8" w:rsidR="00D3334F" w:rsidRPr="003A2822" w:rsidRDefault="00D3334F" w:rsidP="00894728">
      <w:pPr>
        <w:pStyle w:val="Bullet1"/>
        <w:spacing w:after="120" w:line="276" w:lineRule="auto"/>
        <w:rPr>
          <w:rFonts w:cstheme="minorHAnsi"/>
        </w:rPr>
      </w:pPr>
      <w:r w:rsidRPr="003A2822">
        <w:rPr>
          <w:rFonts w:cstheme="minorHAnsi"/>
        </w:rPr>
        <w:t>Evaluating the program to ensure the grants are awarded to the most appropriate providers, and</w:t>
      </w:r>
      <w:r w:rsidR="001A24A4" w:rsidRPr="003A2822">
        <w:rPr>
          <w:rFonts w:cstheme="minorHAnsi"/>
        </w:rPr>
        <w:t xml:space="preserve"> that the program</w:t>
      </w:r>
      <w:r w:rsidRPr="003A2822">
        <w:rPr>
          <w:rFonts w:cstheme="minorHAnsi"/>
        </w:rPr>
        <w:t xml:space="preserve"> has delivered on its policy intent.</w:t>
      </w:r>
    </w:p>
    <w:p w14:paraId="6422FF6F" w14:textId="77777777" w:rsidR="00894728" w:rsidRPr="003A2822" w:rsidRDefault="00894728" w:rsidP="00894728">
      <w:pPr>
        <w:pStyle w:val="Bullet1"/>
        <w:numPr>
          <w:ilvl w:val="0"/>
          <w:numId w:val="0"/>
        </w:numPr>
        <w:spacing w:after="120" w:line="276" w:lineRule="auto"/>
        <w:rPr>
          <w:rFonts w:cstheme="minorHAnsi"/>
        </w:rPr>
      </w:pPr>
      <w:r w:rsidRPr="003A2822">
        <w:rPr>
          <w:rFonts w:cstheme="minorHAnsi"/>
        </w:rPr>
        <w:t xml:space="preserve">The department will be responsible for undertaking further </w:t>
      </w:r>
      <w:r w:rsidRPr="003A2822">
        <w:rPr>
          <w:rFonts w:eastAsia="Times New Roman" w:cstheme="minorHAnsi"/>
        </w:rPr>
        <w:t>suitability and compliance checks if required prior to the application being considered by the Program Administrator.</w:t>
      </w:r>
    </w:p>
    <w:p w14:paraId="3816FE93" w14:textId="6E22BB9F" w:rsidR="00D76CCF" w:rsidRPr="003A2822" w:rsidRDefault="00D76CCF" w:rsidP="007D1D4F">
      <w:pPr>
        <w:spacing w:after="120"/>
      </w:pPr>
      <w:r w:rsidRPr="003A2822">
        <w:t xml:space="preserve">This grant will be administered by the </w:t>
      </w:r>
      <w:r w:rsidR="00894728" w:rsidRPr="003A2822">
        <w:t xml:space="preserve">Program Administrator </w:t>
      </w:r>
      <w:r w:rsidRPr="003A2822">
        <w:t>on behalf of the</w:t>
      </w:r>
      <w:r w:rsidR="00894728" w:rsidRPr="003A2822">
        <w:t xml:space="preserve"> department. </w:t>
      </w:r>
    </w:p>
    <w:p w14:paraId="0F7223EA" w14:textId="4BFB42CB" w:rsidR="00B75E31" w:rsidRPr="003A2822" w:rsidRDefault="00D76CCF" w:rsidP="0086486C">
      <w:pPr>
        <w:spacing w:after="120"/>
        <w:rPr>
          <w:rStyle w:val="Hyperlink"/>
          <w:rFonts w:cs="Arial"/>
          <w:i/>
        </w:rPr>
      </w:pPr>
      <w:r w:rsidRPr="003A2822">
        <w:t>T</w:t>
      </w:r>
      <w:r w:rsidR="007D1D4F" w:rsidRPr="003A2822">
        <w:t xml:space="preserve">he grant </w:t>
      </w:r>
      <w:r w:rsidR="000B17AA" w:rsidRPr="003A2822">
        <w:t xml:space="preserve">is to </w:t>
      </w:r>
      <w:r w:rsidR="007D1D4F" w:rsidRPr="003A2822">
        <w:t xml:space="preserve">be undertaken in accordance with the </w:t>
      </w:r>
      <w:r w:rsidR="00537E1B" w:rsidRPr="003A2822">
        <w:rPr>
          <w:i/>
          <w:u w:color="0070C0"/>
        </w:rPr>
        <w:fldChar w:fldCharType="begin"/>
      </w:r>
      <w:r w:rsidR="00537E1B" w:rsidRPr="003A2822">
        <w:rPr>
          <w:i/>
          <w:u w:color="0070C0"/>
        </w:rPr>
        <w:instrText xml:space="preserve"> HYPERLINK "https://www.finance.gov.au/sites/default/files/commonwealth-grants-rules-and-guidelines.pdf" </w:instrText>
      </w:r>
      <w:r w:rsidR="00537E1B" w:rsidRPr="003A2822">
        <w:rPr>
          <w:i/>
          <w:u w:color="0070C0"/>
        </w:rPr>
        <w:fldChar w:fldCharType="separate"/>
      </w:r>
      <w:r w:rsidR="007D1D4F" w:rsidRPr="003A2822">
        <w:rPr>
          <w:rStyle w:val="Hyperlink"/>
          <w:rFonts w:cstheme="minorBidi"/>
          <w:i/>
        </w:rPr>
        <w:t>Commonwealth Grants Rules and Guidelines</w:t>
      </w:r>
      <w:r w:rsidR="00B83C35" w:rsidRPr="003A2822">
        <w:rPr>
          <w:rStyle w:val="Hyperlink"/>
          <w:rFonts w:cstheme="minorBidi"/>
          <w:i/>
        </w:rPr>
        <w:t xml:space="preserve"> </w:t>
      </w:r>
      <w:r w:rsidR="007D1D4F" w:rsidRPr="003A2822">
        <w:rPr>
          <w:rStyle w:val="Hyperlink"/>
          <w:rFonts w:cstheme="minorBidi"/>
          <w:i/>
        </w:rPr>
        <w:t>(CGRGs)</w:t>
      </w:r>
      <w:r w:rsidR="008867E1" w:rsidRPr="003A2822">
        <w:rPr>
          <w:rStyle w:val="Hyperlink"/>
          <w:rFonts w:cs="Arial"/>
          <w:i/>
        </w:rPr>
        <w:t xml:space="preserve"> </w:t>
      </w:r>
      <w:r w:rsidR="008867E1" w:rsidRPr="003A2822">
        <w:rPr>
          <w:rStyle w:val="Hyperlink"/>
          <w:rFonts w:cs="Arial"/>
          <w:i/>
          <w:vertAlign w:val="superscript"/>
        </w:rPr>
        <w:footnoteReference w:id="2"/>
      </w:r>
      <w:r w:rsidR="00894728" w:rsidRPr="003A2822">
        <w:rPr>
          <w:rStyle w:val="Hyperlink"/>
          <w:rFonts w:cs="Arial"/>
          <w:i/>
        </w:rPr>
        <w:br w:type="page"/>
      </w:r>
    </w:p>
    <w:bookmarkStart w:id="5" w:name="_Toc464643011"/>
    <w:p w14:paraId="29484C5F" w14:textId="77777777" w:rsidR="007D1D4F" w:rsidRPr="003A2822" w:rsidRDefault="00537E1B" w:rsidP="00AA47CB">
      <w:pPr>
        <w:pStyle w:val="Heading1Numbered"/>
        <w:rPr>
          <w:color w:val="auto"/>
          <w:sz w:val="32"/>
          <w:szCs w:val="32"/>
        </w:rPr>
      </w:pPr>
      <w:r w:rsidRPr="003A2822">
        <w:rPr>
          <w:rFonts w:asciiTheme="minorHAnsi" w:eastAsiaTheme="minorHAnsi" w:hAnsiTheme="minorHAnsi" w:cstheme="minorBidi"/>
          <w:bCs w:val="0"/>
          <w:i/>
          <w:color w:val="auto"/>
          <w:sz w:val="22"/>
          <w:szCs w:val="22"/>
          <w:u w:color="0070C0"/>
        </w:rPr>
        <w:fldChar w:fldCharType="end"/>
      </w:r>
      <w:bookmarkStart w:id="6" w:name="_Toc88832355"/>
      <w:r w:rsidR="007D1D4F" w:rsidRPr="003A2822">
        <w:rPr>
          <w:color w:val="auto"/>
          <w:sz w:val="32"/>
          <w:szCs w:val="32"/>
        </w:rPr>
        <w:t xml:space="preserve">Grant </w:t>
      </w:r>
      <w:bookmarkEnd w:id="1"/>
      <w:bookmarkEnd w:id="2"/>
      <w:bookmarkEnd w:id="5"/>
      <w:r w:rsidR="00153D8B" w:rsidRPr="003A2822">
        <w:rPr>
          <w:color w:val="auto"/>
          <w:sz w:val="32"/>
          <w:szCs w:val="32"/>
        </w:rPr>
        <w:t>amount and grant period</w:t>
      </w:r>
      <w:bookmarkEnd w:id="6"/>
    </w:p>
    <w:p w14:paraId="06602CB4" w14:textId="52966C72" w:rsidR="00894728" w:rsidRPr="003A2822" w:rsidRDefault="00894728" w:rsidP="00894728">
      <w:bookmarkStart w:id="7" w:name="_Toc421777594"/>
      <w:bookmarkStart w:id="8" w:name="_Ref428266971"/>
      <w:bookmarkStart w:id="9" w:name="_Toc464643012"/>
      <w:r w:rsidRPr="003A2822">
        <w:t>The total Program funding available under this grant opportunity for private ELICOS providers</w:t>
      </w:r>
      <w:r w:rsidR="008A23E7" w:rsidRPr="003A2822">
        <w:t>,</w:t>
      </w:r>
      <w:r w:rsidR="00305E4C" w:rsidRPr="003A2822">
        <w:t xml:space="preserve"> for activities</w:t>
      </w:r>
      <w:r w:rsidRPr="003A2822">
        <w:t xml:space="preserve"> in the </w:t>
      </w:r>
      <w:r w:rsidR="00744079" w:rsidRPr="003A2822">
        <w:t xml:space="preserve">second half </w:t>
      </w:r>
      <w:r w:rsidR="00305E4C" w:rsidRPr="003A2822">
        <w:t>of the</w:t>
      </w:r>
      <w:r w:rsidRPr="003A2822">
        <w:t xml:space="preserve"> 2021-22 financial year</w:t>
      </w:r>
      <w:r w:rsidR="008A23E7" w:rsidRPr="003A2822">
        <w:t>,</w:t>
      </w:r>
      <w:r w:rsidRPr="003A2822">
        <w:t xml:space="preserve"> is $</w:t>
      </w:r>
      <w:r w:rsidR="00650C47" w:rsidRPr="003A2822">
        <w:t>9</w:t>
      </w:r>
      <w:r w:rsidR="000C0703" w:rsidRPr="003A2822">
        <w:t xml:space="preserve"> </w:t>
      </w:r>
      <w:r w:rsidRPr="003A2822">
        <w:t xml:space="preserve">million GST exclusive. </w:t>
      </w:r>
    </w:p>
    <w:p w14:paraId="329FAE56" w14:textId="213C528E" w:rsidR="00894728" w:rsidRPr="003A2822" w:rsidRDefault="00894728" w:rsidP="00894728">
      <w:r w:rsidRPr="003A2822">
        <w:t xml:space="preserve">If eligible, you will be able to apply for funding of up to $150,000 to change your business models to </w:t>
      </w:r>
      <w:r w:rsidR="00DA3093" w:rsidRPr="003A2822">
        <w:t>diversify your education offerings into online and offshore deliver</w:t>
      </w:r>
      <w:r w:rsidR="00C4764C" w:rsidRPr="003A2822">
        <w:t>y</w:t>
      </w:r>
      <w:r w:rsidRPr="003A2822">
        <w:t xml:space="preserve">, in line with the objectives of the grant activity outlined in Section 1. </w:t>
      </w:r>
    </w:p>
    <w:p w14:paraId="24C398C4" w14:textId="614AD066" w:rsidR="00522121" w:rsidRPr="003A2822" w:rsidRDefault="00F90843" w:rsidP="00894728">
      <w:r w:rsidRPr="003A2822">
        <w:t xml:space="preserve">If the Program is oversubscribed, the Program Administrator will reduce the amount of funding allocated to each </w:t>
      </w:r>
      <w:r w:rsidR="00C6393D" w:rsidRPr="003A2822">
        <w:t xml:space="preserve">successful </w:t>
      </w:r>
      <w:r w:rsidRPr="003A2822">
        <w:t>grantee.</w:t>
      </w:r>
    </w:p>
    <w:p w14:paraId="3A923B33" w14:textId="1BAC588B" w:rsidR="00894728" w:rsidRPr="003A2822" w:rsidRDefault="00894728" w:rsidP="00894728">
      <w:r w:rsidRPr="003A2822">
        <w:t xml:space="preserve">Grantees are encouraged to consider contributing additional funding from their own resources to support </w:t>
      </w:r>
      <w:r w:rsidR="006A0218" w:rsidRPr="003A2822">
        <w:t xml:space="preserve">this </w:t>
      </w:r>
      <w:r w:rsidRPr="003A2822">
        <w:t>grant funding opportuni</w:t>
      </w:r>
      <w:r w:rsidR="006A0218" w:rsidRPr="003A2822">
        <w:t>ty</w:t>
      </w:r>
      <w:r w:rsidRPr="003A2822">
        <w:t>.</w:t>
      </w:r>
    </w:p>
    <w:p w14:paraId="3ED85D39" w14:textId="2C9FF366" w:rsidR="00153D8B" w:rsidRPr="003A2822" w:rsidRDefault="00894728" w:rsidP="00894728">
      <w:r w:rsidRPr="003A2822">
        <w:t>Commonwealth grant funding under this grant opportunity cannot exceed the amount of available funds.</w:t>
      </w:r>
    </w:p>
    <w:p w14:paraId="0DD276A5" w14:textId="4E99FAE0" w:rsidR="00D97DE0" w:rsidRPr="003A2822" w:rsidRDefault="00D97DE0" w:rsidP="00D97DE0">
      <w:pPr>
        <w:pStyle w:val="Heading2Numbered"/>
        <w:rPr>
          <w:sz w:val="24"/>
          <w:szCs w:val="24"/>
        </w:rPr>
      </w:pPr>
      <w:bookmarkStart w:id="10" w:name="_Toc88832356"/>
      <w:r w:rsidRPr="003A2822">
        <w:rPr>
          <w:sz w:val="24"/>
          <w:szCs w:val="24"/>
        </w:rPr>
        <w:t>Grant amount</w:t>
      </w:r>
      <w:bookmarkEnd w:id="10"/>
      <w:r w:rsidRPr="003A2822">
        <w:rPr>
          <w:sz w:val="24"/>
          <w:szCs w:val="24"/>
        </w:rPr>
        <w:t xml:space="preserve"> </w:t>
      </w:r>
    </w:p>
    <w:p w14:paraId="7D8F85DC" w14:textId="4AF81B49" w:rsidR="00D97DE0" w:rsidRPr="003A2822" w:rsidRDefault="00D97DE0" w:rsidP="00D97DE0">
      <w:r w:rsidRPr="003A2822">
        <w:t>Grantees will receive up to $1</w:t>
      </w:r>
      <w:r w:rsidR="00B34333" w:rsidRPr="003A2822">
        <w:t>5</w:t>
      </w:r>
      <w:r w:rsidRPr="003A2822">
        <w:t>0,000</w:t>
      </w:r>
      <w:r w:rsidR="00522121" w:rsidRPr="003A2822">
        <w:t>.</w:t>
      </w:r>
    </w:p>
    <w:p w14:paraId="5237AE2F" w14:textId="2B3BAAE5" w:rsidR="00533D7D" w:rsidRPr="003A2822" w:rsidRDefault="00533D7D" w:rsidP="00D97DE0">
      <w:r w:rsidRPr="003A2822">
        <w:t xml:space="preserve">Providers may apply for less than $150,000. </w:t>
      </w:r>
    </w:p>
    <w:p w14:paraId="53C2277F" w14:textId="13677DF1" w:rsidR="00894728" w:rsidRPr="003A2822" w:rsidRDefault="00D97DE0" w:rsidP="00894728">
      <w:r w:rsidRPr="003A2822">
        <w:t xml:space="preserve">If the Program is oversubscribed, the Program Administrator will reduce the amount of funding allocated to each </w:t>
      </w:r>
      <w:r w:rsidR="00C6393D" w:rsidRPr="003A2822">
        <w:t>successful</w:t>
      </w:r>
      <w:r w:rsidR="007A3DCB" w:rsidRPr="003A2822">
        <w:t xml:space="preserve"> </w:t>
      </w:r>
      <w:r w:rsidRPr="003A2822">
        <w:t>grantee</w:t>
      </w:r>
      <w:r w:rsidR="00F90843" w:rsidRPr="003A2822">
        <w:t>.</w:t>
      </w:r>
      <w:r w:rsidRPr="003A2822">
        <w:t xml:space="preserve"> </w:t>
      </w:r>
      <w:bookmarkStart w:id="11" w:name="_Hlk71789527"/>
    </w:p>
    <w:p w14:paraId="79646FED" w14:textId="132124D2" w:rsidR="001C470E" w:rsidRPr="003A2822" w:rsidRDefault="00F90843" w:rsidP="00894728">
      <w:r w:rsidRPr="003A2822">
        <w:t xml:space="preserve">Grantees will not receive grant funding of more than </w:t>
      </w:r>
      <w:r w:rsidR="006A0218" w:rsidRPr="003A2822">
        <w:t>they</w:t>
      </w:r>
      <w:r w:rsidRPr="003A2822">
        <w:t xml:space="preserve"> </w:t>
      </w:r>
      <w:r w:rsidR="005E2620" w:rsidRPr="003A2822">
        <w:t xml:space="preserve">lost in revenue </w:t>
      </w:r>
      <w:r w:rsidR="00180AEB" w:rsidRPr="003A2822">
        <w:t xml:space="preserve">from international students </w:t>
      </w:r>
      <w:r w:rsidR="005E2620" w:rsidRPr="003A2822">
        <w:t xml:space="preserve">over </w:t>
      </w:r>
      <w:r w:rsidR="005A3747" w:rsidRPr="003A2822">
        <w:t>the 2021 calendar year</w:t>
      </w:r>
      <w:r w:rsidR="005E2620" w:rsidRPr="003A2822">
        <w:t>.</w:t>
      </w:r>
      <w:r w:rsidR="00180AEB" w:rsidRPr="003A2822">
        <w:t xml:space="preserve"> </w:t>
      </w:r>
      <w:r w:rsidR="001C470E" w:rsidRPr="003A2822">
        <w:t>For example, if a</w:t>
      </w:r>
      <w:r w:rsidR="005A3747" w:rsidRPr="003A2822">
        <w:t>n eligible</w:t>
      </w:r>
      <w:r w:rsidR="001C470E" w:rsidRPr="003A2822">
        <w:t xml:space="preserve"> provider </w:t>
      </w:r>
      <w:r w:rsidR="005A3747" w:rsidRPr="003A2822">
        <w:t>received</w:t>
      </w:r>
      <w:r w:rsidR="001C470E" w:rsidRPr="003A2822">
        <w:t xml:space="preserve"> $94,000 </w:t>
      </w:r>
      <w:r w:rsidR="005A3747" w:rsidRPr="003A2822">
        <w:t xml:space="preserve">less revenue in 2021 than in 2020, </w:t>
      </w:r>
      <w:r w:rsidR="000D4909" w:rsidRPr="003A2822">
        <w:t xml:space="preserve">this provider </w:t>
      </w:r>
      <w:proofErr w:type="gramStart"/>
      <w:r w:rsidR="000D4909" w:rsidRPr="003A2822">
        <w:t>can</w:t>
      </w:r>
      <w:proofErr w:type="gramEnd"/>
      <w:r w:rsidR="000D4909" w:rsidRPr="003A2822">
        <w:t xml:space="preserve"> only apply</w:t>
      </w:r>
      <w:r w:rsidR="005A3747" w:rsidRPr="003A2822">
        <w:t xml:space="preserve"> </w:t>
      </w:r>
      <w:r w:rsidR="006A0218" w:rsidRPr="003A2822">
        <w:t xml:space="preserve">for </w:t>
      </w:r>
      <w:r w:rsidR="005A3747" w:rsidRPr="003A2822">
        <w:t>grant funding of up to</w:t>
      </w:r>
      <w:r w:rsidR="000D4909" w:rsidRPr="003A2822">
        <w:t xml:space="preserve"> $94,000. </w:t>
      </w:r>
    </w:p>
    <w:p w14:paraId="29F61E40" w14:textId="7645FA7B" w:rsidR="006738F7" w:rsidRPr="003A2822" w:rsidRDefault="006738F7" w:rsidP="00894728">
      <w:r w:rsidRPr="003A2822">
        <w:t>The maximum grant amount per grantee is $150,000.</w:t>
      </w:r>
    </w:p>
    <w:p w14:paraId="19D9A012" w14:textId="7C629B7F" w:rsidR="00D97DE0" w:rsidRPr="003A2822" w:rsidRDefault="00D97DE0" w:rsidP="00D97DE0">
      <w:pPr>
        <w:pStyle w:val="Heading2Numbered"/>
        <w:rPr>
          <w:sz w:val="24"/>
          <w:szCs w:val="24"/>
        </w:rPr>
      </w:pPr>
      <w:bookmarkStart w:id="12" w:name="_Toc88832357"/>
      <w:bookmarkEnd w:id="11"/>
      <w:r w:rsidRPr="003A2822">
        <w:rPr>
          <w:sz w:val="24"/>
          <w:szCs w:val="24"/>
        </w:rPr>
        <w:t>Grant period</w:t>
      </w:r>
      <w:bookmarkEnd w:id="12"/>
      <w:r w:rsidRPr="003A2822">
        <w:rPr>
          <w:sz w:val="24"/>
          <w:szCs w:val="24"/>
        </w:rPr>
        <w:t xml:space="preserve"> </w:t>
      </w:r>
    </w:p>
    <w:p w14:paraId="655FD95E" w14:textId="59BD152B" w:rsidR="00894728" w:rsidRPr="003A2822" w:rsidRDefault="00894728" w:rsidP="00894728">
      <w:r w:rsidRPr="003A2822">
        <w:t xml:space="preserve">This grant opportunity is available in the 2021–22 financial year. The opening date for applications is </w:t>
      </w:r>
      <w:r w:rsidR="00243621">
        <w:t xml:space="preserve">4 </w:t>
      </w:r>
      <w:r w:rsidR="002D0727" w:rsidRPr="003A2822">
        <w:t>January</w:t>
      </w:r>
      <w:r w:rsidRPr="003A2822">
        <w:t xml:space="preserve"> </w:t>
      </w:r>
      <w:r w:rsidR="002D0727" w:rsidRPr="003A2822">
        <w:t xml:space="preserve">2022 </w:t>
      </w:r>
      <w:r w:rsidRPr="003A2822">
        <w:t>and the closing date for applications is</w:t>
      </w:r>
      <w:r w:rsidR="003A4017" w:rsidRPr="003A2822">
        <w:t xml:space="preserve"> </w:t>
      </w:r>
      <w:r w:rsidR="00322221" w:rsidRPr="003A2822">
        <w:t>28</w:t>
      </w:r>
      <w:r w:rsidR="00FD7564" w:rsidRPr="003A2822">
        <w:t xml:space="preserve"> January </w:t>
      </w:r>
      <w:r w:rsidR="002D0727" w:rsidRPr="003A2822">
        <w:t>2022</w:t>
      </w:r>
      <w:r w:rsidRPr="003A2822">
        <w:t>.</w:t>
      </w:r>
    </w:p>
    <w:p w14:paraId="1F6345A0" w14:textId="6D0C068F" w:rsidR="00406363" w:rsidRPr="003A2822" w:rsidRDefault="00406363" w:rsidP="00894728">
      <w:r w:rsidRPr="003A2822">
        <w:t xml:space="preserve">Grant </w:t>
      </w:r>
      <w:r w:rsidR="007C5878" w:rsidRPr="003A2822">
        <w:t>funding</w:t>
      </w:r>
      <w:r w:rsidRPr="003A2822">
        <w:t xml:space="preserve"> must be </w:t>
      </w:r>
      <w:r w:rsidR="007C5878" w:rsidRPr="003A2822">
        <w:t>expended</w:t>
      </w:r>
      <w:r w:rsidRPr="003A2822">
        <w:t xml:space="preserve"> by 3</w:t>
      </w:r>
      <w:r w:rsidR="00965BEC" w:rsidRPr="003A2822">
        <w:t>1</w:t>
      </w:r>
      <w:r w:rsidRPr="003A2822">
        <w:t xml:space="preserve"> December 202</w:t>
      </w:r>
      <w:r w:rsidR="005E2620" w:rsidRPr="003A2822">
        <w:t>2</w:t>
      </w:r>
      <w:r w:rsidRPr="003A2822">
        <w:t xml:space="preserve">. </w:t>
      </w:r>
    </w:p>
    <w:p w14:paraId="72E1392C" w14:textId="310E70C7" w:rsidR="00894728" w:rsidRPr="003A2822" w:rsidRDefault="00894728" w:rsidP="00894728">
      <w:r w:rsidRPr="003A2822">
        <w:t>The maximum grant period is one (1) year</w:t>
      </w:r>
      <w:r w:rsidR="009A1182" w:rsidRPr="003A2822">
        <w:t xml:space="preserve">, noting that expenditure </w:t>
      </w:r>
      <w:r w:rsidR="00FD7564" w:rsidRPr="003A2822">
        <w:t xml:space="preserve">must be </w:t>
      </w:r>
      <w:r w:rsidR="000E25A2" w:rsidRPr="003A2822">
        <w:t xml:space="preserve">committed </w:t>
      </w:r>
      <w:r w:rsidR="009A1182" w:rsidRPr="003A2822">
        <w:t>be</w:t>
      </w:r>
      <w:r w:rsidR="0083512D" w:rsidRPr="003A2822">
        <w:t>tween</w:t>
      </w:r>
      <w:r w:rsidR="009A1182" w:rsidRPr="003A2822">
        <w:t xml:space="preserve"> </w:t>
      </w:r>
      <w:r w:rsidR="00965BEC" w:rsidRPr="003A2822">
        <w:t>the date the grant agreement is signed</w:t>
      </w:r>
      <w:r w:rsidR="0083512D" w:rsidRPr="003A2822">
        <w:t xml:space="preserve"> </w:t>
      </w:r>
      <w:r w:rsidR="000E25A2" w:rsidRPr="003A2822">
        <w:t xml:space="preserve">and 30 June 2022, and spent between the date the grant agreement is signed </w:t>
      </w:r>
      <w:r w:rsidR="0083512D" w:rsidRPr="003A2822">
        <w:t>and 3</w:t>
      </w:r>
      <w:r w:rsidR="00965BEC" w:rsidRPr="003A2822">
        <w:t>1</w:t>
      </w:r>
      <w:r w:rsidR="0083512D" w:rsidRPr="003A2822">
        <w:t xml:space="preserve"> December 202</w:t>
      </w:r>
      <w:r w:rsidR="00F225DC" w:rsidRPr="003A2822">
        <w:t>2</w:t>
      </w:r>
      <w:r w:rsidR="009A1182" w:rsidRPr="003A2822">
        <w:t>.</w:t>
      </w:r>
    </w:p>
    <w:p w14:paraId="0D7D16FF" w14:textId="77777777" w:rsidR="007D1D4F" w:rsidRPr="003A2822" w:rsidRDefault="00AF77A5" w:rsidP="00B3770E">
      <w:pPr>
        <w:pStyle w:val="Heading1Numbered"/>
        <w:rPr>
          <w:sz w:val="32"/>
          <w:szCs w:val="32"/>
        </w:rPr>
      </w:pPr>
      <w:bookmarkStart w:id="13" w:name="_Toc88832358"/>
      <w:bookmarkEnd w:id="7"/>
      <w:bookmarkEnd w:id="8"/>
      <w:bookmarkEnd w:id="9"/>
      <w:r w:rsidRPr="003A2822">
        <w:rPr>
          <w:sz w:val="32"/>
          <w:szCs w:val="32"/>
        </w:rPr>
        <w:t>The g</w:t>
      </w:r>
      <w:r w:rsidR="002060D1" w:rsidRPr="003A2822">
        <w:rPr>
          <w:sz w:val="32"/>
          <w:szCs w:val="32"/>
        </w:rPr>
        <w:t>rant selection process</w:t>
      </w:r>
      <w:bookmarkEnd w:id="13"/>
    </w:p>
    <w:p w14:paraId="204E6176" w14:textId="736E6965" w:rsidR="005276E7" w:rsidRPr="003A2822" w:rsidRDefault="0008465C" w:rsidP="00CB0717">
      <w:r w:rsidRPr="003A2822">
        <w:t>Your application must include</w:t>
      </w:r>
      <w:r w:rsidR="00CB0717" w:rsidRPr="003A2822">
        <w:t xml:space="preserve"> evidence </w:t>
      </w:r>
      <w:r w:rsidRPr="003A2822">
        <w:t xml:space="preserve">demonstrating </w:t>
      </w:r>
      <w:r w:rsidR="006A0218" w:rsidRPr="003A2822">
        <w:t>how you</w:t>
      </w:r>
      <w:r w:rsidRPr="003A2822">
        <w:t xml:space="preserve"> meet the</w:t>
      </w:r>
      <w:r w:rsidR="00CB0717" w:rsidRPr="003A2822">
        <w:t xml:space="preserve"> eligibility and selection criteria. The Program Administrator will use this information to ensure funds are </w:t>
      </w:r>
      <w:r w:rsidR="006A0218" w:rsidRPr="003A2822">
        <w:t xml:space="preserve">only </w:t>
      </w:r>
      <w:r w:rsidR="00CB0717" w:rsidRPr="003A2822">
        <w:t xml:space="preserve">allocated </w:t>
      </w:r>
      <w:r w:rsidRPr="003A2822">
        <w:t xml:space="preserve">to </w:t>
      </w:r>
      <w:r w:rsidR="00CB0717" w:rsidRPr="003A2822">
        <w:t>private ELICOS providers most affected by COVID-19 border closures. The department may verify the information you provide in your application</w:t>
      </w:r>
    </w:p>
    <w:p w14:paraId="3EF73669" w14:textId="77777777" w:rsidR="00B02159" w:rsidRPr="003A2822" w:rsidRDefault="00B02159" w:rsidP="00B02159">
      <w:pPr>
        <w:pStyle w:val="Heading2Numbered"/>
        <w:rPr>
          <w:sz w:val="24"/>
          <w:szCs w:val="24"/>
        </w:rPr>
      </w:pPr>
      <w:bookmarkStart w:id="14" w:name="_Toc88832359"/>
      <w:bookmarkStart w:id="15" w:name="_Hlk71789732"/>
      <w:r w:rsidRPr="003A2822">
        <w:rPr>
          <w:sz w:val="24"/>
          <w:szCs w:val="24"/>
        </w:rPr>
        <w:t>Eligibility</w:t>
      </w:r>
      <w:r w:rsidR="009B1E1A" w:rsidRPr="003A2822">
        <w:rPr>
          <w:sz w:val="24"/>
          <w:szCs w:val="24"/>
        </w:rPr>
        <w:t xml:space="preserve"> criteria</w:t>
      </w:r>
      <w:bookmarkEnd w:id="14"/>
    </w:p>
    <w:p w14:paraId="14A9D50E" w14:textId="0308BE62" w:rsidR="00B02159" w:rsidRPr="003A2822" w:rsidRDefault="00226F54" w:rsidP="0086486C">
      <w:pPr>
        <w:spacing w:after="120"/>
        <w:rPr>
          <w:rFonts w:cstheme="minorHAnsi"/>
        </w:rPr>
      </w:pPr>
      <w:bookmarkStart w:id="16" w:name="_Ref414285977"/>
      <w:bookmarkEnd w:id="15"/>
      <w:r w:rsidRPr="003A2822">
        <w:rPr>
          <w:rFonts w:cstheme="minorHAnsi"/>
        </w:rPr>
        <w:t>Applications that</w:t>
      </w:r>
      <w:r w:rsidR="00275EF2" w:rsidRPr="003A2822">
        <w:rPr>
          <w:rFonts w:cstheme="minorHAnsi"/>
        </w:rPr>
        <w:t xml:space="preserve"> do</w:t>
      </w:r>
      <w:r w:rsidR="00B02159" w:rsidRPr="003A2822">
        <w:rPr>
          <w:rFonts w:cstheme="minorHAnsi"/>
        </w:rPr>
        <w:t xml:space="preserve"> not satisfy the eligibility criteria will not be considered. To be eligible to receive a grant</w:t>
      </w:r>
      <w:r w:rsidR="006A0218" w:rsidRPr="003A2822">
        <w:rPr>
          <w:rFonts w:cstheme="minorHAnsi"/>
        </w:rPr>
        <w:t>,</w:t>
      </w:r>
      <w:r w:rsidR="00B02159" w:rsidRPr="003A2822">
        <w:rPr>
          <w:rFonts w:cstheme="minorHAnsi"/>
        </w:rPr>
        <w:t xml:space="preserve"> </w:t>
      </w:r>
      <w:r w:rsidR="00B335AA" w:rsidRPr="003A2822">
        <w:rPr>
          <w:rFonts w:cstheme="minorHAnsi"/>
        </w:rPr>
        <w:t>providers</w:t>
      </w:r>
      <w:r w:rsidR="00B02159" w:rsidRPr="003A2822">
        <w:rPr>
          <w:rFonts w:cstheme="minorHAnsi"/>
        </w:rPr>
        <w:t xml:space="preserve"> must: </w:t>
      </w:r>
    </w:p>
    <w:p w14:paraId="329E4ACC" w14:textId="77777777" w:rsidR="000C42C2" w:rsidRPr="003A2822" w:rsidRDefault="000C42C2" w:rsidP="000C42C2">
      <w:pPr>
        <w:pStyle w:val="Bullet1"/>
        <w:spacing w:after="120" w:line="276" w:lineRule="auto"/>
        <w:rPr>
          <w:rFonts w:cstheme="minorHAnsi"/>
        </w:rPr>
      </w:pPr>
      <w:r w:rsidRPr="003A2822">
        <w:rPr>
          <w:rFonts w:cstheme="minorHAnsi"/>
        </w:rPr>
        <w:t xml:space="preserve">Be a CRICOS-registered private provider that primarily delivers ELICOS </w:t>
      </w:r>
    </w:p>
    <w:p w14:paraId="5E6126C0" w14:textId="77777777" w:rsidR="000C42C2" w:rsidRPr="003A2822" w:rsidRDefault="000C42C2" w:rsidP="000C42C2">
      <w:pPr>
        <w:pStyle w:val="Bullet1"/>
        <w:spacing w:after="120" w:line="276" w:lineRule="auto"/>
        <w:rPr>
          <w:rFonts w:cstheme="minorHAnsi"/>
        </w:rPr>
      </w:pPr>
      <w:r w:rsidRPr="003A2822">
        <w:rPr>
          <w:rFonts w:cstheme="minorHAnsi"/>
        </w:rPr>
        <w:t xml:space="preserve">Be privately owned (ASIC documentation to be provided) </w:t>
      </w:r>
    </w:p>
    <w:p w14:paraId="172B865C" w14:textId="5CFD7307" w:rsidR="00CB0717" w:rsidRPr="003A2822" w:rsidRDefault="00CB0717" w:rsidP="00CB0717">
      <w:pPr>
        <w:pStyle w:val="Bullet1"/>
        <w:keepNext/>
        <w:keepLines/>
        <w:spacing w:after="120" w:line="276" w:lineRule="auto"/>
        <w:rPr>
          <w:rFonts w:cstheme="minorHAnsi"/>
        </w:rPr>
      </w:pPr>
      <w:r w:rsidRPr="003A2822">
        <w:rPr>
          <w:rFonts w:cstheme="minorHAnsi"/>
        </w:rPr>
        <w:t xml:space="preserve">Demonstrate the effect of border closures on business turnover by providing evidence </w:t>
      </w:r>
      <w:r w:rsidR="00275EF2" w:rsidRPr="003A2822">
        <w:rPr>
          <w:rFonts w:cstheme="minorHAnsi"/>
        </w:rPr>
        <w:t>it</w:t>
      </w:r>
      <w:r w:rsidRPr="003A2822">
        <w:rPr>
          <w:rFonts w:cstheme="minorHAnsi"/>
        </w:rPr>
        <w:t>:</w:t>
      </w:r>
    </w:p>
    <w:p w14:paraId="7BCE34EF" w14:textId="3A51006B" w:rsidR="00CB0717" w:rsidRPr="00A149E4" w:rsidRDefault="00CB0717" w:rsidP="00CB0717">
      <w:pPr>
        <w:pStyle w:val="Bullet2"/>
        <w:keepNext/>
        <w:keepLines/>
        <w:rPr>
          <w:rFonts w:cstheme="minorHAnsi"/>
        </w:rPr>
      </w:pPr>
      <w:r w:rsidRPr="00A149E4">
        <w:rPr>
          <w:rFonts w:cstheme="minorHAnsi"/>
        </w:rPr>
        <w:t>received more than 50</w:t>
      </w:r>
      <w:r w:rsidR="00AA4863" w:rsidRPr="00A149E4">
        <w:rPr>
          <w:rFonts w:cstheme="minorHAnsi"/>
        </w:rPr>
        <w:t xml:space="preserve"> per cent </w:t>
      </w:r>
      <w:r w:rsidRPr="00A149E4">
        <w:rPr>
          <w:rFonts w:cstheme="minorHAnsi"/>
        </w:rPr>
        <w:t>of revenue</w:t>
      </w:r>
      <w:r w:rsidRPr="00A149E4">
        <w:rPr>
          <w:rStyle w:val="FootnoteReference"/>
        </w:rPr>
        <w:footnoteReference w:id="3"/>
      </w:r>
      <w:r w:rsidRPr="00A149E4">
        <w:rPr>
          <w:rFonts w:cstheme="minorHAnsi"/>
        </w:rPr>
        <w:t xml:space="preserve"> from international students in </w:t>
      </w:r>
      <w:r w:rsidR="00F202CF" w:rsidRPr="00A149E4">
        <w:rPr>
          <w:rFonts w:cstheme="minorHAnsi"/>
        </w:rPr>
        <w:t xml:space="preserve">the </w:t>
      </w:r>
      <w:r w:rsidR="00A86E66" w:rsidRPr="00A149E4">
        <w:rPr>
          <w:rFonts w:cstheme="minorHAnsi"/>
        </w:rPr>
        <w:t xml:space="preserve">2019 </w:t>
      </w:r>
      <w:r w:rsidRPr="00A149E4">
        <w:rPr>
          <w:rFonts w:cstheme="minorHAnsi"/>
        </w:rPr>
        <w:t xml:space="preserve">calendar year </w:t>
      </w:r>
    </w:p>
    <w:p w14:paraId="4DD95AF8" w14:textId="66EB90C7" w:rsidR="009C09DD" w:rsidRPr="00A149E4" w:rsidRDefault="00842FF0" w:rsidP="00CB0717">
      <w:pPr>
        <w:pStyle w:val="Bullet2"/>
      </w:pPr>
      <w:r w:rsidRPr="00A149E4">
        <w:rPr>
          <w:rFonts w:cstheme="minorHAnsi"/>
        </w:rPr>
        <w:t xml:space="preserve">experienced a significant decline </w:t>
      </w:r>
      <w:r w:rsidR="00AA4863" w:rsidRPr="00A149E4">
        <w:rPr>
          <w:rFonts w:cstheme="minorHAnsi"/>
        </w:rPr>
        <w:t>(30 per cent or more)</w:t>
      </w:r>
      <w:r w:rsidRPr="00A149E4">
        <w:rPr>
          <w:rFonts w:cstheme="minorHAnsi"/>
        </w:rPr>
        <w:t xml:space="preserve"> in international student revenue</w:t>
      </w:r>
      <w:r w:rsidR="009C09DD" w:rsidRPr="00A149E4">
        <w:rPr>
          <w:rFonts w:cstheme="minorHAnsi"/>
        </w:rPr>
        <w:t xml:space="preserve"> between </w:t>
      </w:r>
      <w:r w:rsidR="00997894" w:rsidRPr="00A149E4">
        <w:rPr>
          <w:rFonts w:cstheme="minorHAnsi"/>
        </w:rPr>
        <w:t xml:space="preserve">2019 </w:t>
      </w:r>
      <w:r w:rsidR="009C09DD" w:rsidRPr="00A149E4">
        <w:rPr>
          <w:rFonts w:cstheme="minorHAnsi"/>
        </w:rPr>
        <w:t>and 2021</w:t>
      </w:r>
      <w:r w:rsidR="00E10A55" w:rsidRPr="00A149E4">
        <w:rPr>
          <w:rFonts w:cstheme="minorHAnsi"/>
        </w:rPr>
        <w:t>.</w:t>
      </w:r>
      <w:r w:rsidR="009C09DD" w:rsidRPr="00A149E4">
        <w:rPr>
          <w:rStyle w:val="FootnoteReference"/>
          <w:rFonts w:cstheme="minorHAnsi"/>
        </w:rPr>
        <w:footnoteReference w:id="4"/>
      </w:r>
      <w:r w:rsidR="00E10A55" w:rsidRPr="00A149E4">
        <w:rPr>
          <w:rFonts w:cstheme="minorHAnsi"/>
        </w:rPr>
        <w:t xml:space="preserve"> For 2021, providers can demonstrate their eligibility using the decline in international student enrolments. 2021 </w:t>
      </w:r>
      <w:r w:rsidR="005062CA" w:rsidRPr="00A149E4">
        <w:rPr>
          <w:rFonts w:cstheme="minorHAnsi"/>
        </w:rPr>
        <w:t xml:space="preserve">international student </w:t>
      </w:r>
      <w:r w:rsidR="00E10A55" w:rsidRPr="00A149E4">
        <w:rPr>
          <w:rFonts w:cstheme="minorHAnsi"/>
        </w:rPr>
        <w:t>revenue decline will then be verified once Tuition Protection Service (TPS) data is available.</w:t>
      </w:r>
      <w:r w:rsidRPr="00A149E4">
        <w:rPr>
          <w:rFonts w:cstheme="minorHAnsi"/>
        </w:rPr>
        <w:t xml:space="preserve"> </w:t>
      </w:r>
    </w:p>
    <w:p w14:paraId="38291BA7" w14:textId="7C7EB722" w:rsidR="00305B2F" w:rsidRPr="003A2822" w:rsidRDefault="00CB0717" w:rsidP="002E2AE3">
      <w:pPr>
        <w:pStyle w:val="Bullet1"/>
        <w:spacing w:after="120" w:line="276" w:lineRule="auto"/>
        <w:rPr>
          <w:rFonts w:cstheme="minorHAnsi"/>
        </w:rPr>
      </w:pPr>
      <w:r w:rsidRPr="003A2822">
        <w:rPr>
          <w:rFonts w:cstheme="minorHAnsi"/>
        </w:rPr>
        <w:t xml:space="preserve">Not be a Table A, Table B or Table C provider (outlined in </w:t>
      </w:r>
      <w:r w:rsidRPr="003A2822">
        <w:rPr>
          <w:rFonts w:cstheme="minorHAnsi"/>
          <w:i/>
        </w:rPr>
        <w:t>Higher Education Act 2003</w:t>
      </w:r>
      <w:r w:rsidRPr="003A2822">
        <w:rPr>
          <w:rFonts w:cstheme="minorHAnsi"/>
        </w:rPr>
        <w:t>)</w:t>
      </w:r>
      <w:r w:rsidR="00910088" w:rsidRPr="003A2822">
        <w:rPr>
          <w:rFonts w:cstheme="minorHAnsi"/>
        </w:rPr>
        <w:t>, or a subsidiary thereof</w:t>
      </w:r>
      <w:r w:rsidRPr="003A2822">
        <w:rPr>
          <w:rFonts w:cstheme="minorHAnsi"/>
        </w:rPr>
        <w:t xml:space="preserve">, as registered by </w:t>
      </w:r>
      <w:r w:rsidR="008E2077" w:rsidRPr="003A2822">
        <w:rPr>
          <w:rFonts w:cstheme="minorHAnsi"/>
        </w:rPr>
        <w:t xml:space="preserve">the </w:t>
      </w:r>
      <w:r w:rsidRPr="003A2822">
        <w:rPr>
          <w:rFonts w:cstheme="minorHAnsi"/>
        </w:rPr>
        <w:t xml:space="preserve">Tertiary Education Quality and Standards Agency (TEQSA) </w:t>
      </w:r>
    </w:p>
    <w:p w14:paraId="416B6AEF" w14:textId="244485D8" w:rsidR="00732D58" w:rsidRPr="003A2822" w:rsidRDefault="00CB0717" w:rsidP="0086486C">
      <w:pPr>
        <w:pStyle w:val="Bullet1"/>
        <w:spacing w:after="120" w:line="276" w:lineRule="auto"/>
        <w:rPr>
          <w:rFonts w:cstheme="minorHAnsi"/>
        </w:rPr>
      </w:pPr>
      <w:r w:rsidRPr="003A2822">
        <w:rPr>
          <w:rFonts w:cstheme="minorHAnsi"/>
        </w:rPr>
        <w:t>Agree to the sharing of any information provided to the Program Administrator in the context of this application with the department</w:t>
      </w:r>
    </w:p>
    <w:p w14:paraId="7FFC776C" w14:textId="79D69B39" w:rsidR="00143A19" w:rsidRPr="003A2822" w:rsidRDefault="00CB0717" w:rsidP="00732D58">
      <w:pPr>
        <w:pStyle w:val="Bullet1"/>
        <w:spacing w:after="120" w:line="276" w:lineRule="auto"/>
        <w:rPr>
          <w:rFonts w:cstheme="minorHAnsi"/>
        </w:rPr>
      </w:pPr>
      <w:r w:rsidRPr="003A2822">
        <w:rPr>
          <w:rFonts w:cstheme="minorHAnsi"/>
        </w:rPr>
        <w:t xml:space="preserve">Agree to have international student revenue information verified with </w:t>
      </w:r>
      <w:r w:rsidR="0059291B" w:rsidRPr="003A2822">
        <w:rPr>
          <w:rFonts w:cstheme="minorHAnsi"/>
        </w:rPr>
        <w:t xml:space="preserve">tuition fee revenue </w:t>
      </w:r>
      <w:r w:rsidRPr="003A2822">
        <w:rPr>
          <w:rFonts w:cstheme="minorHAnsi"/>
        </w:rPr>
        <w:t xml:space="preserve">reported to the </w:t>
      </w:r>
      <w:r w:rsidR="0059291B" w:rsidRPr="003A2822">
        <w:rPr>
          <w:rFonts w:cstheme="minorHAnsi"/>
        </w:rPr>
        <w:t>TPS</w:t>
      </w:r>
      <w:r w:rsidRPr="003A2822">
        <w:rPr>
          <w:rFonts w:cstheme="minorHAnsi"/>
        </w:rPr>
        <w:t xml:space="preserve"> for calendar year </w:t>
      </w:r>
      <w:r w:rsidR="00F225DC" w:rsidRPr="003A2822">
        <w:rPr>
          <w:rFonts w:cstheme="minorHAnsi"/>
        </w:rPr>
        <w:t xml:space="preserve">2020 </w:t>
      </w:r>
      <w:r w:rsidRPr="003A2822">
        <w:rPr>
          <w:rFonts w:cstheme="minorHAnsi"/>
        </w:rPr>
        <w:t xml:space="preserve">and calendar year </w:t>
      </w:r>
      <w:r w:rsidR="00F225DC" w:rsidRPr="003A2822">
        <w:rPr>
          <w:rFonts w:cstheme="minorHAnsi"/>
        </w:rPr>
        <w:t>2021</w:t>
      </w:r>
      <w:r w:rsidR="009C09DD" w:rsidRPr="003A2822">
        <w:rPr>
          <w:rFonts w:cstheme="minorHAnsi"/>
        </w:rPr>
        <w:t xml:space="preserve"> (once available)</w:t>
      </w:r>
      <w:r w:rsidR="00141422" w:rsidRPr="003A2822">
        <w:rPr>
          <w:rFonts w:cstheme="minorHAnsi"/>
        </w:rPr>
        <w:t>.</w:t>
      </w:r>
      <w:r w:rsidR="00997894">
        <w:rPr>
          <w:rFonts w:cstheme="minorHAnsi"/>
        </w:rPr>
        <w:t xml:space="preserve"> </w:t>
      </w:r>
      <w:r w:rsidR="00143A19" w:rsidRPr="003A2822">
        <w:rPr>
          <w:rFonts w:cstheme="minorHAnsi"/>
        </w:rPr>
        <w:t xml:space="preserve">Funds will be recovered from any provider that provides false or misleading information </w:t>
      </w:r>
      <w:proofErr w:type="gramStart"/>
      <w:r w:rsidR="00143A19" w:rsidRPr="003A2822">
        <w:rPr>
          <w:rFonts w:cstheme="minorHAnsi"/>
        </w:rPr>
        <w:t>in order to</w:t>
      </w:r>
      <w:proofErr w:type="gramEnd"/>
      <w:r w:rsidR="00143A19" w:rsidRPr="003A2822">
        <w:rPr>
          <w:rFonts w:cstheme="minorHAnsi"/>
        </w:rPr>
        <w:t xml:space="preserve"> appear eligible </w:t>
      </w:r>
      <w:r w:rsidR="00AA366A" w:rsidRPr="003A2822">
        <w:rPr>
          <w:rFonts w:cstheme="minorHAnsi"/>
        </w:rPr>
        <w:t xml:space="preserve">for this grant opportunity. </w:t>
      </w:r>
    </w:p>
    <w:p w14:paraId="7C4BC912" w14:textId="38387F25" w:rsidR="00732D58" w:rsidRPr="003A2822" w:rsidRDefault="00732D58" w:rsidP="0086486C">
      <w:pPr>
        <w:spacing w:after="120"/>
        <w:rPr>
          <w:rFonts w:cstheme="minorHAnsi"/>
        </w:rPr>
      </w:pPr>
      <w:r w:rsidRPr="003A2822">
        <w:rPr>
          <w:rFonts w:cstheme="minorHAnsi"/>
        </w:rPr>
        <w:t xml:space="preserve">Applicants will not be able to amend their 2020 </w:t>
      </w:r>
      <w:r w:rsidR="00FD6C9A" w:rsidRPr="003A2822">
        <w:rPr>
          <w:rFonts w:cstheme="minorHAnsi"/>
        </w:rPr>
        <w:t xml:space="preserve">revenue report to the Commonwealth Tuition Protection Service </w:t>
      </w:r>
      <w:proofErr w:type="gramStart"/>
      <w:r w:rsidR="00FD6C9A" w:rsidRPr="003A2822">
        <w:rPr>
          <w:rFonts w:cstheme="minorHAnsi"/>
        </w:rPr>
        <w:t>in order to</w:t>
      </w:r>
      <w:proofErr w:type="gramEnd"/>
      <w:r w:rsidR="00FD6C9A" w:rsidRPr="003A2822">
        <w:rPr>
          <w:rFonts w:cstheme="minorHAnsi"/>
        </w:rPr>
        <w:t xml:space="preserve"> </w:t>
      </w:r>
      <w:r w:rsidR="00BE09CA" w:rsidRPr="003A2822">
        <w:rPr>
          <w:rFonts w:cstheme="minorHAnsi"/>
        </w:rPr>
        <w:t>meet</w:t>
      </w:r>
      <w:r w:rsidR="00FD6C9A" w:rsidRPr="003A2822">
        <w:rPr>
          <w:rFonts w:cstheme="minorHAnsi"/>
        </w:rPr>
        <w:t xml:space="preserve"> eligib</w:t>
      </w:r>
      <w:r w:rsidR="00BE09CA" w:rsidRPr="003A2822">
        <w:rPr>
          <w:rFonts w:cstheme="minorHAnsi"/>
        </w:rPr>
        <w:t>ility</w:t>
      </w:r>
      <w:r w:rsidR="00FD6C9A" w:rsidRPr="003A2822">
        <w:rPr>
          <w:rFonts w:cstheme="minorHAnsi"/>
        </w:rPr>
        <w:t xml:space="preserve"> for this grant opportunity. </w:t>
      </w:r>
    </w:p>
    <w:p w14:paraId="6D474E0D" w14:textId="263B0DB9" w:rsidR="00CB0717" w:rsidRPr="003A2822" w:rsidRDefault="00CB0717" w:rsidP="00DF02A0">
      <w:pPr>
        <w:pStyle w:val="Heading2Numbered"/>
        <w:rPr>
          <w:sz w:val="24"/>
          <w:szCs w:val="24"/>
        </w:rPr>
      </w:pPr>
      <w:bookmarkStart w:id="17" w:name="_Toc88832360"/>
      <w:bookmarkStart w:id="18" w:name="_Hlk71789876"/>
      <w:r w:rsidRPr="003A2822">
        <w:rPr>
          <w:sz w:val="24"/>
          <w:szCs w:val="24"/>
        </w:rPr>
        <w:t>Selection criteria</w:t>
      </w:r>
      <w:bookmarkEnd w:id="17"/>
    </w:p>
    <w:bookmarkEnd w:id="18"/>
    <w:p w14:paraId="06CABDA8" w14:textId="2472A60C" w:rsidR="00CB0717" w:rsidRPr="003A2822" w:rsidRDefault="00CB0717" w:rsidP="00B335AA">
      <w:pPr>
        <w:keepNext/>
        <w:keepLines/>
        <w:spacing w:before="120" w:after="120"/>
        <w:rPr>
          <w:rFonts w:asciiTheme="majorHAnsi" w:hAnsiTheme="majorHAnsi" w:cstheme="majorHAnsi"/>
        </w:rPr>
      </w:pPr>
      <w:r w:rsidRPr="003A2822">
        <w:rPr>
          <w:rFonts w:cstheme="minorHAnsi"/>
        </w:rPr>
        <w:t xml:space="preserve">In addition to meeting the eligibility criteria as outlined in Section 3.1, you must address the </w:t>
      </w:r>
      <w:r w:rsidRPr="003A2822">
        <w:rPr>
          <w:rFonts w:asciiTheme="majorHAnsi" w:hAnsiTheme="majorHAnsi" w:cstheme="majorHAnsi"/>
        </w:rPr>
        <w:t xml:space="preserve">following requirements in your application: </w:t>
      </w:r>
    </w:p>
    <w:p w14:paraId="7E4BBC11" w14:textId="5F65771D" w:rsidR="00EF48B5" w:rsidRPr="003A2822" w:rsidRDefault="0093115B" w:rsidP="0086486C">
      <w:pPr>
        <w:pStyle w:val="Bullet1"/>
        <w:numPr>
          <w:ilvl w:val="0"/>
          <w:numId w:val="0"/>
        </w:numPr>
        <w:spacing w:before="360" w:after="120" w:line="276" w:lineRule="auto"/>
        <w:ind w:left="284" w:hanging="284"/>
        <w:rPr>
          <w:rFonts w:cstheme="minorHAnsi"/>
        </w:rPr>
      </w:pPr>
      <w:r w:rsidRPr="003A2822">
        <w:rPr>
          <w:u w:val="single"/>
        </w:rPr>
        <w:t xml:space="preserve">Ability </w:t>
      </w:r>
      <w:r w:rsidR="00281CE0" w:rsidRPr="003A2822">
        <w:rPr>
          <w:u w:val="single"/>
        </w:rPr>
        <w:t>to adapt or diversify business models</w:t>
      </w:r>
      <w:r w:rsidR="00281CE0" w:rsidRPr="003A2822">
        <w:t xml:space="preserve"> </w:t>
      </w:r>
    </w:p>
    <w:p w14:paraId="613BCD69" w14:textId="44610363" w:rsidR="00EF48B5" w:rsidRPr="003A2822" w:rsidRDefault="0065333C" w:rsidP="00EF48B5">
      <w:pPr>
        <w:pStyle w:val="Bullet1"/>
        <w:spacing w:after="120" w:line="276" w:lineRule="auto"/>
        <w:rPr>
          <w:rFonts w:cstheme="minorHAnsi"/>
        </w:rPr>
      </w:pPr>
      <w:r w:rsidRPr="003A2822">
        <w:rPr>
          <w:rFonts w:cstheme="minorHAnsi"/>
        </w:rPr>
        <w:t>Demonstrate how you plan to adapt or diversif</w:t>
      </w:r>
      <w:r w:rsidR="00F42372" w:rsidRPr="003A2822">
        <w:rPr>
          <w:rFonts w:cstheme="minorHAnsi"/>
        </w:rPr>
        <w:t>y</w:t>
      </w:r>
      <w:r w:rsidRPr="003A2822">
        <w:rPr>
          <w:rFonts w:cstheme="minorHAnsi"/>
        </w:rPr>
        <w:t xml:space="preserve"> </w:t>
      </w:r>
      <w:r w:rsidR="00875D31" w:rsidRPr="003A2822">
        <w:rPr>
          <w:rFonts w:cstheme="minorHAnsi"/>
        </w:rPr>
        <w:t xml:space="preserve">your business models </w:t>
      </w:r>
      <w:r w:rsidR="008F18C0" w:rsidRPr="003A2822">
        <w:rPr>
          <w:rFonts w:cstheme="minorHAnsi"/>
        </w:rPr>
        <w:t>to establish</w:t>
      </w:r>
      <w:r w:rsidR="008F18C0" w:rsidRPr="003A2822">
        <w:rPr>
          <w:rFonts w:eastAsia="Times New Roman" w:cstheme="minorHAnsi"/>
        </w:rPr>
        <w:t xml:space="preserve"> and</w:t>
      </w:r>
      <w:r w:rsidR="00AB43FD" w:rsidRPr="003A2822">
        <w:rPr>
          <w:rFonts w:cstheme="minorHAnsi"/>
        </w:rPr>
        <w:t>/or</w:t>
      </w:r>
      <w:r w:rsidR="008F18C0" w:rsidRPr="003A2822">
        <w:rPr>
          <w:rFonts w:cstheme="minorHAnsi"/>
        </w:rPr>
        <w:t xml:space="preserve"> expand</w:t>
      </w:r>
      <w:r w:rsidR="008F18C0" w:rsidRPr="003A2822">
        <w:rPr>
          <w:rFonts w:eastAsia="Times New Roman" w:cstheme="minorHAnsi"/>
        </w:rPr>
        <w:t xml:space="preserve"> online and offshore delivery</w:t>
      </w:r>
      <w:r w:rsidR="0093115B" w:rsidRPr="003A2822">
        <w:rPr>
          <w:rFonts w:cstheme="minorHAnsi"/>
        </w:rPr>
        <w:t xml:space="preserve"> of your education products.</w:t>
      </w:r>
      <w:r w:rsidR="00F82D13" w:rsidRPr="003A2822">
        <w:rPr>
          <w:rFonts w:cstheme="minorHAnsi"/>
        </w:rPr>
        <w:t xml:space="preserve"> </w:t>
      </w:r>
      <w:r w:rsidR="00904C0D" w:rsidRPr="003A2822">
        <w:rPr>
          <w:rFonts w:cstheme="minorHAnsi"/>
        </w:rPr>
        <w:t xml:space="preserve">Strong applications will provide details of how they plan to </w:t>
      </w:r>
      <w:r w:rsidR="00CC360B" w:rsidRPr="003A2822">
        <w:rPr>
          <w:rFonts w:cstheme="minorHAnsi"/>
        </w:rPr>
        <w:t xml:space="preserve">leverage investment in infrastructure, staff expertise, </w:t>
      </w:r>
      <w:proofErr w:type="gramStart"/>
      <w:r w:rsidR="00CC360B" w:rsidRPr="003A2822">
        <w:rPr>
          <w:rFonts w:cstheme="minorHAnsi"/>
        </w:rPr>
        <w:t>marketing</w:t>
      </w:r>
      <w:proofErr w:type="gramEnd"/>
      <w:r w:rsidR="00CC360B" w:rsidRPr="003A2822">
        <w:rPr>
          <w:rFonts w:cstheme="minorHAnsi"/>
        </w:rPr>
        <w:t xml:space="preserve"> and promotion to fund the design of curriculums and innovative digital teaching solutions </w:t>
      </w:r>
      <w:r w:rsidR="00A86E66">
        <w:rPr>
          <w:rFonts w:cstheme="minorHAnsi"/>
        </w:rPr>
        <w:t>to expand their</w:t>
      </w:r>
      <w:r w:rsidR="00A86E66" w:rsidRPr="003A2822">
        <w:rPr>
          <w:rFonts w:cstheme="minorHAnsi"/>
        </w:rPr>
        <w:t xml:space="preserve"> </w:t>
      </w:r>
      <w:r w:rsidR="00CC360B" w:rsidRPr="003A2822">
        <w:rPr>
          <w:rFonts w:cstheme="minorHAnsi"/>
        </w:rPr>
        <w:t>online and offshore delivery</w:t>
      </w:r>
      <w:r w:rsidR="00EF48B5" w:rsidRPr="003A2822">
        <w:rPr>
          <w:rFonts w:cstheme="minorHAnsi"/>
        </w:rPr>
        <w:t>.</w:t>
      </w:r>
      <w:r w:rsidR="00CC360B" w:rsidRPr="003A2822">
        <w:rPr>
          <w:rFonts w:cstheme="minorHAnsi"/>
        </w:rPr>
        <w:t xml:space="preserve"> </w:t>
      </w:r>
    </w:p>
    <w:p w14:paraId="02CED2D6" w14:textId="390DE41A" w:rsidR="0065333C" w:rsidRPr="003A2822" w:rsidRDefault="00E161BA" w:rsidP="0086486C">
      <w:pPr>
        <w:pStyle w:val="Bullet1"/>
        <w:spacing w:after="120" w:line="276" w:lineRule="auto"/>
        <w:rPr>
          <w:rFonts w:cstheme="minorHAnsi"/>
        </w:rPr>
      </w:pPr>
      <w:r w:rsidRPr="003A2822">
        <w:rPr>
          <w:rFonts w:cstheme="minorHAnsi"/>
        </w:rPr>
        <w:t>P</w:t>
      </w:r>
      <w:r w:rsidR="00F42372" w:rsidRPr="003A2822">
        <w:rPr>
          <w:rFonts w:cstheme="minorHAnsi"/>
        </w:rPr>
        <w:t xml:space="preserve">roviders that received funding </w:t>
      </w:r>
      <w:r w:rsidR="00561CAC" w:rsidRPr="003A2822">
        <w:rPr>
          <w:rFonts w:cstheme="minorHAnsi"/>
        </w:rPr>
        <w:t>under the initial Innovation Fund</w:t>
      </w:r>
      <w:r w:rsidRPr="003A2822">
        <w:rPr>
          <w:rFonts w:cstheme="minorHAnsi"/>
        </w:rPr>
        <w:t xml:space="preserve"> </w:t>
      </w:r>
      <w:r w:rsidRPr="003A2822">
        <w:rPr>
          <w:rFonts w:cstheme="minorHAnsi"/>
          <w:u w:val="single"/>
        </w:rPr>
        <w:t>must</w:t>
      </w:r>
      <w:r w:rsidR="00F42372" w:rsidRPr="003A2822">
        <w:rPr>
          <w:rFonts w:cstheme="minorHAnsi"/>
        </w:rPr>
        <w:t xml:space="preserve"> </w:t>
      </w:r>
      <w:r w:rsidR="005E2169" w:rsidRPr="003A2822">
        <w:rPr>
          <w:rFonts w:cstheme="minorHAnsi"/>
        </w:rPr>
        <w:t xml:space="preserve">provide examples of how the initial grant funding has supported your </w:t>
      </w:r>
      <w:r w:rsidR="00E10A55" w:rsidRPr="003A2822">
        <w:rPr>
          <w:rFonts w:cstheme="minorHAnsi"/>
        </w:rPr>
        <w:t>business and</w:t>
      </w:r>
      <w:r w:rsidR="00BE36B5" w:rsidRPr="003A2822">
        <w:rPr>
          <w:rFonts w:cstheme="minorHAnsi"/>
        </w:rPr>
        <w:t xml:space="preserve"> demonstrate how further funding will support you to further innovate</w:t>
      </w:r>
      <w:r w:rsidR="00D5644C" w:rsidRPr="003A2822">
        <w:rPr>
          <w:rFonts w:cstheme="minorHAnsi"/>
        </w:rPr>
        <w:t xml:space="preserve"> into online and offshore delivery</w:t>
      </w:r>
      <w:r w:rsidR="00BE36B5" w:rsidRPr="003A2822">
        <w:rPr>
          <w:rFonts w:cstheme="minorHAnsi"/>
        </w:rPr>
        <w:t xml:space="preserve">. </w:t>
      </w:r>
      <w:r w:rsidR="00F42372" w:rsidRPr="003A2822">
        <w:rPr>
          <w:rFonts w:cstheme="minorHAnsi"/>
        </w:rPr>
        <w:t xml:space="preserve">  </w:t>
      </w:r>
    </w:p>
    <w:p w14:paraId="38815475" w14:textId="789A2FA8" w:rsidR="0035274C" w:rsidRPr="003A2822" w:rsidRDefault="00CB0717" w:rsidP="0035274C">
      <w:pPr>
        <w:pStyle w:val="Bullet1"/>
        <w:numPr>
          <w:ilvl w:val="0"/>
          <w:numId w:val="0"/>
        </w:numPr>
        <w:spacing w:before="360" w:after="120" w:line="276" w:lineRule="auto"/>
        <w:ind w:left="284" w:hanging="284"/>
        <w:rPr>
          <w:u w:val="single"/>
        </w:rPr>
      </w:pPr>
      <w:r w:rsidRPr="003A2822">
        <w:rPr>
          <w:u w:val="single"/>
        </w:rPr>
        <w:t>Ability to adapt to the current environment</w:t>
      </w:r>
    </w:p>
    <w:p w14:paraId="1F35B6BE" w14:textId="77FAE68E" w:rsidR="00CB0717" w:rsidRPr="003A2822" w:rsidRDefault="00576E48" w:rsidP="0086486C">
      <w:pPr>
        <w:pStyle w:val="Bullet1"/>
        <w:spacing w:after="120" w:line="276" w:lineRule="auto"/>
        <w:rPr>
          <w:rFonts w:cstheme="minorHAnsi"/>
        </w:rPr>
      </w:pPr>
      <w:r w:rsidRPr="003A2822">
        <w:rPr>
          <w:rFonts w:cstheme="minorHAnsi"/>
        </w:rPr>
        <w:t>O</w:t>
      </w:r>
      <w:r w:rsidR="00CB0717" w:rsidRPr="003A2822">
        <w:rPr>
          <w:rFonts w:cstheme="minorHAnsi"/>
        </w:rPr>
        <w:t xml:space="preserve">utline your business’ efforts to adapt to the current environment. This </w:t>
      </w:r>
      <w:r w:rsidR="00A86E66">
        <w:rPr>
          <w:rFonts w:cstheme="minorHAnsi"/>
        </w:rPr>
        <w:t>would</w:t>
      </w:r>
      <w:r w:rsidR="00A86E66" w:rsidRPr="003A2822">
        <w:rPr>
          <w:rFonts w:cstheme="minorHAnsi"/>
        </w:rPr>
        <w:t xml:space="preserve"> </w:t>
      </w:r>
      <w:r w:rsidR="00CB0717" w:rsidRPr="003A2822">
        <w:rPr>
          <w:rFonts w:cstheme="minorHAnsi"/>
        </w:rPr>
        <w:t>include how your business has/will deliver more education online and to international students offshore</w:t>
      </w:r>
      <w:r w:rsidR="00B63821" w:rsidRPr="003A2822">
        <w:rPr>
          <w:rFonts w:cstheme="minorHAnsi"/>
        </w:rPr>
        <w:t xml:space="preserve">, </w:t>
      </w:r>
      <w:r w:rsidR="00B54900" w:rsidRPr="003A2822">
        <w:rPr>
          <w:rFonts w:cstheme="minorHAnsi"/>
        </w:rPr>
        <w:t xml:space="preserve">or </w:t>
      </w:r>
      <w:r w:rsidR="009D2C9C" w:rsidRPr="003A2822">
        <w:rPr>
          <w:rFonts w:cstheme="minorHAnsi"/>
        </w:rPr>
        <w:t xml:space="preserve">how your business will support students to transition to further onshore study </w:t>
      </w:r>
      <w:r w:rsidR="00A86E66">
        <w:rPr>
          <w:rFonts w:cstheme="minorHAnsi"/>
        </w:rPr>
        <w:t>as</w:t>
      </w:r>
      <w:r w:rsidR="00A86E66" w:rsidRPr="003A2822">
        <w:rPr>
          <w:rFonts w:cstheme="minorHAnsi"/>
        </w:rPr>
        <w:t xml:space="preserve"> </w:t>
      </w:r>
      <w:r w:rsidR="00B54900" w:rsidRPr="003A2822">
        <w:rPr>
          <w:rFonts w:cstheme="minorHAnsi"/>
        </w:rPr>
        <w:t>borders reopen.</w:t>
      </w:r>
    </w:p>
    <w:p w14:paraId="7AB30F03" w14:textId="1E48B18F" w:rsidR="0035274C" w:rsidRPr="003A2822" w:rsidRDefault="00CB0717" w:rsidP="0035274C">
      <w:pPr>
        <w:pStyle w:val="Bullet1"/>
        <w:numPr>
          <w:ilvl w:val="0"/>
          <w:numId w:val="0"/>
        </w:numPr>
        <w:spacing w:before="360" w:after="120" w:line="276" w:lineRule="auto"/>
        <w:ind w:left="284" w:hanging="284"/>
        <w:rPr>
          <w:u w:val="single"/>
        </w:rPr>
      </w:pPr>
      <w:r w:rsidRPr="003A2822">
        <w:rPr>
          <w:u w:val="single"/>
        </w:rPr>
        <w:t>Benefits of the grant funding to your business</w:t>
      </w:r>
    </w:p>
    <w:p w14:paraId="167599F9" w14:textId="5F9B5CDE" w:rsidR="00CB0717" w:rsidRPr="003A2822" w:rsidRDefault="004D6C57" w:rsidP="0035274C">
      <w:pPr>
        <w:pStyle w:val="Bullet1"/>
        <w:spacing w:after="120" w:line="276" w:lineRule="auto"/>
        <w:rPr>
          <w:rFonts w:cstheme="minorHAnsi"/>
        </w:rPr>
      </w:pPr>
      <w:r w:rsidRPr="003A2822">
        <w:rPr>
          <w:rFonts w:cstheme="minorHAnsi"/>
        </w:rPr>
        <w:t>Outline how</w:t>
      </w:r>
      <w:r w:rsidR="00CB0717" w:rsidRPr="003A2822">
        <w:rPr>
          <w:rFonts w:cstheme="minorHAnsi"/>
        </w:rPr>
        <w:t xml:space="preserve"> the grant opportunity will assist your business to achieve long-term viability, beyond the completion of the grant</w:t>
      </w:r>
      <w:r w:rsidR="00281CE0" w:rsidRPr="003A2822">
        <w:rPr>
          <w:rFonts w:cstheme="minorHAnsi"/>
        </w:rPr>
        <w:t xml:space="preserve"> and how </w:t>
      </w:r>
      <w:r w:rsidR="00B70D92" w:rsidRPr="003A2822">
        <w:rPr>
          <w:rFonts w:cstheme="minorHAnsi"/>
        </w:rPr>
        <w:t>you will market and promote your business</w:t>
      </w:r>
      <w:r w:rsidR="00281CE0" w:rsidRPr="003A2822">
        <w:rPr>
          <w:rFonts w:cstheme="minorHAnsi"/>
        </w:rPr>
        <w:t xml:space="preserve"> to attract more students.</w:t>
      </w:r>
      <w:r w:rsidR="00CB0717" w:rsidRPr="003A2822">
        <w:rPr>
          <w:rFonts w:cstheme="minorHAnsi"/>
        </w:rPr>
        <w:t xml:space="preserve"> This can include detailing how you plan to </w:t>
      </w:r>
      <w:r w:rsidR="00281CE0" w:rsidRPr="003A2822">
        <w:rPr>
          <w:rFonts w:cstheme="minorHAnsi"/>
        </w:rPr>
        <w:t>develop into</w:t>
      </w:r>
      <w:r w:rsidR="00CB0717" w:rsidRPr="003A2822">
        <w:rPr>
          <w:rFonts w:cstheme="minorHAnsi"/>
        </w:rPr>
        <w:t xml:space="preserve"> new target markets, grow student numbers</w:t>
      </w:r>
      <w:r w:rsidR="00875D31" w:rsidRPr="003A2822">
        <w:rPr>
          <w:rFonts w:cstheme="minorHAnsi"/>
        </w:rPr>
        <w:t xml:space="preserve">, </w:t>
      </w:r>
      <w:r w:rsidR="00052707" w:rsidRPr="003A2822">
        <w:rPr>
          <w:rFonts w:cstheme="minorHAnsi"/>
        </w:rPr>
        <w:t>or</w:t>
      </w:r>
      <w:r w:rsidR="00875D31" w:rsidRPr="003A2822">
        <w:rPr>
          <w:rFonts w:cstheme="minorHAnsi"/>
        </w:rPr>
        <w:t xml:space="preserve"> how you plan to invest in staff expertise, marketing and promotion of education services </w:t>
      </w:r>
      <w:r w:rsidR="00052707" w:rsidRPr="003A2822">
        <w:rPr>
          <w:rFonts w:cstheme="minorHAnsi"/>
        </w:rPr>
        <w:t>and</w:t>
      </w:r>
      <w:r w:rsidR="00875D31" w:rsidRPr="003A2822">
        <w:rPr>
          <w:rFonts w:cstheme="minorHAnsi"/>
        </w:rPr>
        <w:t xml:space="preserve"> service delivery</w:t>
      </w:r>
      <w:r w:rsidR="00A86E66">
        <w:rPr>
          <w:rFonts w:cstheme="minorHAnsi"/>
        </w:rPr>
        <w:t xml:space="preserve"> to increase online and offshore delivery</w:t>
      </w:r>
      <w:r w:rsidR="00875D31" w:rsidRPr="003A2822">
        <w:rPr>
          <w:rFonts w:cstheme="minorHAnsi"/>
        </w:rPr>
        <w:t>.</w:t>
      </w:r>
    </w:p>
    <w:p w14:paraId="60417B44" w14:textId="2EDECA71" w:rsidR="00C72304" w:rsidRPr="003A2822" w:rsidRDefault="00C72304" w:rsidP="0086486C">
      <w:pPr>
        <w:pStyle w:val="Bullet1"/>
        <w:numPr>
          <w:ilvl w:val="0"/>
          <w:numId w:val="0"/>
        </w:numPr>
        <w:spacing w:before="360" w:after="120" w:line="276" w:lineRule="auto"/>
        <w:ind w:left="284" w:hanging="284"/>
        <w:rPr>
          <w:u w:val="single"/>
        </w:rPr>
      </w:pPr>
      <w:r w:rsidRPr="003A2822">
        <w:rPr>
          <w:u w:val="single"/>
        </w:rPr>
        <w:t xml:space="preserve">Business plan </w:t>
      </w:r>
    </w:p>
    <w:p w14:paraId="3409262C" w14:textId="5E7BDF2A" w:rsidR="00C72304" w:rsidRPr="003A2822" w:rsidRDefault="00911E58" w:rsidP="0086486C">
      <w:pPr>
        <w:pStyle w:val="Bullet1"/>
        <w:spacing w:after="120" w:line="276" w:lineRule="auto"/>
        <w:rPr>
          <w:rFonts w:cstheme="minorHAnsi"/>
        </w:rPr>
      </w:pPr>
      <w:r w:rsidRPr="003A2822">
        <w:rPr>
          <w:rFonts w:cstheme="minorHAnsi"/>
        </w:rPr>
        <w:t xml:space="preserve">Detail what you will spend the grant funding on if successful through this grant opportunity. </w:t>
      </w:r>
    </w:p>
    <w:p w14:paraId="4EAC3002" w14:textId="415540A5" w:rsidR="00CE02C3" w:rsidRPr="003A2822" w:rsidRDefault="00533D7D" w:rsidP="00CE02C3">
      <w:pPr>
        <w:pStyle w:val="Heading2Numbered"/>
        <w:rPr>
          <w:sz w:val="24"/>
          <w:szCs w:val="24"/>
        </w:rPr>
      </w:pPr>
      <w:bookmarkStart w:id="19" w:name="_Toc88832361"/>
      <w:r w:rsidRPr="003A2822">
        <w:rPr>
          <w:sz w:val="24"/>
          <w:szCs w:val="24"/>
        </w:rPr>
        <w:t>Ineligibility</w:t>
      </w:r>
      <w:bookmarkEnd w:id="19"/>
    </w:p>
    <w:p w14:paraId="5AC29495" w14:textId="56A09414" w:rsidR="00CE02C3" w:rsidRPr="003A2822" w:rsidRDefault="00CE02C3" w:rsidP="00CE02C3">
      <w:pPr>
        <w:spacing w:before="120" w:after="120"/>
        <w:rPr>
          <w:rFonts w:eastAsia="Times New Roman" w:cstheme="minorHAnsi"/>
        </w:rPr>
      </w:pPr>
      <w:bookmarkStart w:id="20" w:name="_Toc464643013"/>
      <w:bookmarkEnd w:id="16"/>
      <w:r w:rsidRPr="003A2822">
        <w:rPr>
          <w:rFonts w:eastAsia="Times New Roman" w:cstheme="minorHAnsi"/>
        </w:rPr>
        <w:t>You are not eligible to apply for this grant opportunity if you:</w:t>
      </w:r>
    </w:p>
    <w:p w14:paraId="3929A46C" w14:textId="77777777" w:rsidR="00CE02C3" w:rsidRPr="003A2822" w:rsidRDefault="00CE02C3" w:rsidP="00CE02C3">
      <w:pPr>
        <w:pStyle w:val="Bullet1"/>
        <w:spacing w:after="120" w:line="276" w:lineRule="auto"/>
        <w:rPr>
          <w:rFonts w:cstheme="minorHAnsi"/>
        </w:rPr>
      </w:pPr>
      <w:r w:rsidRPr="003A2822">
        <w:rPr>
          <w:rFonts w:cstheme="minorHAnsi"/>
        </w:rPr>
        <w:t xml:space="preserve">Do not meet eligibility criteria listed at Section 3.1 </w:t>
      </w:r>
    </w:p>
    <w:p w14:paraId="0D9587B9" w14:textId="697CC0FF" w:rsidR="00CE02C3" w:rsidRPr="003A2822" w:rsidRDefault="00CE02C3" w:rsidP="00CE02C3">
      <w:pPr>
        <w:pStyle w:val="Bullet1"/>
        <w:spacing w:after="120" w:line="276" w:lineRule="auto"/>
        <w:rPr>
          <w:rFonts w:cstheme="minorHAnsi"/>
        </w:rPr>
      </w:pPr>
      <w:r w:rsidRPr="003A2822">
        <w:rPr>
          <w:rFonts w:cstheme="minorHAnsi"/>
        </w:rPr>
        <w:t>Do not address selection requirements at Section 3.2</w:t>
      </w:r>
    </w:p>
    <w:p w14:paraId="7204D62B" w14:textId="0026F573" w:rsidR="0087371C" w:rsidRPr="003A2822" w:rsidRDefault="0087371C" w:rsidP="00CE02C3">
      <w:pPr>
        <w:pStyle w:val="Bullet1"/>
        <w:spacing w:after="120" w:line="276" w:lineRule="auto"/>
        <w:rPr>
          <w:rFonts w:cstheme="minorHAnsi"/>
        </w:rPr>
      </w:pPr>
      <w:r w:rsidRPr="003A2822">
        <w:rPr>
          <w:rFonts w:cstheme="minorHAnsi"/>
        </w:rPr>
        <w:t>Do not meet the length of operation requirements at Section 3.5</w:t>
      </w:r>
    </w:p>
    <w:p w14:paraId="3C84786F" w14:textId="2C162C7C" w:rsidR="00CE02C3" w:rsidRPr="003A2822" w:rsidRDefault="00445215" w:rsidP="00CE02C3">
      <w:pPr>
        <w:pStyle w:val="Bullet1"/>
        <w:spacing w:after="120" w:line="276" w:lineRule="auto"/>
        <w:rPr>
          <w:rFonts w:cstheme="minorHAnsi"/>
        </w:rPr>
      </w:pPr>
      <w:r w:rsidRPr="003A2822">
        <w:rPr>
          <w:rFonts w:cstheme="minorHAnsi"/>
        </w:rPr>
        <w:t xml:space="preserve">Excepting the initial Innovation Fund, </w:t>
      </w:r>
      <w:r w:rsidR="00CE02C3" w:rsidRPr="003A2822">
        <w:rPr>
          <w:rFonts w:cstheme="minorHAnsi"/>
        </w:rPr>
        <w:t xml:space="preserve">are </w:t>
      </w:r>
      <w:r w:rsidR="005B3A10" w:rsidRPr="003A2822">
        <w:rPr>
          <w:rFonts w:cstheme="minorHAnsi"/>
        </w:rPr>
        <w:t xml:space="preserve">currently </w:t>
      </w:r>
      <w:r w:rsidR="00CE02C3" w:rsidRPr="003A2822">
        <w:rPr>
          <w:rFonts w:cstheme="minorHAnsi"/>
        </w:rPr>
        <w:t>receiving funding from another government source for the same purpose</w:t>
      </w:r>
    </w:p>
    <w:p w14:paraId="308D0B44" w14:textId="389F198F" w:rsidR="00112BB5" w:rsidRPr="003A2822" w:rsidRDefault="00112BB5" w:rsidP="00CE02C3">
      <w:pPr>
        <w:pStyle w:val="Bullet1"/>
        <w:spacing w:after="120" w:line="276" w:lineRule="auto"/>
        <w:rPr>
          <w:rFonts w:cstheme="minorHAnsi"/>
        </w:rPr>
      </w:pPr>
      <w:r w:rsidRPr="003A2822">
        <w:rPr>
          <w:rFonts w:cstheme="minorHAnsi"/>
        </w:rPr>
        <w:t>Are currently facing any sanctions or being investigated for any compliance breaches</w:t>
      </w:r>
    </w:p>
    <w:p w14:paraId="533D089D" w14:textId="649C3CE7" w:rsidR="0065333C" w:rsidRPr="003A2822" w:rsidRDefault="00CE02C3" w:rsidP="0065333C">
      <w:pPr>
        <w:pStyle w:val="Bullet1"/>
        <w:spacing w:after="120" w:line="276" w:lineRule="auto"/>
        <w:rPr>
          <w:rFonts w:cstheme="minorHAnsi"/>
        </w:rPr>
      </w:pPr>
      <w:r w:rsidRPr="003A2822">
        <w:rPr>
          <w:rFonts w:cstheme="minorHAnsi"/>
        </w:rPr>
        <w:t xml:space="preserve">Are a consortium </w:t>
      </w:r>
      <w:r w:rsidR="0065333C" w:rsidRPr="003A2822">
        <w:rPr>
          <w:rFonts w:cstheme="minorHAnsi"/>
        </w:rPr>
        <w:t xml:space="preserve"> </w:t>
      </w:r>
    </w:p>
    <w:p w14:paraId="0B73BB1D" w14:textId="7710B829" w:rsidR="00947701" w:rsidRPr="003A2822" w:rsidRDefault="00A86E66">
      <w:pPr>
        <w:pStyle w:val="Bullet1"/>
        <w:spacing w:after="120" w:line="276" w:lineRule="auto"/>
        <w:rPr>
          <w:rFonts w:cstheme="minorHAnsi"/>
        </w:rPr>
      </w:pPr>
      <w:r>
        <w:rPr>
          <w:rFonts w:cstheme="minorHAnsi"/>
        </w:rPr>
        <w:t>H</w:t>
      </w:r>
      <w:r w:rsidRPr="003A2822">
        <w:rPr>
          <w:rFonts w:cstheme="minorHAnsi"/>
        </w:rPr>
        <w:t xml:space="preserve">ave </w:t>
      </w:r>
      <w:r w:rsidR="008E026E" w:rsidRPr="003A2822">
        <w:rPr>
          <w:rFonts w:cstheme="minorHAnsi"/>
        </w:rPr>
        <w:t>closed or entered hibernation at any time in 2020 or 2021.</w:t>
      </w:r>
    </w:p>
    <w:p w14:paraId="05FC72E3" w14:textId="0697DB38" w:rsidR="00CE02C3" w:rsidRPr="003A2822" w:rsidRDefault="00CE02C3" w:rsidP="00CE02C3">
      <w:pPr>
        <w:pStyle w:val="Heading2Numbered"/>
        <w:rPr>
          <w:sz w:val="24"/>
          <w:szCs w:val="24"/>
        </w:rPr>
      </w:pPr>
      <w:bookmarkStart w:id="21" w:name="_Toc88832362"/>
      <w:r w:rsidRPr="003A2822">
        <w:rPr>
          <w:sz w:val="24"/>
          <w:szCs w:val="24"/>
        </w:rPr>
        <w:t>Suitability and risk assessment</w:t>
      </w:r>
      <w:bookmarkEnd w:id="21"/>
      <w:r w:rsidRPr="003A2822">
        <w:rPr>
          <w:sz w:val="24"/>
          <w:szCs w:val="24"/>
        </w:rPr>
        <w:t xml:space="preserve"> </w:t>
      </w:r>
    </w:p>
    <w:p w14:paraId="6F7CCEA0" w14:textId="58D94A46" w:rsidR="00503EAA" w:rsidRPr="003A2822" w:rsidRDefault="00CE02C3" w:rsidP="00CE02C3">
      <w:pPr>
        <w:spacing w:before="120" w:after="120"/>
        <w:rPr>
          <w:rFonts w:eastAsia="Times New Roman" w:cstheme="minorHAnsi"/>
        </w:rPr>
      </w:pPr>
      <w:r w:rsidRPr="003A2822">
        <w:rPr>
          <w:rFonts w:eastAsia="Times New Roman" w:cstheme="minorHAnsi"/>
        </w:rPr>
        <w:t>As a part of eligibility assessment, you may be subject to further suitability and compliance checks with the assistance of governing bodies including the Tertiary Education Quality and Standards Agency (TEQSA), the Australian Skills and Quality Authority (ASQA</w:t>
      </w:r>
      <w:proofErr w:type="gramStart"/>
      <w:r w:rsidRPr="003A2822">
        <w:rPr>
          <w:rFonts w:eastAsia="Times New Roman" w:cstheme="minorHAnsi"/>
        </w:rPr>
        <w:t>)</w:t>
      </w:r>
      <w:r w:rsidR="001B52AD" w:rsidRPr="003A2822">
        <w:rPr>
          <w:rFonts w:eastAsia="Times New Roman" w:cstheme="minorHAnsi"/>
        </w:rPr>
        <w:t>,</w:t>
      </w:r>
      <w:r w:rsidRPr="003A2822">
        <w:rPr>
          <w:rFonts w:eastAsia="Times New Roman" w:cstheme="minorHAnsi"/>
        </w:rPr>
        <w:t>Tuition</w:t>
      </w:r>
      <w:proofErr w:type="gramEnd"/>
      <w:r w:rsidRPr="003A2822">
        <w:rPr>
          <w:rFonts w:eastAsia="Times New Roman" w:cstheme="minorHAnsi"/>
        </w:rPr>
        <w:t xml:space="preserve"> Protection Service (TPS)</w:t>
      </w:r>
      <w:r w:rsidR="001B52AD" w:rsidRPr="003A2822">
        <w:rPr>
          <w:rFonts w:eastAsia="Times New Roman" w:cstheme="minorHAnsi"/>
        </w:rPr>
        <w:t xml:space="preserve"> and the </w:t>
      </w:r>
      <w:r w:rsidR="00E43D38" w:rsidRPr="003A2822">
        <w:rPr>
          <w:rFonts w:eastAsia="Times New Roman" w:cstheme="minorHAnsi"/>
        </w:rPr>
        <w:t>Australian Securities and Investments Commission (</w:t>
      </w:r>
      <w:r w:rsidR="001B52AD" w:rsidRPr="003A2822">
        <w:rPr>
          <w:rFonts w:eastAsia="Times New Roman" w:cstheme="minorHAnsi"/>
        </w:rPr>
        <w:t>ASIC</w:t>
      </w:r>
      <w:r w:rsidR="00E43D38" w:rsidRPr="003A2822">
        <w:rPr>
          <w:rFonts w:eastAsia="Times New Roman" w:cstheme="minorHAnsi"/>
        </w:rPr>
        <w:t>)</w:t>
      </w:r>
      <w:r w:rsidRPr="003A2822">
        <w:rPr>
          <w:rFonts w:eastAsia="Times New Roman" w:cstheme="minorHAnsi"/>
        </w:rPr>
        <w:t xml:space="preserve">. </w:t>
      </w:r>
    </w:p>
    <w:p w14:paraId="0DFA4E75" w14:textId="695D983B" w:rsidR="00E54BB7" w:rsidRPr="003A2822" w:rsidRDefault="00CE02C3" w:rsidP="00CE02C3">
      <w:pPr>
        <w:spacing w:before="120" w:after="120"/>
        <w:rPr>
          <w:rFonts w:eastAsia="Times New Roman" w:cstheme="minorHAnsi"/>
        </w:rPr>
      </w:pPr>
      <w:r w:rsidRPr="003A2822">
        <w:rPr>
          <w:rFonts w:eastAsia="Times New Roman" w:cstheme="minorHAnsi"/>
        </w:rPr>
        <w:t xml:space="preserve">This will assist in determining any relevant information including: </w:t>
      </w:r>
    </w:p>
    <w:p w14:paraId="6EFDA262" w14:textId="77777777" w:rsidR="00CE02C3" w:rsidRPr="003A2822" w:rsidRDefault="00CE02C3" w:rsidP="00CE02C3">
      <w:pPr>
        <w:pStyle w:val="Bullet1"/>
        <w:spacing w:after="120" w:line="276" w:lineRule="auto"/>
        <w:rPr>
          <w:rFonts w:cstheme="minorHAnsi"/>
        </w:rPr>
      </w:pPr>
      <w:r w:rsidRPr="003A2822">
        <w:rPr>
          <w:rFonts w:cstheme="minorHAnsi"/>
        </w:rPr>
        <w:t xml:space="preserve">Compliance and quality assessment </w:t>
      </w:r>
    </w:p>
    <w:p w14:paraId="134B7EF1" w14:textId="77777777" w:rsidR="00CE02C3" w:rsidRPr="003A2822" w:rsidRDefault="00CE02C3" w:rsidP="00CE02C3">
      <w:pPr>
        <w:pStyle w:val="Bullet1"/>
        <w:spacing w:after="120" w:line="276" w:lineRule="auto"/>
        <w:rPr>
          <w:rFonts w:cstheme="minorHAnsi"/>
        </w:rPr>
      </w:pPr>
      <w:r w:rsidRPr="003A2822">
        <w:rPr>
          <w:rFonts w:cstheme="minorHAnsi"/>
        </w:rPr>
        <w:t xml:space="preserve">Accreditation/s held  </w:t>
      </w:r>
    </w:p>
    <w:p w14:paraId="4B6A53B0" w14:textId="23034FE6" w:rsidR="00503EAA" w:rsidRPr="003A2822" w:rsidRDefault="00CE02C3" w:rsidP="00503EAA">
      <w:pPr>
        <w:pStyle w:val="Bullet1"/>
        <w:spacing w:after="120" w:line="276" w:lineRule="auto"/>
        <w:rPr>
          <w:rFonts w:cstheme="minorHAnsi"/>
        </w:rPr>
      </w:pPr>
      <w:r w:rsidRPr="003A2822">
        <w:rPr>
          <w:rFonts w:cstheme="minorHAnsi"/>
        </w:rPr>
        <w:t xml:space="preserve">Financial viability </w:t>
      </w:r>
    </w:p>
    <w:p w14:paraId="21B69B37" w14:textId="77777777" w:rsidR="00CE02C3" w:rsidRPr="003A2822" w:rsidRDefault="00CE02C3" w:rsidP="00CE02C3">
      <w:pPr>
        <w:spacing w:before="120" w:after="120"/>
        <w:rPr>
          <w:rFonts w:cstheme="minorHAnsi"/>
          <w:lang w:val="en-US" w:bidi="en-US"/>
        </w:rPr>
      </w:pPr>
      <w:r w:rsidRPr="003A2822">
        <w:rPr>
          <w:rFonts w:cstheme="minorHAnsi"/>
          <w:lang w:val="en-US" w:bidi="en-US"/>
        </w:rPr>
        <w:t xml:space="preserve">By </w:t>
      </w:r>
      <w:proofErr w:type="gramStart"/>
      <w:r w:rsidRPr="003A2822">
        <w:rPr>
          <w:rFonts w:cstheme="minorHAnsi"/>
          <w:lang w:val="en-US" w:bidi="en-US"/>
        </w:rPr>
        <w:t>submitting an application</w:t>
      </w:r>
      <w:proofErr w:type="gramEnd"/>
      <w:r w:rsidRPr="003A2822">
        <w:rPr>
          <w:rFonts w:cstheme="minorHAnsi"/>
          <w:lang w:val="en-US" w:bidi="en-US"/>
        </w:rPr>
        <w:t xml:space="preserve">, you agree to these types of checks being conducted. This includes relevant information being shared with a determined Commonwealth entity. </w:t>
      </w:r>
    </w:p>
    <w:p w14:paraId="0AC1978A" w14:textId="5A39A681" w:rsidR="00CE02C3" w:rsidRPr="003A2822" w:rsidRDefault="00CE02C3" w:rsidP="00CE02C3">
      <w:pPr>
        <w:spacing w:before="120" w:after="120"/>
        <w:rPr>
          <w:rFonts w:cstheme="minorHAnsi"/>
          <w:lang w:val="en-US" w:bidi="en-US"/>
        </w:rPr>
      </w:pPr>
      <w:r w:rsidRPr="003A2822">
        <w:rPr>
          <w:rFonts w:cstheme="minorHAnsi"/>
          <w:lang w:val="en-US" w:bidi="en-US"/>
        </w:rPr>
        <w:t xml:space="preserve">The Program Administrator may reject your application based upon these assessments. </w:t>
      </w:r>
    </w:p>
    <w:p w14:paraId="4E9F8EE4" w14:textId="2911F3C1" w:rsidR="00CE02C3" w:rsidRPr="003A2822" w:rsidRDefault="00CE02C3" w:rsidP="00CE02C3">
      <w:pPr>
        <w:pStyle w:val="Heading2Numbered"/>
        <w:rPr>
          <w:sz w:val="24"/>
          <w:szCs w:val="24"/>
        </w:rPr>
      </w:pPr>
      <w:bookmarkStart w:id="22" w:name="_Toc88832363"/>
      <w:bookmarkStart w:id="23" w:name="_Hlk71790121"/>
      <w:r w:rsidRPr="003A2822">
        <w:rPr>
          <w:sz w:val="24"/>
          <w:szCs w:val="24"/>
        </w:rPr>
        <w:t>Length of operation</w:t>
      </w:r>
      <w:bookmarkEnd w:id="22"/>
    </w:p>
    <w:bookmarkEnd w:id="23"/>
    <w:p w14:paraId="582489D6" w14:textId="4D563FE2" w:rsidR="00CE02C3" w:rsidRPr="003A2822" w:rsidRDefault="00CE02C3" w:rsidP="00CE02C3">
      <w:pPr>
        <w:spacing w:before="120" w:after="120"/>
        <w:rPr>
          <w:rFonts w:eastAsia="Times New Roman" w:cstheme="minorHAnsi"/>
        </w:rPr>
      </w:pPr>
      <w:r w:rsidRPr="003A2822">
        <w:rPr>
          <w:rFonts w:eastAsia="Times New Roman" w:cstheme="minorHAnsi"/>
        </w:rPr>
        <w:t xml:space="preserve">To be eligible for the grant, your business must demonstrate involvement and operation within the industry as a registered CRICOS </w:t>
      </w:r>
      <w:r w:rsidR="009F7A44" w:rsidRPr="003A2822">
        <w:rPr>
          <w:rFonts w:eastAsia="Times New Roman" w:cstheme="minorHAnsi"/>
        </w:rPr>
        <w:t>provider before</w:t>
      </w:r>
      <w:r w:rsidRPr="003A2822">
        <w:rPr>
          <w:rFonts w:eastAsia="Times New Roman" w:cstheme="minorHAnsi"/>
        </w:rPr>
        <w:t xml:space="preserve"> border closures were announced on 19 May 2020.  </w:t>
      </w:r>
    </w:p>
    <w:p w14:paraId="47D68DC3" w14:textId="044EBB09" w:rsidR="00E54BB7" w:rsidRPr="003A2822" w:rsidRDefault="00CE02C3" w:rsidP="00E54BB7">
      <w:pPr>
        <w:spacing w:before="120" w:after="120"/>
        <w:rPr>
          <w:rFonts w:eastAsia="Times New Roman" w:cstheme="minorHAnsi"/>
        </w:rPr>
      </w:pPr>
      <w:r w:rsidRPr="003A2822">
        <w:rPr>
          <w:rFonts w:eastAsia="Times New Roman" w:cstheme="minorHAnsi"/>
        </w:rPr>
        <w:t xml:space="preserve">Your business must also be currently operating and registered as a CRICOS provider. </w:t>
      </w:r>
      <w:r w:rsidR="00143393" w:rsidRPr="003A2822">
        <w:rPr>
          <w:rFonts w:eastAsia="Times New Roman" w:cstheme="minorHAnsi"/>
        </w:rPr>
        <w:t>Providers in hibernation</w:t>
      </w:r>
      <w:r w:rsidR="00EE251A" w:rsidRPr="003A2822">
        <w:rPr>
          <w:rFonts w:eastAsia="Times New Roman" w:cstheme="minorHAnsi"/>
        </w:rPr>
        <w:t>/inactive</w:t>
      </w:r>
      <w:r w:rsidR="00136DE8" w:rsidRPr="003A2822">
        <w:rPr>
          <w:rFonts w:eastAsia="Times New Roman" w:cstheme="minorHAnsi"/>
        </w:rPr>
        <w:t>, or that closed, at any point in 2020 or 2021</w:t>
      </w:r>
      <w:r w:rsidR="00EE251A" w:rsidRPr="003A2822">
        <w:rPr>
          <w:rFonts w:eastAsia="Times New Roman" w:cstheme="minorHAnsi"/>
        </w:rPr>
        <w:t xml:space="preserve"> will not receive funding under this grant opportunity. </w:t>
      </w:r>
    </w:p>
    <w:p w14:paraId="6502B91E" w14:textId="2BDB367C" w:rsidR="00CE02C3" w:rsidRPr="003A2822" w:rsidRDefault="00CE02C3" w:rsidP="00CE02C3">
      <w:pPr>
        <w:pStyle w:val="Heading1Numbered"/>
        <w:rPr>
          <w:sz w:val="32"/>
          <w:szCs w:val="32"/>
        </w:rPr>
      </w:pPr>
      <w:bookmarkStart w:id="24" w:name="_Toc414983554"/>
      <w:bookmarkStart w:id="25" w:name="_Toc414983971"/>
      <w:bookmarkStart w:id="26" w:name="_Toc414984731"/>
      <w:bookmarkStart w:id="27" w:name="_Toc414984825"/>
      <w:bookmarkStart w:id="28" w:name="_Toc414984929"/>
      <w:bookmarkStart w:id="29" w:name="_Toc414985033"/>
      <w:bookmarkStart w:id="30" w:name="_Toc414985136"/>
      <w:bookmarkStart w:id="31" w:name="_Toc414985238"/>
      <w:bookmarkStart w:id="32" w:name="_Toc464643016"/>
      <w:bookmarkStart w:id="33" w:name="_Toc88832364"/>
      <w:bookmarkStart w:id="34" w:name="_Toc421777611"/>
      <w:bookmarkStart w:id="35" w:name="_Toc421777601"/>
      <w:bookmarkEnd w:id="20"/>
      <w:bookmarkEnd w:id="24"/>
      <w:bookmarkEnd w:id="25"/>
      <w:bookmarkEnd w:id="26"/>
      <w:bookmarkEnd w:id="27"/>
      <w:bookmarkEnd w:id="28"/>
      <w:bookmarkEnd w:id="29"/>
      <w:bookmarkEnd w:id="30"/>
      <w:bookmarkEnd w:id="31"/>
      <w:r w:rsidRPr="003A2822">
        <w:rPr>
          <w:sz w:val="32"/>
          <w:szCs w:val="32"/>
        </w:rPr>
        <w:t>How to apply</w:t>
      </w:r>
      <w:bookmarkEnd w:id="32"/>
      <w:bookmarkEnd w:id="33"/>
      <w:r w:rsidR="007D1D4F" w:rsidRPr="003A2822">
        <w:rPr>
          <w:sz w:val="32"/>
          <w:szCs w:val="32"/>
        </w:rPr>
        <w:t xml:space="preserve"> </w:t>
      </w:r>
    </w:p>
    <w:p w14:paraId="0E6A90D4" w14:textId="69B356B7" w:rsidR="00CE02C3" w:rsidRPr="003A2822" w:rsidRDefault="00CE02C3" w:rsidP="00BC0F26">
      <w:pPr>
        <w:pStyle w:val="Heading2Numbered"/>
        <w:numPr>
          <w:ilvl w:val="1"/>
          <w:numId w:val="19"/>
        </w:numPr>
        <w:spacing w:before="0"/>
        <w:rPr>
          <w:sz w:val="24"/>
          <w:szCs w:val="24"/>
        </w:rPr>
      </w:pPr>
      <w:bookmarkStart w:id="36" w:name="_Toc88832365"/>
      <w:r w:rsidRPr="003A2822">
        <w:rPr>
          <w:sz w:val="24"/>
          <w:szCs w:val="24"/>
        </w:rPr>
        <w:t>Application process</w:t>
      </w:r>
      <w:bookmarkEnd w:id="36"/>
    </w:p>
    <w:p w14:paraId="708EA00E" w14:textId="6E6F3139" w:rsidR="00CE02C3" w:rsidRPr="003A2822" w:rsidRDefault="00CE02C3" w:rsidP="00CE02C3">
      <w:pPr>
        <w:spacing w:before="120" w:after="120"/>
        <w:rPr>
          <w:rFonts w:cs="Arial"/>
        </w:rPr>
      </w:pPr>
      <w:r w:rsidRPr="003A2822">
        <w:rPr>
          <w:rFonts w:cs="Arial"/>
        </w:rPr>
        <w:t xml:space="preserve">Applications will open on </w:t>
      </w:r>
      <w:r w:rsidR="00243621">
        <w:rPr>
          <w:rFonts w:cs="Arial"/>
        </w:rPr>
        <w:t>4</w:t>
      </w:r>
      <w:r w:rsidR="00412DA9" w:rsidRPr="003A2822">
        <w:rPr>
          <w:rFonts w:cs="Arial"/>
        </w:rPr>
        <w:t xml:space="preserve"> January</w:t>
      </w:r>
      <w:r w:rsidRPr="003A2822">
        <w:rPr>
          <w:rFonts w:cs="Arial"/>
        </w:rPr>
        <w:t xml:space="preserve"> </w:t>
      </w:r>
      <w:r w:rsidR="00412DA9" w:rsidRPr="003A2822">
        <w:rPr>
          <w:rFonts w:cs="Arial"/>
        </w:rPr>
        <w:t>2022</w:t>
      </w:r>
      <w:r w:rsidRPr="003A2822">
        <w:rPr>
          <w:rFonts w:cs="Arial"/>
        </w:rPr>
        <w:t xml:space="preserve">. </w:t>
      </w:r>
    </w:p>
    <w:p w14:paraId="2A9F36AB" w14:textId="028F2D1B" w:rsidR="00CE02C3" w:rsidRPr="003A2822" w:rsidRDefault="00CE02C3" w:rsidP="00CE02C3">
      <w:pPr>
        <w:spacing w:before="120" w:after="120"/>
        <w:rPr>
          <w:rFonts w:cs="Arial"/>
        </w:rPr>
      </w:pPr>
      <w:r w:rsidRPr="003A2822">
        <w:rPr>
          <w:rFonts w:cs="Arial"/>
        </w:rPr>
        <w:t xml:space="preserve">You will have </w:t>
      </w:r>
      <w:r w:rsidR="00243621">
        <w:rPr>
          <w:rFonts w:cs="Arial"/>
        </w:rPr>
        <w:t>three</w:t>
      </w:r>
      <w:r w:rsidR="00412DA9" w:rsidRPr="003A2822">
        <w:rPr>
          <w:rFonts w:cs="Arial"/>
        </w:rPr>
        <w:t xml:space="preserve"> </w:t>
      </w:r>
      <w:r w:rsidRPr="003A2822">
        <w:rPr>
          <w:rFonts w:cs="Arial"/>
        </w:rPr>
        <w:t>(</w:t>
      </w:r>
      <w:r w:rsidR="00243621">
        <w:rPr>
          <w:rFonts w:cs="Arial"/>
        </w:rPr>
        <w:t>3</w:t>
      </w:r>
      <w:r w:rsidRPr="003A2822">
        <w:rPr>
          <w:rFonts w:cs="Arial"/>
        </w:rPr>
        <w:t xml:space="preserve">) weeks to submit your application. </w:t>
      </w:r>
    </w:p>
    <w:p w14:paraId="39010215" w14:textId="590A6611" w:rsidR="00CE02C3" w:rsidRPr="003A2822" w:rsidRDefault="00CE02C3" w:rsidP="00CE02C3">
      <w:pPr>
        <w:spacing w:before="120" w:after="120"/>
        <w:rPr>
          <w:rFonts w:cs="Arial"/>
        </w:rPr>
      </w:pPr>
      <w:r w:rsidRPr="003A2822">
        <w:rPr>
          <w:rFonts w:cs="Arial"/>
        </w:rPr>
        <w:t xml:space="preserve">You will need to apply to the Program Administrator addressing the criteria set out in Sections 3.1 and 3.2 within these guidelines by no later than 11:59pm AEST on </w:t>
      </w:r>
      <w:r w:rsidR="00F90D95" w:rsidRPr="003A2822">
        <w:rPr>
          <w:rFonts w:cs="Arial"/>
        </w:rPr>
        <w:t>2</w:t>
      </w:r>
      <w:r w:rsidR="003B2F1A" w:rsidRPr="003A2822">
        <w:rPr>
          <w:rFonts w:cs="Arial"/>
        </w:rPr>
        <w:t>8 January 2022</w:t>
      </w:r>
      <w:r w:rsidRPr="003A2822">
        <w:rPr>
          <w:rFonts w:cs="Arial"/>
        </w:rPr>
        <w:t xml:space="preserve">. </w:t>
      </w:r>
    </w:p>
    <w:p w14:paraId="76B9AFCD" w14:textId="77777777" w:rsidR="00CE02C3" w:rsidRPr="003A2822" w:rsidRDefault="00CE02C3" w:rsidP="00CE02C3">
      <w:pPr>
        <w:spacing w:before="120" w:after="120"/>
        <w:rPr>
          <w:rFonts w:cs="Arial"/>
        </w:rPr>
      </w:pPr>
      <w:r w:rsidRPr="003A2822">
        <w:rPr>
          <w:rFonts w:cs="Arial"/>
        </w:rPr>
        <w:t xml:space="preserve">Any questions specific to the application process are to be directed to the Program Administrator. </w:t>
      </w:r>
    </w:p>
    <w:p w14:paraId="09CDE4F6" w14:textId="370FAE9F" w:rsidR="00CE02C3" w:rsidRPr="003A2822" w:rsidRDefault="00CE02C3" w:rsidP="00CE02C3">
      <w:pPr>
        <w:pStyle w:val="Heading2Numbered"/>
        <w:numPr>
          <w:ilvl w:val="1"/>
          <w:numId w:val="19"/>
        </w:numPr>
        <w:rPr>
          <w:sz w:val="24"/>
          <w:szCs w:val="24"/>
        </w:rPr>
      </w:pPr>
      <w:bookmarkStart w:id="37" w:name="_Toc88832366"/>
      <w:r w:rsidRPr="003A2822">
        <w:rPr>
          <w:sz w:val="24"/>
          <w:szCs w:val="24"/>
        </w:rPr>
        <w:t>Documentation and attachments</w:t>
      </w:r>
      <w:bookmarkEnd w:id="37"/>
    </w:p>
    <w:p w14:paraId="09D4BCE9" w14:textId="694765DE" w:rsidR="00CE02C3" w:rsidRPr="003A2822" w:rsidRDefault="00CE02C3" w:rsidP="00CE02C3">
      <w:pPr>
        <w:spacing w:before="120" w:after="120"/>
        <w:rPr>
          <w:rFonts w:cs="Arial"/>
        </w:rPr>
      </w:pPr>
      <w:r w:rsidRPr="003A2822">
        <w:rPr>
          <w:rFonts w:cs="Arial"/>
        </w:rPr>
        <w:t>You will need to attach any supporting evidence to your application, including</w:t>
      </w:r>
      <w:r w:rsidR="005250D2" w:rsidRPr="003A2822">
        <w:rPr>
          <w:rFonts w:cs="Arial"/>
        </w:rPr>
        <w:t>, where applicable,</w:t>
      </w:r>
      <w:r w:rsidRPr="003A2822">
        <w:rPr>
          <w:rFonts w:cs="Arial"/>
        </w:rPr>
        <w:t xml:space="preserve"> financial statements</w:t>
      </w:r>
      <w:r w:rsidR="00000160" w:rsidRPr="003A2822">
        <w:rPr>
          <w:rFonts w:cs="Arial"/>
        </w:rPr>
        <w:t xml:space="preserve">, </w:t>
      </w:r>
      <w:r w:rsidR="0062493F" w:rsidRPr="003A2822">
        <w:rPr>
          <w:rFonts w:cs="Arial"/>
        </w:rPr>
        <w:t>tuition fee revenue reported</w:t>
      </w:r>
      <w:r w:rsidR="00000160" w:rsidRPr="003A2822">
        <w:rPr>
          <w:rFonts w:cs="Arial"/>
        </w:rPr>
        <w:t xml:space="preserve"> to the TPS,</w:t>
      </w:r>
      <w:r w:rsidR="005250D2" w:rsidRPr="003A2822">
        <w:rPr>
          <w:rFonts w:cs="Arial"/>
        </w:rPr>
        <w:t xml:space="preserve"> staff levels and</w:t>
      </w:r>
      <w:r w:rsidR="00000160" w:rsidRPr="003A2822">
        <w:rPr>
          <w:rFonts w:cs="Arial"/>
        </w:rPr>
        <w:t xml:space="preserve"> student enrolment</w:t>
      </w:r>
      <w:r w:rsidR="005250D2" w:rsidRPr="003A2822">
        <w:rPr>
          <w:rFonts w:cs="Arial"/>
        </w:rPr>
        <w:t>s</w:t>
      </w:r>
      <w:r w:rsidRPr="003A2822">
        <w:rPr>
          <w:rFonts w:cs="Arial"/>
        </w:rPr>
        <w:t xml:space="preserve">. </w:t>
      </w:r>
    </w:p>
    <w:p w14:paraId="415FE7A6" w14:textId="4E89E28C" w:rsidR="00CE02C3" w:rsidRPr="003A2822" w:rsidRDefault="00CE02C3" w:rsidP="00CE02C3">
      <w:pPr>
        <w:spacing w:before="120" w:after="120"/>
        <w:rPr>
          <w:rFonts w:cs="Arial"/>
        </w:rPr>
      </w:pPr>
      <w:r w:rsidRPr="003A2822">
        <w:rPr>
          <w:rFonts w:cs="Arial"/>
        </w:rPr>
        <w:t>The Program Administrator</w:t>
      </w:r>
      <w:r w:rsidR="00BC0F26" w:rsidRPr="003A2822">
        <w:rPr>
          <w:rFonts w:cs="Arial"/>
        </w:rPr>
        <w:t xml:space="preserve"> or the department</w:t>
      </w:r>
      <w:r w:rsidRPr="003A2822">
        <w:rPr>
          <w:rFonts w:cs="Arial"/>
        </w:rPr>
        <w:t xml:space="preserve"> may seek further clarification about the documentation and information provided as a part of your application.</w:t>
      </w:r>
    </w:p>
    <w:p w14:paraId="7DF9D7CA" w14:textId="355021CA" w:rsidR="00CE02C3" w:rsidRPr="003A2822" w:rsidRDefault="00CE02C3" w:rsidP="00CE02C3">
      <w:pPr>
        <w:pStyle w:val="Heading2Numbered"/>
        <w:numPr>
          <w:ilvl w:val="1"/>
          <w:numId w:val="19"/>
        </w:numPr>
        <w:rPr>
          <w:sz w:val="24"/>
          <w:szCs w:val="24"/>
        </w:rPr>
      </w:pPr>
      <w:bookmarkStart w:id="38" w:name="_Toc88832367"/>
      <w:bookmarkStart w:id="39" w:name="_Hlk71790212"/>
      <w:r w:rsidRPr="003A2822">
        <w:rPr>
          <w:sz w:val="24"/>
          <w:szCs w:val="24"/>
        </w:rPr>
        <w:t>Grant Assessment</w:t>
      </w:r>
      <w:bookmarkEnd w:id="38"/>
      <w:r w:rsidRPr="003A2822">
        <w:rPr>
          <w:sz w:val="24"/>
          <w:szCs w:val="24"/>
        </w:rPr>
        <w:t xml:space="preserve"> </w:t>
      </w:r>
    </w:p>
    <w:bookmarkEnd w:id="39"/>
    <w:p w14:paraId="7BC4BB61" w14:textId="6B97A33D" w:rsidR="00CE02C3" w:rsidRPr="003A2822" w:rsidRDefault="00CE02C3" w:rsidP="00CE02C3">
      <w:pPr>
        <w:spacing w:before="120" w:after="120"/>
      </w:pPr>
      <w:r w:rsidRPr="003A2822">
        <w:t>The Program Administrator will assess each application against the criteria outlined in Section 3.</w:t>
      </w:r>
    </w:p>
    <w:p w14:paraId="1558771E" w14:textId="7E85C47E" w:rsidR="007D1D4F" w:rsidRPr="003A2822" w:rsidRDefault="00CE02C3" w:rsidP="007C6036">
      <w:pPr>
        <w:pStyle w:val="Heading1Numbered"/>
        <w:rPr>
          <w:sz w:val="32"/>
          <w:szCs w:val="32"/>
        </w:rPr>
      </w:pPr>
      <w:bookmarkStart w:id="40" w:name="_Toc88832368"/>
      <w:bookmarkStart w:id="41" w:name="_Toc421777622"/>
      <w:bookmarkStart w:id="42" w:name="_Toc433641183"/>
      <w:bookmarkEnd w:id="34"/>
      <w:bookmarkEnd w:id="35"/>
      <w:r w:rsidRPr="003A2822">
        <w:rPr>
          <w:sz w:val="32"/>
          <w:szCs w:val="32"/>
        </w:rPr>
        <w:t>Grant timeframe</w:t>
      </w:r>
      <w:bookmarkEnd w:id="40"/>
    </w:p>
    <w:p w14:paraId="6D35DEF9" w14:textId="7A4CCD65" w:rsidR="00CE02C3" w:rsidRPr="003A2822" w:rsidRDefault="00CE02C3" w:rsidP="00CE02C3">
      <w:pPr>
        <w:spacing w:before="120" w:after="120"/>
        <w:rPr>
          <w:rFonts w:cs="Arial"/>
        </w:rPr>
      </w:pPr>
      <w:r w:rsidRPr="003A2822">
        <w:rPr>
          <w:rFonts w:cs="Arial"/>
        </w:rPr>
        <w:t xml:space="preserve">The grant will be delivered </w:t>
      </w:r>
      <w:r w:rsidR="00412DA9" w:rsidRPr="003A2822">
        <w:rPr>
          <w:rFonts w:cs="Arial"/>
        </w:rPr>
        <w:t xml:space="preserve">in </w:t>
      </w:r>
      <w:r w:rsidRPr="003A2822">
        <w:rPr>
          <w:rFonts w:cs="Arial"/>
        </w:rPr>
        <w:t xml:space="preserve">the 2021-22 financial year, with funds being distributed from </w:t>
      </w:r>
      <w:r w:rsidR="001A1755" w:rsidRPr="003A2822">
        <w:rPr>
          <w:rFonts w:cs="Arial"/>
        </w:rPr>
        <w:t>11 February 2022</w:t>
      </w:r>
      <w:r w:rsidRPr="003A2822">
        <w:rPr>
          <w:rFonts w:cs="Arial"/>
        </w:rPr>
        <w:t xml:space="preserve">. </w:t>
      </w:r>
    </w:p>
    <w:p w14:paraId="46B7F682" w14:textId="6DC04786" w:rsidR="00CE02C3" w:rsidRPr="003A2822" w:rsidRDefault="00CE02C3" w:rsidP="00CE02C3">
      <w:pPr>
        <w:spacing w:before="120" w:after="120"/>
        <w:rPr>
          <w:rFonts w:cs="Arial"/>
        </w:rPr>
      </w:pPr>
      <w:r w:rsidRPr="003A2822">
        <w:rPr>
          <w:rFonts w:cs="Arial"/>
        </w:rPr>
        <w:t xml:space="preserve">The application period will run from </w:t>
      </w:r>
      <w:r w:rsidR="008B30B3">
        <w:rPr>
          <w:rFonts w:cs="Arial"/>
        </w:rPr>
        <w:t>4</w:t>
      </w:r>
      <w:r w:rsidR="00412DA9" w:rsidRPr="003A2822">
        <w:rPr>
          <w:rFonts w:cs="Arial"/>
        </w:rPr>
        <w:t xml:space="preserve"> January 2022</w:t>
      </w:r>
      <w:r w:rsidRPr="003A2822">
        <w:rPr>
          <w:rFonts w:cs="Arial"/>
        </w:rPr>
        <w:t xml:space="preserve"> until </w:t>
      </w:r>
      <w:r w:rsidR="005250D2" w:rsidRPr="003A2822">
        <w:rPr>
          <w:rFonts w:cs="Arial"/>
        </w:rPr>
        <w:t>28 January 2022</w:t>
      </w:r>
      <w:r w:rsidRPr="003A2822">
        <w:rPr>
          <w:rFonts w:cs="Arial"/>
        </w:rPr>
        <w:t xml:space="preserve"> (</w:t>
      </w:r>
      <w:r w:rsidR="003D4923">
        <w:rPr>
          <w:rFonts w:cs="Arial"/>
        </w:rPr>
        <w:t>three</w:t>
      </w:r>
      <w:r w:rsidR="00412DA9" w:rsidRPr="003A2822">
        <w:rPr>
          <w:rFonts w:cs="Arial"/>
        </w:rPr>
        <w:t xml:space="preserve"> </w:t>
      </w:r>
      <w:r w:rsidRPr="003A2822">
        <w:rPr>
          <w:rFonts w:cs="Arial"/>
        </w:rPr>
        <w:t xml:space="preserve">weeks). </w:t>
      </w:r>
    </w:p>
    <w:p w14:paraId="6CD011A1" w14:textId="0484C2BD" w:rsidR="00CE02C3" w:rsidRPr="003A2822" w:rsidRDefault="00CE02C3" w:rsidP="00CE02C3">
      <w:pPr>
        <w:spacing w:before="120" w:after="120"/>
        <w:rPr>
          <w:rFonts w:cs="Arial"/>
        </w:rPr>
      </w:pPr>
      <w:r w:rsidRPr="003A2822">
        <w:rPr>
          <w:rFonts w:cs="Arial"/>
        </w:rPr>
        <w:t>You must submit the application</w:t>
      </w:r>
      <w:r w:rsidRPr="003A2822" w:rsidDel="00014416">
        <w:rPr>
          <w:rFonts w:cs="Arial"/>
        </w:rPr>
        <w:t xml:space="preserve"> </w:t>
      </w:r>
      <w:r w:rsidRPr="003A2822">
        <w:rPr>
          <w:rFonts w:cs="Arial"/>
        </w:rPr>
        <w:t xml:space="preserve">before the closing date, </w:t>
      </w:r>
      <w:r w:rsidRPr="003A2822">
        <w:t xml:space="preserve">by 11:59PM AEST on </w:t>
      </w:r>
      <w:r w:rsidR="005250D2" w:rsidRPr="003A2822">
        <w:t>28 January 2022</w:t>
      </w:r>
      <w:r w:rsidR="008B30B3">
        <w:t>.</w:t>
      </w:r>
      <w:r w:rsidRPr="003A2822">
        <w:rPr>
          <w:rFonts w:cs="Arial"/>
        </w:rPr>
        <w:t xml:space="preserve"> </w:t>
      </w:r>
    </w:p>
    <w:p w14:paraId="0C96E4D5" w14:textId="62EA6573" w:rsidR="00CE02C3" w:rsidRPr="003A2822" w:rsidRDefault="00CE02C3" w:rsidP="00CE02C3">
      <w:pPr>
        <w:pStyle w:val="Heading2Numbered"/>
        <w:numPr>
          <w:ilvl w:val="1"/>
          <w:numId w:val="19"/>
        </w:numPr>
        <w:rPr>
          <w:sz w:val="24"/>
          <w:szCs w:val="24"/>
        </w:rPr>
      </w:pPr>
      <w:bookmarkStart w:id="43" w:name="_Toc88832369"/>
      <w:r w:rsidRPr="003A2822">
        <w:rPr>
          <w:sz w:val="24"/>
          <w:szCs w:val="24"/>
        </w:rPr>
        <w:t>Late applications</w:t>
      </w:r>
      <w:bookmarkEnd w:id="43"/>
      <w:r w:rsidRPr="003A2822">
        <w:rPr>
          <w:sz w:val="24"/>
          <w:szCs w:val="24"/>
        </w:rPr>
        <w:t xml:space="preserve"> </w:t>
      </w:r>
    </w:p>
    <w:p w14:paraId="3D5457E9" w14:textId="09DB5BE7" w:rsidR="00636C72" w:rsidRPr="003A2822" w:rsidRDefault="001213FD" w:rsidP="00636C72">
      <w:pPr>
        <w:spacing w:before="120" w:after="120"/>
        <w:rPr>
          <w:rFonts w:cs="Arial"/>
        </w:rPr>
      </w:pPr>
      <w:r w:rsidRPr="003A2822">
        <w:rPr>
          <w:rFonts w:cs="Arial"/>
        </w:rPr>
        <w:t xml:space="preserve">The Program Administrator will not accept late applications unless the applicant has experienced exceptional circumstances that prevent the submission of the application. Broadly, exceptional circumstances are events characterised by one or more of the </w:t>
      </w:r>
      <w:r w:rsidR="00B102C2" w:rsidRPr="003A2822">
        <w:rPr>
          <w:rFonts w:cs="Arial"/>
        </w:rPr>
        <w:t xml:space="preserve">following: </w:t>
      </w:r>
    </w:p>
    <w:p w14:paraId="0BC0700E" w14:textId="624CF4B3" w:rsidR="001213FD" w:rsidRPr="003A2822" w:rsidRDefault="00B102C2" w:rsidP="00733DA1">
      <w:pPr>
        <w:pStyle w:val="ListParagraph"/>
        <w:numPr>
          <w:ilvl w:val="0"/>
          <w:numId w:val="20"/>
        </w:numPr>
        <w:spacing w:before="120" w:after="120"/>
        <w:rPr>
          <w:rFonts w:asciiTheme="minorHAnsi" w:hAnsiTheme="minorHAnsi" w:cstheme="minorHAnsi"/>
        </w:rPr>
      </w:pPr>
      <w:r w:rsidRPr="003A2822">
        <w:rPr>
          <w:rFonts w:asciiTheme="minorHAnsi" w:hAnsiTheme="minorHAnsi" w:cstheme="minorHAnsi"/>
        </w:rPr>
        <w:t>reasonably</w:t>
      </w:r>
      <w:r w:rsidR="001213FD" w:rsidRPr="003A2822">
        <w:rPr>
          <w:rFonts w:asciiTheme="minorHAnsi" w:hAnsiTheme="minorHAnsi" w:cstheme="minorHAnsi"/>
        </w:rPr>
        <w:t xml:space="preserve"> unforeseeable</w:t>
      </w:r>
    </w:p>
    <w:p w14:paraId="7D7CF1A2" w14:textId="1A09F83F" w:rsidR="001213FD" w:rsidRPr="003A2822" w:rsidRDefault="001213FD" w:rsidP="00636C72">
      <w:pPr>
        <w:pStyle w:val="ListParagraph"/>
        <w:numPr>
          <w:ilvl w:val="0"/>
          <w:numId w:val="20"/>
        </w:numPr>
        <w:spacing w:before="120" w:after="120"/>
        <w:rPr>
          <w:rFonts w:asciiTheme="minorHAnsi" w:hAnsiTheme="minorHAnsi" w:cstheme="minorHAnsi"/>
        </w:rPr>
      </w:pPr>
      <w:r w:rsidRPr="003A2822">
        <w:rPr>
          <w:rFonts w:asciiTheme="minorHAnsi" w:hAnsiTheme="minorHAnsi" w:cstheme="minorHAnsi"/>
        </w:rPr>
        <w:t>be</w:t>
      </w:r>
      <w:r w:rsidR="00F41810" w:rsidRPr="003A2822">
        <w:rPr>
          <w:rFonts w:asciiTheme="minorHAnsi" w:hAnsiTheme="minorHAnsi" w:cstheme="minorHAnsi"/>
        </w:rPr>
        <w:t>yond the applicant’s control</w:t>
      </w:r>
    </w:p>
    <w:p w14:paraId="0B854A3A" w14:textId="0EBEE9D1" w:rsidR="00F41810" w:rsidRPr="003A2822" w:rsidRDefault="00F41810" w:rsidP="00636C72">
      <w:pPr>
        <w:pStyle w:val="ListParagraph"/>
        <w:numPr>
          <w:ilvl w:val="0"/>
          <w:numId w:val="20"/>
        </w:numPr>
        <w:spacing w:before="120" w:after="120"/>
        <w:rPr>
          <w:rFonts w:asciiTheme="minorHAnsi" w:hAnsiTheme="minorHAnsi" w:cstheme="minorHAnsi"/>
        </w:rPr>
      </w:pPr>
      <w:r w:rsidRPr="003A2822">
        <w:rPr>
          <w:rFonts w:asciiTheme="minorHAnsi" w:hAnsiTheme="minorHAnsi" w:cstheme="minorHAnsi"/>
        </w:rPr>
        <w:t xml:space="preserve">unable to be managed or resolved within the application period. </w:t>
      </w:r>
    </w:p>
    <w:p w14:paraId="1F1AC74D" w14:textId="5B6A0D21" w:rsidR="00CE02C3" w:rsidRDefault="00F41810" w:rsidP="00733DA1">
      <w:pPr>
        <w:spacing w:before="120" w:after="120"/>
        <w:rPr>
          <w:rFonts w:cstheme="minorHAnsi"/>
        </w:rPr>
      </w:pPr>
      <w:r w:rsidRPr="003A2822">
        <w:rPr>
          <w:rFonts w:cstheme="minorHAnsi"/>
        </w:rPr>
        <w:t xml:space="preserve">The Program Administrator will consider </w:t>
      </w:r>
      <w:r w:rsidR="00A34031" w:rsidRPr="003A2822">
        <w:rPr>
          <w:rFonts w:cstheme="minorHAnsi"/>
        </w:rPr>
        <w:t>exceptional</w:t>
      </w:r>
      <w:r w:rsidRPr="003A2822">
        <w:rPr>
          <w:rFonts w:cstheme="minorHAnsi"/>
        </w:rPr>
        <w:t xml:space="preserve"> circumstances on </w:t>
      </w:r>
      <w:r w:rsidR="0089286A" w:rsidRPr="003A2822">
        <w:rPr>
          <w:rFonts w:cstheme="minorHAnsi"/>
        </w:rPr>
        <w:t>a case-by-case basis</w:t>
      </w:r>
      <w:r w:rsidR="00A34031" w:rsidRPr="003A2822">
        <w:rPr>
          <w:rFonts w:cstheme="minorHAnsi"/>
        </w:rPr>
        <w:t xml:space="preserve">. </w:t>
      </w:r>
      <w:r w:rsidR="007E4D87" w:rsidRPr="003A2822">
        <w:rPr>
          <w:rFonts w:cstheme="minorHAnsi"/>
        </w:rPr>
        <w:t>Providers that wish to submit a late application are required to submit a request to the Program Administrator within 72 hours of the closure of the grant opportunity</w:t>
      </w:r>
      <w:r w:rsidR="0089286A" w:rsidRPr="003A2822">
        <w:rPr>
          <w:rFonts w:cstheme="minorHAnsi"/>
        </w:rPr>
        <w:t xml:space="preserve"> or a late application will not be considered</w:t>
      </w:r>
      <w:r w:rsidR="007E4D87" w:rsidRPr="003A2822">
        <w:rPr>
          <w:rFonts w:cstheme="minorHAnsi"/>
        </w:rPr>
        <w:t xml:space="preserve">. </w:t>
      </w:r>
    </w:p>
    <w:p w14:paraId="5B820D5F" w14:textId="12B280A5" w:rsidR="005C6711" w:rsidRPr="005C6711" w:rsidRDefault="005C6711" w:rsidP="005C6711">
      <w:pPr>
        <w:suppressAutoHyphens w:val="0"/>
        <w:spacing w:before="0" w:after="120" w:line="440" w:lineRule="atLeast"/>
        <w:rPr>
          <w:rFonts w:cstheme="minorHAnsi"/>
        </w:rPr>
      </w:pPr>
      <w:r>
        <w:rPr>
          <w:rFonts w:cstheme="minorHAnsi"/>
        </w:rPr>
        <w:br w:type="page"/>
      </w:r>
    </w:p>
    <w:p w14:paraId="76AAD614" w14:textId="3F1A1D5C" w:rsidR="00E54BB7" w:rsidRPr="003A2822" w:rsidRDefault="00CE02C3" w:rsidP="00E54BB7">
      <w:pPr>
        <w:pStyle w:val="Heading2Numbered"/>
        <w:numPr>
          <w:ilvl w:val="1"/>
          <w:numId w:val="19"/>
        </w:numPr>
        <w:rPr>
          <w:sz w:val="24"/>
          <w:szCs w:val="24"/>
        </w:rPr>
      </w:pPr>
      <w:bookmarkStart w:id="44" w:name="_Hlk71790315"/>
      <w:bookmarkStart w:id="45" w:name="_Toc88832370"/>
      <w:r w:rsidRPr="003A2822">
        <w:rPr>
          <w:sz w:val="24"/>
          <w:szCs w:val="24"/>
        </w:rPr>
        <w:t>Expected timeframe</w:t>
      </w:r>
      <w:bookmarkEnd w:id="44"/>
      <w:bookmarkEnd w:id="45"/>
    </w:p>
    <w:p w14:paraId="1244F96B" w14:textId="7010B122" w:rsidR="00CE02C3" w:rsidRPr="003A2822" w:rsidRDefault="00CE02C3" w:rsidP="00CE02C3">
      <w:pPr>
        <w:spacing w:before="120" w:after="120"/>
      </w:pPr>
      <w:r w:rsidRPr="003A2822">
        <w:t>Table 1: Expected timing for this grant opportunity</w:t>
      </w:r>
    </w:p>
    <w:tbl>
      <w:tblPr>
        <w:tblStyle w:val="TableGridLight1"/>
        <w:tblW w:w="9056" w:type="dxa"/>
        <w:tblLook w:val="0660" w:firstRow="1" w:lastRow="1" w:firstColumn="0" w:lastColumn="0" w:noHBand="1" w:noVBand="1"/>
        <w:tblCaption w:val="Expected timing for this grant opportunity"/>
      </w:tblPr>
      <w:tblGrid>
        <w:gridCol w:w="4310"/>
        <w:gridCol w:w="4746"/>
      </w:tblGrid>
      <w:tr w:rsidR="00CE02C3" w:rsidRPr="003A2822" w14:paraId="13896043" w14:textId="77777777" w:rsidTr="00E54BB7">
        <w:trPr>
          <w:cantSplit/>
          <w:trHeight w:val="434"/>
          <w:tblHeader/>
        </w:trPr>
        <w:tc>
          <w:tcPr>
            <w:tcW w:w="4310" w:type="dxa"/>
            <w:shd w:val="clear" w:color="auto" w:fill="264F90"/>
          </w:tcPr>
          <w:p w14:paraId="10665AE6" w14:textId="77777777" w:rsidR="00CE02C3" w:rsidRPr="003A2822" w:rsidRDefault="00CE02C3" w:rsidP="00CE02C3">
            <w:pPr>
              <w:suppressAutoHyphens w:val="0"/>
              <w:spacing w:before="60" w:after="200" w:line="276" w:lineRule="auto"/>
              <w:rPr>
                <w:rFonts w:eastAsia="Calibri"/>
                <w:b/>
                <w:iCs/>
                <w:color w:val="FFFFFF"/>
              </w:rPr>
            </w:pPr>
            <w:bookmarkStart w:id="46" w:name="_Hlk71729292"/>
            <w:r w:rsidRPr="003A2822">
              <w:rPr>
                <w:rFonts w:eastAsia="Calibri"/>
                <w:b/>
                <w:iCs/>
                <w:color w:val="FFFFFF"/>
              </w:rPr>
              <w:t>Activity</w:t>
            </w:r>
          </w:p>
        </w:tc>
        <w:tc>
          <w:tcPr>
            <w:tcW w:w="4746" w:type="dxa"/>
            <w:shd w:val="clear" w:color="auto" w:fill="264F90"/>
          </w:tcPr>
          <w:p w14:paraId="41B9E4C0" w14:textId="77777777" w:rsidR="00CE02C3" w:rsidRPr="003A2822" w:rsidRDefault="00CE02C3" w:rsidP="00CE02C3">
            <w:pPr>
              <w:suppressAutoHyphens w:val="0"/>
              <w:spacing w:before="60" w:after="200" w:line="276" w:lineRule="auto"/>
              <w:rPr>
                <w:rFonts w:eastAsia="Calibri"/>
                <w:b/>
                <w:iCs/>
                <w:color w:val="FFFFFF"/>
              </w:rPr>
            </w:pPr>
            <w:r w:rsidRPr="003A2822">
              <w:rPr>
                <w:rFonts w:eastAsia="Calibri"/>
                <w:b/>
                <w:iCs/>
                <w:color w:val="FFFFFF"/>
              </w:rPr>
              <w:t>Timeframe</w:t>
            </w:r>
          </w:p>
        </w:tc>
      </w:tr>
      <w:tr w:rsidR="00CE02C3" w:rsidRPr="003A2822" w14:paraId="20B6A13D" w14:textId="77777777" w:rsidTr="00E54BB7">
        <w:trPr>
          <w:cantSplit/>
          <w:trHeight w:val="419"/>
        </w:trPr>
        <w:tc>
          <w:tcPr>
            <w:tcW w:w="4310" w:type="dxa"/>
          </w:tcPr>
          <w:p w14:paraId="183E9AE5" w14:textId="77777777" w:rsidR="00CE02C3" w:rsidRPr="003A2822" w:rsidRDefault="00CE02C3" w:rsidP="00CE02C3">
            <w:pPr>
              <w:suppressAutoHyphens w:val="0"/>
              <w:spacing w:before="60" w:after="200" w:line="276" w:lineRule="auto"/>
              <w:rPr>
                <w:rFonts w:eastAsia="Calibri"/>
                <w:iCs/>
              </w:rPr>
            </w:pPr>
            <w:r w:rsidRPr="003A2822">
              <w:rPr>
                <w:rFonts w:eastAsia="Calibri"/>
                <w:iCs/>
              </w:rPr>
              <w:t xml:space="preserve">Application process opens </w:t>
            </w:r>
          </w:p>
        </w:tc>
        <w:tc>
          <w:tcPr>
            <w:tcW w:w="4746" w:type="dxa"/>
          </w:tcPr>
          <w:p w14:paraId="34C911A4" w14:textId="4E46C951" w:rsidR="00CE02C3" w:rsidRPr="003A2822" w:rsidRDefault="003D4923" w:rsidP="00CE02C3">
            <w:pPr>
              <w:suppressAutoHyphens w:val="0"/>
              <w:spacing w:before="60" w:after="200" w:line="276" w:lineRule="auto"/>
              <w:rPr>
                <w:rFonts w:eastAsia="Calibri"/>
                <w:iCs/>
              </w:rPr>
            </w:pPr>
            <w:r>
              <w:rPr>
                <w:rFonts w:eastAsia="Calibri"/>
                <w:iCs/>
              </w:rPr>
              <w:t>4</w:t>
            </w:r>
            <w:r w:rsidR="0089286A" w:rsidRPr="003A2822">
              <w:rPr>
                <w:rFonts w:eastAsia="Calibri"/>
                <w:iCs/>
              </w:rPr>
              <w:t xml:space="preserve"> January 2022</w:t>
            </w:r>
          </w:p>
        </w:tc>
      </w:tr>
      <w:tr w:rsidR="00CE02C3" w:rsidRPr="003A2822" w14:paraId="18B35A25" w14:textId="77777777" w:rsidTr="00E54BB7">
        <w:trPr>
          <w:cantSplit/>
          <w:trHeight w:val="434"/>
        </w:trPr>
        <w:tc>
          <w:tcPr>
            <w:tcW w:w="4310" w:type="dxa"/>
          </w:tcPr>
          <w:p w14:paraId="195460C7" w14:textId="77777777" w:rsidR="00CE02C3" w:rsidRPr="003A2822" w:rsidRDefault="00CE02C3" w:rsidP="00CE02C3">
            <w:pPr>
              <w:suppressAutoHyphens w:val="0"/>
              <w:spacing w:before="60" w:after="200" w:line="276" w:lineRule="auto"/>
              <w:rPr>
                <w:rFonts w:eastAsia="Calibri"/>
                <w:iCs/>
              </w:rPr>
            </w:pPr>
            <w:r w:rsidRPr="003A2822">
              <w:rPr>
                <w:rFonts w:eastAsia="Calibri"/>
                <w:iCs/>
              </w:rPr>
              <w:t>Applications process closes</w:t>
            </w:r>
          </w:p>
        </w:tc>
        <w:tc>
          <w:tcPr>
            <w:tcW w:w="4746" w:type="dxa"/>
          </w:tcPr>
          <w:p w14:paraId="55116DEF" w14:textId="37FA4D11" w:rsidR="00CE02C3" w:rsidRPr="003A2822" w:rsidDel="00A524E6" w:rsidRDefault="0089286A" w:rsidP="00CE02C3">
            <w:pPr>
              <w:suppressAutoHyphens w:val="0"/>
              <w:spacing w:before="60" w:after="200" w:line="276" w:lineRule="auto"/>
              <w:rPr>
                <w:rFonts w:eastAsia="Calibri"/>
                <w:iCs/>
              </w:rPr>
            </w:pPr>
            <w:r w:rsidRPr="003A2822">
              <w:rPr>
                <w:rFonts w:eastAsia="Calibri"/>
                <w:iCs/>
              </w:rPr>
              <w:t>28 January 2022</w:t>
            </w:r>
          </w:p>
        </w:tc>
      </w:tr>
      <w:tr w:rsidR="00CE02C3" w:rsidRPr="003A2822" w14:paraId="79165ABF" w14:textId="77777777" w:rsidTr="00E54BB7">
        <w:trPr>
          <w:cantSplit/>
          <w:trHeight w:val="419"/>
        </w:trPr>
        <w:tc>
          <w:tcPr>
            <w:tcW w:w="4310" w:type="dxa"/>
          </w:tcPr>
          <w:p w14:paraId="3395FBA2" w14:textId="77777777" w:rsidR="00CE02C3" w:rsidRPr="003A2822" w:rsidRDefault="00CE02C3" w:rsidP="00CE02C3">
            <w:pPr>
              <w:suppressAutoHyphens w:val="0"/>
              <w:spacing w:before="60" w:after="200" w:line="276" w:lineRule="auto"/>
              <w:rPr>
                <w:rFonts w:eastAsia="Calibri"/>
                <w:iCs/>
              </w:rPr>
            </w:pPr>
            <w:r w:rsidRPr="003A2822">
              <w:rPr>
                <w:rFonts w:eastAsia="Calibri"/>
                <w:iCs/>
              </w:rPr>
              <w:t>Assessment of applications</w:t>
            </w:r>
          </w:p>
        </w:tc>
        <w:tc>
          <w:tcPr>
            <w:tcW w:w="4746" w:type="dxa"/>
          </w:tcPr>
          <w:p w14:paraId="1BE3468D" w14:textId="0D1A1C1F" w:rsidR="00CE02C3" w:rsidRPr="003A2822" w:rsidRDefault="00CE02C3" w:rsidP="00CE02C3">
            <w:pPr>
              <w:suppressAutoHyphens w:val="0"/>
              <w:spacing w:before="60" w:after="200" w:line="276" w:lineRule="auto"/>
              <w:rPr>
                <w:rFonts w:eastAsia="Calibri"/>
                <w:iCs/>
              </w:rPr>
            </w:pPr>
            <w:r w:rsidRPr="003A2822">
              <w:rPr>
                <w:rFonts w:eastAsia="Calibri"/>
                <w:iCs/>
              </w:rPr>
              <w:t xml:space="preserve">Completed by </w:t>
            </w:r>
            <w:r w:rsidR="004F0D41" w:rsidRPr="003A2822">
              <w:rPr>
                <w:rFonts w:eastAsia="Calibri"/>
                <w:iCs/>
              </w:rPr>
              <w:t>4 February 2022</w:t>
            </w:r>
          </w:p>
        </w:tc>
      </w:tr>
      <w:tr w:rsidR="00CE02C3" w:rsidRPr="003A2822" w14:paraId="17F4D20F" w14:textId="77777777" w:rsidTr="00E54BB7">
        <w:trPr>
          <w:cantSplit/>
          <w:trHeight w:val="434"/>
        </w:trPr>
        <w:tc>
          <w:tcPr>
            <w:tcW w:w="4310" w:type="dxa"/>
          </w:tcPr>
          <w:p w14:paraId="69A4552F" w14:textId="77777777" w:rsidR="00CE02C3" w:rsidRPr="003A2822" w:rsidRDefault="00CE02C3" w:rsidP="00CE02C3">
            <w:pPr>
              <w:suppressAutoHyphens w:val="0"/>
              <w:spacing w:before="60" w:after="200" w:line="276" w:lineRule="auto"/>
              <w:rPr>
                <w:rFonts w:eastAsia="Calibri"/>
                <w:iCs/>
              </w:rPr>
            </w:pPr>
            <w:r w:rsidRPr="003A2822">
              <w:rPr>
                <w:rFonts w:eastAsia="Calibri"/>
                <w:iCs/>
              </w:rPr>
              <w:t>Advice to applicants</w:t>
            </w:r>
          </w:p>
        </w:tc>
        <w:tc>
          <w:tcPr>
            <w:tcW w:w="4746" w:type="dxa"/>
          </w:tcPr>
          <w:p w14:paraId="6064D965" w14:textId="2C79BD0D" w:rsidR="00CE02C3" w:rsidRPr="003A2822" w:rsidRDefault="006F62B1" w:rsidP="00CE02C3">
            <w:pPr>
              <w:suppressAutoHyphens w:val="0"/>
              <w:spacing w:before="60" w:after="200" w:line="276" w:lineRule="auto"/>
              <w:rPr>
                <w:rFonts w:eastAsia="Calibri"/>
                <w:iCs/>
              </w:rPr>
            </w:pPr>
            <w:r w:rsidRPr="003A2822">
              <w:rPr>
                <w:rFonts w:eastAsia="Calibri"/>
                <w:iCs/>
              </w:rPr>
              <w:t xml:space="preserve">From </w:t>
            </w:r>
            <w:r w:rsidR="004F0D41" w:rsidRPr="003A2822">
              <w:rPr>
                <w:rFonts w:eastAsia="Calibri"/>
                <w:iCs/>
              </w:rPr>
              <w:t>7 February</w:t>
            </w:r>
            <w:r w:rsidR="003D4923">
              <w:rPr>
                <w:rFonts w:eastAsia="Calibri"/>
                <w:iCs/>
              </w:rPr>
              <w:t xml:space="preserve"> 2022</w:t>
            </w:r>
          </w:p>
        </w:tc>
      </w:tr>
      <w:tr w:rsidR="00CE02C3" w:rsidRPr="003A2822" w14:paraId="3BD5C4AD" w14:textId="77777777" w:rsidTr="00E54BB7">
        <w:trPr>
          <w:cantSplit/>
          <w:trHeight w:val="419"/>
        </w:trPr>
        <w:tc>
          <w:tcPr>
            <w:tcW w:w="4310" w:type="dxa"/>
          </w:tcPr>
          <w:p w14:paraId="262B3F2D" w14:textId="77777777" w:rsidR="00CE02C3" w:rsidRPr="003A2822" w:rsidRDefault="00CE02C3" w:rsidP="00CE02C3">
            <w:pPr>
              <w:suppressAutoHyphens w:val="0"/>
              <w:spacing w:before="60" w:after="200" w:line="276" w:lineRule="auto"/>
              <w:rPr>
                <w:rFonts w:eastAsia="Calibri"/>
                <w:iCs/>
              </w:rPr>
            </w:pPr>
            <w:r w:rsidRPr="003A2822">
              <w:rPr>
                <w:rFonts w:eastAsia="Calibri"/>
                <w:iCs/>
              </w:rPr>
              <w:t>Grant payments made</w:t>
            </w:r>
          </w:p>
        </w:tc>
        <w:tc>
          <w:tcPr>
            <w:tcW w:w="4746" w:type="dxa"/>
          </w:tcPr>
          <w:p w14:paraId="64235DE3" w14:textId="667260F6" w:rsidR="00CE02C3" w:rsidRPr="003A2822" w:rsidRDefault="00CE02C3" w:rsidP="00CE02C3">
            <w:pPr>
              <w:suppressAutoHyphens w:val="0"/>
              <w:spacing w:before="60" w:after="200" w:line="276" w:lineRule="auto"/>
              <w:rPr>
                <w:rFonts w:eastAsia="Calibri"/>
                <w:iCs/>
              </w:rPr>
            </w:pPr>
            <w:r w:rsidRPr="003A2822">
              <w:rPr>
                <w:rFonts w:eastAsia="Calibri"/>
                <w:iCs/>
              </w:rPr>
              <w:t xml:space="preserve">From </w:t>
            </w:r>
            <w:r w:rsidR="00D879BF" w:rsidRPr="003A2822">
              <w:rPr>
                <w:rFonts w:eastAsia="Calibri"/>
                <w:iCs/>
              </w:rPr>
              <w:t>11 February</w:t>
            </w:r>
            <w:r w:rsidR="003D4923">
              <w:rPr>
                <w:rFonts w:eastAsia="Calibri"/>
                <w:iCs/>
              </w:rPr>
              <w:t xml:space="preserve"> 2022</w:t>
            </w:r>
            <w:r w:rsidR="006F62B1" w:rsidRPr="003A2822">
              <w:rPr>
                <w:rFonts w:eastAsia="Calibri"/>
                <w:iCs/>
              </w:rPr>
              <w:t xml:space="preserve"> (or when agreement is </w:t>
            </w:r>
            <w:r w:rsidR="004F0D41" w:rsidRPr="003A2822">
              <w:rPr>
                <w:rFonts w:eastAsia="Calibri"/>
                <w:iCs/>
              </w:rPr>
              <w:t>executed</w:t>
            </w:r>
            <w:r w:rsidR="006F62B1" w:rsidRPr="003A2822">
              <w:rPr>
                <w:rFonts w:eastAsia="Calibri"/>
                <w:iCs/>
              </w:rPr>
              <w:t xml:space="preserve">, whichever </w:t>
            </w:r>
            <w:r w:rsidR="004F0D41" w:rsidRPr="003A2822">
              <w:rPr>
                <w:rFonts w:eastAsia="Calibri"/>
                <w:iCs/>
              </w:rPr>
              <w:t>is earlier</w:t>
            </w:r>
            <w:r w:rsidR="006F62B1" w:rsidRPr="003A2822">
              <w:rPr>
                <w:rFonts w:eastAsia="Calibri"/>
                <w:iCs/>
              </w:rPr>
              <w:t>)</w:t>
            </w:r>
          </w:p>
        </w:tc>
      </w:tr>
      <w:tr w:rsidR="00CE02C3" w:rsidRPr="003A2822" w14:paraId="06333F9D" w14:textId="77777777" w:rsidTr="000F7D59">
        <w:trPr>
          <w:cantSplit/>
          <w:trHeight w:val="555"/>
        </w:trPr>
        <w:tc>
          <w:tcPr>
            <w:tcW w:w="4310" w:type="dxa"/>
          </w:tcPr>
          <w:p w14:paraId="12E6FA51" w14:textId="77777777" w:rsidR="00CE02C3" w:rsidRPr="003A2822" w:rsidRDefault="00CE02C3" w:rsidP="00CE02C3">
            <w:pPr>
              <w:suppressAutoHyphens w:val="0"/>
              <w:spacing w:before="60" w:after="200" w:line="276" w:lineRule="auto"/>
              <w:rPr>
                <w:rFonts w:eastAsia="Calibri"/>
                <w:iCs/>
              </w:rPr>
            </w:pPr>
            <w:r w:rsidRPr="003A2822">
              <w:rPr>
                <w:rFonts w:eastAsia="Calibri"/>
                <w:iCs/>
              </w:rPr>
              <w:t xml:space="preserve">End date of grant activity </w:t>
            </w:r>
          </w:p>
        </w:tc>
        <w:tc>
          <w:tcPr>
            <w:tcW w:w="4746" w:type="dxa"/>
          </w:tcPr>
          <w:p w14:paraId="421DA442" w14:textId="6632F0FB" w:rsidR="00CE02C3" w:rsidRPr="003A2822" w:rsidRDefault="006F62B1" w:rsidP="00CE02C3">
            <w:pPr>
              <w:suppressAutoHyphens w:val="0"/>
              <w:spacing w:before="60" w:after="200" w:line="276" w:lineRule="auto"/>
              <w:rPr>
                <w:rFonts w:eastAsia="Calibri"/>
                <w:iCs/>
              </w:rPr>
            </w:pPr>
            <w:r w:rsidRPr="003A2822">
              <w:rPr>
                <w:rFonts w:eastAsia="Calibri"/>
                <w:iCs/>
              </w:rPr>
              <w:t>3</w:t>
            </w:r>
            <w:r w:rsidR="007E4D87" w:rsidRPr="003A2822">
              <w:rPr>
                <w:rFonts w:eastAsia="Calibri"/>
                <w:iCs/>
              </w:rPr>
              <w:t>1</w:t>
            </w:r>
            <w:r w:rsidRPr="003A2822">
              <w:rPr>
                <w:rFonts w:eastAsia="Calibri"/>
                <w:iCs/>
              </w:rPr>
              <w:t xml:space="preserve"> December 202</w:t>
            </w:r>
            <w:r w:rsidR="00C4327D" w:rsidRPr="003A2822">
              <w:rPr>
                <w:rFonts w:eastAsia="Calibri"/>
                <w:iCs/>
              </w:rPr>
              <w:t>2</w:t>
            </w:r>
            <w:r w:rsidR="00CE02C3" w:rsidRPr="003A2822">
              <w:rPr>
                <w:rFonts w:eastAsia="Calibri"/>
                <w:iCs/>
              </w:rPr>
              <w:t xml:space="preserve"> </w:t>
            </w:r>
          </w:p>
        </w:tc>
      </w:tr>
      <w:tr w:rsidR="00533D7D" w:rsidRPr="003A2822" w14:paraId="340E7A6A" w14:textId="77777777" w:rsidTr="000F7D59">
        <w:trPr>
          <w:cantSplit/>
          <w:trHeight w:val="555"/>
        </w:trPr>
        <w:tc>
          <w:tcPr>
            <w:tcW w:w="4310" w:type="dxa"/>
          </w:tcPr>
          <w:p w14:paraId="17FD79A2" w14:textId="2D16C7B1" w:rsidR="00533D7D" w:rsidRPr="003A2822" w:rsidRDefault="00533D7D" w:rsidP="00CE02C3">
            <w:pPr>
              <w:suppressAutoHyphens w:val="0"/>
              <w:spacing w:before="60" w:after="200" w:line="276" w:lineRule="auto"/>
              <w:rPr>
                <w:rFonts w:eastAsia="Calibri"/>
                <w:iCs/>
              </w:rPr>
            </w:pPr>
            <w:r w:rsidRPr="003A2822">
              <w:rPr>
                <w:rFonts w:eastAsia="Calibri"/>
                <w:iCs/>
              </w:rPr>
              <w:t>Reconciliation of all grant expenditure</w:t>
            </w:r>
          </w:p>
        </w:tc>
        <w:tc>
          <w:tcPr>
            <w:tcW w:w="4746" w:type="dxa"/>
          </w:tcPr>
          <w:p w14:paraId="722FEFC6" w14:textId="410CF5C9" w:rsidR="00533D7D" w:rsidRPr="003A2822" w:rsidRDefault="00533D7D" w:rsidP="00CE02C3">
            <w:pPr>
              <w:suppressAutoHyphens w:val="0"/>
              <w:spacing w:before="60" w:after="200" w:line="276" w:lineRule="auto"/>
              <w:rPr>
                <w:rFonts w:eastAsia="Calibri"/>
                <w:iCs/>
              </w:rPr>
            </w:pPr>
            <w:r w:rsidRPr="003A2822">
              <w:rPr>
                <w:rFonts w:eastAsia="Calibri"/>
                <w:iCs/>
              </w:rPr>
              <w:t>Before 30 June 2022</w:t>
            </w:r>
          </w:p>
        </w:tc>
      </w:tr>
      <w:bookmarkEnd w:id="46"/>
    </w:tbl>
    <w:p w14:paraId="3A77FCE3" w14:textId="77777777" w:rsidR="000F7D59" w:rsidRPr="003A2822" w:rsidRDefault="000F7D59" w:rsidP="000F7D59">
      <w:pPr>
        <w:spacing w:before="0" w:after="0"/>
      </w:pPr>
    </w:p>
    <w:p w14:paraId="1D5D7B42" w14:textId="575325AB" w:rsidR="007D1D4F" w:rsidRPr="003A2822" w:rsidRDefault="00CE02C3" w:rsidP="00C7237B">
      <w:pPr>
        <w:pStyle w:val="Heading1Numbered"/>
        <w:spacing w:before="0"/>
        <w:rPr>
          <w:sz w:val="32"/>
          <w:szCs w:val="32"/>
        </w:rPr>
      </w:pPr>
      <w:bookmarkStart w:id="47" w:name="_Toc88832371"/>
      <w:bookmarkStart w:id="48" w:name="_Toc421777623"/>
      <w:bookmarkEnd w:id="41"/>
      <w:bookmarkEnd w:id="42"/>
      <w:r w:rsidRPr="003A2822">
        <w:rPr>
          <w:sz w:val="32"/>
          <w:szCs w:val="32"/>
        </w:rPr>
        <w:t>Grant activities</w:t>
      </w:r>
      <w:bookmarkEnd w:id="47"/>
      <w:r w:rsidRPr="003A2822">
        <w:rPr>
          <w:sz w:val="32"/>
          <w:szCs w:val="32"/>
        </w:rPr>
        <w:t xml:space="preserve"> </w:t>
      </w:r>
    </w:p>
    <w:p w14:paraId="0C434816" w14:textId="6AC45A59" w:rsidR="00CE02C3" w:rsidRPr="003A2822" w:rsidRDefault="00CE02C3" w:rsidP="000F7D59">
      <w:pPr>
        <w:pStyle w:val="Heading2Numbered"/>
        <w:numPr>
          <w:ilvl w:val="1"/>
          <w:numId w:val="19"/>
        </w:numPr>
        <w:spacing w:before="0"/>
        <w:rPr>
          <w:sz w:val="24"/>
          <w:szCs w:val="24"/>
        </w:rPr>
      </w:pPr>
      <w:bookmarkStart w:id="49" w:name="_Toc88832372"/>
      <w:r w:rsidRPr="003A2822">
        <w:rPr>
          <w:sz w:val="24"/>
          <w:szCs w:val="24"/>
        </w:rPr>
        <w:t>Eligible grant activities</w:t>
      </w:r>
      <w:bookmarkEnd w:id="49"/>
      <w:r w:rsidRPr="003A2822">
        <w:rPr>
          <w:sz w:val="24"/>
          <w:szCs w:val="24"/>
        </w:rPr>
        <w:t xml:space="preserve"> </w:t>
      </w:r>
    </w:p>
    <w:p w14:paraId="4AA02DCB" w14:textId="77777777" w:rsidR="00CE02C3" w:rsidRPr="003A2822" w:rsidRDefault="00CE02C3" w:rsidP="00CE02C3">
      <w:pPr>
        <w:pStyle w:val="Bullet1"/>
        <w:numPr>
          <w:ilvl w:val="0"/>
          <w:numId w:val="0"/>
        </w:numPr>
        <w:spacing w:after="120" w:line="276" w:lineRule="auto"/>
        <w:rPr>
          <w:rFonts w:cstheme="minorHAnsi"/>
          <w:iCs/>
        </w:rPr>
      </w:pPr>
      <w:r w:rsidRPr="003A2822">
        <w:rPr>
          <w:rFonts w:cstheme="minorHAnsi"/>
        </w:rPr>
        <w:t xml:space="preserve">Grantees may choose to spend grant funding in line with the objectives of the Program as outlined in Section 1, </w:t>
      </w:r>
      <w:proofErr w:type="gramStart"/>
      <w:r w:rsidRPr="003A2822">
        <w:rPr>
          <w:rFonts w:cstheme="minorHAnsi"/>
        </w:rPr>
        <w:t>as long as</w:t>
      </w:r>
      <w:proofErr w:type="gramEnd"/>
      <w:r w:rsidRPr="003A2822">
        <w:rPr>
          <w:rFonts w:cstheme="minorHAnsi"/>
        </w:rPr>
        <w:t xml:space="preserve"> funding is not used for activities outlined in Section 6.2.</w:t>
      </w:r>
    </w:p>
    <w:p w14:paraId="7E099836" w14:textId="4F9620F6" w:rsidR="00CE02C3" w:rsidRPr="003A2822" w:rsidRDefault="00CE02C3" w:rsidP="000F7D59">
      <w:pPr>
        <w:pStyle w:val="Bullet1"/>
        <w:numPr>
          <w:ilvl w:val="0"/>
          <w:numId w:val="0"/>
        </w:numPr>
        <w:spacing w:before="0" w:after="0" w:line="276" w:lineRule="auto"/>
      </w:pPr>
      <w:r w:rsidRPr="003A2822">
        <w:t xml:space="preserve">Grantees must </w:t>
      </w:r>
      <w:r w:rsidR="00B005DA" w:rsidRPr="003A2822">
        <w:t>commit grant funds to, or incur costs of,</w:t>
      </w:r>
      <w:r w:rsidRPr="003A2822">
        <w:t xml:space="preserve"> eligible grant activities between </w:t>
      </w:r>
      <w:r w:rsidR="00FB32D7" w:rsidRPr="003A2822">
        <w:t>the start date of the grant agreement</w:t>
      </w:r>
      <w:r w:rsidRPr="003A2822">
        <w:t xml:space="preserve"> and </w:t>
      </w:r>
      <w:r w:rsidR="00B005DA" w:rsidRPr="003A2822">
        <w:t>3</w:t>
      </w:r>
      <w:r w:rsidR="00C4327D" w:rsidRPr="003A2822">
        <w:t>0</w:t>
      </w:r>
      <w:r w:rsidR="00B005DA" w:rsidRPr="003A2822">
        <w:t> </w:t>
      </w:r>
      <w:r w:rsidR="00FB32D7" w:rsidRPr="003A2822">
        <w:t>June </w:t>
      </w:r>
      <w:r w:rsidRPr="003A2822">
        <w:t>202</w:t>
      </w:r>
      <w:r w:rsidR="00C4327D" w:rsidRPr="003A2822">
        <w:t>2</w:t>
      </w:r>
      <w:r w:rsidRPr="003A2822">
        <w:t xml:space="preserve">. </w:t>
      </w:r>
      <w:r w:rsidR="00B005DA" w:rsidRPr="003A2822">
        <w:t xml:space="preserve">Grantees must </w:t>
      </w:r>
      <w:r w:rsidR="005429BE" w:rsidRPr="003A2822">
        <w:t xml:space="preserve">complete all eligible grant </w:t>
      </w:r>
      <w:r w:rsidR="00F90F5A" w:rsidRPr="003A2822">
        <w:t>activities</w:t>
      </w:r>
      <w:r w:rsidR="005429BE" w:rsidRPr="003A2822">
        <w:t xml:space="preserve"> before </w:t>
      </w:r>
      <w:r w:rsidR="00FB32D7" w:rsidRPr="003A2822">
        <w:t xml:space="preserve">31 </w:t>
      </w:r>
      <w:r w:rsidR="00C4327D" w:rsidRPr="003A2822">
        <w:t xml:space="preserve">December </w:t>
      </w:r>
      <w:r w:rsidR="005429BE" w:rsidRPr="003A2822">
        <w:t xml:space="preserve">2022. Grantees must </w:t>
      </w:r>
      <w:r w:rsidR="004E5294" w:rsidRPr="003A2822">
        <w:t xml:space="preserve">reconcile their </w:t>
      </w:r>
      <w:r w:rsidR="00510FD2" w:rsidRPr="003A2822">
        <w:t xml:space="preserve">grant funding with the Program Administrator </w:t>
      </w:r>
      <w:r w:rsidR="00960CE1" w:rsidRPr="003A2822">
        <w:t>before</w:t>
      </w:r>
      <w:r w:rsidR="00510FD2" w:rsidRPr="003A2822">
        <w:t xml:space="preserve"> 3</w:t>
      </w:r>
      <w:r w:rsidR="003D4923">
        <w:t>1</w:t>
      </w:r>
      <w:r w:rsidR="00F90F5A" w:rsidRPr="003A2822">
        <w:t> </w:t>
      </w:r>
      <w:r w:rsidR="00C4327D" w:rsidRPr="003A2822">
        <w:t>December </w:t>
      </w:r>
      <w:r w:rsidR="00510FD2" w:rsidRPr="003A2822">
        <w:t xml:space="preserve">2022. </w:t>
      </w:r>
    </w:p>
    <w:p w14:paraId="04A38C1C" w14:textId="35FA2909" w:rsidR="00503EAA" w:rsidRPr="003A2822" w:rsidRDefault="00CE02C3" w:rsidP="00CE02C3">
      <w:pPr>
        <w:spacing w:before="120" w:after="120"/>
        <w:rPr>
          <w:rFonts w:cstheme="minorHAnsi"/>
        </w:rPr>
      </w:pPr>
      <w:r w:rsidRPr="003A2822">
        <w:rPr>
          <w:rFonts w:cstheme="minorHAnsi"/>
        </w:rPr>
        <w:t>Eligible expenditure items could include:</w:t>
      </w:r>
    </w:p>
    <w:p w14:paraId="6EAD51A4" w14:textId="33750C83" w:rsidR="00A86E66" w:rsidRPr="00A149E4" w:rsidRDefault="00A86E66" w:rsidP="00CE02C3">
      <w:pPr>
        <w:pStyle w:val="Bullet1"/>
        <w:spacing w:after="120" w:line="276" w:lineRule="auto"/>
        <w:rPr>
          <w:rFonts w:cstheme="minorHAnsi"/>
          <w:iCs/>
        </w:rPr>
      </w:pPr>
      <w:r>
        <w:rPr>
          <w:rFonts w:cstheme="minorHAnsi"/>
          <w:iCs/>
        </w:rPr>
        <w:t>Investment in hardware, software and educational theory and practice to facilitate learning (</w:t>
      </w:r>
      <w:proofErr w:type="gramStart"/>
      <w:r>
        <w:rPr>
          <w:rFonts w:cstheme="minorHAnsi"/>
          <w:iCs/>
        </w:rPr>
        <w:t>i.e.</w:t>
      </w:r>
      <w:proofErr w:type="gramEnd"/>
      <w:r>
        <w:rPr>
          <w:rFonts w:cstheme="minorHAnsi"/>
          <w:iCs/>
        </w:rPr>
        <w:t xml:space="preserve"> </w:t>
      </w:r>
      <w:proofErr w:type="spellStart"/>
      <w:r>
        <w:rPr>
          <w:rFonts w:cstheme="minorHAnsi"/>
          <w:iCs/>
        </w:rPr>
        <w:t>edtech</w:t>
      </w:r>
      <w:proofErr w:type="spellEnd"/>
      <w:r>
        <w:rPr>
          <w:rFonts w:cstheme="minorHAnsi"/>
          <w:iCs/>
        </w:rPr>
        <w:t>)</w:t>
      </w:r>
    </w:p>
    <w:p w14:paraId="60F90FD8" w14:textId="77777777" w:rsidR="00A86E66" w:rsidRPr="003A2822" w:rsidRDefault="00A86E66" w:rsidP="00A86E66">
      <w:pPr>
        <w:pStyle w:val="Bullet1"/>
        <w:spacing w:after="120" w:line="276" w:lineRule="auto"/>
        <w:rPr>
          <w:rFonts w:cstheme="minorHAnsi"/>
          <w:iCs/>
        </w:rPr>
      </w:pPr>
      <w:r w:rsidRPr="003A2822">
        <w:rPr>
          <w:rFonts w:cstheme="minorHAnsi"/>
        </w:rPr>
        <w:t>Designing curriculums and innovative digital teaching solutions for online and offshore delivery.</w:t>
      </w:r>
    </w:p>
    <w:p w14:paraId="07FFA605" w14:textId="1C4A6FBC" w:rsidR="00CE02C3" w:rsidRPr="003A2822" w:rsidRDefault="00CE02C3" w:rsidP="00CE02C3">
      <w:pPr>
        <w:pStyle w:val="Bullet1"/>
        <w:spacing w:after="120" w:line="276" w:lineRule="auto"/>
        <w:rPr>
          <w:rFonts w:cstheme="minorHAnsi"/>
          <w:iCs/>
        </w:rPr>
      </w:pPr>
      <w:r w:rsidRPr="003A2822">
        <w:rPr>
          <w:rFonts w:cstheme="minorHAnsi"/>
        </w:rPr>
        <w:t xml:space="preserve">Developing new educational products and online programs for the delivery </w:t>
      </w:r>
      <w:r w:rsidR="00FE3DD5" w:rsidRPr="003A2822">
        <w:rPr>
          <w:rFonts w:cstheme="minorHAnsi"/>
        </w:rPr>
        <w:t xml:space="preserve">of </w:t>
      </w:r>
      <w:r w:rsidRPr="003A2822">
        <w:rPr>
          <w:rFonts w:cstheme="minorHAnsi"/>
        </w:rPr>
        <w:t>private ELICOS courses</w:t>
      </w:r>
    </w:p>
    <w:p w14:paraId="7590C32A" w14:textId="77777777" w:rsidR="00CE02C3" w:rsidRPr="003A2822" w:rsidRDefault="00CE02C3" w:rsidP="00CE02C3">
      <w:pPr>
        <w:pStyle w:val="Bullet1"/>
        <w:spacing w:after="120" w:line="276" w:lineRule="auto"/>
        <w:rPr>
          <w:rFonts w:cstheme="minorHAnsi"/>
          <w:iCs/>
        </w:rPr>
      </w:pPr>
      <w:r w:rsidRPr="003A2822">
        <w:rPr>
          <w:rFonts w:cstheme="minorHAnsi"/>
        </w:rPr>
        <w:t>Engaging professional consultation services</w:t>
      </w:r>
    </w:p>
    <w:p w14:paraId="4D9C08AF" w14:textId="77777777" w:rsidR="00CE02C3" w:rsidRPr="003A2822" w:rsidRDefault="00CE02C3" w:rsidP="00CE02C3">
      <w:pPr>
        <w:pStyle w:val="Bullet1"/>
        <w:spacing w:after="120" w:line="276" w:lineRule="auto"/>
        <w:rPr>
          <w:rFonts w:cstheme="minorHAnsi"/>
          <w:iCs/>
        </w:rPr>
      </w:pPr>
      <w:r w:rsidRPr="003A2822">
        <w:rPr>
          <w:rFonts w:cstheme="minorHAnsi"/>
        </w:rPr>
        <w:t xml:space="preserve">Creating new business plans and models </w:t>
      </w:r>
    </w:p>
    <w:p w14:paraId="2DDAEF38" w14:textId="77777777" w:rsidR="00C4327D" w:rsidRPr="003A2822" w:rsidRDefault="00CE02C3" w:rsidP="00E54BB7">
      <w:pPr>
        <w:pStyle w:val="Bullet1"/>
        <w:spacing w:after="120" w:line="276" w:lineRule="auto"/>
        <w:rPr>
          <w:rFonts w:cstheme="minorHAnsi"/>
          <w:iCs/>
        </w:rPr>
      </w:pPr>
      <w:r w:rsidRPr="003A2822">
        <w:rPr>
          <w:rFonts w:cstheme="minorHAnsi"/>
        </w:rPr>
        <w:t>Promoting new market opportunities</w:t>
      </w:r>
    </w:p>
    <w:p w14:paraId="696A4491" w14:textId="272D3089" w:rsidR="00C4327D" w:rsidRPr="003A2822" w:rsidRDefault="00C4327D" w:rsidP="00E54BB7">
      <w:pPr>
        <w:pStyle w:val="Bullet1"/>
        <w:spacing w:after="120" w:line="276" w:lineRule="auto"/>
        <w:rPr>
          <w:rFonts w:cstheme="minorHAnsi"/>
          <w:iCs/>
        </w:rPr>
      </w:pPr>
      <w:r w:rsidRPr="003A2822">
        <w:rPr>
          <w:rFonts w:cstheme="minorHAnsi"/>
        </w:rPr>
        <w:t>Investing in infrastructure</w:t>
      </w:r>
    </w:p>
    <w:p w14:paraId="535610E4" w14:textId="665F837F" w:rsidR="00C4327D" w:rsidRPr="003A2822" w:rsidRDefault="00C4327D" w:rsidP="00E54BB7">
      <w:pPr>
        <w:pStyle w:val="Bullet1"/>
        <w:spacing w:after="120" w:line="276" w:lineRule="auto"/>
        <w:rPr>
          <w:rFonts w:cstheme="minorHAnsi"/>
          <w:iCs/>
        </w:rPr>
      </w:pPr>
      <w:r w:rsidRPr="003A2822">
        <w:rPr>
          <w:rFonts w:cstheme="minorHAnsi"/>
        </w:rPr>
        <w:t xml:space="preserve">Facilitating staff expertise to deliver the services efficiently </w:t>
      </w:r>
    </w:p>
    <w:p w14:paraId="168D80FA" w14:textId="77777777" w:rsidR="00C4327D" w:rsidRPr="003A2822" w:rsidRDefault="00C4327D" w:rsidP="00E54BB7">
      <w:pPr>
        <w:pStyle w:val="Bullet1"/>
        <w:spacing w:after="120" w:line="276" w:lineRule="auto"/>
        <w:rPr>
          <w:rFonts w:cstheme="minorHAnsi"/>
          <w:iCs/>
        </w:rPr>
      </w:pPr>
      <w:r w:rsidRPr="003A2822">
        <w:rPr>
          <w:rFonts w:cstheme="minorHAnsi"/>
        </w:rPr>
        <w:t>Marketing and promotion of education services</w:t>
      </w:r>
    </w:p>
    <w:p w14:paraId="08663842" w14:textId="77777777" w:rsidR="00C4327D" w:rsidRPr="003A2822" w:rsidRDefault="00C4327D" w:rsidP="00C4327D">
      <w:pPr>
        <w:pStyle w:val="Bullet1"/>
        <w:spacing w:after="120" w:line="276" w:lineRule="auto"/>
        <w:rPr>
          <w:rFonts w:cstheme="minorHAnsi"/>
          <w:iCs/>
        </w:rPr>
      </w:pPr>
      <w:r w:rsidRPr="003A2822">
        <w:rPr>
          <w:rFonts w:cstheme="minorHAnsi"/>
        </w:rPr>
        <w:t>Service delivery costs</w:t>
      </w:r>
    </w:p>
    <w:p w14:paraId="604B4F01" w14:textId="77777777" w:rsidR="00CE02C3" w:rsidRPr="003A2822" w:rsidRDefault="00CE02C3" w:rsidP="00CE02C3">
      <w:pPr>
        <w:pStyle w:val="ListBullet"/>
        <w:numPr>
          <w:ilvl w:val="0"/>
          <w:numId w:val="0"/>
        </w:numPr>
        <w:spacing w:before="120" w:after="120"/>
        <w:contextualSpacing w:val="0"/>
        <w:rPr>
          <w:rFonts w:asciiTheme="minorHAnsi" w:hAnsiTheme="minorHAnsi" w:cstheme="minorHAnsi"/>
          <w:sz w:val="22"/>
          <w:szCs w:val="22"/>
        </w:rPr>
      </w:pPr>
      <w:r w:rsidRPr="003A2822">
        <w:rPr>
          <w:rFonts w:asciiTheme="minorHAnsi" w:hAnsiTheme="minorHAnsi" w:cstheme="minorHAnsi"/>
          <w:sz w:val="22"/>
          <w:szCs w:val="22"/>
        </w:rPr>
        <w:t xml:space="preserve">Not all expenditure on grant activities may be eligible for grant funding. </w:t>
      </w:r>
    </w:p>
    <w:p w14:paraId="12F3C0AD" w14:textId="1E955735" w:rsidR="00CE02C3" w:rsidRPr="003A2822" w:rsidRDefault="00CE02C3" w:rsidP="00B17A95">
      <w:pPr>
        <w:pStyle w:val="ListBullet"/>
        <w:numPr>
          <w:ilvl w:val="0"/>
          <w:numId w:val="0"/>
        </w:numPr>
        <w:spacing w:before="120" w:after="120"/>
        <w:rPr>
          <w:rFonts w:cstheme="minorHAnsi"/>
        </w:rPr>
      </w:pPr>
      <w:r w:rsidRPr="003A2822">
        <w:rPr>
          <w:rFonts w:asciiTheme="minorHAnsi" w:hAnsiTheme="minorHAnsi" w:cstheme="minorHAnsi"/>
          <w:sz w:val="22"/>
          <w:szCs w:val="22"/>
        </w:rPr>
        <w:t xml:space="preserve">The department has overarching and final determination authority on eligible expenditure of grant funding. If clarification </w:t>
      </w:r>
      <w:r w:rsidR="00266BBE" w:rsidRPr="003A2822">
        <w:rPr>
          <w:rFonts w:asciiTheme="minorHAnsi" w:hAnsiTheme="minorHAnsi" w:cstheme="minorHAnsi"/>
          <w:sz w:val="22"/>
          <w:szCs w:val="22"/>
        </w:rPr>
        <w:t xml:space="preserve">is required </w:t>
      </w:r>
      <w:r w:rsidRPr="003A2822">
        <w:rPr>
          <w:rFonts w:asciiTheme="minorHAnsi" w:hAnsiTheme="minorHAnsi" w:cstheme="minorHAnsi"/>
          <w:sz w:val="22"/>
          <w:szCs w:val="22"/>
        </w:rPr>
        <w:t>on eligib</w:t>
      </w:r>
      <w:r w:rsidR="000B4BA9" w:rsidRPr="003A2822">
        <w:rPr>
          <w:rFonts w:asciiTheme="minorHAnsi" w:hAnsiTheme="minorHAnsi" w:cstheme="minorHAnsi"/>
          <w:sz w:val="22"/>
          <w:szCs w:val="22"/>
        </w:rPr>
        <w:t>le expenditure</w:t>
      </w:r>
      <w:r w:rsidRPr="003A2822">
        <w:rPr>
          <w:rFonts w:asciiTheme="minorHAnsi" w:hAnsiTheme="minorHAnsi" w:cstheme="minorHAnsi"/>
          <w:sz w:val="22"/>
          <w:szCs w:val="22"/>
        </w:rPr>
        <w:t xml:space="preserve">, the Program Administrator is to be approached initially, </w:t>
      </w:r>
      <w:r w:rsidR="00C03137" w:rsidRPr="003A2822">
        <w:rPr>
          <w:rFonts w:asciiTheme="minorHAnsi" w:hAnsiTheme="minorHAnsi" w:cstheme="minorHAnsi"/>
          <w:sz w:val="22"/>
          <w:szCs w:val="22"/>
        </w:rPr>
        <w:t xml:space="preserve">and </w:t>
      </w:r>
      <w:r w:rsidRPr="003A2822">
        <w:rPr>
          <w:rFonts w:asciiTheme="minorHAnsi" w:hAnsiTheme="minorHAnsi" w:cstheme="minorHAnsi"/>
          <w:sz w:val="22"/>
          <w:szCs w:val="22"/>
        </w:rPr>
        <w:t>advice may be sought from the department in making determinations. Grantees must incur the expenditure on their grant activities between the commencement date and completion date of their grant agreement for it to be eligible.</w:t>
      </w:r>
    </w:p>
    <w:p w14:paraId="43E90AFA" w14:textId="1F9034FA" w:rsidR="00503EAA" w:rsidRPr="003A2822" w:rsidRDefault="00503EAA" w:rsidP="00503EAA">
      <w:pPr>
        <w:pStyle w:val="Heading2Numbered"/>
        <w:numPr>
          <w:ilvl w:val="1"/>
          <w:numId w:val="19"/>
        </w:numPr>
        <w:rPr>
          <w:sz w:val="24"/>
          <w:szCs w:val="24"/>
        </w:rPr>
      </w:pPr>
      <w:bookmarkStart w:id="50" w:name="_Toc88832373"/>
      <w:r w:rsidRPr="003A2822">
        <w:rPr>
          <w:sz w:val="24"/>
          <w:szCs w:val="24"/>
        </w:rPr>
        <w:t>Ineligible grant activities</w:t>
      </w:r>
      <w:bookmarkEnd w:id="50"/>
      <w:r w:rsidRPr="003A2822">
        <w:rPr>
          <w:sz w:val="24"/>
          <w:szCs w:val="24"/>
        </w:rPr>
        <w:t xml:space="preserve"> </w:t>
      </w:r>
    </w:p>
    <w:p w14:paraId="123EB9A3" w14:textId="77777777" w:rsidR="00503EAA" w:rsidRPr="003A2822" w:rsidRDefault="00503EAA" w:rsidP="00503EAA">
      <w:pPr>
        <w:pStyle w:val="ListBullet"/>
        <w:numPr>
          <w:ilvl w:val="0"/>
          <w:numId w:val="0"/>
        </w:numPr>
        <w:spacing w:before="120" w:after="120"/>
        <w:rPr>
          <w:rFonts w:asciiTheme="minorHAnsi" w:hAnsiTheme="minorHAnsi" w:cstheme="minorHAnsi"/>
          <w:sz w:val="22"/>
          <w:szCs w:val="22"/>
        </w:rPr>
      </w:pPr>
      <w:bookmarkStart w:id="51" w:name="_Ref468355804"/>
      <w:r w:rsidRPr="003A2822">
        <w:rPr>
          <w:rFonts w:asciiTheme="minorHAnsi" w:hAnsiTheme="minorHAnsi" w:cstheme="minorHAnsi"/>
          <w:sz w:val="22"/>
          <w:szCs w:val="22"/>
        </w:rPr>
        <w:t>Grantees cannot use the grant for:</w:t>
      </w:r>
    </w:p>
    <w:p w14:paraId="0B646DAC" w14:textId="77777777" w:rsidR="00503EAA" w:rsidRPr="003A2822" w:rsidRDefault="00503EAA" w:rsidP="00503EAA">
      <w:pPr>
        <w:pStyle w:val="Bullet1"/>
        <w:spacing w:after="120" w:line="276" w:lineRule="auto"/>
        <w:rPr>
          <w:rFonts w:cstheme="minorHAnsi"/>
        </w:rPr>
      </w:pPr>
      <w:r w:rsidRPr="003A2822">
        <w:rPr>
          <w:rFonts w:cstheme="minorHAnsi"/>
        </w:rPr>
        <w:t>Ordinary administration costs such as rent, electricity and other utility bills</w:t>
      </w:r>
    </w:p>
    <w:p w14:paraId="26D00F97" w14:textId="77777777" w:rsidR="00503EAA" w:rsidRPr="003A2822" w:rsidRDefault="00503EAA" w:rsidP="00503EAA">
      <w:pPr>
        <w:pStyle w:val="Bullet1"/>
        <w:spacing w:after="120" w:line="276" w:lineRule="auto"/>
        <w:rPr>
          <w:rFonts w:cstheme="minorHAnsi"/>
        </w:rPr>
      </w:pPr>
      <w:r w:rsidRPr="003A2822">
        <w:rPr>
          <w:rFonts w:cstheme="minorHAnsi"/>
        </w:rPr>
        <w:t xml:space="preserve">Purchase of land </w:t>
      </w:r>
    </w:p>
    <w:p w14:paraId="16F2DEDD" w14:textId="77777777" w:rsidR="00503EAA" w:rsidRPr="003A2822" w:rsidRDefault="00503EAA" w:rsidP="00503EAA">
      <w:pPr>
        <w:pStyle w:val="Bullet1"/>
        <w:spacing w:after="120" w:line="276" w:lineRule="auto"/>
        <w:rPr>
          <w:rFonts w:cstheme="minorHAnsi"/>
          <w:iCs/>
        </w:rPr>
      </w:pPr>
      <w:r w:rsidRPr="003A2822">
        <w:rPr>
          <w:rFonts w:cstheme="minorHAnsi"/>
        </w:rPr>
        <w:t>Repayment of debts</w:t>
      </w:r>
    </w:p>
    <w:p w14:paraId="7E5C70F0" w14:textId="77777777" w:rsidR="00503EAA" w:rsidRPr="003A2822" w:rsidRDefault="00503EAA" w:rsidP="00503EAA">
      <w:pPr>
        <w:pStyle w:val="Bullet1"/>
        <w:spacing w:after="120" w:line="276" w:lineRule="auto"/>
        <w:rPr>
          <w:rFonts w:cstheme="minorHAnsi"/>
          <w:iCs/>
        </w:rPr>
      </w:pPr>
      <w:r w:rsidRPr="003A2822">
        <w:rPr>
          <w:rFonts w:cstheme="minorHAnsi"/>
        </w:rPr>
        <w:t>Purchase of vehicles</w:t>
      </w:r>
    </w:p>
    <w:p w14:paraId="3B65B148" w14:textId="77777777" w:rsidR="00503EAA" w:rsidRPr="003A2822" w:rsidRDefault="00503EAA" w:rsidP="00503EAA">
      <w:pPr>
        <w:pStyle w:val="Bullet1"/>
        <w:spacing w:after="120" w:line="276" w:lineRule="auto"/>
        <w:rPr>
          <w:rFonts w:cstheme="minorHAnsi"/>
          <w:iCs/>
        </w:rPr>
      </w:pPr>
      <w:r w:rsidRPr="003A2822">
        <w:rPr>
          <w:rFonts w:cstheme="minorHAnsi"/>
        </w:rPr>
        <w:t xml:space="preserve">Covering of retrospective costs </w:t>
      </w:r>
    </w:p>
    <w:p w14:paraId="474EE801" w14:textId="77777777" w:rsidR="00503EAA" w:rsidRPr="003A2822" w:rsidRDefault="00503EAA" w:rsidP="00503EAA">
      <w:pPr>
        <w:pStyle w:val="Bullet1"/>
        <w:spacing w:after="120" w:line="276" w:lineRule="auto"/>
        <w:rPr>
          <w:rFonts w:cstheme="minorHAnsi"/>
          <w:iCs/>
        </w:rPr>
      </w:pPr>
      <w:r w:rsidRPr="003A2822">
        <w:rPr>
          <w:rFonts w:cstheme="minorHAnsi"/>
        </w:rPr>
        <w:t xml:space="preserve">Major construction/capital works </w:t>
      </w:r>
    </w:p>
    <w:p w14:paraId="392747D4" w14:textId="792253D9" w:rsidR="00503EAA" w:rsidRPr="003A2822" w:rsidRDefault="00503EAA" w:rsidP="00503EAA">
      <w:pPr>
        <w:pStyle w:val="Bullet1"/>
        <w:spacing w:after="120" w:line="276" w:lineRule="auto"/>
        <w:rPr>
          <w:rFonts w:cstheme="minorHAnsi"/>
        </w:rPr>
      </w:pPr>
      <w:r w:rsidRPr="003A2822">
        <w:rPr>
          <w:rFonts w:cstheme="minorHAnsi"/>
        </w:rPr>
        <w:t xml:space="preserve">Activities for which other Commonwealth, state, </w:t>
      </w:r>
      <w:proofErr w:type="gramStart"/>
      <w:r w:rsidRPr="003A2822">
        <w:rPr>
          <w:rFonts w:cstheme="minorHAnsi"/>
        </w:rPr>
        <w:t>territory</w:t>
      </w:r>
      <w:proofErr w:type="gramEnd"/>
      <w:r w:rsidRPr="003A2822">
        <w:rPr>
          <w:rFonts w:cstheme="minorHAnsi"/>
        </w:rPr>
        <w:t xml:space="preserve"> or local government bodies have primary responsibility</w:t>
      </w:r>
    </w:p>
    <w:p w14:paraId="34F7A059" w14:textId="74C36935" w:rsidR="003155D1" w:rsidRPr="003A2822" w:rsidRDefault="003155D1" w:rsidP="00503EAA">
      <w:pPr>
        <w:pStyle w:val="Bullet1"/>
        <w:spacing w:after="120" w:line="276" w:lineRule="auto"/>
        <w:rPr>
          <w:rFonts w:cstheme="minorHAnsi"/>
          <w:iCs/>
        </w:rPr>
      </w:pPr>
      <w:r w:rsidRPr="003A2822">
        <w:rPr>
          <w:rFonts w:cstheme="minorHAnsi"/>
        </w:rPr>
        <w:t>Retrospective costs (</w:t>
      </w:r>
      <w:proofErr w:type="gramStart"/>
      <w:r w:rsidRPr="003A2822">
        <w:rPr>
          <w:rFonts w:cstheme="minorHAnsi"/>
        </w:rPr>
        <w:t>i.e.</w:t>
      </w:r>
      <w:proofErr w:type="gramEnd"/>
      <w:r w:rsidRPr="003A2822">
        <w:rPr>
          <w:rFonts w:cstheme="minorHAnsi"/>
        </w:rPr>
        <w:t xml:space="preserve"> costs incurred prior to </w:t>
      </w:r>
      <w:r w:rsidR="00707AF6" w:rsidRPr="003A2822">
        <w:rPr>
          <w:rFonts w:cstheme="minorHAnsi"/>
        </w:rPr>
        <w:t>the grant agreement execution date)</w:t>
      </w:r>
    </w:p>
    <w:p w14:paraId="00DE8B4A" w14:textId="23C4094D" w:rsidR="00503EAA" w:rsidRPr="003A2822" w:rsidRDefault="00503EAA" w:rsidP="00503EAA">
      <w:pPr>
        <w:pStyle w:val="ListBullet"/>
        <w:numPr>
          <w:ilvl w:val="0"/>
          <w:numId w:val="0"/>
        </w:numPr>
        <w:spacing w:before="120" w:after="120"/>
        <w:rPr>
          <w:rFonts w:asciiTheme="minorHAnsi" w:hAnsiTheme="minorHAnsi" w:cstheme="minorHAnsi"/>
          <w:sz w:val="22"/>
          <w:szCs w:val="22"/>
        </w:rPr>
      </w:pPr>
      <w:r w:rsidRPr="003A2822">
        <w:rPr>
          <w:rFonts w:asciiTheme="minorHAnsi" w:hAnsiTheme="minorHAnsi" w:cstheme="minorHAnsi"/>
          <w:sz w:val="22"/>
          <w:szCs w:val="22"/>
        </w:rPr>
        <w:t>The Program Administrator cannot provide grant funding to applicants that receive funding from another government source for the same purpose</w:t>
      </w:r>
      <w:r w:rsidR="00FE3DD5" w:rsidRPr="003A2822">
        <w:rPr>
          <w:rFonts w:asciiTheme="minorHAnsi" w:hAnsiTheme="minorHAnsi" w:cstheme="minorHAnsi"/>
          <w:sz w:val="22"/>
          <w:szCs w:val="22"/>
        </w:rPr>
        <w:t xml:space="preserve"> </w:t>
      </w:r>
      <w:proofErr w:type="gramStart"/>
      <w:r w:rsidR="00FE3DD5" w:rsidRPr="003A2822">
        <w:rPr>
          <w:rFonts w:asciiTheme="minorHAnsi" w:hAnsiTheme="minorHAnsi" w:cstheme="minorHAnsi"/>
          <w:sz w:val="22"/>
          <w:szCs w:val="22"/>
        </w:rPr>
        <w:t>with the exception of</w:t>
      </w:r>
      <w:proofErr w:type="gramEnd"/>
      <w:r w:rsidR="00FE3DD5" w:rsidRPr="003A2822">
        <w:rPr>
          <w:rFonts w:asciiTheme="minorHAnsi" w:hAnsiTheme="minorHAnsi" w:cstheme="minorHAnsi"/>
          <w:sz w:val="22"/>
          <w:szCs w:val="22"/>
        </w:rPr>
        <w:t xml:space="preserve"> the Innovation Fund</w:t>
      </w:r>
      <w:r w:rsidRPr="003A2822">
        <w:rPr>
          <w:rFonts w:asciiTheme="minorHAnsi" w:hAnsiTheme="minorHAnsi" w:cstheme="minorHAnsi"/>
          <w:sz w:val="22"/>
          <w:szCs w:val="22"/>
        </w:rPr>
        <w:t>.</w:t>
      </w:r>
      <w:bookmarkStart w:id="52" w:name="_Toc494290504"/>
      <w:bookmarkStart w:id="53" w:name="_Toc494290505"/>
      <w:bookmarkStart w:id="54" w:name="_Toc494290506"/>
      <w:bookmarkStart w:id="55" w:name="_Toc494290507"/>
      <w:bookmarkStart w:id="56" w:name="_Toc494290508"/>
      <w:bookmarkStart w:id="57" w:name="_Toc494290509"/>
      <w:bookmarkStart w:id="58" w:name="_Toc494290510"/>
      <w:bookmarkStart w:id="59" w:name="_Toc494290511"/>
      <w:bookmarkEnd w:id="51"/>
      <w:bookmarkEnd w:id="52"/>
      <w:bookmarkEnd w:id="53"/>
      <w:bookmarkEnd w:id="54"/>
      <w:bookmarkEnd w:id="55"/>
      <w:bookmarkEnd w:id="56"/>
      <w:bookmarkEnd w:id="57"/>
      <w:bookmarkEnd w:id="58"/>
      <w:bookmarkEnd w:id="59"/>
    </w:p>
    <w:p w14:paraId="1C8ED40C" w14:textId="0E645182" w:rsidR="00503EAA" w:rsidRPr="003A2822" w:rsidRDefault="00503EAA" w:rsidP="00503EAA">
      <w:pPr>
        <w:pStyle w:val="Heading2Numbered"/>
        <w:numPr>
          <w:ilvl w:val="1"/>
          <w:numId w:val="19"/>
        </w:numPr>
        <w:rPr>
          <w:sz w:val="24"/>
          <w:szCs w:val="24"/>
        </w:rPr>
      </w:pPr>
      <w:bookmarkStart w:id="60" w:name="_Toc88832374"/>
      <w:bookmarkStart w:id="61" w:name="_Hlk71790617"/>
      <w:r w:rsidRPr="003A2822">
        <w:rPr>
          <w:sz w:val="24"/>
          <w:szCs w:val="24"/>
        </w:rPr>
        <w:t>Evidence of expenditure</w:t>
      </w:r>
      <w:bookmarkEnd w:id="60"/>
    </w:p>
    <w:bookmarkEnd w:id="61"/>
    <w:p w14:paraId="18176448" w14:textId="75700E10" w:rsidR="00503EAA" w:rsidRPr="003A2822" w:rsidRDefault="00503EAA" w:rsidP="00503EAA">
      <w:pPr>
        <w:spacing w:before="120" w:after="120"/>
        <w:rPr>
          <w:rFonts w:cs="Arial"/>
        </w:rPr>
      </w:pPr>
      <w:r w:rsidRPr="003A2822">
        <w:rPr>
          <w:rFonts w:cs="Arial"/>
        </w:rPr>
        <w:t xml:space="preserve">The grantee is required to provide the evidence of their expenditure </w:t>
      </w:r>
      <w:r w:rsidR="00533D7D" w:rsidRPr="003A2822">
        <w:rPr>
          <w:rFonts w:cs="Arial"/>
        </w:rPr>
        <w:t xml:space="preserve">when reconciling their grant funds with the Program Administrator. The grantee must </w:t>
      </w:r>
      <w:r w:rsidR="00934B7B" w:rsidRPr="003A2822">
        <w:rPr>
          <w:rFonts w:cs="Arial"/>
        </w:rPr>
        <w:t>demonstrate</w:t>
      </w:r>
      <w:r w:rsidR="00533D7D" w:rsidRPr="003A2822">
        <w:rPr>
          <w:rFonts w:cs="Arial"/>
        </w:rPr>
        <w:t xml:space="preserve"> </w:t>
      </w:r>
      <w:r w:rsidRPr="003A2822">
        <w:rPr>
          <w:rFonts w:cs="Arial"/>
        </w:rPr>
        <w:t xml:space="preserve">no funds have been used for ineligible grant activities. </w:t>
      </w:r>
      <w:r w:rsidR="00F90F5A" w:rsidRPr="003A2822">
        <w:rPr>
          <w:rFonts w:cs="Arial"/>
        </w:rPr>
        <w:t xml:space="preserve">Grantees must reconcile their grant funds between </w:t>
      </w:r>
      <w:r w:rsidR="00C424E3" w:rsidRPr="003A2822">
        <w:rPr>
          <w:rFonts w:cs="Arial"/>
        </w:rPr>
        <w:t>30 June</w:t>
      </w:r>
      <w:r w:rsidR="00F90F5A" w:rsidRPr="003A2822">
        <w:rPr>
          <w:rFonts w:cs="Arial"/>
        </w:rPr>
        <w:t xml:space="preserve"> 2022 and </w:t>
      </w:r>
      <w:r w:rsidR="00C424E3" w:rsidRPr="003A2822">
        <w:rPr>
          <w:rFonts w:cs="Arial"/>
        </w:rPr>
        <w:t xml:space="preserve">31 </w:t>
      </w:r>
      <w:r w:rsidR="00C4327D" w:rsidRPr="003A2822">
        <w:rPr>
          <w:rFonts w:cs="Arial"/>
        </w:rPr>
        <w:t xml:space="preserve">December </w:t>
      </w:r>
      <w:r w:rsidR="00F90F5A" w:rsidRPr="003A2822">
        <w:rPr>
          <w:rFonts w:cs="Arial"/>
        </w:rPr>
        <w:t xml:space="preserve">2022. </w:t>
      </w:r>
    </w:p>
    <w:p w14:paraId="4AC3D1CA" w14:textId="4DE1BD97" w:rsidR="00533D7D" w:rsidRDefault="00503EAA" w:rsidP="00503EAA">
      <w:pPr>
        <w:pStyle w:val="ListBullet"/>
        <w:numPr>
          <w:ilvl w:val="0"/>
          <w:numId w:val="0"/>
        </w:numPr>
        <w:spacing w:before="120" w:after="120"/>
        <w:contextualSpacing w:val="0"/>
        <w:rPr>
          <w:rFonts w:asciiTheme="minorHAnsi" w:hAnsiTheme="minorHAnsi" w:cstheme="minorHAnsi"/>
          <w:sz w:val="22"/>
          <w:szCs w:val="22"/>
        </w:rPr>
      </w:pPr>
      <w:r w:rsidRPr="003A2822">
        <w:rPr>
          <w:rFonts w:asciiTheme="minorHAnsi" w:hAnsiTheme="minorHAnsi" w:cstheme="minorHAnsi"/>
          <w:sz w:val="22"/>
          <w:szCs w:val="22"/>
        </w:rPr>
        <w:t>Any unspent grant funds or grant funds used for ineligible activities will be required to be returned to the Commonwealth.</w:t>
      </w:r>
    </w:p>
    <w:p w14:paraId="683327D0" w14:textId="285D78DA" w:rsidR="00A86E66" w:rsidRPr="003A2822" w:rsidRDefault="00A86E66" w:rsidP="00503EAA">
      <w:pPr>
        <w:pStyle w:val="ListBullet"/>
        <w:numPr>
          <w:ilvl w:val="0"/>
          <w:numId w:val="0"/>
        </w:numPr>
        <w:spacing w:before="120" w:after="120"/>
        <w:contextualSpacing w:val="0"/>
        <w:rPr>
          <w:rFonts w:asciiTheme="minorHAnsi" w:hAnsiTheme="minorHAnsi" w:cstheme="minorHAnsi"/>
          <w:sz w:val="22"/>
          <w:szCs w:val="22"/>
        </w:rPr>
      </w:pPr>
      <w:r>
        <w:rPr>
          <w:rFonts w:asciiTheme="minorHAnsi" w:hAnsiTheme="minorHAnsi" w:cstheme="minorHAnsi"/>
          <w:sz w:val="22"/>
          <w:szCs w:val="22"/>
        </w:rPr>
        <w:t xml:space="preserve">The Program Administrator will recover grant funds from any grantee that enters hibernation or closes during the grant period. </w:t>
      </w:r>
    </w:p>
    <w:p w14:paraId="1B1CA4CF" w14:textId="688A92C6" w:rsidR="002F13E7" w:rsidRPr="003A2822" w:rsidDel="00D505A5" w:rsidRDefault="002F13E7" w:rsidP="002F13E7">
      <w:pPr>
        <w:pStyle w:val="Heading1Numbered"/>
        <w:rPr>
          <w:sz w:val="32"/>
          <w:szCs w:val="32"/>
        </w:rPr>
      </w:pPr>
      <w:bookmarkStart w:id="62" w:name="_Toc88832375"/>
      <w:proofErr w:type="gramStart"/>
      <w:r w:rsidRPr="003A2822">
        <w:rPr>
          <w:sz w:val="32"/>
          <w:szCs w:val="32"/>
        </w:rPr>
        <w:t>Grant</w:t>
      </w:r>
      <w:proofErr w:type="gramEnd"/>
      <w:r w:rsidRPr="003A2822">
        <w:rPr>
          <w:sz w:val="32"/>
          <w:szCs w:val="32"/>
        </w:rPr>
        <w:t xml:space="preserve"> </w:t>
      </w:r>
      <w:r w:rsidR="00503EAA" w:rsidRPr="003A2822">
        <w:rPr>
          <w:sz w:val="32"/>
          <w:szCs w:val="32"/>
        </w:rPr>
        <w:t>delegate and approval process</w:t>
      </w:r>
      <w:bookmarkEnd w:id="62"/>
      <w:r w:rsidRPr="003A2822">
        <w:rPr>
          <w:sz w:val="32"/>
          <w:szCs w:val="32"/>
        </w:rPr>
        <w:t xml:space="preserve"> </w:t>
      </w:r>
    </w:p>
    <w:p w14:paraId="2F71C44E" w14:textId="4D774E85" w:rsidR="00503EAA" w:rsidRPr="003A2822" w:rsidRDefault="00503EAA" w:rsidP="000C7FB0">
      <w:pPr>
        <w:pStyle w:val="Heading2Numbered"/>
        <w:numPr>
          <w:ilvl w:val="1"/>
          <w:numId w:val="19"/>
        </w:numPr>
        <w:spacing w:before="0"/>
        <w:rPr>
          <w:sz w:val="24"/>
          <w:szCs w:val="24"/>
        </w:rPr>
      </w:pPr>
      <w:bookmarkStart w:id="63" w:name="_Toc88832376"/>
      <w:r w:rsidRPr="003A2822">
        <w:rPr>
          <w:sz w:val="24"/>
          <w:szCs w:val="24"/>
        </w:rPr>
        <w:t>Assessment of grant applications</w:t>
      </w:r>
      <w:bookmarkEnd w:id="63"/>
      <w:r w:rsidRPr="003A2822">
        <w:rPr>
          <w:sz w:val="24"/>
          <w:szCs w:val="24"/>
        </w:rPr>
        <w:t xml:space="preserve"> </w:t>
      </w:r>
    </w:p>
    <w:p w14:paraId="4D7E559C" w14:textId="0FFEADDB" w:rsidR="00503EAA" w:rsidRPr="003A2822" w:rsidRDefault="00503EAA" w:rsidP="00503EAA">
      <w:pPr>
        <w:spacing w:before="120" w:after="120"/>
        <w:rPr>
          <w:rFonts w:cs="Arial"/>
        </w:rPr>
      </w:pPr>
      <w:bookmarkStart w:id="64" w:name="_Hlk71790494"/>
      <w:r w:rsidRPr="003A2822">
        <w:rPr>
          <w:rFonts w:cs="Arial"/>
        </w:rPr>
        <w:t>The Program Administrator will review your application against the eligibility criteria. Only eligible applications will be considered.</w:t>
      </w:r>
    </w:p>
    <w:p w14:paraId="750C342A" w14:textId="386066F4" w:rsidR="00503EAA" w:rsidRPr="003A2822" w:rsidRDefault="00503EAA" w:rsidP="00503EAA">
      <w:pPr>
        <w:spacing w:before="120" w:after="120"/>
        <w:rPr>
          <w:rFonts w:cs="Arial"/>
        </w:rPr>
      </w:pPr>
      <w:r w:rsidRPr="003A2822">
        <w:t xml:space="preserve">The </w:t>
      </w:r>
      <w:r w:rsidRPr="003A2822">
        <w:rPr>
          <w:rFonts w:cs="Arial"/>
        </w:rPr>
        <w:t>Program Administrator will assess whether the application</w:t>
      </w:r>
      <w:r w:rsidRPr="003A2822" w:rsidDel="00014416">
        <w:rPr>
          <w:rFonts w:cs="Arial"/>
        </w:rPr>
        <w:t xml:space="preserve"> </w:t>
      </w:r>
      <w:r w:rsidRPr="003A2822">
        <w:rPr>
          <w:rFonts w:cs="Arial"/>
        </w:rPr>
        <w:t xml:space="preserve">is eligible </w:t>
      </w:r>
      <w:r w:rsidR="007F661A" w:rsidRPr="003A2822">
        <w:rPr>
          <w:rFonts w:cs="Arial"/>
        </w:rPr>
        <w:t xml:space="preserve">against </w:t>
      </w:r>
      <w:r w:rsidRPr="003A2822">
        <w:rPr>
          <w:rFonts w:cs="Arial"/>
        </w:rPr>
        <w:t xml:space="preserve">the criteria at Section 3.1. </w:t>
      </w:r>
      <w:bookmarkEnd w:id="64"/>
    </w:p>
    <w:p w14:paraId="6511C116" w14:textId="765166A1" w:rsidR="00503EAA" w:rsidRPr="003A2822" w:rsidRDefault="00503EAA" w:rsidP="00503EAA">
      <w:pPr>
        <w:pStyle w:val="Heading2Numbered"/>
        <w:numPr>
          <w:ilvl w:val="1"/>
          <w:numId w:val="19"/>
        </w:numPr>
        <w:rPr>
          <w:sz w:val="24"/>
          <w:szCs w:val="24"/>
        </w:rPr>
      </w:pPr>
      <w:bookmarkStart w:id="65" w:name="_Toc88832377"/>
      <w:r w:rsidRPr="003A2822">
        <w:rPr>
          <w:sz w:val="24"/>
          <w:szCs w:val="24"/>
        </w:rPr>
        <w:t xml:space="preserve">Who will approve the grant </w:t>
      </w:r>
      <w:proofErr w:type="gramStart"/>
      <w:r w:rsidRPr="003A2822">
        <w:rPr>
          <w:sz w:val="24"/>
          <w:szCs w:val="24"/>
        </w:rPr>
        <w:t>application</w:t>
      </w:r>
      <w:bookmarkEnd w:id="65"/>
      <w:r w:rsidR="003D4923">
        <w:rPr>
          <w:sz w:val="24"/>
          <w:szCs w:val="24"/>
        </w:rPr>
        <w:t>s</w:t>
      </w:r>
      <w:proofErr w:type="gramEnd"/>
      <w:r w:rsidRPr="003A2822">
        <w:rPr>
          <w:sz w:val="24"/>
          <w:szCs w:val="24"/>
        </w:rPr>
        <w:t xml:space="preserve"> </w:t>
      </w:r>
    </w:p>
    <w:p w14:paraId="73D749E6" w14:textId="77777777" w:rsidR="00503EAA" w:rsidRPr="003A2822" w:rsidRDefault="00503EAA" w:rsidP="00503EAA">
      <w:pPr>
        <w:spacing w:before="120" w:after="120"/>
      </w:pPr>
      <w:bookmarkStart w:id="66" w:name="_Hlk71125495"/>
      <w:r w:rsidRPr="003A2822">
        <w:t xml:space="preserve">The Program Administrator will decide which applications to approve for receipt of a grant in accordance with these guidelines and the availability of grant funding for the grant opportunity. </w:t>
      </w:r>
    </w:p>
    <w:p w14:paraId="253AFFD5" w14:textId="2F6A61E8" w:rsidR="00503EAA" w:rsidRPr="003A2822" w:rsidRDefault="00503EAA" w:rsidP="00503EAA">
      <w:pPr>
        <w:spacing w:before="120" w:after="120"/>
      </w:pPr>
      <w:r w:rsidRPr="003A2822">
        <w:t xml:space="preserve">If the Program is oversubscribed, the Program Administrator will reduce the amount of funding each grantee will receive. </w:t>
      </w:r>
    </w:p>
    <w:p w14:paraId="53F49947" w14:textId="1B72C514" w:rsidR="00503EAA" w:rsidRPr="003A2822" w:rsidRDefault="00503EAA" w:rsidP="00503EAA">
      <w:pPr>
        <w:spacing w:before="120" w:after="120"/>
      </w:pPr>
      <w:r w:rsidRPr="003A2822">
        <w:t>There is no appeal mechanism for decisions to approve or not approve a grant.</w:t>
      </w:r>
      <w:bookmarkEnd w:id="66"/>
    </w:p>
    <w:p w14:paraId="545351B7" w14:textId="0CE6D209" w:rsidR="00503EAA" w:rsidRPr="003A2822" w:rsidRDefault="00503EAA" w:rsidP="00503EAA">
      <w:pPr>
        <w:pStyle w:val="Heading2Numbered"/>
        <w:numPr>
          <w:ilvl w:val="1"/>
          <w:numId w:val="19"/>
        </w:numPr>
        <w:rPr>
          <w:sz w:val="24"/>
          <w:szCs w:val="24"/>
        </w:rPr>
      </w:pPr>
      <w:bookmarkStart w:id="67" w:name="_Toc88832378"/>
      <w:bookmarkStart w:id="68" w:name="_Hlk71790734"/>
      <w:r w:rsidRPr="003A2822">
        <w:rPr>
          <w:sz w:val="24"/>
          <w:szCs w:val="24"/>
        </w:rPr>
        <w:t>Dispute resolution</w:t>
      </w:r>
      <w:bookmarkEnd w:id="67"/>
    </w:p>
    <w:bookmarkEnd w:id="68"/>
    <w:p w14:paraId="3DEE7F3F" w14:textId="69019F63" w:rsidR="00503EAA" w:rsidRPr="003A2822" w:rsidRDefault="00503EAA" w:rsidP="00503EAA">
      <w:pPr>
        <w:spacing w:before="120" w:after="120"/>
        <w:rPr>
          <w:rFonts w:cs="Arial"/>
        </w:rPr>
      </w:pPr>
      <w:r w:rsidRPr="003A2822">
        <w:rPr>
          <w:rFonts w:cs="Arial"/>
        </w:rPr>
        <w:t xml:space="preserve">Grantees should seek to resolve any disputes directly with the Program Administrator. In the unlikely </w:t>
      </w:r>
      <w:r w:rsidR="0008628B" w:rsidRPr="003A2822">
        <w:rPr>
          <w:rFonts w:cs="Arial"/>
        </w:rPr>
        <w:t>event a dispute cannot be</w:t>
      </w:r>
      <w:r w:rsidRPr="003A2822">
        <w:rPr>
          <w:rFonts w:cs="Arial"/>
        </w:rPr>
        <w:t xml:space="preserve"> satisfactorily resolved directly between the grantee and the Program Administrator, the grantee may refer the dispute to the department. </w:t>
      </w:r>
    </w:p>
    <w:p w14:paraId="581A9A8E" w14:textId="7B118794" w:rsidR="00204546" w:rsidRPr="003A2822" w:rsidRDefault="00204546" w:rsidP="00204546">
      <w:pPr>
        <w:pStyle w:val="Heading1Numbered"/>
        <w:rPr>
          <w:sz w:val="32"/>
          <w:szCs w:val="32"/>
        </w:rPr>
      </w:pPr>
      <w:bookmarkStart w:id="69" w:name="_Toc88832379"/>
      <w:r w:rsidRPr="003A2822">
        <w:rPr>
          <w:sz w:val="32"/>
          <w:szCs w:val="32"/>
        </w:rPr>
        <w:t>Successful grant applications</w:t>
      </w:r>
      <w:bookmarkEnd w:id="69"/>
    </w:p>
    <w:p w14:paraId="19AB1A8F" w14:textId="105C797C" w:rsidR="00204546" w:rsidRPr="003A2822" w:rsidRDefault="00204546" w:rsidP="000C7FB0">
      <w:pPr>
        <w:pStyle w:val="Heading2Numbered"/>
        <w:numPr>
          <w:ilvl w:val="1"/>
          <w:numId w:val="19"/>
        </w:numPr>
        <w:spacing w:before="0"/>
        <w:rPr>
          <w:sz w:val="24"/>
          <w:szCs w:val="24"/>
        </w:rPr>
      </w:pPr>
      <w:bookmarkStart w:id="70" w:name="_Toc88832380"/>
      <w:r w:rsidRPr="003A2822">
        <w:rPr>
          <w:sz w:val="24"/>
          <w:szCs w:val="24"/>
        </w:rPr>
        <w:t>The grant agreement</w:t>
      </w:r>
      <w:bookmarkEnd w:id="70"/>
      <w:r w:rsidRPr="003A2822">
        <w:rPr>
          <w:sz w:val="24"/>
          <w:szCs w:val="24"/>
        </w:rPr>
        <w:t xml:space="preserve"> </w:t>
      </w:r>
    </w:p>
    <w:p w14:paraId="035C754E" w14:textId="0C26BF0D" w:rsidR="00204546" w:rsidRPr="003A2822" w:rsidRDefault="00A11DFD" w:rsidP="00204546">
      <w:pPr>
        <w:spacing w:before="120" w:after="120"/>
        <w:rPr>
          <w:rFonts w:cs="Arial"/>
        </w:rPr>
      </w:pPr>
      <w:r w:rsidRPr="003A2822">
        <w:rPr>
          <w:rFonts w:cs="Arial"/>
        </w:rPr>
        <w:t>The grantee</w:t>
      </w:r>
      <w:r w:rsidR="00204546" w:rsidRPr="003A2822">
        <w:rPr>
          <w:rFonts w:cs="Arial"/>
        </w:rPr>
        <w:t xml:space="preserve"> must enter into a legally binding agreement with the Program Administrator. </w:t>
      </w:r>
    </w:p>
    <w:p w14:paraId="0D0CD754" w14:textId="1F3ACFF5" w:rsidR="00204546" w:rsidRPr="003A2822" w:rsidRDefault="00204546" w:rsidP="00204546">
      <w:pPr>
        <w:spacing w:before="120" w:after="120"/>
        <w:rPr>
          <w:rFonts w:cs="Arial"/>
        </w:rPr>
      </w:pPr>
      <w:r w:rsidRPr="003A2822">
        <w:rPr>
          <w:rFonts w:cs="Arial"/>
        </w:rPr>
        <w:t xml:space="preserve">The Program Administrator must execute a grant agreement with successful applicants before they can make any payments. The Commonwealth and the Program Administrator are not responsible for any of your expenditure </w:t>
      </w:r>
      <w:r w:rsidR="00C424E3" w:rsidRPr="003A2822">
        <w:rPr>
          <w:rFonts w:cs="Arial"/>
        </w:rPr>
        <w:t xml:space="preserve">before </w:t>
      </w:r>
      <w:r w:rsidRPr="003A2822">
        <w:rPr>
          <w:rFonts w:cs="Arial"/>
        </w:rPr>
        <w:t>a grant agreement is executed. If successful applicants choose to start their projects before they have an executed grant agreement, they do so at their own risk.</w:t>
      </w:r>
      <w:r w:rsidR="00E55344" w:rsidRPr="003A2822">
        <w:rPr>
          <w:rFonts w:cs="Arial"/>
        </w:rPr>
        <w:t xml:space="preserve"> </w:t>
      </w:r>
    </w:p>
    <w:p w14:paraId="40AD6883" w14:textId="77777777" w:rsidR="00204546" w:rsidRPr="003A2822" w:rsidRDefault="00204546" w:rsidP="00204546">
      <w:pPr>
        <w:spacing w:before="120" w:after="120"/>
        <w:rPr>
          <w:rFonts w:cs="Arial"/>
        </w:rPr>
      </w:pPr>
      <w:r w:rsidRPr="003A2822">
        <w:rPr>
          <w:rFonts w:cs="Arial"/>
        </w:rPr>
        <w:t xml:space="preserve">Each grant agreement may have specific conditions determined by the assessment process or other considerations made by the decision maker. These are identified in the agreement. </w:t>
      </w:r>
    </w:p>
    <w:p w14:paraId="578F4FDE" w14:textId="77777777" w:rsidR="00204546" w:rsidRPr="003A2822" w:rsidRDefault="00204546" w:rsidP="00204546">
      <w:pPr>
        <w:spacing w:before="120" w:after="120"/>
        <w:rPr>
          <w:rFonts w:cs="Arial"/>
          <w:iCs/>
        </w:rPr>
      </w:pPr>
      <w:r w:rsidRPr="003A2822">
        <w:rPr>
          <w:rFonts w:cs="Arial"/>
          <w:iCs/>
        </w:rPr>
        <w:t xml:space="preserve">Successful applicants will have ten (10) business days from the date of a written offer to sign and return the grant agreement. The grant agreement is not considered to be executed until both the successful applicant and the Program Administrator have signed the agreement. </w:t>
      </w:r>
    </w:p>
    <w:p w14:paraId="2FF7CF2A" w14:textId="77777777" w:rsidR="00204546" w:rsidRPr="003A2822" w:rsidRDefault="00204546" w:rsidP="00204546">
      <w:pPr>
        <w:spacing w:before="120" w:after="120"/>
        <w:rPr>
          <w:rFonts w:cs="Arial"/>
          <w:iCs/>
        </w:rPr>
      </w:pPr>
      <w:r w:rsidRPr="003A2822">
        <w:rPr>
          <w:rFonts w:cs="Arial"/>
          <w:iCs/>
        </w:rPr>
        <w:t xml:space="preserve">The offer may lapse if both parties do not sign the agreement within this time. Under certain circumstances, the Program Administrator may extend this period. </w:t>
      </w:r>
    </w:p>
    <w:p w14:paraId="50D35E17" w14:textId="77777777" w:rsidR="00204546" w:rsidRPr="003A2822" w:rsidRDefault="00204546" w:rsidP="00204546">
      <w:pPr>
        <w:spacing w:before="120" w:after="120"/>
        <w:rPr>
          <w:b/>
        </w:rPr>
      </w:pPr>
      <w:r w:rsidRPr="003A2822">
        <w:rPr>
          <w:rFonts w:cs="Arial"/>
        </w:rPr>
        <w:t>The Program Administrator or the Commonwealth may recover grant funds if there is a breach of the grant agreement.</w:t>
      </w:r>
    </w:p>
    <w:p w14:paraId="1F3497A2" w14:textId="121573EE" w:rsidR="00204546" w:rsidRPr="003A2822" w:rsidRDefault="00204546" w:rsidP="00204546">
      <w:pPr>
        <w:pStyle w:val="Heading2Numbered"/>
        <w:numPr>
          <w:ilvl w:val="1"/>
          <w:numId w:val="19"/>
        </w:numPr>
        <w:rPr>
          <w:sz w:val="24"/>
          <w:szCs w:val="24"/>
        </w:rPr>
      </w:pPr>
      <w:bookmarkStart w:id="71" w:name="_Toc88832381"/>
      <w:r w:rsidRPr="003A2822">
        <w:rPr>
          <w:sz w:val="24"/>
          <w:szCs w:val="24"/>
        </w:rPr>
        <w:t>Commonwealth Child Safe Framework</w:t>
      </w:r>
      <w:bookmarkEnd w:id="71"/>
    </w:p>
    <w:p w14:paraId="5C0D24A3" w14:textId="37CC68C5" w:rsidR="00204546" w:rsidRPr="003A2822" w:rsidRDefault="00204546" w:rsidP="00204546">
      <w:pPr>
        <w:spacing w:before="120" w:after="120"/>
        <w:rPr>
          <w:rFonts w:cs="Arial"/>
        </w:rPr>
      </w:pPr>
      <w:r w:rsidRPr="003A2822">
        <w:rPr>
          <w:rFonts w:cs="Arial"/>
        </w:rPr>
        <w:t>Grantees will be required to comply with all child safety obligations included in the agreement with the Program Administrator. Irrespective of the child safety obligations in the agreement grantees must always comply with your state and territory legislative requirements for working with children and mandatory reporting.</w:t>
      </w:r>
    </w:p>
    <w:p w14:paraId="5EC7F344" w14:textId="5592AD76" w:rsidR="00204546" w:rsidRPr="003A2822" w:rsidRDefault="00204546" w:rsidP="00204546">
      <w:pPr>
        <w:pStyle w:val="Heading2Numbered"/>
        <w:numPr>
          <w:ilvl w:val="1"/>
          <w:numId w:val="19"/>
        </w:numPr>
        <w:rPr>
          <w:sz w:val="24"/>
          <w:szCs w:val="24"/>
        </w:rPr>
      </w:pPr>
      <w:bookmarkStart w:id="72" w:name="_Toc88832382"/>
      <w:r w:rsidRPr="003A2822">
        <w:rPr>
          <w:sz w:val="24"/>
          <w:szCs w:val="24"/>
        </w:rPr>
        <w:t>How the grant will be paid</w:t>
      </w:r>
      <w:bookmarkEnd w:id="72"/>
    </w:p>
    <w:p w14:paraId="3E646C80" w14:textId="77777777" w:rsidR="00204546" w:rsidRPr="003A2822" w:rsidRDefault="00204546" w:rsidP="00204546">
      <w:pPr>
        <w:tabs>
          <w:tab w:val="left" w:pos="0"/>
        </w:tabs>
        <w:spacing w:before="120" w:after="120"/>
        <w:rPr>
          <w:rFonts w:cs="Arial"/>
          <w:bCs/>
          <w:lang w:eastAsia="en-AU"/>
        </w:rPr>
      </w:pPr>
      <w:r w:rsidRPr="003A2822">
        <w:rPr>
          <w:rFonts w:cs="Arial"/>
          <w:bCs/>
          <w:lang w:eastAsia="en-AU"/>
        </w:rPr>
        <w:t>The agreement will state the maximum grant amount to be paid. Payment will only be made once the agreement has been executed.</w:t>
      </w:r>
    </w:p>
    <w:p w14:paraId="2DA32D6A" w14:textId="77777777" w:rsidR="00204546" w:rsidRPr="003A2822" w:rsidRDefault="00204546" w:rsidP="00204546">
      <w:pPr>
        <w:tabs>
          <w:tab w:val="left" w:pos="0"/>
        </w:tabs>
        <w:spacing w:before="120" w:after="120"/>
        <w:rPr>
          <w:rFonts w:cs="Arial"/>
          <w:bCs/>
          <w:lang w:eastAsia="en-AU"/>
        </w:rPr>
      </w:pPr>
      <w:r w:rsidRPr="003A2822">
        <w:rPr>
          <w:rFonts w:cs="Arial"/>
          <w:bCs/>
          <w:lang w:eastAsia="en-AU"/>
        </w:rPr>
        <w:t>The payment will not exceed the maximum amount under any circumstances. Grantees are responsible for meeting any additional costs they incur under the grant opportunity.</w:t>
      </w:r>
    </w:p>
    <w:p w14:paraId="46AD447E" w14:textId="72A2C742" w:rsidR="00204546" w:rsidRPr="003A2822" w:rsidRDefault="00204546" w:rsidP="00E54BB7">
      <w:pPr>
        <w:tabs>
          <w:tab w:val="left" w:pos="0"/>
        </w:tabs>
        <w:spacing w:before="120" w:after="120"/>
        <w:rPr>
          <w:rFonts w:cstheme="minorHAnsi"/>
          <w:bCs/>
          <w:lang w:eastAsia="en-AU"/>
        </w:rPr>
      </w:pPr>
      <w:r w:rsidRPr="003A2822">
        <w:rPr>
          <w:rFonts w:cstheme="minorHAnsi"/>
          <w:bCs/>
          <w:lang w:eastAsia="en-AU"/>
        </w:rPr>
        <w:t xml:space="preserve">To determine the amount to be paid to successful applicants, the Program Administrator </w:t>
      </w:r>
      <w:r w:rsidR="00485C5E" w:rsidRPr="003A2822">
        <w:rPr>
          <w:rFonts w:cstheme="minorHAnsi"/>
          <w:bCs/>
          <w:lang w:eastAsia="en-AU"/>
        </w:rPr>
        <w:t xml:space="preserve">will </w:t>
      </w:r>
      <w:proofErr w:type="gramStart"/>
      <w:r w:rsidRPr="003A2822">
        <w:rPr>
          <w:rFonts w:cstheme="minorHAnsi"/>
          <w:bCs/>
          <w:lang w:eastAsia="en-AU"/>
        </w:rPr>
        <w:t>take into account</w:t>
      </w:r>
      <w:proofErr w:type="gramEnd"/>
      <w:r w:rsidRPr="003A2822">
        <w:rPr>
          <w:rFonts w:cstheme="minorHAnsi"/>
          <w:bCs/>
          <w:lang w:eastAsia="en-AU"/>
        </w:rPr>
        <w:t xml:space="preserve"> the reduction in international student revenue</w:t>
      </w:r>
      <w:r w:rsidRPr="003A2822">
        <w:rPr>
          <w:rStyle w:val="FootnoteReference"/>
          <w:lang w:eastAsia="en-AU"/>
        </w:rPr>
        <w:footnoteReference w:id="5"/>
      </w:r>
      <w:r w:rsidRPr="003A2822">
        <w:rPr>
          <w:rFonts w:cstheme="minorHAnsi"/>
          <w:bCs/>
          <w:lang w:eastAsia="en-AU"/>
        </w:rPr>
        <w:t xml:space="preserve"> </w:t>
      </w:r>
      <w:r w:rsidR="00DF4DED" w:rsidRPr="003A2822">
        <w:rPr>
          <w:rFonts w:cstheme="minorHAnsi"/>
          <w:bCs/>
          <w:lang w:eastAsia="en-AU"/>
        </w:rPr>
        <w:t xml:space="preserve">and international student enrolments experienced by </w:t>
      </w:r>
      <w:r w:rsidRPr="003A2822">
        <w:rPr>
          <w:rFonts w:cstheme="minorHAnsi"/>
          <w:bCs/>
          <w:lang w:eastAsia="en-AU"/>
        </w:rPr>
        <w:t xml:space="preserve">each applicant between </w:t>
      </w:r>
      <w:r w:rsidR="00C424E3" w:rsidRPr="003A2822">
        <w:rPr>
          <w:rFonts w:cstheme="minorHAnsi"/>
          <w:bCs/>
          <w:lang w:eastAsia="en-AU"/>
        </w:rPr>
        <w:t xml:space="preserve">2020 </w:t>
      </w:r>
      <w:r w:rsidRPr="003A2822">
        <w:rPr>
          <w:rFonts w:cstheme="minorHAnsi"/>
          <w:bCs/>
          <w:lang w:eastAsia="en-AU"/>
        </w:rPr>
        <w:t xml:space="preserve">and </w:t>
      </w:r>
      <w:r w:rsidR="00C424E3" w:rsidRPr="003A2822">
        <w:rPr>
          <w:rFonts w:cstheme="minorHAnsi"/>
          <w:bCs/>
          <w:lang w:eastAsia="en-AU"/>
        </w:rPr>
        <w:t xml:space="preserve">2021 </w:t>
      </w:r>
    </w:p>
    <w:p w14:paraId="097D7800" w14:textId="70AFCE63" w:rsidR="00204546" w:rsidRPr="003A2822" w:rsidRDefault="00204546" w:rsidP="00204546">
      <w:pPr>
        <w:pStyle w:val="Heading2Numbered"/>
        <w:numPr>
          <w:ilvl w:val="1"/>
          <w:numId w:val="19"/>
        </w:numPr>
        <w:rPr>
          <w:sz w:val="24"/>
          <w:szCs w:val="24"/>
        </w:rPr>
      </w:pPr>
      <w:bookmarkStart w:id="73" w:name="_Toc88832383"/>
      <w:r w:rsidRPr="003A2822">
        <w:rPr>
          <w:sz w:val="24"/>
          <w:szCs w:val="24"/>
        </w:rPr>
        <w:t>Grant payments and GST</w:t>
      </w:r>
      <w:bookmarkEnd w:id="73"/>
    </w:p>
    <w:p w14:paraId="238D947E" w14:textId="2F1517C4" w:rsidR="00204546" w:rsidRPr="003A2822" w:rsidRDefault="00204546" w:rsidP="0003179E">
      <w:pPr>
        <w:spacing w:before="120" w:after="120"/>
        <w:rPr>
          <w:rFonts w:cs="Arial"/>
        </w:rPr>
      </w:pPr>
      <w:r w:rsidRPr="003A2822">
        <w:rPr>
          <w:rFonts w:cs="Arial"/>
        </w:rPr>
        <w:t xml:space="preserve">Successful applicants </w:t>
      </w:r>
      <w:r w:rsidRPr="003A2822">
        <w:rPr>
          <w:rFonts w:cs="Arial"/>
          <w:bCs/>
          <w:lang w:eastAsia="en-AU"/>
        </w:rPr>
        <w:t xml:space="preserve">should consider speaking to a tax advisor about the effect of receiving funding before they enter into an agreement. They can also visit the </w:t>
      </w:r>
      <w:hyperlink r:id="rId11" w:history="1">
        <w:r w:rsidRPr="003A2822">
          <w:rPr>
            <w:rStyle w:val="Hyperlink"/>
            <w:rFonts w:cs="Arial"/>
            <w:bCs/>
            <w:lang w:eastAsia="en-AU"/>
          </w:rPr>
          <w:t>Australian Taxation Office website</w:t>
        </w:r>
      </w:hyperlink>
      <w:r w:rsidRPr="003A2822">
        <w:rPr>
          <w:rFonts w:cs="Arial"/>
          <w:bCs/>
          <w:lang w:eastAsia="en-AU"/>
        </w:rPr>
        <w:t xml:space="preserve"> </w:t>
      </w:r>
      <w:r w:rsidRPr="003A2822">
        <w:rPr>
          <w:rFonts w:cs="Arial"/>
        </w:rPr>
        <w:t>for more information.</w:t>
      </w:r>
    </w:p>
    <w:p w14:paraId="70EC8E75" w14:textId="652FC534" w:rsidR="00920E8A" w:rsidRPr="003A2822" w:rsidRDefault="00920E8A" w:rsidP="00920E8A">
      <w:pPr>
        <w:pStyle w:val="Heading1Numbered"/>
        <w:rPr>
          <w:sz w:val="32"/>
          <w:szCs w:val="32"/>
        </w:rPr>
      </w:pPr>
      <w:bookmarkStart w:id="74" w:name="_Toc88832384"/>
      <w:r w:rsidRPr="003A2822">
        <w:rPr>
          <w:sz w:val="32"/>
          <w:szCs w:val="32"/>
        </w:rPr>
        <w:t>Notification of the grant</w:t>
      </w:r>
      <w:bookmarkEnd w:id="74"/>
    </w:p>
    <w:p w14:paraId="74AD4829" w14:textId="514A75D4" w:rsidR="00920E8A" w:rsidRPr="003A2822" w:rsidRDefault="00920E8A" w:rsidP="00920E8A">
      <w:pPr>
        <w:spacing w:before="120" w:after="120"/>
      </w:pPr>
      <w:r w:rsidRPr="003A2822">
        <w:t xml:space="preserve">The Program Administrator will advise you of the outcome of your application in writing. The Program Administrator will advise you of any specific conditions attached to the grant. </w:t>
      </w:r>
    </w:p>
    <w:p w14:paraId="007CDD82" w14:textId="55F562CC" w:rsidR="00920E8A" w:rsidRPr="003A2822" w:rsidRDefault="00920E8A" w:rsidP="00920E8A">
      <w:pPr>
        <w:pStyle w:val="Heading2Numbered"/>
        <w:numPr>
          <w:ilvl w:val="1"/>
          <w:numId w:val="19"/>
        </w:numPr>
        <w:rPr>
          <w:sz w:val="24"/>
          <w:szCs w:val="24"/>
        </w:rPr>
      </w:pPr>
      <w:bookmarkStart w:id="75" w:name="_Toc88832385"/>
      <w:r w:rsidRPr="003A2822">
        <w:rPr>
          <w:sz w:val="24"/>
          <w:szCs w:val="24"/>
        </w:rPr>
        <w:t>Grant acquittal and reporting</w:t>
      </w:r>
      <w:bookmarkEnd w:id="75"/>
    </w:p>
    <w:p w14:paraId="43A305AC" w14:textId="77777777" w:rsidR="00920E8A" w:rsidRPr="003A2822" w:rsidRDefault="00920E8A" w:rsidP="00920E8A">
      <w:pPr>
        <w:spacing w:before="120" w:after="120"/>
        <w:rPr>
          <w:rFonts w:cstheme="minorHAnsi"/>
        </w:rPr>
      </w:pPr>
      <w:r w:rsidRPr="003A2822">
        <w:rPr>
          <w:rFonts w:cstheme="minorHAnsi"/>
        </w:rPr>
        <w:t>The grantee must submit reports</w:t>
      </w:r>
      <w:r w:rsidRPr="003A2822">
        <w:rPr>
          <w:rFonts w:cstheme="minorHAnsi"/>
          <w:b/>
        </w:rPr>
        <w:t xml:space="preserve"> </w:t>
      </w:r>
      <w:r w:rsidRPr="003A2822">
        <w:rPr>
          <w:rFonts w:cstheme="minorHAnsi"/>
        </w:rPr>
        <w:t>in line with the</w:t>
      </w:r>
      <w:r w:rsidRPr="003A2822" w:rsidDel="00D505A5">
        <w:rPr>
          <w:rFonts w:cstheme="minorHAnsi"/>
        </w:rPr>
        <w:t xml:space="preserve"> timeframes </w:t>
      </w:r>
      <w:r w:rsidRPr="003A2822">
        <w:rPr>
          <w:rFonts w:cstheme="minorHAnsi"/>
        </w:rPr>
        <w:t xml:space="preserve">in the </w:t>
      </w:r>
      <w:hyperlink r:id="rId12" w:history="1">
        <w:r w:rsidRPr="003A2822">
          <w:rPr>
            <w:rFonts w:cstheme="minorHAnsi"/>
          </w:rPr>
          <w:t>agreement</w:t>
        </w:r>
      </w:hyperlink>
      <w:r w:rsidRPr="003A2822">
        <w:rPr>
          <w:rFonts w:cstheme="minorHAnsi"/>
        </w:rPr>
        <w:t xml:space="preserve"> with the Program Administrator. The grantee must provide permission for the Program Administrator to share these reports with the Commonwealth. </w:t>
      </w:r>
    </w:p>
    <w:p w14:paraId="601D74C5" w14:textId="77777777" w:rsidR="00920E8A" w:rsidRPr="003A2822" w:rsidRDefault="00920E8A" w:rsidP="00920E8A">
      <w:pPr>
        <w:spacing w:before="120" w:after="120"/>
      </w:pPr>
      <w:r w:rsidRPr="003A2822">
        <w:t xml:space="preserve">Reports will include: </w:t>
      </w:r>
    </w:p>
    <w:p w14:paraId="651588E0" w14:textId="1C31C0C3" w:rsidR="00920E8A" w:rsidRPr="003A2822" w:rsidRDefault="00920E8A" w:rsidP="00920E8A">
      <w:pPr>
        <w:pStyle w:val="Bullet1"/>
        <w:spacing w:after="120" w:line="276" w:lineRule="auto"/>
        <w:rPr>
          <w:rFonts w:cstheme="minorHAnsi"/>
        </w:rPr>
      </w:pPr>
      <w:r w:rsidRPr="003A2822">
        <w:rPr>
          <w:rFonts w:cstheme="minorHAnsi"/>
        </w:rPr>
        <w:t>acquittal of the grant monies in line with the objectives of the program as listed at    Section 1</w:t>
      </w:r>
    </w:p>
    <w:p w14:paraId="0630D504" w14:textId="77777777" w:rsidR="00920E8A" w:rsidRPr="003A2822" w:rsidRDefault="00920E8A" w:rsidP="00920E8A">
      <w:pPr>
        <w:pStyle w:val="Bullet1"/>
        <w:spacing w:after="120" w:line="276" w:lineRule="auto"/>
        <w:rPr>
          <w:rFonts w:cstheme="minorHAnsi"/>
        </w:rPr>
      </w:pPr>
      <w:r w:rsidRPr="003A2822">
        <w:rPr>
          <w:rFonts w:cstheme="minorHAnsi"/>
        </w:rPr>
        <w:t>contributions of participants directly related to the grant activity</w:t>
      </w:r>
    </w:p>
    <w:p w14:paraId="52227A77" w14:textId="7A4D512E" w:rsidR="00920E8A" w:rsidRPr="003A2822" w:rsidRDefault="00920E8A" w:rsidP="00E54BB7">
      <w:pPr>
        <w:pStyle w:val="Bullet1"/>
        <w:spacing w:after="120" w:line="276" w:lineRule="auto"/>
        <w:rPr>
          <w:rFonts w:cstheme="minorHAnsi"/>
        </w:rPr>
      </w:pPr>
      <w:r w:rsidRPr="003A2822">
        <w:rPr>
          <w:rFonts w:cstheme="minorHAnsi"/>
        </w:rPr>
        <w:t xml:space="preserve">the </w:t>
      </w:r>
      <w:r w:rsidR="00230A3E" w:rsidRPr="003A2822">
        <w:rPr>
          <w:rFonts w:cstheme="minorHAnsi"/>
        </w:rPr>
        <w:t xml:space="preserve">actual or anticipated impact on international student numbers </w:t>
      </w:r>
      <w:r w:rsidR="00D31493" w:rsidRPr="003A2822">
        <w:rPr>
          <w:rFonts w:cstheme="minorHAnsi"/>
        </w:rPr>
        <w:t>caused by</w:t>
      </w:r>
      <w:r w:rsidRPr="003A2822">
        <w:rPr>
          <w:rFonts w:cstheme="minorHAnsi"/>
        </w:rPr>
        <w:t xml:space="preserve"> the activities funded through this grant</w:t>
      </w:r>
    </w:p>
    <w:p w14:paraId="3DBCEB6F" w14:textId="7BA5FB1E" w:rsidR="00920E8A" w:rsidRPr="003A2822" w:rsidRDefault="00920E8A" w:rsidP="00920E8A">
      <w:pPr>
        <w:spacing w:before="120" w:after="120"/>
        <w:rPr>
          <w:rFonts w:cstheme="minorHAnsi"/>
        </w:rPr>
      </w:pPr>
      <w:r w:rsidRPr="003A2822">
        <w:rPr>
          <w:rFonts w:cstheme="minorHAnsi"/>
        </w:rPr>
        <w:t>The Grantee</w:t>
      </w:r>
      <w:r w:rsidRPr="003A2822" w:rsidDel="00D505A5">
        <w:rPr>
          <w:rFonts w:cstheme="minorHAnsi"/>
        </w:rPr>
        <w:t xml:space="preserve"> </w:t>
      </w:r>
      <w:r w:rsidRPr="003A2822">
        <w:rPr>
          <w:rFonts w:cstheme="minorHAnsi"/>
        </w:rPr>
        <w:t>will also be</w:t>
      </w:r>
      <w:r w:rsidRPr="003A2822" w:rsidDel="00D505A5">
        <w:rPr>
          <w:rFonts w:cstheme="minorHAnsi"/>
        </w:rPr>
        <w:t xml:space="preserve"> responsible for:</w:t>
      </w:r>
    </w:p>
    <w:p w14:paraId="13A0D88B" w14:textId="77777777" w:rsidR="00920E8A" w:rsidRPr="003A2822" w:rsidDel="00D505A5" w:rsidRDefault="00920E8A" w:rsidP="00920E8A">
      <w:pPr>
        <w:pStyle w:val="Bullet1"/>
        <w:spacing w:after="120" w:line="276" w:lineRule="auto"/>
        <w:rPr>
          <w:rFonts w:cstheme="minorHAnsi"/>
        </w:rPr>
      </w:pPr>
      <w:r w:rsidRPr="003A2822">
        <w:rPr>
          <w:rFonts w:cstheme="minorHAnsi"/>
        </w:rPr>
        <w:t>meeting</w:t>
      </w:r>
      <w:r w:rsidRPr="003A2822" w:rsidDel="00D505A5">
        <w:rPr>
          <w:rFonts w:cstheme="minorHAnsi"/>
        </w:rPr>
        <w:t xml:space="preserve"> the terms and conditions of the agreement </w:t>
      </w:r>
      <w:r w:rsidRPr="003A2822">
        <w:rPr>
          <w:rFonts w:cstheme="minorHAnsi"/>
        </w:rPr>
        <w:t>with the Program Administrator and managing the</w:t>
      </w:r>
      <w:r w:rsidRPr="003A2822" w:rsidDel="00D505A5">
        <w:rPr>
          <w:rFonts w:cstheme="minorHAnsi"/>
        </w:rPr>
        <w:t xml:space="preserve"> </w:t>
      </w:r>
      <w:r w:rsidRPr="003A2822">
        <w:rPr>
          <w:rFonts w:cstheme="minorHAnsi"/>
        </w:rPr>
        <w:t xml:space="preserve">grant </w:t>
      </w:r>
      <w:r w:rsidRPr="003A2822" w:rsidDel="00D505A5">
        <w:rPr>
          <w:rFonts w:cstheme="minorHAnsi"/>
        </w:rPr>
        <w:t>activity efficient</w:t>
      </w:r>
      <w:r w:rsidRPr="003A2822">
        <w:rPr>
          <w:rFonts w:cstheme="minorHAnsi"/>
        </w:rPr>
        <w:t>ly</w:t>
      </w:r>
      <w:r w:rsidRPr="003A2822" w:rsidDel="00D505A5">
        <w:rPr>
          <w:rFonts w:cstheme="minorHAnsi"/>
        </w:rPr>
        <w:t xml:space="preserve"> and effective</w:t>
      </w:r>
      <w:r w:rsidRPr="003A2822">
        <w:rPr>
          <w:rFonts w:cstheme="minorHAnsi"/>
        </w:rPr>
        <w:t>ly</w:t>
      </w:r>
    </w:p>
    <w:p w14:paraId="1CA01075" w14:textId="77777777" w:rsidR="00920E8A" w:rsidRPr="003A2822" w:rsidDel="00D505A5" w:rsidRDefault="00920E8A" w:rsidP="00920E8A">
      <w:pPr>
        <w:pStyle w:val="Bullet1"/>
        <w:spacing w:after="120" w:line="276" w:lineRule="auto"/>
        <w:rPr>
          <w:rFonts w:cstheme="minorHAnsi"/>
        </w:rPr>
      </w:pPr>
      <w:r w:rsidRPr="003A2822" w:rsidDel="00D505A5">
        <w:rPr>
          <w:rFonts w:cstheme="minorHAnsi"/>
        </w:rPr>
        <w:t xml:space="preserve">complying with record keeping, reporting and acquittal requirements </w:t>
      </w:r>
      <w:r w:rsidRPr="003A2822">
        <w:rPr>
          <w:rFonts w:cstheme="minorHAnsi"/>
        </w:rPr>
        <w:t>as set out in the agreement</w:t>
      </w:r>
    </w:p>
    <w:p w14:paraId="41DC0726" w14:textId="299F97D9" w:rsidR="00920E8A" w:rsidRPr="003A2822" w:rsidRDefault="00920E8A" w:rsidP="00920E8A">
      <w:pPr>
        <w:pStyle w:val="Bullet1"/>
        <w:spacing w:after="120" w:line="276" w:lineRule="auto"/>
        <w:rPr>
          <w:rFonts w:cstheme="minorHAnsi"/>
        </w:rPr>
      </w:pPr>
      <w:r w:rsidRPr="003A2822" w:rsidDel="00D505A5">
        <w:rPr>
          <w:rFonts w:cstheme="minorHAnsi"/>
        </w:rPr>
        <w:t xml:space="preserve">participating in </w:t>
      </w:r>
      <w:r w:rsidRPr="003A2822">
        <w:rPr>
          <w:rFonts w:cstheme="minorHAnsi"/>
        </w:rPr>
        <w:t xml:space="preserve">a </w:t>
      </w:r>
      <w:r w:rsidR="00C424E3" w:rsidRPr="003A2822">
        <w:rPr>
          <w:rFonts w:cstheme="minorHAnsi"/>
        </w:rPr>
        <w:t xml:space="preserve">Grant </w:t>
      </w:r>
      <w:r w:rsidRPr="003A2822">
        <w:rPr>
          <w:rFonts w:cstheme="minorHAnsi"/>
        </w:rPr>
        <w:t>Program e</w:t>
      </w:r>
      <w:r w:rsidRPr="003A2822" w:rsidDel="00D505A5">
        <w:rPr>
          <w:rFonts w:cstheme="minorHAnsi"/>
        </w:rPr>
        <w:t>valuation</w:t>
      </w:r>
      <w:r w:rsidRPr="003A2822">
        <w:rPr>
          <w:rFonts w:cstheme="minorHAnsi"/>
        </w:rPr>
        <w:t>.</w:t>
      </w:r>
    </w:p>
    <w:p w14:paraId="7B69B4AA" w14:textId="553CB886" w:rsidR="00920E8A" w:rsidRPr="003A2822" w:rsidRDefault="00920E8A" w:rsidP="00920E8A">
      <w:pPr>
        <w:pStyle w:val="Heading1Numbered"/>
        <w:rPr>
          <w:sz w:val="32"/>
          <w:szCs w:val="32"/>
        </w:rPr>
      </w:pPr>
      <w:bookmarkStart w:id="76" w:name="_Toc88832386"/>
      <w:r w:rsidRPr="003A2822">
        <w:rPr>
          <w:sz w:val="32"/>
          <w:szCs w:val="32"/>
        </w:rPr>
        <w:t>Announcement of the grant</w:t>
      </w:r>
      <w:bookmarkEnd w:id="76"/>
    </w:p>
    <w:p w14:paraId="0C07B13F" w14:textId="70FCABBC" w:rsidR="00920E8A" w:rsidRPr="003A2822" w:rsidRDefault="00920E8A" w:rsidP="00920E8A">
      <w:pPr>
        <w:spacing w:before="120" w:after="120"/>
        <w:rPr>
          <w:u w:val="single"/>
        </w:rPr>
      </w:pPr>
      <w:r w:rsidRPr="003A2822" w:rsidDel="00457E6C">
        <w:t xml:space="preserve">If </w:t>
      </w:r>
      <w:r w:rsidRPr="003A2822">
        <w:t xml:space="preserve">you </w:t>
      </w:r>
      <w:r w:rsidRPr="003A2822" w:rsidDel="00457E6C">
        <w:t>successful</w:t>
      </w:r>
      <w:r w:rsidRPr="003A2822">
        <w:t>ly apply for grant funding</w:t>
      </w:r>
      <w:r w:rsidRPr="003A2822" w:rsidDel="00457E6C">
        <w:t xml:space="preserve">, your </w:t>
      </w:r>
      <w:r w:rsidRPr="003A2822">
        <w:t>g</w:t>
      </w:r>
      <w:r w:rsidRPr="003A2822" w:rsidDel="00457E6C">
        <w:t xml:space="preserve">rant </w:t>
      </w:r>
      <w:r w:rsidRPr="003A2822" w:rsidDel="0035202F">
        <w:t xml:space="preserve">will be listed </w:t>
      </w:r>
      <w:r w:rsidRPr="003A2822" w:rsidDel="00457E6C">
        <w:t xml:space="preserve">on the </w:t>
      </w:r>
      <w:proofErr w:type="spellStart"/>
      <w:r w:rsidRPr="003A2822" w:rsidDel="00457E6C">
        <w:t>GrantConnect</w:t>
      </w:r>
      <w:proofErr w:type="spellEnd"/>
      <w:r w:rsidRPr="003A2822" w:rsidDel="00457E6C">
        <w:t xml:space="preserve"> website </w:t>
      </w:r>
      <w:r w:rsidRPr="003A2822">
        <w:t>21</w:t>
      </w:r>
      <w:r w:rsidRPr="003A2822" w:rsidDel="00457E6C">
        <w:t xml:space="preserve"> </w:t>
      </w:r>
      <w:r w:rsidRPr="003A2822">
        <w:t xml:space="preserve">calendar </w:t>
      </w:r>
      <w:r w:rsidRPr="003A2822" w:rsidDel="00457E6C">
        <w:t>days after the date of effect</w:t>
      </w:r>
      <w:r w:rsidRPr="003A2822">
        <w:rPr>
          <w:u w:val="single"/>
        </w:rPr>
        <w:t>.</w:t>
      </w:r>
    </w:p>
    <w:p w14:paraId="1E278153" w14:textId="77777777" w:rsidR="00920E8A" w:rsidRPr="003A2822" w:rsidRDefault="00920E8A" w:rsidP="00920E8A">
      <w:pPr>
        <w:spacing w:before="120" w:after="120"/>
      </w:pPr>
      <w:r w:rsidRPr="003A2822">
        <w:t xml:space="preserve">The Minister for Education and Youth or the department may publicly announce grantees. You may not announce the outcome of your application to this grant round unless advised by the department. </w:t>
      </w:r>
    </w:p>
    <w:p w14:paraId="6C9912E8" w14:textId="77777777" w:rsidR="00920E8A" w:rsidRPr="003A2822" w:rsidRDefault="00920E8A" w:rsidP="00920E8A">
      <w:pPr>
        <w:spacing w:before="120" w:after="120"/>
      </w:pPr>
      <w:r w:rsidRPr="003A2822">
        <w:t xml:space="preserve">The department may also publish details of subsequent activities completed </w:t>
      </w:r>
      <w:proofErr w:type="gramStart"/>
      <w:r w:rsidRPr="003A2822">
        <w:t>as a result of</w:t>
      </w:r>
      <w:proofErr w:type="gramEnd"/>
      <w:r w:rsidRPr="003A2822">
        <w:t xml:space="preserve"> this grant opportunity on its website or through other media.</w:t>
      </w:r>
    </w:p>
    <w:p w14:paraId="32182167" w14:textId="4A066207" w:rsidR="00920E8A" w:rsidRPr="003A2822" w:rsidRDefault="00920E8A" w:rsidP="0003179E">
      <w:pPr>
        <w:spacing w:before="120" w:after="120"/>
      </w:pPr>
      <w:r w:rsidRPr="003A2822">
        <w:t xml:space="preserve">Such public details may also include information provided by grantees, which is compiled or obtained during the assessment of applications and negotiation of grant agreements. This excludes information that the Commonwealth determines is confidential. </w:t>
      </w:r>
    </w:p>
    <w:p w14:paraId="6470B126" w14:textId="6F8923EE" w:rsidR="00920E8A" w:rsidRPr="003A2822" w:rsidRDefault="00920E8A" w:rsidP="00920E8A">
      <w:pPr>
        <w:pStyle w:val="Heading1Numbered"/>
        <w:rPr>
          <w:sz w:val="32"/>
          <w:szCs w:val="32"/>
        </w:rPr>
      </w:pPr>
      <w:bookmarkStart w:id="77" w:name="_Toc88832387"/>
      <w:r w:rsidRPr="003A2822">
        <w:rPr>
          <w:sz w:val="32"/>
          <w:szCs w:val="32"/>
        </w:rPr>
        <w:t>Grant evaluation</w:t>
      </w:r>
      <w:bookmarkEnd w:id="77"/>
    </w:p>
    <w:p w14:paraId="74CF58AE" w14:textId="77777777" w:rsidR="00920E8A" w:rsidRPr="003A2822" w:rsidRDefault="00920E8A" w:rsidP="00920E8A">
      <w:pPr>
        <w:pStyle w:val="Bullet1"/>
        <w:numPr>
          <w:ilvl w:val="0"/>
          <w:numId w:val="0"/>
        </w:numPr>
        <w:spacing w:after="240" w:line="276" w:lineRule="auto"/>
      </w:pPr>
      <w:r w:rsidRPr="003A2822">
        <w:t>The</w:t>
      </w:r>
      <w:r w:rsidRPr="003A2822">
        <w:rPr>
          <w:b/>
          <w:color w:val="642416" w:themeColor="accent3" w:themeShade="80"/>
        </w:rPr>
        <w:t xml:space="preserve"> </w:t>
      </w:r>
      <w:r w:rsidRPr="003A2822">
        <w:t>department may evaluate the particulars of this grant</w:t>
      </w:r>
      <w:r w:rsidRPr="003A2822">
        <w:rPr>
          <w:color w:val="642416" w:themeColor="accent3" w:themeShade="80"/>
        </w:rPr>
        <w:t xml:space="preserve"> </w:t>
      </w:r>
      <w:r w:rsidRPr="003A2822">
        <w:t>to gather statistical data to measure if policy outcomes and objectives have been achieved, and the department may use any information provided to the Program Administrator during the grant activity for this and related purposes.</w:t>
      </w:r>
    </w:p>
    <w:p w14:paraId="3FDDF036" w14:textId="4F9AF394" w:rsidR="00F0325E" w:rsidRPr="003A2822" w:rsidRDefault="00F0325E" w:rsidP="00733DA1">
      <w:pPr>
        <w:pStyle w:val="Heading1Numbered"/>
        <w:pageBreakBefore/>
        <w:rPr>
          <w:sz w:val="32"/>
          <w:szCs w:val="32"/>
        </w:rPr>
      </w:pPr>
      <w:bookmarkStart w:id="78" w:name="_Toc88832388"/>
      <w:r w:rsidRPr="003A2822">
        <w:rPr>
          <w:sz w:val="32"/>
          <w:szCs w:val="32"/>
        </w:rPr>
        <w:t>Gloss</w:t>
      </w:r>
      <w:r w:rsidR="00AA4E96" w:rsidRPr="003A2822">
        <w:rPr>
          <w:sz w:val="32"/>
          <w:szCs w:val="32"/>
        </w:rPr>
        <w:t>ar</w:t>
      </w:r>
      <w:r w:rsidRPr="003A2822">
        <w:rPr>
          <w:sz w:val="32"/>
          <w:szCs w:val="32"/>
        </w:rPr>
        <w:t>y</w:t>
      </w:r>
      <w:bookmarkEnd w:id="78"/>
    </w:p>
    <w:p w14:paraId="0177263E" w14:textId="28554A9A" w:rsidR="00AA4E96" w:rsidRPr="003A2822" w:rsidRDefault="00AA4E96" w:rsidP="00733DA1"/>
    <w:tbl>
      <w:tblPr>
        <w:tblW w:w="5000" w:type="pct"/>
        <w:tblCellMar>
          <w:left w:w="0" w:type="dxa"/>
          <w:right w:w="0" w:type="dxa"/>
        </w:tblCellMar>
        <w:tblLook w:val="04A0" w:firstRow="1" w:lastRow="0" w:firstColumn="1" w:lastColumn="0" w:noHBand="0" w:noVBand="1"/>
      </w:tblPr>
      <w:tblGrid>
        <w:gridCol w:w="3336"/>
        <w:gridCol w:w="5714"/>
      </w:tblGrid>
      <w:tr w:rsidR="00AA4E96" w:rsidRPr="003A2822" w14:paraId="1237C7CD" w14:textId="77777777" w:rsidTr="00F21EE1">
        <w:trPr>
          <w:cantSplit/>
          <w:tblHeader/>
        </w:trPr>
        <w:tc>
          <w:tcPr>
            <w:tcW w:w="1843" w:type="pct"/>
            <w:tcBorders>
              <w:top w:val="single" w:sz="8" w:space="0" w:color="A6A6A6"/>
              <w:left w:val="single" w:sz="8" w:space="0" w:color="A6A6A6"/>
              <w:bottom w:val="single" w:sz="8" w:space="0" w:color="A6A6A6"/>
              <w:right w:val="single" w:sz="8" w:space="0" w:color="A6A6A6"/>
            </w:tcBorders>
            <w:shd w:val="clear" w:color="auto" w:fill="264F90"/>
            <w:tcMar>
              <w:top w:w="0" w:type="dxa"/>
              <w:left w:w="108" w:type="dxa"/>
              <w:bottom w:w="0" w:type="dxa"/>
              <w:right w:w="108" w:type="dxa"/>
            </w:tcMar>
            <w:vAlign w:val="center"/>
            <w:hideMark/>
          </w:tcPr>
          <w:p w14:paraId="5302D5F7" w14:textId="77777777" w:rsidR="00AA4E96" w:rsidRPr="003A2822" w:rsidRDefault="00AA4E96" w:rsidP="00C371B6">
            <w:pPr>
              <w:pStyle w:val="TableHeadingNumbered"/>
              <w:jc w:val="center"/>
              <w:rPr>
                <w:b/>
                <w:bCs/>
              </w:rPr>
            </w:pPr>
            <w:r w:rsidRPr="003A2822">
              <w:rPr>
                <w:b/>
                <w:bCs/>
              </w:rPr>
              <w:t>Term</w:t>
            </w:r>
          </w:p>
        </w:tc>
        <w:tc>
          <w:tcPr>
            <w:tcW w:w="3157" w:type="pct"/>
            <w:tcBorders>
              <w:top w:val="single" w:sz="8" w:space="0" w:color="A6A6A6"/>
              <w:left w:val="nil"/>
              <w:bottom w:val="single" w:sz="8" w:space="0" w:color="A6A6A6"/>
              <w:right w:val="single" w:sz="8" w:space="0" w:color="A6A6A6"/>
            </w:tcBorders>
            <w:shd w:val="clear" w:color="auto" w:fill="264F90"/>
            <w:tcMar>
              <w:top w:w="0" w:type="dxa"/>
              <w:left w:w="108" w:type="dxa"/>
              <w:bottom w:w="0" w:type="dxa"/>
              <w:right w:w="108" w:type="dxa"/>
            </w:tcMar>
            <w:vAlign w:val="center"/>
            <w:hideMark/>
          </w:tcPr>
          <w:p w14:paraId="2ED73C79" w14:textId="77777777" w:rsidR="00AA4E96" w:rsidRPr="003A2822" w:rsidRDefault="00AA4E96" w:rsidP="00F21EE1">
            <w:pPr>
              <w:pStyle w:val="TableHeadingNumbered"/>
              <w:jc w:val="center"/>
              <w:rPr>
                <w:b/>
                <w:bCs/>
              </w:rPr>
            </w:pPr>
            <w:r w:rsidRPr="003A2822">
              <w:rPr>
                <w:b/>
                <w:bCs/>
              </w:rPr>
              <w:t>Definition</w:t>
            </w:r>
          </w:p>
        </w:tc>
      </w:tr>
      <w:tr w:rsidR="00AA4E96" w:rsidRPr="003A2822" w14:paraId="46622E38"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1D39EC76" w14:textId="77777777" w:rsidR="00AA4E96" w:rsidRPr="003A2822" w:rsidRDefault="00AA4E96" w:rsidP="00F21EE1">
            <w:pPr>
              <w:spacing w:before="60" w:line="320" w:lineRule="atLeast"/>
              <w:rPr>
                <w:rFonts w:ascii="Arial" w:hAnsi="Arial" w:cs="Arial"/>
                <w:sz w:val="20"/>
                <w:szCs w:val="20"/>
              </w:rPr>
            </w:pPr>
            <w:r w:rsidRPr="003A2822">
              <w:rPr>
                <w:rFonts w:ascii="Arial" w:hAnsi="Arial" w:cs="Arial"/>
                <w:sz w:val="20"/>
                <w:szCs w:val="20"/>
              </w:rPr>
              <w:t>administering entity</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52313F9C" w14:textId="708E08FC" w:rsidR="00AA4E96" w:rsidRPr="003A2822" w:rsidRDefault="00AA4E96" w:rsidP="00F21EE1">
            <w:pPr>
              <w:spacing w:before="60" w:line="320" w:lineRule="atLeast"/>
              <w:rPr>
                <w:rFonts w:ascii="Arial" w:hAnsi="Arial" w:cs="Arial"/>
                <w:sz w:val="20"/>
                <w:szCs w:val="20"/>
                <w:lang w:eastAsia="en-AU"/>
              </w:rPr>
            </w:pPr>
            <w:r w:rsidRPr="003A2822">
              <w:rPr>
                <w:rFonts w:ascii="Arial" w:hAnsi="Arial" w:cs="Arial"/>
                <w:sz w:val="20"/>
                <w:szCs w:val="20"/>
                <w:lang w:eastAsia="en-AU"/>
              </w:rPr>
              <w:t xml:space="preserve">when an entity that is not responsible for the policy, is responsible for the administration of part or </w:t>
            </w:r>
            <w:proofErr w:type="gramStart"/>
            <w:r w:rsidRPr="003A2822">
              <w:rPr>
                <w:rFonts w:ascii="Arial" w:hAnsi="Arial" w:cs="Arial"/>
                <w:sz w:val="20"/>
                <w:szCs w:val="20"/>
                <w:lang w:eastAsia="en-AU"/>
              </w:rPr>
              <w:t>all of</w:t>
            </w:r>
            <w:proofErr w:type="gramEnd"/>
            <w:r w:rsidRPr="003A2822">
              <w:rPr>
                <w:rFonts w:ascii="Arial" w:hAnsi="Arial" w:cs="Arial"/>
                <w:sz w:val="20"/>
                <w:szCs w:val="20"/>
                <w:lang w:eastAsia="en-AU"/>
              </w:rPr>
              <w:t xml:space="preserve"> the grant administration processes.</w:t>
            </w:r>
            <w:r w:rsidR="004D5D85" w:rsidRPr="003A2822">
              <w:rPr>
                <w:rFonts w:ascii="Arial" w:hAnsi="Arial" w:cs="Arial"/>
                <w:sz w:val="20"/>
                <w:szCs w:val="20"/>
                <w:lang w:eastAsia="en-AU"/>
              </w:rPr>
              <w:t xml:space="preserve"> For the purposes of this grant opportunity, </w:t>
            </w:r>
            <w:r w:rsidR="003D4923">
              <w:rPr>
                <w:rFonts w:ascii="Arial" w:hAnsi="Arial" w:cs="Arial"/>
                <w:sz w:val="20"/>
                <w:szCs w:val="20"/>
                <w:lang w:eastAsia="en-AU"/>
              </w:rPr>
              <w:t>English Australia</w:t>
            </w:r>
            <w:r w:rsidR="004D5D85" w:rsidRPr="003A2822">
              <w:rPr>
                <w:rFonts w:ascii="Arial" w:hAnsi="Arial" w:cs="Arial"/>
                <w:sz w:val="20"/>
                <w:szCs w:val="20"/>
                <w:lang w:eastAsia="en-AU"/>
              </w:rPr>
              <w:t xml:space="preserve"> is the administering entity.</w:t>
            </w:r>
          </w:p>
        </w:tc>
      </w:tr>
      <w:tr w:rsidR="0012191B" w:rsidRPr="003A2822" w14:paraId="3BA94229"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tcPr>
          <w:p w14:paraId="47AFCDD9" w14:textId="675BE39A" w:rsidR="0012191B" w:rsidRPr="003A2822" w:rsidRDefault="0012191B" w:rsidP="00F21EE1">
            <w:pPr>
              <w:spacing w:before="60" w:line="320" w:lineRule="atLeast"/>
              <w:rPr>
                <w:rFonts w:ascii="Arial" w:hAnsi="Arial" w:cs="Arial"/>
                <w:sz w:val="20"/>
                <w:szCs w:val="20"/>
              </w:rPr>
            </w:pPr>
            <w:r w:rsidRPr="003A2822">
              <w:rPr>
                <w:rFonts w:cstheme="minorHAnsi"/>
              </w:rPr>
              <w:t>ASIC</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tcPr>
          <w:p w14:paraId="3E78CEFB" w14:textId="547532D7" w:rsidR="0012191B" w:rsidRPr="003A2822" w:rsidRDefault="00A92CCC" w:rsidP="00F21EE1">
            <w:pPr>
              <w:spacing w:before="60" w:line="320" w:lineRule="atLeast"/>
              <w:rPr>
                <w:rFonts w:ascii="Arial" w:hAnsi="Arial" w:cs="Arial"/>
                <w:sz w:val="20"/>
                <w:szCs w:val="20"/>
                <w:lang w:eastAsia="en-AU"/>
              </w:rPr>
            </w:pPr>
            <w:r w:rsidRPr="003A2822">
              <w:rPr>
                <w:rFonts w:ascii="Arial" w:hAnsi="Arial" w:cs="Arial"/>
                <w:sz w:val="20"/>
                <w:szCs w:val="20"/>
                <w:lang w:eastAsia="en-AU"/>
              </w:rPr>
              <w:t>Australian Securities and Investments Commission</w:t>
            </w:r>
          </w:p>
        </w:tc>
      </w:tr>
      <w:tr w:rsidR="00F46DAC" w:rsidRPr="003A2822" w14:paraId="562B38DB"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tcPr>
          <w:p w14:paraId="43318FC7" w14:textId="4E51E273" w:rsidR="00F46DAC" w:rsidRPr="003A2822" w:rsidRDefault="00F46DAC" w:rsidP="00F21EE1">
            <w:pPr>
              <w:spacing w:before="60" w:line="320" w:lineRule="atLeast"/>
              <w:rPr>
                <w:rFonts w:ascii="Arial" w:hAnsi="Arial" w:cs="Arial"/>
                <w:sz w:val="20"/>
                <w:szCs w:val="20"/>
              </w:rPr>
            </w:pPr>
            <w:r w:rsidRPr="003A2822">
              <w:rPr>
                <w:rFonts w:ascii="Arial" w:hAnsi="Arial" w:cs="Arial"/>
                <w:sz w:val="20"/>
                <w:szCs w:val="20"/>
              </w:rPr>
              <w:t>ASQA</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tcPr>
          <w:p w14:paraId="5F658EFC" w14:textId="5F7A24ED" w:rsidR="00F46DAC" w:rsidRPr="003A2822" w:rsidRDefault="00F46DAC" w:rsidP="00F21EE1">
            <w:pPr>
              <w:spacing w:before="60" w:line="320" w:lineRule="atLeast"/>
              <w:rPr>
                <w:rFonts w:ascii="Arial" w:hAnsi="Arial" w:cs="Arial"/>
                <w:sz w:val="20"/>
                <w:szCs w:val="20"/>
                <w:lang w:eastAsia="en-AU"/>
              </w:rPr>
            </w:pPr>
            <w:r w:rsidRPr="003A2822">
              <w:rPr>
                <w:rFonts w:ascii="Arial" w:hAnsi="Arial" w:cs="Arial"/>
                <w:sz w:val="20"/>
                <w:szCs w:val="20"/>
                <w:lang w:eastAsia="en-AU"/>
              </w:rPr>
              <w:t>Australian Skills and Quality Authority</w:t>
            </w:r>
          </w:p>
        </w:tc>
      </w:tr>
      <w:tr w:rsidR="00AA4E96" w:rsidRPr="003A2822" w14:paraId="33990460"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3F93FF6C" w14:textId="77777777" w:rsidR="00AA4E96" w:rsidRPr="003A2822" w:rsidRDefault="00AA4E96" w:rsidP="00F21EE1">
            <w:pPr>
              <w:spacing w:before="60" w:line="320" w:lineRule="atLeast"/>
              <w:rPr>
                <w:rFonts w:ascii="Arial" w:hAnsi="Arial" w:cs="Arial"/>
                <w:sz w:val="20"/>
                <w:szCs w:val="20"/>
              </w:rPr>
            </w:pPr>
            <w:r w:rsidRPr="003A2822">
              <w:rPr>
                <w:rFonts w:ascii="Arial" w:hAnsi="Arial" w:cs="Arial"/>
                <w:sz w:val="20"/>
                <w:szCs w:val="20"/>
              </w:rPr>
              <w:t>assessment criteria</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2BBAAD59" w14:textId="04A79EED" w:rsidR="00AA4E96" w:rsidRPr="003A2822" w:rsidRDefault="00AA4E96" w:rsidP="00F21EE1">
            <w:pPr>
              <w:spacing w:before="60" w:line="320" w:lineRule="atLeast"/>
              <w:rPr>
                <w:rFonts w:ascii="Arial" w:hAnsi="Arial" w:cs="Arial"/>
                <w:sz w:val="20"/>
                <w:szCs w:val="20"/>
              </w:rPr>
            </w:pPr>
            <w:r w:rsidRPr="003A2822">
              <w:rPr>
                <w:rFonts w:ascii="Arial" w:hAnsi="Arial" w:cs="Arial"/>
                <w:sz w:val="20"/>
                <w:szCs w:val="20"/>
                <w:lang w:eastAsia="en-AU"/>
              </w:rPr>
              <w:t xml:space="preserve">are the specified principles or standards, against which applications will be </w:t>
            </w:r>
            <w:proofErr w:type="gramStart"/>
            <w:r w:rsidRPr="003A2822">
              <w:rPr>
                <w:rFonts w:ascii="Arial" w:hAnsi="Arial" w:cs="Arial"/>
                <w:sz w:val="20"/>
                <w:szCs w:val="20"/>
                <w:lang w:eastAsia="en-AU"/>
              </w:rPr>
              <w:t>judged.</w:t>
            </w:r>
            <w:proofErr w:type="gramEnd"/>
            <w:r w:rsidRPr="003A2822">
              <w:rPr>
                <w:rFonts w:ascii="Arial" w:hAnsi="Arial" w:cs="Arial"/>
                <w:sz w:val="20"/>
                <w:szCs w:val="20"/>
                <w:lang w:eastAsia="en-AU"/>
              </w:rPr>
              <w:t xml:space="preserve"> These criteria are also used to assess the merits of proposals and, in the case of a competitive grant opportunity, to determine application rankings.</w:t>
            </w:r>
            <w:r w:rsidR="00E43D38" w:rsidRPr="003A2822">
              <w:rPr>
                <w:rFonts w:ascii="Arial" w:hAnsi="Arial" w:cs="Arial"/>
                <w:sz w:val="20"/>
                <w:szCs w:val="20"/>
                <w:lang w:eastAsia="en-AU"/>
              </w:rPr>
              <w:t xml:space="preserve"> The assessment criteria for this grant opportunity are set out in section 3.2 of these guidelines. </w:t>
            </w:r>
          </w:p>
        </w:tc>
      </w:tr>
      <w:tr w:rsidR="00723A41" w:rsidRPr="003A2822" w14:paraId="69F8EBC1"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tcPr>
          <w:p w14:paraId="3E2BC679" w14:textId="2B6C9CA5" w:rsidR="00723A41" w:rsidRPr="003A2822" w:rsidRDefault="00723A41" w:rsidP="00F21EE1">
            <w:pPr>
              <w:spacing w:before="60" w:line="320" w:lineRule="atLeast"/>
              <w:rPr>
                <w:rFonts w:ascii="Arial" w:hAnsi="Arial" w:cs="Arial"/>
                <w:sz w:val="20"/>
                <w:szCs w:val="20"/>
              </w:rPr>
            </w:pPr>
            <w:r w:rsidRPr="003A2822">
              <w:rPr>
                <w:rFonts w:ascii="Arial" w:hAnsi="Arial" w:cs="Arial"/>
                <w:sz w:val="20"/>
                <w:szCs w:val="20"/>
              </w:rPr>
              <w:t>calendar year</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tcPr>
          <w:p w14:paraId="3069E813" w14:textId="7808E22B" w:rsidR="00723A41" w:rsidRPr="003A2822" w:rsidRDefault="00723A41" w:rsidP="00F21EE1">
            <w:pPr>
              <w:spacing w:before="60" w:line="320" w:lineRule="atLeast"/>
              <w:rPr>
                <w:rFonts w:ascii="Arial" w:hAnsi="Arial" w:cs="Arial"/>
                <w:sz w:val="20"/>
                <w:szCs w:val="20"/>
                <w:lang w:eastAsia="en-AU"/>
              </w:rPr>
            </w:pPr>
            <w:r w:rsidRPr="003A2822">
              <w:rPr>
                <w:rFonts w:ascii="Arial" w:hAnsi="Arial" w:cs="Arial"/>
                <w:sz w:val="20"/>
                <w:szCs w:val="20"/>
                <w:lang w:eastAsia="en-AU"/>
              </w:rPr>
              <w:t>the period from 1 January to 31 December of the same year.</w:t>
            </w:r>
          </w:p>
        </w:tc>
      </w:tr>
      <w:tr w:rsidR="00AA4E96" w:rsidRPr="003A2822" w14:paraId="1BE4A3A9"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063FA802" w14:textId="77777777" w:rsidR="00AA4E96" w:rsidRPr="003A2822" w:rsidRDefault="00AA4E96" w:rsidP="00F21EE1">
            <w:pPr>
              <w:spacing w:before="60" w:line="320" w:lineRule="atLeast"/>
              <w:rPr>
                <w:rFonts w:ascii="Arial" w:hAnsi="Arial" w:cs="Arial"/>
                <w:sz w:val="20"/>
                <w:szCs w:val="20"/>
              </w:rPr>
            </w:pPr>
            <w:r w:rsidRPr="003A2822">
              <w:rPr>
                <w:rFonts w:ascii="Arial" w:hAnsi="Arial" w:cs="Arial"/>
                <w:sz w:val="20"/>
                <w:szCs w:val="20"/>
              </w:rPr>
              <w:t>commencement date</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531D08BA" w14:textId="6B1BC0CC" w:rsidR="00AA4E96" w:rsidRPr="003A2822" w:rsidRDefault="00AA4E96" w:rsidP="00F21EE1">
            <w:pPr>
              <w:spacing w:before="60" w:line="320" w:lineRule="atLeast"/>
              <w:rPr>
                <w:rFonts w:ascii="Arial" w:hAnsi="Arial" w:cs="Arial"/>
                <w:sz w:val="20"/>
                <w:szCs w:val="20"/>
              </w:rPr>
            </w:pPr>
            <w:r w:rsidRPr="003A2822">
              <w:rPr>
                <w:rFonts w:ascii="Arial" w:hAnsi="Arial" w:cs="Arial"/>
                <w:sz w:val="20"/>
                <w:szCs w:val="20"/>
              </w:rPr>
              <w:t>the start date for the grant activity.</w:t>
            </w:r>
            <w:r w:rsidR="00E43D38" w:rsidRPr="003A2822">
              <w:rPr>
                <w:rFonts w:ascii="Arial" w:hAnsi="Arial" w:cs="Arial"/>
                <w:sz w:val="20"/>
                <w:szCs w:val="20"/>
              </w:rPr>
              <w:t xml:space="preserve"> </w:t>
            </w:r>
            <w:r w:rsidR="005F3E0E" w:rsidRPr="003A2822">
              <w:rPr>
                <w:rFonts w:ascii="Arial" w:hAnsi="Arial" w:cs="Arial"/>
                <w:sz w:val="20"/>
                <w:szCs w:val="20"/>
              </w:rPr>
              <w:t>This is expected to be the day directly after the date the grant agreement is executed.</w:t>
            </w:r>
          </w:p>
        </w:tc>
      </w:tr>
      <w:tr w:rsidR="00AA4E96" w:rsidRPr="003A2822" w14:paraId="583AD0BC"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2D6746F0" w14:textId="53999B4B" w:rsidR="00AA4E96" w:rsidRPr="003A2822" w:rsidRDefault="00AA4E96" w:rsidP="00F21EE1">
            <w:pPr>
              <w:spacing w:before="60" w:line="320" w:lineRule="atLeast"/>
              <w:rPr>
                <w:rFonts w:ascii="Arial" w:hAnsi="Arial" w:cs="Arial"/>
                <w:sz w:val="20"/>
                <w:szCs w:val="20"/>
              </w:rPr>
            </w:pPr>
            <w:r w:rsidRPr="003A2822">
              <w:rPr>
                <w:rFonts w:ascii="Arial" w:hAnsi="Arial" w:cs="Arial"/>
                <w:sz w:val="20"/>
                <w:szCs w:val="20"/>
              </w:rPr>
              <w:t>Commonwealth entity</w:t>
            </w:r>
            <w:r w:rsidR="0099356A" w:rsidRPr="003A2822">
              <w:rPr>
                <w:rFonts w:ascii="Arial" w:hAnsi="Arial" w:cs="Arial"/>
                <w:sz w:val="20"/>
                <w:szCs w:val="20"/>
              </w:rPr>
              <w:t xml:space="preserve">, Commonwealth policy entity. </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6E193608" w14:textId="231560A8" w:rsidR="00AA4E96" w:rsidRPr="003A2822" w:rsidRDefault="00AA4E96" w:rsidP="00F21EE1">
            <w:pPr>
              <w:spacing w:before="60" w:line="320" w:lineRule="atLeast"/>
              <w:rPr>
                <w:rFonts w:ascii="Arial" w:hAnsi="Arial" w:cs="Arial"/>
                <w:sz w:val="20"/>
                <w:szCs w:val="20"/>
                <w:lang w:eastAsia="en-AU"/>
              </w:rPr>
            </w:pPr>
            <w:r w:rsidRPr="003A2822">
              <w:rPr>
                <w:rFonts w:ascii="Arial" w:hAnsi="Arial" w:cs="Arial"/>
                <w:sz w:val="20"/>
                <w:szCs w:val="20"/>
                <w:lang w:eastAsia="en-AU"/>
              </w:rPr>
              <w:t>a department of state, or a parliamentary department, or a listed entity or a body corporate established by a law of the Commonwealth. See subsections 10(1) and (2) of the PGPA Act.</w:t>
            </w:r>
            <w:r w:rsidR="0099356A" w:rsidRPr="003A2822">
              <w:rPr>
                <w:rFonts w:ascii="Arial" w:hAnsi="Arial" w:cs="Arial"/>
                <w:sz w:val="20"/>
                <w:szCs w:val="20"/>
                <w:lang w:eastAsia="en-AU"/>
              </w:rPr>
              <w:t xml:space="preserve"> For the purposes of this grant activity, the Commonwealth policy entity is the Department of Education, Skills and Employment</w:t>
            </w:r>
            <w:r w:rsidR="00665886" w:rsidRPr="003A2822">
              <w:rPr>
                <w:rFonts w:ascii="Arial" w:hAnsi="Arial" w:cs="Arial"/>
                <w:sz w:val="20"/>
                <w:szCs w:val="20"/>
                <w:lang w:eastAsia="en-AU"/>
              </w:rPr>
              <w:t>, unless otherwise stated</w:t>
            </w:r>
            <w:r w:rsidR="0099356A" w:rsidRPr="003A2822">
              <w:rPr>
                <w:rFonts w:ascii="Arial" w:hAnsi="Arial" w:cs="Arial"/>
                <w:sz w:val="20"/>
                <w:szCs w:val="20"/>
                <w:lang w:eastAsia="en-AU"/>
              </w:rPr>
              <w:t xml:space="preserve">. </w:t>
            </w:r>
          </w:p>
        </w:tc>
      </w:tr>
      <w:tr w:rsidR="00AA4E96" w:rsidRPr="003A2822" w14:paraId="78D473E9"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636691A3" w14:textId="77777777" w:rsidR="00AA4E96" w:rsidRPr="003A2822" w:rsidRDefault="00A21103" w:rsidP="00F21EE1">
            <w:pPr>
              <w:spacing w:before="60" w:line="320" w:lineRule="atLeast"/>
              <w:rPr>
                <w:rFonts w:ascii="Arial" w:hAnsi="Arial" w:cs="Arial"/>
                <w:sz w:val="20"/>
                <w:szCs w:val="20"/>
              </w:rPr>
            </w:pPr>
            <w:hyperlink r:id="rId13" w:history="1">
              <w:r w:rsidR="00AA4E96" w:rsidRPr="003A2822">
                <w:rPr>
                  <w:rStyle w:val="Hyperlink"/>
                  <w:rFonts w:ascii="Arial" w:hAnsi="Arial" w:cs="Arial"/>
                  <w:i/>
                  <w:iCs/>
                  <w:sz w:val="20"/>
                  <w:szCs w:val="20"/>
                </w:rPr>
                <w:t>Commonwealth Grants Rules and Guidelines (CGRGs)</w:t>
              </w:r>
            </w:hyperlink>
            <w:r w:rsidR="00AA4E96" w:rsidRPr="003A2822">
              <w:rPr>
                <w:rStyle w:val="Hyperlink"/>
                <w:rFonts w:ascii="Arial" w:hAnsi="Arial" w:cs="Arial"/>
                <w:i/>
                <w:iCs/>
                <w:sz w:val="20"/>
                <w:szCs w:val="20"/>
              </w:rPr>
              <w:t xml:space="preserve"> </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70EE1625" w14:textId="77777777" w:rsidR="00AA4E96" w:rsidRPr="003A2822" w:rsidRDefault="00AA4E96" w:rsidP="00F21EE1">
            <w:pPr>
              <w:spacing w:before="60" w:line="320" w:lineRule="atLeast"/>
              <w:rPr>
                <w:rFonts w:ascii="Arial" w:hAnsi="Arial" w:cs="Arial"/>
                <w:sz w:val="20"/>
                <w:szCs w:val="20"/>
                <w:lang w:eastAsia="en-AU"/>
              </w:rPr>
            </w:pPr>
            <w:r w:rsidRPr="003A2822">
              <w:rPr>
                <w:rFonts w:ascii="Arial" w:hAnsi="Arial" w:cs="Arial"/>
                <w:sz w:val="20"/>
                <w:szCs w:val="20"/>
                <w:lang w:eastAsia="en-AU"/>
              </w:rPr>
              <w:t>establish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AA4E96" w:rsidRPr="003A2822" w14:paraId="1EB242C9"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096FB632" w14:textId="77777777" w:rsidR="00AA4E96" w:rsidRPr="003A2822" w:rsidRDefault="00AA4E96" w:rsidP="00F21EE1">
            <w:pPr>
              <w:spacing w:before="60" w:line="320" w:lineRule="atLeast"/>
              <w:rPr>
                <w:rFonts w:ascii="Arial" w:hAnsi="Arial" w:cs="Arial"/>
                <w:sz w:val="20"/>
                <w:szCs w:val="20"/>
              </w:rPr>
            </w:pPr>
            <w:r w:rsidRPr="003A2822">
              <w:rPr>
                <w:rFonts w:ascii="Arial" w:hAnsi="Arial" w:cs="Arial"/>
                <w:sz w:val="20"/>
                <w:szCs w:val="20"/>
              </w:rPr>
              <w:t>completion date</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1DAD5C15" w14:textId="4E3C818C" w:rsidR="00AA4E96" w:rsidRPr="003A2822" w:rsidRDefault="00AA4E96" w:rsidP="00F21EE1">
            <w:pPr>
              <w:spacing w:before="60" w:line="320" w:lineRule="atLeast"/>
              <w:rPr>
                <w:rFonts w:ascii="Arial" w:hAnsi="Arial" w:cs="Arial"/>
                <w:sz w:val="20"/>
                <w:szCs w:val="20"/>
              </w:rPr>
            </w:pPr>
            <w:r w:rsidRPr="003A2822">
              <w:rPr>
                <w:rFonts w:ascii="Arial" w:hAnsi="Arial" w:cs="Arial"/>
                <w:sz w:val="20"/>
                <w:szCs w:val="20"/>
              </w:rPr>
              <w:t xml:space="preserve">the expected date that the grant activity must be </w:t>
            </w:r>
            <w:proofErr w:type="gramStart"/>
            <w:r w:rsidRPr="003A2822">
              <w:rPr>
                <w:rFonts w:ascii="Arial" w:hAnsi="Arial" w:cs="Arial"/>
                <w:sz w:val="20"/>
                <w:szCs w:val="20"/>
              </w:rPr>
              <w:t>completed</w:t>
            </w:r>
            <w:proofErr w:type="gramEnd"/>
            <w:r w:rsidRPr="003A2822">
              <w:rPr>
                <w:rFonts w:ascii="Arial" w:hAnsi="Arial" w:cs="Arial"/>
                <w:sz w:val="20"/>
                <w:szCs w:val="20"/>
              </w:rPr>
              <w:t xml:space="preserve"> and the grant spent by.</w:t>
            </w:r>
            <w:r w:rsidR="005F3E0E" w:rsidRPr="003A2822">
              <w:rPr>
                <w:rFonts w:ascii="Arial" w:hAnsi="Arial" w:cs="Arial"/>
                <w:sz w:val="20"/>
                <w:szCs w:val="20"/>
              </w:rPr>
              <w:t xml:space="preserve"> For this grant opportunity, the completion date will be 31 December 2022.</w:t>
            </w:r>
          </w:p>
        </w:tc>
      </w:tr>
      <w:tr w:rsidR="00AA4E96" w:rsidRPr="003A2822" w14:paraId="08A8F6D8"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37B8D27E" w14:textId="77777777" w:rsidR="00AA4E96" w:rsidRPr="003A2822" w:rsidRDefault="00AA4E96" w:rsidP="00F21EE1">
            <w:pPr>
              <w:spacing w:before="60" w:line="320" w:lineRule="atLeast"/>
              <w:rPr>
                <w:rFonts w:ascii="Arial" w:hAnsi="Arial" w:cs="Arial"/>
                <w:sz w:val="20"/>
                <w:szCs w:val="20"/>
              </w:rPr>
            </w:pPr>
            <w:r w:rsidRPr="003A2822">
              <w:rPr>
                <w:rFonts w:ascii="Arial" w:hAnsi="Arial" w:cs="Arial"/>
                <w:sz w:val="20"/>
                <w:szCs w:val="20"/>
              </w:rPr>
              <w:t>consortium/consortia</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486FEB76" w14:textId="77777777" w:rsidR="00AA4E96" w:rsidRPr="003A2822" w:rsidRDefault="00AA4E96" w:rsidP="00F21EE1">
            <w:pPr>
              <w:spacing w:before="60" w:line="320" w:lineRule="atLeast"/>
              <w:rPr>
                <w:rFonts w:ascii="Arial" w:hAnsi="Arial" w:cs="Arial"/>
                <w:sz w:val="20"/>
                <w:szCs w:val="20"/>
                <w:lang w:eastAsia="en-AU"/>
              </w:rPr>
            </w:pPr>
            <w:r w:rsidRPr="003A2822">
              <w:rPr>
                <w:rFonts w:ascii="Arial" w:hAnsi="Arial" w:cs="Arial"/>
                <w:sz w:val="20"/>
                <w:szCs w:val="20"/>
                <w:lang w:eastAsia="en-AU"/>
              </w:rPr>
              <w:t xml:space="preserve">a formal arrangement between two or more eligible tertiary education providers. A lead organisation must be appointed who can </w:t>
            </w:r>
            <w:proofErr w:type="gramStart"/>
            <w:r w:rsidRPr="003A2822">
              <w:rPr>
                <w:rFonts w:ascii="Arial" w:hAnsi="Arial" w:cs="Arial"/>
                <w:sz w:val="20"/>
                <w:szCs w:val="20"/>
                <w:lang w:eastAsia="en-AU"/>
              </w:rPr>
              <w:t>submit an application</w:t>
            </w:r>
            <w:proofErr w:type="gramEnd"/>
            <w:r w:rsidRPr="003A2822">
              <w:rPr>
                <w:rFonts w:ascii="Arial" w:hAnsi="Arial" w:cs="Arial"/>
                <w:sz w:val="20"/>
                <w:szCs w:val="20"/>
                <w:lang w:eastAsia="en-AU"/>
              </w:rPr>
              <w:t xml:space="preserve"> form and enter into a grant agreement with the Commonwealth. </w:t>
            </w:r>
          </w:p>
        </w:tc>
      </w:tr>
      <w:tr w:rsidR="0012191B" w:rsidRPr="003A2822" w14:paraId="1CE46AC4"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tcPr>
          <w:p w14:paraId="379A34C7" w14:textId="60EC6BA8" w:rsidR="0012191B" w:rsidRPr="003A2822" w:rsidRDefault="0012191B" w:rsidP="00F21EE1">
            <w:pPr>
              <w:spacing w:before="60" w:line="320" w:lineRule="atLeast"/>
              <w:rPr>
                <w:rFonts w:ascii="Arial" w:hAnsi="Arial" w:cs="Arial"/>
                <w:sz w:val="20"/>
                <w:szCs w:val="20"/>
              </w:rPr>
            </w:pPr>
            <w:r w:rsidRPr="003A2822">
              <w:rPr>
                <w:rFonts w:ascii="Arial" w:hAnsi="Arial" w:cs="Arial"/>
                <w:sz w:val="20"/>
                <w:szCs w:val="20"/>
              </w:rPr>
              <w:t>CRICOS</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tcPr>
          <w:p w14:paraId="31E798FA" w14:textId="7BF1D156" w:rsidR="0012191B" w:rsidRPr="003A2822" w:rsidRDefault="00A92CCC" w:rsidP="00F21EE1">
            <w:pPr>
              <w:spacing w:before="60" w:line="320" w:lineRule="atLeast"/>
              <w:rPr>
                <w:rFonts w:ascii="Arial" w:hAnsi="Arial" w:cs="Arial"/>
                <w:sz w:val="20"/>
                <w:szCs w:val="20"/>
                <w:lang w:eastAsia="en-AU"/>
              </w:rPr>
            </w:pPr>
            <w:r w:rsidRPr="003A2822">
              <w:rPr>
                <w:rFonts w:ascii="Arial" w:hAnsi="Arial" w:cs="Arial"/>
                <w:sz w:val="20"/>
                <w:szCs w:val="20"/>
                <w:lang w:eastAsia="en-AU"/>
              </w:rPr>
              <w:t>Commonwealth Register of Institutions and Courses for Overseas Students</w:t>
            </w:r>
          </w:p>
        </w:tc>
      </w:tr>
      <w:tr w:rsidR="00AA4E96" w:rsidRPr="003A2822" w14:paraId="7BFD581E"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2B7D3D02" w14:textId="52DC56BE" w:rsidR="00AA4E96" w:rsidRPr="003A2822" w:rsidRDefault="00AA4E96" w:rsidP="00F21EE1">
            <w:pPr>
              <w:spacing w:before="60" w:line="320" w:lineRule="atLeast"/>
              <w:rPr>
                <w:rFonts w:ascii="Arial" w:hAnsi="Arial" w:cs="Arial"/>
                <w:sz w:val="20"/>
                <w:szCs w:val="20"/>
              </w:rPr>
            </w:pPr>
            <w:r w:rsidRPr="003A2822">
              <w:rPr>
                <w:rFonts w:ascii="Arial" w:hAnsi="Arial" w:cs="Arial"/>
                <w:sz w:val="20"/>
                <w:szCs w:val="20"/>
              </w:rPr>
              <w:t>date of effect</w:t>
            </w:r>
            <w:r w:rsidR="007D2B36" w:rsidRPr="003A2822">
              <w:rPr>
                <w:rFonts w:ascii="Arial" w:hAnsi="Arial" w:cs="Arial"/>
                <w:sz w:val="20"/>
                <w:szCs w:val="20"/>
              </w:rPr>
              <w:t>, date of execution</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7E9A2EAB" w14:textId="44065CB5" w:rsidR="00AA4E96" w:rsidRPr="003A2822" w:rsidRDefault="00AA4E96" w:rsidP="00F21EE1">
            <w:pPr>
              <w:spacing w:before="60" w:line="320" w:lineRule="atLeast"/>
              <w:rPr>
                <w:rFonts w:ascii="Arial" w:hAnsi="Arial" w:cs="Arial"/>
                <w:i/>
                <w:iCs/>
                <w:sz w:val="20"/>
                <w:szCs w:val="20"/>
              </w:rPr>
            </w:pPr>
            <w:r w:rsidRPr="003A2822">
              <w:rPr>
                <w:rFonts w:ascii="Arial" w:hAnsi="Arial" w:cs="Arial"/>
                <w:sz w:val="20"/>
                <w:szCs w:val="20"/>
                <w:lang w:eastAsia="en-AU"/>
              </w:rPr>
              <w:t xml:space="preserve">the date on which a grant agreement is signed or a specified starting date. </w:t>
            </w:r>
          </w:p>
        </w:tc>
      </w:tr>
      <w:tr w:rsidR="00AA4E96" w:rsidRPr="003A2822" w14:paraId="756A91D9"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412A7CCC" w14:textId="77777777" w:rsidR="00AA4E96" w:rsidRPr="003A2822" w:rsidRDefault="00AA4E96" w:rsidP="00F21EE1">
            <w:pPr>
              <w:spacing w:before="60" w:line="320" w:lineRule="atLeast"/>
              <w:rPr>
                <w:rFonts w:ascii="Arial" w:hAnsi="Arial" w:cs="Arial"/>
                <w:sz w:val="20"/>
                <w:szCs w:val="20"/>
              </w:rPr>
            </w:pPr>
            <w:r w:rsidRPr="003A2822">
              <w:rPr>
                <w:rFonts w:ascii="Arial" w:hAnsi="Arial" w:cs="Arial"/>
                <w:sz w:val="20"/>
                <w:szCs w:val="20"/>
              </w:rPr>
              <w:t>decision maker</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1602685E" w14:textId="0C2DE352" w:rsidR="00AA4E96" w:rsidRPr="003A2822" w:rsidRDefault="00AA4E96" w:rsidP="00F21EE1">
            <w:pPr>
              <w:spacing w:before="60" w:line="320" w:lineRule="atLeast"/>
              <w:rPr>
                <w:rFonts w:ascii="Arial" w:hAnsi="Arial" w:cs="Arial"/>
                <w:sz w:val="20"/>
                <w:szCs w:val="20"/>
              </w:rPr>
            </w:pPr>
            <w:r w:rsidRPr="003A2822">
              <w:rPr>
                <w:rFonts w:ascii="Arial" w:hAnsi="Arial" w:cs="Arial"/>
                <w:sz w:val="20"/>
                <w:szCs w:val="20"/>
                <w:lang w:eastAsia="en-AU"/>
              </w:rPr>
              <w:t xml:space="preserve">the person who </w:t>
            </w:r>
            <w:proofErr w:type="gramStart"/>
            <w:r w:rsidRPr="003A2822">
              <w:rPr>
                <w:rFonts w:ascii="Arial" w:hAnsi="Arial" w:cs="Arial"/>
                <w:sz w:val="20"/>
                <w:szCs w:val="20"/>
                <w:lang w:eastAsia="en-AU"/>
              </w:rPr>
              <w:t>makes a decision</w:t>
            </w:r>
            <w:proofErr w:type="gramEnd"/>
            <w:r w:rsidRPr="003A2822">
              <w:rPr>
                <w:rFonts w:ascii="Arial" w:hAnsi="Arial" w:cs="Arial"/>
                <w:sz w:val="20"/>
                <w:szCs w:val="20"/>
                <w:lang w:eastAsia="en-AU"/>
              </w:rPr>
              <w:t xml:space="preserve"> to award a grant.</w:t>
            </w:r>
            <w:r w:rsidR="005F3E0E" w:rsidRPr="003A2822">
              <w:rPr>
                <w:rFonts w:ascii="Arial" w:hAnsi="Arial" w:cs="Arial"/>
                <w:sz w:val="20"/>
                <w:szCs w:val="20"/>
                <w:lang w:eastAsia="en-AU"/>
              </w:rPr>
              <w:t xml:space="preserve"> For this grant opportunity, </w:t>
            </w:r>
            <w:r w:rsidR="003D4923">
              <w:rPr>
                <w:rFonts w:ascii="Arial" w:hAnsi="Arial" w:cs="Arial"/>
                <w:sz w:val="20"/>
                <w:szCs w:val="20"/>
                <w:lang w:eastAsia="en-AU"/>
              </w:rPr>
              <w:t>English Australia</w:t>
            </w:r>
            <w:r w:rsidR="005F3E0E" w:rsidRPr="003A2822">
              <w:rPr>
                <w:rFonts w:ascii="Arial" w:hAnsi="Arial" w:cs="Arial"/>
                <w:sz w:val="20"/>
                <w:szCs w:val="20"/>
                <w:lang w:eastAsia="en-AU"/>
              </w:rPr>
              <w:t xml:space="preserve"> is the decision maker. </w:t>
            </w:r>
          </w:p>
        </w:tc>
      </w:tr>
      <w:tr w:rsidR="0012191B" w:rsidRPr="003A2822" w14:paraId="7591856D"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tcPr>
          <w:p w14:paraId="48447971" w14:textId="1834B234" w:rsidR="0012191B" w:rsidRPr="003A2822" w:rsidRDefault="0012191B" w:rsidP="00F21EE1">
            <w:pPr>
              <w:spacing w:before="60" w:line="320" w:lineRule="atLeast"/>
              <w:rPr>
                <w:rFonts w:ascii="Arial" w:hAnsi="Arial" w:cs="Arial"/>
                <w:sz w:val="20"/>
                <w:szCs w:val="20"/>
              </w:rPr>
            </w:pPr>
            <w:r w:rsidRPr="003A2822">
              <w:rPr>
                <w:rFonts w:ascii="Arial" w:hAnsi="Arial" w:cs="Arial"/>
                <w:sz w:val="20"/>
                <w:szCs w:val="20"/>
              </w:rPr>
              <w:t>ELICOS</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tcPr>
          <w:p w14:paraId="05F3D07A" w14:textId="02074ACC" w:rsidR="0012191B" w:rsidRPr="003A2822" w:rsidRDefault="0012191B" w:rsidP="00F21EE1">
            <w:pPr>
              <w:spacing w:before="60" w:line="320" w:lineRule="atLeast"/>
              <w:rPr>
                <w:rFonts w:ascii="Arial" w:hAnsi="Arial" w:cs="Arial"/>
                <w:sz w:val="20"/>
                <w:szCs w:val="20"/>
                <w:lang w:eastAsia="en-AU"/>
              </w:rPr>
            </w:pPr>
            <w:r w:rsidRPr="003A2822">
              <w:rPr>
                <w:rFonts w:ascii="Arial" w:hAnsi="Arial" w:cs="Arial"/>
                <w:sz w:val="20"/>
                <w:szCs w:val="20"/>
                <w:lang w:eastAsia="en-AU"/>
              </w:rPr>
              <w:t>English Language Intensive Courses for Overseas Students</w:t>
            </w:r>
          </w:p>
        </w:tc>
      </w:tr>
      <w:tr w:rsidR="005B11EB" w:rsidRPr="003A2822" w14:paraId="314AB748"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tcPr>
          <w:p w14:paraId="311080CF" w14:textId="4C2C5AF9" w:rsidR="005B11EB" w:rsidRPr="003A2822" w:rsidRDefault="003A26FE" w:rsidP="00F21EE1">
            <w:pPr>
              <w:spacing w:before="60" w:line="320" w:lineRule="atLeast"/>
              <w:rPr>
                <w:rFonts w:ascii="Arial" w:hAnsi="Arial" w:cs="Arial"/>
                <w:sz w:val="20"/>
                <w:szCs w:val="20"/>
              </w:rPr>
            </w:pPr>
            <w:r w:rsidRPr="003A2822">
              <w:rPr>
                <w:rFonts w:ascii="Arial" w:hAnsi="Arial" w:cs="Arial"/>
                <w:sz w:val="20"/>
                <w:szCs w:val="20"/>
              </w:rPr>
              <w:t>ELICOS provider</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tcPr>
          <w:p w14:paraId="612A5D50" w14:textId="4009798B" w:rsidR="005B11EB" w:rsidRPr="003A2822" w:rsidRDefault="00732336" w:rsidP="00F21EE1">
            <w:pPr>
              <w:spacing w:before="60" w:line="320" w:lineRule="atLeast"/>
              <w:rPr>
                <w:rFonts w:ascii="Arial" w:hAnsi="Arial" w:cs="Arial"/>
                <w:sz w:val="20"/>
                <w:szCs w:val="20"/>
                <w:lang w:eastAsia="en-AU"/>
              </w:rPr>
            </w:pPr>
            <w:r w:rsidRPr="003A2822">
              <w:rPr>
                <w:rFonts w:ascii="Arial" w:hAnsi="Arial" w:cs="Arial"/>
                <w:sz w:val="20"/>
                <w:szCs w:val="20"/>
                <w:lang w:eastAsia="en-AU"/>
              </w:rPr>
              <w:t>Education provider that delivers English Language Intensive Courses for Overseas Students</w:t>
            </w:r>
          </w:p>
        </w:tc>
      </w:tr>
      <w:tr w:rsidR="000C42C2" w:rsidRPr="003A2822" w14:paraId="2F140826"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tcPr>
          <w:p w14:paraId="4E7AAA51" w14:textId="0A0AF0B2" w:rsidR="000C42C2" w:rsidRPr="003A2822" w:rsidRDefault="000C42C2" w:rsidP="000C42C2">
            <w:pPr>
              <w:spacing w:before="60" w:line="320" w:lineRule="atLeast"/>
              <w:rPr>
                <w:rFonts w:ascii="Arial" w:hAnsi="Arial" w:cs="Arial"/>
                <w:sz w:val="20"/>
                <w:szCs w:val="20"/>
              </w:rPr>
            </w:pPr>
            <w:r>
              <w:rPr>
                <w:rFonts w:ascii="Arial" w:hAnsi="Arial" w:cs="Arial"/>
                <w:sz w:val="20"/>
                <w:szCs w:val="20"/>
              </w:rPr>
              <w:t>(</w:t>
            </w:r>
            <w:r w:rsidRPr="000C42C2">
              <w:rPr>
                <w:rFonts w:ascii="Arial" w:hAnsi="Arial" w:cs="Arial"/>
                <w:sz w:val="20"/>
                <w:szCs w:val="20"/>
              </w:rPr>
              <w:t>primarily delivers</w:t>
            </w:r>
            <w:r>
              <w:rPr>
                <w:rFonts w:ascii="Arial" w:hAnsi="Arial" w:cs="Arial"/>
                <w:sz w:val="20"/>
                <w:szCs w:val="20"/>
              </w:rPr>
              <w:t>)</w:t>
            </w:r>
            <w:r w:rsidRPr="000C42C2">
              <w:rPr>
                <w:rFonts w:ascii="Arial" w:hAnsi="Arial" w:cs="Arial"/>
                <w:sz w:val="20"/>
                <w:szCs w:val="20"/>
              </w:rPr>
              <w:t xml:space="preserve"> ELICOS</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tcPr>
          <w:p w14:paraId="52E4D033" w14:textId="752C2720" w:rsidR="000C42C2" w:rsidRPr="003A2822" w:rsidRDefault="000C42C2" w:rsidP="000C42C2">
            <w:pPr>
              <w:spacing w:before="60" w:line="320" w:lineRule="atLeast"/>
              <w:rPr>
                <w:rFonts w:ascii="Arial" w:hAnsi="Arial" w:cs="Arial"/>
                <w:sz w:val="20"/>
                <w:szCs w:val="20"/>
                <w:lang w:eastAsia="en-AU"/>
              </w:rPr>
            </w:pPr>
            <w:r w:rsidRPr="003A2822">
              <w:rPr>
                <w:rFonts w:ascii="Arial" w:hAnsi="Arial" w:cs="Arial"/>
                <w:sz w:val="20"/>
                <w:szCs w:val="20"/>
              </w:rPr>
              <w:t>more than 50 per cent of enrolments are for ELICOS</w:t>
            </w:r>
          </w:p>
        </w:tc>
      </w:tr>
      <w:tr w:rsidR="000C42C2" w:rsidRPr="003A2822" w14:paraId="598F3893"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63158252" w14:textId="77777777"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eligibility criteria</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4B355F20" w14:textId="0329EDF4"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lang w:eastAsia="en-AU"/>
              </w:rPr>
              <w:t>refer to the mandatory criteria which must be met to qualify for a grant. Assessment criteria may apply in addition to eligibility criteria. The eligibility criteria for this grant opportunity are set out in section 3.1 of these guidelines.</w:t>
            </w:r>
          </w:p>
        </w:tc>
      </w:tr>
      <w:tr w:rsidR="000C42C2" w:rsidRPr="003A2822" w14:paraId="7B28B80E"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3821C2EA" w14:textId="77777777"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lang w:eastAsia="en-AU"/>
              </w:rPr>
              <w:t xml:space="preserve">grant </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023F550B" w14:textId="272762C8"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 xml:space="preserve"> an arrangement for the provision of financial assistance by the Commonwealth or on behalf of the Commonwealth:</w:t>
            </w:r>
          </w:p>
          <w:p w14:paraId="52AE25CA" w14:textId="77777777" w:rsidR="000C42C2" w:rsidRPr="003A2822" w:rsidRDefault="000C42C2" w:rsidP="000C42C2">
            <w:pPr>
              <w:pStyle w:val="NumberedList2"/>
              <w:numPr>
                <w:ilvl w:val="1"/>
                <w:numId w:val="21"/>
              </w:numPr>
              <w:suppressAutoHyphens w:val="0"/>
              <w:spacing w:before="60"/>
              <w:ind w:left="1004"/>
              <w:rPr>
                <w:rFonts w:ascii="Arial" w:hAnsi="Arial" w:cs="Arial"/>
                <w:sz w:val="20"/>
                <w:szCs w:val="20"/>
              </w:rPr>
            </w:pPr>
            <w:r w:rsidRPr="003A2822">
              <w:rPr>
                <w:rFonts w:ascii="Arial" w:hAnsi="Arial" w:cs="Arial"/>
                <w:sz w:val="20"/>
                <w:szCs w:val="20"/>
              </w:rPr>
              <w:t>under which relevant money</w:t>
            </w:r>
            <w:r w:rsidRPr="003A2822">
              <w:rPr>
                <w:rStyle w:val="FootnoteReference"/>
                <w:sz w:val="20"/>
                <w:szCs w:val="20"/>
              </w:rPr>
              <w:footnoteReference w:customMarkFollows="1" w:id="6"/>
              <w:t>[1]</w:t>
            </w:r>
            <w:r w:rsidRPr="003A2822">
              <w:rPr>
                <w:rFonts w:ascii="Arial" w:hAnsi="Arial" w:cs="Arial"/>
                <w:sz w:val="20"/>
                <w:szCs w:val="20"/>
              </w:rPr>
              <w:t xml:space="preserve"> or other </w:t>
            </w:r>
            <w:hyperlink r:id="rId14" w:history="1">
              <w:r w:rsidRPr="003A2822">
                <w:rPr>
                  <w:rStyle w:val="Hyperlink"/>
                  <w:rFonts w:ascii="Arial" w:hAnsi="Arial" w:cs="Arial"/>
                  <w:sz w:val="20"/>
                  <w:szCs w:val="20"/>
                </w:rPr>
                <w:t>Consolidated Revenue Fund</w:t>
              </w:r>
            </w:hyperlink>
            <w:r w:rsidRPr="003A2822">
              <w:rPr>
                <w:rFonts w:ascii="Arial" w:hAnsi="Arial" w:cs="Arial"/>
                <w:sz w:val="20"/>
                <w:szCs w:val="20"/>
              </w:rPr>
              <w:t xml:space="preserve"> (CRF) money</w:t>
            </w:r>
            <w:r w:rsidRPr="003A2822">
              <w:rPr>
                <w:rStyle w:val="FootnoteReference"/>
                <w:sz w:val="20"/>
                <w:szCs w:val="20"/>
              </w:rPr>
              <w:footnoteReference w:customMarkFollows="1" w:id="7"/>
              <w:t>[2]</w:t>
            </w:r>
            <w:r w:rsidRPr="003A2822">
              <w:rPr>
                <w:rFonts w:ascii="Arial" w:hAnsi="Arial" w:cs="Arial"/>
                <w:sz w:val="20"/>
                <w:szCs w:val="20"/>
              </w:rPr>
              <w:t xml:space="preserve"> is to be paid to a grantee other than the Commonwealth</w:t>
            </w:r>
          </w:p>
          <w:p w14:paraId="7DECA952" w14:textId="77777777" w:rsidR="000C42C2" w:rsidRPr="003A2822" w:rsidRDefault="000C42C2" w:rsidP="000C42C2">
            <w:pPr>
              <w:pStyle w:val="NumberedList2"/>
              <w:numPr>
                <w:ilvl w:val="1"/>
                <w:numId w:val="22"/>
              </w:numPr>
              <w:suppressAutoHyphens w:val="0"/>
              <w:spacing w:before="60"/>
              <w:ind w:left="1004"/>
              <w:rPr>
                <w:rFonts w:ascii="Calibri" w:hAnsi="Calibri" w:cs="Calibri"/>
              </w:rPr>
            </w:pPr>
            <w:r w:rsidRPr="003A2822">
              <w:rPr>
                <w:rFonts w:ascii="Arial" w:hAnsi="Arial" w:cs="Arial"/>
                <w:sz w:val="20"/>
                <w:szCs w:val="20"/>
              </w:rPr>
              <w:t>which is intended to help address one or more of the Australian Government’s policy outcomes while assisting the grantee achieve its objectives.</w:t>
            </w:r>
          </w:p>
        </w:tc>
      </w:tr>
      <w:tr w:rsidR="000C42C2" w:rsidRPr="003A2822" w14:paraId="391DDEF8"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6429E84C" w14:textId="77777777" w:rsidR="000C42C2" w:rsidRPr="003A2822" w:rsidRDefault="000C42C2" w:rsidP="000C42C2">
            <w:pPr>
              <w:spacing w:before="60" w:line="320" w:lineRule="atLeast"/>
              <w:rPr>
                <w:rFonts w:ascii="Arial" w:hAnsi="Arial" w:cs="Arial"/>
                <w:sz w:val="20"/>
                <w:szCs w:val="20"/>
                <w:lang w:eastAsia="en-AU"/>
              </w:rPr>
            </w:pPr>
            <w:r w:rsidRPr="003A2822">
              <w:rPr>
                <w:rFonts w:ascii="Arial" w:hAnsi="Arial" w:cs="Arial"/>
                <w:sz w:val="20"/>
                <w:szCs w:val="20"/>
              </w:rPr>
              <w:t>grant activity/activities</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36C18526" w14:textId="63B61A3E" w:rsidR="000C42C2" w:rsidRPr="003A2822" w:rsidRDefault="000C42C2" w:rsidP="000C42C2">
            <w:pPr>
              <w:spacing w:before="60" w:line="320" w:lineRule="atLeast"/>
              <w:rPr>
                <w:rFonts w:ascii="Arial" w:hAnsi="Arial" w:cs="Arial"/>
                <w:sz w:val="20"/>
                <w:szCs w:val="20"/>
                <w:lang w:eastAsia="en-AU"/>
              </w:rPr>
            </w:pPr>
            <w:r w:rsidRPr="003A2822">
              <w:rPr>
                <w:rFonts w:ascii="Arial" w:hAnsi="Arial" w:cs="Arial"/>
                <w:sz w:val="20"/>
                <w:szCs w:val="20"/>
              </w:rPr>
              <w:t xml:space="preserve">refers to the project/tasks/services that the grantee is required to undertake. Eligible grant activities for this grant opportunity are outlined in section 6.1 of these guidelines. </w:t>
            </w:r>
          </w:p>
        </w:tc>
      </w:tr>
      <w:tr w:rsidR="000C42C2" w:rsidRPr="003A2822" w14:paraId="4660291C"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49FF939B" w14:textId="77777777"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grant agreement</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6CCE6E08" w14:textId="2D054935"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sets out the relationship between the parties to the agreement and specifies the details of the grant.</w:t>
            </w:r>
          </w:p>
        </w:tc>
      </w:tr>
      <w:tr w:rsidR="000C42C2" w:rsidRPr="003A2822" w14:paraId="272E6F09"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1A323281" w14:textId="77777777"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grantee</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12C83F3B" w14:textId="77777777"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the individual/organisation which has been selected to receive a grant.</w:t>
            </w:r>
          </w:p>
        </w:tc>
      </w:tr>
      <w:tr w:rsidR="000C42C2" w:rsidRPr="003A2822" w14:paraId="14771C32"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3B667361" w14:textId="77777777"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grant opportunity</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6465122C" w14:textId="77777777"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 xml:space="preserve">refers to the specific grant round or process where a Commonwealth grant is made available to potential grantees. Grant opportunities may be open or </w:t>
            </w:r>
            <w:proofErr w:type="gramStart"/>
            <w:r w:rsidRPr="003A2822">
              <w:rPr>
                <w:rFonts w:ascii="Arial" w:hAnsi="Arial" w:cs="Arial"/>
                <w:sz w:val="20"/>
                <w:szCs w:val="20"/>
              </w:rPr>
              <w:t>targeted, and</w:t>
            </w:r>
            <w:proofErr w:type="gramEnd"/>
            <w:r w:rsidRPr="003A2822">
              <w:rPr>
                <w:rFonts w:ascii="Arial" w:hAnsi="Arial" w:cs="Arial"/>
                <w:sz w:val="20"/>
                <w:szCs w:val="20"/>
              </w:rPr>
              <w:t xml:space="preserve"> will reflect the relevant grant selection process.</w:t>
            </w:r>
          </w:p>
        </w:tc>
      </w:tr>
      <w:tr w:rsidR="000C42C2" w:rsidRPr="003A2822" w14:paraId="6C407C0C"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tcPr>
          <w:p w14:paraId="3A3E4C07" w14:textId="648F14FF"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hibernation</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tcPr>
          <w:p w14:paraId="02F781F0" w14:textId="3ED632B9"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 xml:space="preserve">a provider that suspends normal business trading for </w:t>
            </w:r>
            <w:proofErr w:type="gramStart"/>
            <w:r w:rsidRPr="003A2822">
              <w:rPr>
                <w:rFonts w:ascii="Arial" w:hAnsi="Arial" w:cs="Arial"/>
                <w:sz w:val="20"/>
                <w:szCs w:val="20"/>
              </w:rPr>
              <w:t>a period of time</w:t>
            </w:r>
            <w:proofErr w:type="gramEnd"/>
            <w:r w:rsidRPr="003A2822">
              <w:rPr>
                <w:rFonts w:ascii="Arial" w:hAnsi="Arial" w:cs="Arial"/>
                <w:sz w:val="20"/>
                <w:szCs w:val="20"/>
              </w:rPr>
              <w:t xml:space="preserve"> with a view to resuming normal operations when conditions improve.</w:t>
            </w:r>
          </w:p>
        </w:tc>
      </w:tr>
      <w:tr w:rsidR="000C42C2" w:rsidRPr="003A2822" w14:paraId="468D6D9F"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tcPr>
          <w:p w14:paraId="7BDC7680" w14:textId="323D4770"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Innovation Fund, initial Innovation Fund</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tcPr>
          <w:p w14:paraId="53BAF673" w14:textId="7D05AA8D"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The fully subscribed $9.4 million Innovation Fund (announced in the 2021-22 Budget),</w:t>
            </w:r>
            <w:r w:rsidRPr="003A2822">
              <w:t xml:space="preserve"> that </w:t>
            </w:r>
            <w:r w:rsidRPr="003A2822">
              <w:rPr>
                <w:rFonts w:ascii="Arial" w:hAnsi="Arial" w:cs="Arial"/>
                <w:sz w:val="20"/>
                <w:szCs w:val="20"/>
              </w:rPr>
              <w:t>provided one-off grant funding for eligible private higher education and ELICOS providers hardest hit by the COVID-19 pandemic to grow online and offshore education delivery in 2021–22</w:t>
            </w:r>
            <w:r w:rsidRPr="003A2822">
              <w:t xml:space="preserve"> </w:t>
            </w:r>
            <w:r w:rsidRPr="003A2822">
              <w:rPr>
                <w:rFonts w:ascii="Arial" w:hAnsi="Arial" w:cs="Arial"/>
                <w:sz w:val="20"/>
                <w:szCs w:val="20"/>
              </w:rPr>
              <w:t>through grants of up to $150,000.</w:t>
            </w:r>
          </w:p>
        </w:tc>
      </w:tr>
      <w:tr w:rsidR="000C42C2" w:rsidRPr="003A2822" w14:paraId="3F382893"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tcPr>
          <w:p w14:paraId="5020C351" w14:textId="310B6935" w:rsidR="000C42C2" w:rsidRPr="00A149E4" w:rsidRDefault="000C42C2" w:rsidP="000C42C2">
            <w:pPr>
              <w:spacing w:before="60" w:line="320" w:lineRule="atLeast"/>
              <w:rPr>
                <w:rFonts w:ascii="Arial" w:hAnsi="Arial" w:cs="Arial"/>
                <w:sz w:val="20"/>
                <w:szCs w:val="20"/>
              </w:rPr>
            </w:pPr>
            <w:r w:rsidRPr="00A149E4">
              <w:rPr>
                <w:rFonts w:ascii="Arial" w:hAnsi="Arial" w:cs="Arial"/>
                <w:sz w:val="20"/>
                <w:szCs w:val="20"/>
              </w:rPr>
              <w:t>international student</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tcPr>
          <w:p w14:paraId="13F1D2FE" w14:textId="56036632" w:rsidR="000C42C2" w:rsidRPr="00A86E66" w:rsidRDefault="000C42C2" w:rsidP="000C42C2">
            <w:pPr>
              <w:spacing w:before="60" w:line="320" w:lineRule="atLeast"/>
              <w:rPr>
                <w:rFonts w:ascii="Arial" w:hAnsi="Arial" w:cs="Arial"/>
                <w:sz w:val="20"/>
                <w:szCs w:val="20"/>
              </w:rPr>
            </w:pPr>
            <w:r w:rsidRPr="00A149E4">
              <w:rPr>
                <w:rFonts w:ascii="Arial" w:hAnsi="Arial" w:cs="Arial"/>
                <w:sz w:val="20"/>
                <w:szCs w:val="20"/>
              </w:rPr>
              <w:t xml:space="preserve">a student who holds a valid student visa </w:t>
            </w:r>
            <w:r w:rsidR="00A86E66" w:rsidRPr="00A149E4">
              <w:rPr>
                <w:rFonts w:ascii="Arial" w:hAnsi="Arial" w:cs="Arial"/>
                <w:sz w:val="20"/>
                <w:szCs w:val="20"/>
              </w:rPr>
              <w:t>(</w:t>
            </w:r>
            <w:proofErr w:type="gramStart"/>
            <w:r w:rsidR="00A86E66" w:rsidRPr="00A149E4">
              <w:rPr>
                <w:rFonts w:ascii="Arial" w:hAnsi="Arial" w:cs="Arial"/>
                <w:sz w:val="20"/>
                <w:szCs w:val="20"/>
              </w:rPr>
              <w:t>e.g.</w:t>
            </w:r>
            <w:proofErr w:type="gramEnd"/>
            <w:r w:rsidR="00A86E66" w:rsidRPr="00A149E4">
              <w:rPr>
                <w:rFonts w:ascii="Arial" w:hAnsi="Arial" w:cs="Arial"/>
                <w:sz w:val="20"/>
                <w:szCs w:val="20"/>
              </w:rPr>
              <w:t xml:space="preserve"> subclass 500) </w:t>
            </w:r>
            <w:r w:rsidRPr="00A149E4">
              <w:rPr>
                <w:rFonts w:ascii="Arial" w:hAnsi="Arial" w:cs="Arial"/>
                <w:sz w:val="20"/>
                <w:szCs w:val="20"/>
              </w:rPr>
              <w:t>and is enrolled in a course of study in Australia.</w:t>
            </w:r>
          </w:p>
        </w:tc>
      </w:tr>
      <w:tr w:rsidR="000C42C2" w:rsidRPr="003A2822" w14:paraId="0BC437BE"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06917912" w14:textId="77777777"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online learning</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15DE49DC" w14:textId="15DCBC96"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study where the teacher and student primarily communicate through digital media, technology-based tools and IT networks and does not require the student to attend scheduled classes or maintain contact hours</w:t>
            </w:r>
          </w:p>
        </w:tc>
      </w:tr>
      <w:tr w:rsidR="000C42C2" w:rsidRPr="003A2822" w14:paraId="08860960" w14:textId="10963507" w:rsidTr="00665886">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tcPr>
          <w:p w14:paraId="3BB9946A" w14:textId="3DD984B2"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offshore learning</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tcPr>
          <w:p w14:paraId="597F6D04" w14:textId="68B55BF8"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 xml:space="preserve">students enrolled at an Australian education provider however are not located within Australia. </w:t>
            </w:r>
          </w:p>
        </w:tc>
      </w:tr>
      <w:tr w:rsidR="000C42C2" w:rsidRPr="003A2822" w14:paraId="461A9177"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019B3E0F" w14:textId="77777777"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PGPA Act</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3BA8643F" w14:textId="77777777"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 xml:space="preserve">the </w:t>
            </w:r>
            <w:hyperlink r:id="rId15" w:history="1">
              <w:r w:rsidRPr="003A2822">
                <w:rPr>
                  <w:rStyle w:val="Hyperlink"/>
                  <w:rFonts w:ascii="Arial" w:hAnsi="Arial" w:cs="Arial"/>
                  <w:i/>
                  <w:iCs/>
                  <w:sz w:val="20"/>
                  <w:szCs w:val="20"/>
                </w:rPr>
                <w:t>Public Governance, Performance and Accountability Act 2013</w:t>
              </w:r>
            </w:hyperlink>
            <w:r w:rsidRPr="003A2822">
              <w:rPr>
                <w:rFonts w:ascii="Arial" w:hAnsi="Arial" w:cs="Arial"/>
                <w:sz w:val="20"/>
                <w:szCs w:val="20"/>
              </w:rPr>
              <w:t>.</w:t>
            </w:r>
          </w:p>
        </w:tc>
      </w:tr>
      <w:tr w:rsidR="000C42C2" w:rsidRPr="003A2822" w14:paraId="7BE014A0"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tcPr>
          <w:p w14:paraId="59B38A8E" w14:textId="70B6EBC9"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 xml:space="preserve">Private provider </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tcPr>
          <w:p w14:paraId="57D75B8D" w14:textId="34861E0B"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 xml:space="preserve">A provider of education that is not owned, nor is a subsidiary of, a publicly funded institution. </w:t>
            </w:r>
          </w:p>
        </w:tc>
      </w:tr>
      <w:tr w:rsidR="000C42C2" w:rsidRPr="003A2822" w14:paraId="3D3C94F0"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tcPr>
          <w:p w14:paraId="7381ED99" w14:textId="61AF2DC5"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tuition fee declaration to the TPS</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tcPr>
          <w:p w14:paraId="5A850C7A" w14:textId="6DC3CFA0" w:rsidR="000C42C2" w:rsidRPr="003A2822" w:rsidDel="00960F0E" w:rsidRDefault="000C42C2" w:rsidP="000C42C2">
            <w:pPr>
              <w:spacing w:before="60" w:line="320" w:lineRule="atLeast"/>
              <w:rPr>
                <w:rFonts w:ascii="Arial" w:hAnsi="Arial" w:cs="Arial"/>
                <w:sz w:val="20"/>
                <w:szCs w:val="20"/>
              </w:rPr>
            </w:pPr>
            <w:r w:rsidRPr="003A2822">
              <w:rPr>
                <w:rFonts w:ascii="Arial" w:hAnsi="Arial" w:cs="Arial"/>
                <w:sz w:val="20"/>
                <w:szCs w:val="20"/>
              </w:rPr>
              <w:t xml:space="preserve">CRICOS registered providers must report their revenue from tuition fees paid by international students to the Tuition Protection Service (TPS) annually. For the purposes of this grant, the tuition fee declaration will be used to verify the reduction in revenue from international students. </w:t>
            </w:r>
          </w:p>
        </w:tc>
      </w:tr>
      <w:tr w:rsidR="000C42C2" w:rsidRPr="003A2822" w14:paraId="79EB0754"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2302AB05" w14:textId="77777777"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selection criteria</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38679C7C" w14:textId="54B17ADF"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 xml:space="preserve">comprise eligibility criteria and assessment criteria. </w:t>
            </w:r>
          </w:p>
        </w:tc>
      </w:tr>
      <w:tr w:rsidR="000C42C2" w:rsidRPr="003A2822" w14:paraId="0009077A"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03416D9C" w14:textId="77777777"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selection process</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0016A6C8" w14:textId="77777777"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the method used to select potential grantees. This process may involve comparative assessment of applications or the assessment of applications against the eligibility criteria and/or the assessment criteria.</w:t>
            </w:r>
          </w:p>
        </w:tc>
      </w:tr>
      <w:tr w:rsidR="000C42C2" w:rsidRPr="003A2822" w14:paraId="668797D3"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tcPr>
          <w:p w14:paraId="08902752" w14:textId="1BB69B60"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Table A, B or C provider</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tcPr>
          <w:p w14:paraId="1D41207A" w14:textId="5F3D73E4"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Providers as listed in section16-15, section 16-20 section16</w:t>
            </w:r>
            <w:r w:rsidRPr="003A2822">
              <w:rPr>
                <w:rFonts w:ascii="Arial" w:hAnsi="Arial" w:cs="Arial"/>
                <w:sz w:val="20"/>
                <w:szCs w:val="20"/>
              </w:rPr>
              <w:noBreakHyphen/>
              <w:t xml:space="preserve">22 (Tables A, B and C respectively) of the </w:t>
            </w:r>
            <w:r w:rsidRPr="003A2822">
              <w:rPr>
                <w:rFonts w:ascii="Arial" w:hAnsi="Arial" w:cs="Arial"/>
                <w:i/>
                <w:iCs/>
                <w:sz w:val="20"/>
                <w:szCs w:val="20"/>
              </w:rPr>
              <w:t>Higher Education Support Act</w:t>
            </w:r>
            <w:r w:rsidRPr="003A2822">
              <w:rPr>
                <w:rFonts w:ascii="Arial" w:hAnsi="Arial" w:cs="Arial"/>
                <w:sz w:val="20"/>
                <w:szCs w:val="20"/>
              </w:rPr>
              <w:t xml:space="preserve"> 2003. </w:t>
            </w:r>
          </w:p>
        </w:tc>
      </w:tr>
      <w:tr w:rsidR="000C42C2" w:rsidRPr="003A2822" w14:paraId="59C2D312"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tcPr>
          <w:p w14:paraId="307699A7" w14:textId="6F175E79"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TEQSA</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tcPr>
          <w:p w14:paraId="50F17282" w14:textId="211FD66A"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Tertiary Education Quality and Standards Agency</w:t>
            </w:r>
          </w:p>
        </w:tc>
      </w:tr>
      <w:tr w:rsidR="000C42C2" w14:paraId="770CFBAA" w14:textId="77777777" w:rsidTr="00F21EE1">
        <w:trPr>
          <w:cantSplit/>
        </w:trPr>
        <w:tc>
          <w:tcPr>
            <w:tcW w:w="1843" w:type="pc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tcPr>
          <w:p w14:paraId="5843626D" w14:textId="0DCD6783" w:rsidR="000C42C2" w:rsidRPr="003A2822" w:rsidRDefault="000C42C2" w:rsidP="000C42C2">
            <w:pPr>
              <w:spacing w:before="60" w:line="320" w:lineRule="atLeast"/>
              <w:rPr>
                <w:rFonts w:ascii="Arial" w:hAnsi="Arial" w:cs="Arial"/>
                <w:sz w:val="20"/>
                <w:szCs w:val="20"/>
              </w:rPr>
            </w:pPr>
            <w:r w:rsidRPr="003A2822">
              <w:rPr>
                <w:rFonts w:ascii="Arial" w:hAnsi="Arial" w:cs="Arial"/>
                <w:sz w:val="20"/>
                <w:szCs w:val="20"/>
              </w:rPr>
              <w:t>TPS</w:t>
            </w:r>
          </w:p>
        </w:tc>
        <w:tc>
          <w:tcPr>
            <w:tcW w:w="3157" w:type="pct"/>
            <w:tcBorders>
              <w:top w:val="nil"/>
              <w:left w:val="nil"/>
              <w:bottom w:val="single" w:sz="8" w:space="0" w:color="A6A6A6"/>
              <w:right w:val="single" w:sz="8" w:space="0" w:color="A6A6A6"/>
            </w:tcBorders>
            <w:tcMar>
              <w:top w:w="0" w:type="dxa"/>
              <w:left w:w="108" w:type="dxa"/>
              <w:bottom w:w="0" w:type="dxa"/>
              <w:right w:w="108" w:type="dxa"/>
            </w:tcMar>
            <w:vAlign w:val="center"/>
          </w:tcPr>
          <w:p w14:paraId="2C23DE1E" w14:textId="0BF046CB" w:rsidR="000C42C2" w:rsidRPr="00F46DAC" w:rsidRDefault="000C42C2" w:rsidP="000C42C2">
            <w:pPr>
              <w:spacing w:before="60" w:line="320" w:lineRule="atLeast"/>
              <w:rPr>
                <w:rFonts w:ascii="Arial" w:hAnsi="Arial" w:cs="Arial"/>
                <w:sz w:val="20"/>
                <w:szCs w:val="20"/>
              </w:rPr>
            </w:pPr>
            <w:r w:rsidRPr="003A2822">
              <w:rPr>
                <w:rFonts w:ascii="Arial" w:hAnsi="Arial" w:cs="Arial"/>
                <w:sz w:val="20"/>
                <w:szCs w:val="20"/>
              </w:rPr>
              <w:t>Tuition Protection Service</w:t>
            </w:r>
          </w:p>
        </w:tc>
      </w:tr>
      <w:bookmarkEnd w:id="48"/>
    </w:tbl>
    <w:p w14:paraId="32487AE1" w14:textId="7B7DE9BC" w:rsidR="002F13E7" w:rsidRPr="00D217B0" w:rsidRDefault="002F13E7" w:rsidP="00010ACF">
      <w:pPr>
        <w:pStyle w:val="Bullet1"/>
        <w:numPr>
          <w:ilvl w:val="0"/>
          <w:numId w:val="0"/>
        </w:numPr>
        <w:rPr>
          <w:rFonts w:cstheme="minorHAnsi"/>
        </w:rPr>
      </w:pPr>
    </w:p>
    <w:sectPr w:rsidR="002F13E7" w:rsidRPr="00D217B0" w:rsidSect="00C53EB6">
      <w:headerReference w:type="default" r:id="rId16"/>
      <w:footerReference w:type="default" r:id="rId17"/>
      <w:headerReference w:type="first" r:id="rId18"/>
      <w:footerReference w:type="first" r:id="rId19"/>
      <w:type w:val="continuous"/>
      <w:pgSz w:w="11906" w:h="16838" w:code="9"/>
      <w:pgMar w:top="2268" w:right="1418" w:bottom="1418" w:left="1418" w:header="567"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1F64F" w14:textId="77777777" w:rsidR="00A21103" w:rsidRDefault="00A21103" w:rsidP="00EF4574">
      <w:pPr>
        <w:spacing w:before="0" w:after="0" w:line="240" w:lineRule="auto"/>
      </w:pPr>
      <w:r>
        <w:separator/>
      </w:r>
    </w:p>
    <w:p w14:paraId="1AC3271E" w14:textId="77777777" w:rsidR="00A21103" w:rsidRDefault="00A21103"/>
  </w:endnote>
  <w:endnote w:type="continuationSeparator" w:id="0">
    <w:p w14:paraId="2FE4855D" w14:textId="77777777" w:rsidR="00A21103" w:rsidRDefault="00A21103" w:rsidP="00EF4574">
      <w:pPr>
        <w:spacing w:before="0" w:after="0" w:line="240" w:lineRule="auto"/>
      </w:pPr>
      <w:r>
        <w:continuationSeparator/>
      </w:r>
    </w:p>
    <w:p w14:paraId="6CDD16CD" w14:textId="77777777" w:rsidR="00A21103" w:rsidRDefault="00A21103"/>
  </w:endnote>
  <w:endnote w:type="continuationNotice" w:id="1">
    <w:p w14:paraId="116F7C27" w14:textId="77777777" w:rsidR="00A21103" w:rsidRDefault="00A2110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2F4FD" w14:textId="15220AF2" w:rsidR="00243621" w:rsidRDefault="00A21103">
    <w:pPr>
      <w:pStyle w:val="Footer"/>
      <w:jc w:val="right"/>
    </w:pPr>
    <w:sdt>
      <w:sdtPr>
        <w:id w:val="-336622359"/>
        <w:docPartObj>
          <w:docPartGallery w:val="Page Numbers (Bottom of Page)"/>
          <w:docPartUnique/>
        </w:docPartObj>
      </w:sdtPr>
      <w:sdtEndPr>
        <w:rPr>
          <w:noProof/>
        </w:rPr>
      </w:sdtEndPr>
      <w:sdtContent>
        <w:r w:rsidR="00243621">
          <w:fldChar w:fldCharType="begin"/>
        </w:r>
        <w:r w:rsidR="00243621">
          <w:instrText xml:space="preserve"> PAGE   \* MERGEFORMAT </w:instrText>
        </w:r>
        <w:r w:rsidR="00243621">
          <w:fldChar w:fldCharType="separate"/>
        </w:r>
        <w:r w:rsidR="00243621">
          <w:rPr>
            <w:noProof/>
          </w:rPr>
          <w:t>12</w:t>
        </w:r>
        <w:r w:rsidR="0024362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B9F76" w14:textId="6FA1D16E" w:rsidR="00243621" w:rsidRDefault="00243621">
    <w:pPr>
      <w:pStyle w:val="Footer"/>
    </w:pPr>
    <w:r>
      <w:rPr>
        <w:noProof/>
      </w:rPr>
      <mc:AlternateContent>
        <mc:Choice Requires="wps">
          <w:drawing>
            <wp:anchor distT="0" distB="0" distL="114300" distR="114300" simplePos="0" relativeHeight="251658243" behindDoc="0" locked="1" layoutInCell="0" allowOverlap="1" wp14:anchorId="2DEC5E13" wp14:editId="6E069400">
              <wp:simplePos x="0" y="0"/>
              <wp:positionH relativeFrom="margin">
                <wp:align>center</wp:align>
              </wp:positionH>
              <wp:positionV relativeFrom="bottomMargin">
                <wp:align>center</wp:align>
              </wp:positionV>
              <wp:extent cx="892175" cy="427990"/>
              <wp:effectExtent l="0" t="0" r="0" b="0"/>
              <wp:wrapNone/>
              <wp:docPr id="4" name="janusSEAL SC F_FirstPage"/>
              <wp:cNvGraphicFramePr/>
              <a:graphic xmlns:a="http://schemas.openxmlformats.org/drawingml/2006/main">
                <a:graphicData uri="http://schemas.microsoft.com/office/word/2010/wordprocessingShape">
                  <wps:wsp>
                    <wps:cNvSpPr txBox="1"/>
                    <wps:spPr>
                      <a:xfrm>
                        <a:off x="0" y="0"/>
                        <a:ext cx="892175" cy="4279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BA254E" w14:textId="37BA57A1" w:rsidR="00243621" w:rsidRPr="00BE66D1" w:rsidRDefault="00243621" w:rsidP="00BE66D1">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EC5E13" id="_x0000_t202" coordsize="21600,21600" o:spt="202" path="m,l,21600r21600,l21600,xe">
              <v:stroke joinstyle="miter"/>
              <v:path gradientshapeok="t" o:connecttype="rect"/>
            </v:shapetype>
            <v:shape id="janusSEAL SC F_FirstPage" o:spid="_x0000_s1027" type="#_x0000_t202" style="position:absolute;margin-left:0;margin-top:0;width:70.25pt;height:33.7pt;z-index:251658243;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" o:allowincell="f" filled="f" stroked="f" strokeweight=".5pt">
              <v:textbox style="mso-fit-shape-to-text:t">
                <w:txbxContent>
                  <w:p w14:paraId="19BA254E" w14:textId="37BA57A1" w:rsidR="00243621" w:rsidRPr="00BE66D1" w:rsidRDefault="00243621" w:rsidP="00BE66D1">
                    <w:pPr>
                      <w:jc w:val="center"/>
                      <w:rPr>
                        <w:rFonts w:ascii="Arial" w:hAnsi="Arial" w:cs="Arial"/>
                        <w:b/>
                        <w:color w:val="FF0000"/>
                        <w:sz w:val="24"/>
                      </w:rPr>
                    </w:pPr>
                  </w:p>
                </w:txbxContent>
              </v:textbox>
              <w10:wrap anchorx="margin" anchory="margin"/>
              <w10:anchorlock/>
            </v:shape>
          </w:pict>
        </mc:Fallback>
      </mc:AlternateContent>
    </w:r>
  </w:p>
  <w:p w14:paraId="268118E8" w14:textId="77777777" w:rsidR="00243621" w:rsidRDefault="00243621" w:rsidP="000A6A8B">
    <w:pPr>
      <w:pStyle w:val="Footer"/>
      <w:jc w:val="center"/>
      <w:rPr>
        <w:rStyle w:val="Classification"/>
      </w:rPr>
    </w:pPr>
  </w:p>
  <w:p w14:paraId="41A5481C" w14:textId="77777777" w:rsidR="00243621" w:rsidRPr="000A6A8B" w:rsidRDefault="00243621" w:rsidP="000A6A8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D52B8" w14:textId="77777777" w:rsidR="00A21103" w:rsidRDefault="00A21103" w:rsidP="0020122A">
      <w:pPr>
        <w:pStyle w:val="FootnoteSeparator"/>
      </w:pPr>
    </w:p>
  </w:footnote>
  <w:footnote w:type="continuationSeparator" w:id="0">
    <w:p w14:paraId="1BB1E34D" w14:textId="77777777" w:rsidR="00A21103" w:rsidRDefault="00A21103" w:rsidP="00EF4574">
      <w:pPr>
        <w:spacing w:before="0" w:after="0" w:line="240" w:lineRule="auto"/>
      </w:pPr>
      <w:r>
        <w:continuationSeparator/>
      </w:r>
    </w:p>
    <w:p w14:paraId="1269B640" w14:textId="77777777" w:rsidR="00A21103" w:rsidRDefault="00A21103"/>
  </w:footnote>
  <w:footnote w:type="continuationNotice" w:id="1">
    <w:p w14:paraId="0C730F8C" w14:textId="77777777" w:rsidR="00A21103" w:rsidRDefault="00A21103">
      <w:pPr>
        <w:spacing w:before="0" w:after="0" w:line="240" w:lineRule="auto"/>
      </w:pPr>
    </w:p>
  </w:footnote>
  <w:footnote w:id="2">
    <w:p w14:paraId="507E8C70" w14:textId="77777777" w:rsidR="00243621" w:rsidRPr="00BF6B18" w:rsidRDefault="00243621" w:rsidP="008867E1">
      <w:pPr>
        <w:pStyle w:val="Heading3"/>
        <w:keepLines w:val="0"/>
        <w:suppressAutoHyphens w:val="0"/>
        <w:spacing w:before="240" w:line="280" w:lineRule="atLeast"/>
        <w:ind w:left="1134" w:hanging="1134"/>
        <w:contextualSpacing w:val="0"/>
        <w:rPr>
          <w:sz w:val="18"/>
          <w:szCs w:val="18"/>
        </w:rPr>
      </w:pPr>
      <w:r w:rsidRPr="00BF6B18">
        <w:rPr>
          <w:rStyle w:val="FootnoteReference"/>
          <w:sz w:val="18"/>
          <w:szCs w:val="18"/>
        </w:rPr>
        <w:footnoteRef/>
      </w:r>
      <w:r w:rsidRPr="00BF6B18">
        <w:rPr>
          <w:sz w:val="18"/>
          <w:szCs w:val="18"/>
        </w:rPr>
        <w:t xml:space="preserve"> </w:t>
      </w:r>
      <w:hyperlink r:id="rId1" w:history="1">
        <w:r w:rsidRPr="00537E1B">
          <w:rPr>
            <w:rStyle w:val="Hyperlink"/>
            <w:sz w:val="18"/>
            <w:szCs w:val="18"/>
          </w:rPr>
          <w:t>https://www.finance.gov.au/sites/default/files/commonwealth-grants-rules-and-guidelines.pdf</w:t>
        </w:r>
      </w:hyperlink>
      <w:r w:rsidRPr="00BF6B18">
        <w:rPr>
          <w:sz w:val="18"/>
          <w:szCs w:val="18"/>
        </w:rPr>
        <w:t xml:space="preserve"> </w:t>
      </w:r>
    </w:p>
  </w:footnote>
  <w:footnote w:id="3">
    <w:p w14:paraId="3AE9901E" w14:textId="67EFDEDA" w:rsidR="00243621" w:rsidRDefault="00243621" w:rsidP="00CB0717">
      <w:pPr>
        <w:pStyle w:val="FootnoteText"/>
      </w:pPr>
      <w:r>
        <w:rPr>
          <w:rStyle w:val="FootnoteReference"/>
        </w:rPr>
        <w:footnoteRef/>
      </w:r>
      <w:r>
        <w:t xml:space="preserve"> Revenue from international students will be taken to mean the funds received from international students to pay for their tuition, in line with information reported to the Commonwealth Tuition Protection Service. </w:t>
      </w:r>
    </w:p>
  </w:footnote>
  <w:footnote w:id="4">
    <w:p w14:paraId="66A77924" w14:textId="46D46F12" w:rsidR="00243621" w:rsidRDefault="00243621">
      <w:pPr>
        <w:pStyle w:val="FootnoteText"/>
      </w:pPr>
      <w:r>
        <w:rPr>
          <w:rStyle w:val="FootnoteReference"/>
        </w:rPr>
        <w:footnoteRef/>
      </w:r>
      <w:r>
        <w:t xml:space="preserve"> Information provided by applicants to demonstrate the decline in international student revenue will be verified by the department against the information reported to the Commonwealth Tuition Protection Service for the 2021 calendar year (when available). </w:t>
      </w:r>
    </w:p>
  </w:footnote>
  <w:footnote w:id="5">
    <w:p w14:paraId="1437DDA4" w14:textId="4D7B5E79" w:rsidR="00243621" w:rsidRDefault="00243621" w:rsidP="00204546">
      <w:pPr>
        <w:pStyle w:val="FootnoteText"/>
      </w:pPr>
      <w:r>
        <w:rPr>
          <w:rStyle w:val="FootnoteReference"/>
        </w:rPr>
        <w:footnoteRef/>
      </w:r>
      <w:r>
        <w:t xml:space="preserve"> </w:t>
      </w:r>
      <w:r w:rsidR="003D4923">
        <w:tab/>
      </w:r>
      <w:r>
        <w:t>Revenue from international students will be taken to mean the funds received from international students to pay for their tuition, in line with information reported to the Commonwealth Tuition Protection Service.</w:t>
      </w:r>
    </w:p>
  </w:footnote>
  <w:footnote w:id="6">
    <w:p w14:paraId="14631350" w14:textId="77777777" w:rsidR="00243621" w:rsidRDefault="00243621" w:rsidP="00AA4E96">
      <w:pPr>
        <w:pStyle w:val="FootnoteText"/>
        <w:rPr>
          <w:rFonts w:ascii="Arial" w:hAnsi="Arial" w:cs="Arial"/>
          <w:szCs w:val="16"/>
        </w:rPr>
      </w:pPr>
      <w:r>
        <w:rPr>
          <w:rStyle w:val="FootnoteReference"/>
        </w:rPr>
        <w:t>[1]</w:t>
      </w:r>
      <w:r>
        <w:t xml:space="preserve"> Relevant money is defined in the PGPA Act. See section 8, Dictionary.</w:t>
      </w:r>
    </w:p>
  </w:footnote>
  <w:footnote w:id="7">
    <w:p w14:paraId="37E89A9C" w14:textId="77777777" w:rsidR="00243621" w:rsidRDefault="00243621" w:rsidP="00AA4E96">
      <w:pPr>
        <w:pStyle w:val="FootnoteText"/>
      </w:pPr>
      <w:r>
        <w:rPr>
          <w:rStyle w:val="FootnoteReference"/>
        </w:rPr>
        <w:t>[2]</w:t>
      </w:r>
      <w:r>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6E55E" w14:textId="77ECBD1C" w:rsidR="00243621" w:rsidRPr="000A6A8B" w:rsidRDefault="00243621" w:rsidP="000A6A8B">
    <w:pPr>
      <w:pStyle w:val="Header"/>
      <w:jc w:val="center"/>
      <w:rPr>
        <w:rStyle w:val="Classificatio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082E2" w14:textId="4E7C0C06" w:rsidR="00243621" w:rsidRDefault="00243621" w:rsidP="000A6A8B">
    <w:pPr>
      <w:pStyle w:val="Header"/>
      <w:jc w:val="center"/>
    </w:pPr>
    <w:r>
      <w:rPr>
        <w:noProof/>
      </w:rPr>
      <mc:AlternateContent>
        <mc:Choice Requires="wps">
          <w:drawing>
            <wp:anchor distT="0" distB="0" distL="114300" distR="114300" simplePos="0" relativeHeight="251658241" behindDoc="0" locked="1" layoutInCell="0" allowOverlap="1" wp14:anchorId="07E614FB" wp14:editId="6B20BEE9">
              <wp:simplePos x="0" y="0"/>
              <wp:positionH relativeFrom="margin">
                <wp:align>center</wp:align>
              </wp:positionH>
              <wp:positionV relativeFrom="topMargin">
                <wp:align>center</wp:align>
              </wp:positionV>
              <wp:extent cx="892175" cy="427990"/>
              <wp:effectExtent l="0" t="0" r="0" b="0"/>
              <wp:wrapNone/>
              <wp:docPr id="2" name="janusSEAL SC H_FirstPage"/>
              <wp:cNvGraphicFramePr/>
              <a:graphic xmlns:a="http://schemas.openxmlformats.org/drawingml/2006/main">
                <a:graphicData uri="http://schemas.microsoft.com/office/word/2010/wordprocessingShape">
                  <wps:wsp>
                    <wps:cNvSpPr txBox="1"/>
                    <wps:spPr>
                      <a:xfrm>
                        <a:off x="0" y="0"/>
                        <a:ext cx="892175" cy="4279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A93CA3" w14:textId="02111398" w:rsidR="00243621" w:rsidRPr="000379E3" w:rsidRDefault="00243621" w:rsidP="000379E3">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7E614FB" id="_x0000_t202" coordsize="21600,21600" o:spt="202" path="m,l,21600r21600,l21600,xe">
              <v:stroke joinstyle="miter"/>
              <v:path gradientshapeok="t" o:connecttype="rect"/>
            </v:shapetype>
            <v:shape id="janusSEAL SC H_FirstPage" o:spid="_x0000_s1026" type="#_x0000_t202" style="position:absolute;left:0;text-align:left;margin-left:0;margin-top:0;width:70.25pt;height:33.7pt;z-index:251658241;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" o:allowincell="f" filled="f" stroked="f" strokeweight=".5pt">
              <v:textbox style="mso-fit-shape-to-text:t">
                <w:txbxContent>
                  <w:p w14:paraId="61A93CA3" w14:textId="02111398" w:rsidR="00243621" w:rsidRPr="000379E3" w:rsidRDefault="00243621" w:rsidP="000379E3">
                    <w:pPr>
                      <w:jc w:val="center"/>
                      <w:rPr>
                        <w:rFonts w:ascii="Arial" w:hAnsi="Arial" w:cs="Arial"/>
                        <w:b/>
                        <w:color w:val="FF0000"/>
                        <w:sz w:val="24"/>
                      </w:rPr>
                    </w:pP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27F3"/>
    <w:multiLevelType w:val="hybridMultilevel"/>
    <w:tmpl w:val="23F4A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EC84CA7"/>
    <w:multiLevelType w:val="hybridMultilevel"/>
    <w:tmpl w:val="C5166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22204D"/>
    <w:multiLevelType w:val="hybridMultilevel"/>
    <w:tmpl w:val="DC702E6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2D4659"/>
    <w:multiLevelType w:val="hybridMultilevel"/>
    <w:tmpl w:val="0084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BD12E7"/>
    <w:multiLevelType w:val="multilevel"/>
    <w:tmpl w:val="95D2349A"/>
    <w:lvl w:ilvl="0">
      <w:start w:val="1"/>
      <w:numFmt w:val="bullet"/>
      <w:pStyle w:val="ListBullet"/>
      <w:lvlText w:val=""/>
      <w:lvlJc w:val="left"/>
      <w:pPr>
        <w:ind w:left="360" w:hanging="360"/>
      </w:pPr>
      <w:rPr>
        <w:rFonts w:ascii="Wingdings" w:hAnsi="Wingdings" w:hint="default"/>
        <w:color w:val="auto"/>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990CF9"/>
    <w:multiLevelType w:val="hybridMultilevel"/>
    <w:tmpl w:val="1514EDCA"/>
    <w:lvl w:ilvl="0" w:tplc="4A3AE16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F70482"/>
    <w:multiLevelType w:val="hybridMultilevel"/>
    <w:tmpl w:val="1F765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 w15:restartNumberingAfterBreak="0">
    <w:nsid w:val="33255F1F"/>
    <w:multiLevelType w:val="multilevel"/>
    <w:tmpl w:val="BD1EE1B4"/>
    <w:lvl w:ilvl="0">
      <w:start w:val="1"/>
      <w:numFmt w:val="decimal"/>
      <w:lvlText w:val="%1.1"/>
      <w:lvlJc w:val="left"/>
      <w:pPr>
        <w:ind w:left="284" w:hanging="284"/>
      </w:pPr>
    </w:lvl>
    <w:lvl w:ilvl="1">
      <w:start w:val="1"/>
      <w:numFmt w:val="lowerLetter"/>
      <w:lvlText w:val="%2."/>
      <w:lvlJc w:val="left"/>
      <w:pPr>
        <w:ind w:left="568" w:hanging="284"/>
      </w:pPr>
    </w:lvl>
    <w:lvl w:ilvl="2">
      <w:start w:val="1"/>
      <w:numFmt w:val="lowerRoman"/>
      <w:lvlText w:val="%3."/>
      <w:lvlJc w:val="left"/>
      <w:pPr>
        <w:ind w:left="852" w:hanging="284"/>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0" w15:restartNumberingAfterBreak="0">
    <w:nsid w:val="36FA4441"/>
    <w:multiLevelType w:val="hybridMultilevel"/>
    <w:tmpl w:val="6D2ED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223DA0"/>
    <w:multiLevelType w:val="hybridMultilevel"/>
    <w:tmpl w:val="C07C00D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26E7AE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7BD4652"/>
    <w:multiLevelType w:val="hybridMultilevel"/>
    <w:tmpl w:val="88CEC55E"/>
    <w:lvl w:ilvl="0" w:tplc="2D383914">
      <w:start w:val="1"/>
      <w:numFmt w:val="bullet"/>
      <w:lvlText w:val=""/>
      <w:lvlJc w:val="left"/>
      <w:pPr>
        <w:ind w:left="720" w:hanging="360"/>
      </w:pPr>
      <w:rPr>
        <w:rFonts w:ascii="Wingdings" w:hAnsi="Wingdings" w:hint="default"/>
        <w:color w:val="44546A"/>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5"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6" w15:restartNumberingAfterBreak="0">
    <w:nsid w:val="67BC6638"/>
    <w:multiLevelType w:val="hybridMultilevel"/>
    <w:tmpl w:val="59FED10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9966D7F"/>
    <w:multiLevelType w:val="hybridMultilevel"/>
    <w:tmpl w:val="BF4E872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9D5DBC"/>
    <w:multiLevelType w:val="hybridMultilevel"/>
    <w:tmpl w:val="63E49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753C5DFB"/>
    <w:multiLevelType w:val="hybridMultilevel"/>
    <w:tmpl w:val="6D7A6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8"/>
    <w:lvlOverride w:ilvl="0">
      <w:lvl w:ilvl="0">
        <w:start w:val="1"/>
        <w:numFmt w:val="decimal"/>
        <w:pStyle w:val="Heading1Numbered"/>
        <w:lvlText w:val="%1."/>
        <w:lvlJc w:val="left"/>
        <w:pPr>
          <w:ind w:left="567" w:hanging="567"/>
        </w:pPr>
        <w:rPr>
          <w:rFonts w:hint="default"/>
        </w:rPr>
      </w:lvl>
    </w:lvlOverride>
    <w:lvlOverride w:ilvl="1">
      <w:lvl w:ilvl="1">
        <w:start w:val="1"/>
        <w:numFmt w:val="decimal"/>
        <w:pStyle w:val="Heading2Numbered"/>
        <w:lvlText w:val="%1.%2"/>
        <w:lvlJc w:val="left"/>
        <w:pPr>
          <w:ind w:left="567" w:hanging="567"/>
        </w:pPr>
        <w:rPr>
          <w:rFonts w:hint="default"/>
        </w:rPr>
      </w:lvl>
    </w:lvlOverride>
    <w:lvlOverride w:ilvl="2">
      <w:lvl w:ilvl="2">
        <w:start w:val="1"/>
        <w:numFmt w:val="decimal"/>
        <w:pStyle w:val="Heading3Numbered"/>
        <w:lvlText w:val="%1.%2.%3"/>
        <w:lvlJc w:val="left"/>
        <w:pPr>
          <w:ind w:left="851" w:hanging="851"/>
        </w:pPr>
        <w:rPr>
          <w:rFonts w:hint="default"/>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4">
    <w:abstractNumId w:val="14"/>
  </w:num>
  <w:num w:numId="5">
    <w:abstractNumId w:val="15"/>
  </w:num>
  <w:num w:numId="6">
    <w:abstractNumId w:val="5"/>
  </w:num>
  <w:num w:numId="7">
    <w:abstractNumId w:val="0"/>
  </w:num>
  <w:num w:numId="8">
    <w:abstractNumId w:val="19"/>
  </w:num>
  <w:num w:numId="9">
    <w:abstractNumId w:val="21"/>
  </w:num>
  <w:num w:numId="10">
    <w:abstractNumId w:val="8"/>
    <w:lvlOverride w:ilvl="0">
      <w:startOverride w:val="5"/>
    </w:lvlOverride>
    <w:lvlOverride w:ilvl="1">
      <w:startOverride w:val="2"/>
    </w:lvlOverride>
  </w:num>
  <w:num w:numId="11">
    <w:abstractNumId w:val="8"/>
  </w:num>
  <w:num w:numId="12">
    <w:abstractNumId w:val="8"/>
  </w:num>
  <w:num w:numId="13">
    <w:abstractNumId w:val="10"/>
  </w:num>
  <w:num w:numId="14">
    <w:abstractNumId w:val="18"/>
  </w:num>
  <w:num w:numId="15">
    <w:abstractNumId w:val="4"/>
  </w:num>
  <w:num w:numId="16">
    <w:abstractNumId w:val="8"/>
  </w:num>
  <w:num w:numId="17">
    <w:abstractNumId w:val="17"/>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 w:ilvl="0">
        <w:start w:val="1"/>
        <w:numFmt w:val="decimal"/>
        <w:lvlText w:val="%1.1"/>
        <w:lvlJc w:val="left"/>
        <w:pPr>
          <w:ind w:left="284" w:hanging="284"/>
        </w:pPr>
      </w:lvl>
    </w:lvlOverride>
    <w:lvlOverride w:ilvl="1">
      <w:lvl w:ilvl="1">
        <w:start w:val="1"/>
        <w:numFmt w:val="decimal"/>
        <w:lvlText w:val="%2."/>
        <w:lvlJc w:val="left"/>
        <w:pPr>
          <w:ind w:left="568" w:hanging="284"/>
        </w:pPr>
      </w:lvl>
    </w:lvlOverride>
    <w:lvlOverride w:ilvl="2">
      <w:lvl w:ilvl="2">
        <w:start w:val="1"/>
        <w:numFmt w:val="decimal"/>
        <w:lvlText w:val="%3."/>
        <w:lvlJc w:val="left"/>
        <w:pPr>
          <w:ind w:left="852" w:hanging="284"/>
        </w:pPr>
      </w:lvl>
    </w:lvlOverride>
    <w:lvlOverride w:ilvl="3">
      <w:lvl w:ilvl="3">
        <w:start w:val="1"/>
        <w:numFmt w:val="decimal"/>
        <w:lvlText w:val="(%4)"/>
        <w:lvlJc w:val="left"/>
        <w:pPr>
          <w:ind w:left="1136" w:hanging="284"/>
        </w:pPr>
      </w:lvl>
    </w:lvlOverride>
    <w:lvlOverride w:ilvl="4">
      <w:lvl w:ilvl="4">
        <w:start w:val="1"/>
        <w:numFmt w:val="decimal"/>
        <w:lvlText w:val="(%5)"/>
        <w:lvlJc w:val="left"/>
        <w:pPr>
          <w:ind w:left="1420" w:hanging="284"/>
        </w:pPr>
      </w:lvl>
    </w:lvlOverride>
    <w:lvlOverride w:ilvl="5">
      <w:lvl w:ilvl="5">
        <w:start w:val="1"/>
        <w:numFmt w:val="decimal"/>
        <w:lvlText w:val="(%6)"/>
        <w:lvlJc w:val="left"/>
        <w:pPr>
          <w:ind w:left="1704" w:hanging="284"/>
        </w:pPr>
      </w:lvl>
    </w:lvlOverride>
    <w:lvlOverride w:ilvl="6">
      <w:lvl w:ilvl="6">
        <w:start w:val="1"/>
        <w:numFmt w:val="decimal"/>
        <w:lvlText w:val="%7."/>
        <w:lvlJc w:val="left"/>
        <w:pPr>
          <w:ind w:left="1988" w:hanging="284"/>
        </w:pPr>
      </w:lvl>
    </w:lvlOverride>
    <w:lvlOverride w:ilvl="7">
      <w:lvl w:ilvl="7">
        <w:start w:val="1"/>
        <w:numFmt w:val="decimal"/>
        <w:lvlText w:val="%8."/>
        <w:lvlJc w:val="left"/>
        <w:pPr>
          <w:ind w:left="2272" w:hanging="284"/>
        </w:pPr>
      </w:lvl>
    </w:lvlOverride>
    <w:lvlOverride w:ilvl="8">
      <w:lvl w:ilvl="8">
        <w:start w:val="1"/>
        <w:numFmt w:val="decimal"/>
        <w:lvlText w:val="%9."/>
        <w:lvlJc w:val="left"/>
        <w:pPr>
          <w:ind w:left="2556" w:hanging="284"/>
        </w:pPr>
      </w:lvl>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3"/>
  </w:num>
  <w:num w:numId="26">
    <w:abstractNumId w:val="3"/>
  </w:num>
  <w:num w:numId="27">
    <w:abstractNumId w:val="12"/>
  </w:num>
  <w:num w:numId="28">
    <w:abstractNumId w:val="11"/>
  </w:num>
  <w:num w:numId="29">
    <w:abstractNumId w:val="2"/>
  </w:num>
  <w:num w:numId="30">
    <w:abstractNumId w:val="16"/>
  </w:num>
  <w:num w:numId="31">
    <w:abstractNumId w:val="7"/>
  </w:num>
  <w:num w:numId="32">
    <w:abstractNumId w:val="5"/>
  </w:num>
  <w:num w:numId="3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0160"/>
    <w:rsid w:val="00002F56"/>
    <w:rsid w:val="00010ACF"/>
    <w:rsid w:val="00025541"/>
    <w:rsid w:val="0002782F"/>
    <w:rsid w:val="0003179E"/>
    <w:rsid w:val="00036D2E"/>
    <w:rsid w:val="000379E3"/>
    <w:rsid w:val="00041302"/>
    <w:rsid w:val="0005020E"/>
    <w:rsid w:val="00050D75"/>
    <w:rsid w:val="00052707"/>
    <w:rsid w:val="00052C99"/>
    <w:rsid w:val="00054E4D"/>
    <w:rsid w:val="00060073"/>
    <w:rsid w:val="000603C7"/>
    <w:rsid w:val="000829F4"/>
    <w:rsid w:val="0008465C"/>
    <w:rsid w:val="0008628B"/>
    <w:rsid w:val="000866A9"/>
    <w:rsid w:val="0008678D"/>
    <w:rsid w:val="00096D7A"/>
    <w:rsid w:val="000A4B30"/>
    <w:rsid w:val="000A6A8B"/>
    <w:rsid w:val="000B17AA"/>
    <w:rsid w:val="000B362B"/>
    <w:rsid w:val="000B4BA9"/>
    <w:rsid w:val="000C0703"/>
    <w:rsid w:val="000C2A48"/>
    <w:rsid w:val="000C42C2"/>
    <w:rsid w:val="000C5F75"/>
    <w:rsid w:val="000C6610"/>
    <w:rsid w:val="000C7FB0"/>
    <w:rsid w:val="000D4711"/>
    <w:rsid w:val="000D4909"/>
    <w:rsid w:val="000D4A0D"/>
    <w:rsid w:val="000D60B1"/>
    <w:rsid w:val="000E24C0"/>
    <w:rsid w:val="000E25A2"/>
    <w:rsid w:val="000E342C"/>
    <w:rsid w:val="000E42C9"/>
    <w:rsid w:val="000E658C"/>
    <w:rsid w:val="000F7C2F"/>
    <w:rsid w:val="000F7D59"/>
    <w:rsid w:val="00111063"/>
    <w:rsid w:val="00112BB5"/>
    <w:rsid w:val="001140E1"/>
    <w:rsid w:val="00115CA0"/>
    <w:rsid w:val="001213FD"/>
    <w:rsid w:val="0012191B"/>
    <w:rsid w:val="00136530"/>
    <w:rsid w:val="00136DE8"/>
    <w:rsid w:val="00140A43"/>
    <w:rsid w:val="00141422"/>
    <w:rsid w:val="00143393"/>
    <w:rsid w:val="001433B0"/>
    <w:rsid w:val="00143A19"/>
    <w:rsid w:val="00146D3C"/>
    <w:rsid w:val="00150779"/>
    <w:rsid w:val="00153D8B"/>
    <w:rsid w:val="001541EA"/>
    <w:rsid w:val="001612A4"/>
    <w:rsid w:val="001738A4"/>
    <w:rsid w:val="00180AEB"/>
    <w:rsid w:val="00182880"/>
    <w:rsid w:val="00197B75"/>
    <w:rsid w:val="001A1755"/>
    <w:rsid w:val="001A24A4"/>
    <w:rsid w:val="001B1B4E"/>
    <w:rsid w:val="001B52AD"/>
    <w:rsid w:val="001C2B96"/>
    <w:rsid w:val="001C470E"/>
    <w:rsid w:val="001D7EB4"/>
    <w:rsid w:val="001E1DC0"/>
    <w:rsid w:val="001F2AB6"/>
    <w:rsid w:val="001F64BC"/>
    <w:rsid w:val="0020122A"/>
    <w:rsid w:val="00202D5B"/>
    <w:rsid w:val="00204546"/>
    <w:rsid w:val="002060D1"/>
    <w:rsid w:val="0022640F"/>
    <w:rsid w:val="00226F54"/>
    <w:rsid w:val="00230A3E"/>
    <w:rsid w:val="0023666F"/>
    <w:rsid w:val="00242D11"/>
    <w:rsid w:val="00243621"/>
    <w:rsid w:val="002529EC"/>
    <w:rsid w:val="0025566D"/>
    <w:rsid w:val="00266BBE"/>
    <w:rsid w:val="00274726"/>
    <w:rsid w:val="00275EF2"/>
    <w:rsid w:val="00276336"/>
    <w:rsid w:val="002800BA"/>
    <w:rsid w:val="00281CE0"/>
    <w:rsid w:val="00282975"/>
    <w:rsid w:val="0028602A"/>
    <w:rsid w:val="00292CF0"/>
    <w:rsid w:val="002A5487"/>
    <w:rsid w:val="002A655D"/>
    <w:rsid w:val="002B3F82"/>
    <w:rsid w:val="002C1218"/>
    <w:rsid w:val="002C16E2"/>
    <w:rsid w:val="002C1F78"/>
    <w:rsid w:val="002D0727"/>
    <w:rsid w:val="002D26EC"/>
    <w:rsid w:val="002D6B34"/>
    <w:rsid w:val="002D7489"/>
    <w:rsid w:val="002E2AE3"/>
    <w:rsid w:val="002F13E7"/>
    <w:rsid w:val="002F5420"/>
    <w:rsid w:val="002F7BAD"/>
    <w:rsid w:val="00301144"/>
    <w:rsid w:val="0030340C"/>
    <w:rsid w:val="00305B2F"/>
    <w:rsid w:val="00305E4C"/>
    <w:rsid w:val="003148B7"/>
    <w:rsid w:val="003155D1"/>
    <w:rsid w:val="003158C3"/>
    <w:rsid w:val="00322221"/>
    <w:rsid w:val="003274CD"/>
    <w:rsid w:val="0033187C"/>
    <w:rsid w:val="00345E98"/>
    <w:rsid w:val="0035119D"/>
    <w:rsid w:val="0035274C"/>
    <w:rsid w:val="003576CA"/>
    <w:rsid w:val="00365147"/>
    <w:rsid w:val="003754CB"/>
    <w:rsid w:val="0037755B"/>
    <w:rsid w:val="00380520"/>
    <w:rsid w:val="00381323"/>
    <w:rsid w:val="00381EC6"/>
    <w:rsid w:val="00387F3D"/>
    <w:rsid w:val="00397C77"/>
    <w:rsid w:val="003A26FE"/>
    <w:rsid w:val="003A2822"/>
    <w:rsid w:val="003A4017"/>
    <w:rsid w:val="003A71C5"/>
    <w:rsid w:val="003B0E00"/>
    <w:rsid w:val="003B24E1"/>
    <w:rsid w:val="003B2F1A"/>
    <w:rsid w:val="003B4F12"/>
    <w:rsid w:val="003C0FF0"/>
    <w:rsid w:val="003C41FE"/>
    <w:rsid w:val="003D4923"/>
    <w:rsid w:val="00406363"/>
    <w:rsid w:val="00412DA9"/>
    <w:rsid w:val="0041335D"/>
    <w:rsid w:val="0041756C"/>
    <w:rsid w:val="00423F31"/>
    <w:rsid w:val="00431899"/>
    <w:rsid w:val="004413D2"/>
    <w:rsid w:val="00445215"/>
    <w:rsid w:val="00461E45"/>
    <w:rsid w:val="0046616E"/>
    <w:rsid w:val="00467569"/>
    <w:rsid w:val="00485C5E"/>
    <w:rsid w:val="00486804"/>
    <w:rsid w:val="004950DD"/>
    <w:rsid w:val="00496560"/>
    <w:rsid w:val="004B3775"/>
    <w:rsid w:val="004B7850"/>
    <w:rsid w:val="004C2A06"/>
    <w:rsid w:val="004C7CF3"/>
    <w:rsid w:val="004D1011"/>
    <w:rsid w:val="004D5D85"/>
    <w:rsid w:val="004D6C57"/>
    <w:rsid w:val="004E058F"/>
    <w:rsid w:val="004E3B87"/>
    <w:rsid w:val="004E5294"/>
    <w:rsid w:val="004E6A05"/>
    <w:rsid w:val="004E709F"/>
    <w:rsid w:val="004F0D41"/>
    <w:rsid w:val="004F207F"/>
    <w:rsid w:val="00503EAA"/>
    <w:rsid w:val="005062CA"/>
    <w:rsid w:val="00510921"/>
    <w:rsid w:val="00510AD3"/>
    <w:rsid w:val="00510FD2"/>
    <w:rsid w:val="00512D1F"/>
    <w:rsid w:val="00513348"/>
    <w:rsid w:val="00522121"/>
    <w:rsid w:val="005250D2"/>
    <w:rsid w:val="005276E7"/>
    <w:rsid w:val="00533B5D"/>
    <w:rsid w:val="00533D7D"/>
    <w:rsid w:val="00537E1B"/>
    <w:rsid w:val="005429BE"/>
    <w:rsid w:val="0054631B"/>
    <w:rsid w:val="005476FB"/>
    <w:rsid w:val="005570E8"/>
    <w:rsid w:val="00561CAC"/>
    <w:rsid w:val="00561DF5"/>
    <w:rsid w:val="0056231C"/>
    <w:rsid w:val="00562620"/>
    <w:rsid w:val="00562C57"/>
    <w:rsid w:val="005703C8"/>
    <w:rsid w:val="00570698"/>
    <w:rsid w:val="0057480E"/>
    <w:rsid w:val="00576E48"/>
    <w:rsid w:val="00577887"/>
    <w:rsid w:val="00581769"/>
    <w:rsid w:val="00586B65"/>
    <w:rsid w:val="0059291B"/>
    <w:rsid w:val="005970EA"/>
    <w:rsid w:val="005A3747"/>
    <w:rsid w:val="005B11EB"/>
    <w:rsid w:val="005B3A10"/>
    <w:rsid w:val="005C04E2"/>
    <w:rsid w:val="005C2458"/>
    <w:rsid w:val="005C37F0"/>
    <w:rsid w:val="005C6711"/>
    <w:rsid w:val="005D2D36"/>
    <w:rsid w:val="005D63A9"/>
    <w:rsid w:val="005E2169"/>
    <w:rsid w:val="005E2620"/>
    <w:rsid w:val="005F3E0E"/>
    <w:rsid w:val="00613459"/>
    <w:rsid w:val="0062393D"/>
    <w:rsid w:val="00623BA1"/>
    <w:rsid w:val="0062493F"/>
    <w:rsid w:val="00624D98"/>
    <w:rsid w:val="00625521"/>
    <w:rsid w:val="00626886"/>
    <w:rsid w:val="00630C27"/>
    <w:rsid w:val="006346BC"/>
    <w:rsid w:val="00636C72"/>
    <w:rsid w:val="006509D8"/>
    <w:rsid w:val="00650C47"/>
    <w:rsid w:val="0065333C"/>
    <w:rsid w:val="006542D9"/>
    <w:rsid w:val="00662F26"/>
    <w:rsid w:val="00665886"/>
    <w:rsid w:val="00666291"/>
    <w:rsid w:val="0066652A"/>
    <w:rsid w:val="006738F7"/>
    <w:rsid w:val="00682167"/>
    <w:rsid w:val="00693020"/>
    <w:rsid w:val="006977C4"/>
    <w:rsid w:val="006A0218"/>
    <w:rsid w:val="006C292C"/>
    <w:rsid w:val="006C42AF"/>
    <w:rsid w:val="006C44BB"/>
    <w:rsid w:val="006C4DD1"/>
    <w:rsid w:val="006D6976"/>
    <w:rsid w:val="006D7F25"/>
    <w:rsid w:val="006E1ED8"/>
    <w:rsid w:val="006E2C12"/>
    <w:rsid w:val="006F116D"/>
    <w:rsid w:val="006F3B99"/>
    <w:rsid w:val="006F62B1"/>
    <w:rsid w:val="00707AF6"/>
    <w:rsid w:val="00711D8E"/>
    <w:rsid w:val="00712672"/>
    <w:rsid w:val="007152D8"/>
    <w:rsid w:val="00717472"/>
    <w:rsid w:val="007203CA"/>
    <w:rsid w:val="00723A41"/>
    <w:rsid w:val="00726D07"/>
    <w:rsid w:val="00732336"/>
    <w:rsid w:val="00732D58"/>
    <w:rsid w:val="00733DA1"/>
    <w:rsid w:val="00733E22"/>
    <w:rsid w:val="00734E3F"/>
    <w:rsid w:val="00736985"/>
    <w:rsid w:val="007375FE"/>
    <w:rsid w:val="00737A13"/>
    <w:rsid w:val="00744079"/>
    <w:rsid w:val="007611D0"/>
    <w:rsid w:val="00764630"/>
    <w:rsid w:val="00766EA0"/>
    <w:rsid w:val="00770BD7"/>
    <w:rsid w:val="00774971"/>
    <w:rsid w:val="00782526"/>
    <w:rsid w:val="00792488"/>
    <w:rsid w:val="0079774E"/>
    <w:rsid w:val="007A0E7E"/>
    <w:rsid w:val="007A3DCB"/>
    <w:rsid w:val="007A7752"/>
    <w:rsid w:val="007B6200"/>
    <w:rsid w:val="007C5878"/>
    <w:rsid w:val="007C6036"/>
    <w:rsid w:val="007D1D4F"/>
    <w:rsid w:val="007D2B36"/>
    <w:rsid w:val="007D7C3E"/>
    <w:rsid w:val="007E4D87"/>
    <w:rsid w:val="007F5B0D"/>
    <w:rsid w:val="007F661A"/>
    <w:rsid w:val="00801B9F"/>
    <w:rsid w:val="00815171"/>
    <w:rsid w:val="0081798B"/>
    <w:rsid w:val="00823B5B"/>
    <w:rsid w:val="00826FDC"/>
    <w:rsid w:val="0083512D"/>
    <w:rsid w:val="008364AE"/>
    <w:rsid w:val="00842FF0"/>
    <w:rsid w:val="008434E5"/>
    <w:rsid w:val="00850813"/>
    <w:rsid w:val="008542A9"/>
    <w:rsid w:val="0086486C"/>
    <w:rsid w:val="0087371C"/>
    <w:rsid w:val="00875D31"/>
    <w:rsid w:val="00880B3F"/>
    <w:rsid w:val="00883D80"/>
    <w:rsid w:val="00883FF8"/>
    <w:rsid w:val="008867E1"/>
    <w:rsid w:val="00886C1F"/>
    <w:rsid w:val="0089286A"/>
    <w:rsid w:val="00894728"/>
    <w:rsid w:val="008A23E7"/>
    <w:rsid w:val="008A4B0E"/>
    <w:rsid w:val="008A7D06"/>
    <w:rsid w:val="008B1656"/>
    <w:rsid w:val="008B30B3"/>
    <w:rsid w:val="008B3B34"/>
    <w:rsid w:val="008B3E89"/>
    <w:rsid w:val="008B62C7"/>
    <w:rsid w:val="008D36AD"/>
    <w:rsid w:val="008D46C9"/>
    <w:rsid w:val="008D4A99"/>
    <w:rsid w:val="008E026E"/>
    <w:rsid w:val="008E1BA5"/>
    <w:rsid w:val="008E2077"/>
    <w:rsid w:val="008E414F"/>
    <w:rsid w:val="008F18C0"/>
    <w:rsid w:val="008F375C"/>
    <w:rsid w:val="008F73FB"/>
    <w:rsid w:val="00901532"/>
    <w:rsid w:val="00904C0D"/>
    <w:rsid w:val="00905ECA"/>
    <w:rsid w:val="00910088"/>
    <w:rsid w:val="00911122"/>
    <w:rsid w:val="0091151E"/>
    <w:rsid w:val="00911E58"/>
    <w:rsid w:val="00920E8A"/>
    <w:rsid w:val="0092125B"/>
    <w:rsid w:val="0093115B"/>
    <w:rsid w:val="00934B7B"/>
    <w:rsid w:val="009362C1"/>
    <w:rsid w:val="00937A6A"/>
    <w:rsid w:val="009407E6"/>
    <w:rsid w:val="0094281D"/>
    <w:rsid w:val="00943877"/>
    <w:rsid w:val="00947701"/>
    <w:rsid w:val="009478F4"/>
    <w:rsid w:val="00954D6F"/>
    <w:rsid w:val="00960CE1"/>
    <w:rsid w:val="00960F0E"/>
    <w:rsid w:val="00965BEC"/>
    <w:rsid w:val="00966E55"/>
    <w:rsid w:val="0097009F"/>
    <w:rsid w:val="009732D7"/>
    <w:rsid w:val="00983658"/>
    <w:rsid w:val="0099356A"/>
    <w:rsid w:val="00997894"/>
    <w:rsid w:val="009A0AF2"/>
    <w:rsid w:val="009A1182"/>
    <w:rsid w:val="009A2DA7"/>
    <w:rsid w:val="009A5887"/>
    <w:rsid w:val="009A681C"/>
    <w:rsid w:val="009B1E1A"/>
    <w:rsid w:val="009B27C9"/>
    <w:rsid w:val="009B4CF1"/>
    <w:rsid w:val="009B4D3B"/>
    <w:rsid w:val="009C09DD"/>
    <w:rsid w:val="009D2C9C"/>
    <w:rsid w:val="009D7407"/>
    <w:rsid w:val="009E0866"/>
    <w:rsid w:val="009E23B6"/>
    <w:rsid w:val="009F29C1"/>
    <w:rsid w:val="009F2E87"/>
    <w:rsid w:val="009F51A0"/>
    <w:rsid w:val="009F6660"/>
    <w:rsid w:val="009F7541"/>
    <w:rsid w:val="009F7A44"/>
    <w:rsid w:val="00A01425"/>
    <w:rsid w:val="00A10FD4"/>
    <w:rsid w:val="00A11DFD"/>
    <w:rsid w:val="00A149E4"/>
    <w:rsid w:val="00A150A0"/>
    <w:rsid w:val="00A20BD1"/>
    <w:rsid w:val="00A20E8E"/>
    <w:rsid w:val="00A21103"/>
    <w:rsid w:val="00A23DE8"/>
    <w:rsid w:val="00A2404E"/>
    <w:rsid w:val="00A24A62"/>
    <w:rsid w:val="00A31C9F"/>
    <w:rsid w:val="00A32E7A"/>
    <w:rsid w:val="00A34031"/>
    <w:rsid w:val="00A40ED2"/>
    <w:rsid w:val="00A62C49"/>
    <w:rsid w:val="00A71B85"/>
    <w:rsid w:val="00A76E95"/>
    <w:rsid w:val="00A82D69"/>
    <w:rsid w:val="00A86E66"/>
    <w:rsid w:val="00A92CCC"/>
    <w:rsid w:val="00A972C0"/>
    <w:rsid w:val="00AA173F"/>
    <w:rsid w:val="00AA366A"/>
    <w:rsid w:val="00AA47CB"/>
    <w:rsid w:val="00AA4863"/>
    <w:rsid w:val="00AA4E96"/>
    <w:rsid w:val="00AA64AB"/>
    <w:rsid w:val="00AB19CF"/>
    <w:rsid w:val="00AB43FD"/>
    <w:rsid w:val="00AB5635"/>
    <w:rsid w:val="00AC164A"/>
    <w:rsid w:val="00AC4B34"/>
    <w:rsid w:val="00AC4F97"/>
    <w:rsid w:val="00AE0575"/>
    <w:rsid w:val="00AF06AA"/>
    <w:rsid w:val="00AF2050"/>
    <w:rsid w:val="00AF2132"/>
    <w:rsid w:val="00AF39A9"/>
    <w:rsid w:val="00AF77A5"/>
    <w:rsid w:val="00B005DA"/>
    <w:rsid w:val="00B02159"/>
    <w:rsid w:val="00B102C2"/>
    <w:rsid w:val="00B1587E"/>
    <w:rsid w:val="00B17A95"/>
    <w:rsid w:val="00B23E3D"/>
    <w:rsid w:val="00B335AA"/>
    <w:rsid w:val="00B34333"/>
    <w:rsid w:val="00B34391"/>
    <w:rsid w:val="00B3770E"/>
    <w:rsid w:val="00B45825"/>
    <w:rsid w:val="00B4703A"/>
    <w:rsid w:val="00B54900"/>
    <w:rsid w:val="00B600F9"/>
    <w:rsid w:val="00B62539"/>
    <w:rsid w:val="00B63821"/>
    <w:rsid w:val="00B63DFB"/>
    <w:rsid w:val="00B653EF"/>
    <w:rsid w:val="00B70D92"/>
    <w:rsid w:val="00B73CAD"/>
    <w:rsid w:val="00B75E31"/>
    <w:rsid w:val="00B768DF"/>
    <w:rsid w:val="00B7693F"/>
    <w:rsid w:val="00B769E0"/>
    <w:rsid w:val="00B777DF"/>
    <w:rsid w:val="00B83C35"/>
    <w:rsid w:val="00B91ACA"/>
    <w:rsid w:val="00BA5473"/>
    <w:rsid w:val="00BB26C5"/>
    <w:rsid w:val="00BB7B21"/>
    <w:rsid w:val="00BC0F26"/>
    <w:rsid w:val="00BD2107"/>
    <w:rsid w:val="00BD32BA"/>
    <w:rsid w:val="00BE09CA"/>
    <w:rsid w:val="00BE1098"/>
    <w:rsid w:val="00BE36B5"/>
    <w:rsid w:val="00BE66D1"/>
    <w:rsid w:val="00BE7044"/>
    <w:rsid w:val="00BF3C4A"/>
    <w:rsid w:val="00BF4DE6"/>
    <w:rsid w:val="00BF7AB9"/>
    <w:rsid w:val="00C03137"/>
    <w:rsid w:val="00C10067"/>
    <w:rsid w:val="00C245A7"/>
    <w:rsid w:val="00C371B6"/>
    <w:rsid w:val="00C40B51"/>
    <w:rsid w:val="00C416AA"/>
    <w:rsid w:val="00C424E3"/>
    <w:rsid w:val="00C42CDE"/>
    <w:rsid w:val="00C4327D"/>
    <w:rsid w:val="00C44A00"/>
    <w:rsid w:val="00C4764C"/>
    <w:rsid w:val="00C53EB6"/>
    <w:rsid w:val="00C62C80"/>
    <w:rsid w:val="00C6393D"/>
    <w:rsid w:val="00C641F7"/>
    <w:rsid w:val="00C72304"/>
    <w:rsid w:val="00C7237B"/>
    <w:rsid w:val="00C839AC"/>
    <w:rsid w:val="00C941BF"/>
    <w:rsid w:val="00CA15F6"/>
    <w:rsid w:val="00CA3794"/>
    <w:rsid w:val="00CA37B1"/>
    <w:rsid w:val="00CA4823"/>
    <w:rsid w:val="00CA4E08"/>
    <w:rsid w:val="00CA60FA"/>
    <w:rsid w:val="00CA6299"/>
    <w:rsid w:val="00CB0717"/>
    <w:rsid w:val="00CB1959"/>
    <w:rsid w:val="00CB638B"/>
    <w:rsid w:val="00CB7831"/>
    <w:rsid w:val="00CC360B"/>
    <w:rsid w:val="00CE02C3"/>
    <w:rsid w:val="00CE5CBF"/>
    <w:rsid w:val="00D02449"/>
    <w:rsid w:val="00D0296C"/>
    <w:rsid w:val="00D217B0"/>
    <w:rsid w:val="00D22869"/>
    <w:rsid w:val="00D27606"/>
    <w:rsid w:val="00D31493"/>
    <w:rsid w:val="00D3334F"/>
    <w:rsid w:val="00D34D1E"/>
    <w:rsid w:val="00D447E0"/>
    <w:rsid w:val="00D46D82"/>
    <w:rsid w:val="00D47918"/>
    <w:rsid w:val="00D552D3"/>
    <w:rsid w:val="00D5644C"/>
    <w:rsid w:val="00D607FC"/>
    <w:rsid w:val="00D661DE"/>
    <w:rsid w:val="00D7242D"/>
    <w:rsid w:val="00D727D2"/>
    <w:rsid w:val="00D76CCF"/>
    <w:rsid w:val="00D879BF"/>
    <w:rsid w:val="00D9416E"/>
    <w:rsid w:val="00D94911"/>
    <w:rsid w:val="00D97DE0"/>
    <w:rsid w:val="00DA1BA7"/>
    <w:rsid w:val="00DA281E"/>
    <w:rsid w:val="00DA3093"/>
    <w:rsid w:val="00DB15C3"/>
    <w:rsid w:val="00DB6D69"/>
    <w:rsid w:val="00DC0DE6"/>
    <w:rsid w:val="00DC430B"/>
    <w:rsid w:val="00DD6BAE"/>
    <w:rsid w:val="00DD7607"/>
    <w:rsid w:val="00DE1E9F"/>
    <w:rsid w:val="00DF02A0"/>
    <w:rsid w:val="00DF25F7"/>
    <w:rsid w:val="00DF3ECD"/>
    <w:rsid w:val="00DF4DED"/>
    <w:rsid w:val="00E01937"/>
    <w:rsid w:val="00E02BD4"/>
    <w:rsid w:val="00E03BBC"/>
    <w:rsid w:val="00E03EB1"/>
    <w:rsid w:val="00E06470"/>
    <w:rsid w:val="00E10A55"/>
    <w:rsid w:val="00E126CD"/>
    <w:rsid w:val="00E12804"/>
    <w:rsid w:val="00E161BA"/>
    <w:rsid w:val="00E210F3"/>
    <w:rsid w:val="00E22440"/>
    <w:rsid w:val="00E268BD"/>
    <w:rsid w:val="00E357B7"/>
    <w:rsid w:val="00E43D38"/>
    <w:rsid w:val="00E520B5"/>
    <w:rsid w:val="00E53800"/>
    <w:rsid w:val="00E54BB7"/>
    <w:rsid w:val="00E55344"/>
    <w:rsid w:val="00E565F7"/>
    <w:rsid w:val="00E56DAE"/>
    <w:rsid w:val="00E6081F"/>
    <w:rsid w:val="00E62655"/>
    <w:rsid w:val="00E82EBC"/>
    <w:rsid w:val="00E8430B"/>
    <w:rsid w:val="00EA04B2"/>
    <w:rsid w:val="00EA20F3"/>
    <w:rsid w:val="00EB2BB1"/>
    <w:rsid w:val="00EB5B5C"/>
    <w:rsid w:val="00EC2959"/>
    <w:rsid w:val="00EC3385"/>
    <w:rsid w:val="00ED43D1"/>
    <w:rsid w:val="00EE251A"/>
    <w:rsid w:val="00EE4EE1"/>
    <w:rsid w:val="00EE5450"/>
    <w:rsid w:val="00EE65C6"/>
    <w:rsid w:val="00EE6F65"/>
    <w:rsid w:val="00EE7C8D"/>
    <w:rsid w:val="00EF2B4A"/>
    <w:rsid w:val="00EF4574"/>
    <w:rsid w:val="00EF48B5"/>
    <w:rsid w:val="00EF50A3"/>
    <w:rsid w:val="00EF7671"/>
    <w:rsid w:val="00F00023"/>
    <w:rsid w:val="00F0325E"/>
    <w:rsid w:val="00F05400"/>
    <w:rsid w:val="00F17BD3"/>
    <w:rsid w:val="00F202CF"/>
    <w:rsid w:val="00F21EE1"/>
    <w:rsid w:val="00F225DC"/>
    <w:rsid w:val="00F2684E"/>
    <w:rsid w:val="00F30672"/>
    <w:rsid w:val="00F377CD"/>
    <w:rsid w:val="00F41810"/>
    <w:rsid w:val="00F42372"/>
    <w:rsid w:val="00F46DAC"/>
    <w:rsid w:val="00F50F8E"/>
    <w:rsid w:val="00F657B1"/>
    <w:rsid w:val="00F729EF"/>
    <w:rsid w:val="00F735B4"/>
    <w:rsid w:val="00F74E01"/>
    <w:rsid w:val="00F77B3D"/>
    <w:rsid w:val="00F77CAE"/>
    <w:rsid w:val="00F82D13"/>
    <w:rsid w:val="00F87720"/>
    <w:rsid w:val="00F90843"/>
    <w:rsid w:val="00F90D95"/>
    <w:rsid w:val="00F90F5A"/>
    <w:rsid w:val="00F962AC"/>
    <w:rsid w:val="00F96BB9"/>
    <w:rsid w:val="00F97A20"/>
    <w:rsid w:val="00FB32D7"/>
    <w:rsid w:val="00FB44AA"/>
    <w:rsid w:val="00FC7A3B"/>
    <w:rsid w:val="00FD0B41"/>
    <w:rsid w:val="00FD6C9A"/>
    <w:rsid w:val="00FD7564"/>
    <w:rsid w:val="00FE3DD5"/>
    <w:rsid w:val="00FE54F9"/>
    <w:rsid w:val="00FE6D51"/>
    <w:rsid w:val="00FE713F"/>
    <w:rsid w:val="00FF3E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CE4CB"/>
  <w15:docId w15:val="{9B3D9A84-8831-4BE1-A87C-A2E0FB43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7"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uiPriority w:val="9"/>
    <w:qFormat/>
    <w:rsid w:val="001612A4"/>
    <w:pPr>
      <w:keepNext/>
      <w:keepLines/>
      <w:spacing w:before="360" w:after="120" w:line="460" w:lineRule="atLeast"/>
      <w:contextualSpacing/>
      <w:outlineLvl w:val="0"/>
    </w:pPr>
    <w:rPr>
      <w:rFonts w:asciiTheme="majorHAnsi" w:eastAsiaTheme="majorEastAsia" w:hAnsiTheme="majorHAnsi" w:cstheme="majorBidi"/>
      <w:bCs/>
      <w:color w:val="1C1C1C"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623BA1"/>
    <w:pPr>
      <w:outlineLvl w:val="4"/>
    </w:pPr>
    <w:rPr>
      <w:i/>
      <w:color w:val="CF7F60"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9B4D2E"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1C1C1C" w:themeColor="text2"/>
      <w:kern w:val="28"/>
      <w:sz w:val="40"/>
      <w:szCs w:val="52"/>
    </w:rPr>
  </w:style>
  <w:style w:type="paragraph" w:styleId="Subtitle">
    <w:name w:val="Subtitle"/>
    <w:basedOn w:val="Title"/>
    <w:next w:val="Normal"/>
    <w:link w:val="SubtitleChar"/>
    <w:uiPriority w:val="11"/>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1C1C1C" w:themeColor="text2"/>
      <w:kern w:val="28"/>
      <w:sz w:val="20"/>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FB44AA"/>
    <w:pPr>
      <w:numPr>
        <w:numId w:val="2"/>
      </w:numPr>
    </w:pPr>
  </w:style>
  <w:style w:type="paragraph" w:customStyle="1" w:styleId="NumberedList2">
    <w:name w:val="Numbered List 2"/>
    <w:basedOn w:val="NumberedList1"/>
    <w:qFormat/>
    <w:rsid w:val="00FB44AA"/>
    <w:pPr>
      <w:numPr>
        <w:ilvl w:val="1"/>
      </w:numPr>
      <w:spacing w:before="120"/>
    </w:pPr>
  </w:style>
  <w:style w:type="paragraph" w:customStyle="1" w:styleId="NumberedList3">
    <w:name w:val="Numbered List 3"/>
    <w:basedOn w:val="NumberedList2"/>
    <w:qFormat/>
    <w:rsid w:val="00FB44AA"/>
    <w:pPr>
      <w:numPr>
        <w:ilvl w:val="2"/>
      </w:numPr>
      <w:ind w:left="851"/>
    </w:pPr>
  </w:style>
  <w:style w:type="paragraph" w:customStyle="1" w:styleId="Heading1Numbered">
    <w:name w:val="Heading 1 Numbered"/>
    <w:basedOn w:val="Heading1"/>
    <w:next w:val="Normal"/>
    <w:qFormat/>
    <w:rsid w:val="001E1DC0"/>
    <w:pPr>
      <w:numPr>
        <w:numId w:val="3"/>
      </w:numPr>
    </w:pPr>
  </w:style>
  <w:style w:type="paragraph" w:customStyle="1" w:styleId="Heading2Numbered">
    <w:name w:val="Heading 2 Numbered"/>
    <w:basedOn w:val="Heading2"/>
    <w:next w:val="Normal"/>
    <w:qFormat/>
    <w:rsid w:val="00D46D82"/>
    <w:pPr>
      <w:numPr>
        <w:ilvl w:val="1"/>
        <w:numId w:val="3"/>
      </w:numPr>
    </w:pPr>
    <w:rPr>
      <w:bCs/>
    </w:rPr>
  </w:style>
  <w:style w:type="paragraph" w:customStyle="1" w:styleId="Heading3Numbered">
    <w:name w:val="Heading 3 Numbered"/>
    <w:basedOn w:val="Heading3"/>
    <w:next w:val="Normal"/>
    <w:qFormat/>
    <w:rsid w:val="001D7EB4"/>
    <w:pPr>
      <w:numPr>
        <w:ilvl w:val="2"/>
        <w:numId w:val="3"/>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11"/>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1C1C1C" w:themeColor="text2"/>
      <w:sz w:val="26"/>
      <w:szCs w:val="26"/>
    </w:rPr>
  </w:style>
  <w:style w:type="paragraph" w:styleId="TOC1">
    <w:name w:val="toc 1"/>
    <w:basedOn w:val="Normal"/>
    <w:next w:val="Normal"/>
    <w:autoRedefine/>
    <w:uiPriority w:val="39"/>
    <w:unhideWhenUsed/>
    <w:rsid w:val="00FB44AA"/>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FB44AA"/>
    <w:pPr>
      <w:tabs>
        <w:tab w:val="left" w:pos="454"/>
        <w:tab w:val="right" w:pos="9072"/>
      </w:tabs>
      <w:spacing w:after="180" w:line="230" w:lineRule="atLeast"/>
      <w:ind w:left="454"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1612A4"/>
    <w:pPr>
      <w:pBdr>
        <w:bottom w:val="single" w:sz="4" w:space="6" w:color="E7BFAF" w:themeColor="accent1"/>
      </w:pBdr>
    </w:pPr>
    <w:rPr>
      <w:sz w:val="24"/>
    </w:rPr>
  </w:style>
  <w:style w:type="table" w:styleId="TableGrid">
    <w:name w:val="Table Grid"/>
    <w:basedOn w:val="TableNormal"/>
    <w:uiPriority w:val="9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486804"/>
    <w:rPr>
      <w:rFonts w:asciiTheme="majorHAnsi" w:eastAsiaTheme="majorEastAsia" w:hAnsiTheme="majorHAnsi" w:cstheme="majorBidi"/>
      <w:bCs/>
      <w:iCs/>
      <w:color w:val="CF7F60"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9B4D2E"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9B4D2E"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86804"/>
    <w:pPr>
      <w:pBdr>
        <w:top w:val="single" w:sz="4" w:space="14" w:color="FAF2EE" w:themeColor="accent1" w:themeTint="33"/>
        <w:left w:val="single" w:sz="4" w:space="14" w:color="FAF2EE" w:themeColor="accent1" w:themeTint="33"/>
        <w:bottom w:val="single" w:sz="4" w:space="14" w:color="FAF2EE" w:themeColor="accent1" w:themeTint="33"/>
        <w:right w:val="single" w:sz="4" w:space="14" w:color="FAF2EE" w:themeColor="accent1" w:themeTint="33"/>
      </w:pBdr>
      <w:shd w:val="clear" w:color="auto" w:fill="FAF2EE" w:themeFill="accent1" w:themeFillTint="33"/>
      <w:ind w:left="284" w:right="284"/>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qFormat/>
    <w:rsid w:val="000C2A48"/>
    <w:pPr>
      <w:pBdr>
        <w:top w:val="single" w:sz="4" w:space="14" w:color="E7BFAF" w:themeColor="accent1"/>
        <w:left w:val="single" w:sz="4" w:space="14" w:color="E7BFAF" w:themeColor="accent1"/>
        <w:bottom w:val="single" w:sz="4" w:space="14" w:color="E7BFAF" w:themeColor="accent1"/>
        <w:right w:val="single" w:sz="4" w:space="14" w:color="E7BFAF" w:themeColor="accent1"/>
      </w:pBdr>
      <w:shd w:val="clear" w:color="auto" w:fill="E7BFAF" w:themeFill="accent1"/>
    </w:pPr>
  </w:style>
  <w:style w:type="paragraph" w:customStyle="1" w:styleId="Boxed2Heading">
    <w:name w:val="Boxed 2 Heading"/>
    <w:basedOn w:val="Boxed2Text"/>
    <w:qFormat/>
    <w:rsid w:val="000C2A48"/>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7"/>
    <w:unhideWhenUsed/>
    <w:qFormat/>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customStyle="1" w:styleId="inputcomment">
    <w:name w:val="input comment"/>
    <w:basedOn w:val="Normal"/>
    <w:qFormat/>
    <w:rsid w:val="007A0E7E"/>
    <w:pPr>
      <w:spacing w:line="240" w:lineRule="auto"/>
    </w:pPr>
    <w:rPr>
      <w:b/>
      <w:color w:val="963721" w:themeColor="accent3" w:themeShade="BF"/>
    </w:rPr>
  </w:style>
  <w:style w:type="paragraph" w:styleId="ListParagraph">
    <w:name w:val="List Paragraph"/>
    <w:aliases w:val="Recommendation,List Paragraph1,List Paragraph11,List Bullet Cab,CAB - List Bullet,First level bullet point,Bullet point,List Paragraph Number,Bulleted Para,NFP GP Bulleted List,bullet point list,L,Bullet points,Content descriptions,Number"/>
    <w:basedOn w:val="Normal"/>
    <w:link w:val="ListParagraphChar"/>
    <w:uiPriority w:val="34"/>
    <w:qFormat/>
    <w:rsid w:val="007D1D4F"/>
    <w:pPr>
      <w:suppressAutoHyphens w:val="0"/>
      <w:spacing w:before="0" w:after="200" w:line="276" w:lineRule="auto"/>
      <w:ind w:left="720"/>
    </w:pPr>
    <w:rPr>
      <w:rFonts w:ascii="Calibri" w:eastAsia="Times New Roman" w:hAnsi="Calibri" w:cs="Times New Roman"/>
    </w:rPr>
  </w:style>
  <w:style w:type="character" w:customStyle="1" w:styleId="ListParagraphChar">
    <w:name w:val="List Paragraph Char"/>
    <w:aliases w:val="Recommendation Char,List Paragraph1 Char,List Paragraph11 Char,List Bullet Cab Char,CAB - List Bullet Char,First level bullet point Char,Bullet point Char,List Paragraph Number Char,Bulleted Para Char,NFP GP Bulleted List Char,L Char"/>
    <w:basedOn w:val="DefaultParagraphFont"/>
    <w:link w:val="ListParagraph"/>
    <w:uiPriority w:val="34"/>
    <w:qFormat/>
    <w:locked/>
    <w:rsid w:val="007D1D4F"/>
    <w:rPr>
      <w:rFonts w:ascii="Calibri" w:eastAsia="Times New Roman" w:hAnsi="Calibri" w:cs="Times New Roman"/>
    </w:rPr>
  </w:style>
  <w:style w:type="paragraph" w:styleId="NoSpacing">
    <w:name w:val="No Spacing"/>
    <w:aliases w:val="Norma tablel"/>
    <w:link w:val="NoSpacingChar"/>
    <w:uiPriority w:val="1"/>
    <w:qFormat/>
    <w:rsid w:val="007D1D4F"/>
    <w:pPr>
      <w:spacing w:after="0" w:line="240" w:lineRule="auto"/>
    </w:pPr>
    <w:rPr>
      <w:rFonts w:ascii="Calibri" w:eastAsia="Times New Roman" w:hAnsi="Calibri" w:cs="Times New Roman"/>
    </w:rPr>
  </w:style>
  <w:style w:type="paragraph" w:styleId="ListBullet">
    <w:name w:val="List Bullet"/>
    <w:basedOn w:val="Normal"/>
    <w:uiPriority w:val="99"/>
    <w:rsid w:val="007D1D4F"/>
    <w:pPr>
      <w:numPr>
        <w:numId w:val="6"/>
      </w:numPr>
      <w:suppressAutoHyphens w:val="0"/>
      <w:spacing w:before="200" w:after="200" w:line="276" w:lineRule="auto"/>
      <w:contextualSpacing/>
    </w:pPr>
    <w:rPr>
      <w:rFonts w:ascii="Calibri" w:eastAsia="Times New Roman" w:hAnsi="Calibri" w:cs="Times New Roman"/>
      <w:sz w:val="20"/>
      <w:szCs w:val="20"/>
      <w:lang w:val="en-US" w:bidi="en-US"/>
    </w:rPr>
  </w:style>
  <w:style w:type="character" w:customStyle="1" w:styleId="NoSpacingChar">
    <w:name w:val="No Spacing Char"/>
    <w:aliases w:val="Norma tablel Char"/>
    <w:basedOn w:val="DefaultParagraphFont"/>
    <w:link w:val="NoSpacing"/>
    <w:uiPriority w:val="1"/>
    <w:rsid w:val="007D1D4F"/>
    <w:rPr>
      <w:rFonts w:ascii="Calibri" w:eastAsia="Times New Roman" w:hAnsi="Calibri" w:cs="Times New Roman"/>
    </w:rPr>
  </w:style>
  <w:style w:type="paragraph" w:customStyle="1" w:styleId="highlightedtext">
    <w:name w:val="highlighted text"/>
    <w:basedOn w:val="Normal"/>
    <w:link w:val="highlightedtextChar"/>
    <w:qFormat/>
    <w:rsid w:val="00D217B0"/>
    <w:pPr>
      <w:pBdr>
        <w:top w:val="single" w:sz="4" w:space="1" w:color="auto"/>
        <w:left w:val="single" w:sz="4" w:space="4" w:color="auto"/>
        <w:bottom w:val="single" w:sz="4" w:space="1" w:color="auto"/>
        <w:right w:val="single" w:sz="4" w:space="4" w:color="auto"/>
      </w:pBdr>
      <w:spacing w:after="0"/>
      <w:jc w:val="center"/>
    </w:pPr>
    <w:rPr>
      <w:b/>
      <w:color w:val="642416" w:themeColor="accent3" w:themeShade="80"/>
    </w:rPr>
  </w:style>
  <w:style w:type="character" w:customStyle="1" w:styleId="highlightedtextChar">
    <w:name w:val="highlighted text Char"/>
    <w:basedOn w:val="DefaultParagraphFont"/>
    <w:link w:val="highlightedtext"/>
    <w:rsid w:val="00D217B0"/>
    <w:rPr>
      <w:b/>
      <w:color w:val="642416" w:themeColor="accent3" w:themeShade="80"/>
    </w:rPr>
  </w:style>
  <w:style w:type="paragraph" w:styleId="BalloonText">
    <w:name w:val="Balloon Text"/>
    <w:basedOn w:val="Normal"/>
    <w:link w:val="BalloonTextChar"/>
    <w:uiPriority w:val="99"/>
    <w:semiHidden/>
    <w:unhideWhenUsed/>
    <w:rsid w:val="00883D8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D80"/>
    <w:rPr>
      <w:rFonts w:ascii="Segoe UI" w:hAnsi="Segoe UI" w:cs="Segoe UI"/>
      <w:sz w:val="18"/>
      <w:szCs w:val="18"/>
    </w:rPr>
  </w:style>
  <w:style w:type="character" w:styleId="FollowedHyperlink">
    <w:name w:val="FollowedHyperlink"/>
    <w:basedOn w:val="DefaultParagraphFont"/>
    <w:uiPriority w:val="99"/>
    <w:semiHidden/>
    <w:unhideWhenUsed/>
    <w:rsid w:val="00D02449"/>
    <w:rPr>
      <w:color w:val="954F72" w:themeColor="followedHyperlink"/>
      <w:u w:val="single"/>
    </w:rPr>
  </w:style>
  <w:style w:type="paragraph" w:styleId="ListNumber">
    <w:name w:val="List Number"/>
    <w:basedOn w:val="Normal"/>
    <w:qFormat/>
    <w:rsid w:val="00A23DE8"/>
    <w:pPr>
      <w:numPr>
        <w:numId w:val="14"/>
      </w:numPr>
      <w:suppressAutoHyphens w:val="0"/>
      <w:spacing w:before="40" w:after="120"/>
    </w:pPr>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894728"/>
    <w:rPr>
      <w:color w:val="605E5C"/>
      <w:shd w:val="clear" w:color="auto" w:fill="E1DFDD"/>
    </w:rPr>
  </w:style>
  <w:style w:type="character" w:styleId="CommentReference">
    <w:name w:val="annotation reference"/>
    <w:basedOn w:val="DefaultParagraphFont"/>
    <w:uiPriority w:val="99"/>
    <w:semiHidden/>
    <w:unhideWhenUsed/>
    <w:rsid w:val="00894728"/>
    <w:rPr>
      <w:sz w:val="16"/>
      <w:szCs w:val="16"/>
    </w:rPr>
  </w:style>
  <w:style w:type="paragraph" w:styleId="CommentText">
    <w:name w:val="annotation text"/>
    <w:basedOn w:val="Normal"/>
    <w:link w:val="CommentTextChar"/>
    <w:uiPriority w:val="99"/>
    <w:semiHidden/>
    <w:unhideWhenUsed/>
    <w:rsid w:val="00894728"/>
    <w:pPr>
      <w:spacing w:line="240" w:lineRule="auto"/>
    </w:pPr>
    <w:rPr>
      <w:sz w:val="20"/>
      <w:szCs w:val="20"/>
    </w:rPr>
  </w:style>
  <w:style w:type="character" w:customStyle="1" w:styleId="CommentTextChar">
    <w:name w:val="Comment Text Char"/>
    <w:basedOn w:val="DefaultParagraphFont"/>
    <w:link w:val="CommentText"/>
    <w:uiPriority w:val="99"/>
    <w:semiHidden/>
    <w:rsid w:val="00894728"/>
    <w:rPr>
      <w:sz w:val="20"/>
      <w:szCs w:val="20"/>
    </w:rPr>
  </w:style>
  <w:style w:type="paragraph" w:styleId="CommentSubject">
    <w:name w:val="annotation subject"/>
    <w:basedOn w:val="CommentText"/>
    <w:next w:val="CommentText"/>
    <w:link w:val="CommentSubjectChar"/>
    <w:uiPriority w:val="99"/>
    <w:semiHidden/>
    <w:unhideWhenUsed/>
    <w:rsid w:val="00894728"/>
    <w:rPr>
      <w:b/>
      <w:bCs/>
    </w:rPr>
  </w:style>
  <w:style w:type="character" w:customStyle="1" w:styleId="CommentSubjectChar">
    <w:name w:val="Comment Subject Char"/>
    <w:basedOn w:val="CommentTextChar"/>
    <w:link w:val="CommentSubject"/>
    <w:uiPriority w:val="99"/>
    <w:semiHidden/>
    <w:rsid w:val="00894728"/>
    <w:rPr>
      <w:b/>
      <w:bCs/>
      <w:sz w:val="20"/>
      <w:szCs w:val="20"/>
    </w:rPr>
  </w:style>
  <w:style w:type="character" w:customStyle="1" w:styleId="FootnoteTextChar1">
    <w:name w:val="Footnote Text Char1"/>
    <w:basedOn w:val="DefaultParagraphFont"/>
    <w:uiPriority w:val="97"/>
    <w:rsid w:val="00CB0717"/>
    <w:rPr>
      <w:rFonts w:ascii="Arial" w:eastAsia="Times New Roman" w:hAnsi="Arial" w:cs="Times New Roman"/>
      <w:sz w:val="16"/>
      <w:szCs w:val="20"/>
    </w:rPr>
  </w:style>
  <w:style w:type="table" w:customStyle="1" w:styleId="TableGridLight1">
    <w:name w:val="Table Grid Light1"/>
    <w:basedOn w:val="TableNormal"/>
    <w:next w:val="TableGridLight"/>
    <w:uiPriority w:val="40"/>
    <w:rsid w:val="00CE02C3"/>
    <w:pPr>
      <w:spacing w:after="0" w:line="240" w:lineRule="auto"/>
    </w:pPr>
    <w:rPr>
      <w:rFonts w:ascii="Arial" w:eastAsia="Times New Roman" w:hAnsi="Arial"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odyText">
    <w:name w:val="Body Text"/>
    <w:basedOn w:val="Normal"/>
    <w:link w:val="BodyTextChar"/>
    <w:uiPriority w:val="99"/>
    <w:semiHidden/>
    <w:unhideWhenUsed/>
    <w:rsid w:val="00AA4E96"/>
    <w:pPr>
      <w:suppressAutoHyphens w:val="0"/>
      <w:autoSpaceDE w:val="0"/>
      <w:autoSpaceDN w:val="0"/>
      <w:spacing w:before="120" w:after="120" w:line="240" w:lineRule="auto"/>
    </w:pPr>
    <w:rPr>
      <w:rFonts w:ascii="Arial" w:hAnsi="Arial" w:cs="Arial"/>
      <w:sz w:val="24"/>
      <w:szCs w:val="24"/>
      <w:lang w:eastAsia="en-AU"/>
    </w:rPr>
  </w:style>
  <w:style w:type="character" w:customStyle="1" w:styleId="BodyTextChar">
    <w:name w:val="Body Text Char"/>
    <w:basedOn w:val="DefaultParagraphFont"/>
    <w:link w:val="BodyText"/>
    <w:uiPriority w:val="99"/>
    <w:semiHidden/>
    <w:rsid w:val="00AA4E96"/>
    <w:rPr>
      <w:rFonts w:ascii="Arial" w:hAnsi="Arial" w:cs="Arial"/>
      <w:sz w:val="24"/>
      <w:szCs w:val="24"/>
      <w:lang w:eastAsia="en-AU"/>
    </w:rPr>
  </w:style>
  <w:style w:type="paragraph" w:customStyle="1" w:styleId="TableHeadingNumbered">
    <w:name w:val="Table Heading (Numbered)"/>
    <w:basedOn w:val="Normal"/>
    <w:rsid w:val="00AA4E96"/>
    <w:pPr>
      <w:suppressAutoHyphens w:val="0"/>
      <w:spacing w:before="60"/>
    </w:pPr>
    <w:rPr>
      <w:rFonts w:ascii="Arial" w:hAnsi="Arial" w:cs="Arial"/>
      <w:color w:val="FFFFFF"/>
      <w:sz w:val="20"/>
      <w:szCs w:val="20"/>
    </w:rPr>
  </w:style>
  <w:style w:type="paragraph" w:styleId="Revision">
    <w:name w:val="Revision"/>
    <w:hidden/>
    <w:uiPriority w:val="99"/>
    <w:semiHidden/>
    <w:rsid w:val="007A3D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823156">
      <w:bodyDiv w:val="1"/>
      <w:marLeft w:val="0"/>
      <w:marRight w:val="0"/>
      <w:marTop w:val="0"/>
      <w:marBottom w:val="0"/>
      <w:divBdr>
        <w:top w:val="none" w:sz="0" w:space="0" w:color="auto"/>
        <w:left w:val="none" w:sz="0" w:space="0" w:color="auto"/>
        <w:bottom w:val="none" w:sz="0" w:space="0" w:color="auto"/>
        <w:right w:val="none" w:sz="0" w:space="0" w:color="auto"/>
      </w:divBdr>
    </w:div>
    <w:div w:id="1087770793">
      <w:bodyDiv w:val="1"/>
      <w:marLeft w:val="0"/>
      <w:marRight w:val="0"/>
      <w:marTop w:val="0"/>
      <w:marBottom w:val="0"/>
      <w:divBdr>
        <w:top w:val="none" w:sz="0" w:space="0" w:color="auto"/>
        <w:left w:val="none" w:sz="0" w:space="0" w:color="auto"/>
        <w:bottom w:val="none" w:sz="0" w:space="0" w:color="auto"/>
        <w:right w:val="none" w:sz="0" w:space="0" w:color="auto"/>
      </w:divBdr>
    </w:div>
    <w:div w:id="132759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OS0013\AppData\Local\Arc\Offline%20Records%20(PR)\Community%20~%20GRANT%20MANAGEMENT%20-%20GRANT%20FUNDING%20-%20Routine%20operational\completion%20date%09the%20expected%20date%20that%20the%20grant%20activity%20must%20be%20completed%20and%20the%20grant%20spent%20b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prod.protected.ind/User/user03/LLau2/insert%20link%20her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to.gov.au" TargetMode="External"/><Relationship Id="rId5" Type="http://schemas.openxmlformats.org/officeDocument/2006/relationships/numbering" Target="numbering.xml"/><Relationship Id="rId15" Type="http://schemas.openxmlformats.org/officeDocument/2006/relationships/hyperlink" Target="https://aus01.safelinks.protection.outlook.com/?url=https%3A%2F%2Fwww.legislation.gov.au%2FDetails%2FC2017C00269&amp;data=04%7C01%7C%7C4c1325cc24ce47c0d20208d9a4b01373%7C8c0aa3fabaaf4713a02e487637cf14be%7C0%7C0%7C637721898743951895%7CUnknown%7CTWFpbGZsb3d8eyJWIjoiMC4wLjAwMDAiLCJQIjoiV2luMzIiLCJBTiI6Ik1haWwiLCJXVCI6Mn0%3D%7C1000&amp;sdata=yO2OuG7w1szZqDl1Z0NPH7nUvHSpfChWbAIC%2F8OcfAI%3D&amp;reserved=0"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finance.gov.au%2Fabout-us%2Fglossary%2Fpgpa%2Fterm-consolidated-revenue-fund-crf&amp;data=04%7C01%7C%7C4c1325cc24ce47c0d20208d9a4b01373%7C8c0aa3fabaaf4713a02e487637cf14be%7C0%7C0%7C637721898743941924%7CUnknown%7CTWFpbGZsb3d8eyJWIjoiMC4wLjAwMDAiLCJQIjoiV2luMzIiLCJBTiI6Ik1haWwiLCJXVCI6Mn0%3D%7C1000&amp;sdata=%2BYUEiwGlQ3maIUK%2FF09m8T3NTQm1h3xOsG1u%2Fc0lX%2F4%3D&amp;reserved=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inance.gov.au/sites/default/files/commonwealth-grants-rules-and-guidelines.pdf" TargetMode="External"/></Relationships>
</file>

<file path=word/theme/theme1.xml><?xml version="1.0" encoding="utf-8"?>
<a:theme xmlns:a="http://schemas.openxmlformats.org/drawingml/2006/main" name="Finance 4 Pink">
  <a:themeElements>
    <a:clrScheme name="Finance - Pink">
      <a:dk1>
        <a:sysClr val="windowText" lastClr="000000"/>
      </a:dk1>
      <a:lt1>
        <a:sysClr val="window" lastClr="FFFFFF"/>
      </a:lt1>
      <a:dk2>
        <a:srgbClr val="1C1C1C"/>
      </a:dk2>
      <a:lt2>
        <a:srgbClr val="E2E3E2"/>
      </a:lt2>
      <a:accent1>
        <a:srgbClr val="E7BFAF"/>
      </a:accent1>
      <a:accent2>
        <a:srgbClr val="D7876E"/>
      </a:accent2>
      <a:accent3>
        <a:srgbClr val="C94A2C"/>
      </a:accent3>
      <a:accent4>
        <a:srgbClr val="645493"/>
      </a:accent4>
      <a:accent5>
        <a:srgbClr val="E8B600"/>
      </a:accent5>
      <a:accent6>
        <a:srgbClr val="19806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4 Pink" id="{DA21FC05-256C-4427-9F36-AED5CBD3D2CE}" vid="{809E16D3-CB34-4764-A2CB-7FECE11F97F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511E7924-D888-4239-8AA0-D8DF062E48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718E2357227384485F55EA00C70A230" ma:contentTypeVersion="" ma:contentTypeDescription="PDMS Document Site Content Type" ma:contentTypeScope="" ma:versionID="f045a6e141841299c7aa1a7be8e2f17d">
  <xsd:schema xmlns:xsd="http://www.w3.org/2001/XMLSchema" xmlns:xs="http://www.w3.org/2001/XMLSchema" xmlns:p="http://schemas.microsoft.com/office/2006/metadata/properties" xmlns:ns2="511E7924-D888-4239-8AA0-D8DF062E4881" targetNamespace="http://schemas.microsoft.com/office/2006/metadata/properties" ma:root="true" ma:fieldsID="5ccb3cbef19dd6153a23633f04d46193" ns2:_="">
    <xsd:import namespace="511E7924-D888-4239-8AA0-D8DF062E488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7924-D888-4239-8AA0-D8DF062E488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EA957-4B89-4808-98D8-7E7B35BE1FBF}">
  <ds:schemaRefs>
    <ds:schemaRef ds:uri="http://schemas.microsoft.com/office/2006/metadata/properties"/>
    <ds:schemaRef ds:uri="http://schemas.microsoft.com/office/infopath/2007/PartnerControls"/>
    <ds:schemaRef ds:uri="511E7924-D888-4239-8AA0-D8DF062E4881"/>
  </ds:schemaRefs>
</ds:datastoreItem>
</file>

<file path=customXml/itemProps2.xml><?xml version="1.0" encoding="utf-8"?>
<ds:datastoreItem xmlns:ds="http://schemas.openxmlformats.org/officeDocument/2006/customXml" ds:itemID="{2E5BF5ED-7F19-4D5B-980A-8707CB075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E7924-D888-4239-8AA0-D8DF062E48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332B42-CCB9-4BDA-AD41-AC3DB57CD772}">
  <ds:schemaRefs>
    <ds:schemaRef ds:uri="http://schemas.openxmlformats.org/officeDocument/2006/bibliography"/>
  </ds:schemaRefs>
</ds:datastoreItem>
</file>

<file path=customXml/itemProps4.xml><?xml version="1.0" encoding="utf-8"?>
<ds:datastoreItem xmlns:ds="http://schemas.openxmlformats.org/officeDocument/2006/customXml" ds:itemID="{12F8FE4E-4A02-424E-B160-494996524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4745</Words>
  <Characters>27050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[SEC=OFFICIAL]</cp:keywords>
  <dc:description/>
  <cp:lastModifiedBy>AYE,Sumon</cp:lastModifiedBy>
  <cp:revision>3</cp:revision>
  <cp:lastPrinted>2022-01-03T23:28:00Z</cp:lastPrinted>
  <dcterms:created xsi:type="dcterms:W3CDTF">2022-01-03T02:24:00Z</dcterms:created>
  <dcterms:modified xsi:type="dcterms:W3CDTF">2022-01-03T23:28:00Z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0x010100266966F133664895A6EE3632470D45F5004718E2357227384485F55EA00C70A230</vt:lpwstr>
  </property>
  <property fmtid="{D5CDD505-2E9C-101B-9397-08002B2CF9AE}" pid="3" name="TaxKeyword">
    <vt:lpwstr/>
  </property>
  <property fmtid="{D5CDD505-2E9C-101B-9397-08002B2CF9AE}" pid="4" name="Function and Activity">
    <vt:lpwstr/>
  </property>
  <property fmtid="{D5CDD505-2E9C-101B-9397-08002B2CF9AE}" pid="5" name="AbtEntity">
    <vt:lpwstr>1;#Department of Finance|fd660e8f-8f31-49bd-92a3-d31d4da31afe</vt:lpwstr>
  </property>
  <property fmtid="{D5CDD505-2E9C-101B-9397-08002B2CF9AE}" pid="6" name="OrgUnit">
    <vt:lpwstr>2;#Grants Policy and Simplification|70c845c2-de6d-438a-85d0-be462581f948</vt:lpwstr>
  </property>
  <property fmtid="{D5CDD505-2E9C-101B-9397-08002B2CF9AE}" pid="7" name="InitiatingEntity">
    <vt:lpwstr>1;#Department of Finance|fd660e8f-8f31-49bd-92a3-d31d4da31afe</vt:lpwstr>
  </property>
  <property fmtid="{D5CDD505-2E9C-101B-9397-08002B2CF9AE}" pid="8" name="_dlc_DocIdItemGuid">
    <vt:lpwstr>b8b2e59d-3960-4918-8282-5353b64ec6e7</vt:lpwstr>
  </property>
  <property fmtid="{D5CDD505-2E9C-101B-9397-08002B2CF9AE}" pid="9" name="PM_ProtectiveMarkingImage_Header">
    <vt:lpwstr>C:\Program Files\Common Files\janusNET Shared\janusSEAL\Images\DocumentSlashBlue.png</vt:lpwstr>
  </property>
  <property fmtid="{D5CDD505-2E9C-101B-9397-08002B2CF9AE}" pid="10" name="PM_Caveats_Count">
    <vt:lpwstr>0</vt:lpwstr>
  </property>
  <property fmtid="{D5CDD505-2E9C-101B-9397-08002B2CF9AE}" pid="11" name="PM_DisplayValueSecClassificationWithQualifier">
    <vt:lpwstr>OFFICIAL</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InsertionValue">
    <vt:lpwstr>OFFICIAL</vt:lpwstr>
  </property>
  <property fmtid="{D5CDD505-2E9C-101B-9397-08002B2CF9AE}" pid="15" name="PM_Originating_FileId">
    <vt:lpwstr>A5C4878CC6CA4C739C5AB9CF6729F200</vt:lpwstr>
  </property>
  <property fmtid="{D5CDD505-2E9C-101B-9397-08002B2CF9AE}" pid="16" name="PM_ProtectiveMarkingValue_Footer">
    <vt:lpwstr>OFFICIAL</vt:lpwstr>
  </property>
  <property fmtid="{D5CDD505-2E9C-101B-9397-08002B2CF9AE}" pid="17" name="PM_ProtectiveMarkingValue_Header">
    <vt:lpwstr>OFFICIAL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Hash_Version">
    <vt:lpwstr>2018.0</vt:lpwstr>
  </property>
  <property fmtid="{D5CDD505-2E9C-101B-9397-08002B2CF9AE}" pid="24" name="PM_SecurityClassification_Prev">
    <vt:lpwstr>OFFICIAL</vt:lpwstr>
  </property>
  <property fmtid="{D5CDD505-2E9C-101B-9397-08002B2CF9AE}" pid="25" name="PM_Qualifier_Prev">
    <vt:lpwstr/>
  </property>
  <property fmtid="{D5CDD505-2E9C-101B-9397-08002B2CF9AE}" pid="26" name="PM_Originator_Hash_SHA1">
    <vt:lpwstr>7EA8ED24AE96BDB11BF799E8004CBF858F0BB804</vt:lpwstr>
  </property>
  <property fmtid="{D5CDD505-2E9C-101B-9397-08002B2CF9AE}" pid="27" name="PM_OriginationTimeStamp">
    <vt:lpwstr>2021-12-02T03:49:50Z</vt:lpwstr>
  </property>
  <property fmtid="{D5CDD505-2E9C-101B-9397-08002B2CF9AE}" pid="28" name="PM_Hash_Salt_Prev">
    <vt:lpwstr>7E872CDE6DE4AD87899A35A17D303697</vt:lpwstr>
  </property>
  <property fmtid="{D5CDD505-2E9C-101B-9397-08002B2CF9AE}" pid="29" name="PM_Hash_Salt">
    <vt:lpwstr>AC4F3AADFCAE2CAD51FFE95F415B9FDC</vt:lpwstr>
  </property>
  <property fmtid="{D5CDD505-2E9C-101B-9397-08002B2CF9AE}" pid="30" name="PM_Hash_SHA1">
    <vt:lpwstr>BCD7399011BB742CAB1A3464D2D31B5E7AB32EF4</vt:lpwstr>
  </property>
</Properties>
</file>