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51579" w14:textId="0B8AE3B7" w:rsidR="005D3941" w:rsidRDefault="00922926" w:rsidP="00951515">
      <w:pPr>
        <w:pStyle w:val="ReportTitle"/>
      </w:pPr>
      <w:r>
        <w:t xml:space="preserve">Reporting </w:t>
      </w:r>
      <w:r w:rsidR="00974911" w:rsidRPr="00922926">
        <w:t>of</w:t>
      </w:r>
      <w:r w:rsidR="003677D5" w:rsidRPr="00922926">
        <w:t xml:space="preserve"> HELP Receivable </w:t>
      </w:r>
      <w:r w:rsidR="00377721">
        <w:t>at 30 June 2021</w:t>
      </w:r>
    </w:p>
    <w:p w14:paraId="550B6F22" w14:textId="77777777" w:rsidR="005D3941" w:rsidRPr="00922926" w:rsidRDefault="005D3941"/>
    <w:p w14:paraId="32B35681" w14:textId="77777777" w:rsidR="005D3941" w:rsidRPr="00922926" w:rsidRDefault="005D3941">
      <w:pPr>
        <w:sectPr w:rsidR="005D3941" w:rsidRPr="00922926" w:rsidSect="00E03BD5">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250A539A" w14:textId="77777777" w:rsidR="00B94FB4" w:rsidRPr="00922926" w:rsidRDefault="007D7583" w:rsidP="008743AD">
      <w:pPr>
        <w:pStyle w:val="TableofContentsTitle"/>
        <w:jc w:val="left"/>
      </w:pPr>
      <w:r w:rsidRPr="00922926">
        <w:lastRenderedPageBreak/>
        <w:t>TABLE OF CONTENTS</w:t>
      </w:r>
    </w:p>
    <w:p w14:paraId="29E19652" w14:textId="6AC6D12F" w:rsidR="00F112F6" w:rsidRDefault="00B536C0">
      <w:pPr>
        <w:pStyle w:val="TOC1"/>
        <w:rPr>
          <w:rFonts w:asciiTheme="minorHAnsi" w:eastAsiaTheme="minorEastAsia" w:hAnsiTheme="minorHAnsi" w:cstheme="minorBidi"/>
          <w:b w:val="0"/>
          <w:bCs w:val="0"/>
          <w:caps w:val="0"/>
          <w:noProof/>
          <w:sz w:val="22"/>
          <w:szCs w:val="22"/>
          <w:lang w:eastAsia="en-AU"/>
        </w:rPr>
      </w:pPr>
      <w:r w:rsidRPr="00D02A1B">
        <w:rPr>
          <w:rStyle w:val="Hyperlink"/>
          <w:noProof/>
          <w:color w:val="auto"/>
        </w:rPr>
        <w:fldChar w:fldCharType="begin"/>
      </w:r>
      <w:r w:rsidRPr="00D02A1B">
        <w:rPr>
          <w:rStyle w:val="Hyperlink"/>
          <w:noProof/>
          <w:color w:val="auto"/>
        </w:rPr>
        <w:instrText xml:space="preserve"> TOC \o "1-3" \h \z \t "Appendix,1" </w:instrText>
      </w:r>
      <w:r w:rsidRPr="00D02A1B">
        <w:rPr>
          <w:rStyle w:val="Hyperlink"/>
          <w:noProof/>
          <w:color w:val="auto"/>
        </w:rPr>
        <w:fldChar w:fldCharType="separate"/>
      </w:r>
      <w:hyperlink w:anchor="_Toc77250470" w:history="1">
        <w:r w:rsidR="00F112F6" w:rsidRPr="00EA0785">
          <w:rPr>
            <w:rStyle w:val="Hyperlink"/>
            <w:noProof/>
          </w:rPr>
          <w:t>1</w:t>
        </w:r>
        <w:r w:rsidR="00F112F6">
          <w:rPr>
            <w:rFonts w:asciiTheme="minorHAnsi" w:eastAsiaTheme="minorEastAsia" w:hAnsiTheme="minorHAnsi" w:cstheme="minorBidi"/>
            <w:b w:val="0"/>
            <w:bCs w:val="0"/>
            <w:caps w:val="0"/>
            <w:noProof/>
            <w:sz w:val="22"/>
            <w:szCs w:val="22"/>
            <w:lang w:eastAsia="en-AU"/>
          </w:rPr>
          <w:tab/>
        </w:r>
        <w:r w:rsidR="00F112F6" w:rsidRPr="00EA0785">
          <w:rPr>
            <w:rStyle w:val="Hyperlink"/>
            <w:noProof/>
          </w:rPr>
          <w:t>Introduction</w:t>
        </w:r>
        <w:r w:rsidR="00F112F6">
          <w:rPr>
            <w:noProof/>
            <w:webHidden/>
          </w:rPr>
          <w:tab/>
        </w:r>
        <w:r w:rsidR="00F112F6">
          <w:rPr>
            <w:noProof/>
            <w:webHidden/>
          </w:rPr>
          <w:fldChar w:fldCharType="begin"/>
        </w:r>
        <w:r w:rsidR="00F112F6">
          <w:rPr>
            <w:noProof/>
            <w:webHidden/>
          </w:rPr>
          <w:instrText xml:space="preserve"> PAGEREF _Toc77250470 \h </w:instrText>
        </w:r>
        <w:r w:rsidR="00F112F6">
          <w:rPr>
            <w:noProof/>
            <w:webHidden/>
          </w:rPr>
        </w:r>
        <w:r w:rsidR="00F112F6">
          <w:rPr>
            <w:noProof/>
            <w:webHidden/>
          </w:rPr>
          <w:fldChar w:fldCharType="separate"/>
        </w:r>
        <w:r w:rsidR="000106DA">
          <w:rPr>
            <w:noProof/>
            <w:webHidden/>
          </w:rPr>
          <w:t>1</w:t>
        </w:r>
        <w:r w:rsidR="00F112F6">
          <w:rPr>
            <w:noProof/>
            <w:webHidden/>
          </w:rPr>
          <w:fldChar w:fldCharType="end"/>
        </w:r>
      </w:hyperlink>
    </w:p>
    <w:p w14:paraId="4E508E85" w14:textId="6AC32553" w:rsidR="00F112F6" w:rsidRDefault="00C80517">
      <w:pPr>
        <w:pStyle w:val="TOC1"/>
        <w:rPr>
          <w:rFonts w:asciiTheme="minorHAnsi" w:eastAsiaTheme="minorEastAsia" w:hAnsiTheme="minorHAnsi" w:cstheme="minorBidi"/>
          <w:b w:val="0"/>
          <w:bCs w:val="0"/>
          <w:caps w:val="0"/>
          <w:noProof/>
          <w:sz w:val="22"/>
          <w:szCs w:val="22"/>
          <w:lang w:eastAsia="en-AU"/>
        </w:rPr>
      </w:pPr>
      <w:hyperlink w:anchor="_Toc77250471" w:history="1">
        <w:r w:rsidR="00F112F6" w:rsidRPr="00EA0785">
          <w:rPr>
            <w:rStyle w:val="Hyperlink"/>
            <w:noProof/>
          </w:rPr>
          <w:t>2</w:t>
        </w:r>
        <w:r w:rsidR="00F112F6">
          <w:rPr>
            <w:rFonts w:asciiTheme="minorHAnsi" w:eastAsiaTheme="minorEastAsia" w:hAnsiTheme="minorHAnsi" w:cstheme="minorBidi"/>
            <w:b w:val="0"/>
            <w:bCs w:val="0"/>
            <w:caps w:val="0"/>
            <w:noProof/>
            <w:sz w:val="22"/>
            <w:szCs w:val="22"/>
            <w:lang w:eastAsia="en-AU"/>
          </w:rPr>
          <w:tab/>
        </w:r>
        <w:r w:rsidR="00F112F6" w:rsidRPr="00EA0785">
          <w:rPr>
            <w:rStyle w:val="Hyperlink"/>
            <w:noProof/>
          </w:rPr>
          <w:t>Background</w:t>
        </w:r>
        <w:r w:rsidR="00F112F6">
          <w:rPr>
            <w:noProof/>
            <w:webHidden/>
          </w:rPr>
          <w:tab/>
        </w:r>
        <w:r w:rsidR="00F112F6">
          <w:rPr>
            <w:noProof/>
            <w:webHidden/>
          </w:rPr>
          <w:fldChar w:fldCharType="begin"/>
        </w:r>
        <w:r w:rsidR="00F112F6">
          <w:rPr>
            <w:noProof/>
            <w:webHidden/>
          </w:rPr>
          <w:instrText xml:space="preserve"> PAGEREF _Toc77250471 \h </w:instrText>
        </w:r>
        <w:r w:rsidR="00F112F6">
          <w:rPr>
            <w:noProof/>
            <w:webHidden/>
          </w:rPr>
        </w:r>
        <w:r w:rsidR="00F112F6">
          <w:rPr>
            <w:noProof/>
            <w:webHidden/>
          </w:rPr>
          <w:fldChar w:fldCharType="separate"/>
        </w:r>
        <w:r w:rsidR="000106DA">
          <w:rPr>
            <w:noProof/>
            <w:webHidden/>
          </w:rPr>
          <w:t>3</w:t>
        </w:r>
        <w:r w:rsidR="00F112F6">
          <w:rPr>
            <w:noProof/>
            <w:webHidden/>
          </w:rPr>
          <w:fldChar w:fldCharType="end"/>
        </w:r>
      </w:hyperlink>
    </w:p>
    <w:p w14:paraId="03787024" w14:textId="3A47B451" w:rsidR="00F112F6" w:rsidRDefault="00C80517">
      <w:pPr>
        <w:pStyle w:val="TOC1"/>
        <w:rPr>
          <w:rFonts w:asciiTheme="minorHAnsi" w:eastAsiaTheme="minorEastAsia" w:hAnsiTheme="minorHAnsi" w:cstheme="minorBidi"/>
          <w:b w:val="0"/>
          <w:bCs w:val="0"/>
          <w:caps w:val="0"/>
          <w:noProof/>
          <w:sz w:val="22"/>
          <w:szCs w:val="22"/>
          <w:lang w:eastAsia="en-AU"/>
        </w:rPr>
      </w:pPr>
      <w:hyperlink w:anchor="_Toc77250472" w:history="1">
        <w:r w:rsidR="00F112F6" w:rsidRPr="00EA0785">
          <w:rPr>
            <w:rStyle w:val="Hyperlink"/>
            <w:noProof/>
          </w:rPr>
          <w:t>3</w:t>
        </w:r>
        <w:r w:rsidR="00F112F6">
          <w:rPr>
            <w:rFonts w:asciiTheme="minorHAnsi" w:eastAsiaTheme="minorEastAsia" w:hAnsiTheme="minorHAnsi" w:cstheme="minorBidi"/>
            <w:b w:val="0"/>
            <w:bCs w:val="0"/>
            <w:caps w:val="0"/>
            <w:noProof/>
            <w:sz w:val="22"/>
            <w:szCs w:val="22"/>
            <w:lang w:eastAsia="en-AU"/>
          </w:rPr>
          <w:tab/>
        </w:r>
        <w:r w:rsidR="00F112F6" w:rsidRPr="00EA0785">
          <w:rPr>
            <w:rStyle w:val="Hyperlink"/>
            <w:noProof/>
          </w:rPr>
          <w:t>VET Issues</w:t>
        </w:r>
        <w:r w:rsidR="00F112F6">
          <w:rPr>
            <w:noProof/>
            <w:webHidden/>
          </w:rPr>
          <w:tab/>
        </w:r>
        <w:r w:rsidR="00F112F6">
          <w:rPr>
            <w:noProof/>
            <w:webHidden/>
          </w:rPr>
          <w:fldChar w:fldCharType="begin"/>
        </w:r>
        <w:r w:rsidR="00F112F6">
          <w:rPr>
            <w:noProof/>
            <w:webHidden/>
          </w:rPr>
          <w:instrText xml:space="preserve"> PAGEREF _Toc77250472 \h </w:instrText>
        </w:r>
        <w:r w:rsidR="00F112F6">
          <w:rPr>
            <w:noProof/>
            <w:webHidden/>
          </w:rPr>
        </w:r>
        <w:r w:rsidR="00F112F6">
          <w:rPr>
            <w:noProof/>
            <w:webHidden/>
          </w:rPr>
          <w:fldChar w:fldCharType="separate"/>
        </w:r>
        <w:r w:rsidR="000106DA">
          <w:rPr>
            <w:noProof/>
            <w:webHidden/>
          </w:rPr>
          <w:t>9</w:t>
        </w:r>
        <w:r w:rsidR="00F112F6">
          <w:rPr>
            <w:noProof/>
            <w:webHidden/>
          </w:rPr>
          <w:fldChar w:fldCharType="end"/>
        </w:r>
      </w:hyperlink>
    </w:p>
    <w:p w14:paraId="3E72D72A" w14:textId="27B27653" w:rsidR="00F112F6" w:rsidRDefault="00C80517">
      <w:pPr>
        <w:pStyle w:val="TOC1"/>
        <w:rPr>
          <w:rFonts w:asciiTheme="minorHAnsi" w:eastAsiaTheme="minorEastAsia" w:hAnsiTheme="minorHAnsi" w:cstheme="minorBidi"/>
          <w:b w:val="0"/>
          <w:bCs w:val="0"/>
          <w:caps w:val="0"/>
          <w:noProof/>
          <w:sz w:val="22"/>
          <w:szCs w:val="22"/>
          <w:lang w:eastAsia="en-AU"/>
        </w:rPr>
      </w:pPr>
      <w:hyperlink w:anchor="_Toc77250473" w:history="1">
        <w:r w:rsidR="00F112F6" w:rsidRPr="00EA0785">
          <w:rPr>
            <w:rStyle w:val="Hyperlink"/>
            <w:noProof/>
          </w:rPr>
          <w:t>4</w:t>
        </w:r>
        <w:r w:rsidR="00F112F6">
          <w:rPr>
            <w:rFonts w:asciiTheme="minorHAnsi" w:eastAsiaTheme="minorEastAsia" w:hAnsiTheme="minorHAnsi" w:cstheme="minorBidi"/>
            <w:b w:val="0"/>
            <w:bCs w:val="0"/>
            <w:caps w:val="0"/>
            <w:noProof/>
            <w:sz w:val="22"/>
            <w:szCs w:val="22"/>
            <w:lang w:eastAsia="en-AU"/>
          </w:rPr>
          <w:tab/>
        </w:r>
        <w:r w:rsidR="00F112F6" w:rsidRPr="00EA0785">
          <w:rPr>
            <w:rStyle w:val="Hyperlink"/>
            <w:noProof/>
          </w:rPr>
          <w:t>Results of the 2020 Model</w:t>
        </w:r>
        <w:r w:rsidR="00F112F6">
          <w:rPr>
            <w:noProof/>
            <w:webHidden/>
          </w:rPr>
          <w:tab/>
        </w:r>
        <w:r w:rsidR="00F112F6">
          <w:rPr>
            <w:noProof/>
            <w:webHidden/>
          </w:rPr>
          <w:fldChar w:fldCharType="begin"/>
        </w:r>
        <w:r w:rsidR="00F112F6">
          <w:rPr>
            <w:noProof/>
            <w:webHidden/>
          </w:rPr>
          <w:instrText xml:space="preserve"> PAGEREF _Toc77250473 \h </w:instrText>
        </w:r>
        <w:r w:rsidR="00F112F6">
          <w:rPr>
            <w:noProof/>
            <w:webHidden/>
          </w:rPr>
        </w:r>
        <w:r w:rsidR="00F112F6">
          <w:rPr>
            <w:noProof/>
            <w:webHidden/>
          </w:rPr>
          <w:fldChar w:fldCharType="separate"/>
        </w:r>
        <w:r w:rsidR="000106DA">
          <w:rPr>
            <w:noProof/>
            <w:webHidden/>
          </w:rPr>
          <w:t>15</w:t>
        </w:r>
        <w:r w:rsidR="00F112F6">
          <w:rPr>
            <w:noProof/>
            <w:webHidden/>
          </w:rPr>
          <w:fldChar w:fldCharType="end"/>
        </w:r>
      </w:hyperlink>
    </w:p>
    <w:p w14:paraId="56B5480A" w14:textId="27673020" w:rsidR="00F112F6" w:rsidRDefault="00C80517">
      <w:pPr>
        <w:pStyle w:val="TOC1"/>
        <w:rPr>
          <w:rFonts w:asciiTheme="minorHAnsi" w:eastAsiaTheme="minorEastAsia" w:hAnsiTheme="minorHAnsi" w:cstheme="minorBidi"/>
          <w:b w:val="0"/>
          <w:bCs w:val="0"/>
          <w:caps w:val="0"/>
          <w:noProof/>
          <w:sz w:val="22"/>
          <w:szCs w:val="22"/>
          <w:lang w:eastAsia="en-AU"/>
        </w:rPr>
      </w:pPr>
      <w:hyperlink w:anchor="_Toc77250474" w:history="1">
        <w:r w:rsidR="00F112F6" w:rsidRPr="00EA0785">
          <w:rPr>
            <w:rStyle w:val="Hyperlink"/>
            <w:noProof/>
          </w:rPr>
          <w:t>5</w:t>
        </w:r>
        <w:r w:rsidR="00F112F6">
          <w:rPr>
            <w:rFonts w:asciiTheme="minorHAnsi" w:eastAsiaTheme="minorEastAsia" w:hAnsiTheme="minorHAnsi" w:cstheme="minorBidi"/>
            <w:b w:val="0"/>
            <w:bCs w:val="0"/>
            <w:caps w:val="0"/>
            <w:noProof/>
            <w:sz w:val="22"/>
            <w:szCs w:val="22"/>
            <w:lang w:eastAsia="en-AU"/>
          </w:rPr>
          <w:tab/>
        </w:r>
        <w:r w:rsidR="00F112F6" w:rsidRPr="00EA0785">
          <w:rPr>
            <w:rStyle w:val="Hyperlink"/>
            <w:noProof/>
          </w:rPr>
          <w:t>Estimated Results as at 30 June 2021</w:t>
        </w:r>
        <w:r w:rsidR="00F112F6">
          <w:rPr>
            <w:noProof/>
            <w:webHidden/>
          </w:rPr>
          <w:tab/>
        </w:r>
        <w:r w:rsidR="00F112F6">
          <w:rPr>
            <w:noProof/>
            <w:webHidden/>
          </w:rPr>
          <w:fldChar w:fldCharType="begin"/>
        </w:r>
        <w:r w:rsidR="00F112F6">
          <w:rPr>
            <w:noProof/>
            <w:webHidden/>
          </w:rPr>
          <w:instrText xml:space="preserve"> PAGEREF _Toc77250474 \h </w:instrText>
        </w:r>
        <w:r w:rsidR="00F112F6">
          <w:rPr>
            <w:noProof/>
            <w:webHidden/>
          </w:rPr>
        </w:r>
        <w:r w:rsidR="00F112F6">
          <w:rPr>
            <w:noProof/>
            <w:webHidden/>
          </w:rPr>
          <w:fldChar w:fldCharType="separate"/>
        </w:r>
        <w:r w:rsidR="000106DA">
          <w:rPr>
            <w:noProof/>
            <w:webHidden/>
          </w:rPr>
          <w:t>19</w:t>
        </w:r>
        <w:r w:rsidR="00F112F6">
          <w:rPr>
            <w:noProof/>
            <w:webHidden/>
          </w:rPr>
          <w:fldChar w:fldCharType="end"/>
        </w:r>
      </w:hyperlink>
    </w:p>
    <w:p w14:paraId="0399830D" w14:textId="78EB3C68" w:rsidR="00F112F6" w:rsidRDefault="00C80517">
      <w:pPr>
        <w:pStyle w:val="TOC1"/>
        <w:rPr>
          <w:rFonts w:asciiTheme="minorHAnsi" w:eastAsiaTheme="minorEastAsia" w:hAnsiTheme="minorHAnsi" w:cstheme="minorBidi"/>
          <w:b w:val="0"/>
          <w:bCs w:val="0"/>
          <w:caps w:val="0"/>
          <w:noProof/>
          <w:sz w:val="22"/>
          <w:szCs w:val="22"/>
          <w:lang w:eastAsia="en-AU"/>
        </w:rPr>
      </w:pPr>
      <w:hyperlink w:anchor="_Toc77250475" w:history="1">
        <w:r w:rsidR="00F112F6" w:rsidRPr="00EA0785">
          <w:rPr>
            <w:rStyle w:val="Hyperlink"/>
            <w:noProof/>
          </w:rPr>
          <w:t>6</w:t>
        </w:r>
        <w:r w:rsidR="00F112F6">
          <w:rPr>
            <w:rFonts w:asciiTheme="minorHAnsi" w:eastAsiaTheme="minorEastAsia" w:hAnsiTheme="minorHAnsi" w:cstheme="minorBidi"/>
            <w:b w:val="0"/>
            <w:bCs w:val="0"/>
            <w:caps w:val="0"/>
            <w:noProof/>
            <w:sz w:val="22"/>
            <w:szCs w:val="22"/>
            <w:lang w:eastAsia="en-AU"/>
          </w:rPr>
          <w:tab/>
        </w:r>
        <w:r w:rsidR="00F112F6" w:rsidRPr="00EA0785">
          <w:rPr>
            <w:rStyle w:val="Hyperlink"/>
            <w:noProof/>
          </w:rPr>
          <w:t>Comments on Results</w:t>
        </w:r>
        <w:r w:rsidR="00F112F6">
          <w:rPr>
            <w:noProof/>
            <w:webHidden/>
          </w:rPr>
          <w:tab/>
        </w:r>
        <w:r w:rsidR="00F112F6">
          <w:rPr>
            <w:noProof/>
            <w:webHidden/>
          </w:rPr>
          <w:fldChar w:fldCharType="begin"/>
        </w:r>
        <w:r w:rsidR="00F112F6">
          <w:rPr>
            <w:noProof/>
            <w:webHidden/>
          </w:rPr>
          <w:instrText xml:space="preserve"> PAGEREF _Toc77250475 \h </w:instrText>
        </w:r>
        <w:r w:rsidR="00F112F6">
          <w:rPr>
            <w:noProof/>
            <w:webHidden/>
          </w:rPr>
        </w:r>
        <w:r w:rsidR="00F112F6">
          <w:rPr>
            <w:noProof/>
            <w:webHidden/>
          </w:rPr>
          <w:fldChar w:fldCharType="separate"/>
        </w:r>
        <w:r w:rsidR="000106DA">
          <w:rPr>
            <w:noProof/>
            <w:webHidden/>
          </w:rPr>
          <w:t>30</w:t>
        </w:r>
        <w:r w:rsidR="00F112F6">
          <w:rPr>
            <w:noProof/>
            <w:webHidden/>
          </w:rPr>
          <w:fldChar w:fldCharType="end"/>
        </w:r>
      </w:hyperlink>
    </w:p>
    <w:p w14:paraId="444172ED" w14:textId="33452DEA" w:rsidR="005D3941" w:rsidRPr="00CD1DF1" w:rsidRDefault="00B536C0" w:rsidP="00D02A1B">
      <w:pPr>
        <w:pStyle w:val="TOC1"/>
        <w:rPr>
          <w:highlight w:val="yellow"/>
        </w:rPr>
        <w:sectPr w:rsidR="005D3941" w:rsidRPr="00CD1DF1" w:rsidSect="00E03BD5">
          <w:headerReference w:type="even" r:id="rId14"/>
          <w:headerReference w:type="default" r:id="rId15"/>
          <w:headerReference w:type="first" r:id="rId16"/>
          <w:footerReference w:type="first" r:id="rId17"/>
          <w:pgSz w:w="11906" w:h="16838"/>
          <w:pgMar w:top="1440" w:right="1797" w:bottom="1440" w:left="1797" w:header="709" w:footer="709" w:gutter="0"/>
          <w:cols w:space="708"/>
          <w:titlePg/>
          <w:docGrid w:linePitch="360"/>
        </w:sectPr>
      </w:pPr>
      <w:r w:rsidRPr="00D02A1B">
        <w:rPr>
          <w:rStyle w:val="Hyperlink"/>
          <w:noProof/>
          <w:color w:val="auto"/>
        </w:rPr>
        <w:fldChar w:fldCharType="end"/>
      </w:r>
    </w:p>
    <w:p w14:paraId="1DE2CF95" w14:textId="77777777" w:rsidR="00EB4835" w:rsidRPr="00377721" w:rsidRDefault="003677D5" w:rsidP="00CA109A">
      <w:pPr>
        <w:pStyle w:val="Heading1"/>
      </w:pPr>
      <w:bookmarkStart w:id="0" w:name="_Toc77250470"/>
      <w:r w:rsidRPr="00377721">
        <w:lastRenderedPageBreak/>
        <w:t>Introduction</w:t>
      </w:r>
      <w:bookmarkEnd w:id="0"/>
    </w:p>
    <w:p w14:paraId="21425222" w14:textId="1FBEDA96" w:rsidR="00161086" w:rsidRPr="00377721" w:rsidRDefault="005032A9" w:rsidP="005032A9">
      <w:pPr>
        <w:pStyle w:val="BodyText"/>
      </w:pPr>
      <w:r w:rsidRPr="00377721">
        <w:t>The Department of Education</w:t>
      </w:r>
      <w:r w:rsidR="00124E9D" w:rsidRPr="00377721">
        <w:t>, Skills and Employment</w:t>
      </w:r>
      <w:r w:rsidRPr="00377721">
        <w:t xml:space="preserve"> (Education) requires estimates of a number of financial measures </w:t>
      </w:r>
      <w:r w:rsidR="00B07259" w:rsidRPr="00377721">
        <w:t>related to the H</w:t>
      </w:r>
      <w:r w:rsidR="0042762E" w:rsidRPr="00377721">
        <w:t xml:space="preserve">igher </w:t>
      </w:r>
      <w:r w:rsidR="00B07259" w:rsidRPr="00377721">
        <w:t>E</w:t>
      </w:r>
      <w:r w:rsidR="0042762E" w:rsidRPr="00377721">
        <w:t xml:space="preserve">ducation </w:t>
      </w:r>
      <w:r w:rsidR="00B07259" w:rsidRPr="00377721">
        <w:t>L</w:t>
      </w:r>
      <w:r w:rsidR="0042762E" w:rsidRPr="00377721">
        <w:t xml:space="preserve">oan </w:t>
      </w:r>
      <w:r w:rsidR="00B07259" w:rsidRPr="00377721">
        <w:t>P</w:t>
      </w:r>
      <w:r w:rsidR="0042762E" w:rsidRPr="00377721">
        <w:t>rogram (HELP)</w:t>
      </w:r>
      <w:r w:rsidR="00B07259" w:rsidRPr="00377721">
        <w:t xml:space="preserve"> receivable </w:t>
      </w:r>
      <w:r w:rsidRPr="00377721">
        <w:t xml:space="preserve">for their financial statements as at 30 June </w:t>
      </w:r>
      <w:r w:rsidR="007E3E32" w:rsidRPr="00377721">
        <w:t>2021</w:t>
      </w:r>
      <w:r w:rsidRPr="00377721">
        <w:t xml:space="preserve">.  </w:t>
      </w:r>
      <w:r w:rsidR="00161086" w:rsidRPr="00377721">
        <w:t>This includes an estimate of the debt that is not expected to be repaid (DNER) and the present value of repayments.  The latter figure represents the value of the receivable.</w:t>
      </w:r>
    </w:p>
    <w:p w14:paraId="0855B560" w14:textId="36F2596D" w:rsidR="00B07259" w:rsidRPr="00377721" w:rsidRDefault="00B07259" w:rsidP="005032A9">
      <w:pPr>
        <w:pStyle w:val="BodyText"/>
      </w:pPr>
      <w:r w:rsidRPr="00377721">
        <w:t xml:space="preserve">Australian Government Actuary (AGA) has developed a microsimulation model that projects future income and repayments and thus allows us to estimate </w:t>
      </w:r>
      <w:r w:rsidR="00161086" w:rsidRPr="00377721">
        <w:t>the various figures required by Education.  This model is updated annually to reflect the latest A</w:t>
      </w:r>
      <w:r w:rsidR="0042762E" w:rsidRPr="00377721">
        <w:t xml:space="preserve">ustralian </w:t>
      </w:r>
      <w:r w:rsidR="00161086" w:rsidRPr="00377721">
        <w:t>T</w:t>
      </w:r>
      <w:r w:rsidR="0042762E" w:rsidRPr="00377721">
        <w:t xml:space="preserve">axation </w:t>
      </w:r>
      <w:r w:rsidR="00161086" w:rsidRPr="00377721">
        <w:t>O</w:t>
      </w:r>
      <w:r w:rsidR="0042762E" w:rsidRPr="00377721">
        <w:t>ffice (ATO)</w:t>
      </w:r>
      <w:r w:rsidR="00161086" w:rsidRPr="00377721">
        <w:t xml:space="preserve"> data on income and transactions.  However, the timing of data transmission means that our model is necessarily one year behind the reporting date for financial statements.  That is, for the current report, we are using the model based on data to 30 June </w:t>
      </w:r>
      <w:r w:rsidR="007E3E32" w:rsidRPr="00377721">
        <w:t>2020</w:t>
      </w:r>
      <w:r w:rsidR="00161086" w:rsidRPr="00377721">
        <w:t>.</w:t>
      </w:r>
    </w:p>
    <w:p w14:paraId="5B1BE13D" w14:textId="402ABB8E" w:rsidR="001A30EC" w:rsidRPr="00377721" w:rsidRDefault="006F125C" w:rsidP="001A30EC">
      <w:pPr>
        <w:pStyle w:val="BodyText"/>
      </w:pPr>
      <w:r w:rsidRPr="00377721">
        <w:t xml:space="preserve">As part of the </w:t>
      </w:r>
      <w:r w:rsidR="007E3E32" w:rsidRPr="00377721">
        <w:t>2020</w:t>
      </w:r>
      <w:r w:rsidRPr="00377721">
        <w:t xml:space="preserve"> model we have continued the practice, first introduced in the 2016 model, of </w:t>
      </w:r>
      <w:r w:rsidR="00161086" w:rsidRPr="00377721">
        <w:t>modell</w:t>
      </w:r>
      <w:r w:rsidRPr="00377721">
        <w:t xml:space="preserve">ing the repayment prospects of VET debtors separately to non-VET debtors, relying on their income profiles available to date.  </w:t>
      </w:r>
      <w:r w:rsidR="007E3E32" w:rsidRPr="00377721">
        <w:t xml:space="preserve">This year we have undertaken additional analysis of </w:t>
      </w:r>
      <w:r w:rsidRPr="00377721">
        <w:t xml:space="preserve">the potential DNER associated with </w:t>
      </w:r>
      <w:r w:rsidR="0031736E" w:rsidRPr="00377721">
        <w:t xml:space="preserve">the </w:t>
      </w:r>
      <w:r w:rsidRPr="00377721">
        <w:t xml:space="preserve">VET Student Loans (VSL) program which replaced VET FEE-HELP (VFH) effective from 1 January </w:t>
      </w:r>
      <w:r w:rsidR="00B65515" w:rsidRPr="00377721">
        <w:t>201</w:t>
      </w:r>
      <w:r w:rsidR="00E27FE1" w:rsidRPr="00377721">
        <w:t>7</w:t>
      </w:r>
      <w:r w:rsidRPr="00377721">
        <w:t xml:space="preserve">.  This work </w:t>
      </w:r>
      <w:r w:rsidR="007E3E32" w:rsidRPr="00377721">
        <w:t>has expanded on the work we did in 2018 which was used last year</w:t>
      </w:r>
      <w:r w:rsidRPr="00377721">
        <w:t xml:space="preserve">.  </w:t>
      </w:r>
      <w:r w:rsidR="007E3E32" w:rsidRPr="00377721">
        <w:t xml:space="preserve">We have again </w:t>
      </w:r>
      <w:r w:rsidR="00124E9D" w:rsidRPr="00377721">
        <w:t xml:space="preserve">updated our previous analysis </w:t>
      </w:r>
      <w:r w:rsidR="00F73CCB" w:rsidRPr="00377721">
        <w:t>of VFH debt that is likely to be irrecoverable due to past inappropriate behaviour in the sector, resulting in a</w:t>
      </w:r>
      <w:r w:rsidR="00124E9D" w:rsidRPr="00377721">
        <w:t xml:space="preserve"> further</w:t>
      </w:r>
      <w:r w:rsidR="00F73CCB" w:rsidRPr="00377721">
        <w:t xml:space="preserve"> increase relative to previous allowances.</w:t>
      </w:r>
      <w:r w:rsidR="00E01BBE" w:rsidRPr="00377721">
        <w:t xml:space="preserve">  </w:t>
      </w:r>
      <w:r w:rsidRPr="00377721">
        <w:t>I have again devoted a chapter to discussing this treatment of VSL debts as well as other relevant issues in the VET space.</w:t>
      </w:r>
    </w:p>
    <w:p w14:paraId="579CD84C" w14:textId="77777777" w:rsidR="003B7F06" w:rsidRPr="00377721" w:rsidRDefault="003B7F06" w:rsidP="005032A9">
      <w:pPr>
        <w:pStyle w:val="BodyText"/>
      </w:pPr>
      <w:r w:rsidRPr="00377721">
        <w:t>In other respects, I have largely followed the structure of advice provided in previous years.  The five subsequent chapters of the report therefore cover:</w:t>
      </w:r>
    </w:p>
    <w:p w14:paraId="3722AE1B" w14:textId="77777777" w:rsidR="003B7F06" w:rsidRPr="00377721" w:rsidRDefault="003B7F06" w:rsidP="003B7F06">
      <w:pPr>
        <w:pStyle w:val="Bullet"/>
      </w:pPr>
      <w:r w:rsidRPr="00377721">
        <w:t xml:space="preserve">background </w:t>
      </w:r>
      <w:proofErr w:type="gramStart"/>
      <w:r w:rsidRPr="00377721">
        <w:t>information;</w:t>
      </w:r>
      <w:proofErr w:type="gramEnd"/>
    </w:p>
    <w:p w14:paraId="487E1B1F" w14:textId="77777777" w:rsidR="003B7F06" w:rsidRPr="00377721" w:rsidRDefault="003B7F06" w:rsidP="003B7F06">
      <w:pPr>
        <w:pStyle w:val="Bullet"/>
      </w:pPr>
      <w:r w:rsidRPr="00377721">
        <w:t xml:space="preserve">VET </w:t>
      </w:r>
      <w:proofErr w:type="gramStart"/>
      <w:r w:rsidRPr="00377721">
        <w:t>issues;</w:t>
      </w:r>
      <w:proofErr w:type="gramEnd"/>
    </w:p>
    <w:p w14:paraId="28E361E2" w14:textId="426A1A2A" w:rsidR="003B7F06" w:rsidRPr="00377721" w:rsidRDefault="003B7F06" w:rsidP="003B7F06">
      <w:pPr>
        <w:pStyle w:val="Bullet"/>
      </w:pPr>
      <w:r w:rsidRPr="00377721">
        <w:t xml:space="preserve">results of the </w:t>
      </w:r>
      <w:r w:rsidR="007E3E32" w:rsidRPr="00377721">
        <w:t>2020</w:t>
      </w:r>
      <w:r w:rsidRPr="00377721">
        <w:t xml:space="preserve"> model including reconciliation with the advice provided in </w:t>
      </w:r>
      <w:r w:rsidR="007E3E32" w:rsidRPr="00377721">
        <w:t>2020</w:t>
      </w:r>
      <w:r w:rsidRPr="00377721">
        <w:t xml:space="preserve"> for financial statements that was derived from the 201</w:t>
      </w:r>
      <w:r w:rsidR="007E3E32" w:rsidRPr="00377721">
        <w:t>9</w:t>
      </w:r>
      <w:r w:rsidRPr="00377721">
        <w:t xml:space="preserve"> </w:t>
      </w:r>
      <w:proofErr w:type="gramStart"/>
      <w:r w:rsidRPr="00377721">
        <w:t>model;</w:t>
      </w:r>
      <w:proofErr w:type="gramEnd"/>
    </w:p>
    <w:p w14:paraId="362EEAFA" w14:textId="06945E49" w:rsidR="003B7F06" w:rsidRPr="00377721" w:rsidRDefault="003B7F06" w:rsidP="003B7F06">
      <w:pPr>
        <w:pStyle w:val="Bullet"/>
      </w:pPr>
      <w:r w:rsidRPr="00377721">
        <w:t xml:space="preserve">roll forward of the </w:t>
      </w:r>
      <w:r w:rsidR="007E3E32" w:rsidRPr="00377721">
        <w:t>2020</w:t>
      </w:r>
      <w:r w:rsidRPr="00377721">
        <w:t xml:space="preserve"> model to the position as at 30 June </w:t>
      </w:r>
      <w:proofErr w:type="gramStart"/>
      <w:r w:rsidR="007E3E32" w:rsidRPr="00377721">
        <w:t>2021</w:t>
      </w:r>
      <w:r w:rsidRPr="00377721">
        <w:t>;</w:t>
      </w:r>
      <w:proofErr w:type="gramEnd"/>
      <w:r w:rsidRPr="00377721">
        <w:t xml:space="preserve"> and</w:t>
      </w:r>
    </w:p>
    <w:p w14:paraId="40F9446C" w14:textId="1F1A7A88" w:rsidR="003B7F06" w:rsidRPr="00377721" w:rsidRDefault="003B7F06" w:rsidP="003B7F06">
      <w:pPr>
        <w:pStyle w:val="Bullet"/>
      </w:pPr>
      <w:r w:rsidRPr="00377721">
        <w:t>some comments on the results</w:t>
      </w:r>
      <w:r w:rsidR="007E3E32" w:rsidRPr="00377721">
        <w:t>.</w:t>
      </w:r>
    </w:p>
    <w:p w14:paraId="35C2C7A4" w14:textId="3B5D3D11" w:rsidR="005750A7" w:rsidRPr="00377721" w:rsidRDefault="003B7F06" w:rsidP="005032A9">
      <w:pPr>
        <w:pStyle w:val="BodyText"/>
      </w:pPr>
      <w:r w:rsidRPr="00377721">
        <w:t>The figures included in this report have been prepared for financial statement purposes and should not be used for any other purpose without first checking their suitability with AGA.</w:t>
      </w:r>
      <w:r w:rsidR="000A7ECB" w:rsidRPr="00377721">
        <w:t xml:space="preserve">  In line with previous practice</w:t>
      </w:r>
      <w:r w:rsidR="004A7F56" w:rsidRPr="00377721">
        <w:t xml:space="preserve">, we will provide a more detailed report on the </w:t>
      </w:r>
      <w:r w:rsidR="007E3E32" w:rsidRPr="00377721">
        <w:t>2020</w:t>
      </w:r>
      <w:r w:rsidR="004A7F56" w:rsidRPr="00377721">
        <w:t xml:space="preserve"> HELP model, including descriptive analysis of debt and debtors as at 30 June </w:t>
      </w:r>
      <w:r w:rsidR="007E3E32" w:rsidRPr="00377721">
        <w:t>2020</w:t>
      </w:r>
      <w:r w:rsidR="004A7F56" w:rsidRPr="00377721">
        <w:t xml:space="preserve">, and the model structure and diagnostics later in the year. </w:t>
      </w:r>
    </w:p>
    <w:p w14:paraId="0C71A158" w14:textId="77777777" w:rsidR="00F04B9B" w:rsidRPr="00377721" w:rsidRDefault="001A30EC" w:rsidP="005032A9">
      <w:pPr>
        <w:pStyle w:val="BodyText"/>
      </w:pPr>
      <w:r w:rsidRPr="00377721">
        <w:lastRenderedPageBreak/>
        <w:t xml:space="preserve">For the purposes of this report, I advise that there have been no significant changes to the income modelling methodology or associated assumptions since the previous model update. </w:t>
      </w:r>
    </w:p>
    <w:p w14:paraId="374550D7" w14:textId="16CC18C8" w:rsidR="00210DA5" w:rsidRPr="00377721" w:rsidRDefault="00210DA5" w:rsidP="00210DA5">
      <w:pPr>
        <w:pStyle w:val="BodyText"/>
      </w:pPr>
      <w:r w:rsidRPr="00377721">
        <w:t>However, there were two minor refinements to the modelling process this year as follows:</w:t>
      </w:r>
    </w:p>
    <w:p w14:paraId="793B28FC" w14:textId="57CBD0B8" w:rsidR="00210DA5" w:rsidRPr="00377721" w:rsidRDefault="00210DA5" w:rsidP="00210DA5">
      <w:pPr>
        <w:pStyle w:val="Bullet"/>
      </w:pPr>
      <w:r w:rsidRPr="00377721">
        <w:t>In prior years</w:t>
      </w:r>
      <w:r w:rsidR="00B274C2" w:rsidRPr="00377721">
        <w:t>,</w:t>
      </w:r>
      <w:r w:rsidRPr="00377721">
        <w:t xml:space="preserve"> we have not made use of the most recent year of income provided in our data, as for many debtors this information was not </w:t>
      </w:r>
      <w:proofErr w:type="gramStart"/>
      <w:r w:rsidRPr="00377721">
        <w:t>available</w:t>
      </w:r>
      <w:proofErr w:type="gramEnd"/>
      <w:r w:rsidRPr="00377721">
        <w:t xml:space="preserve"> or it was considered unreliable for modelling purposes. This year we have </w:t>
      </w:r>
      <w:r w:rsidR="00F02151" w:rsidRPr="00377721">
        <w:t xml:space="preserve">made full use of the </w:t>
      </w:r>
      <w:r w:rsidRPr="00377721">
        <w:t xml:space="preserve">current year income values </w:t>
      </w:r>
      <w:r w:rsidR="00F02151" w:rsidRPr="00377721">
        <w:t xml:space="preserve">that </w:t>
      </w:r>
      <w:r w:rsidRPr="00377721">
        <w:t>are available</w:t>
      </w:r>
      <w:r w:rsidR="00F02151" w:rsidRPr="00377721">
        <w:t xml:space="preserve"> from those individuals who had lodged a tax return at 31 December 2020 (the date the data was </w:t>
      </w:r>
      <w:r w:rsidR="00F73F86" w:rsidRPr="00377721">
        <w:t>provided</w:t>
      </w:r>
      <w:r w:rsidR="00F02151" w:rsidRPr="00377721">
        <w:t>). In addition, where an income had yet to be recorded, we have rolled forward the prior year income (if available) based on the income growth rates of individuals who have incomes in both years</w:t>
      </w:r>
      <w:r w:rsidRPr="00377721">
        <w:t xml:space="preserve">. </w:t>
      </w:r>
      <w:r w:rsidR="00F02151" w:rsidRPr="00377721">
        <w:t>U</w:t>
      </w:r>
      <w:r w:rsidRPr="00377721">
        <w:t xml:space="preserve">sing this </w:t>
      </w:r>
      <w:r w:rsidR="00F02151" w:rsidRPr="00377721">
        <w:t xml:space="preserve">approach </w:t>
      </w:r>
      <w:r w:rsidRPr="00377721">
        <w:t xml:space="preserve">resulted in a projected level </w:t>
      </w:r>
      <w:r w:rsidR="00E72B7D" w:rsidRPr="00377721">
        <w:t xml:space="preserve">of compulsory payments for </w:t>
      </w:r>
      <w:r w:rsidR="007E3E32" w:rsidRPr="00377721">
        <w:t>2020</w:t>
      </w:r>
      <w:r w:rsidR="00E72B7D" w:rsidRPr="00377721">
        <w:noBreakHyphen/>
      </w:r>
      <w:r w:rsidRPr="00377721">
        <w:t>2</w:t>
      </w:r>
      <w:r w:rsidR="00F02151" w:rsidRPr="00377721">
        <w:t>1</w:t>
      </w:r>
      <w:r w:rsidRPr="00377721">
        <w:t xml:space="preserve"> clos</w:t>
      </w:r>
      <w:r w:rsidR="00F02151" w:rsidRPr="00377721">
        <w:t>e</w:t>
      </w:r>
      <w:r w:rsidRPr="00377721">
        <w:t xml:space="preserve"> to the amounts identified by the </w:t>
      </w:r>
      <w:r w:rsidR="007E3E32" w:rsidRPr="00377721">
        <w:t>2020</w:t>
      </w:r>
      <w:r w:rsidRPr="00377721">
        <w:t>-2</w:t>
      </w:r>
      <w:r w:rsidR="00F02151" w:rsidRPr="00377721">
        <w:t>1</w:t>
      </w:r>
      <w:r w:rsidRPr="00377721">
        <w:t xml:space="preserve"> ATO Certificate.</w:t>
      </w:r>
    </w:p>
    <w:p w14:paraId="72401DC7" w14:textId="62FB8108" w:rsidR="003C64E5" w:rsidRPr="00377721" w:rsidRDefault="00F02151" w:rsidP="00210DA5">
      <w:pPr>
        <w:pStyle w:val="Bullet"/>
      </w:pPr>
      <w:r w:rsidRPr="00377721">
        <w:t xml:space="preserve">The level of voluntary contributions over recent years has been growing at a faster rate than our modelling has projected. This year there was a significant increase in voluntary contributions, possibly due to </w:t>
      </w:r>
      <w:r w:rsidR="00F73F86" w:rsidRPr="00377721">
        <w:t>assistance from family members in COVID-19 influenced economy. We have adjusted our modelling to allow for these recent increases.</w:t>
      </w:r>
    </w:p>
    <w:p w14:paraId="106F2FBE" w14:textId="43CDC8D5" w:rsidR="00210DA5" w:rsidRPr="00377721" w:rsidRDefault="00210DA5" w:rsidP="005032A9">
      <w:pPr>
        <w:pStyle w:val="BodyText"/>
      </w:pPr>
      <w:r w:rsidRPr="00377721">
        <w:t>In addition, there were t</w:t>
      </w:r>
      <w:r w:rsidR="00F73F86" w:rsidRPr="00377721">
        <w:t>wo</w:t>
      </w:r>
      <w:r w:rsidRPr="00377721">
        <w:t xml:space="preserve"> </w:t>
      </w:r>
      <w:r w:rsidR="00F73F86" w:rsidRPr="00377721">
        <w:t>activities</w:t>
      </w:r>
      <w:r w:rsidRPr="00377721">
        <w:t xml:space="preserve"> associated with this year’s advice which involved the following:</w:t>
      </w:r>
    </w:p>
    <w:p w14:paraId="4791AF45" w14:textId="086425E1" w:rsidR="0087682D" w:rsidRPr="00377721" w:rsidRDefault="0087682D" w:rsidP="0087682D">
      <w:pPr>
        <w:pStyle w:val="Bullet"/>
      </w:pPr>
      <w:r w:rsidRPr="00377721">
        <w:t>The removal from the data provided by the ATO of historical VFH debts from 201</w:t>
      </w:r>
      <w:r w:rsidR="00F92986">
        <w:t>3</w:t>
      </w:r>
      <w:r w:rsidRPr="00377721">
        <w:t xml:space="preserve">-2016 for individuals who had been granted a re-credit under the VET Student Redress Scheme and had been processed by the ATO at 31 December </w:t>
      </w:r>
      <w:r w:rsidR="007E3E32" w:rsidRPr="00377721">
        <w:t>2020</w:t>
      </w:r>
      <w:r w:rsidRPr="00377721">
        <w:t xml:space="preserve"> (the effective date that the data was provided to us).</w:t>
      </w:r>
    </w:p>
    <w:p w14:paraId="45989AD5" w14:textId="54C1C7DF" w:rsidR="00157462" w:rsidRPr="00377721" w:rsidRDefault="007C1DCE" w:rsidP="0087682D">
      <w:pPr>
        <w:pStyle w:val="Bullet"/>
      </w:pPr>
      <w:r w:rsidRPr="00377721">
        <w:t xml:space="preserve">Separating the value of the HELP receivable into a value in relation to </w:t>
      </w:r>
      <w:r w:rsidR="00021C5D" w:rsidRPr="00377721">
        <w:t xml:space="preserve">each of </w:t>
      </w:r>
      <w:r w:rsidRPr="00377721">
        <w:t xml:space="preserve">VSL debts issued since 1 July </w:t>
      </w:r>
      <w:r w:rsidR="007E3E32" w:rsidRPr="00377721">
        <w:t>20</w:t>
      </w:r>
      <w:r w:rsidR="00F73F86" w:rsidRPr="00377721">
        <w:t>19</w:t>
      </w:r>
      <w:r w:rsidRPr="00377721">
        <w:t>, other VET related debts and non-VET related debts.</w:t>
      </w:r>
    </w:p>
    <w:p w14:paraId="1262F190" w14:textId="70075A23" w:rsidR="001104BB" w:rsidRPr="00377721" w:rsidRDefault="00210DA5" w:rsidP="005032A9">
      <w:pPr>
        <w:pStyle w:val="BodyText"/>
      </w:pPr>
      <w:r w:rsidRPr="00377721">
        <w:t xml:space="preserve">In line with last year’s approach, we </w:t>
      </w:r>
      <w:r w:rsidR="001104BB" w:rsidRPr="00377721">
        <w:t xml:space="preserve">have </w:t>
      </w:r>
      <w:r w:rsidR="00F73F86" w:rsidRPr="00377721">
        <w:t>retained</w:t>
      </w:r>
      <w:r w:rsidR="001104BB" w:rsidRPr="00377721">
        <w:t xml:space="preserve"> the use of a single </w:t>
      </w:r>
      <w:r w:rsidR="002D3168" w:rsidRPr="00377721">
        <w:t xml:space="preserve">valuation </w:t>
      </w:r>
      <w:r w:rsidR="001104BB" w:rsidRPr="00377721">
        <w:t>discount rate for converting future projected repayments into a present or fair value. The single discount rate is intended to simulate the outcome of using a yield curve</w:t>
      </w:r>
      <w:r w:rsidR="002D3168" w:rsidRPr="00377721">
        <w:t xml:space="preserve">, while reducing the complexity associated with a yield curve. At the same time, we have also relied on Education estimates of the HELP debt balance at 30 June </w:t>
      </w:r>
      <w:r w:rsidR="007E3E32" w:rsidRPr="00377721">
        <w:t>2021</w:t>
      </w:r>
      <w:r w:rsidR="002D3168" w:rsidRPr="00377721">
        <w:t xml:space="preserve"> and likely repayments and new debt issued up to 30 June </w:t>
      </w:r>
      <w:r w:rsidR="007E3E32" w:rsidRPr="00377721">
        <w:t>2021</w:t>
      </w:r>
      <w:r w:rsidR="002D3168" w:rsidRPr="00377721">
        <w:t>.</w:t>
      </w:r>
    </w:p>
    <w:p w14:paraId="78D9EF4F" w14:textId="77777777" w:rsidR="003B7F06" w:rsidRPr="00377721" w:rsidRDefault="003B7F06" w:rsidP="005032A9">
      <w:pPr>
        <w:pStyle w:val="BodyText"/>
      </w:pPr>
      <w:r w:rsidRPr="00377721">
        <w:t xml:space="preserve">The actuary responsible for this report is </w:t>
      </w:r>
      <w:r w:rsidR="00CD1DF1" w:rsidRPr="00377721">
        <w:t>Stuart Mules</w:t>
      </w:r>
      <w:r w:rsidRPr="00377721">
        <w:t>, FIAA.</w:t>
      </w:r>
    </w:p>
    <w:p w14:paraId="5BBEAD46" w14:textId="77777777" w:rsidR="00A01ADA" w:rsidRPr="007A2168" w:rsidRDefault="00A01ADA" w:rsidP="00A01ADA">
      <w:pPr>
        <w:pStyle w:val="Heading1"/>
      </w:pPr>
      <w:bookmarkStart w:id="1" w:name="_Toc77250471"/>
      <w:r w:rsidRPr="007A2168">
        <w:lastRenderedPageBreak/>
        <w:t>Background</w:t>
      </w:r>
      <w:bookmarkEnd w:id="1"/>
    </w:p>
    <w:p w14:paraId="3D0A2EC5" w14:textId="77777777" w:rsidR="009718C9" w:rsidRPr="007A2168" w:rsidRDefault="00A01ADA" w:rsidP="00A01ADA">
      <w:pPr>
        <w:pStyle w:val="BodyText"/>
      </w:pPr>
      <w:r w:rsidRPr="007A2168">
        <w:t>For financial reporting purposes, Education is required to record the HELP receivable at fair value</w:t>
      </w:r>
      <w:r w:rsidR="009718C9" w:rsidRPr="007A2168">
        <w:t>.  That is</w:t>
      </w:r>
      <w:r w:rsidR="00352606" w:rsidRPr="007A2168">
        <w:t>,</w:t>
      </w:r>
      <w:r w:rsidR="009718C9" w:rsidRPr="007A2168">
        <w:t xml:space="preserve"> taking account of the debt that is not expected to be repaid (DNER) due to the income contingent nature of the </w:t>
      </w:r>
      <w:r w:rsidR="00622315" w:rsidRPr="007A2168">
        <w:t>program</w:t>
      </w:r>
      <w:r w:rsidR="009718C9" w:rsidRPr="007A2168">
        <w:t xml:space="preserve"> and the deferral adjustment, which is the result of indexing outstanding debt in line with movements in the CPI rather than the valuation discount rate.</w:t>
      </w:r>
    </w:p>
    <w:p w14:paraId="1C12D25B" w14:textId="71C39EAF" w:rsidR="00334E62" w:rsidRPr="007A2168" w:rsidRDefault="00772EDD" w:rsidP="00334E62">
      <w:pPr>
        <w:pStyle w:val="BodyText"/>
      </w:pPr>
      <w:r w:rsidRPr="007A2168">
        <w:t xml:space="preserve">In order to reach an estimate of the fair value, a projection of future repayments against the debt which is estimated to be outstanding as at 30 June </w:t>
      </w:r>
      <w:r w:rsidR="007E3E32" w:rsidRPr="007A2168">
        <w:t>2021</w:t>
      </w:r>
      <w:r w:rsidRPr="007A2168">
        <w:t xml:space="preserve"> (the balance date) is performed.  Note that because of delays in data transfer between educational institutions and the ATO, primarily in relation to Semester 1 debt for </w:t>
      </w:r>
      <w:r w:rsidR="007E3E32" w:rsidRPr="007A2168">
        <w:t>2021</w:t>
      </w:r>
      <w:r w:rsidRPr="007A2168">
        <w:t xml:space="preserve">, the outstanding debt at the balance date (30 June </w:t>
      </w:r>
      <w:r w:rsidR="007E3E32" w:rsidRPr="007A2168">
        <w:t>2021</w:t>
      </w:r>
      <w:r w:rsidRPr="007A2168">
        <w:t xml:space="preserve">) will not be known with certainty.  Changes in transfer processes occurring during </w:t>
      </w:r>
      <w:r w:rsidR="007E3E32" w:rsidRPr="007A2168">
        <w:t>20</w:t>
      </w:r>
      <w:r w:rsidR="0068360F" w:rsidRPr="007A2168">
        <w:t>19</w:t>
      </w:r>
      <w:r w:rsidRPr="007A2168">
        <w:t xml:space="preserve"> ha</w:t>
      </w:r>
      <w:r w:rsidR="007C1DCE" w:rsidRPr="007A2168">
        <w:t>d</w:t>
      </w:r>
      <w:r w:rsidRPr="007A2168">
        <w:t xml:space="preserve"> improved the situation compared to previous years but </w:t>
      </w:r>
      <w:r w:rsidR="007C1DCE" w:rsidRPr="007A2168">
        <w:t>for this year a significant delay was again observed</w:t>
      </w:r>
      <w:r w:rsidRPr="007A2168">
        <w:t xml:space="preserve">.  </w:t>
      </w:r>
      <w:r w:rsidR="00352606" w:rsidRPr="007A2168">
        <w:t xml:space="preserve">Therefore, </w:t>
      </w:r>
      <w:r w:rsidR="007C1DCE" w:rsidRPr="007A2168">
        <w:t xml:space="preserve">there remains </w:t>
      </w:r>
      <w:r w:rsidRPr="007A2168">
        <w:t xml:space="preserve">some uncertainty about the amount of debt reported at the balance date.  </w:t>
      </w:r>
    </w:p>
    <w:p w14:paraId="07721E3D" w14:textId="6E2AD216" w:rsidR="00B15431" w:rsidRPr="007A2168" w:rsidRDefault="00B15431" w:rsidP="00A01ADA">
      <w:pPr>
        <w:pStyle w:val="BodyText"/>
      </w:pPr>
      <w:r w:rsidRPr="007A2168">
        <w:t>The AGA HELP model generates simulated incomes at the individual level over a 45 year period for all those with an outstanding debt one year prior to the balance date.  These incomes can then be used to calculate future repayments</w:t>
      </w:r>
      <w:r w:rsidR="0042762E" w:rsidRPr="007A2168">
        <w:t xml:space="preserve"> against the debt outstanding one year prior to the balance date (30 June </w:t>
      </w:r>
      <w:r w:rsidR="007E3E32" w:rsidRPr="007A2168">
        <w:t>2020</w:t>
      </w:r>
      <w:r w:rsidR="0042762E" w:rsidRPr="007A2168">
        <w:t xml:space="preserve"> for the current report)</w:t>
      </w:r>
      <w:r w:rsidRPr="007A2168">
        <w:t xml:space="preserve">.  For the new debt which has been incurred over the financial year immediately preceding the balance date, we </w:t>
      </w:r>
      <w:r w:rsidR="00974911" w:rsidRPr="007A2168">
        <w:t>assume that</w:t>
      </w:r>
      <w:r w:rsidRPr="007A2168">
        <w:t xml:space="preserve"> the pattern of repayment observed for the final year of debt included in the model data</w:t>
      </w:r>
      <w:r w:rsidR="00974911" w:rsidRPr="007A2168">
        <w:t xml:space="preserve"> can be applied</w:t>
      </w:r>
      <w:r w:rsidRPr="007A2168">
        <w:t>.</w:t>
      </w:r>
      <w:r w:rsidR="0042762E" w:rsidRPr="007A2168">
        <w:t xml:space="preserve">  That is, we assume that the repayments projected by the </w:t>
      </w:r>
      <w:r w:rsidR="007E3E32" w:rsidRPr="007A2168">
        <w:t>2020</w:t>
      </w:r>
      <w:r w:rsidR="0042762E" w:rsidRPr="007A2168">
        <w:t xml:space="preserve"> model for debt incurred in 201</w:t>
      </w:r>
      <w:r w:rsidR="0068360F" w:rsidRPr="007A2168">
        <w:t>9</w:t>
      </w:r>
      <w:r w:rsidR="0042762E" w:rsidRPr="007A2168">
        <w:t>-</w:t>
      </w:r>
      <w:r w:rsidR="0068360F" w:rsidRPr="007A2168">
        <w:t>20</w:t>
      </w:r>
      <w:r w:rsidR="0042762E" w:rsidRPr="007A2168">
        <w:t xml:space="preserve">, can be pro-rated to estimate the repayments that will be made against debt incurred in </w:t>
      </w:r>
      <w:r w:rsidR="007E3E32" w:rsidRPr="007A2168">
        <w:t>2020</w:t>
      </w:r>
      <w:r w:rsidR="009E415B" w:rsidRPr="007A2168">
        <w:t>-2</w:t>
      </w:r>
      <w:r w:rsidR="0068360F" w:rsidRPr="007A2168">
        <w:t>1</w:t>
      </w:r>
      <w:r w:rsidR="0042762E" w:rsidRPr="007A2168">
        <w:t>.</w:t>
      </w:r>
    </w:p>
    <w:p w14:paraId="3FFED0E5" w14:textId="77777777" w:rsidR="00974911" w:rsidRPr="007A2168" w:rsidRDefault="00974911" w:rsidP="00A01ADA">
      <w:pPr>
        <w:pStyle w:val="BodyText"/>
      </w:pPr>
      <w:r w:rsidRPr="007A2168">
        <w:t xml:space="preserve">A number of principles regarding the estimation of the receivable have been adopted over time </w:t>
      </w:r>
      <w:r w:rsidR="00AD7006" w:rsidRPr="007A2168">
        <w:t xml:space="preserve">dealing with the timing of </w:t>
      </w:r>
      <w:r w:rsidRPr="007A2168">
        <w:t>accounting for repayments, treatment of policy changes and the appropriate discounting basis.  These are discussed in turn below.</w:t>
      </w:r>
    </w:p>
    <w:p w14:paraId="2DA0A6A7" w14:textId="77777777" w:rsidR="00974911" w:rsidRPr="007A2168" w:rsidRDefault="00974911" w:rsidP="00974911">
      <w:pPr>
        <w:pStyle w:val="BodyText"/>
        <w:numPr>
          <w:ilvl w:val="0"/>
          <w:numId w:val="0"/>
        </w:numPr>
        <w:ind w:left="850"/>
      </w:pPr>
      <w:r w:rsidRPr="007A2168">
        <w:rPr>
          <w:i/>
        </w:rPr>
        <w:t>Accounting for repayments</w:t>
      </w:r>
      <w:r w:rsidRPr="007A2168">
        <w:t xml:space="preserve"> </w:t>
      </w:r>
    </w:p>
    <w:p w14:paraId="072616C2" w14:textId="77777777" w:rsidR="00974911" w:rsidRPr="007A2168" w:rsidRDefault="003E705C" w:rsidP="00A01ADA">
      <w:pPr>
        <w:pStyle w:val="BodyText"/>
      </w:pPr>
      <w:r w:rsidRPr="007A2168">
        <w:t>The AGA model is based on ATO transaction data.  This data accounts for compulsory repayments at the time they are credited against outstanding debt</w:t>
      </w:r>
      <w:r w:rsidR="00974911" w:rsidRPr="007A2168">
        <w:t xml:space="preserve"> and we do the same in our model.  In practice, employers are required to deduct PAYG contributions for the salaries of employees with a HELP debt.  These amounts are known as PAYG receipts and are effectively an estimate of what are expected to become the actual compulsory payments credited against the outstanding debt in the following year.  ANAO have advised that, in order to be consistent with the methodology which the ATO uses to report on receipts, PAYG receipts over the year immediately preceding the balance date should be taken into account.  </w:t>
      </w:r>
    </w:p>
    <w:p w14:paraId="5B43CBE5" w14:textId="77777777" w:rsidR="003E705C" w:rsidRPr="007A2168" w:rsidRDefault="00974911" w:rsidP="00A01ADA">
      <w:pPr>
        <w:pStyle w:val="BodyText"/>
      </w:pPr>
      <w:r w:rsidRPr="007A2168">
        <w:t xml:space="preserve">This methodology effectively brings forward compulsory payments by a year and this in turn has two partially offsetting impacts on the estimated fair value of the receivable.  </w:t>
      </w:r>
      <w:r w:rsidRPr="007A2168">
        <w:lastRenderedPageBreak/>
        <w:t xml:space="preserve">Firstly, the amount due is reduced by the tax receipts which are estimated to have been collected in the year before the reporting date but not yet credited against individual debts.  Secondly, the remaining projected compulsory payments are considered to be one year closer to payment and hence discounted by one year less.  This second impact has the effect of increasing the value of the receivable.   The net effect is a decrease in the value of the receivable.  </w:t>
      </w:r>
    </w:p>
    <w:p w14:paraId="52F1EB9A" w14:textId="53C43C30" w:rsidR="00AD7006" w:rsidRPr="007A2168" w:rsidRDefault="00AD7006" w:rsidP="00AD7006">
      <w:pPr>
        <w:pStyle w:val="BodyText"/>
        <w:keepNext/>
        <w:numPr>
          <w:ilvl w:val="0"/>
          <w:numId w:val="0"/>
        </w:numPr>
        <w:ind w:left="851"/>
        <w:rPr>
          <w:i/>
        </w:rPr>
      </w:pPr>
      <w:r w:rsidRPr="007A2168">
        <w:rPr>
          <w:i/>
        </w:rPr>
        <w:t>Treatment of policy changes</w:t>
      </w:r>
      <w:r w:rsidR="006A2F94" w:rsidRPr="007A2168">
        <w:rPr>
          <w:i/>
        </w:rPr>
        <w:t xml:space="preserve"> and current legislation</w:t>
      </w:r>
    </w:p>
    <w:p w14:paraId="25E863DD" w14:textId="15263C92" w:rsidR="00733AF4" w:rsidRPr="007A2168" w:rsidRDefault="00AD7006" w:rsidP="00AD7006">
      <w:pPr>
        <w:pStyle w:val="BodyText"/>
      </w:pPr>
      <w:r w:rsidRPr="007A2168">
        <w:t xml:space="preserve">It has been agreed with ANAO that only measures that have been legislated should be incorporated into the estimates for financial statement purposes.  </w:t>
      </w:r>
      <w:r w:rsidR="006A2F94" w:rsidRPr="007A2168">
        <w:t>While there were no new measures legislated over the last year</w:t>
      </w:r>
      <w:r w:rsidR="006B4B09">
        <w:t xml:space="preserve"> that have an impact on our calculation process</w:t>
      </w:r>
      <w:r w:rsidR="006A2F94" w:rsidRPr="007A2168">
        <w:t>, it is useful to set out here a summary of the key legislation impacting debt repayments</w:t>
      </w:r>
      <w:r w:rsidR="007B68E4" w:rsidRPr="007A2168">
        <w:t>.</w:t>
      </w:r>
    </w:p>
    <w:p w14:paraId="7D97A203" w14:textId="0D3EF037" w:rsidR="00E1158B" w:rsidRPr="007A2168" w:rsidRDefault="006A2F94" w:rsidP="00E1158B">
      <w:pPr>
        <w:pStyle w:val="BodyText"/>
      </w:pPr>
      <w:r w:rsidRPr="007A2168">
        <w:t xml:space="preserve">HELP repayment thresholds are indexed each year in line with </w:t>
      </w:r>
      <w:r w:rsidR="00DC6DE3" w:rsidRPr="007A2168">
        <w:t xml:space="preserve">the increase in the </w:t>
      </w:r>
      <w:r w:rsidRPr="007A2168">
        <w:t xml:space="preserve">CPI </w:t>
      </w:r>
      <w:r w:rsidR="00DC6DE3" w:rsidRPr="007A2168">
        <w:t xml:space="preserve">over the year to the previous </w:t>
      </w:r>
      <w:r w:rsidR="0068360F" w:rsidRPr="007A2168">
        <w:t>31 December</w:t>
      </w:r>
      <w:r w:rsidR="00DC6DE3" w:rsidRPr="007A2168">
        <w:t>. As a result, t</w:t>
      </w:r>
      <w:r w:rsidRPr="007A2168">
        <w:t xml:space="preserve">he </w:t>
      </w:r>
      <w:r w:rsidR="007E3E32" w:rsidRPr="007A2168">
        <w:t>2020</w:t>
      </w:r>
      <w:r w:rsidR="00DC6DE3" w:rsidRPr="007A2168">
        <w:t>-2</w:t>
      </w:r>
      <w:r w:rsidR="0068360F" w:rsidRPr="007A2168">
        <w:t>1</w:t>
      </w:r>
      <w:r w:rsidR="00DC6DE3" w:rsidRPr="007A2168">
        <w:t xml:space="preserve"> repayment thresholds were increased by </w:t>
      </w:r>
      <w:r w:rsidR="0068360F" w:rsidRPr="007A2168">
        <w:t>0.85</w:t>
      </w:r>
      <w:r w:rsidR="00DC6DE3" w:rsidRPr="007A2168">
        <w:t xml:space="preserve">%, </w:t>
      </w:r>
      <w:r w:rsidR="00B274C2" w:rsidRPr="007A2168">
        <w:t xml:space="preserve">being the CPI </w:t>
      </w:r>
      <w:r w:rsidR="00134A11" w:rsidRPr="007A2168">
        <w:t>increase over the year to 3</w:t>
      </w:r>
      <w:r w:rsidR="0068360F" w:rsidRPr="007A2168">
        <w:t>1 December</w:t>
      </w:r>
      <w:r w:rsidR="00134A11" w:rsidRPr="007A2168">
        <w:t xml:space="preserve"> </w:t>
      </w:r>
      <w:r w:rsidR="007E3E32" w:rsidRPr="007A2168">
        <w:t>2020</w:t>
      </w:r>
      <w:r w:rsidR="00134A11" w:rsidRPr="007A2168">
        <w:t>,</w:t>
      </w:r>
      <w:r w:rsidR="00B274C2" w:rsidRPr="007A2168">
        <w:t xml:space="preserve"> </w:t>
      </w:r>
      <w:r w:rsidR="00DC6DE3" w:rsidRPr="007A2168">
        <w:t xml:space="preserve">resulting in the </w:t>
      </w:r>
      <w:r w:rsidR="00E1158B" w:rsidRPr="007A2168">
        <w:t xml:space="preserve">following revised repayment thresholds </w:t>
      </w:r>
      <w:r w:rsidR="00DC6DE3" w:rsidRPr="007A2168">
        <w:t>for</w:t>
      </w:r>
      <w:r w:rsidR="00E1158B" w:rsidRPr="007A2168">
        <w:t xml:space="preserve"> </w:t>
      </w:r>
      <w:r w:rsidR="007E3E32" w:rsidRPr="007A2168">
        <w:t>2021</w:t>
      </w:r>
      <w:r w:rsidRPr="007A2168">
        <w:t>-2</w:t>
      </w:r>
      <w:r w:rsidR="0068360F" w:rsidRPr="007A2168">
        <w:t>2</w:t>
      </w:r>
      <w:r w:rsidR="00E1158B" w:rsidRPr="007A2168">
        <w:t>:</w:t>
      </w:r>
    </w:p>
    <w:tbl>
      <w:tblPr>
        <w:tblW w:w="498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697"/>
      </w:tblGrid>
      <w:tr w:rsidR="00A70050" w:rsidRPr="007A2168" w14:paraId="5902FB72" w14:textId="77777777" w:rsidTr="00134A11">
        <w:trPr>
          <w:trHeight w:val="315"/>
        </w:trPr>
        <w:tc>
          <w:tcPr>
            <w:tcW w:w="4989" w:type="dxa"/>
            <w:gridSpan w:val="2"/>
            <w:shd w:val="clear" w:color="auto" w:fill="auto"/>
            <w:noWrap/>
            <w:vAlign w:val="bottom"/>
            <w:hideMark/>
          </w:tcPr>
          <w:p w14:paraId="3D2F41FA" w14:textId="42922E92" w:rsidR="00A85D09" w:rsidRPr="007A2168" w:rsidRDefault="00A85D09" w:rsidP="006A2F94">
            <w:pPr>
              <w:spacing w:before="60" w:after="60" w:line="240" w:lineRule="auto"/>
              <w:jc w:val="center"/>
            </w:pPr>
            <w:r w:rsidRPr="007A2168">
              <w:t xml:space="preserve">HELP repayment thresholds from </w:t>
            </w:r>
            <w:r w:rsidR="007E3E32" w:rsidRPr="007A2168">
              <w:t>2021</w:t>
            </w:r>
            <w:r w:rsidRPr="007A2168">
              <w:t>-2</w:t>
            </w:r>
            <w:r w:rsidR="0068360F" w:rsidRPr="007A2168">
              <w:t>2</w:t>
            </w:r>
          </w:p>
        </w:tc>
      </w:tr>
      <w:tr w:rsidR="00A70050" w:rsidRPr="007A2168" w14:paraId="0A0C8D37" w14:textId="77777777" w:rsidTr="00134A11">
        <w:trPr>
          <w:trHeight w:val="315"/>
        </w:trPr>
        <w:tc>
          <w:tcPr>
            <w:tcW w:w="2292" w:type="dxa"/>
            <w:shd w:val="clear" w:color="auto" w:fill="auto"/>
            <w:noWrap/>
            <w:vAlign w:val="bottom"/>
            <w:hideMark/>
          </w:tcPr>
          <w:p w14:paraId="62752645" w14:textId="77777777" w:rsidR="00A85D09" w:rsidRPr="007A2168" w:rsidRDefault="00A85D09" w:rsidP="00AB4A1A">
            <w:pPr>
              <w:spacing w:before="60" w:after="60" w:line="240" w:lineRule="auto"/>
              <w:jc w:val="center"/>
            </w:pPr>
            <w:r w:rsidRPr="007A2168">
              <w:t>Repayment rate%</w:t>
            </w:r>
          </w:p>
        </w:tc>
        <w:tc>
          <w:tcPr>
            <w:tcW w:w="2697" w:type="dxa"/>
            <w:shd w:val="clear" w:color="auto" w:fill="auto"/>
            <w:noWrap/>
            <w:vAlign w:val="bottom"/>
            <w:hideMark/>
          </w:tcPr>
          <w:p w14:paraId="434A0773" w14:textId="77777777" w:rsidR="00A85D09" w:rsidRPr="007A2168" w:rsidRDefault="00A85D09" w:rsidP="00AB4A1A">
            <w:pPr>
              <w:spacing w:before="60" w:after="60" w:line="240" w:lineRule="auto"/>
              <w:jc w:val="center"/>
            </w:pPr>
            <w:r w:rsidRPr="007A2168">
              <w:t>Threshold amount</w:t>
            </w:r>
          </w:p>
        </w:tc>
      </w:tr>
      <w:tr w:rsidR="00A70050" w:rsidRPr="007A2168" w14:paraId="59ECAA2B" w14:textId="77777777" w:rsidTr="00134A11">
        <w:trPr>
          <w:trHeight w:val="300"/>
        </w:trPr>
        <w:tc>
          <w:tcPr>
            <w:tcW w:w="2292" w:type="dxa"/>
            <w:shd w:val="clear" w:color="auto" w:fill="auto"/>
            <w:vAlign w:val="center"/>
            <w:hideMark/>
          </w:tcPr>
          <w:p w14:paraId="1E922091" w14:textId="77777777" w:rsidR="00A85D09" w:rsidRPr="007A2168" w:rsidRDefault="00A85D09" w:rsidP="00AB4A1A">
            <w:pPr>
              <w:spacing w:before="60" w:after="60" w:line="240" w:lineRule="auto"/>
              <w:jc w:val="center"/>
            </w:pPr>
            <w:r w:rsidRPr="007A2168">
              <w:t>1.00%</w:t>
            </w:r>
          </w:p>
        </w:tc>
        <w:tc>
          <w:tcPr>
            <w:tcW w:w="2697" w:type="dxa"/>
            <w:shd w:val="clear" w:color="auto" w:fill="auto"/>
            <w:noWrap/>
            <w:vAlign w:val="center"/>
            <w:hideMark/>
          </w:tcPr>
          <w:p w14:paraId="66F82D3F" w14:textId="20D920C3" w:rsidR="00A85D09" w:rsidRPr="007A2168" w:rsidRDefault="00A85D09" w:rsidP="00DC6DE3">
            <w:pPr>
              <w:spacing w:before="60" w:after="60" w:line="240" w:lineRule="auto"/>
              <w:jc w:val="center"/>
            </w:pPr>
            <w:r w:rsidRPr="007A2168">
              <w:t>$</w:t>
            </w:r>
            <w:r w:rsidR="0068360F" w:rsidRPr="007A2168">
              <w:t>47,014</w:t>
            </w:r>
          </w:p>
        </w:tc>
      </w:tr>
      <w:tr w:rsidR="00A70050" w:rsidRPr="007A2168" w14:paraId="3DA6AFAC" w14:textId="77777777" w:rsidTr="00134A11">
        <w:trPr>
          <w:trHeight w:val="300"/>
        </w:trPr>
        <w:tc>
          <w:tcPr>
            <w:tcW w:w="2292" w:type="dxa"/>
            <w:shd w:val="clear" w:color="auto" w:fill="auto"/>
            <w:vAlign w:val="center"/>
            <w:hideMark/>
          </w:tcPr>
          <w:p w14:paraId="67491D1E" w14:textId="77777777" w:rsidR="00A85D09" w:rsidRPr="007A2168" w:rsidRDefault="00A85D09" w:rsidP="00AB4A1A">
            <w:pPr>
              <w:spacing w:before="60" w:after="60" w:line="240" w:lineRule="auto"/>
              <w:jc w:val="center"/>
            </w:pPr>
            <w:r w:rsidRPr="007A2168">
              <w:t>2.00%</w:t>
            </w:r>
          </w:p>
        </w:tc>
        <w:tc>
          <w:tcPr>
            <w:tcW w:w="2697" w:type="dxa"/>
            <w:shd w:val="clear" w:color="auto" w:fill="auto"/>
            <w:noWrap/>
            <w:vAlign w:val="center"/>
            <w:hideMark/>
          </w:tcPr>
          <w:p w14:paraId="7AEEFE82" w14:textId="2DA320FD" w:rsidR="00A85D09" w:rsidRPr="007A2168" w:rsidRDefault="00A85D09" w:rsidP="00DC6DE3">
            <w:pPr>
              <w:spacing w:before="60" w:after="60" w:line="240" w:lineRule="auto"/>
              <w:jc w:val="center"/>
            </w:pPr>
            <w:r w:rsidRPr="007A2168">
              <w:t>$</w:t>
            </w:r>
            <w:r w:rsidR="0068360F" w:rsidRPr="007A2168">
              <w:t>54,283</w:t>
            </w:r>
          </w:p>
        </w:tc>
      </w:tr>
      <w:tr w:rsidR="00A70050" w:rsidRPr="007A2168" w14:paraId="361D867A" w14:textId="77777777" w:rsidTr="00134A11">
        <w:trPr>
          <w:trHeight w:val="300"/>
        </w:trPr>
        <w:tc>
          <w:tcPr>
            <w:tcW w:w="2292" w:type="dxa"/>
            <w:shd w:val="clear" w:color="auto" w:fill="auto"/>
            <w:vAlign w:val="center"/>
            <w:hideMark/>
          </w:tcPr>
          <w:p w14:paraId="3EAE296F" w14:textId="77777777" w:rsidR="00A85D09" w:rsidRPr="007A2168" w:rsidRDefault="00A85D09" w:rsidP="00AB4A1A">
            <w:pPr>
              <w:spacing w:before="60" w:after="60" w:line="240" w:lineRule="auto"/>
              <w:jc w:val="center"/>
            </w:pPr>
            <w:r w:rsidRPr="007A2168">
              <w:t>2.50%</w:t>
            </w:r>
          </w:p>
        </w:tc>
        <w:tc>
          <w:tcPr>
            <w:tcW w:w="2697" w:type="dxa"/>
            <w:shd w:val="clear" w:color="auto" w:fill="auto"/>
            <w:noWrap/>
            <w:vAlign w:val="center"/>
            <w:hideMark/>
          </w:tcPr>
          <w:p w14:paraId="3A7859E5" w14:textId="663564CC" w:rsidR="00A85D09" w:rsidRPr="007A2168" w:rsidRDefault="00A85D09" w:rsidP="00DC6DE3">
            <w:pPr>
              <w:spacing w:before="60" w:after="60" w:line="240" w:lineRule="auto"/>
              <w:jc w:val="center"/>
            </w:pPr>
            <w:r w:rsidRPr="007A2168">
              <w:t>$5</w:t>
            </w:r>
            <w:r w:rsidR="00DC6DE3" w:rsidRPr="007A2168">
              <w:t>7,</w:t>
            </w:r>
            <w:r w:rsidR="0068360F" w:rsidRPr="007A2168">
              <w:t>539</w:t>
            </w:r>
          </w:p>
        </w:tc>
      </w:tr>
      <w:tr w:rsidR="00A70050" w:rsidRPr="007A2168" w14:paraId="7301ED31" w14:textId="77777777" w:rsidTr="00134A11">
        <w:trPr>
          <w:trHeight w:val="300"/>
        </w:trPr>
        <w:tc>
          <w:tcPr>
            <w:tcW w:w="2292" w:type="dxa"/>
            <w:shd w:val="clear" w:color="auto" w:fill="auto"/>
            <w:vAlign w:val="center"/>
            <w:hideMark/>
          </w:tcPr>
          <w:p w14:paraId="25BCB975" w14:textId="77777777" w:rsidR="00A85D09" w:rsidRPr="007A2168" w:rsidRDefault="00A85D09" w:rsidP="00AB4A1A">
            <w:pPr>
              <w:spacing w:before="60" w:after="60" w:line="240" w:lineRule="auto"/>
              <w:jc w:val="center"/>
            </w:pPr>
            <w:r w:rsidRPr="007A2168">
              <w:t>3.00%</w:t>
            </w:r>
          </w:p>
        </w:tc>
        <w:tc>
          <w:tcPr>
            <w:tcW w:w="2697" w:type="dxa"/>
            <w:shd w:val="clear" w:color="auto" w:fill="auto"/>
            <w:noWrap/>
            <w:vAlign w:val="center"/>
            <w:hideMark/>
          </w:tcPr>
          <w:p w14:paraId="54238DC0" w14:textId="2968CC9D" w:rsidR="00A85D09" w:rsidRPr="007A2168" w:rsidRDefault="00A85D09" w:rsidP="00DC6DE3">
            <w:pPr>
              <w:spacing w:before="60" w:after="60" w:line="240" w:lineRule="auto"/>
              <w:jc w:val="center"/>
            </w:pPr>
            <w:r w:rsidRPr="007A2168">
              <w:t>$</w:t>
            </w:r>
            <w:r w:rsidR="00DC6DE3" w:rsidRPr="007A2168">
              <w:t>60,</w:t>
            </w:r>
            <w:r w:rsidR="0068360F" w:rsidRPr="007A2168">
              <w:t>992</w:t>
            </w:r>
          </w:p>
        </w:tc>
      </w:tr>
      <w:tr w:rsidR="00A70050" w:rsidRPr="007A2168" w14:paraId="29DE762F" w14:textId="77777777" w:rsidTr="00134A11">
        <w:trPr>
          <w:trHeight w:val="300"/>
        </w:trPr>
        <w:tc>
          <w:tcPr>
            <w:tcW w:w="2292" w:type="dxa"/>
            <w:shd w:val="clear" w:color="auto" w:fill="auto"/>
            <w:vAlign w:val="center"/>
            <w:hideMark/>
          </w:tcPr>
          <w:p w14:paraId="2BF566F7" w14:textId="77777777" w:rsidR="00A85D09" w:rsidRPr="007A2168" w:rsidRDefault="00A85D09" w:rsidP="00AB4A1A">
            <w:pPr>
              <w:spacing w:before="60" w:after="60" w:line="240" w:lineRule="auto"/>
              <w:jc w:val="center"/>
            </w:pPr>
            <w:r w:rsidRPr="007A2168">
              <w:t>3.50%</w:t>
            </w:r>
          </w:p>
        </w:tc>
        <w:tc>
          <w:tcPr>
            <w:tcW w:w="2697" w:type="dxa"/>
            <w:shd w:val="clear" w:color="auto" w:fill="auto"/>
            <w:noWrap/>
            <w:vAlign w:val="center"/>
            <w:hideMark/>
          </w:tcPr>
          <w:p w14:paraId="007BD672" w14:textId="347E6918" w:rsidR="00A85D09" w:rsidRPr="007A2168" w:rsidRDefault="00A85D09" w:rsidP="00DC6DE3">
            <w:pPr>
              <w:spacing w:before="60" w:after="60" w:line="240" w:lineRule="auto"/>
              <w:jc w:val="center"/>
            </w:pPr>
            <w:r w:rsidRPr="007A2168">
              <w:t>$6</w:t>
            </w:r>
            <w:r w:rsidR="00DC6DE3" w:rsidRPr="007A2168">
              <w:t>4,</w:t>
            </w:r>
            <w:r w:rsidR="0068360F" w:rsidRPr="007A2168">
              <w:t>652</w:t>
            </w:r>
          </w:p>
        </w:tc>
      </w:tr>
      <w:tr w:rsidR="00A70050" w:rsidRPr="007A2168" w14:paraId="01135CF4" w14:textId="77777777" w:rsidTr="00134A11">
        <w:trPr>
          <w:trHeight w:val="300"/>
        </w:trPr>
        <w:tc>
          <w:tcPr>
            <w:tcW w:w="2292" w:type="dxa"/>
            <w:shd w:val="clear" w:color="auto" w:fill="auto"/>
            <w:vAlign w:val="center"/>
            <w:hideMark/>
          </w:tcPr>
          <w:p w14:paraId="5668A757" w14:textId="77777777" w:rsidR="00A85D09" w:rsidRPr="007A2168" w:rsidRDefault="00A85D09" w:rsidP="00AB4A1A">
            <w:pPr>
              <w:spacing w:before="60" w:after="60" w:line="240" w:lineRule="auto"/>
              <w:jc w:val="center"/>
            </w:pPr>
            <w:r w:rsidRPr="007A2168">
              <w:t>4.00%</w:t>
            </w:r>
          </w:p>
        </w:tc>
        <w:tc>
          <w:tcPr>
            <w:tcW w:w="2697" w:type="dxa"/>
            <w:shd w:val="clear" w:color="auto" w:fill="auto"/>
            <w:noWrap/>
            <w:vAlign w:val="center"/>
            <w:hideMark/>
          </w:tcPr>
          <w:p w14:paraId="07E897C7" w14:textId="41D8C59D" w:rsidR="00A85D09" w:rsidRPr="007A2168" w:rsidRDefault="00A85D09" w:rsidP="00DC6DE3">
            <w:pPr>
              <w:spacing w:before="60" w:after="60" w:line="240" w:lineRule="auto"/>
              <w:jc w:val="center"/>
            </w:pPr>
            <w:r w:rsidRPr="007A2168">
              <w:t>$</w:t>
            </w:r>
            <w:r w:rsidR="0068360F" w:rsidRPr="007A2168">
              <w:t>68,530</w:t>
            </w:r>
          </w:p>
        </w:tc>
      </w:tr>
      <w:tr w:rsidR="00A70050" w:rsidRPr="007A2168" w14:paraId="55531892" w14:textId="77777777" w:rsidTr="00134A11">
        <w:trPr>
          <w:trHeight w:val="300"/>
        </w:trPr>
        <w:tc>
          <w:tcPr>
            <w:tcW w:w="2292" w:type="dxa"/>
            <w:shd w:val="clear" w:color="auto" w:fill="auto"/>
            <w:vAlign w:val="center"/>
            <w:hideMark/>
          </w:tcPr>
          <w:p w14:paraId="5EE19DD5" w14:textId="77777777" w:rsidR="00A85D09" w:rsidRPr="007A2168" w:rsidRDefault="00A85D09" w:rsidP="00AB4A1A">
            <w:pPr>
              <w:spacing w:before="60" w:after="60" w:line="240" w:lineRule="auto"/>
              <w:jc w:val="center"/>
            </w:pPr>
            <w:r w:rsidRPr="007A2168">
              <w:t>4.50%</w:t>
            </w:r>
          </w:p>
        </w:tc>
        <w:tc>
          <w:tcPr>
            <w:tcW w:w="2697" w:type="dxa"/>
            <w:shd w:val="clear" w:color="auto" w:fill="auto"/>
            <w:noWrap/>
            <w:vAlign w:val="center"/>
            <w:hideMark/>
          </w:tcPr>
          <w:p w14:paraId="1070E021" w14:textId="3421F685" w:rsidR="00A85D09" w:rsidRPr="007A2168" w:rsidRDefault="00A85D09" w:rsidP="00DC6DE3">
            <w:pPr>
              <w:spacing w:before="60" w:after="60" w:line="240" w:lineRule="auto"/>
              <w:jc w:val="center"/>
            </w:pPr>
            <w:r w:rsidRPr="007A2168">
              <w:t>$7</w:t>
            </w:r>
            <w:r w:rsidR="00DC6DE3" w:rsidRPr="007A2168">
              <w:t>2,</w:t>
            </w:r>
            <w:r w:rsidR="0068360F" w:rsidRPr="007A2168">
              <w:t>642</w:t>
            </w:r>
          </w:p>
        </w:tc>
      </w:tr>
      <w:tr w:rsidR="00A70050" w:rsidRPr="007A2168" w14:paraId="3B2A32A1" w14:textId="77777777" w:rsidTr="00134A11">
        <w:trPr>
          <w:trHeight w:val="300"/>
        </w:trPr>
        <w:tc>
          <w:tcPr>
            <w:tcW w:w="2292" w:type="dxa"/>
            <w:shd w:val="clear" w:color="auto" w:fill="auto"/>
            <w:vAlign w:val="center"/>
            <w:hideMark/>
          </w:tcPr>
          <w:p w14:paraId="6FE276EC" w14:textId="77777777" w:rsidR="00A85D09" w:rsidRPr="007A2168" w:rsidRDefault="00A85D09" w:rsidP="00AB4A1A">
            <w:pPr>
              <w:spacing w:before="60" w:after="60" w:line="240" w:lineRule="auto"/>
              <w:jc w:val="center"/>
            </w:pPr>
            <w:r w:rsidRPr="007A2168">
              <w:t>5.00%</w:t>
            </w:r>
          </w:p>
        </w:tc>
        <w:tc>
          <w:tcPr>
            <w:tcW w:w="2697" w:type="dxa"/>
            <w:shd w:val="clear" w:color="auto" w:fill="auto"/>
            <w:noWrap/>
            <w:vAlign w:val="center"/>
            <w:hideMark/>
          </w:tcPr>
          <w:p w14:paraId="5DF92C6D" w14:textId="5F3B7AF8" w:rsidR="00A85D09" w:rsidRPr="007A2168" w:rsidRDefault="00A85D09" w:rsidP="00DC6DE3">
            <w:pPr>
              <w:spacing w:before="60" w:after="60" w:line="240" w:lineRule="auto"/>
              <w:jc w:val="center"/>
            </w:pPr>
            <w:r w:rsidRPr="007A2168">
              <w:t>$</w:t>
            </w:r>
            <w:r w:rsidR="0068360F" w:rsidRPr="007A2168">
              <w:t>77,002</w:t>
            </w:r>
          </w:p>
        </w:tc>
      </w:tr>
      <w:tr w:rsidR="00A70050" w:rsidRPr="007A2168" w14:paraId="39DDA841" w14:textId="77777777" w:rsidTr="00134A11">
        <w:trPr>
          <w:trHeight w:val="300"/>
        </w:trPr>
        <w:tc>
          <w:tcPr>
            <w:tcW w:w="2292" w:type="dxa"/>
            <w:shd w:val="clear" w:color="auto" w:fill="auto"/>
            <w:vAlign w:val="center"/>
            <w:hideMark/>
          </w:tcPr>
          <w:p w14:paraId="5CE52CF1" w14:textId="77777777" w:rsidR="00A85D09" w:rsidRPr="007A2168" w:rsidRDefault="00A85D09" w:rsidP="00AB4A1A">
            <w:pPr>
              <w:spacing w:before="60" w:after="60" w:line="240" w:lineRule="auto"/>
              <w:jc w:val="center"/>
            </w:pPr>
            <w:r w:rsidRPr="007A2168">
              <w:t>5.50%</w:t>
            </w:r>
          </w:p>
        </w:tc>
        <w:tc>
          <w:tcPr>
            <w:tcW w:w="2697" w:type="dxa"/>
            <w:shd w:val="clear" w:color="auto" w:fill="auto"/>
            <w:noWrap/>
            <w:vAlign w:val="center"/>
            <w:hideMark/>
          </w:tcPr>
          <w:p w14:paraId="5EFA0D50" w14:textId="07E9618D" w:rsidR="00A85D09" w:rsidRPr="007A2168" w:rsidRDefault="00A85D09" w:rsidP="00DC6DE3">
            <w:pPr>
              <w:spacing w:before="60" w:after="60" w:line="240" w:lineRule="auto"/>
              <w:jc w:val="center"/>
            </w:pPr>
            <w:r w:rsidRPr="007A2168">
              <w:t>$</w:t>
            </w:r>
            <w:r w:rsidR="0068360F" w:rsidRPr="007A2168">
              <w:t>81,621</w:t>
            </w:r>
          </w:p>
        </w:tc>
      </w:tr>
      <w:tr w:rsidR="00A70050" w:rsidRPr="007A2168" w14:paraId="2F345503" w14:textId="77777777" w:rsidTr="00134A11">
        <w:trPr>
          <w:trHeight w:val="300"/>
        </w:trPr>
        <w:tc>
          <w:tcPr>
            <w:tcW w:w="2292" w:type="dxa"/>
            <w:shd w:val="clear" w:color="auto" w:fill="auto"/>
            <w:vAlign w:val="center"/>
            <w:hideMark/>
          </w:tcPr>
          <w:p w14:paraId="078C9890" w14:textId="77777777" w:rsidR="00A85D09" w:rsidRPr="007A2168" w:rsidRDefault="00A85D09" w:rsidP="00AB4A1A">
            <w:pPr>
              <w:spacing w:before="60" w:after="60" w:line="240" w:lineRule="auto"/>
              <w:jc w:val="center"/>
            </w:pPr>
            <w:r w:rsidRPr="007A2168">
              <w:t>6.00%</w:t>
            </w:r>
          </w:p>
        </w:tc>
        <w:tc>
          <w:tcPr>
            <w:tcW w:w="2697" w:type="dxa"/>
            <w:shd w:val="clear" w:color="auto" w:fill="auto"/>
            <w:noWrap/>
            <w:vAlign w:val="center"/>
            <w:hideMark/>
          </w:tcPr>
          <w:p w14:paraId="37C582B6" w14:textId="5D6D9594" w:rsidR="00A85D09" w:rsidRPr="007A2168" w:rsidRDefault="00A85D09" w:rsidP="00DC6DE3">
            <w:pPr>
              <w:spacing w:before="60" w:after="60" w:line="240" w:lineRule="auto"/>
              <w:jc w:val="center"/>
            </w:pPr>
            <w:r w:rsidRPr="007A2168">
              <w:t>$</w:t>
            </w:r>
            <w:r w:rsidR="0068360F" w:rsidRPr="007A2168">
              <w:t>86,519</w:t>
            </w:r>
          </w:p>
        </w:tc>
      </w:tr>
      <w:tr w:rsidR="00A70050" w:rsidRPr="007A2168" w14:paraId="6FBCB800" w14:textId="77777777" w:rsidTr="00134A11">
        <w:trPr>
          <w:trHeight w:val="300"/>
        </w:trPr>
        <w:tc>
          <w:tcPr>
            <w:tcW w:w="2292" w:type="dxa"/>
            <w:shd w:val="clear" w:color="auto" w:fill="auto"/>
            <w:vAlign w:val="center"/>
            <w:hideMark/>
          </w:tcPr>
          <w:p w14:paraId="05AE2637" w14:textId="77777777" w:rsidR="00A85D09" w:rsidRPr="007A2168" w:rsidRDefault="00A85D09" w:rsidP="00AB4A1A">
            <w:pPr>
              <w:spacing w:before="60" w:after="60" w:line="240" w:lineRule="auto"/>
              <w:jc w:val="center"/>
            </w:pPr>
            <w:r w:rsidRPr="007A2168">
              <w:t>6.50%</w:t>
            </w:r>
          </w:p>
        </w:tc>
        <w:tc>
          <w:tcPr>
            <w:tcW w:w="2697" w:type="dxa"/>
            <w:shd w:val="clear" w:color="auto" w:fill="auto"/>
            <w:noWrap/>
            <w:vAlign w:val="center"/>
            <w:hideMark/>
          </w:tcPr>
          <w:p w14:paraId="04FCC275" w14:textId="501030B2" w:rsidR="00A85D09" w:rsidRPr="007A2168" w:rsidRDefault="00A85D09" w:rsidP="00DC6DE3">
            <w:pPr>
              <w:spacing w:before="60" w:after="60" w:line="240" w:lineRule="auto"/>
              <w:jc w:val="center"/>
            </w:pPr>
            <w:r w:rsidRPr="007A2168">
              <w:t>$</w:t>
            </w:r>
            <w:r w:rsidR="0068360F" w:rsidRPr="007A2168">
              <w:t>91,710</w:t>
            </w:r>
          </w:p>
        </w:tc>
      </w:tr>
      <w:tr w:rsidR="00A70050" w:rsidRPr="007A2168" w14:paraId="0DF936DA" w14:textId="77777777" w:rsidTr="00134A11">
        <w:trPr>
          <w:trHeight w:val="300"/>
        </w:trPr>
        <w:tc>
          <w:tcPr>
            <w:tcW w:w="2292" w:type="dxa"/>
            <w:shd w:val="clear" w:color="auto" w:fill="auto"/>
            <w:vAlign w:val="center"/>
            <w:hideMark/>
          </w:tcPr>
          <w:p w14:paraId="35EBCC5D" w14:textId="77777777" w:rsidR="00A85D09" w:rsidRPr="007A2168" w:rsidRDefault="00A85D09" w:rsidP="00AB4A1A">
            <w:pPr>
              <w:spacing w:before="60" w:after="60" w:line="240" w:lineRule="auto"/>
              <w:jc w:val="center"/>
            </w:pPr>
            <w:r w:rsidRPr="007A2168">
              <w:t>7.00%</w:t>
            </w:r>
          </w:p>
        </w:tc>
        <w:tc>
          <w:tcPr>
            <w:tcW w:w="2697" w:type="dxa"/>
            <w:shd w:val="clear" w:color="auto" w:fill="auto"/>
            <w:noWrap/>
            <w:vAlign w:val="center"/>
            <w:hideMark/>
          </w:tcPr>
          <w:p w14:paraId="320BE912" w14:textId="78D889C3" w:rsidR="00A85D09" w:rsidRPr="007A2168" w:rsidRDefault="00A85D09" w:rsidP="00DC6DE3">
            <w:pPr>
              <w:spacing w:before="60" w:after="60" w:line="240" w:lineRule="auto"/>
              <w:jc w:val="center"/>
            </w:pPr>
            <w:r w:rsidRPr="007A2168">
              <w:t>$</w:t>
            </w:r>
            <w:r w:rsidR="0068360F" w:rsidRPr="007A2168">
              <w:t>97,213</w:t>
            </w:r>
          </w:p>
        </w:tc>
      </w:tr>
      <w:tr w:rsidR="00A70050" w:rsidRPr="007A2168" w14:paraId="7A54D94B" w14:textId="77777777" w:rsidTr="00134A11">
        <w:trPr>
          <w:trHeight w:val="300"/>
        </w:trPr>
        <w:tc>
          <w:tcPr>
            <w:tcW w:w="2292" w:type="dxa"/>
            <w:shd w:val="clear" w:color="auto" w:fill="auto"/>
            <w:vAlign w:val="center"/>
            <w:hideMark/>
          </w:tcPr>
          <w:p w14:paraId="2CB9FE79" w14:textId="77777777" w:rsidR="00A85D09" w:rsidRPr="007A2168" w:rsidRDefault="00A85D09" w:rsidP="00AB4A1A">
            <w:pPr>
              <w:spacing w:before="60" w:after="60" w:line="240" w:lineRule="auto"/>
              <w:jc w:val="center"/>
            </w:pPr>
            <w:r w:rsidRPr="007A2168">
              <w:t>7.50%</w:t>
            </w:r>
          </w:p>
        </w:tc>
        <w:tc>
          <w:tcPr>
            <w:tcW w:w="2697" w:type="dxa"/>
            <w:shd w:val="clear" w:color="auto" w:fill="auto"/>
            <w:noWrap/>
            <w:vAlign w:val="center"/>
            <w:hideMark/>
          </w:tcPr>
          <w:p w14:paraId="7664210D" w14:textId="2629F487" w:rsidR="00A85D09" w:rsidRPr="007A2168" w:rsidRDefault="00A85D09" w:rsidP="00DC6DE3">
            <w:pPr>
              <w:spacing w:before="60" w:after="60" w:line="240" w:lineRule="auto"/>
              <w:jc w:val="center"/>
            </w:pPr>
            <w:r w:rsidRPr="007A2168">
              <w:t>$10</w:t>
            </w:r>
            <w:r w:rsidR="0068360F" w:rsidRPr="007A2168">
              <w:t>3,046</w:t>
            </w:r>
          </w:p>
        </w:tc>
      </w:tr>
      <w:tr w:rsidR="00A70050" w:rsidRPr="007A2168" w14:paraId="7BE0BFC0" w14:textId="77777777" w:rsidTr="00134A11">
        <w:trPr>
          <w:trHeight w:val="300"/>
        </w:trPr>
        <w:tc>
          <w:tcPr>
            <w:tcW w:w="2292" w:type="dxa"/>
            <w:shd w:val="clear" w:color="auto" w:fill="auto"/>
            <w:vAlign w:val="center"/>
            <w:hideMark/>
          </w:tcPr>
          <w:p w14:paraId="24210FE7" w14:textId="77777777" w:rsidR="00A85D09" w:rsidRPr="007A2168" w:rsidRDefault="00A85D09" w:rsidP="00AB4A1A">
            <w:pPr>
              <w:spacing w:before="60" w:after="60" w:line="240" w:lineRule="auto"/>
              <w:jc w:val="center"/>
            </w:pPr>
            <w:r w:rsidRPr="007A2168">
              <w:t>8.00%</w:t>
            </w:r>
          </w:p>
        </w:tc>
        <w:tc>
          <w:tcPr>
            <w:tcW w:w="2697" w:type="dxa"/>
            <w:shd w:val="clear" w:color="auto" w:fill="auto"/>
            <w:noWrap/>
            <w:vAlign w:val="center"/>
            <w:hideMark/>
          </w:tcPr>
          <w:p w14:paraId="236BDBEC" w14:textId="3296AE18" w:rsidR="00A85D09" w:rsidRPr="007A2168" w:rsidRDefault="00A85D09" w:rsidP="00DC6DE3">
            <w:pPr>
              <w:spacing w:before="60" w:after="60" w:line="240" w:lineRule="auto"/>
              <w:jc w:val="center"/>
            </w:pPr>
            <w:r w:rsidRPr="007A2168">
              <w:t>$10</w:t>
            </w:r>
            <w:r w:rsidR="0068360F" w:rsidRPr="007A2168">
              <w:t>9,228</w:t>
            </w:r>
          </w:p>
        </w:tc>
      </w:tr>
      <w:tr w:rsidR="00A70050" w:rsidRPr="007A2168" w14:paraId="3FBF51F7" w14:textId="77777777" w:rsidTr="00134A11">
        <w:trPr>
          <w:trHeight w:val="300"/>
        </w:trPr>
        <w:tc>
          <w:tcPr>
            <w:tcW w:w="2292" w:type="dxa"/>
            <w:shd w:val="clear" w:color="auto" w:fill="auto"/>
            <w:vAlign w:val="center"/>
            <w:hideMark/>
          </w:tcPr>
          <w:p w14:paraId="782932D7" w14:textId="77777777" w:rsidR="00A85D09" w:rsidRPr="007A2168" w:rsidRDefault="00A85D09" w:rsidP="00AB4A1A">
            <w:pPr>
              <w:spacing w:before="60" w:after="60" w:line="240" w:lineRule="auto"/>
              <w:jc w:val="center"/>
            </w:pPr>
            <w:r w:rsidRPr="007A2168">
              <w:t>8.50%</w:t>
            </w:r>
          </w:p>
        </w:tc>
        <w:tc>
          <w:tcPr>
            <w:tcW w:w="2697" w:type="dxa"/>
            <w:shd w:val="clear" w:color="auto" w:fill="auto"/>
            <w:noWrap/>
            <w:vAlign w:val="center"/>
            <w:hideMark/>
          </w:tcPr>
          <w:p w14:paraId="5F905951" w14:textId="59A19A65" w:rsidR="00A85D09" w:rsidRPr="007A2168" w:rsidRDefault="00A85D09" w:rsidP="00DC6DE3">
            <w:pPr>
              <w:spacing w:before="60" w:after="60" w:line="240" w:lineRule="auto"/>
              <w:jc w:val="center"/>
            </w:pPr>
            <w:r w:rsidRPr="007A2168">
              <w:t>$11</w:t>
            </w:r>
            <w:r w:rsidR="0068360F" w:rsidRPr="007A2168">
              <w:t>5,782</w:t>
            </w:r>
          </w:p>
        </w:tc>
      </w:tr>
      <w:tr w:rsidR="00A70050" w:rsidRPr="007A2168" w14:paraId="7E09B61D" w14:textId="77777777" w:rsidTr="00134A11">
        <w:trPr>
          <w:trHeight w:val="70"/>
        </w:trPr>
        <w:tc>
          <w:tcPr>
            <w:tcW w:w="2292" w:type="dxa"/>
            <w:shd w:val="clear" w:color="auto" w:fill="auto"/>
            <w:vAlign w:val="center"/>
            <w:hideMark/>
          </w:tcPr>
          <w:p w14:paraId="29B84CE5" w14:textId="77777777" w:rsidR="00A85D09" w:rsidRPr="007A2168" w:rsidRDefault="00A85D09" w:rsidP="00AB4A1A">
            <w:pPr>
              <w:spacing w:before="60" w:after="60" w:line="240" w:lineRule="auto"/>
              <w:jc w:val="center"/>
            </w:pPr>
            <w:r w:rsidRPr="007A2168">
              <w:t>9.00%</w:t>
            </w:r>
          </w:p>
        </w:tc>
        <w:tc>
          <w:tcPr>
            <w:tcW w:w="2697" w:type="dxa"/>
            <w:shd w:val="clear" w:color="auto" w:fill="auto"/>
            <w:noWrap/>
            <w:vAlign w:val="center"/>
            <w:hideMark/>
          </w:tcPr>
          <w:p w14:paraId="1E6AB0B4" w14:textId="27AD0011" w:rsidR="00A85D09" w:rsidRPr="007A2168" w:rsidRDefault="00A85D09" w:rsidP="00DC6DE3">
            <w:pPr>
              <w:spacing w:before="60" w:after="60" w:line="240" w:lineRule="auto"/>
              <w:jc w:val="center"/>
            </w:pPr>
            <w:r w:rsidRPr="007A2168">
              <w:t>$1</w:t>
            </w:r>
            <w:r w:rsidR="00DC6DE3" w:rsidRPr="007A2168">
              <w:t>2</w:t>
            </w:r>
            <w:r w:rsidR="0068360F" w:rsidRPr="007A2168">
              <w:t>2,729</w:t>
            </w:r>
          </w:p>
        </w:tc>
      </w:tr>
      <w:tr w:rsidR="00A70050" w:rsidRPr="007A2168" w14:paraId="595D3023" w14:textId="77777777" w:rsidTr="00134A11">
        <w:trPr>
          <w:trHeight w:val="300"/>
        </w:trPr>
        <w:tc>
          <w:tcPr>
            <w:tcW w:w="2292" w:type="dxa"/>
            <w:shd w:val="clear" w:color="auto" w:fill="auto"/>
            <w:vAlign w:val="center"/>
            <w:hideMark/>
          </w:tcPr>
          <w:p w14:paraId="559C76BD" w14:textId="77777777" w:rsidR="00A85D09" w:rsidRPr="007A2168" w:rsidRDefault="00A85D09" w:rsidP="00AB4A1A">
            <w:pPr>
              <w:spacing w:before="60" w:after="60" w:line="240" w:lineRule="auto"/>
              <w:jc w:val="center"/>
            </w:pPr>
            <w:r w:rsidRPr="007A2168">
              <w:t>9.50%</w:t>
            </w:r>
          </w:p>
        </w:tc>
        <w:tc>
          <w:tcPr>
            <w:tcW w:w="2697" w:type="dxa"/>
            <w:shd w:val="clear" w:color="auto" w:fill="auto"/>
            <w:noWrap/>
            <w:vAlign w:val="center"/>
            <w:hideMark/>
          </w:tcPr>
          <w:p w14:paraId="6E840268" w14:textId="148B0813" w:rsidR="00A85D09" w:rsidRPr="007A2168" w:rsidRDefault="00A85D09" w:rsidP="006D62F0">
            <w:pPr>
              <w:spacing w:before="60" w:after="60" w:line="240" w:lineRule="auto"/>
              <w:jc w:val="center"/>
            </w:pPr>
            <w:r w:rsidRPr="007A2168">
              <w:t>$1</w:t>
            </w:r>
            <w:r w:rsidR="0068360F" w:rsidRPr="007A2168">
              <w:t>30,093</w:t>
            </w:r>
          </w:p>
        </w:tc>
      </w:tr>
      <w:tr w:rsidR="00A85D09" w:rsidRPr="007A2168" w14:paraId="1B0C5921" w14:textId="77777777" w:rsidTr="00134A11">
        <w:trPr>
          <w:trHeight w:val="315"/>
        </w:trPr>
        <w:tc>
          <w:tcPr>
            <w:tcW w:w="2292" w:type="dxa"/>
            <w:shd w:val="clear" w:color="auto" w:fill="auto"/>
            <w:vAlign w:val="center"/>
            <w:hideMark/>
          </w:tcPr>
          <w:p w14:paraId="670C9F54" w14:textId="77777777" w:rsidR="00A85D09" w:rsidRPr="007A2168" w:rsidRDefault="00A85D09" w:rsidP="00AB4A1A">
            <w:pPr>
              <w:spacing w:before="60" w:after="60" w:line="240" w:lineRule="auto"/>
              <w:jc w:val="center"/>
            </w:pPr>
            <w:r w:rsidRPr="007A2168">
              <w:t>10.00%</w:t>
            </w:r>
          </w:p>
        </w:tc>
        <w:tc>
          <w:tcPr>
            <w:tcW w:w="2697" w:type="dxa"/>
            <w:shd w:val="clear" w:color="auto" w:fill="auto"/>
            <w:noWrap/>
            <w:vAlign w:val="center"/>
            <w:hideMark/>
          </w:tcPr>
          <w:p w14:paraId="6A4959F1" w14:textId="34C173B4" w:rsidR="00A85D09" w:rsidRPr="007A2168" w:rsidRDefault="00A85D09" w:rsidP="006D62F0">
            <w:pPr>
              <w:spacing w:before="60" w:after="60" w:line="240" w:lineRule="auto"/>
              <w:jc w:val="center"/>
            </w:pPr>
            <w:r w:rsidRPr="007A2168">
              <w:t>$13</w:t>
            </w:r>
            <w:r w:rsidR="0068360F" w:rsidRPr="007A2168">
              <w:t>7,898</w:t>
            </w:r>
          </w:p>
        </w:tc>
      </w:tr>
    </w:tbl>
    <w:p w14:paraId="7D77B731" w14:textId="77777777" w:rsidR="006D62F0" w:rsidRPr="007A2168" w:rsidRDefault="006D62F0" w:rsidP="00A85D09">
      <w:pPr>
        <w:pStyle w:val="BodyText"/>
        <w:numPr>
          <w:ilvl w:val="0"/>
          <w:numId w:val="0"/>
        </w:numPr>
        <w:ind w:left="850"/>
        <w:rPr>
          <w:i/>
        </w:rPr>
      </w:pPr>
    </w:p>
    <w:p w14:paraId="43C41404" w14:textId="3335C1E0" w:rsidR="00A85D09" w:rsidRPr="007A2168" w:rsidRDefault="00A85D09" w:rsidP="00A85D09">
      <w:pPr>
        <w:pStyle w:val="BodyText"/>
        <w:numPr>
          <w:ilvl w:val="0"/>
          <w:numId w:val="0"/>
        </w:numPr>
        <w:ind w:left="850"/>
        <w:rPr>
          <w:i/>
        </w:rPr>
      </w:pPr>
      <w:r w:rsidRPr="007A2168">
        <w:rPr>
          <w:i/>
        </w:rPr>
        <w:lastRenderedPageBreak/>
        <w:t xml:space="preserve">Wage </w:t>
      </w:r>
      <w:r w:rsidR="00457EEA" w:rsidRPr="007A2168">
        <w:rPr>
          <w:i/>
        </w:rPr>
        <w:t xml:space="preserve">Growth </w:t>
      </w:r>
      <w:r w:rsidRPr="007A2168">
        <w:rPr>
          <w:i/>
        </w:rPr>
        <w:t>and CPI Assumptions</w:t>
      </w:r>
    </w:p>
    <w:p w14:paraId="518147BB" w14:textId="7C80A012" w:rsidR="006D62F0" w:rsidRPr="007A2168" w:rsidRDefault="006D62F0" w:rsidP="007C1DCE">
      <w:pPr>
        <w:pStyle w:val="BodyText"/>
      </w:pPr>
      <w:r w:rsidRPr="007A2168">
        <w:t xml:space="preserve">Changes in legislation </w:t>
      </w:r>
      <w:r w:rsidR="00345832" w:rsidRPr="007A2168">
        <w:t>in 2019</w:t>
      </w:r>
      <w:r w:rsidRPr="007A2168">
        <w:t xml:space="preserve"> resulted in the</w:t>
      </w:r>
      <w:r w:rsidR="00A85D09" w:rsidRPr="007A2168">
        <w:t xml:space="preserve"> indexation of </w:t>
      </w:r>
      <w:r w:rsidRPr="007A2168">
        <w:t xml:space="preserve">repayment </w:t>
      </w:r>
      <w:r w:rsidR="00A85D09" w:rsidRPr="007A2168">
        <w:t>thresholds to</w:t>
      </w:r>
      <w:r w:rsidRPr="007A2168">
        <w:t xml:space="preserve"> CPI rather than average wages. This means that </w:t>
      </w:r>
      <w:r w:rsidR="00C80FD6" w:rsidRPr="007A2168">
        <w:t xml:space="preserve">if wage increases outpace CPI growth, debtors can be expected to move up into higher repayment rates over time. The potential for higher repayments from this relationship has meant that it is more important to closely review these two assumptions. </w:t>
      </w:r>
    </w:p>
    <w:p w14:paraId="0D6D26FE" w14:textId="4D367E9A" w:rsidR="00586FC4" w:rsidRPr="00377721" w:rsidRDefault="006D62F0" w:rsidP="00377721">
      <w:pPr>
        <w:pStyle w:val="BodyText"/>
      </w:pPr>
      <w:r w:rsidRPr="007A2168">
        <w:t xml:space="preserve">For this year, </w:t>
      </w:r>
      <w:r w:rsidR="00457EEA" w:rsidRPr="007A2168">
        <w:t>we have retained the same long term assumptions</w:t>
      </w:r>
      <w:r w:rsidR="00FB58E9" w:rsidRPr="007A2168">
        <w:t xml:space="preserve"> as last year</w:t>
      </w:r>
      <w:r w:rsidR="00457EEA" w:rsidRPr="007A2168">
        <w:t xml:space="preserve">, </w:t>
      </w:r>
      <w:r w:rsidRPr="007A2168">
        <w:t xml:space="preserve">while updating the </w:t>
      </w:r>
      <w:r w:rsidR="00457EEA" w:rsidRPr="007A2168">
        <w:t>shorter term assumptions in line with Treasury</w:t>
      </w:r>
      <w:r w:rsidR="00886236" w:rsidRPr="007A2168">
        <w:t>’s</w:t>
      </w:r>
      <w:r w:rsidR="00457EEA" w:rsidRPr="007A2168">
        <w:t xml:space="preserve"> expectations</w:t>
      </w:r>
      <w:r w:rsidRPr="007A2168">
        <w:t xml:space="preserve">. </w:t>
      </w:r>
      <w:r w:rsidR="00345832" w:rsidRPr="007A2168">
        <w:t>Wh</w:t>
      </w:r>
      <w:r w:rsidR="00F92986">
        <w:t>ere</w:t>
      </w:r>
      <w:r w:rsidR="00345832" w:rsidRPr="007A2168">
        <w:t xml:space="preserve"> the assumptions last year were affected by the </w:t>
      </w:r>
      <w:r w:rsidRPr="007A2168">
        <w:t>expected impact on the economy of COVID-19</w:t>
      </w:r>
      <w:r w:rsidR="00345832" w:rsidRPr="007A2168">
        <w:t>, these expectations have been replaced with more optimistic expectations this year</w:t>
      </w:r>
      <w:r w:rsidRPr="007A2168">
        <w:t>.</w:t>
      </w:r>
      <w:r w:rsidR="00345832" w:rsidRPr="007A2168">
        <w:t xml:space="preserve"> However, we recognise that m</w:t>
      </w:r>
      <w:r w:rsidR="00586FC4" w:rsidRPr="00377721">
        <w:t xml:space="preserve">aking any assumptions about the impact of COVID-19 on the economy and future income levels is highly uncertain and will evolve over time. </w:t>
      </w:r>
    </w:p>
    <w:p w14:paraId="50321C06" w14:textId="61516745" w:rsidR="00FB58E9" w:rsidRPr="007A2168" w:rsidRDefault="00586FC4" w:rsidP="00586FC4">
      <w:pPr>
        <w:pStyle w:val="BodyText"/>
      </w:pPr>
      <w:r w:rsidRPr="007A2168">
        <w:t xml:space="preserve">The following assumptions </w:t>
      </w:r>
      <w:r w:rsidR="00345832" w:rsidRPr="007A2168">
        <w:t xml:space="preserve">have been </w:t>
      </w:r>
      <w:r w:rsidRPr="007A2168">
        <w:t>adopted</w:t>
      </w:r>
      <w:r w:rsidR="00A82B05" w:rsidRPr="007A2168">
        <w:t xml:space="preserve"> (with last year’s COVID assumptions shown in brackets)</w:t>
      </w:r>
      <w:r w:rsidRPr="007A2168">
        <w:t>:</w:t>
      </w:r>
    </w:p>
    <w:tbl>
      <w:tblPr>
        <w:tblW w:w="7569" w:type="dxa"/>
        <w:tblInd w:w="959" w:type="dxa"/>
        <w:tblLook w:val="04A0" w:firstRow="1" w:lastRow="0" w:firstColumn="1" w:lastColumn="0" w:noHBand="0" w:noVBand="1"/>
      </w:tblPr>
      <w:tblGrid>
        <w:gridCol w:w="2292"/>
        <w:gridCol w:w="2697"/>
        <w:gridCol w:w="2580"/>
      </w:tblGrid>
      <w:tr w:rsidR="00BB56A5" w:rsidRPr="007A2168" w14:paraId="6BEE2289" w14:textId="77777777" w:rsidTr="00354107">
        <w:trPr>
          <w:trHeight w:val="315"/>
        </w:trPr>
        <w:tc>
          <w:tcPr>
            <w:tcW w:w="2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9ED12" w14:textId="77777777" w:rsidR="00AB4A1A" w:rsidRPr="007A2168" w:rsidRDefault="00AB4A1A" w:rsidP="00354107">
            <w:pPr>
              <w:spacing w:before="60" w:after="60" w:line="240" w:lineRule="auto"/>
              <w:jc w:val="center"/>
            </w:pPr>
            <w:r w:rsidRPr="007A2168">
              <w:t>Year</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88BAD" w14:textId="77777777" w:rsidR="00AB4A1A" w:rsidRPr="007A2168" w:rsidRDefault="00AB4A1A" w:rsidP="00354107">
            <w:pPr>
              <w:spacing w:before="60" w:after="60" w:line="240" w:lineRule="auto"/>
              <w:jc w:val="center"/>
            </w:pPr>
            <w:r w:rsidRPr="007A2168">
              <w:t>CPI Growth (pa)</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9D35844" w14:textId="77777777" w:rsidR="00AB4A1A" w:rsidRPr="007A2168" w:rsidRDefault="00AB4A1A" w:rsidP="00354107">
            <w:pPr>
              <w:spacing w:before="60" w:after="60" w:line="240" w:lineRule="auto"/>
              <w:jc w:val="center"/>
            </w:pPr>
            <w:r w:rsidRPr="007A2168">
              <w:t>Wages Growth (pa)</w:t>
            </w:r>
          </w:p>
        </w:tc>
      </w:tr>
      <w:tr w:rsidR="00BB56A5" w:rsidRPr="007A2168" w14:paraId="1C17F3A2" w14:textId="77777777" w:rsidTr="00BB56A5">
        <w:trPr>
          <w:trHeight w:val="300"/>
        </w:trPr>
        <w:tc>
          <w:tcPr>
            <w:tcW w:w="229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AFC8F3" w14:textId="433470F7" w:rsidR="00BB56A5" w:rsidRPr="007A2168" w:rsidRDefault="007E3E32" w:rsidP="00BB56A5">
            <w:pPr>
              <w:spacing w:before="60" w:after="60" w:line="240" w:lineRule="auto"/>
              <w:jc w:val="center"/>
            </w:pPr>
            <w:r w:rsidRPr="007A2168">
              <w:t>202</w:t>
            </w:r>
            <w:r w:rsidR="00A82B05" w:rsidRPr="007A2168">
              <w:t>0</w:t>
            </w:r>
            <w:r w:rsidR="00BB56A5" w:rsidRPr="007A2168">
              <w:t>-2</w:t>
            </w:r>
            <w:r w:rsidR="00A82B05" w:rsidRPr="007A2168">
              <w:t>1</w:t>
            </w:r>
          </w:p>
        </w:tc>
        <w:tc>
          <w:tcPr>
            <w:tcW w:w="2697" w:type="dxa"/>
            <w:tcBorders>
              <w:top w:val="single" w:sz="4" w:space="0" w:color="auto"/>
              <w:left w:val="nil"/>
              <w:bottom w:val="single" w:sz="4" w:space="0" w:color="auto"/>
              <w:right w:val="single" w:sz="8" w:space="0" w:color="auto"/>
            </w:tcBorders>
            <w:shd w:val="clear" w:color="auto" w:fill="auto"/>
            <w:noWrap/>
          </w:tcPr>
          <w:p w14:paraId="57BCCA66" w14:textId="571B14B6" w:rsidR="00BB56A5" w:rsidRPr="007A2168" w:rsidRDefault="00BB56A5" w:rsidP="00BB56A5">
            <w:pPr>
              <w:spacing w:before="60" w:after="60" w:line="240" w:lineRule="auto"/>
              <w:jc w:val="center"/>
            </w:pPr>
            <w:r w:rsidRPr="007A2168">
              <w:t>0.6%</w:t>
            </w:r>
            <w:r w:rsidR="00A82B05" w:rsidRPr="007A2168">
              <w:t xml:space="preserve"> (1.25%)</w:t>
            </w:r>
          </w:p>
        </w:tc>
        <w:tc>
          <w:tcPr>
            <w:tcW w:w="2580" w:type="dxa"/>
            <w:tcBorders>
              <w:top w:val="single" w:sz="4" w:space="0" w:color="auto"/>
              <w:left w:val="nil"/>
              <w:bottom w:val="single" w:sz="4" w:space="0" w:color="auto"/>
              <w:right w:val="single" w:sz="8" w:space="0" w:color="auto"/>
            </w:tcBorders>
          </w:tcPr>
          <w:p w14:paraId="00AD86C5" w14:textId="28192714" w:rsidR="00BB56A5" w:rsidRPr="007A2168" w:rsidRDefault="00BB56A5" w:rsidP="00BB56A5">
            <w:pPr>
              <w:spacing w:before="60" w:after="60"/>
              <w:jc w:val="center"/>
            </w:pPr>
            <w:r w:rsidRPr="007A2168">
              <w:t>1.4%</w:t>
            </w:r>
            <w:r w:rsidR="00A82B05" w:rsidRPr="007A2168">
              <w:t xml:space="preserve"> (1.2%)</w:t>
            </w:r>
          </w:p>
        </w:tc>
      </w:tr>
      <w:tr w:rsidR="00A82B05" w:rsidRPr="007A2168" w14:paraId="15749FD3" w14:textId="77777777" w:rsidTr="00377721">
        <w:trPr>
          <w:trHeight w:val="300"/>
        </w:trPr>
        <w:tc>
          <w:tcPr>
            <w:tcW w:w="2292" w:type="dxa"/>
            <w:tcBorders>
              <w:top w:val="nil"/>
              <w:left w:val="single" w:sz="8" w:space="0" w:color="auto"/>
              <w:bottom w:val="single" w:sz="4" w:space="0" w:color="auto"/>
              <w:right w:val="single" w:sz="8" w:space="0" w:color="auto"/>
            </w:tcBorders>
            <w:shd w:val="clear" w:color="auto" w:fill="auto"/>
            <w:hideMark/>
          </w:tcPr>
          <w:p w14:paraId="5DEA4CF1" w14:textId="2E832171" w:rsidR="00A82B05" w:rsidRPr="007A2168" w:rsidRDefault="00A82B05" w:rsidP="00A82B05">
            <w:pPr>
              <w:spacing w:before="60" w:after="60" w:line="240" w:lineRule="auto"/>
              <w:jc w:val="center"/>
            </w:pPr>
            <w:r w:rsidRPr="007A2168">
              <w:t>2021-22</w:t>
            </w:r>
          </w:p>
        </w:tc>
        <w:tc>
          <w:tcPr>
            <w:tcW w:w="2697" w:type="dxa"/>
            <w:tcBorders>
              <w:top w:val="nil"/>
              <w:left w:val="nil"/>
              <w:bottom w:val="single" w:sz="4" w:space="0" w:color="auto"/>
              <w:right w:val="single" w:sz="8" w:space="0" w:color="auto"/>
            </w:tcBorders>
            <w:shd w:val="clear" w:color="auto" w:fill="auto"/>
            <w:noWrap/>
          </w:tcPr>
          <w:p w14:paraId="00969CA6" w14:textId="36E710F5" w:rsidR="00A82B05" w:rsidRPr="007A2168" w:rsidRDefault="00A82B05" w:rsidP="00A82B05">
            <w:pPr>
              <w:spacing w:before="60" w:after="60" w:line="240" w:lineRule="auto"/>
              <w:jc w:val="center"/>
            </w:pPr>
            <w:r w:rsidRPr="007A2168">
              <w:t>2.3% (1.5%)</w:t>
            </w:r>
          </w:p>
        </w:tc>
        <w:tc>
          <w:tcPr>
            <w:tcW w:w="2580" w:type="dxa"/>
            <w:tcBorders>
              <w:top w:val="nil"/>
              <w:left w:val="nil"/>
              <w:bottom w:val="single" w:sz="4" w:space="0" w:color="auto"/>
              <w:right w:val="single" w:sz="8" w:space="0" w:color="auto"/>
            </w:tcBorders>
          </w:tcPr>
          <w:p w14:paraId="2D043511" w14:textId="4A5C8D1B" w:rsidR="00A82B05" w:rsidRPr="007A2168" w:rsidRDefault="00A82B05" w:rsidP="00A82B05">
            <w:pPr>
              <w:spacing w:before="60" w:after="60"/>
              <w:jc w:val="center"/>
            </w:pPr>
            <w:r w:rsidRPr="007A2168">
              <w:t>1.9% (2.1%)</w:t>
            </w:r>
          </w:p>
        </w:tc>
      </w:tr>
      <w:tr w:rsidR="00A82B05" w:rsidRPr="007A2168" w14:paraId="1436089A" w14:textId="77777777" w:rsidTr="00377721">
        <w:trPr>
          <w:trHeight w:val="300"/>
        </w:trPr>
        <w:tc>
          <w:tcPr>
            <w:tcW w:w="2292" w:type="dxa"/>
            <w:tcBorders>
              <w:top w:val="nil"/>
              <w:left w:val="single" w:sz="8" w:space="0" w:color="auto"/>
              <w:bottom w:val="single" w:sz="4" w:space="0" w:color="auto"/>
              <w:right w:val="single" w:sz="8" w:space="0" w:color="auto"/>
            </w:tcBorders>
            <w:shd w:val="clear" w:color="auto" w:fill="auto"/>
            <w:hideMark/>
          </w:tcPr>
          <w:p w14:paraId="36242E0B" w14:textId="6DA0BC42" w:rsidR="00A82B05" w:rsidRPr="007A2168" w:rsidRDefault="00A82B05" w:rsidP="00A82B05">
            <w:pPr>
              <w:spacing w:before="60" w:after="60" w:line="240" w:lineRule="auto"/>
              <w:jc w:val="center"/>
            </w:pPr>
            <w:r w:rsidRPr="007A2168">
              <w:t>2022-23</w:t>
            </w:r>
          </w:p>
        </w:tc>
        <w:tc>
          <w:tcPr>
            <w:tcW w:w="2697" w:type="dxa"/>
            <w:tcBorders>
              <w:top w:val="nil"/>
              <w:left w:val="nil"/>
              <w:bottom w:val="single" w:sz="4" w:space="0" w:color="auto"/>
              <w:right w:val="single" w:sz="8" w:space="0" w:color="auto"/>
            </w:tcBorders>
            <w:shd w:val="clear" w:color="auto" w:fill="auto"/>
            <w:noWrap/>
          </w:tcPr>
          <w:p w14:paraId="250729A9" w14:textId="69ED181D" w:rsidR="00A82B05" w:rsidRPr="007A2168" w:rsidRDefault="00A82B05" w:rsidP="00A82B05">
            <w:pPr>
              <w:spacing w:before="60" w:after="60" w:line="240" w:lineRule="auto"/>
              <w:jc w:val="center"/>
            </w:pPr>
            <w:r w:rsidRPr="007A2168">
              <w:t>2.1% (2.0%)</w:t>
            </w:r>
          </w:p>
        </w:tc>
        <w:tc>
          <w:tcPr>
            <w:tcW w:w="2580" w:type="dxa"/>
            <w:tcBorders>
              <w:top w:val="nil"/>
              <w:left w:val="nil"/>
              <w:bottom w:val="single" w:sz="4" w:space="0" w:color="auto"/>
              <w:right w:val="single" w:sz="8" w:space="0" w:color="auto"/>
            </w:tcBorders>
          </w:tcPr>
          <w:p w14:paraId="1ED60978" w14:textId="4ADF5260" w:rsidR="00A82B05" w:rsidRPr="007A2168" w:rsidRDefault="00A82B05" w:rsidP="00A82B05">
            <w:pPr>
              <w:spacing w:before="60" w:after="60"/>
              <w:jc w:val="center"/>
            </w:pPr>
            <w:r w:rsidRPr="007A2168">
              <w:t>2.4% (2.1%)</w:t>
            </w:r>
          </w:p>
        </w:tc>
      </w:tr>
      <w:tr w:rsidR="00A82B05" w:rsidRPr="007A2168" w14:paraId="28FD325F" w14:textId="77777777" w:rsidTr="00377721">
        <w:trPr>
          <w:trHeight w:val="300"/>
        </w:trPr>
        <w:tc>
          <w:tcPr>
            <w:tcW w:w="2292" w:type="dxa"/>
            <w:tcBorders>
              <w:top w:val="nil"/>
              <w:left w:val="single" w:sz="8" w:space="0" w:color="auto"/>
              <w:bottom w:val="single" w:sz="4" w:space="0" w:color="auto"/>
              <w:right w:val="single" w:sz="8" w:space="0" w:color="auto"/>
            </w:tcBorders>
            <w:shd w:val="clear" w:color="auto" w:fill="auto"/>
            <w:hideMark/>
          </w:tcPr>
          <w:p w14:paraId="77F4C4C6" w14:textId="634443EB" w:rsidR="00A82B05" w:rsidRPr="007A2168" w:rsidRDefault="00A82B05" w:rsidP="00A82B05">
            <w:pPr>
              <w:spacing w:before="60" w:after="60" w:line="240" w:lineRule="auto"/>
              <w:jc w:val="center"/>
            </w:pPr>
            <w:r w:rsidRPr="007A2168">
              <w:t>2023-24</w:t>
            </w:r>
          </w:p>
        </w:tc>
        <w:tc>
          <w:tcPr>
            <w:tcW w:w="2697" w:type="dxa"/>
            <w:tcBorders>
              <w:top w:val="nil"/>
              <w:left w:val="nil"/>
              <w:bottom w:val="single" w:sz="4" w:space="0" w:color="auto"/>
              <w:right w:val="single" w:sz="8" w:space="0" w:color="auto"/>
            </w:tcBorders>
            <w:shd w:val="clear" w:color="auto" w:fill="auto"/>
            <w:noWrap/>
          </w:tcPr>
          <w:p w14:paraId="042DCF0D" w14:textId="1FF11176" w:rsidR="00A82B05" w:rsidRPr="007A2168" w:rsidRDefault="00A82B05" w:rsidP="00A82B05">
            <w:pPr>
              <w:spacing w:before="60" w:after="60" w:line="240" w:lineRule="auto"/>
              <w:jc w:val="center"/>
            </w:pPr>
            <w:r w:rsidRPr="007A2168">
              <w:t>2.4% (2.3%)</w:t>
            </w:r>
          </w:p>
        </w:tc>
        <w:tc>
          <w:tcPr>
            <w:tcW w:w="2580" w:type="dxa"/>
            <w:tcBorders>
              <w:top w:val="nil"/>
              <w:left w:val="nil"/>
              <w:bottom w:val="single" w:sz="4" w:space="0" w:color="auto"/>
              <w:right w:val="single" w:sz="8" w:space="0" w:color="auto"/>
            </w:tcBorders>
          </w:tcPr>
          <w:p w14:paraId="6C6CE795" w14:textId="321E8137" w:rsidR="00A82B05" w:rsidRPr="007A2168" w:rsidRDefault="00A82B05" w:rsidP="00A82B05">
            <w:pPr>
              <w:spacing w:before="60" w:after="60"/>
              <w:jc w:val="center"/>
            </w:pPr>
            <w:r w:rsidRPr="007A2168">
              <w:t>2.6% (2.1%)</w:t>
            </w:r>
          </w:p>
        </w:tc>
      </w:tr>
      <w:tr w:rsidR="00A82B05" w:rsidRPr="007A2168" w14:paraId="14974BAA" w14:textId="77777777" w:rsidTr="00377721">
        <w:trPr>
          <w:trHeight w:val="300"/>
        </w:trPr>
        <w:tc>
          <w:tcPr>
            <w:tcW w:w="2292" w:type="dxa"/>
            <w:tcBorders>
              <w:top w:val="single" w:sz="4" w:space="0" w:color="auto"/>
              <w:left w:val="single" w:sz="4" w:space="0" w:color="auto"/>
              <w:bottom w:val="single" w:sz="4" w:space="0" w:color="auto"/>
              <w:right w:val="single" w:sz="4" w:space="0" w:color="auto"/>
            </w:tcBorders>
            <w:shd w:val="clear" w:color="auto" w:fill="auto"/>
            <w:hideMark/>
          </w:tcPr>
          <w:p w14:paraId="14822814" w14:textId="279D3E68" w:rsidR="00A82B05" w:rsidRPr="007A2168" w:rsidRDefault="00A82B05" w:rsidP="00A82B05">
            <w:pPr>
              <w:spacing w:before="60" w:after="60" w:line="240" w:lineRule="auto"/>
              <w:jc w:val="center"/>
            </w:pPr>
            <w:r w:rsidRPr="007A2168">
              <w:t>2024-25</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60483844" w14:textId="79B5C897" w:rsidR="00A82B05" w:rsidRPr="007A2168" w:rsidRDefault="00A82B05" w:rsidP="00A82B05">
            <w:pPr>
              <w:spacing w:before="60" w:after="60" w:line="240" w:lineRule="auto"/>
              <w:jc w:val="center"/>
            </w:pPr>
            <w:r w:rsidRPr="007A2168">
              <w:t>2.5% (2.2%)</w:t>
            </w:r>
          </w:p>
        </w:tc>
        <w:tc>
          <w:tcPr>
            <w:tcW w:w="2580" w:type="dxa"/>
            <w:tcBorders>
              <w:top w:val="single" w:sz="4" w:space="0" w:color="auto"/>
              <w:left w:val="single" w:sz="4" w:space="0" w:color="auto"/>
              <w:bottom w:val="single" w:sz="4" w:space="0" w:color="auto"/>
              <w:right w:val="single" w:sz="4" w:space="0" w:color="auto"/>
            </w:tcBorders>
          </w:tcPr>
          <w:p w14:paraId="4DA380F6" w14:textId="59AE0378" w:rsidR="00A82B05" w:rsidRPr="007A2168" w:rsidRDefault="00A82B05" w:rsidP="00A82B05">
            <w:pPr>
              <w:spacing w:before="60" w:after="60"/>
              <w:jc w:val="center"/>
            </w:pPr>
            <w:r w:rsidRPr="007A2168">
              <w:t>2.8% (2.5%)</w:t>
            </w:r>
          </w:p>
        </w:tc>
      </w:tr>
      <w:tr w:rsidR="00A82B05" w:rsidRPr="007A2168" w14:paraId="51A45FC7" w14:textId="77777777" w:rsidTr="00377721">
        <w:trPr>
          <w:trHeight w:val="300"/>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0B3E7AA0" w14:textId="396E2D12" w:rsidR="00A82B05" w:rsidRPr="007A2168" w:rsidRDefault="00A82B05" w:rsidP="00A82B05">
            <w:pPr>
              <w:spacing w:before="60" w:after="60" w:line="240" w:lineRule="auto"/>
              <w:jc w:val="center"/>
            </w:pPr>
            <w:r w:rsidRPr="007A2168">
              <w:t>2025-26</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76F2F2A3" w14:textId="6B36DD7E" w:rsidR="00A82B05" w:rsidRPr="007A2168" w:rsidRDefault="00A82B05" w:rsidP="00A82B05">
            <w:pPr>
              <w:spacing w:before="60" w:after="60" w:line="240" w:lineRule="auto"/>
              <w:jc w:val="center"/>
            </w:pPr>
            <w:r w:rsidRPr="007A2168">
              <w:t>2.5% (2.4%)</w:t>
            </w:r>
          </w:p>
        </w:tc>
        <w:tc>
          <w:tcPr>
            <w:tcW w:w="2580" w:type="dxa"/>
            <w:tcBorders>
              <w:top w:val="single" w:sz="4" w:space="0" w:color="auto"/>
              <w:left w:val="single" w:sz="4" w:space="0" w:color="auto"/>
              <w:bottom w:val="single" w:sz="4" w:space="0" w:color="auto"/>
              <w:right w:val="single" w:sz="4" w:space="0" w:color="auto"/>
            </w:tcBorders>
          </w:tcPr>
          <w:p w14:paraId="61533EFD" w14:textId="67E89DBC" w:rsidR="00A82B05" w:rsidRPr="007A2168" w:rsidRDefault="00A82B05" w:rsidP="00A82B05">
            <w:pPr>
              <w:spacing w:before="60" w:after="60"/>
              <w:jc w:val="center"/>
            </w:pPr>
            <w:r w:rsidRPr="007A2168">
              <w:t>3.0% (2.6%)</w:t>
            </w:r>
          </w:p>
        </w:tc>
      </w:tr>
      <w:tr w:rsidR="00A82B05" w:rsidRPr="007A2168" w14:paraId="15D81AEF" w14:textId="77777777" w:rsidTr="00377721">
        <w:trPr>
          <w:trHeight w:val="300"/>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29FB3667" w14:textId="749F9C72" w:rsidR="00A82B05" w:rsidRPr="007A2168" w:rsidRDefault="00A82B05" w:rsidP="00A82B05">
            <w:pPr>
              <w:spacing w:before="60" w:after="60" w:line="240" w:lineRule="auto"/>
              <w:jc w:val="center"/>
            </w:pPr>
            <w:r w:rsidRPr="007A2168">
              <w:t>2026-27</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2562D07B" w14:textId="761E0DDB" w:rsidR="00A82B05" w:rsidRPr="007A2168" w:rsidRDefault="00A82B05" w:rsidP="00A82B05">
            <w:pPr>
              <w:spacing w:before="60" w:after="60" w:line="240" w:lineRule="auto"/>
              <w:jc w:val="center"/>
            </w:pPr>
            <w:r w:rsidRPr="007A2168">
              <w:t>2.6% (2.5%)</w:t>
            </w:r>
          </w:p>
        </w:tc>
        <w:tc>
          <w:tcPr>
            <w:tcW w:w="2580" w:type="dxa"/>
            <w:tcBorders>
              <w:top w:val="single" w:sz="4" w:space="0" w:color="auto"/>
              <w:left w:val="single" w:sz="4" w:space="0" w:color="auto"/>
              <w:bottom w:val="single" w:sz="4" w:space="0" w:color="auto"/>
              <w:right w:val="single" w:sz="4" w:space="0" w:color="auto"/>
            </w:tcBorders>
          </w:tcPr>
          <w:p w14:paraId="5AE4C7F6" w14:textId="293A1DEA" w:rsidR="00A82B05" w:rsidRPr="007A2168" w:rsidRDefault="00A82B05" w:rsidP="00A82B05">
            <w:pPr>
              <w:spacing w:before="60" w:after="60"/>
              <w:jc w:val="center"/>
            </w:pPr>
            <w:r w:rsidRPr="007A2168">
              <w:t>3.6% (3.0%)</w:t>
            </w:r>
          </w:p>
        </w:tc>
      </w:tr>
      <w:tr w:rsidR="00A82B05" w:rsidRPr="007A2168" w14:paraId="43070EBC" w14:textId="77777777" w:rsidTr="00377721">
        <w:trPr>
          <w:trHeight w:val="300"/>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1E8E1240" w14:textId="1564A2FE" w:rsidR="00A82B05" w:rsidRPr="007A2168" w:rsidRDefault="00A82B05" w:rsidP="00A82B05">
            <w:pPr>
              <w:spacing w:before="60" w:after="60" w:line="240" w:lineRule="auto"/>
              <w:jc w:val="center"/>
            </w:pPr>
            <w:r w:rsidRPr="007A2168">
              <w:t>2027-28</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4B5EE968" w14:textId="1D43996F" w:rsidR="00A82B05" w:rsidRPr="007A2168" w:rsidRDefault="00A82B05" w:rsidP="00A82B05">
            <w:pPr>
              <w:spacing w:before="60" w:after="60" w:line="240" w:lineRule="auto"/>
              <w:jc w:val="center"/>
            </w:pPr>
            <w:r w:rsidRPr="007A2168">
              <w:t>2.5% (2.5%)</w:t>
            </w:r>
          </w:p>
        </w:tc>
        <w:tc>
          <w:tcPr>
            <w:tcW w:w="2580" w:type="dxa"/>
            <w:tcBorders>
              <w:top w:val="single" w:sz="4" w:space="0" w:color="auto"/>
              <w:left w:val="single" w:sz="4" w:space="0" w:color="auto"/>
              <w:bottom w:val="single" w:sz="4" w:space="0" w:color="auto"/>
              <w:right w:val="single" w:sz="4" w:space="0" w:color="auto"/>
            </w:tcBorders>
          </w:tcPr>
          <w:p w14:paraId="132D118D" w14:textId="7836D519" w:rsidR="00A82B05" w:rsidRPr="007A2168" w:rsidRDefault="00A82B05" w:rsidP="00A82B05">
            <w:pPr>
              <w:spacing w:before="60" w:after="60"/>
              <w:jc w:val="center"/>
            </w:pPr>
            <w:r w:rsidRPr="007A2168">
              <w:t>3.9% (3.0%)</w:t>
            </w:r>
          </w:p>
        </w:tc>
      </w:tr>
      <w:tr w:rsidR="00A82B05" w:rsidRPr="007A2168" w14:paraId="03EE2482" w14:textId="77777777" w:rsidTr="00377721">
        <w:trPr>
          <w:trHeight w:val="300"/>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00CD2B33" w14:textId="120F1898" w:rsidR="00A82B05" w:rsidRPr="007A2168" w:rsidRDefault="00A82B05" w:rsidP="00A82B05">
            <w:pPr>
              <w:spacing w:before="60" w:after="60" w:line="240" w:lineRule="auto"/>
              <w:jc w:val="center"/>
            </w:pPr>
            <w:r w:rsidRPr="007A2168">
              <w:t>2028-29</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59FF0264" w14:textId="024EB53A" w:rsidR="00A82B05" w:rsidRPr="007A2168" w:rsidRDefault="00A82B05" w:rsidP="00A82B05">
            <w:pPr>
              <w:spacing w:before="60" w:after="60" w:line="240" w:lineRule="auto"/>
              <w:jc w:val="center"/>
            </w:pPr>
            <w:r w:rsidRPr="007A2168">
              <w:t>2.5% (2.5%)</w:t>
            </w:r>
          </w:p>
        </w:tc>
        <w:tc>
          <w:tcPr>
            <w:tcW w:w="2580" w:type="dxa"/>
            <w:tcBorders>
              <w:top w:val="single" w:sz="4" w:space="0" w:color="auto"/>
              <w:left w:val="single" w:sz="4" w:space="0" w:color="auto"/>
              <w:bottom w:val="single" w:sz="4" w:space="0" w:color="auto"/>
              <w:right w:val="single" w:sz="4" w:space="0" w:color="auto"/>
            </w:tcBorders>
          </w:tcPr>
          <w:p w14:paraId="270B9F61" w14:textId="121695CD" w:rsidR="00A82B05" w:rsidRPr="007A2168" w:rsidRDefault="00A82B05" w:rsidP="00A82B05">
            <w:pPr>
              <w:spacing w:before="60" w:after="60"/>
              <w:jc w:val="center"/>
            </w:pPr>
            <w:r w:rsidRPr="007A2168">
              <w:t>4.0% (3.5%)</w:t>
            </w:r>
          </w:p>
        </w:tc>
      </w:tr>
      <w:tr w:rsidR="00BB56A5" w:rsidRPr="007A2168" w14:paraId="4861C65A" w14:textId="77777777" w:rsidTr="007C1DCE">
        <w:trPr>
          <w:trHeight w:val="300"/>
        </w:trPr>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1FB41A7" w14:textId="7AAA9EBF" w:rsidR="00BB56A5" w:rsidRPr="007A2168" w:rsidRDefault="00BB56A5" w:rsidP="00BB56A5">
            <w:pPr>
              <w:spacing w:before="60" w:after="60" w:line="240" w:lineRule="auto"/>
              <w:jc w:val="center"/>
            </w:pPr>
            <w:r w:rsidRPr="007A2168">
              <w:t>2029-30 and thereafter</w:t>
            </w:r>
          </w:p>
        </w:tc>
        <w:tc>
          <w:tcPr>
            <w:tcW w:w="2697" w:type="dxa"/>
            <w:tcBorders>
              <w:top w:val="single" w:sz="4" w:space="0" w:color="auto"/>
              <w:left w:val="single" w:sz="4" w:space="0" w:color="auto"/>
              <w:bottom w:val="single" w:sz="4" w:space="0" w:color="auto"/>
              <w:right w:val="single" w:sz="4" w:space="0" w:color="auto"/>
            </w:tcBorders>
            <w:shd w:val="clear" w:color="auto" w:fill="auto"/>
            <w:noWrap/>
          </w:tcPr>
          <w:p w14:paraId="7F1286DF" w14:textId="7BB9A02A" w:rsidR="00BB56A5" w:rsidRPr="007A2168" w:rsidRDefault="00BB56A5" w:rsidP="00BB56A5">
            <w:pPr>
              <w:spacing w:before="60" w:after="60" w:line="240" w:lineRule="auto"/>
              <w:jc w:val="center"/>
            </w:pPr>
            <w:r w:rsidRPr="007A2168">
              <w:t>2.5%</w:t>
            </w:r>
            <w:r w:rsidR="00A82B05" w:rsidRPr="007A2168">
              <w:t xml:space="preserve"> (2.5%)</w:t>
            </w:r>
          </w:p>
        </w:tc>
        <w:tc>
          <w:tcPr>
            <w:tcW w:w="2580" w:type="dxa"/>
            <w:tcBorders>
              <w:top w:val="single" w:sz="4" w:space="0" w:color="auto"/>
              <w:left w:val="single" w:sz="4" w:space="0" w:color="auto"/>
              <w:bottom w:val="single" w:sz="4" w:space="0" w:color="auto"/>
              <w:right w:val="single" w:sz="4" w:space="0" w:color="auto"/>
            </w:tcBorders>
          </w:tcPr>
          <w:p w14:paraId="04CD05BD" w14:textId="553413FA" w:rsidR="00BB56A5" w:rsidRPr="007A2168" w:rsidRDefault="00BB56A5" w:rsidP="00BB56A5">
            <w:pPr>
              <w:spacing w:before="60" w:after="60"/>
              <w:jc w:val="center"/>
            </w:pPr>
            <w:r w:rsidRPr="007A2168">
              <w:t>4.0%</w:t>
            </w:r>
            <w:r w:rsidR="00A82B05" w:rsidRPr="007A2168">
              <w:t xml:space="preserve"> (3.7%)</w:t>
            </w:r>
          </w:p>
        </w:tc>
      </w:tr>
    </w:tbl>
    <w:p w14:paraId="0799D2C7" w14:textId="6B4CC9F8" w:rsidR="00A64130" w:rsidRPr="007A2168" w:rsidRDefault="007A3187" w:rsidP="00A64130">
      <w:pPr>
        <w:pStyle w:val="BodyText"/>
      </w:pPr>
      <w:r w:rsidRPr="007A2168">
        <w:t>Our expectation last year was that the COVID assumptions would likely result in a 4% reduction in</w:t>
      </w:r>
      <w:r w:rsidR="00A64130" w:rsidRPr="007A2168">
        <w:t xml:space="preserve"> projected repayments from HELP debtors</w:t>
      </w:r>
      <w:r w:rsidRPr="007A2168">
        <w:t xml:space="preserve"> relative to our pre-COVID assumptions</w:t>
      </w:r>
      <w:r w:rsidR="00A64130" w:rsidRPr="007A2168">
        <w:t>.</w:t>
      </w:r>
    </w:p>
    <w:p w14:paraId="33345811" w14:textId="2415F532" w:rsidR="002E3034" w:rsidRPr="007A2168" w:rsidRDefault="002E3034" w:rsidP="00352606">
      <w:pPr>
        <w:pStyle w:val="BodyText"/>
        <w:keepNext/>
        <w:numPr>
          <w:ilvl w:val="0"/>
          <w:numId w:val="0"/>
        </w:numPr>
        <w:ind w:left="851"/>
        <w:rPr>
          <w:i/>
        </w:rPr>
      </w:pPr>
      <w:r w:rsidRPr="007A2168">
        <w:rPr>
          <w:i/>
        </w:rPr>
        <w:t>Overseas Debtors</w:t>
      </w:r>
    </w:p>
    <w:p w14:paraId="7A235193" w14:textId="0C1B3900" w:rsidR="00FE1206" w:rsidRPr="007A2168" w:rsidRDefault="002E3034" w:rsidP="002E3034">
      <w:pPr>
        <w:pStyle w:val="BodyText"/>
      </w:pPr>
      <w:r w:rsidRPr="007A2168">
        <w:t xml:space="preserve">Repayments </w:t>
      </w:r>
      <w:r w:rsidR="00FE1206" w:rsidRPr="007A2168">
        <w:t xml:space="preserve">of HELP debt from individuals living overseas </w:t>
      </w:r>
      <w:r w:rsidR="005454DD" w:rsidRPr="007A2168">
        <w:t>commenced from 1 July </w:t>
      </w:r>
      <w:r w:rsidRPr="007A2168">
        <w:t>201</w:t>
      </w:r>
      <w:r w:rsidR="00FE1206" w:rsidRPr="007A2168">
        <w:t>7</w:t>
      </w:r>
      <w:r w:rsidRPr="007A2168">
        <w:t xml:space="preserve"> based on the 2016-17 income year. HELP debtors who plan to live overseas for more than six months are required to register with the ATO and make repayments based on their self-assessed total income from foreign and Australian sources.  Repayments of around </w:t>
      </w:r>
      <w:r w:rsidR="00963908" w:rsidRPr="007A2168">
        <w:t xml:space="preserve">$41m were credited on the 2017-18 ATO Certificate in respect of this measure, </w:t>
      </w:r>
      <w:r w:rsidRPr="007A2168">
        <w:t>$</w:t>
      </w:r>
      <w:r w:rsidR="00963908" w:rsidRPr="007A2168">
        <w:t>52</w:t>
      </w:r>
      <w:r w:rsidRPr="007A2168">
        <w:t xml:space="preserve">m were credited on the </w:t>
      </w:r>
      <w:r w:rsidR="00FE1206" w:rsidRPr="007A2168">
        <w:t>201</w:t>
      </w:r>
      <w:r w:rsidR="00963908" w:rsidRPr="007A2168">
        <w:t>8-19</w:t>
      </w:r>
      <w:r w:rsidRPr="007A2168">
        <w:t xml:space="preserve"> ATO certificate</w:t>
      </w:r>
      <w:r w:rsidR="00FE1206" w:rsidRPr="007A2168">
        <w:t xml:space="preserve">, </w:t>
      </w:r>
      <w:r w:rsidR="00F141E4" w:rsidRPr="007A2168">
        <w:t xml:space="preserve">along </w:t>
      </w:r>
      <w:r w:rsidR="00F141E4" w:rsidRPr="007A2168">
        <w:lastRenderedPageBreak/>
        <w:t>with $</w:t>
      </w:r>
      <w:r w:rsidR="00963908" w:rsidRPr="007A2168">
        <w:t>71</w:t>
      </w:r>
      <w:r w:rsidR="00F141E4" w:rsidRPr="007A2168">
        <w:t>m credited on the 201</w:t>
      </w:r>
      <w:r w:rsidR="00963908" w:rsidRPr="007A2168">
        <w:t>9</w:t>
      </w:r>
      <w:r w:rsidR="00F141E4" w:rsidRPr="007A2168">
        <w:t>-</w:t>
      </w:r>
      <w:r w:rsidR="00963908" w:rsidRPr="007A2168">
        <w:t>20</w:t>
      </w:r>
      <w:r w:rsidR="00F141E4" w:rsidRPr="007A2168">
        <w:t xml:space="preserve"> ATO certificate. A </w:t>
      </w:r>
      <w:r w:rsidR="00FE1206" w:rsidRPr="007A2168">
        <w:t xml:space="preserve">further amount </w:t>
      </w:r>
      <w:r w:rsidR="00F141E4" w:rsidRPr="007A2168">
        <w:t xml:space="preserve">of </w:t>
      </w:r>
      <w:r w:rsidR="00FE1206" w:rsidRPr="007A2168">
        <w:t>around $</w:t>
      </w:r>
      <w:r w:rsidR="00C6513F" w:rsidRPr="007A2168">
        <w:t>7</w:t>
      </w:r>
      <w:r w:rsidR="00963908" w:rsidRPr="007A2168">
        <w:t>3</w:t>
      </w:r>
      <w:r w:rsidR="00FE1206" w:rsidRPr="007A2168">
        <w:t xml:space="preserve">m </w:t>
      </w:r>
      <w:r w:rsidR="00F141E4" w:rsidRPr="007A2168">
        <w:t xml:space="preserve">is estimated </w:t>
      </w:r>
      <w:r w:rsidR="00FE1206" w:rsidRPr="007A2168">
        <w:t xml:space="preserve">for the </w:t>
      </w:r>
      <w:r w:rsidR="007E3E32" w:rsidRPr="007A2168">
        <w:t>2020</w:t>
      </w:r>
      <w:r w:rsidR="00FE1206" w:rsidRPr="007A2168">
        <w:t>-</w:t>
      </w:r>
      <w:r w:rsidR="00F141E4" w:rsidRPr="007A2168">
        <w:t>2</w:t>
      </w:r>
      <w:r w:rsidR="00963908" w:rsidRPr="007A2168">
        <w:t>1</w:t>
      </w:r>
      <w:r w:rsidR="00FE1206" w:rsidRPr="007A2168">
        <w:t xml:space="preserve"> ATO certificate</w:t>
      </w:r>
      <w:r w:rsidRPr="007A2168">
        <w:t xml:space="preserve">.  </w:t>
      </w:r>
    </w:p>
    <w:p w14:paraId="37FD6698" w14:textId="48BB23AD" w:rsidR="00B43EAF" w:rsidRPr="007A2168" w:rsidRDefault="00DD3972" w:rsidP="002E3034">
      <w:pPr>
        <w:pStyle w:val="BodyText"/>
      </w:pPr>
      <w:r w:rsidRPr="007A2168">
        <w:t xml:space="preserve">This is the </w:t>
      </w:r>
      <w:r w:rsidR="00963908" w:rsidRPr="007A2168">
        <w:t>third</w:t>
      </w:r>
      <w:r w:rsidRPr="007A2168">
        <w:t xml:space="preserve"> year that </w:t>
      </w:r>
      <w:r w:rsidR="00B43EAF" w:rsidRPr="007A2168">
        <w:t xml:space="preserve">we have </w:t>
      </w:r>
      <w:r w:rsidRPr="007A2168">
        <w:t>r</w:t>
      </w:r>
      <w:r w:rsidR="00B43EAF" w:rsidRPr="007A2168">
        <w:t xml:space="preserve">eceived </w:t>
      </w:r>
      <w:r w:rsidR="002E3034" w:rsidRPr="007A2168">
        <w:t xml:space="preserve">unit record data (up to 30 June </w:t>
      </w:r>
      <w:r w:rsidR="007E3E32" w:rsidRPr="007A2168">
        <w:t>2020</w:t>
      </w:r>
      <w:r w:rsidR="002E3034" w:rsidRPr="007A2168">
        <w:t>) containing details of these transactions.</w:t>
      </w:r>
      <w:r w:rsidR="00B43EAF" w:rsidRPr="007A2168">
        <w:t xml:space="preserve"> Analysis of that data indicates that repayments in respect of the initial $41m came from around 6,000 individual</w:t>
      </w:r>
      <w:r w:rsidR="006E609E" w:rsidRPr="007A2168">
        <w:t>s</w:t>
      </w:r>
      <w:r w:rsidR="00B43EAF" w:rsidRPr="007A2168">
        <w:t xml:space="preserve"> from a wide range of completion years. </w:t>
      </w:r>
      <w:r w:rsidRPr="007A2168">
        <w:t xml:space="preserve">Repayments in respect of the $52m came from over 8,200 individuals, almost exclusively from HELP rather than VET debtors. </w:t>
      </w:r>
      <w:r w:rsidR="00963908" w:rsidRPr="007A2168">
        <w:t xml:space="preserve">We now have about 11,500 debtors </w:t>
      </w:r>
      <w:r w:rsidR="00B43EAF" w:rsidRPr="007A2168">
        <w:t>registered with the ATO.</w:t>
      </w:r>
    </w:p>
    <w:p w14:paraId="428F664B" w14:textId="6CC1782B" w:rsidR="003C5CE0" w:rsidRPr="007A2168" w:rsidRDefault="00B43EAF" w:rsidP="002E3034">
      <w:pPr>
        <w:pStyle w:val="BodyText"/>
      </w:pPr>
      <w:r w:rsidRPr="007A2168">
        <w:t xml:space="preserve">Our approach to modelling future repayments from this source has been to allow for three tranches of </w:t>
      </w:r>
      <w:r w:rsidR="00342DB3" w:rsidRPr="007A2168">
        <w:t xml:space="preserve">overseas debtors comprising </w:t>
      </w:r>
      <w:r w:rsidR="005F221F" w:rsidRPr="007A2168">
        <w:t xml:space="preserve">the group </w:t>
      </w:r>
      <w:r w:rsidR="00C878F1" w:rsidRPr="007A2168">
        <w:t xml:space="preserve">represented by the </w:t>
      </w:r>
      <w:r w:rsidR="00FA2F3D" w:rsidRPr="007A2168">
        <w:t>201</w:t>
      </w:r>
      <w:r w:rsidR="00011FD9" w:rsidRPr="007A2168">
        <w:t>8-19</w:t>
      </w:r>
      <w:r w:rsidR="00FA2F3D" w:rsidRPr="007A2168">
        <w:t xml:space="preserve"> PAYG payees </w:t>
      </w:r>
      <w:r w:rsidR="005F221F" w:rsidRPr="007A2168">
        <w:t>(</w:t>
      </w:r>
      <w:r w:rsidR="00011FD9" w:rsidRPr="007A2168">
        <w:t>8,200</w:t>
      </w:r>
      <w:r w:rsidR="005F221F" w:rsidRPr="007A2168">
        <w:t xml:space="preserve">), the additional </w:t>
      </w:r>
      <w:r w:rsidR="00FA2F3D" w:rsidRPr="007A2168">
        <w:t>201</w:t>
      </w:r>
      <w:r w:rsidR="00011FD9" w:rsidRPr="007A2168">
        <w:t>9-20</w:t>
      </w:r>
      <w:r w:rsidR="00FA2F3D" w:rsidRPr="007A2168">
        <w:t xml:space="preserve"> PAYG </w:t>
      </w:r>
      <w:r w:rsidR="005F221F" w:rsidRPr="007A2168">
        <w:t>paye</w:t>
      </w:r>
      <w:r w:rsidR="00FA2F3D" w:rsidRPr="007A2168">
        <w:t>es</w:t>
      </w:r>
      <w:r w:rsidR="005F221F" w:rsidRPr="007A2168">
        <w:t xml:space="preserve"> (about </w:t>
      </w:r>
      <w:r w:rsidR="00E24762" w:rsidRPr="007A2168">
        <w:t>2,</w:t>
      </w:r>
      <w:r w:rsidR="00011FD9" w:rsidRPr="007A2168">
        <w:t>3</w:t>
      </w:r>
      <w:r w:rsidR="00E24762" w:rsidRPr="007A2168">
        <w:t>00</w:t>
      </w:r>
      <w:r w:rsidR="005F221F" w:rsidRPr="007A2168">
        <w:t>) and another tran</w:t>
      </w:r>
      <w:r w:rsidR="00342DB3" w:rsidRPr="007A2168">
        <w:t>che</w:t>
      </w:r>
      <w:r w:rsidR="005F221F" w:rsidRPr="007A2168">
        <w:t xml:space="preserve"> of </w:t>
      </w:r>
      <w:r w:rsidR="007E3E32" w:rsidRPr="007A2168">
        <w:t>2020</w:t>
      </w:r>
      <w:r w:rsidR="00FA2F3D" w:rsidRPr="007A2168">
        <w:t>-2</w:t>
      </w:r>
      <w:r w:rsidR="00011FD9" w:rsidRPr="007A2168">
        <w:t>1</w:t>
      </w:r>
      <w:r w:rsidR="00FA2F3D" w:rsidRPr="007A2168">
        <w:t xml:space="preserve"> PAYG </w:t>
      </w:r>
      <w:r w:rsidR="005F221F" w:rsidRPr="007A2168">
        <w:t>paye</w:t>
      </w:r>
      <w:r w:rsidR="00FA2F3D" w:rsidRPr="007A2168">
        <w:t>es</w:t>
      </w:r>
      <w:r w:rsidR="00011FD9" w:rsidRPr="007A2168">
        <w:t xml:space="preserve">. Given the relatively modest increase in amounts received in the last year we have assumed only a small increase in future PAYG payees </w:t>
      </w:r>
      <w:r w:rsidR="003C5CE0" w:rsidRPr="007A2168">
        <w:t xml:space="preserve">in 2020-21 </w:t>
      </w:r>
      <w:r w:rsidR="00011FD9" w:rsidRPr="007A2168">
        <w:t>of 2.5% (likely as a result of COVID travel restrictions</w:t>
      </w:r>
      <w:r w:rsidR="003C5CE0" w:rsidRPr="007A2168">
        <w:t>).</w:t>
      </w:r>
      <w:r w:rsidR="005F221F" w:rsidRPr="007A2168">
        <w:t xml:space="preserve">  </w:t>
      </w:r>
    </w:p>
    <w:p w14:paraId="0F55A82B" w14:textId="11010956" w:rsidR="005F221F" w:rsidRPr="007A2168" w:rsidRDefault="00FA2F3D" w:rsidP="002E3034">
      <w:pPr>
        <w:pStyle w:val="BodyText"/>
      </w:pPr>
      <w:r w:rsidRPr="007A2168">
        <w:t xml:space="preserve">Based on the level of payments received to date and having regard to the outstanding debts associated with these individuals, we have inferred a more realistic payment pattern. </w:t>
      </w:r>
      <w:r w:rsidR="005F221F" w:rsidRPr="007A2168">
        <w:t>From th</w:t>
      </w:r>
      <w:r w:rsidRPr="007A2168">
        <w:t xml:space="preserve">is inferred series of payments, </w:t>
      </w:r>
      <w:r w:rsidR="005F221F" w:rsidRPr="007A2168">
        <w:t xml:space="preserve">we have subtracted the projected repayments that we allowed for in the HELP Model for the </w:t>
      </w:r>
      <w:r w:rsidR="00E24762" w:rsidRPr="007A2168">
        <w:t xml:space="preserve">current group of </w:t>
      </w:r>
      <w:r w:rsidR="003C5CE0" w:rsidRPr="007A2168">
        <w:t>11,5</w:t>
      </w:r>
      <w:r w:rsidR="00E24762" w:rsidRPr="007A2168">
        <w:t>00</w:t>
      </w:r>
      <w:r w:rsidR="005F221F" w:rsidRPr="007A2168">
        <w:t xml:space="preserve"> debtors</w:t>
      </w:r>
      <w:r w:rsidR="00342DB3" w:rsidRPr="007A2168">
        <w:t xml:space="preserve"> and inferred repayments from the subsequent tranches</w:t>
      </w:r>
      <w:r w:rsidR="005F221F" w:rsidRPr="007A2168">
        <w:t>. This has generated a net increase in repayments which has been added to our total expected repayments.</w:t>
      </w:r>
    </w:p>
    <w:p w14:paraId="683C04B5" w14:textId="77777777" w:rsidR="00AD7006" w:rsidRPr="007A2168" w:rsidRDefault="00AD7006" w:rsidP="00AD7006">
      <w:pPr>
        <w:pStyle w:val="BodyText"/>
        <w:keepNext/>
        <w:numPr>
          <w:ilvl w:val="0"/>
          <w:numId w:val="0"/>
        </w:numPr>
        <w:ind w:left="851"/>
        <w:rPr>
          <w:i/>
        </w:rPr>
      </w:pPr>
      <w:r w:rsidRPr="007A2168">
        <w:rPr>
          <w:i/>
        </w:rPr>
        <w:t>Discounting</w:t>
      </w:r>
    </w:p>
    <w:p w14:paraId="618D8C3D" w14:textId="77777777" w:rsidR="00AD7006" w:rsidRPr="007A2168" w:rsidRDefault="00AD7006" w:rsidP="00AD7006">
      <w:pPr>
        <w:pStyle w:val="BodyText"/>
      </w:pPr>
      <w:r w:rsidRPr="007A2168">
        <w:t>For several years now, we have used the yield curve derived from Commonwealth securities on issue as at the balance date for discounting future cashflows.</w:t>
      </w:r>
    </w:p>
    <w:p w14:paraId="44FED9A1" w14:textId="52A32893" w:rsidR="00EC2EDA" w:rsidRPr="007A2168" w:rsidRDefault="00EC2EDA" w:rsidP="00AD7006">
      <w:pPr>
        <w:pStyle w:val="BodyText"/>
      </w:pPr>
      <w:r w:rsidRPr="007A2168">
        <w:t xml:space="preserve">For the </w:t>
      </w:r>
      <w:r w:rsidR="001D05C3" w:rsidRPr="007A2168">
        <w:t>last two years</w:t>
      </w:r>
      <w:r w:rsidR="00B30DDF">
        <w:t>,</w:t>
      </w:r>
      <w:r w:rsidR="001D05C3" w:rsidRPr="007A2168">
        <w:t xml:space="preserve"> </w:t>
      </w:r>
      <w:r w:rsidRPr="007A2168">
        <w:t xml:space="preserve">we </w:t>
      </w:r>
      <w:r w:rsidR="001D05C3" w:rsidRPr="007A2168">
        <w:t xml:space="preserve">have </w:t>
      </w:r>
      <w:r w:rsidRPr="007A2168">
        <w:t xml:space="preserve">represented the </w:t>
      </w:r>
      <w:r w:rsidR="00670038" w:rsidRPr="007A2168">
        <w:t>present value of the HELP receivable based on th</w:t>
      </w:r>
      <w:r w:rsidRPr="007A2168">
        <w:t>e</w:t>
      </w:r>
      <w:r w:rsidR="00670038" w:rsidRPr="007A2168">
        <w:t xml:space="preserve"> yield curve </w:t>
      </w:r>
      <w:r w:rsidRPr="007A2168">
        <w:t xml:space="preserve">as at 30 June as being </w:t>
      </w:r>
      <w:r w:rsidR="00670038" w:rsidRPr="007A2168">
        <w:t>equivalent to the value using a single discount rate</w:t>
      </w:r>
      <w:r w:rsidRPr="007A2168">
        <w:t xml:space="preserve">. The single discount rate adopted last year was </w:t>
      </w:r>
      <w:r w:rsidR="00670038" w:rsidRPr="007A2168">
        <w:t>1.</w:t>
      </w:r>
      <w:r w:rsidR="001D05C3" w:rsidRPr="007A2168">
        <w:t>300% per annum (1.</w:t>
      </w:r>
      <w:r w:rsidRPr="007A2168">
        <w:t>612</w:t>
      </w:r>
      <w:r w:rsidR="00670038" w:rsidRPr="007A2168">
        <w:t xml:space="preserve">% </w:t>
      </w:r>
      <w:r w:rsidR="00B30DDF">
        <w:t xml:space="preserve">per annum </w:t>
      </w:r>
      <w:r w:rsidR="001D05C3" w:rsidRPr="007A2168">
        <w:t>in 2019)</w:t>
      </w:r>
      <w:r w:rsidR="00670038" w:rsidRPr="007A2168">
        <w:t xml:space="preserve">. Further, </w:t>
      </w:r>
      <w:r w:rsidR="00B80AA5" w:rsidRPr="007A2168">
        <w:t>we observed that the effective mean term of the repayments was about 9.4 years</w:t>
      </w:r>
      <w:r w:rsidR="009F0734" w:rsidRPr="007A2168">
        <w:t>, noting that this is similar to the mean term of a 10 year Commonwealth government bond</w:t>
      </w:r>
      <w:r w:rsidR="00B80AA5" w:rsidRPr="007A2168">
        <w:t xml:space="preserve">. </w:t>
      </w:r>
    </w:p>
    <w:p w14:paraId="213E7B50" w14:textId="07FD0B24" w:rsidR="00954183" w:rsidRPr="007A2168" w:rsidRDefault="00EC2EDA" w:rsidP="007C1DCE">
      <w:pPr>
        <w:pStyle w:val="BodyText"/>
      </w:pPr>
      <w:r w:rsidRPr="007A2168">
        <w:t xml:space="preserve">For this year’s exercise, we have used the </w:t>
      </w:r>
      <w:r w:rsidR="00A632D4" w:rsidRPr="007A2168">
        <w:t xml:space="preserve">full details of the 30 June </w:t>
      </w:r>
      <w:r w:rsidR="007E3E32" w:rsidRPr="007A2168">
        <w:t>2021</w:t>
      </w:r>
      <w:r w:rsidR="00A632D4" w:rsidRPr="007A2168">
        <w:t xml:space="preserve"> yield curve</w:t>
      </w:r>
      <w:r w:rsidRPr="007A2168">
        <w:t xml:space="preserve"> and represented </w:t>
      </w:r>
      <w:r w:rsidR="00954183" w:rsidRPr="007A2168">
        <w:t>it for disclosure purposes by reference to an equivalent single discount rate of 1.</w:t>
      </w:r>
      <w:r w:rsidR="001D05C3" w:rsidRPr="007A2168">
        <w:t>719</w:t>
      </w:r>
      <w:r w:rsidR="00954183" w:rsidRPr="007A2168">
        <w:t>% per annum</w:t>
      </w:r>
      <w:r w:rsidR="001D05C3" w:rsidRPr="007A2168">
        <w:t>, noting that the effective mean term has reduced to about 8.6 years</w:t>
      </w:r>
      <w:r w:rsidR="00954183" w:rsidRPr="007A2168">
        <w:t>.</w:t>
      </w:r>
    </w:p>
    <w:p w14:paraId="4FCD3B44" w14:textId="00113366" w:rsidR="00AD7006" w:rsidRPr="007A2168" w:rsidRDefault="00AD7006" w:rsidP="00AD7006">
      <w:pPr>
        <w:pStyle w:val="BodyText"/>
      </w:pPr>
      <w:r w:rsidRPr="007A2168">
        <w:fldChar w:fldCharType="begin"/>
      </w:r>
      <w:r w:rsidRPr="007A2168">
        <w:instrText xml:space="preserve"> REF _Ref456972676 \h  \* MERGEFORMAT </w:instrText>
      </w:r>
      <w:r w:rsidRPr="007A2168">
        <w:fldChar w:fldCharType="separate"/>
      </w:r>
      <w:r w:rsidR="000106DA" w:rsidRPr="007A2168">
        <w:t xml:space="preserve">Figure </w:t>
      </w:r>
      <w:r w:rsidR="000106DA">
        <w:t>1</w:t>
      </w:r>
      <w:r w:rsidRPr="007A2168">
        <w:fldChar w:fldCharType="end"/>
      </w:r>
      <w:r w:rsidRPr="007A2168">
        <w:t xml:space="preserve"> compares the </w:t>
      </w:r>
      <w:r w:rsidR="00954183" w:rsidRPr="007A2168">
        <w:t>30 June</w:t>
      </w:r>
      <w:r w:rsidR="009B212F" w:rsidRPr="007A2168">
        <w:t xml:space="preserve"> </w:t>
      </w:r>
      <w:r w:rsidR="007E3E32" w:rsidRPr="007A2168">
        <w:t>2021</w:t>
      </w:r>
      <w:r w:rsidRPr="007A2168">
        <w:t xml:space="preserve"> yield curve with th</w:t>
      </w:r>
      <w:r w:rsidR="009B212F" w:rsidRPr="007A2168">
        <w:t>e single discount rate derived of 1.</w:t>
      </w:r>
      <w:r w:rsidR="001D05C3" w:rsidRPr="007A2168">
        <w:t>719</w:t>
      </w:r>
      <w:r w:rsidR="009B212F" w:rsidRPr="007A2168">
        <w:t xml:space="preserve">%. The </w:t>
      </w:r>
      <w:r w:rsidR="001D05C3" w:rsidRPr="007A2168">
        <w:t>increase</w:t>
      </w:r>
      <w:r w:rsidR="009B212F" w:rsidRPr="007A2168">
        <w:t xml:space="preserve"> in the single discount rate from that </w:t>
      </w:r>
      <w:r w:rsidRPr="007A2168">
        <w:t xml:space="preserve">derived in </w:t>
      </w:r>
      <w:r w:rsidR="007E3E32" w:rsidRPr="007A2168">
        <w:t>2020</w:t>
      </w:r>
      <w:r w:rsidR="009B212F" w:rsidRPr="007A2168">
        <w:t xml:space="preserve"> reflects the general </w:t>
      </w:r>
      <w:r w:rsidR="001D05C3" w:rsidRPr="007A2168">
        <w:t>increase</w:t>
      </w:r>
      <w:r w:rsidR="009B212F" w:rsidRPr="007A2168">
        <w:t xml:space="preserve"> in yields observed over the </w:t>
      </w:r>
      <w:r w:rsidR="001D05C3" w:rsidRPr="007A2168">
        <w:t xml:space="preserve">latter part of the financial </w:t>
      </w:r>
      <w:r w:rsidR="009B212F" w:rsidRPr="007A2168">
        <w:t xml:space="preserve">year, noting that yields </w:t>
      </w:r>
      <w:r w:rsidR="001C3828" w:rsidRPr="007A2168">
        <w:t xml:space="preserve">remain </w:t>
      </w:r>
      <w:r w:rsidR="009B212F" w:rsidRPr="007A2168">
        <w:t xml:space="preserve">particularly </w:t>
      </w:r>
      <w:r w:rsidR="001C3828" w:rsidRPr="007A2168">
        <w:t>low by historical standards</w:t>
      </w:r>
      <w:r w:rsidRPr="007A2168">
        <w:t>.</w:t>
      </w:r>
      <w:r w:rsidR="00DE3BB4" w:rsidRPr="007A2168">
        <w:t xml:space="preserve"> </w:t>
      </w:r>
    </w:p>
    <w:p w14:paraId="0F676F6E" w14:textId="41AA6E76" w:rsidR="00AD7006" w:rsidRPr="007A2168" w:rsidRDefault="00AD7006" w:rsidP="00AD7006">
      <w:pPr>
        <w:pStyle w:val="Caption"/>
      </w:pPr>
      <w:bookmarkStart w:id="2" w:name="_Ref456972676"/>
      <w:r w:rsidRPr="007A2168">
        <w:lastRenderedPageBreak/>
        <w:t xml:space="preserve">Figure </w:t>
      </w:r>
      <w:r w:rsidR="00C80517">
        <w:fldChar w:fldCharType="begin"/>
      </w:r>
      <w:r w:rsidR="00C80517">
        <w:instrText xml:space="preserve"> SEQ Figure \* ARABIC </w:instrText>
      </w:r>
      <w:r w:rsidR="00C80517">
        <w:fldChar w:fldCharType="separate"/>
      </w:r>
      <w:r w:rsidR="000106DA">
        <w:rPr>
          <w:noProof/>
        </w:rPr>
        <w:t>1</w:t>
      </w:r>
      <w:r w:rsidR="00C80517">
        <w:rPr>
          <w:noProof/>
        </w:rPr>
        <w:fldChar w:fldCharType="end"/>
      </w:r>
      <w:bookmarkEnd w:id="2"/>
      <w:r w:rsidRPr="007A2168">
        <w:t xml:space="preserve">:  </w:t>
      </w:r>
      <w:r w:rsidR="00954183" w:rsidRPr="007A2168">
        <w:t>30 June</w:t>
      </w:r>
      <w:r w:rsidR="003D1A91" w:rsidRPr="007A2168">
        <w:t xml:space="preserve"> </w:t>
      </w:r>
      <w:r w:rsidR="007E3E32" w:rsidRPr="007A2168">
        <w:t>2021</w:t>
      </w:r>
      <w:r w:rsidRPr="007A2168">
        <w:t xml:space="preserve"> Yield Curve </w:t>
      </w:r>
      <w:r w:rsidR="003D1A91" w:rsidRPr="007A2168">
        <w:t>and associated single discount rate</w:t>
      </w:r>
      <w:r w:rsidR="00E8125D" w:rsidRPr="007A2168">
        <w:t xml:space="preserve"> </w:t>
      </w:r>
    </w:p>
    <w:p w14:paraId="1161C2C6" w14:textId="5D180752" w:rsidR="00AD7006" w:rsidRPr="007A2168" w:rsidRDefault="00F11B7B" w:rsidP="00AD7006">
      <w:r w:rsidRPr="007A2168">
        <w:rPr>
          <w:noProof/>
          <w:lang w:eastAsia="en-AU"/>
        </w:rPr>
        <w:t xml:space="preserve"> </w:t>
      </w:r>
      <w:r w:rsidR="001D05C3" w:rsidRPr="007A2168">
        <w:rPr>
          <w:noProof/>
          <w:lang w:eastAsia="en-AU"/>
        </w:rPr>
        <w:drawing>
          <wp:inline distT="0" distB="0" distL="0" distR="0" wp14:anchorId="00679C8A" wp14:editId="18C51DE1">
            <wp:extent cx="5572125" cy="31826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2125" cy="3182620"/>
                    </a:xfrm>
                    <a:prstGeom prst="rect">
                      <a:avLst/>
                    </a:prstGeom>
                    <a:noFill/>
                  </pic:spPr>
                </pic:pic>
              </a:graphicData>
            </a:graphic>
          </wp:inline>
        </w:drawing>
      </w:r>
    </w:p>
    <w:p w14:paraId="6E79E7F0" w14:textId="77777777" w:rsidR="00AD7006" w:rsidRPr="007A2168" w:rsidRDefault="00AD7006" w:rsidP="00AD7006">
      <w:pPr>
        <w:pStyle w:val="BodyText"/>
      </w:pPr>
      <w:r w:rsidRPr="007A2168">
        <w:t xml:space="preserve">I note that the timing of HELP repayments is very uncertain, perhaps more so than the eventual level of debt that will remain unpaid.  The use of a yield curve </w:t>
      </w:r>
      <w:r w:rsidR="003D1A91" w:rsidRPr="007A2168">
        <w:t xml:space="preserve">(including an associated single discount rate) </w:t>
      </w:r>
      <w:r w:rsidRPr="007A2168">
        <w:t xml:space="preserve">means that the reported impact of any changes in the assumed timing in repayments can be magnified or obscured by changes in the shape of the yield curve.  </w:t>
      </w:r>
    </w:p>
    <w:p w14:paraId="55C3E35D" w14:textId="77777777" w:rsidR="00AD7006" w:rsidRPr="007A2168" w:rsidRDefault="00AD7006" w:rsidP="00AD7006">
      <w:pPr>
        <w:pStyle w:val="BodyText"/>
      </w:pPr>
      <w:r w:rsidRPr="007A2168">
        <w:t xml:space="preserve">As a result, considerable care should be taken in interpreting the results calculated using the yield curve </w:t>
      </w:r>
      <w:r w:rsidR="00102E2F" w:rsidRPr="007A2168">
        <w:t xml:space="preserve">(including an associated single discount rate) </w:t>
      </w:r>
      <w:r w:rsidRPr="007A2168">
        <w:t xml:space="preserve">when attempting to understand the underlying dynamics of the HELP receivable.  </w:t>
      </w:r>
      <w:r w:rsidR="0042762E" w:rsidRPr="007A2168">
        <w:t>In my view,</w:t>
      </w:r>
      <w:r w:rsidRPr="007A2168">
        <w:t xml:space="preserve"> the figures calculated on the </w:t>
      </w:r>
      <w:r w:rsidR="00102E2F" w:rsidRPr="007A2168">
        <w:t>long term constant</w:t>
      </w:r>
      <w:r w:rsidRPr="007A2168">
        <w:t xml:space="preserve"> discount rate basis provide a better guide to understanding the effect of changes in underlying repayment characteristics of HELP debts and the impacts of changes in the modelling approach.</w:t>
      </w:r>
    </w:p>
    <w:p w14:paraId="56F64651" w14:textId="010AA3A0" w:rsidR="00D11B1C" w:rsidRPr="007A2168" w:rsidRDefault="00D11B1C" w:rsidP="00AD7006">
      <w:pPr>
        <w:pStyle w:val="BodyText"/>
      </w:pPr>
      <w:r w:rsidRPr="007A2168">
        <w:t xml:space="preserve">In providing results under a constant discount rate basis, we have </w:t>
      </w:r>
      <w:r w:rsidR="003D1A91" w:rsidRPr="007A2168">
        <w:t xml:space="preserve">retained the approach adopted last year </w:t>
      </w:r>
      <w:r w:rsidR="00306C0A" w:rsidRPr="007A2168">
        <w:t>of</w:t>
      </w:r>
      <w:r w:rsidRPr="007A2168">
        <w:t xml:space="preserve"> a 5% per annum discount rate</w:t>
      </w:r>
      <w:r w:rsidR="00A85D09" w:rsidRPr="007A2168">
        <w:t>, which is the rate now used</w:t>
      </w:r>
      <w:r w:rsidRPr="007A2168">
        <w:t xml:space="preserve"> for the valuatio</w:t>
      </w:r>
      <w:r w:rsidR="00ED471F" w:rsidRPr="007A2168">
        <w:t>n of a number of long term cash</w:t>
      </w:r>
      <w:r w:rsidRPr="007A2168">
        <w:t xml:space="preserve">flow items on the Commonwealth balance sheet including superannuation and military compensation liabilities.  </w:t>
      </w:r>
    </w:p>
    <w:p w14:paraId="40F481F8" w14:textId="77777777" w:rsidR="00306C0A" w:rsidRPr="007A2168" w:rsidRDefault="00306C0A" w:rsidP="00306C0A">
      <w:pPr>
        <w:pStyle w:val="BodyText"/>
        <w:numPr>
          <w:ilvl w:val="0"/>
          <w:numId w:val="0"/>
        </w:numPr>
        <w:ind w:left="850"/>
        <w:rPr>
          <w:i/>
        </w:rPr>
      </w:pPr>
      <w:r w:rsidRPr="007A2168">
        <w:rPr>
          <w:i/>
        </w:rPr>
        <w:t>Deferral Adjustment</w:t>
      </w:r>
    </w:p>
    <w:p w14:paraId="7F2ADA30" w14:textId="77777777" w:rsidR="0092411B" w:rsidRPr="007A2168" w:rsidRDefault="0092411B" w:rsidP="0092411B">
      <w:pPr>
        <w:pStyle w:val="BodyText"/>
      </w:pPr>
      <w:r w:rsidRPr="007A2168">
        <w:t xml:space="preserve">There are three adjustments made to the face value of the HELP debt provided by the ATO in order to calculate a fair value of the receivable. The first is the debt that is not expected to be repaid (DNER). The second is the adjustment for PAYG receipts. The final adjustment is the deferral adjustment. </w:t>
      </w:r>
    </w:p>
    <w:p w14:paraId="2A014E23" w14:textId="7EE6CCFC" w:rsidR="00306C0A" w:rsidRPr="007A2168" w:rsidRDefault="0092411B" w:rsidP="0092411B">
      <w:pPr>
        <w:pStyle w:val="BodyText"/>
      </w:pPr>
      <w:r w:rsidRPr="007A2168">
        <w:t xml:space="preserve">This adjustment allows for the fact that the debt is only indexed in line with the CPI rather than the </w:t>
      </w:r>
      <w:r w:rsidR="005B4D13">
        <w:t xml:space="preserve">various yields associated with the yield curve (represented by a single </w:t>
      </w:r>
      <w:r w:rsidRPr="007A2168">
        <w:lastRenderedPageBreak/>
        <w:t>valuation interest rate</w:t>
      </w:r>
      <w:r w:rsidR="005B4D13">
        <w:t>)</w:t>
      </w:r>
      <w:r w:rsidRPr="007A2168">
        <w:t xml:space="preserve"> which would be expected to be higher. </w:t>
      </w:r>
      <w:r w:rsidR="00DB69E3" w:rsidRPr="007A2168">
        <w:t>Where a payment is made at a future date, the net impact of the indexation of the associated debt and the subsequent discounting of the payment to the present day, gives effect to a deferral adjustment.</w:t>
      </w:r>
    </w:p>
    <w:p w14:paraId="0F1F615F" w14:textId="41E1948F" w:rsidR="0092411B" w:rsidRPr="007A2168" w:rsidRDefault="00DB69E3" w:rsidP="0092411B">
      <w:pPr>
        <w:pStyle w:val="BodyText"/>
      </w:pPr>
      <w:r w:rsidRPr="007A2168">
        <w:t xml:space="preserve">Where fair value results </w:t>
      </w:r>
      <w:r w:rsidR="005B5D91" w:rsidRPr="007A2168">
        <w:t>a</w:t>
      </w:r>
      <w:r w:rsidRPr="007A2168">
        <w:t xml:space="preserve">re based on long term discount rates, the deferral adjustment reflects the </w:t>
      </w:r>
      <w:r w:rsidR="005B5D91" w:rsidRPr="007A2168">
        <w:t xml:space="preserve">2.5 percentage point </w:t>
      </w:r>
      <w:r w:rsidRPr="007A2168">
        <w:t>differen</w:t>
      </w:r>
      <w:r w:rsidR="005B5D91" w:rsidRPr="007A2168">
        <w:t>tial</w:t>
      </w:r>
      <w:r w:rsidRPr="007A2168">
        <w:t xml:space="preserve"> between </w:t>
      </w:r>
      <w:r w:rsidR="005B5D91" w:rsidRPr="007A2168">
        <w:t>the 5% per annum long term discount rate and the</w:t>
      </w:r>
      <w:r w:rsidRPr="007A2168">
        <w:t xml:space="preserve"> assumed </w:t>
      </w:r>
      <w:r w:rsidR="00A803C6" w:rsidRPr="007A2168">
        <w:t xml:space="preserve">long term </w:t>
      </w:r>
      <w:r w:rsidRPr="007A2168">
        <w:t>indexation rate of 2.5% per annum</w:t>
      </w:r>
      <w:r w:rsidR="00102E2F" w:rsidRPr="007A2168">
        <w:t xml:space="preserve"> (noting that there are short term variations)</w:t>
      </w:r>
      <w:r w:rsidRPr="007A2168">
        <w:t>.</w:t>
      </w:r>
      <w:r w:rsidR="005B5D91" w:rsidRPr="007A2168">
        <w:t xml:space="preserve"> </w:t>
      </w:r>
      <w:r w:rsidRPr="007A2168">
        <w:t xml:space="preserve">Where the fair value is based on the relevant yield curve </w:t>
      </w:r>
      <w:r w:rsidR="00102E2F" w:rsidRPr="007A2168">
        <w:t xml:space="preserve">and its associated single discount rate </w:t>
      </w:r>
      <w:r w:rsidRPr="007A2168">
        <w:t xml:space="preserve">(see Figure 1), a much smaller difference between the 2.5% per annum indexation rate applies, resulting in a correspondingly reduced deferral adjustment. In some circumstances, </w:t>
      </w:r>
      <w:r w:rsidR="00A803C6" w:rsidRPr="007A2168">
        <w:t xml:space="preserve">such as in </w:t>
      </w:r>
      <w:r w:rsidR="007A2168" w:rsidRPr="007A2168">
        <w:t xml:space="preserve">2019, </w:t>
      </w:r>
      <w:r w:rsidR="007E3E32" w:rsidRPr="007A2168">
        <w:t>2020</w:t>
      </w:r>
      <w:r w:rsidR="00EF444E" w:rsidRPr="007A2168">
        <w:t xml:space="preserve"> and </w:t>
      </w:r>
      <w:r w:rsidR="007A2168" w:rsidRPr="007A2168">
        <w:t xml:space="preserve">now </w:t>
      </w:r>
      <w:r w:rsidR="00EF444E" w:rsidRPr="007A2168">
        <w:t xml:space="preserve">also in </w:t>
      </w:r>
      <w:r w:rsidR="007E3E32" w:rsidRPr="007A2168">
        <w:t>2021</w:t>
      </w:r>
      <w:r w:rsidR="00A803C6" w:rsidRPr="007A2168">
        <w:t xml:space="preserve">, </w:t>
      </w:r>
      <w:r w:rsidR="005B5D91" w:rsidRPr="007A2168">
        <w:t xml:space="preserve">where the yield curve </w:t>
      </w:r>
      <w:r w:rsidR="00A803C6" w:rsidRPr="007A2168">
        <w:t xml:space="preserve">and associated single discount rate </w:t>
      </w:r>
      <w:r w:rsidR="005B5D91" w:rsidRPr="007A2168">
        <w:t xml:space="preserve">is below the </w:t>
      </w:r>
      <w:r w:rsidR="002C4CEA" w:rsidRPr="007A2168">
        <w:t xml:space="preserve">assumed </w:t>
      </w:r>
      <w:r w:rsidR="005B5D91" w:rsidRPr="007A2168">
        <w:t>indexation rate, the deferral adjustment actually increase</w:t>
      </w:r>
      <w:r w:rsidR="00102E2F" w:rsidRPr="007A2168">
        <w:t>s</w:t>
      </w:r>
      <w:r w:rsidR="005B5D91" w:rsidRPr="007A2168">
        <w:t xml:space="preserve"> the value of the receivable in present value terms.</w:t>
      </w:r>
      <w:r w:rsidR="0092411B" w:rsidRPr="007A2168">
        <w:t xml:space="preserve"> </w:t>
      </w:r>
    </w:p>
    <w:p w14:paraId="41E72605" w14:textId="77777777" w:rsidR="005B5D91" w:rsidRPr="007A2168" w:rsidRDefault="0092411B" w:rsidP="0092411B">
      <w:pPr>
        <w:pStyle w:val="BodyText"/>
      </w:pPr>
      <w:r w:rsidRPr="007A2168">
        <w:t xml:space="preserve">Throughout this report, the deferral adjustment is quantified as an additional impairment </w:t>
      </w:r>
      <w:r w:rsidR="00102E2F" w:rsidRPr="007A2168">
        <w:t xml:space="preserve">(or </w:t>
      </w:r>
      <w:r w:rsidR="00D04D63" w:rsidRPr="007A2168">
        <w:t xml:space="preserve">enhancement) </w:t>
      </w:r>
      <w:r w:rsidRPr="007A2168">
        <w:t xml:space="preserve">that is applied against the projected future repayments. </w:t>
      </w:r>
    </w:p>
    <w:p w14:paraId="32BC30B0" w14:textId="77777777" w:rsidR="00D04D63" w:rsidRPr="007A2168" w:rsidRDefault="00D04D63" w:rsidP="00D04D63">
      <w:pPr>
        <w:pStyle w:val="BodyText"/>
        <w:keepNext/>
        <w:numPr>
          <w:ilvl w:val="0"/>
          <w:numId w:val="0"/>
        </w:numPr>
        <w:ind w:left="851"/>
      </w:pPr>
      <w:r w:rsidRPr="007A2168">
        <w:rPr>
          <w:i/>
        </w:rPr>
        <w:t>Estimated and Provisional Data</w:t>
      </w:r>
    </w:p>
    <w:p w14:paraId="78A4A1AE" w14:textId="61B384F4" w:rsidR="00D04D63" w:rsidRPr="007A2168" w:rsidRDefault="00DB5E79" w:rsidP="0092411B">
      <w:pPr>
        <w:pStyle w:val="BodyText"/>
      </w:pPr>
      <w:r w:rsidRPr="007A2168">
        <w:t>This advice has been</w:t>
      </w:r>
      <w:r w:rsidR="0014222C" w:rsidRPr="007A2168">
        <w:t xml:space="preserve"> provided </w:t>
      </w:r>
      <w:r w:rsidR="00D04D63" w:rsidRPr="007A2168">
        <w:t xml:space="preserve">based on information set out in an estimated ATO HELP Certificate as at 30 June </w:t>
      </w:r>
      <w:r w:rsidR="007E3E32" w:rsidRPr="007A2168">
        <w:t>2021</w:t>
      </w:r>
      <w:r w:rsidRPr="007A2168">
        <w:t xml:space="preserve"> (based on </w:t>
      </w:r>
      <w:r w:rsidR="007A2168" w:rsidRPr="007A2168">
        <w:t xml:space="preserve">a draft HELP Certificate </w:t>
      </w:r>
      <w:r w:rsidR="00C809DF">
        <w:t xml:space="preserve">and VSL Certificate </w:t>
      </w:r>
      <w:r w:rsidR="007A2168" w:rsidRPr="007A2168">
        <w:t>provided by the ATO</w:t>
      </w:r>
      <w:r w:rsidRPr="007A2168">
        <w:t>)</w:t>
      </w:r>
      <w:r w:rsidR="00D04D63" w:rsidRPr="007A2168">
        <w:t xml:space="preserve">, along with estimated debts incurred and PAYG receipts for the remainder of </w:t>
      </w:r>
      <w:r w:rsidR="007E3E32" w:rsidRPr="007A2168">
        <w:t>2020</w:t>
      </w:r>
      <w:r w:rsidR="00D04D63" w:rsidRPr="007A2168">
        <w:t>-</w:t>
      </w:r>
      <w:r w:rsidR="00EF444E" w:rsidRPr="007A2168">
        <w:t>2</w:t>
      </w:r>
      <w:r w:rsidR="007A2168" w:rsidRPr="007A2168">
        <w:t>1</w:t>
      </w:r>
      <w:r w:rsidR="00D04D63" w:rsidRPr="007A2168">
        <w:t xml:space="preserve"> provided by Education</w:t>
      </w:r>
      <w:r w:rsidR="00DF3164" w:rsidRPr="007A2168">
        <w:t xml:space="preserve"> that were not included in the ATO certificate</w:t>
      </w:r>
      <w:r w:rsidR="00D04D63" w:rsidRPr="007A2168">
        <w:t xml:space="preserve">. In the past, it has been accepted that estimated values provided by Education are appropriate to use, however, </w:t>
      </w:r>
      <w:r w:rsidRPr="007A2168">
        <w:t xml:space="preserve">it may be preferred that when updated values are available, </w:t>
      </w:r>
      <w:r w:rsidR="0014222C" w:rsidRPr="007A2168">
        <w:t xml:space="preserve">these </w:t>
      </w:r>
      <w:r w:rsidRPr="007A2168">
        <w:t xml:space="preserve">updated </w:t>
      </w:r>
      <w:r w:rsidR="0014222C" w:rsidRPr="007A2168">
        <w:t xml:space="preserve">values </w:t>
      </w:r>
      <w:r w:rsidRPr="007A2168">
        <w:t>can be reflected in a</w:t>
      </w:r>
      <w:r w:rsidR="0014222C" w:rsidRPr="007A2168">
        <w:t xml:space="preserve"> final advice. </w:t>
      </w:r>
    </w:p>
    <w:p w14:paraId="5EDB96EE" w14:textId="699AD4E4" w:rsidR="00D02A1B" w:rsidRPr="00A70050" w:rsidRDefault="00D02A1B" w:rsidP="00354107">
      <w:pPr>
        <w:pStyle w:val="BodyText"/>
        <w:numPr>
          <w:ilvl w:val="0"/>
          <w:numId w:val="0"/>
        </w:numPr>
        <w:ind w:left="850"/>
        <w:rPr>
          <w:color w:val="A6A6A6" w:themeColor="background1" w:themeShade="A6"/>
        </w:rPr>
      </w:pPr>
    </w:p>
    <w:p w14:paraId="293A1914" w14:textId="77777777" w:rsidR="00974911" w:rsidRPr="00011E36" w:rsidRDefault="00561EC2" w:rsidP="00561EC2">
      <w:pPr>
        <w:pStyle w:val="Heading1"/>
      </w:pPr>
      <w:bookmarkStart w:id="3" w:name="_Ref519063359"/>
      <w:bookmarkStart w:id="4" w:name="_Toc77250472"/>
      <w:r w:rsidRPr="00011E36">
        <w:lastRenderedPageBreak/>
        <w:t>VET Issues</w:t>
      </w:r>
      <w:bookmarkEnd w:id="3"/>
      <w:bookmarkEnd w:id="4"/>
    </w:p>
    <w:p w14:paraId="34E0EE55" w14:textId="0C2978B4" w:rsidR="00B11D83" w:rsidRPr="00011E36" w:rsidRDefault="00622315" w:rsidP="00561EC2">
      <w:pPr>
        <w:pStyle w:val="BodyText"/>
      </w:pPr>
      <w:r w:rsidRPr="00011E36">
        <w:t>The HELP program was expanded to cover V</w:t>
      </w:r>
      <w:r w:rsidR="00ED471F" w:rsidRPr="00011E36">
        <w:t>ET students through the VET FEE</w:t>
      </w:r>
      <w:r w:rsidR="00ED471F" w:rsidRPr="00011E36">
        <w:noBreakHyphen/>
      </w:r>
      <w:r w:rsidRPr="00011E36">
        <w:t>HELP (VFH) loan arrangements in 2009.  In the early years of operation, VFH accounted for a relatively small component of the annual loans being taken out</w:t>
      </w:r>
      <w:r w:rsidR="00B11D83" w:rsidRPr="00011E36">
        <w:t xml:space="preserve"> and is likely to have benefitted students engaging in genuine vocational training</w:t>
      </w:r>
      <w:r w:rsidRPr="00011E36">
        <w:t xml:space="preserve">.  </w:t>
      </w:r>
      <w:r w:rsidR="00F1368A" w:rsidRPr="00011E36">
        <w:t xml:space="preserve">However, starting in 2013-14, the </w:t>
      </w:r>
      <w:r w:rsidR="00B11D83" w:rsidRPr="00011E36">
        <w:t>amount</w:t>
      </w:r>
      <w:r w:rsidR="00F1368A" w:rsidRPr="00011E36">
        <w:t xml:space="preserve"> of loans </w:t>
      </w:r>
      <w:r w:rsidR="00B11D83" w:rsidRPr="00011E36">
        <w:t xml:space="preserve">taken out </w:t>
      </w:r>
      <w:r w:rsidR="00F1368A" w:rsidRPr="00011E36">
        <w:t xml:space="preserve">began to grow rapidly, more than quadrupling over </w:t>
      </w:r>
      <w:r w:rsidR="00655063" w:rsidRPr="00011E36">
        <w:t>the</w:t>
      </w:r>
      <w:r w:rsidR="00F1368A" w:rsidRPr="00011E36">
        <w:t xml:space="preserve"> two years</w:t>
      </w:r>
      <w:r w:rsidR="00655063" w:rsidRPr="00011E36">
        <w:t xml:space="preserve"> to 2014-15</w:t>
      </w:r>
      <w:r w:rsidR="00F1368A" w:rsidRPr="00011E36">
        <w:t xml:space="preserve">.  </w:t>
      </w:r>
      <w:r w:rsidR="00B11D83" w:rsidRPr="00011E36">
        <w:t>Investigations by the Australian Competition and Consumer Commission</w:t>
      </w:r>
      <w:r w:rsidR="00AF0BB8" w:rsidRPr="00011E36">
        <w:t xml:space="preserve"> (ACCC)</w:t>
      </w:r>
      <w:r w:rsidR="00B11D83" w:rsidRPr="00011E36">
        <w:t xml:space="preserve"> and </w:t>
      </w:r>
      <w:r w:rsidR="00655063" w:rsidRPr="00011E36">
        <w:t>Australian Skills Quality Authority (</w:t>
      </w:r>
      <w:r w:rsidR="00AF0BB8" w:rsidRPr="00011E36">
        <w:t>ASQA</w:t>
      </w:r>
      <w:r w:rsidR="00655063" w:rsidRPr="00011E36">
        <w:t>)</w:t>
      </w:r>
      <w:r w:rsidR="00B11D83" w:rsidRPr="00011E36">
        <w:t xml:space="preserve"> exposed a range of problems</w:t>
      </w:r>
      <w:r w:rsidR="000A7ECB" w:rsidRPr="00011E36">
        <w:t xml:space="preserve"> in the VET sector</w:t>
      </w:r>
      <w:r w:rsidR="00B11D83" w:rsidRPr="00011E36">
        <w:t xml:space="preserve">, including illegal marketing and poor provider standards. </w:t>
      </w:r>
      <w:r w:rsidRPr="00011E36">
        <w:t xml:space="preserve"> </w:t>
      </w:r>
    </w:p>
    <w:p w14:paraId="3423F318" w14:textId="0315ABFF" w:rsidR="00BE5D9B" w:rsidRPr="00011E36" w:rsidRDefault="00BE76C0" w:rsidP="00561EC2">
      <w:pPr>
        <w:pStyle w:val="BodyText"/>
      </w:pPr>
      <w:r w:rsidRPr="00011E36">
        <w:t>T</w:t>
      </w:r>
      <w:r w:rsidR="00B11D83" w:rsidRPr="00011E36">
        <w:t xml:space="preserve">hese problems </w:t>
      </w:r>
      <w:r w:rsidR="00216E4E" w:rsidRPr="00011E36">
        <w:t xml:space="preserve">have led </w:t>
      </w:r>
      <w:r w:rsidR="0042762E" w:rsidRPr="00011E36">
        <w:t xml:space="preserve">to </w:t>
      </w:r>
      <w:r w:rsidR="000A7254" w:rsidRPr="00011E36">
        <w:t xml:space="preserve">a large volume of </w:t>
      </w:r>
      <w:r w:rsidR="00216E4E" w:rsidRPr="00011E36">
        <w:t>debt</w:t>
      </w:r>
      <w:r w:rsidR="00655063" w:rsidRPr="00011E36">
        <w:t xml:space="preserve">s </w:t>
      </w:r>
      <w:r w:rsidR="00216E4E" w:rsidRPr="00011E36">
        <w:t xml:space="preserve">that </w:t>
      </w:r>
      <w:r w:rsidR="00655063" w:rsidRPr="00011E36">
        <w:t>have</w:t>
      </w:r>
      <w:r w:rsidR="00216E4E" w:rsidRPr="00011E36">
        <w:t xml:space="preserve"> </w:t>
      </w:r>
      <w:r w:rsidR="0042762E" w:rsidRPr="00011E36">
        <w:t xml:space="preserve">very </w:t>
      </w:r>
      <w:r w:rsidR="00216E4E" w:rsidRPr="00011E36">
        <w:t>poor prospects of repayment.</w:t>
      </w:r>
      <w:r w:rsidR="00F5070B" w:rsidRPr="00011E36">
        <w:t xml:space="preserve">  </w:t>
      </w:r>
      <w:r w:rsidR="00DB38A6" w:rsidRPr="00011E36">
        <w:t>In 2016</w:t>
      </w:r>
      <w:r w:rsidR="000A7254" w:rsidRPr="00011E36">
        <w:t xml:space="preserve"> we introduced an adjustment to account for the presence of debt that we believe</w:t>
      </w:r>
      <w:r w:rsidR="0042762E" w:rsidRPr="00011E36">
        <w:t>d</w:t>
      </w:r>
      <w:r w:rsidR="000A7254" w:rsidRPr="00011E36">
        <w:t xml:space="preserve"> should be treated as </w:t>
      </w:r>
      <w:r w:rsidR="00B11D83" w:rsidRPr="00011E36">
        <w:t xml:space="preserve">effectively </w:t>
      </w:r>
      <w:r w:rsidR="000A7254" w:rsidRPr="00011E36">
        <w:t>not receivable.</w:t>
      </w:r>
      <w:r w:rsidR="00B11D83" w:rsidRPr="00011E36">
        <w:t xml:space="preserve">  That is, for modelling purposes, we </w:t>
      </w:r>
      <w:r w:rsidR="00655063" w:rsidRPr="00011E36">
        <w:t xml:space="preserve">removed </w:t>
      </w:r>
      <w:r w:rsidR="00B11D83" w:rsidRPr="00011E36">
        <w:t xml:space="preserve">a proportion of debtors from scope of repayment. </w:t>
      </w:r>
      <w:r w:rsidR="0042762E" w:rsidRPr="00011E36">
        <w:t xml:space="preserve">  </w:t>
      </w:r>
      <w:r w:rsidR="002453AB" w:rsidRPr="00011E36">
        <w:t xml:space="preserve">Each </w:t>
      </w:r>
      <w:r w:rsidR="007E6280" w:rsidRPr="00011E36">
        <w:t xml:space="preserve">year </w:t>
      </w:r>
      <w:r w:rsidR="002453AB" w:rsidRPr="00011E36">
        <w:t xml:space="preserve">since </w:t>
      </w:r>
      <w:r w:rsidR="007E6280" w:rsidRPr="00011E36">
        <w:t>we have reviewed this approach following more detailed analysis of students likely to be affected and associated providers</w:t>
      </w:r>
      <w:r w:rsidR="0042762E" w:rsidRPr="00011E36">
        <w:t>.</w:t>
      </w:r>
    </w:p>
    <w:p w14:paraId="6231ACBE" w14:textId="77777777" w:rsidR="0064363D" w:rsidRPr="00011E36" w:rsidRDefault="000A7254" w:rsidP="0064363D">
      <w:pPr>
        <w:pStyle w:val="BodyText"/>
      </w:pPr>
      <w:r w:rsidRPr="00011E36">
        <w:t>VFH was closed to new students on 31 December 2016, with a grandfathering provision for continuing students.  Its replacement, the VET Student Loans (VSL)</w:t>
      </w:r>
      <w:r w:rsidR="00B43F4C" w:rsidRPr="00011E36">
        <w:t xml:space="preserve"> program</w:t>
      </w:r>
      <w:r w:rsidRPr="00011E36">
        <w:t xml:space="preserve">, which came into effect on 1 January </w:t>
      </w:r>
      <w:r w:rsidR="00B65515" w:rsidRPr="00011E36">
        <w:t>201</w:t>
      </w:r>
      <w:r w:rsidR="007E6280" w:rsidRPr="00011E36">
        <w:t>7</w:t>
      </w:r>
      <w:r w:rsidRPr="00011E36">
        <w:t xml:space="preserve"> has additional checks and balances around the approval of providers and limits the annual loans that can be taken out. As such, it is intended to prevent the problems that arose with VFH.</w:t>
      </w:r>
      <w:r w:rsidR="0042762E" w:rsidRPr="00011E36">
        <w:t xml:space="preserve">  </w:t>
      </w:r>
    </w:p>
    <w:p w14:paraId="26BCEABD" w14:textId="0BC3F472" w:rsidR="000A7254" w:rsidRPr="00011E36" w:rsidRDefault="0042762E" w:rsidP="0064363D">
      <w:pPr>
        <w:pStyle w:val="BodyText"/>
      </w:pPr>
      <w:r w:rsidRPr="00011E36">
        <w:t xml:space="preserve">In the absence of any </w:t>
      </w:r>
      <w:r w:rsidR="0064675B" w:rsidRPr="00011E36">
        <w:t xml:space="preserve">specific VSL </w:t>
      </w:r>
      <w:r w:rsidRPr="00011E36">
        <w:t>data</w:t>
      </w:r>
      <w:r w:rsidR="0064363D" w:rsidRPr="00011E36">
        <w:t xml:space="preserve"> for modelling purposes</w:t>
      </w:r>
      <w:r w:rsidRPr="00011E36">
        <w:t xml:space="preserve">, </w:t>
      </w:r>
      <w:r w:rsidR="002453AB" w:rsidRPr="00011E36">
        <w:t xml:space="preserve">in 2018 </w:t>
      </w:r>
      <w:r w:rsidRPr="00011E36">
        <w:t xml:space="preserve">we </w:t>
      </w:r>
      <w:r w:rsidR="0064675B" w:rsidRPr="00011E36">
        <w:t>undertook an analysis of</w:t>
      </w:r>
      <w:r w:rsidR="004E1677" w:rsidRPr="00011E36">
        <w:t xml:space="preserve"> the</w:t>
      </w:r>
      <w:r w:rsidR="0064675B" w:rsidRPr="00011E36">
        <w:t xml:space="preserve"> likely VSL debtor repayment experience based on the experience of early VFH completion cohorts</w:t>
      </w:r>
      <w:r w:rsidR="0064363D" w:rsidRPr="00011E36">
        <w:t xml:space="preserve">. </w:t>
      </w:r>
      <w:r w:rsidR="0064675B" w:rsidRPr="00011E36">
        <w:t xml:space="preserve"> </w:t>
      </w:r>
      <w:r w:rsidR="0064363D" w:rsidRPr="00011E36">
        <w:t>We believe that these cohorts</w:t>
      </w:r>
      <w:r w:rsidR="00DF3164" w:rsidRPr="00011E36">
        <w:t>,</w:t>
      </w:r>
      <w:r w:rsidR="0064363D" w:rsidRPr="00011E36">
        <w:t xml:space="preserve"> who completed prior to the large scale inappropriate provider behaviour</w:t>
      </w:r>
      <w:r w:rsidR="00DF3164" w:rsidRPr="00011E36">
        <w:t>,</w:t>
      </w:r>
      <w:r w:rsidR="0064363D" w:rsidRPr="00011E36">
        <w:t xml:space="preserve"> offer a good base indication of likely future repayment experience for VSL.  We do, however, note the differences between the VSL and VFH programs.  The results of the analysis of early VFH completion cohorts and an examination of the differences between the VSL and VFH programs have both informed our expectations in respect of VSL loans.</w:t>
      </w:r>
      <w:r w:rsidR="007E6280" w:rsidRPr="00011E36">
        <w:t xml:space="preserve"> </w:t>
      </w:r>
    </w:p>
    <w:p w14:paraId="77856BC3" w14:textId="130A3A7D" w:rsidR="002453AB" w:rsidRPr="00011E36" w:rsidRDefault="002453AB" w:rsidP="0064363D">
      <w:pPr>
        <w:pStyle w:val="BodyText"/>
      </w:pPr>
      <w:r w:rsidRPr="00011E36">
        <w:t xml:space="preserve">Further </w:t>
      </w:r>
      <w:r w:rsidR="00BF270B" w:rsidRPr="00011E36">
        <w:t>analysis was performed this year in relation to historical VET completion cohorts, this time with more focus on debt size, completion rates and the age of the debtors. This analysis also removed all of the debtors who have had their debt recredited to date.</w:t>
      </w:r>
    </w:p>
    <w:p w14:paraId="388615D9" w14:textId="77777777" w:rsidR="00BE5D9B" w:rsidRPr="00011E36" w:rsidRDefault="00AF0BB8" w:rsidP="00561EC2">
      <w:pPr>
        <w:pStyle w:val="BodyText"/>
      </w:pPr>
      <w:r w:rsidRPr="00011E36">
        <w:t>Quite separately from</w:t>
      </w:r>
      <w:r w:rsidR="0042762E" w:rsidRPr="00011E36">
        <w:t xml:space="preserve"> the </w:t>
      </w:r>
      <w:r w:rsidR="00B43F4C" w:rsidRPr="00011E36">
        <w:t>problems</w:t>
      </w:r>
      <w:r w:rsidR="0042762E" w:rsidRPr="00011E36">
        <w:t xml:space="preserve"> in the VET sector</w:t>
      </w:r>
      <w:r w:rsidR="00BE5D9B" w:rsidRPr="00011E36">
        <w:t xml:space="preserve">, we </w:t>
      </w:r>
      <w:r w:rsidR="0042762E" w:rsidRPr="00011E36">
        <w:t xml:space="preserve">would have expected recoveries from VET debtors to be lower than those from </w:t>
      </w:r>
      <w:r w:rsidR="00BE5D9B" w:rsidRPr="00011E36">
        <w:t>university graduates</w:t>
      </w:r>
      <w:r w:rsidR="0042762E" w:rsidRPr="00011E36">
        <w:t>, reflecting the lower incomes, on average, of those with vocational training qualifications</w:t>
      </w:r>
      <w:r w:rsidR="00BE5D9B" w:rsidRPr="00011E36">
        <w:t xml:space="preserve">. </w:t>
      </w:r>
      <w:r w:rsidR="0064363D" w:rsidRPr="00011E36">
        <w:t xml:space="preserve">Prior to 2016, this was allowed for by an arbitrary adjustment of the model outcomes. </w:t>
      </w:r>
      <w:r w:rsidR="00BE5D9B" w:rsidRPr="00011E36">
        <w:t xml:space="preserve"> In </w:t>
      </w:r>
      <w:r w:rsidR="00123EBD" w:rsidRPr="00011E36">
        <w:t>2016</w:t>
      </w:r>
      <w:r w:rsidR="000A7ECB" w:rsidRPr="00011E36">
        <w:t xml:space="preserve">, </w:t>
      </w:r>
      <w:r w:rsidR="004A7F56" w:rsidRPr="00011E36">
        <w:t>after considering the additional</w:t>
      </w:r>
      <w:r w:rsidR="007D0999" w:rsidRPr="00011E36">
        <w:t xml:space="preserve"> </w:t>
      </w:r>
      <w:r w:rsidR="004A7F56" w:rsidRPr="00011E36">
        <w:t>income data</w:t>
      </w:r>
      <w:r w:rsidR="007D0999" w:rsidRPr="00011E36">
        <w:t xml:space="preserve"> </w:t>
      </w:r>
      <w:r w:rsidR="004A7F56" w:rsidRPr="00011E36">
        <w:t>available</w:t>
      </w:r>
      <w:r w:rsidR="000A7ECB" w:rsidRPr="00011E36">
        <w:t>,</w:t>
      </w:r>
      <w:r w:rsidR="00BE5D9B" w:rsidRPr="00011E36">
        <w:t xml:space="preserve"> we </w:t>
      </w:r>
      <w:r w:rsidR="004A7F56" w:rsidRPr="00011E36">
        <w:t>came to</w:t>
      </w:r>
      <w:r w:rsidR="00BE5D9B" w:rsidRPr="00011E36">
        <w:t xml:space="preserve"> the view that </w:t>
      </w:r>
      <w:r w:rsidR="00810058" w:rsidRPr="00011E36">
        <w:t>the divergences we we</w:t>
      </w:r>
      <w:r w:rsidR="00F5070B" w:rsidRPr="00011E36">
        <w:t xml:space="preserve">re seeing between the incomes of VFH debtors and other HELP debtors </w:t>
      </w:r>
      <w:r w:rsidR="004A7F56" w:rsidRPr="00011E36">
        <w:t>were</w:t>
      </w:r>
      <w:r w:rsidR="00F5070B" w:rsidRPr="00011E36">
        <w:t xml:space="preserve"> of </w:t>
      </w:r>
      <w:r w:rsidR="0064363D" w:rsidRPr="00011E36">
        <w:t xml:space="preserve">such </w:t>
      </w:r>
      <w:r w:rsidR="00F5070B" w:rsidRPr="00011E36">
        <w:t xml:space="preserve">a magnitude to justify modelling VET </w:t>
      </w:r>
      <w:r w:rsidR="00F5070B" w:rsidRPr="00011E36">
        <w:lastRenderedPageBreak/>
        <w:t xml:space="preserve">debtor incomes separately, </w:t>
      </w:r>
      <w:r w:rsidR="000A7254" w:rsidRPr="00011E36">
        <w:t>notwithstanding the relatively short period for which we ha</w:t>
      </w:r>
      <w:r w:rsidR="00810058" w:rsidRPr="00011E36">
        <w:t>d</w:t>
      </w:r>
      <w:r w:rsidR="000A7254" w:rsidRPr="00011E36">
        <w:t xml:space="preserve"> income data</w:t>
      </w:r>
      <w:r w:rsidR="0042762E" w:rsidRPr="00011E36">
        <w:t xml:space="preserve"> for those who have incurred VET debts</w:t>
      </w:r>
      <w:r w:rsidR="000A7254" w:rsidRPr="00011E36">
        <w:t>.</w:t>
      </w:r>
      <w:r w:rsidR="00F5070B" w:rsidRPr="00011E36">
        <w:t xml:space="preserve"> </w:t>
      </w:r>
      <w:r w:rsidRPr="00011E36">
        <w:t xml:space="preserve"> </w:t>
      </w:r>
    </w:p>
    <w:p w14:paraId="0B0100B9" w14:textId="77777777" w:rsidR="000A7254" w:rsidRPr="00011E36" w:rsidRDefault="000A7254" w:rsidP="00561EC2">
      <w:pPr>
        <w:pStyle w:val="BodyText"/>
      </w:pPr>
      <w:r w:rsidRPr="00011E36">
        <w:t xml:space="preserve">Each of these three issues </w:t>
      </w:r>
      <w:r w:rsidR="0042762E" w:rsidRPr="00011E36">
        <w:t>is</w:t>
      </w:r>
      <w:r w:rsidRPr="00011E36">
        <w:t xml:space="preserve"> discussed in more depth below.</w:t>
      </w:r>
    </w:p>
    <w:p w14:paraId="40857959" w14:textId="77777777" w:rsidR="000A7254" w:rsidRPr="00011E36" w:rsidRDefault="000A7254" w:rsidP="000A7254">
      <w:pPr>
        <w:keepNext/>
        <w:ind w:firstLine="851"/>
        <w:rPr>
          <w:b/>
          <w:i/>
        </w:rPr>
      </w:pPr>
      <w:r w:rsidRPr="00011E36">
        <w:rPr>
          <w:b/>
          <w:i/>
        </w:rPr>
        <w:t xml:space="preserve">Non-receivable VFH debt </w:t>
      </w:r>
    </w:p>
    <w:p w14:paraId="4B4F0549" w14:textId="294D5DFD" w:rsidR="00233FAF" w:rsidRPr="00011E36" w:rsidRDefault="00CA020D" w:rsidP="00FA2ABB">
      <w:pPr>
        <w:pStyle w:val="BodyText"/>
      </w:pPr>
      <w:r w:rsidRPr="00011E36">
        <w:t xml:space="preserve">During </w:t>
      </w:r>
      <w:r w:rsidR="007E3E32" w:rsidRPr="00011E36">
        <w:t>20</w:t>
      </w:r>
      <w:r w:rsidR="00781504" w:rsidRPr="00011E36">
        <w:t>19</w:t>
      </w:r>
      <w:r w:rsidR="00F52140" w:rsidRPr="00011E36">
        <w:t xml:space="preserve">, we </w:t>
      </w:r>
      <w:r w:rsidR="00781504" w:rsidRPr="00011E36">
        <w:t xml:space="preserve">updated our earlier </w:t>
      </w:r>
      <w:r w:rsidR="00F52140" w:rsidRPr="00011E36">
        <w:t>analysis in conjunction with staff at Education’s VET Student Redress Unit</w:t>
      </w:r>
      <w:r w:rsidR="00233FAF" w:rsidRPr="00011E36">
        <w:t>, to generate a more reliable indicator of the likely irrecoverable debt. Broadly, that analysis was based on the following methodology:</w:t>
      </w:r>
    </w:p>
    <w:p w14:paraId="318A9FEE" w14:textId="77777777" w:rsidR="00233FAF" w:rsidRPr="00011E36" w:rsidRDefault="00963C94" w:rsidP="00963C94">
      <w:pPr>
        <w:pStyle w:val="Bullet"/>
      </w:pPr>
      <w:r w:rsidRPr="00011E36">
        <w:t>e</w:t>
      </w:r>
      <w:r w:rsidR="00233FAF" w:rsidRPr="00011E36">
        <w:t>xtract debt incurred for debtors who enrolled for the first time in either 2014, 2015 or 2016,</w:t>
      </w:r>
    </w:p>
    <w:p w14:paraId="2E264235" w14:textId="77777777" w:rsidR="00233FAF" w:rsidRPr="00011E36" w:rsidRDefault="00963C94" w:rsidP="00963C94">
      <w:pPr>
        <w:pStyle w:val="Bullet"/>
      </w:pPr>
      <w:r w:rsidRPr="00011E36">
        <w:t>b</w:t>
      </w:r>
      <w:r w:rsidR="00233FAF" w:rsidRPr="00011E36">
        <w:t>ased on 15 providers identified as acting inappropriately, examine the demographic characteristics of these debtors with a view to identifying other providers with a similar demographic mix,</w:t>
      </w:r>
      <w:r w:rsidRPr="00011E36">
        <w:t xml:space="preserve"> and</w:t>
      </w:r>
    </w:p>
    <w:p w14:paraId="0CC6AF71" w14:textId="77777777" w:rsidR="00963C94" w:rsidRPr="00011E36" w:rsidRDefault="00963C94" w:rsidP="00963C94">
      <w:pPr>
        <w:pStyle w:val="Bullet"/>
      </w:pPr>
      <w:r w:rsidRPr="00011E36">
        <w:t>w</w:t>
      </w:r>
      <w:r w:rsidR="00233FAF" w:rsidRPr="00011E36">
        <w:t xml:space="preserve">ith the assistance of Education staff, </w:t>
      </w:r>
      <w:r w:rsidRPr="00011E36">
        <w:t>determine appropriate proportions of debt incurred by students enrolled with these providers that is likely to be irrecoverable.</w:t>
      </w:r>
    </w:p>
    <w:p w14:paraId="3D4540C4" w14:textId="181B7F1D" w:rsidR="00963C94" w:rsidRPr="00011E36" w:rsidRDefault="00963C94" w:rsidP="000A7254">
      <w:pPr>
        <w:pStyle w:val="BodyText"/>
      </w:pPr>
      <w:r w:rsidRPr="00011E36">
        <w:t xml:space="preserve">Based on this approach, the estimate of </w:t>
      </w:r>
      <w:r w:rsidR="00810058" w:rsidRPr="00011E36">
        <w:t>irrecoverable VET debt increased</w:t>
      </w:r>
      <w:r w:rsidRPr="00011E36">
        <w:t xml:space="preserve"> to $2.15b as at 30 June </w:t>
      </w:r>
      <w:r w:rsidR="007E3E32" w:rsidRPr="00011E36">
        <w:t>20</w:t>
      </w:r>
      <w:r w:rsidR="00781504" w:rsidRPr="00011E36">
        <w:t>19</w:t>
      </w:r>
      <w:r w:rsidRPr="00011E36">
        <w:t xml:space="preserve">. While this revised value also reflects an element of </w:t>
      </w:r>
      <w:r w:rsidR="000A7254" w:rsidRPr="00011E36">
        <w:t>subjective judgement</w:t>
      </w:r>
      <w:r w:rsidRPr="00011E36">
        <w:t>, we consider</w:t>
      </w:r>
      <w:r w:rsidR="00CA020D" w:rsidRPr="00011E36">
        <w:t>ed</w:t>
      </w:r>
      <w:r w:rsidRPr="00011E36">
        <w:t xml:space="preserve"> that </w:t>
      </w:r>
      <w:r w:rsidR="00CA020D" w:rsidRPr="00011E36">
        <w:t xml:space="preserve">at that time, </w:t>
      </w:r>
      <w:r w:rsidRPr="00011E36">
        <w:t>it more accurately reflect</w:t>
      </w:r>
      <w:r w:rsidR="00CA020D" w:rsidRPr="00011E36">
        <w:t>ed</w:t>
      </w:r>
      <w:r w:rsidRPr="00011E36">
        <w:t xml:space="preserve"> the likely irrecoverable debt.</w:t>
      </w:r>
    </w:p>
    <w:p w14:paraId="3F5D7F8B" w14:textId="7EABF685" w:rsidR="00CA020D" w:rsidRPr="00011E36" w:rsidRDefault="00781504" w:rsidP="000A7254">
      <w:pPr>
        <w:pStyle w:val="BodyText"/>
      </w:pPr>
      <w:r w:rsidRPr="00011E36">
        <w:t>Last year</w:t>
      </w:r>
      <w:r w:rsidR="00CA020D" w:rsidRPr="00011E36">
        <w:t xml:space="preserve">, we were provided with details of debts that had been re-credited under the VET Student Redress Scheme amounting to about $1.6bn up to 30 April </w:t>
      </w:r>
      <w:r w:rsidR="007E3E32" w:rsidRPr="00011E36">
        <w:t>202</w:t>
      </w:r>
      <w:r w:rsidRPr="00011E36">
        <w:t>0</w:t>
      </w:r>
      <w:r w:rsidR="00CA020D" w:rsidRPr="00011E36">
        <w:t xml:space="preserve">. By comparing the characteristics of debts from this re-credited dataset with all other debts incurred over the relevant period we determined </w:t>
      </w:r>
      <w:r w:rsidR="00063F42" w:rsidRPr="00011E36">
        <w:t xml:space="preserve">that there could be up to an additional $1.35bn ($2.95bn in total) of </w:t>
      </w:r>
      <w:r w:rsidR="00F960E4" w:rsidRPr="00011E36">
        <w:t>potential debt re-credits</w:t>
      </w:r>
      <w:r w:rsidR="00063F42" w:rsidRPr="00011E36">
        <w:t xml:space="preserve">. The results of this analysis are set out in our report dated 15 June </w:t>
      </w:r>
      <w:r w:rsidR="007E3E32" w:rsidRPr="00011E36">
        <w:t>202</w:t>
      </w:r>
      <w:r w:rsidRPr="00011E36">
        <w:t>0</w:t>
      </w:r>
      <w:r w:rsidR="00063F42" w:rsidRPr="00011E36">
        <w:t xml:space="preserve"> “Report on Potential Re-credits Under the VET FEE-HELP Student Redress Measures”</w:t>
      </w:r>
      <w:r w:rsidR="00CA020D" w:rsidRPr="00011E36">
        <w:t>.</w:t>
      </w:r>
    </w:p>
    <w:p w14:paraId="5E425B38" w14:textId="0FB09A9E" w:rsidR="00F51FCE" w:rsidRPr="00011E36" w:rsidRDefault="00063F42" w:rsidP="0088269E">
      <w:pPr>
        <w:pStyle w:val="BodyText"/>
      </w:pPr>
      <w:r w:rsidRPr="00011E36">
        <w:t>However, we recognise</w:t>
      </w:r>
      <w:r w:rsidR="00781504" w:rsidRPr="00011E36">
        <w:t>d</w:t>
      </w:r>
      <w:r w:rsidRPr="00011E36">
        <w:t xml:space="preserve"> that not all of the debts identified in this manner will be illegitimate, and so we </w:t>
      </w:r>
      <w:r w:rsidR="00781504" w:rsidRPr="00011E36">
        <w:t>a</w:t>
      </w:r>
      <w:r w:rsidRPr="00011E36">
        <w:t xml:space="preserve">dopted an amount of $2.70bn as a more likely estimate of irrecoverable debt. The reason for the increase of $0.55bn in the estimate of irrecoverable debt from that adopted </w:t>
      </w:r>
      <w:r w:rsidR="003F527D" w:rsidRPr="00011E36">
        <w:t>in 2019</w:t>
      </w:r>
      <w:r w:rsidRPr="00011E36">
        <w:t xml:space="preserve"> is mainly due to having more information available from the debts re-credited to date, which when combined with insight provided by Education staff, allowed us to further refine our process.</w:t>
      </w:r>
    </w:p>
    <w:p w14:paraId="76B1417B" w14:textId="77777777" w:rsidR="000F1621" w:rsidRDefault="003F527D" w:rsidP="000F1621">
      <w:pPr>
        <w:pStyle w:val="BodyText"/>
      </w:pPr>
      <w:r w:rsidRPr="00011E36">
        <w:t>We have repeated this exercise this year, noting that the re-credits under the Redress Scheme amounted to about $2.</w:t>
      </w:r>
      <w:r w:rsidR="009F2AC6">
        <w:t>7</w:t>
      </w:r>
      <w:r w:rsidRPr="00011E36">
        <w:t xml:space="preserve">bn </w:t>
      </w:r>
      <w:r w:rsidR="00744C7B" w:rsidRPr="00011E36">
        <w:t>as at</w:t>
      </w:r>
      <w:r w:rsidRPr="00011E36">
        <w:t xml:space="preserve"> April 2021. </w:t>
      </w:r>
    </w:p>
    <w:p w14:paraId="09471788" w14:textId="4106244A" w:rsidR="000F1621" w:rsidRDefault="000F1621" w:rsidP="000F1621">
      <w:pPr>
        <w:pStyle w:val="BodyText"/>
      </w:pPr>
      <w:r w:rsidRPr="00011E36">
        <w:t>Th</w:t>
      </w:r>
      <w:r>
        <w:t>e r</w:t>
      </w:r>
      <w:r w:rsidRPr="00011E36">
        <w:t>e-credited debt</w:t>
      </w:r>
      <w:r>
        <w:t xml:space="preserve"> to date has</w:t>
      </w:r>
      <w:r w:rsidRPr="00011E36">
        <w:t xml:space="preserve"> be</w:t>
      </w:r>
      <w:r>
        <w:t>en</w:t>
      </w:r>
      <w:r w:rsidRPr="00011E36">
        <w:t xml:space="preserve"> retrospectively removed from the system by the ATO, rather than being reflected as a current day adjustment. Further, new debt reported for the 2020-21 financial year has been reported net of </w:t>
      </w:r>
      <w:r>
        <w:t>the past</w:t>
      </w:r>
      <w:r w:rsidRPr="00011E36">
        <w:t xml:space="preserve"> re</w:t>
      </w:r>
      <w:r w:rsidRPr="00011E36">
        <w:noBreakHyphen/>
        <w:t xml:space="preserve">credits which means that for the 30 June 2021 ATO Certificate an estimate has been required </w:t>
      </w:r>
      <w:r w:rsidRPr="00011E36">
        <w:lastRenderedPageBreak/>
        <w:t>in relation to the re-credits that have been processed for the current year. For the purposes of this advice, we have attempted to separately record the re-credited debt</w:t>
      </w:r>
      <w:r w:rsidRPr="000F1621">
        <w:t xml:space="preserve"> </w:t>
      </w:r>
    </w:p>
    <w:p w14:paraId="002D304C" w14:textId="74D596C6" w:rsidR="000F1621" w:rsidRDefault="000F1621" w:rsidP="0088269E">
      <w:pPr>
        <w:pStyle w:val="BodyText"/>
      </w:pPr>
      <w:r w:rsidRPr="00011E36">
        <w:t>Based on our reconciliation of the new debt advised by Education and the new debt from the 30 June 2021 ATO Certificate, we have assumed that a further $0.</w:t>
      </w:r>
      <w:r>
        <w:t>2</w:t>
      </w:r>
      <w:r w:rsidRPr="00011E36">
        <w:t>bn has been recredited between April and July 2021</w:t>
      </w:r>
      <w:r w:rsidR="0006593B">
        <w:t>.</w:t>
      </w:r>
    </w:p>
    <w:p w14:paraId="2E18B4AD" w14:textId="35C6C7DC" w:rsidR="003F527D" w:rsidRPr="00011E36" w:rsidRDefault="003F527D" w:rsidP="0088269E">
      <w:pPr>
        <w:pStyle w:val="BodyText"/>
      </w:pPr>
      <w:r w:rsidRPr="00011E36">
        <w:t>Our modelling</w:t>
      </w:r>
      <w:r w:rsidR="000F1621">
        <w:t xml:space="preserve"> ,which was based on re-credits to April 2021,</w:t>
      </w:r>
      <w:r w:rsidRPr="00011E36">
        <w:t xml:space="preserve"> suggests that there is potentially another $1.5bn of debt that has similar characteristics to the debts that have now been recredited. W</w:t>
      </w:r>
      <w:r w:rsidR="009F2AC6">
        <w:t>e</w:t>
      </w:r>
      <w:r w:rsidRPr="00011E36">
        <w:t xml:space="preserve"> have provided Education </w:t>
      </w:r>
      <w:r w:rsidR="00F57286" w:rsidRPr="00011E36">
        <w:t xml:space="preserve">with </w:t>
      </w:r>
      <w:r w:rsidRPr="00011E36">
        <w:t xml:space="preserve">our detailed analysis which is intended to assist it to determine whether these identified debts may lead to further re-credits. In </w:t>
      </w:r>
      <w:r w:rsidR="00744C7B" w:rsidRPr="00011E36">
        <w:t>lieu of that assessment process, we have allowed for a further $1.5bn of recredits for this year’s advice.</w:t>
      </w:r>
      <w:r w:rsidR="000F1621" w:rsidRPr="000F1621">
        <w:t xml:space="preserve"> </w:t>
      </w:r>
      <w:r w:rsidR="000F1621">
        <w:t>Taking into account our estimate of re-credits between April and June 2021, this means that we expect a further $1.3bn or re-credits to take place.</w:t>
      </w:r>
    </w:p>
    <w:p w14:paraId="7F004351" w14:textId="06D686D4" w:rsidR="0088269E" w:rsidRPr="00011E36" w:rsidRDefault="00744C7B" w:rsidP="000F1621">
      <w:pPr>
        <w:pStyle w:val="BodyText"/>
      </w:pPr>
      <w:r w:rsidRPr="00011E36">
        <w:t>Rather than attempt</w:t>
      </w:r>
      <w:r w:rsidR="00A97612">
        <w:t>ing</w:t>
      </w:r>
      <w:r w:rsidRPr="00011E36">
        <w:t xml:space="preserve"> to identify i</w:t>
      </w:r>
      <w:r w:rsidR="0088269E" w:rsidRPr="00011E36">
        <w:t xml:space="preserve">ndividual debtors who </w:t>
      </w:r>
      <w:r w:rsidRPr="00011E36">
        <w:t>may be recredited, this year we have decided to make a global adjustment to the HELP Receivable by removing a further $1.</w:t>
      </w:r>
      <w:r w:rsidR="000F1621">
        <w:t>3</w:t>
      </w:r>
      <w:r w:rsidRPr="00011E36">
        <w:t>bn from the outstanding debt balance</w:t>
      </w:r>
      <w:r w:rsidR="005E0292">
        <w:t xml:space="preserve"> as at </w:t>
      </w:r>
      <w:r w:rsidR="00F92986">
        <w:t>30 June 2021.</w:t>
      </w:r>
      <w:r w:rsidR="00F57286" w:rsidRPr="00011E36">
        <w:t xml:space="preserve"> </w:t>
      </w:r>
    </w:p>
    <w:p w14:paraId="39AB4A78" w14:textId="77777777" w:rsidR="000A7254" w:rsidRPr="00377721" w:rsidRDefault="000A7254" w:rsidP="000A7254">
      <w:pPr>
        <w:keepNext/>
        <w:ind w:firstLine="851"/>
        <w:rPr>
          <w:b/>
          <w:i/>
        </w:rPr>
      </w:pPr>
      <w:r w:rsidRPr="00377721">
        <w:rPr>
          <w:b/>
          <w:i/>
        </w:rPr>
        <w:t>VET Student Loans</w:t>
      </w:r>
    </w:p>
    <w:p w14:paraId="7B54BDA6" w14:textId="49A6F166" w:rsidR="000A7254" w:rsidRPr="00377721" w:rsidRDefault="000A7254" w:rsidP="000A7254">
      <w:pPr>
        <w:pStyle w:val="BodyText"/>
      </w:pPr>
      <w:r w:rsidRPr="00377721">
        <w:t>As noted</w:t>
      </w:r>
      <w:r w:rsidR="00A51152" w:rsidRPr="00377721">
        <w:t xml:space="preserve"> above</w:t>
      </w:r>
      <w:r w:rsidRPr="00377721">
        <w:t xml:space="preserve">, VFH was closed to new students on 31 December 2016, with a grandfathering option in place for students active within the program at that time.  </w:t>
      </w:r>
      <w:r w:rsidR="00A51152" w:rsidRPr="00377721">
        <w:t>VSL</w:t>
      </w:r>
      <w:r w:rsidRPr="00377721">
        <w:t xml:space="preserve"> </w:t>
      </w:r>
      <w:r w:rsidR="00A51152" w:rsidRPr="00377721">
        <w:t xml:space="preserve">was established under the </w:t>
      </w:r>
      <w:r w:rsidR="00A51152" w:rsidRPr="00377721">
        <w:rPr>
          <w:i/>
        </w:rPr>
        <w:t>VET Student Loans Act 2016</w:t>
      </w:r>
      <w:r w:rsidR="00A51152" w:rsidRPr="00377721">
        <w:t xml:space="preserve"> and </w:t>
      </w:r>
      <w:r w:rsidRPr="00377721">
        <w:t>commenced on 1</w:t>
      </w:r>
      <w:r w:rsidR="00D557CC" w:rsidRPr="00377721">
        <w:t> </w:t>
      </w:r>
      <w:r w:rsidRPr="00377721">
        <w:t xml:space="preserve">January </w:t>
      </w:r>
      <w:r w:rsidR="00B65515" w:rsidRPr="00377721">
        <w:t>201</w:t>
      </w:r>
      <w:r w:rsidR="00354107" w:rsidRPr="00377721">
        <w:t>7</w:t>
      </w:r>
      <w:r w:rsidR="00A51152" w:rsidRPr="00377721">
        <w:t>.</w:t>
      </w:r>
      <w:r w:rsidRPr="00377721">
        <w:t xml:space="preserve">  In general terms, the intention of</w:t>
      </w:r>
      <w:r w:rsidR="00A51152" w:rsidRPr="00377721">
        <w:t xml:space="preserve"> the new scheme is to address the problems</w:t>
      </w:r>
      <w:r w:rsidRPr="00377721">
        <w:t xml:space="preserve"> </w:t>
      </w:r>
      <w:r w:rsidR="00F4709F" w:rsidRPr="00377721">
        <w:t>which arose under VFH</w:t>
      </w:r>
      <w:r w:rsidR="00A51152" w:rsidRPr="00377721">
        <w:t>,</w:t>
      </w:r>
      <w:r w:rsidRPr="00377721">
        <w:t xml:space="preserve"> including unsustainable growth, unscrupulous provider behaviour and poor student outcomes.  Specific elements of VSL intended to </w:t>
      </w:r>
      <w:r w:rsidR="00A51152" w:rsidRPr="00377721">
        <w:t>promote</w:t>
      </w:r>
      <w:r w:rsidRPr="00377721">
        <w:t xml:space="preserve"> </w:t>
      </w:r>
      <w:r w:rsidR="00F4709F" w:rsidRPr="00377721">
        <w:t xml:space="preserve">improved </w:t>
      </w:r>
      <w:r w:rsidRPr="00377721">
        <w:t xml:space="preserve">outcomes include stricter limits on provider eligibility and </w:t>
      </w:r>
      <w:r w:rsidR="00A51152" w:rsidRPr="00377721">
        <w:t xml:space="preserve">a </w:t>
      </w:r>
      <w:r w:rsidRPr="00377721">
        <w:t>requirement for all providers to apply</w:t>
      </w:r>
      <w:r w:rsidR="00A51152" w:rsidRPr="00377721">
        <w:t xml:space="preserve"> for approval as a VSL provider</w:t>
      </w:r>
      <w:r w:rsidRPr="00377721">
        <w:t xml:space="preserve">, a tightening of course eligibility and loan limits imposed on the amounts of debt able to be incurred under different courses of study to control </w:t>
      </w:r>
      <w:r w:rsidR="00A51152" w:rsidRPr="00377721">
        <w:t>course fee</w:t>
      </w:r>
      <w:r w:rsidRPr="00377721">
        <w:t xml:space="preserve"> inflation.  </w:t>
      </w:r>
    </w:p>
    <w:p w14:paraId="7CFC8442" w14:textId="305F703D" w:rsidR="00E36CBA" w:rsidRPr="00377721" w:rsidRDefault="00EA740D" w:rsidP="00354107">
      <w:pPr>
        <w:pStyle w:val="BodyText"/>
      </w:pPr>
      <w:r w:rsidRPr="00377721">
        <w:t xml:space="preserve">In order to determine a likely receivable in relation to both VFH and VSL debts, it is important to understand the information that we have available at this time. Total VET debt incurred in the 2016-17 financial year </w:t>
      </w:r>
      <w:r w:rsidR="00354107" w:rsidRPr="00377721">
        <w:t>wa</w:t>
      </w:r>
      <w:r w:rsidRPr="00377721">
        <w:t>s made up of both VFH debt from the grandfathering arrangements in place for VFH students in a continuing course as at 31 December 2016, along with VSL debt</w:t>
      </w:r>
      <w:r w:rsidR="00356641" w:rsidRPr="00377721">
        <w:t xml:space="preserve"> effective from 1 January </w:t>
      </w:r>
      <w:r w:rsidR="00B65515" w:rsidRPr="00377721">
        <w:t>201</w:t>
      </w:r>
      <w:r w:rsidR="00354107" w:rsidRPr="00377721">
        <w:t>7</w:t>
      </w:r>
      <w:r w:rsidR="00356641" w:rsidRPr="00377721">
        <w:t xml:space="preserve"> (noting that many providers had not completed the mandatory re-approval process in time to issue loans under VSL from 1 January </w:t>
      </w:r>
      <w:r w:rsidR="00B65515" w:rsidRPr="00377721">
        <w:t>201</w:t>
      </w:r>
      <w:r w:rsidR="00354107" w:rsidRPr="00377721">
        <w:t>7</w:t>
      </w:r>
      <w:r w:rsidR="00356641" w:rsidRPr="00377721">
        <w:t>).</w:t>
      </w:r>
      <w:r w:rsidR="00D5161C" w:rsidRPr="00377721">
        <w:t xml:space="preserve">  </w:t>
      </w:r>
      <w:r w:rsidR="00354107" w:rsidRPr="00377721">
        <w:t xml:space="preserve">Over time, the proportion of VET debt associated with VSL loans can be expected to increase. Our </w:t>
      </w:r>
      <w:r w:rsidR="002417B7" w:rsidRPr="00377721">
        <w:t xml:space="preserve">understanding is </w:t>
      </w:r>
      <w:r w:rsidR="00354107" w:rsidRPr="00377721">
        <w:t xml:space="preserve">that </w:t>
      </w:r>
      <w:r w:rsidR="00AD0846" w:rsidRPr="00377721">
        <w:t xml:space="preserve">in respect of the </w:t>
      </w:r>
      <w:r w:rsidR="007E3E32" w:rsidRPr="00377721">
        <w:t>2020</w:t>
      </w:r>
      <w:r w:rsidR="00B65515" w:rsidRPr="00377721">
        <w:t>-</w:t>
      </w:r>
      <w:r w:rsidR="0088269E" w:rsidRPr="00377721">
        <w:t>2</w:t>
      </w:r>
      <w:r w:rsidR="002417B7" w:rsidRPr="00377721">
        <w:t>1</w:t>
      </w:r>
      <w:r w:rsidR="00AD0846" w:rsidRPr="00377721">
        <w:t xml:space="preserve"> financial year, </w:t>
      </w:r>
      <w:r w:rsidR="00E36CBA" w:rsidRPr="00377721">
        <w:t xml:space="preserve">VSL loans </w:t>
      </w:r>
      <w:r w:rsidR="00354107" w:rsidRPr="00377721">
        <w:t xml:space="preserve">will </w:t>
      </w:r>
      <w:r w:rsidR="00E36CBA" w:rsidRPr="00377721">
        <w:t>constitute</w:t>
      </w:r>
      <w:r w:rsidR="00354107" w:rsidRPr="00377721">
        <w:t xml:space="preserve"> the vast majority o</w:t>
      </w:r>
      <w:r w:rsidR="00E36CBA" w:rsidRPr="00377721">
        <w:t xml:space="preserve">f the total value of </w:t>
      </w:r>
      <w:r w:rsidR="0061379E" w:rsidRPr="00377721">
        <w:t xml:space="preserve">estimated </w:t>
      </w:r>
      <w:r w:rsidR="00E36CBA" w:rsidRPr="00377721">
        <w:t xml:space="preserve">VET loans issued. </w:t>
      </w:r>
    </w:p>
    <w:p w14:paraId="7E6ADB06" w14:textId="7340A337" w:rsidR="00E05761" w:rsidRPr="00377721" w:rsidRDefault="003A2BAF" w:rsidP="00E05761">
      <w:pPr>
        <w:pStyle w:val="BodyText"/>
      </w:pPr>
      <w:r w:rsidRPr="00377721">
        <w:t>At this stage, we do not have sufficient post completion incomes to separately model repayment outcomes for</w:t>
      </w:r>
      <w:r w:rsidR="00E36CBA" w:rsidRPr="00377721">
        <w:t xml:space="preserve"> VSL </w:t>
      </w:r>
      <w:r w:rsidR="00E05761" w:rsidRPr="00377721">
        <w:t>loans</w:t>
      </w:r>
      <w:r w:rsidRPr="00377721">
        <w:t>. Given the relatively small volume of VSL loans issued to date,</w:t>
      </w:r>
      <w:r w:rsidR="00E36CBA" w:rsidRPr="00377721">
        <w:t xml:space="preserve"> I </w:t>
      </w:r>
      <w:r w:rsidR="00E05761" w:rsidRPr="00377721">
        <w:t xml:space="preserve">do not believe there is any material error introduced into the estimate </w:t>
      </w:r>
      <w:r w:rsidR="00E05761" w:rsidRPr="00377721">
        <w:lastRenderedPageBreak/>
        <w:t xml:space="preserve">of the receivable as at 30 June </w:t>
      </w:r>
      <w:r w:rsidR="007E3E32" w:rsidRPr="00377721">
        <w:t>2021</w:t>
      </w:r>
      <w:r w:rsidR="00E05761" w:rsidRPr="00377721">
        <w:t xml:space="preserve"> by choosing to</w:t>
      </w:r>
      <w:r w:rsidR="002417B7" w:rsidRPr="00377721">
        <w:t xml:space="preserve"> again</w:t>
      </w:r>
      <w:r w:rsidR="00E05761" w:rsidRPr="00377721">
        <w:t xml:space="preserve"> treat </w:t>
      </w:r>
      <w:r w:rsidRPr="00377721">
        <w:t>these</w:t>
      </w:r>
      <w:r w:rsidR="00E05761" w:rsidRPr="00377721">
        <w:t xml:space="preserve"> VSL loans as having comparable outcomes to the early VFH experience. </w:t>
      </w:r>
    </w:p>
    <w:p w14:paraId="05354383" w14:textId="45C713B5" w:rsidR="007D0DD5" w:rsidRPr="00377721" w:rsidRDefault="0064675B" w:rsidP="00EF3430">
      <w:pPr>
        <w:pStyle w:val="BodyText"/>
      </w:pPr>
      <w:r w:rsidRPr="00377721">
        <w:t>To inform the assumption for the repayment of VSL loans, we issued a report</w:t>
      </w:r>
      <w:r w:rsidR="007E059D" w:rsidRPr="00377721">
        <w:t xml:space="preserve"> in June </w:t>
      </w:r>
      <w:r w:rsidR="00124E9D" w:rsidRPr="00377721">
        <w:t>201</w:t>
      </w:r>
      <w:r w:rsidR="007D0DD5" w:rsidRPr="00377721">
        <w:t>8</w:t>
      </w:r>
      <w:r w:rsidR="007E059D" w:rsidRPr="00377721">
        <w:t xml:space="preserve"> which examined the repayment experience of VFH loans issued between 2010 and 2013, prior to the problems that occurred in the sector. The report also considered the likely impact of VSL characteristics including the application of loan caps and the better targeting of courses to industry demand.  The outcome of the report was</w:t>
      </w:r>
      <w:r w:rsidR="002417B7" w:rsidRPr="00377721">
        <w:t xml:space="preserve">, after making allowance for </w:t>
      </w:r>
      <w:r w:rsidR="005B1655" w:rsidRPr="00377721">
        <w:t xml:space="preserve">the new repayment rates and thresholds from 1 July </w:t>
      </w:r>
      <w:r w:rsidR="007E3E32" w:rsidRPr="00377721">
        <w:t>20</w:t>
      </w:r>
      <w:r w:rsidR="002417B7" w:rsidRPr="00377721">
        <w:t>19, a</w:t>
      </w:r>
      <w:r w:rsidR="005B1655" w:rsidRPr="00377721">
        <w:t xml:space="preserve"> best estimate DNER for VSL debtors </w:t>
      </w:r>
      <w:r w:rsidR="002417B7" w:rsidRPr="00377721">
        <w:t>of</w:t>
      </w:r>
      <w:r w:rsidR="005B1655" w:rsidRPr="00377721">
        <w:t xml:space="preserve"> 35%. </w:t>
      </w:r>
    </w:p>
    <w:p w14:paraId="38017D57" w14:textId="4423DCB5" w:rsidR="007D0DD5" w:rsidRPr="00377721" w:rsidRDefault="002417B7" w:rsidP="007E059D">
      <w:pPr>
        <w:pStyle w:val="BodyText"/>
      </w:pPr>
      <w:r w:rsidRPr="00377721">
        <w:t>Last year t</w:t>
      </w:r>
      <w:r w:rsidR="007D0DD5" w:rsidRPr="00377721">
        <w:t xml:space="preserve">his assumption </w:t>
      </w:r>
      <w:r w:rsidRPr="00377721">
        <w:t>was</w:t>
      </w:r>
      <w:r w:rsidR="007D0DD5" w:rsidRPr="00377721">
        <w:t xml:space="preserve"> reviewed to take into account the changed economic environment associated with COVID-19</w:t>
      </w:r>
      <w:r w:rsidRPr="00377721">
        <w:t xml:space="preserve">, with a revised </w:t>
      </w:r>
      <w:r w:rsidR="007D0DD5" w:rsidRPr="00377721">
        <w:t xml:space="preserve">DNER estimate of 38% in respect of VSL debt incurred up to 30 June </w:t>
      </w:r>
      <w:r w:rsidR="007E3E32" w:rsidRPr="00377721">
        <w:t>20</w:t>
      </w:r>
      <w:r w:rsidRPr="00377721">
        <w:t>19</w:t>
      </w:r>
      <w:r w:rsidR="007F7C9E" w:rsidRPr="00377721">
        <w:t xml:space="preserve"> (pre </w:t>
      </w:r>
      <w:r w:rsidR="007E3E32" w:rsidRPr="00377721">
        <w:t>20</w:t>
      </w:r>
      <w:r w:rsidRPr="00377721">
        <w:t>19</w:t>
      </w:r>
      <w:r w:rsidR="007F7C9E" w:rsidRPr="00377721">
        <w:t xml:space="preserve"> VSL)</w:t>
      </w:r>
      <w:r w:rsidR="007D0DD5" w:rsidRPr="00377721">
        <w:t>.</w:t>
      </w:r>
    </w:p>
    <w:p w14:paraId="4983F779" w14:textId="77777777" w:rsidR="007D0DD5" w:rsidRPr="00377721" w:rsidRDefault="00C420EC" w:rsidP="007D0DD5">
      <w:pPr>
        <w:pStyle w:val="BodyText"/>
      </w:pPr>
      <w:r w:rsidRPr="00377721">
        <w:t xml:space="preserve">As data relating to VSL debtors becomes available, it will be important to monitor the extent to which the experience accords with the assumptions under-pinning the revised DNER estimates applied to new debt. </w:t>
      </w:r>
      <w:r w:rsidR="00C5353F" w:rsidRPr="00377721">
        <w:t>However, it will be some time before reliable analysis can be performed.</w:t>
      </w:r>
      <w:r w:rsidR="007D0DD5" w:rsidRPr="00377721">
        <w:t xml:space="preserve"> </w:t>
      </w:r>
    </w:p>
    <w:p w14:paraId="6DB6928A" w14:textId="1080609A" w:rsidR="007D0DD5" w:rsidRPr="00377721" w:rsidRDefault="007D0DD5" w:rsidP="007D0DD5">
      <w:pPr>
        <w:pStyle w:val="BodyText"/>
      </w:pPr>
      <w:r w:rsidRPr="00377721">
        <w:t xml:space="preserve">In rolling forward the estimate of the receivable to 30 June </w:t>
      </w:r>
      <w:r w:rsidR="007E3E32" w:rsidRPr="00377721">
        <w:t>2021</w:t>
      </w:r>
      <w:r w:rsidRPr="00377721">
        <w:t xml:space="preserve">, a key assumption is the DNER percentage and repayment pattern of new </w:t>
      </w:r>
      <w:r w:rsidR="00977507" w:rsidRPr="00377721">
        <w:t xml:space="preserve">VSL </w:t>
      </w:r>
      <w:r w:rsidRPr="00377721">
        <w:t xml:space="preserve">debt incurred </w:t>
      </w:r>
      <w:r w:rsidR="004F675F" w:rsidRPr="00377721">
        <w:t>after 30 June 2019</w:t>
      </w:r>
      <w:r w:rsidR="00977507" w:rsidRPr="00377721">
        <w:t xml:space="preserve"> (post </w:t>
      </w:r>
      <w:r w:rsidR="007E3E32" w:rsidRPr="00377721">
        <w:t>20</w:t>
      </w:r>
      <w:r w:rsidR="004F675F" w:rsidRPr="00377721">
        <w:t>19</w:t>
      </w:r>
      <w:r w:rsidR="00977507" w:rsidRPr="00377721">
        <w:t xml:space="preserve"> VSL)</w:t>
      </w:r>
      <w:r w:rsidRPr="00377721">
        <w:t xml:space="preserve">. It is not appropriate to retain the revised DNER estimate of 38% </w:t>
      </w:r>
      <w:r w:rsidR="007F7C9E" w:rsidRPr="00377721">
        <w:t xml:space="preserve">that applies to pre </w:t>
      </w:r>
      <w:r w:rsidR="007E3E32" w:rsidRPr="00377721">
        <w:t>20</w:t>
      </w:r>
      <w:r w:rsidR="004F675F" w:rsidRPr="00377721">
        <w:t>19</w:t>
      </w:r>
      <w:r w:rsidR="007F7C9E" w:rsidRPr="00377721">
        <w:t xml:space="preserve"> VSL debt </w:t>
      </w:r>
      <w:r w:rsidRPr="00377721">
        <w:t xml:space="preserve">for this tranche of new debt, as the repayment rules associated with this debt mean that it will not commence to be repaid until all other HELP, VFH and pre 1 July </w:t>
      </w:r>
      <w:r w:rsidR="007E3E32" w:rsidRPr="00377721">
        <w:t>20</w:t>
      </w:r>
      <w:r w:rsidR="004F675F" w:rsidRPr="00377721">
        <w:t>19</w:t>
      </w:r>
      <w:r w:rsidRPr="00377721">
        <w:t xml:space="preserve"> VSL debts have been repaid.</w:t>
      </w:r>
    </w:p>
    <w:p w14:paraId="2CBC005F" w14:textId="4BFAA9EF" w:rsidR="00C420EC" w:rsidRPr="00377721" w:rsidRDefault="004F675F" w:rsidP="00C659EE">
      <w:pPr>
        <w:pStyle w:val="BodyText"/>
      </w:pPr>
      <w:r w:rsidRPr="00377721">
        <w:t>Last year, base</w:t>
      </w:r>
      <w:r w:rsidR="00977507" w:rsidRPr="00377721">
        <w:t xml:space="preserve">d on the composition of new debts issued for the 2018-19 year, including the size of other debts already incurred, we generated a sample of likely post </w:t>
      </w:r>
      <w:r w:rsidR="007E3E32" w:rsidRPr="00377721">
        <w:t>20</w:t>
      </w:r>
      <w:r w:rsidRPr="00377721">
        <w:t>19</w:t>
      </w:r>
      <w:r w:rsidR="00977507" w:rsidRPr="00377721">
        <w:t xml:space="preserve"> VSL debtors in order to estimate the likely impact on the DNER of the lower ranking. </w:t>
      </w:r>
      <w:r w:rsidRPr="00377721">
        <w:t>We</w:t>
      </w:r>
      <w:r w:rsidR="00977507" w:rsidRPr="00377721">
        <w:t xml:space="preserve"> assumed that these post </w:t>
      </w:r>
      <w:r w:rsidR="007E3E32" w:rsidRPr="00377721">
        <w:t>20</w:t>
      </w:r>
      <w:r w:rsidRPr="00377721">
        <w:t>19</w:t>
      </w:r>
      <w:r w:rsidR="00977507" w:rsidRPr="00377721">
        <w:t xml:space="preserve"> VSL debtors will not incur any additional higher ranking </w:t>
      </w:r>
      <w:r w:rsidR="007F7C9E" w:rsidRPr="00377721">
        <w:t xml:space="preserve">HELP </w:t>
      </w:r>
      <w:r w:rsidR="00977507" w:rsidRPr="00377721">
        <w:t>debt</w:t>
      </w:r>
      <w:r w:rsidR="007F7C9E" w:rsidRPr="00377721">
        <w:t xml:space="preserve"> through future or concurrent University studies</w:t>
      </w:r>
      <w:r w:rsidR="00C659EE" w:rsidRPr="00377721">
        <w:t xml:space="preserve">. Our </w:t>
      </w:r>
      <w:r w:rsidRPr="00377721">
        <w:t xml:space="preserve">post COVID-19 </w:t>
      </w:r>
      <w:r w:rsidR="00C659EE" w:rsidRPr="00377721">
        <w:t>analysis suggest</w:t>
      </w:r>
      <w:r w:rsidRPr="00377721">
        <w:t>ed</w:t>
      </w:r>
      <w:r w:rsidR="00C659EE" w:rsidRPr="00377721">
        <w:t xml:space="preserve"> that an appropriate DNER for this post </w:t>
      </w:r>
      <w:r w:rsidR="007E3E32" w:rsidRPr="00377721">
        <w:t>20</w:t>
      </w:r>
      <w:r w:rsidRPr="00377721">
        <w:t>19</w:t>
      </w:r>
      <w:r w:rsidR="00C659EE" w:rsidRPr="00377721">
        <w:t xml:space="preserve"> VSL debt </w:t>
      </w:r>
      <w:r w:rsidRPr="00377721">
        <w:t>was 45%.</w:t>
      </w:r>
    </w:p>
    <w:p w14:paraId="65224568" w14:textId="58D5FA2C" w:rsidR="006B570D" w:rsidRPr="00377721" w:rsidRDefault="00BF3EA6" w:rsidP="00C659EE">
      <w:pPr>
        <w:pStyle w:val="BodyText"/>
      </w:pPr>
      <w:r w:rsidRPr="00377721">
        <w:t xml:space="preserve">This year we performed further analysis for Education as part of a study around possible extension of the program to Certificate III and Certificate IV courses. This analysis was more targeted, focussing on </w:t>
      </w:r>
      <w:r w:rsidR="0084598F" w:rsidRPr="00377721">
        <w:t>appropriate debt sizes for VET courses, completion rates and age distributions. As such we modified our approach and made more use of the existing data (now with VET recredited debts fully removed). We also identified some areas of improvement in the modelling methodology relative to the 2018 exercise and included the experience of more recent VET debtors.</w:t>
      </w:r>
    </w:p>
    <w:p w14:paraId="4192ECEA" w14:textId="273F593C" w:rsidR="0084598F" w:rsidRPr="00377721" w:rsidRDefault="0084598F" w:rsidP="00C659EE">
      <w:pPr>
        <w:pStyle w:val="BodyText"/>
      </w:pPr>
      <w:r w:rsidRPr="00377721">
        <w:t>The result of this updated advice was to reduce our estimate of the likely DNER for new pre 2019 VSL debt to 25%. We have performed similar analysis to last year in relation to an estimated impact of the later ranking of post 2019 VSL debt and have adopted a likely DNER of 30%.</w:t>
      </w:r>
    </w:p>
    <w:p w14:paraId="444F133C" w14:textId="0DBFAE8E" w:rsidR="0084598F" w:rsidRPr="00377721" w:rsidRDefault="00C807A3" w:rsidP="00C659EE">
      <w:pPr>
        <w:pStyle w:val="BodyText"/>
      </w:pPr>
      <w:r w:rsidRPr="00377721">
        <w:lastRenderedPageBreak/>
        <w:t xml:space="preserve">It is important to note that our analysis this year has been completed without access to the actual data in relation to VSL debts incurred for the year ending 30 June 2020, as agreement </w:t>
      </w:r>
      <w:r w:rsidR="0006593B">
        <w:t>was not reached in time</w:t>
      </w:r>
      <w:r w:rsidRPr="00377721">
        <w:t xml:space="preserve"> with the ATO regarding the transfer of this data to the VET area within Education. We have therefore relied on advice of aggregate VSL debts incurred for this period.</w:t>
      </w:r>
    </w:p>
    <w:p w14:paraId="5342F4C5" w14:textId="01D51267" w:rsidR="00C807A3" w:rsidRPr="00377721" w:rsidRDefault="00C807A3" w:rsidP="009F2AC6">
      <w:pPr>
        <w:pStyle w:val="BodyText"/>
        <w:numPr>
          <w:ilvl w:val="0"/>
          <w:numId w:val="0"/>
        </w:numPr>
        <w:ind w:left="283" w:firstLine="567"/>
        <w:rPr>
          <w:b/>
          <w:i/>
        </w:rPr>
      </w:pPr>
      <w:r w:rsidRPr="00377721">
        <w:rPr>
          <w:b/>
          <w:i/>
        </w:rPr>
        <w:t>ATO Certificate for VSL</w:t>
      </w:r>
    </w:p>
    <w:p w14:paraId="2B26F7E4" w14:textId="1C811A19" w:rsidR="001B29DC" w:rsidRPr="00377721" w:rsidRDefault="00C807A3" w:rsidP="00C659EE">
      <w:pPr>
        <w:pStyle w:val="BodyText"/>
      </w:pPr>
      <w:r w:rsidRPr="00377721">
        <w:t xml:space="preserve">This is the first year that </w:t>
      </w:r>
      <w:r w:rsidR="00C809DF">
        <w:t xml:space="preserve">we were provided with a </w:t>
      </w:r>
      <w:r w:rsidRPr="00377721">
        <w:t xml:space="preserve">separate ATO Certificate in relation to </w:t>
      </w:r>
      <w:r w:rsidR="0006593B">
        <w:t xml:space="preserve">post 1 July 2019 </w:t>
      </w:r>
      <w:r w:rsidR="00011E36" w:rsidRPr="00377721">
        <w:t xml:space="preserve">VSL </w:t>
      </w:r>
      <w:r w:rsidR="001B29DC" w:rsidRPr="00377721">
        <w:t xml:space="preserve">debt. </w:t>
      </w:r>
      <w:r w:rsidR="00C809DF">
        <w:t xml:space="preserve">Our advice last year did not include the closing balance </w:t>
      </w:r>
      <w:r w:rsidR="00C809DF" w:rsidRPr="00377721">
        <w:t xml:space="preserve">of the VSL Certificate at 30 June 2020 </w:t>
      </w:r>
      <w:r w:rsidR="00C809DF">
        <w:t>of $</w:t>
      </w:r>
      <w:r w:rsidR="00C809DF" w:rsidRPr="00377721">
        <w:t>307m</w:t>
      </w:r>
      <w:r w:rsidR="00C809DF">
        <w:t>.</w:t>
      </w:r>
      <w:r w:rsidR="00C809DF" w:rsidRPr="00377721">
        <w:t xml:space="preserve"> </w:t>
      </w:r>
      <w:r w:rsidR="001B29DC" w:rsidRPr="00377721">
        <w:t>For this advice we have combined the value of each of the HELP a</w:t>
      </w:r>
      <w:r w:rsidR="00C809DF">
        <w:t>n</w:t>
      </w:r>
      <w:r w:rsidR="001B29DC" w:rsidRPr="00377721">
        <w:t>d VSL certificates.</w:t>
      </w:r>
    </w:p>
    <w:p w14:paraId="4366F59B" w14:textId="77777777" w:rsidR="000A7254" w:rsidRPr="0048021B" w:rsidRDefault="000A7254" w:rsidP="000A7254">
      <w:pPr>
        <w:keepNext/>
        <w:ind w:firstLine="851"/>
        <w:rPr>
          <w:b/>
          <w:i/>
        </w:rPr>
      </w:pPr>
      <w:r w:rsidRPr="0048021B">
        <w:rPr>
          <w:b/>
          <w:i/>
        </w:rPr>
        <w:t>Modelling of incomes for VFH debtors</w:t>
      </w:r>
    </w:p>
    <w:p w14:paraId="5FE924E2" w14:textId="1A1C1A98" w:rsidR="00941438" w:rsidRPr="0048021B" w:rsidRDefault="00717809" w:rsidP="000A7254">
      <w:pPr>
        <w:pStyle w:val="BodyText"/>
      </w:pPr>
      <w:r w:rsidRPr="0048021B">
        <w:t xml:space="preserve">Our HELP model relies on longitudinal income data at </w:t>
      </w:r>
      <w:r w:rsidR="0061379E" w:rsidRPr="0048021B">
        <w:t xml:space="preserve">an </w:t>
      </w:r>
      <w:r w:rsidRPr="0048021B">
        <w:t xml:space="preserve">individual level to make a projection of what future incomes might look like.  Because we are projecting incomes for up to 45 years, we ideally want an extended history.  </w:t>
      </w:r>
    </w:p>
    <w:p w14:paraId="0E38C952" w14:textId="53A19474" w:rsidR="00D514FC" w:rsidRPr="0048021B" w:rsidRDefault="00941438" w:rsidP="000A7254">
      <w:pPr>
        <w:pStyle w:val="BodyText"/>
      </w:pPr>
      <w:r w:rsidRPr="0048021B">
        <w:t>For V</w:t>
      </w:r>
      <w:r w:rsidR="0006593B">
        <w:t>FH</w:t>
      </w:r>
      <w:r w:rsidRPr="0048021B">
        <w:t xml:space="preserve"> debtors, </w:t>
      </w:r>
      <w:r w:rsidR="00AD0846" w:rsidRPr="0048021B">
        <w:t xml:space="preserve">our analysis had shown that the repayment prospects for VFH were poorer than for other HELP debtors.  VFH debtors were taking longer to transition to repayment and when they did, their incomes and hence repayments were lower. As a result, </w:t>
      </w:r>
      <w:r w:rsidR="00844A39" w:rsidRPr="0048021B">
        <w:t>from 2016-17</w:t>
      </w:r>
      <w:r w:rsidR="00AD0846" w:rsidRPr="0048021B">
        <w:t xml:space="preserve"> we moved </w:t>
      </w:r>
      <w:r w:rsidRPr="0048021B">
        <w:t>to modelling VFH debtor incomes independently of other non-V</w:t>
      </w:r>
      <w:r w:rsidR="0006593B">
        <w:t>FH</w:t>
      </w:r>
      <w:r w:rsidRPr="0048021B">
        <w:t xml:space="preserve"> debtors</w:t>
      </w:r>
      <w:r w:rsidR="00D514FC" w:rsidRPr="0048021B">
        <w:t>.</w:t>
      </w:r>
    </w:p>
    <w:p w14:paraId="339012C0" w14:textId="77777777" w:rsidR="00C5353F" w:rsidRPr="0048021B" w:rsidRDefault="00D514FC" w:rsidP="000D2194">
      <w:pPr>
        <w:pStyle w:val="BodyText"/>
      </w:pPr>
      <w:r w:rsidRPr="0048021B">
        <w:t xml:space="preserve">Making use of </w:t>
      </w:r>
      <w:r w:rsidR="00695FE9" w:rsidRPr="0048021B">
        <w:t>the extra data that we now have,</w:t>
      </w:r>
      <w:r w:rsidR="000D2194" w:rsidRPr="0048021B">
        <w:t xml:space="preserve"> the evidence of divergent experience</w:t>
      </w:r>
      <w:r w:rsidR="00EB60E9" w:rsidRPr="0048021B">
        <w:t xml:space="preserve"> between VFH and other debtors</w:t>
      </w:r>
      <w:r w:rsidR="000D2194" w:rsidRPr="0048021B">
        <w:t xml:space="preserve"> </w:t>
      </w:r>
      <w:r w:rsidRPr="0048021B">
        <w:t xml:space="preserve">remains </w:t>
      </w:r>
      <w:r w:rsidR="000D2194" w:rsidRPr="0048021B">
        <w:t xml:space="preserve">compelling.  </w:t>
      </w:r>
      <w:r w:rsidR="00C5353F" w:rsidRPr="0048021B">
        <w:t>Our observations indicate that:</w:t>
      </w:r>
    </w:p>
    <w:p w14:paraId="392C1FED" w14:textId="54B93809" w:rsidR="00C5353F" w:rsidRPr="0048021B" w:rsidRDefault="000D2194" w:rsidP="00C5353F">
      <w:pPr>
        <w:pStyle w:val="Bullet"/>
      </w:pPr>
      <w:r w:rsidRPr="0048021B">
        <w:t xml:space="preserve">differences in income reported for </w:t>
      </w:r>
      <w:r w:rsidR="00C5353F" w:rsidRPr="0048021B">
        <w:t xml:space="preserve">successive </w:t>
      </w:r>
      <w:r w:rsidRPr="0048021B">
        <w:t>financial year</w:t>
      </w:r>
      <w:r w:rsidR="00C5353F" w:rsidRPr="0048021B">
        <w:t>s</w:t>
      </w:r>
      <w:r w:rsidRPr="0048021B">
        <w:t xml:space="preserve"> between V</w:t>
      </w:r>
      <w:r w:rsidR="0006593B">
        <w:t>FH</w:t>
      </w:r>
      <w:r w:rsidRPr="0048021B">
        <w:t xml:space="preserve"> and non-V</w:t>
      </w:r>
      <w:r w:rsidR="0006593B">
        <w:t>FH</w:t>
      </w:r>
      <w:r w:rsidRPr="0048021B">
        <w:t xml:space="preserve"> debtors are both substantial and consis</w:t>
      </w:r>
      <w:r w:rsidR="00C5353F" w:rsidRPr="0048021B">
        <w:t>tent across completion cohorts, and</w:t>
      </w:r>
    </w:p>
    <w:p w14:paraId="6CD18835" w14:textId="149DF202" w:rsidR="000D2194" w:rsidRPr="0048021B" w:rsidRDefault="000D2194" w:rsidP="00C5353F">
      <w:pPr>
        <w:pStyle w:val="Bullet"/>
      </w:pPr>
      <w:r w:rsidRPr="0048021B">
        <w:t xml:space="preserve"> </w:t>
      </w:r>
      <w:r w:rsidR="00C5353F" w:rsidRPr="0048021B">
        <w:t>V</w:t>
      </w:r>
      <w:r w:rsidR="0006593B">
        <w:t>FH</w:t>
      </w:r>
      <w:r w:rsidR="00C5353F" w:rsidRPr="0048021B">
        <w:t xml:space="preserve"> debtors appear to have low income growth compared with HELP debtors more generally.</w:t>
      </w:r>
    </w:p>
    <w:p w14:paraId="3D63538A" w14:textId="77777777" w:rsidR="00CD17EF" w:rsidRPr="0048021B" w:rsidRDefault="00CD17EF" w:rsidP="000A7254">
      <w:pPr>
        <w:pStyle w:val="BodyText"/>
      </w:pPr>
      <w:r w:rsidRPr="0048021B">
        <w:t>In summary, it is clear that VFH debt has poorer repayment prospects than HELP debts more generally</w:t>
      </w:r>
      <w:r w:rsidR="00884D1C" w:rsidRPr="0048021B">
        <w:t xml:space="preserve"> and the data continues to justify the use of separate modelling for this group</w:t>
      </w:r>
      <w:r w:rsidRPr="0048021B">
        <w:t xml:space="preserve">.  </w:t>
      </w:r>
    </w:p>
    <w:p w14:paraId="26889965" w14:textId="1E6861BA" w:rsidR="00884D1C" w:rsidRDefault="008A74C0" w:rsidP="00884D1C">
      <w:pPr>
        <w:pStyle w:val="BodyText"/>
      </w:pPr>
      <w:r w:rsidRPr="0048021B">
        <w:t xml:space="preserve">As indicated above, we expect that </w:t>
      </w:r>
      <w:r w:rsidR="00884D1C" w:rsidRPr="0048021B">
        <w:t xml:space="preserve">repayment prospects should be better for VSL debt compared to the early completion years for VFH debt.  </w:t>
      </w:r>
      <w:r w:rsidRPr="0048021B">
        <w:t xml:space="preserve">However, </w:t>
      </w:r>
      <w:r w:rsidR="00884D1C" w:rsidRPr="0048021B">
        <w:t>there is considerable uncertainty around actual future VSL repayment rates</w:t>
      </w:r>
      <w:r w:rsidR="00CA3BAA" w:rsidRPr="0048021B">
        <w:t>. While some earlier indications are suggesting that VSL debtors have higher post study incomes than VFH debtors, it will still</w:t>
      </w:r>
      <w:r w:rsidR="00884D1C" w:rsidRPr="0048021B">
        <w:t xml:space="preserve"> be a number of years before we are able to carry out a</w:t>
      </w:r>
      <w:r w:rsidR="00CA3BAA" w:rsidRPr="0048021B">
        <w:t xml:space="preserve"> detailed</w:t>
      </w:r>
      <w:r w:rsidR="00884D1C" w:rsidRPr="0048021B">
        <w:t xml:space="preserve"> analysis of likely repayment prospects for VSL debt.</w:t>
      </w:r>
      <w:r w:rsidR="00572B17" w:rsidRPr="0048021B">
        <w:t xml:space="preserve"> The secondary ranking of the post </w:t>
      </w:r>
      <w:r w:rsidR="007E3E32" w:rsidRPr="0048021B">
        <w:t>20</w:t>
      </w:r>
      <w:r w:rsidR="00CA3BAA" w:rsidRPr="0048021B">
        <w:t>19</w:t>
      </w:r>
      <w:r w:rsidR="00572B17" w:rsidRPr="0048021B">
        <w:t xml:space="preserve"> VSL debts further complicates this analysis.</w:t>
      </w:r>
    </w:p>
    <w:p w14:paraId="377D52ED" w14:textId="77777777" w:rsidR="0006593B" w:rsidRDefault="0006593B" w:rsidP="00B1623D">
      <w:pPr>
        <w:pStyle w:val="BodyText"/>
        <w:numPr>
          <w:ilvl w:val="0"/>
          <w:numId w:val="0"/>
        </w:numPr>
        <w:ind w:left="850"/>
        <w:rPr>
          <w:b/>
        </w:rPr>
      </w:pPr>
    </w:p>
    <w:p w14:paraId="6A97A0DD" w14:textId="77777777" w:rsidR="0006593B" w:rsidRDefault="0006593B" w:rsidP="00B1623D">
      <w:pPr>
        <w:pStyle w:val="BodyText"/>
        <w:numPr>
          <w:ilvl w:val="0"/>
          <w:numId w:val="0"/>
        </w:numPr>
        <w:ind w:left="850"/>
        <w:rPr>
          <w:b/>
        </w:rPr>
      </w:pPr>
    </w:p>
    <w:p w14:paraId="0DE7978F" w14:textId="5DE30DDC" w:rsidR="0014222C" w:rsidRPr="0048021B" w:rsidRDefault="00DD5C47" w:rsidP="00B1623D">
      <w:pPr>
        <w:pStyle w:val="BodyText"/>
        <w:numPr>
          <w:ilvl w:val="0"/>
          <w:numId w:val="0"/>
        </w:numPr>
        <w:ind w:left="850"/>
        <w:rPr>
          <w:b/>
        </w:rPr>
      </w:pPr>
      <w:r w:rsidRPr="0048021B">
        <w:rPr>
          <w:b/>
        </w:rPr>
        <w:lastRenderedPageBreak/>
        <w:t xml:space="preserve">VET </w:t>
      </w:r>
      <w:r w:rsidR="00CA3BAA" w:rsidRPr="0048021B">
        <w:rPr>
          <w:b/>
        </w:rPr>
        <w:t>Split</w:t>
      </w:r>
    </w:p>
    <w:p w14:paraId="2835CD27" w14:textId="1BB9B22F" w:rsidR="005930DD" w:rsidRPr="0048021B" w:rsidRDefault="00DD5C47" w:rsidP="000A1220">
      <w:pPr>
        <w:pStyle w:val="BodyText"/>
      </w:pPr>
      <w:r w:rsidRPr="0048021B">
        <w:t xml:space="preserve">With effect from 28 May </w:t>
      </w:r>
      <w:r w:rsidR="007E3E32" w:rsidRPr="0048021B">
        <w:t>20</w:t>
      </w:r>
      <w:r w:rsidR="00CA3BAA" w:rsidRPr="0048021B">
        <w:t>19</w:t>
      </w:r>
      <w:r w:rsidRPr="0048021B">
        <w:t xml:space="preserve">, the administration of the VET sector was transferred from </w:t>
      </w:r>
      <w:r w:rsidR="00AB7F12" w:rsidRPr="0048021B">
        <w:t xml:space="preserve">the then Department of </w:t>
      </w:r>
      <w:r w:rsidRPr="0048021B">
        <w:t xml:space="preserve">Education to the Department of Employment (Employment). </w:t>
      </w:r>
      <w:r w:rsidR="000A1220" w:rsidRPr="0048021B">
        <w:t xml:space="preserve">For the purpose of </w:t>
      </w:r>
      <w:r w:rsidR="00CA3BAA" w:rsidRPr="0048021B">
        <w:t>the 2019</w:t>
      </w:r>
      <w:r w:rsidR="000A1220" w:rsidRPr="0048021B">
        <w:t xml:space="preserve"> advice</w:t>
      </w:r>
      <w:r w:rsidRPr="0048021B">
        <w:t xml:space="preserve">, we </w:t>
      </w:r>
      <w:r w:rsidR="005930DD" w:rsidRPr="0048021B">
        <w:t>were</w:t>
      </w:r>
      <w:r w:rsidRPr="0048021B">
        <w:t xml:space="preserve"> requested to calculate the value of future repayments in respect of VSL debts only (</w:t>
      </w:r>
      <w:r w:rsidR="00F26C77" w:rsidRPr="0048021B">
        <w:t>i.e.</w:t>
      </w:r>
      <w:r w:rsidRPr="0048021B">
        <w:t xml:space="preserve"> debts incurred since 1 January 201</w:t>
      </w:r>
      <w:r w:rsidR="001367A6" w:rsidRPr="0048021B">
        <w:t>7</w:t>
      </w:r>
      <w:r w:rsidRPr="0048021B">
        <w:t xml:space="preserve">) and to reduce the HELP receivable recorded by Education by this amount. Appropriate values at both 28 May </w:t>
      </w:r>
      <w:r w:rsidR="007E3E32" w:rsidRPr="0048021B">
        <w:t>20</w:t>
      </w:r>
      <w:r w:rsidR="00CA3BAA" w:rsidRPr="0048021B">
        <w:t>19</w:t>
      </w:r>
      <w:r w:rsidR="005930DD" w:rsidRPr="0048021B">
        <w:t xml:space="preserve"> </w:t>
      </w:r>
      <w:r w:rsidRPr="0048021B">
        <w:t xml:space="preserve">and 30 June </w:t>
      </w:r>
      <w:r w:rsidR="007E3E32" w:rsidRPr="0048021B">
        <w:t>20</w:t>
      </w:r>
      <w:r w:rsidR="00CA3BAA" w:rsidRPr="0048021B">
        <w:t>19</w:t>
      </w:r>
      <w:r w:rsidRPr="0048021B">
        <w:t xml:space="preserve"> for both Education and Employment </w:t>
      </w:r>
      <w:r w:rsidR="005930DD" w:rsidRPr="0048021B">
        <w:t>were calculated.</w:t>
      </w:r>
    </w:p>
    <w:p w14:paraId="49BED3B2" w14:textId="1235CAAB" w:rsidR="005930DD" w:rsidRPr="0048021B" w:rsidRDefault="00AB7F12" w:rsidP="000A1220">
      <w:pPr>
        <w:pStyle w:val="BodyText"/>
      </w:pPr>
      <w:r w:rsidRPr="0048021B">
        <w:t>Wi</w:t>
      </w:r>
      <w:r w:rsidR="005930DD" w:rsidRPr="0048021B">
        <w:t xml:space="preserve">th effect from 31 January </w:t>
      </w:r>
      <w:r w:rsidR="007E3E32" w:rsidRPr="0048021B">
        <w:t>202</w:t>
      </w:r>
      <w:r w:rsidR="00CA3BAA" w:rsidRPr="0048021B">
        <w:t>0</w:t>
      </w:r>
      <w:r w:rsidR="005930DD" w:rsidRPr="0048021B">
        <w:t>, Employment returned to the expanded Department of Education, Skills and Employment. To recognise this a full split of the total HELP receivable into HELP</w:t>
      </w:r>
      <w:r w:rsidRPr="0048021B">
        <w:t xml:space="preserve"> only related repayments, VET repayments and </w:t>
      </w:r>
      <w:r w:rsidR="005930DD" w:rsidRPr="0048021B">
        <w:t>VSL repayments</w:t>
      </w:r>
      <w:r w:rsidRPr="0048021B">
        <w:t xml:space="preserve"> was performed</w:t>
      </w:r>
      <w:r w:rsidR="005930DD" w:rsidRPr="0048021B">
        <w:t>.</w:t>
      </w:r>
      <w:r w:rsidR="00462A4D" w:rsidRPr="0048021B">
        <w:t xml:space="preserve"> The resulting allocation at 31</w:t>
      </w:r>
      <w:r w:rsidR="00F26C77" w:rsidRPr="0048021B">
        <w:t> </w:t>
      </w:r>
      <w:r w:rsidR="00462A4D" w:rsidRPr="0048021B">
        <w:t xml:space="preserve">January </w:t>
      </w:r>
      <w:r w:rsidR="007E3E32" w:rsidRPr="0048021B">
        <w:t>202</w:t>
      </w:r>
      <w:r w:rsidR="0048021B" w:rsidRPr="0048021B">
        <w:t>0</w:t>
      </w:r>
      <w:r w:rsidR="00462A4D" w:rsidRPr="0048021B">
        <w:t xml:space="preserve"> is set out below:</w:t>
      </w:r>
    </w:p>
    <w:p w14:paraId="0218EE0D" w14:textId="153B35B8" w:rsidR="00462A4D" w:rsidRPr="0048021B" w:rsidRDefault="00462A4D" w:rsidP="00462A4D">
      <w:pPr>
        <w:pStyle w:val="Bullet"/>
      </w:pPr>
      <w:r w:rsidRPr="0048021B">
        <w:t>HELP fair value</w:t>
      </w:r>
      <w:r w:rsidRPr="0048021B">
        <w:tab/>
        <w:t>:</w:t>
      </w:r>
      <w:r w:rsidRPr="0048021B">
        <w:tab/>
      </w:r>
      <w:r w:rsidR="0048021B" w:rsidRPr="0048021B">
        <w:t xml:space="preserve"> </w:t>
      </w:r>
      <w:r w:rsidRPr="0048021B">
        <w:t>89%</w:t>
      </w:r>
    </w:p>
    <w:p w14:paraId="62BF756B" w14:textId="562E59C5" w:rsidR="00462A4D" w:rsidRPr="0048021B" w:rsidRDefault="00462A4D" w:rsidP="00462A4D">
      <w:pPr>
        <w:pStyle w:val="Bullet"/>
      </w:pPr>
      <w:r w:rsidRPr="0048021B">
        <w:t>VET fair value</w:t>
      </w:r>
      <w:r w:rsidRPr="0048021B">
        <w:tab/>
        <w:t>:</w:t>
      </w:r>
      <w:r w:rsidRPr="0048021B">
        <w:tab/>
        <w:t xml:space="preserve"> 10%</w:t>
      </w:r>
    </w:p>
    <w:p w14:paraId="481B56D2" w14:textId="0BD3958B" w:rsidR="00462A4D" w:rsidRPr="0048021B" w:rsidRDefault="00462A4D" w:rsidP="00462A4D">
      <w:pPr>
        <w:pStyle w:val="Bullet"/>
      </w:pPr>
      <w:r w:rsidRPr="0048021B">
        <w:t>VSL fair value</w:t>
      </w:r>
      <w:r w:rsidRPr="0048021B">
        <w:tab/>
        <w:t>:</w:t>
      </w:r>
      <w:r w:rsidRPr="0048021B">
        <w:tab/>
        <w:t xml:space="preserve">  1</w:t>
      </w:r>
      <w:r w:rsidR="0048021B" w:rsidRPr="0048021B">
        <w:t>%</w:t>
      </w:r>
    </w:p>
    <w:p w14:paraId="3FAF6DD7" w14:textId="2304F696" w:rsidR="00744641" w:rsidRPr="0048021B" w:rsidRDefault="005930DD" w:rsidP="000A1220">
      <w:pPr>
        <w:pStyle w:val="BodyText"/>
      </w:pPr>
      <w:r w:rsidRPr="0048021B">
        <w:t xml:space="preserve">For the HELP receivable as at 30 June </w:t>
      </w:r>
      <w:r w:rsidR="007E3E32" w:rsidRPr="0048021B">
        <w:t>202</w:t>
      </w:r>
      <w:r w:rsidR="0048021B" w:rsidRPr="0048021B">
        <w:t>0 (and again this year)</w:t>
      </w:r>
      <w:r w:rsidRPr="0048021B">
        <w:t>, we understand that it is a requirement to retain a notional split between the t</w:t>
      </w:r>
      <w:r w:rsidR="00AB7F12" w:rsidRPr="0048021B">
        <w:t>hree</w:t>
      </w:r>
      <w:r w:rsidRPr="0048021B">
        <w:t xml:space="preserve"> debt types</w:t>
      </w:r>
      <w:r w:rsidR="00744641" w:rsidRPr="0048021B">
        <w:t xml:space="preserve">, but that the VSL fair value is only required in relation to the new VSL debt written from 1 July </w:t>
      </w:r>
      <w:r w:rsidR="007E3E32" w:rsidRPr="0048021B">
        <w:t>20</w:t>
      </w:r>
      <w:r w:rsidR="0048021B" w:rsidRPr="0048021B">
        <w:t>19</w:t>
      </w:r>
      <w:r w:rsidR="00744641" w:rsidRPr="0048021B">
        <w:t>.</w:t>
      </w:r>
    </w:p>
    <w:p w14:paraId="61717D5F" w14:textId="77777777" w:rsidR="00884D1C" w:rsidRPr="00A70050" w:rsidRDefault="00884D1C" w:rsidP="00884D1C">
      <w:pPr>
        <w:pStyle w:val="BodyText"/>
        <w:numPr>
          <w:ilvl w:val="0"/>
          <w:numId w:val="0"/>
        </w:numPr>
        <w:ind w:left="850"/>
        <w:rPr>
          <w:color w:val="A6A6A6" w:themeColor="background1" w:themeShade="A6"/>
        </w:rPr>
      </w:pPr>
    </w:p>
    <w:p w14:paraId="59E3A2DE" w14:textId="10749A5B" w:rsidR="00561EC2" w:rsidRPr="009D6A26" w:rsidRDefault="00561EC2" w:rsidP="00561EC2">
      <w:pPr>
        <w:pStyle w:val="Heading1"/>
      </w:pPr>
      <w:bookmarkStart w:id="5" w:name="_Toc77250473"/>
      <w:r w:rsidRPr="009D6A26">
        <w:lastRenderedPageBreak/>
        <w:t xml:space="preserve">Results of the </w:t>
      </w:r>
      <w:r w:rsidR="007E3E32" w:rsidRPr="009D6A26">
        <w:t>202</w:t>
      </w:r>
      <w:r w:rsidR="0048021B" w:rsidRPr="009D6A26">
        <w:t>0</w:t>
      </w:r>
      <w:r w:rsidRPr="009D6A26">
        <w:t xml:space="preserve"> Model</w:t>
      </w:r>
      <w:bookmarkEnd w:id="5"/>
    </w:p>
    <w:p w14:paraId="0CEBF412" w14:textId="77777777" w:rsidR="00BA4FC4" w:rsidRPr="009D6A26" w:rsidRDefault="00BA4FC4" w:rsidP="00561EC2">
      <w:pPr>
        <w:pStyle w:val="BodyText"/>
      </w:pPr>
      <w:r w:rsidRPr="009D6A26">
        <w:t>The output of the model is a projection of future repayment cashflows which allows the DNER and deferral adjustment to be calculated.  These amounts are deducted from the nominal value of debt to give the present va</w:t>
      </w:r>
      <w:r w:rsidR="001568F8" w:rsidRPr="009D6A26">
        <w:t xml:space="preserve">lue of repayments.  </w:t>
      </w:r>
      <w:r w:rsidRPr="009D6A26">
        <w:t>An adjustment has</w:t>
      </w:r>
      <w:r w:rsidR="00F13AC2" w:rsidRPr="009D6A26">
        <w:t xml:space="preserve"> also been</w:t>
      </w:r>
      <w:r w:rsidRPr="009D6A26">
        <w:t xml:space="preserve"> included for the VFH debt that was excluded</w:t>
      </w:r>
      <w:r w:rsidR="00C93891" w:rsidRPr="009D6A26">
        <w:t xml:space="preserve"> from the model</w:t>
      </w:r>
      <w:r w:rsidRPr="009D6A26">
        <w:t>, as described in the previous chapter.</w:t>
      </w:r>
    </w:p>
    <w:p w14:paraId="52FF0CB6" w14:textId="10677FB9" w:rsidR="00561EC2" w:rsidRPr="009D6A26" w:rsidRDefault="00BA4FC4" w:rsidP="00561EC2">
      <w:pPr>
        <w:pStyle w:val="BodyText"/>
      </w:pPr>
      <w:r w:rsidRPr="009D6A26">
        <w:fldChar w:fldCharType="begin"/>
      </w:r>
      <w:r w:rsidRPr="009D6A26">
        <w:instrText xml:space="preserve"> REF _Ref426099737 \h  \* MERGEFORMAT </w:instrText>
      </w:r>
      <w:r w:rsidRPr="009D6A26">
        <w:fldChar w:fldCharType="separate"/>
      </w:r>
      <w:r w:rsidR="000106DA" w:rsidRPr="009D6A26">
        <w:t xml:space="preserve">Table </w:t>
      </w:r>
      <w:r w:rsidR="000106DA">
        <w:rPr>
          <w:noProof/>
        </w:rPr>
        <w:t>1</w:t>
      </w:r>
      <w:r w:rsidRPr="009D6A26">
        <w:fldChar w:fldCharType="end"/>
      </w:r>
      <w:r w:rsidRPr="009D6A26">
        <w:t xml:space="preserve"> shows the derivation of the fair value of the receivable using the AGA method of accounting for repayments when they are credited against an individual’s debt.  Note that throughout this letter totals may not add exactly due to rounding.  Note also that while figures are quoted to the nearest $1,000, this level of accuracy is not warranted given the uncertainties </w:t>
      </w:r>
      <w:r w:rsidR="00A51784" w:rsidRPr="009D6A26">
        <w:t>involved in the modelling process.</w:t>
      </w:r>
    </w:p>
    <w:p w14:paraId="1D978879" w14:textId="4699C598" w:rsidR="00BA4FC4" w:rsidRPr="009D6A26" w:rsidRDefault="00BA4FC4" w:rsidP="00BA4FC4">
      <w:pPr>
        <w:pStyle w:val="Caption"/>
        <w:rPr>
          <w:b/>
        </w:rPr>
      </w:pPr>
      <w:bookmarkStart w:id="6" w:name="_Ref426099737"/>
      <w:r w:rsidRPr="009D6A26">
        <w:t xml:space="preserve">Table </w:t>
      </w:r>
      <w:r w:rsidR="00C80517">
        <w:fldChar w:fldCharType="begin"/>
      </w:r>
      <w:r w:rsidR="00C80517">
        <w:instrText xml:space="preserve"> SEQ Table \* ARABIC </w:instrText>
      </w:r>
      <w:r w:rsidR="00C80517">
        <w:fldChar w:fldCharType="separate"/>
      </w:r>
      <w:r w:rsidR="000106DA">
        <w:rPr>
          <w:noProof/>
        </w:rPr>
        <w:t>1</w:t>
      </w:r>
      <w:r w:rsidR="00C80517">
        <w:rPr>
          <w:noProof/>
        </w:rPr>
        <w:fldChar w:fldCharType="end"/>
      </w:r>
      <w:bookmarkEnd w:id="6"/>
      <w:r w:rsidRPr="009D6A26">
        <w:t xml:space="preserve">:  Fair value of the receivable at 30 June </w:t>
      </w:r>
      <w:r w:rsidR="007E3E32" w:rsidRPr="009D6A26">
        <w:t>2020</w:t>
      </w:r>
      <w:r w:rsidRPr="009D6A26">
        <w:t xml:space="preserve"> </w:t>
      </w:r>
    </w:p>
    <w:tbl>
      <w:tblPr>
        <w:tblW w:w="9039" w:type="dxa"/>
        <w:tblBorders>
          <w:top w:val="single" w:sz="4" w:space="0" w:color="auto"/>
          <w:bottom w:val="single" w:sz="4" w:space="0" w:color="auto"/>
        </w:tblBorders>
        <w:tblLayout w:type="fixed"/>
        <w:tblLook w:val="0000" w:firstRow="0" w:lastRow="0" w:firstColumn="0" w:lastColumn="0" w:noHBand="0" w:noVBand="0"/>
      </w:tblPr>
      <w:tblGrid>
        <w:gridCol w:w="722"/>
        <w:gridCol w:w="4489"/>
        <w:gridCol w:w="1843"/>
        <w:gridCol w:w="1985"/>
      </w:tblGrid>
      <w:tr w:rsidR="00A70050" w:rsidRPr="009D6A26" w14:paraId="31DD4833" w14:textId="77777777" w:rsidTr="00105880">
        <w:tc>
          <w:tcPr>
            <w:tcW w:w="722" w:type="dxa"/>
            <w:tcBorders>
              <w:top w:val="single" w:sz="4" w:space="0" w:color="auto"/>
              <w:bottom w:val="single" w:sz="4" w:space="0" w:color="auto"/>
            </w:tcBorders>
          </w:tcPr>
          <w:p w14:paraId="595B4214" w14:textId="77777777" w:rsidR="00BA4FC4" w:rsidRPr="009D6A26" w:rsidRDefault="00BA4FC4" w:rsidP="00105880">
            <w:pPr>
              <w:keepNext/>
              <w:spacing w:before="80" w:after="80"/>
              <w:rPr>
                <w:highlight w:val="yellow"/>
              </w:rPr>
            </w:pPr>
          </w:p>
        </w:tc>
        <w:tc>
          <w:tcPr>
            <w:tcW w:w="4489" w:type="dxa"/>
            <w:tcBorders>
              <w:top w:val="single" w:sz="4" w:space="0" w:color="auto"/>
              <w:bottom w:val="single" w:sz="4" w:space="0" w:color="auto"/>
            </w:tcBorders>
          </w:tcPr>
          <w:p w14:paraId="1D02D4FB" w14:textId="77777777" w:rsidR="00BA4FC4" w:rsidRPr="009D6A26" w:rsidRDefault="00BA4FC4" w:rsidP="00105880">
            <w:pPr>
              <w:keepNext/>
              <w:spacing w:before="80" w:after="80"/>
            </w:pPr>
          </w:p>
        </w:tc>
        <w:tc>
          <w:tcPr>
            <w:tcW w:w="1843" w:type="dxa"/>
            <w:tcBorders>
              <w:top w:val="single" w:sz="4" w:space="0" w:color="auto"/>
              <w:bottom w:val="single" w:sz="4" w:space="0" w:color="auto"/>
            </w:tcBorders>
          </w:tcPr>
          <w:p w14:paraId="10B16140" w14:textId="77777777" w:rsidR="00BA4FC4" w:rsidRPr="009D6A26" w:rsidRDefault="00954385" w:rsidP="00954385">
            <w:pPr>
              <w:keepNext/>
              <w:spacing w:before="80" w:after="80"/>
              <w:jc w:val="center"/>
            </w:pPr>
            <w:r w:rsidRPr="009D6A26">
              <w:t>5</w:t>
            </w:r>
            <w:r w:rsidR="00BA4FC4" w:rsidRPr="009D6A26">
              <w:t xml:space="preserve">% Discount Rate </w:t>
            </w:r>
            <w:r w:rsidR="00BA4FC4" w:rsidRPr="009D6A26">
              <w:br/>
              <w:t>$m</w:t>
            </w:r>
          </w:p>
        </w:tc>
        <w:tc>
          <w:tcPr>
            <w:tcW w:w="1985" w:type="dxa"/>
            <w:tcBorders>
              <w:top w:val="single" w:sz="4" w:space="0" w:color="auto"/>
              <w:bottom w:val="single" w:sz="4" w:space="0" w:color="auto"/>
            </w:tcBorders>
          </w:tcPr>
          <w:p w14:paraId="7FEC9356" w14:textId="006D412D" w:rsidR="00BA4FC4" w:rsidRPr="009D6A26" w:rsidRDefault="007E3E32" w:rsidP="00105880">
            <w:pPr>
              <w:keepNext/>
              <w:spacing w:before="80" w:after="80"/>
              <w:jc w:val="center"/>
            </w:pPr>
            <w:r w:rsidRPr="009D6A26">
              <w:t>2020</w:t>
            </w:r>
            <w:r w:rsidR="00810058" w:rsidRPr="009D6A26">
              <w:t xml:space="preserve"> </w:t>
            </w:r>
            <w:r w:rsidR="00BA4FC4" w:rsidRPr="009D6A26">
              <w:t>Yield Curve         $m</w:t>
            </w:r>
          </w:p>
        </w:tc>
      </w:tr>
      <w:tr w:rsidR="009F2AC6" w:rsidRPr="009D6A26" w14:paraId="200698DF" w14:textId="77777777" w:rsidTr="00BD3A5B">
        <w:tc>
          <w:tcPr>
            <w:tcW w:w="722" w:type="dxa"/>
            <w:tcBorders>
              <w:top w:val="single" w:sz="4" w:space="0" w:color="auto"/>
            </w:tcBorders>
            <w:vAlign w:val="center"/>
          </w:tcPr>
          <w:p w14:paraId="11278D0B" w14:textId="77777777" w:rsidR="009F2AC6" w:rsidRPr="009D6A26" w:rsidRDefault="009F2AC6" w:rsidP="009F2AC6">
            <w:pPr>
              <w:keepNext/>
              <w:spacing w:before="140" w:after="140"/>
              <w:rPr>
                <w:highlight w:val="yellow"/>
              </w:rPr>
            </w:pPr>
          </w:p>
        </w:tc>
        <w:tc>
          <w:tcPr>
            <w:tcW w:w="4489" w:type="dxa"/>
            <w:tcBorders>
              <w:top w:val="single" w:sz="4" w:space="0" w:color="auto"/>
            </w:tcBorders>
            <w:vAlign w:val="center"/>
          </w:tcPr>
          <w:p w14:paraId="355AA189" w14:textId="5020F956" w:rsidR="009F2AC6" w:rsidRPr="009D6A26" w:rsidRDefault="009F2AC6" w:rsidP="009F2AC6">
            <w:pPr>
              <w:keepNext/>
              <w:spacing w:before="140" w:after="140"/>
            </w:pPr>
            <w:r w:rsidRPr="009D6A26">
              <w:t>Outstanding Debt as at 30 June 2020</w:t>
            </w:r>
            <w:r w:rsidRPr="009D6A26">
              <w:rPr>
                <w:rFonts w:cs="Arial"/>
              </w:rPr>
              <w:t>¹</w:t>
            </w:r>
          </w:p>
        </w:tc>
        <w:tc>
          <w:tcPr>
            <w:tcW w:w="1843" w:type="dxa"/>
            <w:tcBorders>
              <w:top w:val="single" w:sz="4" w:space="0" w:color="auto"/>
            </w:tcBorders>
          </w:tcPr>
          <w:p w14:paraId="70F3C3A2" w14:textId="3B61D17B" w:rsidR="009F2AC6" w:rsidRPr="009D6A26" w:rsidRDefault="009F2AC6" w:rsidP="009F2AC6">
            <w:pPr>
              <w:jc w:val="center"/>
            </w:pPr>
            <w:r w:rsidRPr="009D6A26">
              <w:t>69,793.677</w:t>
            </w:r>
          </w:p>
        </w:tc>
        <w:tc>
          <w:tcPr>
            <w:tcW w:w="1985" w:type="dxa"/>
            <w:tcBorders>
              <w:top w:val="single" w:sz="4" w:space="0" w:color="auto"/>
            </w:tcBorders>
          </w:tcPr>
          <w:p w14:paraId="52A506E6" w14:textId="5EBB7932" w:rsidR="009F2AC6" w:rsidRPr="009D6A26" w:rsidRDefault="009F2AC6" w:rsidP="009F2AC6">
            <w:pPr>
              <w:jc w:val="center"/>
            </w:pPr>
            <w:r w:rsidRPr="009D6A26">
              <w:t>69,793.677</w:t>
            </w:r>
          </w:p>
        </w:tc>
      </w:tr>
      <w:tr w:rsidR="00391686" w:rsidRPr="009D6A26" w14:paraId="2C64EDB3" w14:textId="77777777" w:rsidTr="00105880">
        <w:tc>
          <w:tcPr>
            <w:tcW w:w="722" w:type="dxa"/>
          </w:tcPr>
          <w:p w14:paraId="38236B65" w14:textId="77777777" w:rsidR="00391686" w:rsidRPr="009D6A26" w:rsidRDefault="00391686" w:rsidP="00391686">
            <w:pPr>
              <w:keepNext/>
              <w:spacing w:before="140" w:after="140"/>
            </w:pPr>
            <w:r w:rsidRPr="009D6A26">
              <w:t>less</w:t>
            </w:r>
          </w:p>
        </w:tc>
        <w:tc>
          <w:tcPr>
            <w:tcW w:w="4489" w:type="dxa"/>
          </w:tcPr>
          <w:p w14:paraId="41DBC700" w14:textId="2F4386EB" w:rsidR="00391686" w:rsidRPr="009D6A26" w:rsidRDefault="00391686" w:rsidP="00391686">
            <w:pPr>
              <w:keepNext/>
              <w:spacing w:before="140" w:after="140"/>
            </w:pPr>
            <w:r w:rsidRPr="009D6A26">
              <w:t xml:space="preserve">Nominal value of further VET FEE-HELP debt excluded from data provided </w:t>
            </w:r>
          </w:p>
        </w:tc>
        <w:tc>
          <w:tcPr>
            <w:tcW w:w="1843" w:type="dxa"/>
          </w:tcPr>
          <w:p w14:paraId="276E2584" w14:textId="5F260541" w:rsidR="00391686" w:rsidRPr="009D6A26" w:rsidRDefault="00391686" w:rsidP="00391686">
            <w:pPr>
              <w:jc w:val="center"/>
            </w:pPr>
            <w:r w:rsidRPr="001C12A6">
              <w:t>1,160.562</w:t>
            </w:r>
          </w:p>
        </w:tc>
        <w:tc>
          <w:tcPr>
            <w:tcW w:w="1985" w:type="dxa"/>
          </w:tcPr>
          <w:p w14:paraId="47A1FC9D" w14:textId="4EE334D4" w:rsidR="00391686" w:rsidRPr="009D6A26" w:rsidRDefault="00391686" w:rsidP="00391686">
            <w:pPr>
              <w:jc w:val="center"/>
            </w:pPr>
            <w:r w:rsidRPr="001C12A6">
              <w:t>1,160.562</w:t>
            </w:r>
          </w:p>
        </w:tc>
      </w:tr>
      <w:tr w:rsidR="00391686" w:rsidRPr="009D6A26" w14:paraId="1164A081" w14:textId="77777777" w:rsidTr="00105880">
        <w:tc>
          <w:tcPr>
            <w:tcW w:w="722" w:type="dxa"/>
          </w:tcPr>
          <w:p w14:paraId="36FFBDA0" w14:textId="77777777" w:rsidR="00391686" w:rsidRPr="009D6A26" w:rsidRDefault="00391686" w:rsidP="00391686">
            <w:pPr>
              <w:keepNext/>
              <w:spacing w:before="140" w:after="140"/>
            </w:pPr>
            <w:r w:rsidRPr="009D6A26">
              <w:t>gives</w:t>
            </w:r>
          </w:p>
        </w:tc>
        <w:tc>
          <w:tcPr>
            <w:tcW w:w="4489" w:type="dxa"/>
          </w:tcPr>
          <w:p w14:paraId="0C1A758D" w14:textId="77777777" w:rsidR="00391686" w:rsidRPr="009D6A26" w:rsidRDefault="00391686" w:rsidP="00391686">
            <w:pPr>
              <w:keepNext/>
              <w:spacing w:before="140" w:after="140"/>
            </w:pPr>
            <w:r w:rsidRPr="009D6A26">
              <w:t>Nominal Value of Debt considered to have repayment prospects</w:t>
            </w:r>
          </w:p>
        </w:tc>
        <w:tc>
          <w:tcPr>
            <w:tcW w:w="1843" w:type="dxa"/>
          </w:tcPr>
          <w:p w14:paraId="6E1C4E34" w14:textId="14B2D0D1" w:rsidR="00391686" w:rsidRPr="009D6A26" w:rsidRDefault="00391686" w:rsidP="00391686">
            <w:pPr>
              <w:jc w:val="center"/>
            </w:pPr>
            <w:r w:rsidRPr="001C12A6">
              <w:t>68,633.115</w:t>
            </w:r>
          </w:p>
        </w:tc>
        <w:tc>
          <w:tcPr>
            <w:tcW w:w="1985" w:type="dxa"/>
          </w:tcPr>
          <w:p w14:paraId="4EF112A2" w14:textId="7AB5B515" w:rsidR="00391686" w:rsidRPr="009D6A26" w:rsidRDefault="00391686" w:rsidP="00391686">
            <w:pPr>
              <w:jc w:val="center"/>
            </w:pPr>
            <w:r w:rsidRPr="001C12A6">
              <w:t>68,633.115</w:t>
            </w:r>
          </w:p>
        </w:tc>
      </w:tr>
      <w:tr w:rsidR="00391686" w:rsidRPr="009D6A26" w14:paraId="63E26B97" w14:textId="77777777" w:rsidTr="00105880">
        <w:tc>
          <w:tcPr>
            <w:tcW w:w="722" w:type="dxa"/>
          </w:tcPr>
          <w:p w14:paraId="5C6E2B8F" w14:textId="77777777" w:rsidR="00391686" w:rsidRPr="009D6A26" w:rsidRDefault="00391686" w:rsidP="00391686">
            <w:pPr>
              <w:keepNext/>
              <w:spacing w:before="140" w:after="140"/>
            </w:pPr>
            <w:r w:rsidRPr="009D6A26">
              <w:t>less</w:t>
            </w:r>
          </w:p>
        </w:tc>
        <w:tc>
          <w:tcPr>
            <w:tcW w:w="4489" w:type="dxa"/>
          </w:tcPr>
          <w:p w14:paraId="0989FDB8" w14:textId="77777777" w:rsidR="00391686" w:rsidRPr="009D6A26" w:rsidRDefault="00391686" w:rsidP="00391686">
            <w:pPr>
              <w:keepNext/>
              <w:spacing w:before="140" w:after="140"/>
            </w:pPr>
            <w:r w:rsidRPr="009D6A26">
              <w:t>Nominal Value of Debt Not Expected to be Repaid (DNER)</w:t>
            </w:r>
          </w:p>
        </w:tc>
        <w:tc>
          <w:tcPr>
            <w:tcW w:w="1843" w:type="dxa"/>
          </w:tcPr>
          <w:p w14:paraId="0DD73D7C" w14:textId="5D8FA53F" w:rsidR="00391686" w:rsidRPr="009D6A26" w:rsidRDefault="00391686" w:rsidP="00391686">
            <w:pPr>
              <w:jc w:val="center"/>
            </w:pPr>
            <w:r w:rsidRPr="001C12A6">
              <w:t>15,498.921</w:t>
            </w:r>
          </w:p>
        </w:tc>
        <w:tc>
          <w:tcPr>
            <w:tcW w:w="1985" w:type="dxa"/>
          </w:tcPr>
          <w:p w14:paraId="155E7605" w14:textId="63D646B1" w:rsidR="00391686" w:rsidRPr="009D6A26" w:rsidRDefault="00391686" w:rsidP="00391686">
            <w:pPr>
              <w:jc w:val="center"/>
            </w:pPr>
            <w:r w:rsidRPr="001C12A6">
              <w:t>15,498.921</w:t>
            </w:r>
          </w:p>
        </w:tc>
      </w:tr>
      <w:tr w:rsidR="00391686" w:rsidRPr="009D6A26" w14:paraId="1BEBEEC5" w14:textId="77777777" w:rsidTr="00105880">
        <w:tc>
          <w:tcPr>
            <w:tcW w:w="722" w:type="dxa"/>
          </w:tcPr>
          <w:p w14:paraId="00466E87" w14:textId="77777777" w:rsidR="00391686" w:rsidRPr="009D6A26" w:rsidRDefault="00391686" w:rsidP="00391686">
            <w:pPr>
              <w:spacing w:before="140" w:after="140"/>
            </w:pPr>
            <w:r w:rsidRPr="009D6A26">
              <w:t>gives</w:t>
            </w:r>
          </w:p>
        </w:tc>
        <w:tc>
          <w:tcPr>
            <w:tcW w:w="4489" w:type="dxa"/>
          </w:tcPr>
          <w:p w14:paraId="290AEF63" w14:textId="77777777" w:rsidR="00391686" w:rsidRPr="009D6A26" w:rsidRDefault="00391686" w:rsidP="00391686">
            <w:pPr>
              <w:spacing w:before="140" w:after="140"/>
            </w:pPr>
            <w:r w:rsidRPr="009D6A26">
              <w:t>Face Value of Repayments</w:t>
            </w:r>
          </w:p>
        </w:tc>
        <w:tc>
          <w:tcPr>
            <w:tcW w:w="1843" w:type="dxa"/>
          </w:tcPr>
          <w:p w14:paraId="238E613D" w14:textId="209C2077" w:rsidR="00391686" w:rsidRPr="009D6A26" w:rsidRDefault="00391686" w:rsidP="00391686">
            <w:pPr>
              <w:jc w:val="center"/>
            </w:pPr>
            <w:r w:rsidRPr="001C12A6">
              <w:t>53,134.193</w:t>
            </w:r>
          </w:p>
        </w:tc>
        <w:tc>
          <w:tcPr>
            <w:tcW w:w="1985" w:type="dxa"/>
          </w:tcPr>
          <w:p w14:paraId="283532D5" w14:textId="40252591" w:rsidR="00391686" w:rsidRPr="009D6A26" w:rsidRDefault="00391686" w:rsidP="00391686">
            <w:pPr>
              <w:jc w:val="center"/>
            </w:pPr>
            <w:r w:rsidRPr="001C12A6">
              <w:t>53,134.193</w:t>
            </w:r>
          </w:p>
        </w:tc>
      </w:tr>
      <w:tr w:rsidR="00391686" w:rsidRPr="009D6A26" w14:paraId="1825BA3B" w14:textId="77777777" w:rsidTr="00105880">
        <w:tc>
          <w:tcPr>
            <w:tcW w:w="722" w:type="dxa"/>
          </w:tcPr>
          <w:p w14:paraId="4533C9CB" w14:textId="77777777" w:rsidR="00391686" w:rsidRPr="009D6A26" w:rsidRDefault="00391686" w:rsidP="00391686">
            <w:pPr>
              <w:spacing w:before="140" w:after="140"/>
            </w:pPr>
            <w:r w:rsidRPr="009D6A26">
              <w:t>less</w:t>
            </w:r>
          </w:p>
        </w:tc>
        <w:tc>
          <w:tcPr>
            <w:tcW w:w="4489" w:type="dxa"/>
          </w:tcPr>
          <w:p w14:paraId="6ED13C7F" w14:textId="77777777" w:rsidR="00391686" w:rsidRPr="009D6A26" w:rsidRDefault="00391686" w:rsidP="00391686">
            <w:pPr>
              <w:spacing w:before="140" w:after="140"/>
            </w:pPr>
            <w:r w:rsidRPr="009D6A26">
              <w:t>Deferral Adjustment</w:t>
            </w:r>
          </w:p>
        </w:tc>
        <w:tc>
          <w:tcPr>
            <w:tcW w:w="1843" w:type="dxa"/>
          </w:tcPr>
          <w:p w14:paraId="6C0AC67A" w14:textId="7CA21071" w:rsidR="00391686" w:rsidRPr="009D6A26" w:rsidRDefault="00391686" w:rsidP="00391686">
            <w:pPr>
              <w:jc w:val="center"/>
            </w:pPr>
            <w:r w:rsidRPr="001C12A6">
              <w:t>10,932.735</w:t>
            </w:r>
          </w:p>
        </w:tc>
        <w:tc>
          <w:tcPr>
            <w:tcW w:w="1985" w:type="dxa"/>
          </w:tcPr>
          <w:p w14:paraId="746D1759" w14:textId="567C3E00" w:rsidR="00391686" w:rsidRPr="009D6A26" w:rsidRDefault="00391686" w:rsidP="00391686">
            <w:pPr>
              <w:jc w:val="center"/>
            </w:pPr>
            <w:r w:rsidRPr="001C12A6">
              <w:t>-4,050.224</w:t>
            </w:r>
          </w:p>
        </w:tc>
      </w:tr>
      <w:tr w:rsidR="00391686" w:rsidRPr="009D6A26" w14:paraId="0C43E94A" w14:textId="77777777" w:rsidTr="00105880">
        <w:tc>
          <w:tcPr>
            <w:tcW w:w="722" w:type="dxa"/>
          </w:tcPr>
          <w:p w14:paraId="7A661783" w14:textId="77777777" w:rsidR="00391686" w:rsidRPr="009D6A26" w:rsidRDefault="00391686" w:rsidP="00391686">
            <w:pPr>
              <w:spacing w:before="140" w:after="140"/>
            </w:pPr>
            <w:r w:rsidRPr="009D6A26">
              <w:t>gives</w:t>
            </w:r>
          </w:p>
        </w:tc>
        <w:tc>
          <w:tcPr>
            <w:tcW w:w="4489" w:type="dxa"/>
          </w:tcPr>
          <w:p w14:paraId="39A0F1A1" w14:textId="77777777" w:rsidR="00391686" w:rsidRPr="009D6A26" w:rsidRDefault="00391686" w:rsidP="00391686">
            <w:pPr>
              <w:spacing w:before="140" w:after="140"/>
            </w:pPr>
            <w:r w:rsidRPr="009D6A26">
              <w:t>Discounted Repayments (Fair Value of Outstanding Debt)</w:t>
            </w:r>
          </w:p>
        </w:tc>
        <w:tc>
          <w:tcPr>
            <w:tcW w:w="1843" w:type="dxa"/>
          </w:tcPr>
          <w:p w14:paraId="6E627CD6" w14:textId="3974D762" w:rsidR="00391686" w:rsidRPr="009D6A26" w:rsidRDefault="00391686" w:rsidP="00391686">
            <w:pPr>
              <w:jc w:val="center"/>
            </w:pPr>
            <w:r w:rsidRPr="001C12A6">
              <w:t>42,201.458</w:t>
            </w:r>
          </w:p>
        </w:tc>
        <w:tc>
          <w:tcPr>
            <w:tcW w:w="1985" w:type="dxa"/>
          </w:tcPr>
          <w:p w14:paraId="535C054B" w14:textId="51C1622C" w:rsidR="00391686" w:rsidRPr="009D6A26" w:rsidRDefault="00391686" w:rsidP="00391686">
            <w:pPr>
              <w:jc w:val="center"/>
            </w:pPr>
            <w:r w:rsidRPr="001C12A6">
              <w:t>57,184.417</w:t>
            </w:r>
          </w:p>
        </w:tc>
      </w:tr>
    </w:tbl>
    <w:p w14:paraId="24596399" w14:textId="676D1BC5" w:rsidR="00E76614" w:rsidRPr="009D6A26" w:rsidRDefault="00E76614" w:rsidP="00E76614">
      <w:pPr>
        <w:ind w:left="567" w:hanging="567"/>
        <w:rPr>
          <w:highlight w:val="yellow"/>
        </w:rPr>
      </w:pPr>
      <w:r w:rsidRPr="009D6A26">
        <w:rPr>
          <w:rFonts w:cs="Arial"/>
        </w:rPr>
        <w:t>¹</w:t>
      </w:r>
      <w:r w:rsidRPr="009D6A26">
        <w:tab/>
      </w:r>
      <w:r w:rsidRPr="009D6A26">
        <w:rPr>
          <w:sz w:val="16"/>
          <w:szCs w:val="16"/>
        </w:rPr>
        <w:t>Note that this value includes</w:t>
      </w:r>
      <w:r w:rsidR="00526C8E" w:rsidRPr="009D6A26">
        <w:rPr>
          <w:sz w:val="16"/>
          <w:szCs w:val="16"/>
        </w:rPr>
        <w:t xml:space="preserve"> debt of</w:t>
      </w:r>
      <w:r w:rsidRPr="009D6A26">
        <w:rPr>
          <w:sz w:val="16"/>
          <w:szCs w:val="16"/>
        </w:rPr>
        <w:t xml:space="preserve"> $</w:t>
      </w:r>
      <w:r w:rsidR="009227AB" w:rsidRPr="009D6A26">
        <w:rPr>
          <w:sz w:val="16"/>
          <w:szCs w:val="16"/>
        </w:rPr>
        <w:t>3,407</w:t>
      </w:r>
      <w:r w:rsidRPr="009D6A26">
        <w:rPr>
          <w:sz w:val="16"/>
          <w:szCs w:val="16"/>
        </w:rPr>
        <w:t xml:space="preserve">m advised by Education as relating to Semester 1 </w:t>
      </w:r>
      <w:r w:rsidR="007E3E32" w:rsidRPr="009D6A26">
        <w:rPr>
          <w:sz w:val="16"/>
          <w:szCs w:val="16"/>
        </w:rPr>
        <w:t>2020</w:t>
      </w:r>
      <w:r w:rsidRPr="009D6A26">
        <w:rPr>
          <w:sz w:val="16"/>
          <w:szCs w:val="16"/>
        </w:rPr>
        <w:t xml:space="preserve">, but not included in the ATO June </w:t>
      </w:r>
      <w:r w:rsidR="007E3E32" w:rsidRPr="009D6A26">
        <w:rPr>
          <w:sz w:val="16"/>
          <w:szCs w:val="16"/>
        </w:rPr>
        <w:t>2020</w:t>
      </w:r>
      <w:r w:rsidRPr="009D6A26">
        <w:rPr>
          <w:sz w:val="16"/>
          <w:szCs w:val="16"/>
        </w:rPr>
        <w:t xml:space="preserve"> HELP Certificate.</w:t>
      </w:r>
      <w:r w:rsidR="000C277E" w:rsidRPr="009D6A26">
        <w:rPr>
          <w:sz w:val="16"/>
          <w:szCs w:val="16"/>
        </w:rPr>
        <w:t xml:space="preserve"> This value also ex</w:t>
      </w:r>
      <w:r w:rsidR="00936FA0" w:rsidRPr="009D6A26">
        <w:rPr>
          <w:sz w:val="16"/>
          <w:szCs w:val="16"/>
        </w:rPr>
        <w:t>cludes an estimated amount of $</w:t>
      </w:r>
      <w:r w:rsidR="009227AB" w:rsidRPr="009D6A26">
        <w:rPr>
          <w:sz w:val="16"/>
          <w:szCs w:val="16"/>
        </w:rPr>
        <w:t>1</w:t>
      </w:r>
      <w:r w:rsidR="009D6A26" w:rsidRPr="009D6A26">
        <w:rPr>
          <w:sz w:val="16"/>
          <w:szCs w:val="16"/>
        </w:rPr>
        <w:t>,</w:t>
      </w:r>
      <w:r w:rsidR="00391686">
        <w:rPr>
          <w:sz w:val="16"/>
          <w:szCs w:val="16"/>
        </w:rPr>
        <w:t>491</w:t>
      </w:r>
      <w:r w:rsidR="00936FA0" w:rsidRPr="009D6A26">
        <w:rPr>
          <w:sz w:val="16"/>
          <w:szCs w:val="16"/>
        </w:rPr>
        <w:t xml:space="preserve">m of VET re-credits that we believe were processed at 31 July </w:t>
      </w:r>
      <w:r w:rsidR="007E3E32" w:rsidRPr="009D6A26">
        <w:rPr>
          <w:sz w:val="16"/>
          <w:szCs w:val="16"/>
        </w:rPr>
        <w:t>2020</w:t>
      </w:r>
      <w:r w:rsidR="00936FA0" w:rsidRPr="009D6A26">
        <w:rPr>
          <w:sz w:val="16"/>
          <w:szCs w:val="16"/>
        </w:rPr>
        <w:t xml:space="preserve"> when the certificate was produced.</w:t>
      </w:r>
    </w:p>
    <w:p w14:paraId="144EA267" w14:textId="77777777" w:rsidR="00BA4FC4" w:rsidRPr="009D6A26" w:rsidRDefault="00DA3764" w:rsidP="00DA3764">
      <w:pPr>
        <w:pStyle w:val="BodyText"/>
        <w:spacing w:before="360"/>
        <w:ind w:left="851" w:hanging="851"/>
      </w:pPr>
      <w:r w:rsidRPr="009D6A26">
        <w:t>These figures can then be adjusted to meet ANAO requirements by taking account of PAYG receipts as shown in Table 2.  Note that the amount shown as the compulsory repayments is the value included in the AGA fair value estimate; that is, they are discounted by half a year.</w:t>
      </w:r>
    </w:p>
    <w:p w14:paraId="27B8F747" w14:textId="77777777" w:rsidR="00E340CD" w:rsidRPr="009D6A26" w:rsidRDefault="00E340CD" w:rsidP="00E340CD">
      <w:pPr>
        <w:pStyle w:val="BodyText"/>
        <w:numPr>
          <w:ilvl w:val="0"/>
          <w:numId w:val="0"/>
        </w:numPr>
        <w:spacing w:before="360"/>
        <w:ind w:left="851"/>
      </w:pPr>
    </w:p>
    <w:p w14:paraId="7DF3188F" w14:textId="2719E08C" w:rsidR="00DA3764" w:rsidRPr="009D6A26" w:rsidRDefault="00DA3764" w:rsidP="00DA3764">
      <w:pPr>
        <w:pStyle w:val="Caption"/>
        <w:rPr>
          <w:b/>
        </w:rPr>
      </w:pPr>
      <w:r w:rsidRPr="009D6A26">
        <w:t xml:space="preserve">Table </w:t>
      </w:r>
      <w:r w:rsidR="00C80517">
        <w:fldChar w:fldCharType="begin"/>
      </w:r>
      <w:r w:rsidR="00C80517">
        <w:instrText xml:space="preserve"> SEQ Table \* ARABIC </w:instrText>
      </w:r>
      <w:r w:rsidR="00C80517">
        <w:fldChar w:fldCharType="separate"/>
      </w:r>
      <w:r w:rsidR="000106DA">
        <w:rPr>
          <w:noProof/>
        </w:rPr>
        <w:t>2</w:t>
      </w:r>
      <w:r w:rsidR="00C80517">
        <w:rPr>
          <w:noProof/>
        </w:rPr>
        <w:fldChar w:fldCharType="end"/>
      </w:r>
      <w:r w:rsidRPr="009D6A26">
        <w:t xml:space="preserve">:  Derivation of the ANAO value of the receivable at 30 June </w:t>
      </w:r>
      <w:r w:rsidR="007E3E32" w:rsidRPr="009D6A26">
        <w:t>2020</w:t>
      </w:r>
    </w:p>
    <w:tbl>
      <w:tblPr>
        <w:tblW w:w="9039" w:type="dxa"/>
        <w:tblBorders>
          <w:top w:val="single" w:sz="4" w:space="0" w:color="auto"/>
          <w:bottom w:val="single" w:sz="4" w:space="0" w:color="auto"/>
        </w:tblBorders>
        <w:tblLayout w:type="fixed"/>
        <w:tblLook w:val="0000" w:firstRow="0" w:lastRow="0" w:firstColumn="0" w:lastColumn="0" w:noHBand="0" w:noVBand="0"/>
      </w:tblPr>
      <w:tblGrid>
        <w:gridCol w:w="828"/>
        <w:gridCol w:w="4383"/>
        <w:gridCol w:w="1843"/>
        <w:gridCol w:w="1985"/>
      </w:tblGrid>
      <w:tr w:rsidR="00A70050" w:rsidRPr="009D6A26" w14:paraId="1F218953" w14:textId="77777777" w:rsidTr="00105880">
        <w:trPr>
          <w:trHeight w:val="743"/>
        </w:trPr>
        <w:tc>
          <w:tcPr>
            <w:tcW w:w="828" w:type="dxa"/>
            <w:tcBorders>
              <w:top w:val="single" w:sz="4" w:space="0" w:color="auto"/>
              <w:bottom w:val="single" w:sz="4" w:space="0" w:color="auto"/>
            </w:tcBorders>
          </w:tcPr>
          <w:p w14:paraId="720227DF" w14:textId="77777777" w:rsidR="00DA3764" w:rsidRPr="009D6A26" w:rsidRDefault="00DA3764" w:rsidP="008B71B1">
            <w:pPr>
              <w:spacing w:before="100" w:after="100"/>
              <w:rPr>
                <w:highlight w:val="yellow"/>
              </w:rPr>
            </w:pPr>
          </w:p>
        </w:tc>
        <w:tc>
          <w:tcPr>
            <w:tcW w:w="4383" w:type="dxa"/>
            <w:tcBorders>
              <w:top w:val="single" w:sz="4" w:space="0" w:color="auto"/>
              <w:bottom w:val="single" w:sz="4" w:space="0" w:color="auto"/>
            </w:tcBorders>
          </w:tcPr>
          <w:p w14:paraId="57C09504" w14:textId="77777777" w:rsidR="00DA3764" w:rsidRPr="009D6A26" w:rsidRDefault="00DA3764" w:rsidP="008B71B1">
            <w:pPr>
              <w:spacing w:before="100" w:after="100"/>
            </w:pPr>
          </w:p>
        </w:tc>
        <w:tc>
          <w:tcPr>
            <w:tcW w:w="1843" w:type="dxa"/>
            <w:tcBorders>
              <w:top w:val="single" w:sz="4" w:space="0" w:color="auto"/>
              <w:bottom w:val="single" w:sz="4" w:space="0" w:color="auto"/>
            </w:tcBorders>
          </w:tcPr>
          <w:p w14:paraId="12218FCD" w14:textId="77777777" w:rsidR="00DA3764" w:rsidRPr="009D6A26" w:rsidRDefault="00C00088" w:rsidP="008B71B1">
            <w:pPr>
              <w:spacing w:before="100" w:after="100"/>
              <w:jc w:val="center"/>
            </w:pPr>
            <w:r w:rsidRPr="009D6A26">
              <w:t>5</w:t>
            </w:r>
            <w:r w:rsidR="00DA3764" w:rsidRPr="009D6A26">
              <w:t xml:space="preserve">% Discount Rate </w:t>
            </w:r>
            <w:r w:rsidR="00DA3764" w:rsidRPr="009D6A26">
              <w:br/>
              <w:t>$m</w:t>
            </w:r>
          </w:p>
        </w:tc>
        <w:tc>
          <w:tcPr>
            <w:tcW w:w="1985" w:type="dxa"/>
            <w:tcBorders>
              <w:top w:val="single" w:sz="4" w:space="0" w:color="auto"/>
              <w:bottom w:val="single" w:sz="4" w:space="0" w:color="auto"/>
            </w:tcBorders>
          </w:tcPr>
          <w:p w14:paraId="2C965AAE" w14:textId="328BCCE6" w:rsidR="00DA3764" w:rsidRPr="009D6A26" w:rsidRDefault="007E3E32" w:rsidP="008B71B1">
            <w:pPr>
              <w:spacing w:before="100" w:after="100"/>
              <w:jc w:val="center"/>
            </w:pPr>
            <w:r w:rsidRPr="009D6A26">
              <w:t>2020</w:t>
            </w:r>
            <w:r w:rsidR="009718C9" w:rsidRPr="009D6A26">
              <w:t xml:space="preserve"> </w:t>
            </w:r>
            <w:r w:rsidR="00DA3764" w:rsidRPr="009D6A26">
              <w:t>Yield Curve</w:t>
            </w:r>
            <w:r w:rsidR="00DA3764" w:rsidRPr="009D6A26">
              <w:br/>
              <w:t>$m</w:t>
            </w:r>
          </w:p>
        </w:tc>
      </w:tr>
      <w:tr w:rsidR="00391686" w:rsidRPr="009D6A26" w14:paraId="4447F52C" w14:textId="77777777" w:rsidTr="00BD3A5B">
        <w:tc>
          <w:tcPr>
            <w:tcW w:w="828" w:type="dxa"/>
            <w:tcBorders>
              <w:top w:val="single" w:sz="4" w:space="0" w:color="auto"/>
            </w:tcBorders>
          </w:tcPr>
          <w:p w14:paraId="649DECE6" w14:textId="77777777" w:rsidR="00391686" w:rsidRPr="009D6A26" w:rsidRDefault="00391686" w:rsidP="00391686">
            <w:pPr>
              <w:spacing w:before="100" w:after="100"/>
            </w:pPr>
          </w:p>
        </w:tc>
        <w:tc>
          <w:tcPr>
            <w:tcW w:w="4383" w:type="dxa"/>
            <w:tcBorders>
              <w:top w:val="single" w:sz="4" w:space="0" w:color="auto"/>
            </w:tcBorders>
          </w:tcPr>
          <w:p w14:paraId="199612CB" w14:textId="77777777" w:rsidR="00391686" w:rsidRPr="009D6A26" w:rsidRDefault="00391686" w:rsidP="00391686">
            <w:pPr>
              <w:spacing w:before="100" w:after="100"/>
            </w:pPr>
            <w:r w:rsidRPr="009D6A26">
              <w:t>Discounted Repayments from AGA model</w:t>
            </w:r>
          </w:p>
        </w:tc>
        <w:tc>
          <w:tcPr>
            <w:tcW w:w="1843" w:type="dxa"/>
            <w:tcBorders>
              <w:top w:val="single" w:sz="4" w:space="0" w:color="auto"/>
            </w:tcBorders>
          </w:tcPr>
          <w:p w14:paraId="2D5BA40E" w14:textId="4A3AE0BA" w:rsidR="00391686" w:rsidRPr="009D6A26" w:rsidRDefault="00391686" w:rsidP="00391686">
            <w:pPr>
              <w:spacing w:before="100" w:after="100"/>
              <w:jc w:val="center"/>
            </w:pPr>
            <w:r w:rsidRPr="00763833">
              <w:t>42,201.458</w:t>
            </w:r>
          </w:p>
        </w:tc>
        <w:tc>
          <w:tcPr>
            <w:tcW w:w="1985" w:type="dxa"/>
            <w:tcBorders>
              <w:top w:val="single" w:sz="4" w:space="0" w:color="auto"/>
            </w:tcBorders>
          </w:tcPr>
          <w:p w14:paraId="2FB16A4E" w14:textId="65EEAC2F" w:rsidR="00391686" w:rsidRPr="009D6A26" w:rsidRDefault="00391686" w:rsidP="00391686">
            <w:pPr>
              <w:spacing w:before="100" w:after="100"/>
              <w:jc w:val="center"/>
            </w:pPr>
            <w:r w:rsidRPr="00763833">
              <w:t>57,184.417</w:t>
            </w:r>
          </w:p>
        </w:tc>
      </w:tr>
      <w:tr w:rsidR="00391686" w:rsidRPr="009D6A26" w14:paraId="5DF40A63" w14:textId="77777777" w:rsidTr="00BD3A5B">
        <w:tc>
          <w:tcPr>
            <w:tcW w:w="828" w:type="dxa"/>
          </w:tcPr>
          <w:p w14:paraId="179573BA" w14:textId="77777777" w:rsidR="00391686" w:rsidRPr="009D6A26" w:rsidRDefault="00391686" w:rsidP="00391686">
            <w:pPr>
              <w:spacing w:before="100" w:after="100"/>
            </w:pPr>
            <w:r w:rsidRPr="009D6A26">
              <w:t>less</w:t>
            </w:r>
          </w:p>
        </w:tc>
        <w:tc>
          <w:tcPr>
            <w:tcW w:w="4383" w:type="dxa"/>
          </w:tcPr>
          <w:p w14:paraId="5B8558C5" w14:textId="178FABA9" w:rsidR="00391686" w:rsidRPr="009D6A26" w:rsidRDefault="00391686" w:rsidP="00391686">
            <w:pPr>
              <w:spacing w:before="100" w:after="100"/>
            </w:pPr>
            <w:r w:rsidRPr="009D6A26">
              <w:t xml:space="preserve">Discounted value of compulsory repayments in 2020-21 (assumed to be received in 2019-20) </w:t>
            </w:r>
          </w:p>
        </w:tc>
        <w:tc>
          <w:tcPr>
            <w:tcW w:w="1843" w:type="dxa"/>
          </w:tcPr>
          <w:p w14:paraId="25AB723B" w14:textId="77B99622" w:rsidR="00391686" w:rsidRPr="009D6A26" w:rsidRDefault="00391686" w:rsidP="00391686">
            <w:pPr>
              <w:spacing w:before="100" w:after="100"/>
              <w:jc w:val="center"/>
            </w:pPr>
            <w:r w:rsidRPr="00763833">
              <w:t>3,705.999</w:t>
            </w:r>
          </w:p>
        </w:tc>
        <w:tc>
          <w:tcPr>
            <w:tcW w:w="1985" w:type="dxa"/>
          </w:tcPr>
          <w:p w14:paraId="3D4A1428" w14:textId="0C3E53FE" w:rsidR="00391686" w:rsidRPr="009D6A26" w:rsidRDefault="00391686" w:rsidP="00391686">
            <w:pPr>
              <w:spacing w:before="100" w:after="100"/>
              <w:jc w:val="center"/>
            </w:pPr>
            <w:r w:rsidRPr="00763833">
              <w:t>3,767.281</w:t>
            </w:r>
          </w:p>
        </w:tc>
      </w:tr>
      <w:tr w:rsidR="00391686" w:rsidRPr="009D6A26" w14:paraId="132C8D2C" w14:textId="77777777" w:rsidTr="00BD3A5B">
        <w:tc>
          <w:tcPr>
            <w:tcW w:w="828" w:type="dxa"/>
          </w:tcPr>
          <w:p w14:paraId="763F5938" w14:textId="77777777" w:rsidR="00391686" w:rsidRPr="009D6A26" w:rsidRDefault="00391686" w:rsidP="00391686">
            <w:pPr>
              <w:spacing w:before="100" w:after="100"/>
            </w:pPr>
            <w:r w:rsidRPr="009D6A26">
              <w:t>plus</w:t>
            </w:r>
          </w:p>
        </w:tc>
        <w:tc>
          <w:tcPr>
            <w:tcW w:w="4383" w:type="dxa"/>
          </w:tcPr>
          <w:p w14:paraId="774EB0B4" w14:textId="77777777" w:rsidR="00391686" w:rsidRPr="009D6A26" w:rsidRDefault="00391686" w:rsidP="00391686">
            <w:pPr>
              <w:spacing w:before="100" w:after="100"/>
            </w:pPr>
            <w:r w:rsidRPr="009D6A26">
              <w:t>Allowance for all other compulsory repayments being received one year earlier</w:t>
            </w:r>
          </w:p>
        </w:tc>
        <w:tc>
          <w:tcPr>
            <w:tcW w:w="1843" w:type="dxa"/>
          </w:tcPr>
          <w:p w14:paraId="20DDD0DE" w14:textId="1349B359" w:rsidR="00391686" w:rsidRPr="009D6A26" w:rsidRDefault="00391686" w:rsidP="00391686">
            <w:pPr>
              <w:spacing w:before="100" w:after="100"/>
              <w:jc w:val="center"/>
            </w:pPr>
            <w:r w:rsidRPr="00763833">
              <w:t>1,643.651</w:t>
            </w:r>
          </w:p>
        </w:tc>
        <w:tc>
          <w:tcPr>
            <w:tcW w:w="1985" w:type="dxa"/>
          </w:tcPr>
          <w:p w14:paraId="78A2A8A4" w14:textId="6BA28AE1" w:rsidR="00391686" w:rsidRPr="009D6A26" w:rsidRDefault="00391686" w:rsidP="00391686">
            <w:pPr>
              <w:spacing w:before="100" w:after="100"/>
              <w:jc w:val="center"/>
            </w:pPr>
            <w:r w:rsidRPr="00763833">
              <w:t>440.966</w:t>
            </w:r>
          </w:p>
        </w:tc>
      </w:tr>
      <w:tr w:rsidR="00391686" w:rsidRPr="009D6A26" w14:paraId="641CF646" w14:textId="77777777" w:rsidTr="00BD3A5B">
        <w:tc>
          <w:tcPr>
            <w:tcW w:w="828" w:type="dxa"/>
          </w:tcPr>
          <w:p w14:paraId="2F30928C" w14:textId="77777777" w:rsidR="00391686" w:rsidRPr="009D6A26" w:rsidRDefault="00391686" w:rsidP="00391686">
            <w:pPr>
              <w:spacing w:before="100" w:after="100"/>
            </w:pPr>
            <w:r w:rsidRPr="009D6A26">
              <w:t>gives</w:t>
            </w:r>
          </w:p>
        </w:tc>
        <w:tc>
          <w:tcPr>
            <w:tcW w:w="4383" w:type="dxa"/>
          </w:tcPr>
          <w:p w14:paraId="7572DC39" w14:textId="77777777" w:rsidR="00391686" w:rsidRPr="009D6A26" w:rsidRDefault="00391686" w:rsidP="00391686">
            <w:pPr>
              <w:spacing w:before="100" w:after="100"/>
            </w:pPr>
            <w:r w:rsidRPr="009D6A26">
              <w:t>Discounted Repayments (ANAO methodology)</w:t>
            </w:r>
          </w:p>
        </w:tc>
        <w:tc>
          <w:tcPr>
            <w:tcW w:w="1843" w:type="dxa"/>
          </w:tcPr>
          <w:p w14:paraId="52776EF7" w14:textId="5EE89181" w:rsidR="00391686" w:rsidRPr="009D6A26" w:rsidRDefault="00391686" w:rsidP="00391686">
            <w:pPr>
              <w:spacing w:before="100" w:after="100"/>
              <w:jc w:val="center"/>
            </w:pPr>
            <w:r w:rsidRPr="00763833">
              <w:t>40,139.111</w:t>
            </w:r>
          </w:p>
        </w:tc>
        <w:tc>
          <w:tcPr>
            <w:tcW w:w="1985" w:type="dxa"/>
          </w:tcPr>
          <w:p w14:paraId="4AE8E819" w14:textId="282A4253" w:rsidR="00391686" w:rsidRPr="009D6A26" w:rsidRDefault="00391686" w:rsidP="00391686">
            <w:pPr>
              <w:spacing w:before="100" w:after="100"/>
              <w:jc w:val="center"/>
            </w:pPr>
            <w:r w:rsidRPr="00763833">
              <w:t>53,858.103</w:t>
            </w:r>
          </w:p>
        </w:tc>
      </w:tr>
    </w:tbl>
    <w:p w14:paraId="4620CA8C" w14:textId="1624DA62" w:rsidR="00DA3764" w:rsidRPr="009D6A26" w:rsidRDefault="00DA3764" w:rsidP="00DA3764">
      <w:pPr>
        <w:pStyle w:val="BodyText"/>
        <w:spacing w:before="360"/>
        <w:ind w:left="851" w:hanging="851"/>
      </w:pPr>
      <w:r w:rsidRPr="009D6A26">
        <w:fldChar w:fldCharType="begin"/>
      </w:r>
      <w:r w:rsidRPr="009D6A26">
        <w:instrText xml:space="preserve"> REF _Ref426111736 \h  \* MERGEFORMAT </w:instrText>
      </w:r>
      <w:r w:rsidRPr="009D6A26">
        <w:fldChar w:fldCharType="separate"/>
      </w:r>
      <w:r w:rsidR="000106DA" w:rsidRPr="009D6A26">
        <w:t xml:space="preserve">Table </w:t>
      </w:r>
      <w:r w:rsidR="000106DA">
        <w:t>3</w:t>
      </w:r>
      <w:r w:rsidRPr="009D6A26">
        <w:fldChar w:fldCharType="end"/>
      </w:r>
      <w:r w:rsidRPr="009D6A26">
        <w:t xml:space="preserve"> reconciles the outcomes under the two discount rate assumptions with the values we estimated in </w:t>
      </w:r>
      <w:r w:rsidR="007E3E32" w:rsidRPr="009D6A26">
        <w:t>2020</w:t>
      </w:r>
      <w:r w:rsidRPr="009D6A26">
        <w:t xml:space="preserve">.  </w:t>
      </w:r>
    </w:p>
    <w:p w14:paraId="73074502" w14:textId="13A0479D" w:rsidR="00DA3764" w:rsidRPr="009D6A26" w:rsidRDefault="00DA3764" w:rsidP="00DA3764">
      <w:pPr>
        <w:pStyle w:val="Caption"/>
        <w:rPr>
          <w:b/>
        </w:rPr>
      </w:pPr>
      <w:bookmarkStart w:id="7" w:name="_Ref426111736"/>
      <w:r w:rsidRPr="009D6A26">
        <w:t xml:space="preserve">Table </w:t>
      </w:r>
      <w:r w:rsidR="00C80517">
        <w:fldChar w:fldCharType="begin"/>
      </w:r>
      <w:r w:rsidR="00C80517">
        <w:instrText xml:space="preserve"> SEQ Table \* ARABIC </w:instrText>
      </w:r>
      <w:r w:rsidR="00C80517">
        <w:fldChar w:fldCharType="separate"/>
      </w:r>
      <w:r w:rsidR="000106DA">
        <w:rPr>
          <w:noProof/>
        </w:rPr>
        <w:t>3</w:t>
      </w:r>
      <w:r w:rsidR="00C80517">
        <w:rPr>
          <w:noProof/>
        </w:rPr>
        <w:fldChar w:fldCharType="end"/>
      </w:r>
      <w:bookmarkEnd w:id="7"/>
      <w:r w:rsidRPr="009D6A26">
        <w:t xml:space="preserve">:  Reconciliation of fair value estimates at 30 June </w:t>
      </w:r>
      <w:r w:rsidR="007E3E32" w:rsidRPr="009D6A26">
        <w:t>2020</w:t>
      </w:r>
    </w:p>
    <w:tbl>
      <w:tblPr>
        <w:tblW w:w="9039" w:type="dxa"/>
        <w:tblBorders>
          <w:top w:val="single" w:sz="4" w:space="0" w:color="auto"/>
          <w:bottom w:val="single" w:sz="4" w:space="0" w:color="auto"/>
        </w:tblBorders>
        <w:tblLayout w:type="fixed"/>
        <w:tblLook w:val="0000" w:firstRow="0" w:lastRow="0" w:firstColumn="0" w:lastColumn="0" w:noHBand="0" w:noVBand="0"/>
      </w:tblPr>
      <w:tblGrid>
        <w:gridCol w:w="748"/>
        <w:gridCol w:w="80"/>
        <w:gridCol w:w="4383"/>
        <w:gridCol w:w="1843"/>
        <w:gridCol w:w="1985"/>
      </w:tblGrid>
      <w:tr w:rsidR="00A70050" w:rsidRPr="009D6A26" w14:paraId="3DBDB1F2" w14:textId="77777777" w:rsidTr="00EA7E1D">
        <w:tc>
          <w:tcPr>
            <w:tcW w:w="828" w:type="dxa"/>
            <w:gridSpan w:val="2"/>
            <w:tcBorders>
              <w:top w:val="single" w:sz="4" w:space="0" w:color="auto"/>
              <w:bottom w:val="single" w:sz="4" w:space="0" w:color="auto"/>
            </w:tcBorders>
            <w:shd w:val="clear" w:color="auto" w:fill="auto"/>
          </w:tcPr>
          <w:p w14:paraId="78EF49FF" w14:textId="77777777" w:rsidR="00DA3764" w:rsidRPr="009D6A26" w:rsidRDefault="00DA3764" w:rsidP="00105880">
            <w:pPr>
              <w:spacing w:before="140" w:after="140"/>
            </w:pPr>
          </w:p>
        </w:tc>
        <w:tc>
          <w:tcPr>
            <w:tcW w:w="4383" w:type="dxa"/>
            <w:tcBorders>
              <w:top w:val="single" w:sz="4" w:space="0" w:color="auto"/>
              <w:bottom w:val="single" w:sz="4" w:space="0" w:color="auto"/>
            </w:tcBorders>
            <w:shd w:val="clear" w:color="auto" w:fill="auto"/>
          </w:tcPr>
          <w:p w14:paraId="0EF6A79D" w14:textId="77777777" w:rsidR="00DA3764" w:rsidRPr="009D6A26" w:rsidRDefault="00DA3764" w:rsidP="008B71B1">
            <w:pPr>
              <w:spacing w:before="120" w:after="120"/>
            </w:pPr>
          </w:p>
        </w:tc>
        <w:tc>
          <w:tcPr>
            <w:tcW w:w="1843" w:type="dxa"/>
            <w:tcBorders>
              <w:top w:val="single" w:sz="4" w:space="0" w:color="auto"/>
              <w:bottom w:val="single" w:sz="4" w:space="0" w:color="auto"/>
            </w:tcBorders>
            <w:shd w:val="clear" w:color="auto" w:fill="auto"/>
          </w:tcPr>
          <w:p w14:paraId="2788DBC6" w14:textId="77777777" w:rsidR="00DA3764" w:rsidRPr="009D6A26" w:rsidRDefault="00C00088" w:rsidP="008B71B1">
            <w:pPr>
              <w:spacing w:before="120" w:after="120"/>
              <w:jc w:val="center"/>
            </w:pPr>
            <w:r w:rsidRPr="009D6A26">
              <w:t>5</w:t>
            </w:r>
            <w:r w:rsidR="00DA3764" w:rsidRPr="009D6A26">
              <w:t xml:space="preserve">% Discount Rate </w:t>
            </w:r>
            <w:r w:rsidR="00DA3764" w:rsidRPr="009D6A26">
              <w:br/>
              <w:t>$m</w:t>
            </w:r>
          </w:p>
        </w:tc>
        <w:tc>
          <w:tcPr>
            <w:tcW w:w="1985" w:type="dxa"/>
            <w:tcBorders>
              <w:top w:val="single" w:sz="4" w:space="0" w:color="auto"/>
              <w:bottom w:val="single" w:sz="4" w:space="0" w:color="auto"/>
            </w:tcBorders>
            <w:shd w:val="clear" w:color="auto" w:fill="auto"/>
          </w:tcPr>
          <w:p w14:paraId="4863F513" w14:textId="407AECC3" w:rsidR="00DA3764" w:rsidRPr="009D6A26" w:rsidRDefault="007E3E32" w:rsidP="008B71B1">
            <w:pPr>
              <w:spacing w:before="120" w:after="120"/>
              <w:jc w:val="center"/>
            </w:pPr>
            <w:r w:rsidRPr="009D6A26">
              <w:t>2020</w:t>
            </w:r>
            <w:r w:rsidR="009718C9" w:rsidRPr="009D6A26">
              <w:t xml:space="preserve"> </w:t>
            </w:r>
            <w:r w:rsidR="00DA3764" w:rsidRPr="009D6A26">
              <w:t>Yield Curve</w:t>
            </w:r>
            <w:r w:rsidR="009718C9" w:rsidRPr="009D6A26">
              <w:br/>
            </w:r>
            <w:r w:rsidR="00DA3764" w:rsidRPr="009D6A26">
              <w:t>$m</w:t>
            </w:r>
          </w:p>
        </w:tc>
      </w:tr>
      <w:tr w:rsidR="009D6A26" w:rsidRPr="009D6A26" w14:paraId="75889E38" w14:textId="77777777" w:rsidTr="004876EA">
        <w:tc>
          <w:tcPr>
            <w:tcW w:w="748" w:type="dxa"/>
            <w:tcBorders>
              <w:top w:val="single" w:sz="4" w:space="0" w:color="auto"/>
            </w:tcBorders>
            <w:shd w:val="clear" w:color="auto" w:fill="auto"/>
          </w:tcPr>
          <w:p w14:paraId="316054CD" w14:textId="77777777" w:rsidR="009D6A26" w:rsidRPr="009D6A26" w:rsidRDefault="009D6A26" w:rsidP="009D6A26">
            <w:pPr>
              <w:spacing w:before="140" w:after="140"/>
            </w:pPr>
          </w:p>
        </w:tc>
        <w:tc>
          <w:tcPr>
            <w:tcW w:w="4463" w:type="dxa"/>
            <w:gridSpan w:val="2"/>
            <w:tcBorders>
              <w:top w:val="single" w:sz="4" w:space="0" w:color="auto"/>
            </w:tcBorders>
            <w:shd w:val="clear" w:color="auto" w:fill="auto"/>
          </w:tcPr>
          <w:p w14:paraId="57A205AD" w14:textId="0D18EEA5" w:rsidR="009D6A26" w:rsidRPr="009D6A26" w:rsidRDefault="009D6A26" w:rsidP="009D6A26">
            <w:pPr>
              <w:spacing w:before="120" w:after="120"/>
              <w:jc w:val="left"/>
            </w:pPr>
            <w:r w:rsidRPr="009D6A26">
              <w:t>2020 Estimate of Fair Value of Debt</w:t>
            </w:r>
            <w:r w:rsidRPr="009D6A26">
              <w:br/>
              <w:t>(based on 2019 model)</w:t>
            </w:r>
          </w:p>
        </w:tc>
        <w:tc>
          <w:tcPr>
            <w:tcW w:w="1843" w:type="dxa"/>
            <w:tcBorders>
              <w:top w:val="single" w:sz="4" w:space="0" w:color="auto"/>
            </w:tcBorders>
            <w:shd w:val="clear" w:color="auto" w:fill="auto"/>
          </w:tcPr>
          <w:p w14:paraId="7DC0A971" w14:textId="78977652" w:rsidR="009D6A26" w:rsidRPr="009D6A26" w:rsidRDefault="009D6A26" w:rsidP="009D6A26">
            <w:pPr>
              <w:spacing w:before="120" w:after="120"/>
              <w:jc w:val="center"/>
            </w:pPr>
            <w:r w:rsidRPr="009D6A26">
              <w:t>36,617.314</w:t>
            </w:r>
          </w:p>
        </w:tc>
        <w:tc>
          <w:tcPr>
            <w:tcW w:w="1985" w:type="dxa"/>
            <w:tcBorders>
              <w:top w:val="single" w:sz="4" w:space="0" w:color="auto"/>
            </w:tcBorders>
            <w:shd w:val="clear" w:color="auto" w:fill="auto"/>
          </w:tcPr>
          <w:p w14:paraId="63314DF5" w14:textId="3EAC93BF" w:rsidR="009D6A26" w:rsidRPr="009D6A26" w:rsidRDefault="009D6A26" w:rsidP="009D6A26">
            <w:pPr>
              <w:spacing w:before="120" w:after="120"/>
              <w:jc w:val="center"/>
            </w:pPr>
            <w:r w:rsidRPr="009D6A26">
              <w:t>50,633.551</w:t>
            </w:r>
          </w:p>
        </w:tc>
      </w:tr>
      <w:tr w:rsidR="00A70050" w:rsidRPr="009D6A26" w14:paraId="26ADD717" w14:textId="77777777" w:rsidTr="00EA7E1D">
        <w:tc>
          <w:tcPr>
            <w:tcW w:w="748" w:type="dxa"/>
            <w:shd w:val="clear" w:color="auto" w:fill="auto"/>
          </w:tcPr>
          <w:p w14:paraId="52B46830" w14:textId="77777777" w:rsidR="00911CF0" w:rsidRPr="009D6A26" w:rsidRDefault="00911CF0" w:rsidP="00105880">
            <w:pPr>
              <w:spacing w:before="140" w:after="140"/>
            </w:pPr>
            <w:r w:rsidRPr="009D6A26">
              <w:t>plus</w:t>
            </w:r>
          </w:p>
        </w:tc>
        <w:tc>
          <w:tcPr>
            <w:tcW w:w="8291" w:type="dxa"/>
            <w:gridSpan w:val="4"/>
            <w:shd w:val="clear" w:color="auto" w:fill="auto"/>
          </w:tcPr>
          <w:p w14:paraId="6E0DE8EE" w14:textId="77777777" w:rsidR="00911CF0" w:rsidRPr="009D6A26" w:rsidRDefault="00911CF0" w:rsidP="008B71B1">
            <w:pPr>
              <w:tabs>
                <w:tab w:val="decimal" w:pos="1062"/>
              </w:tabs>
              <w:spacing w:before="120" w:after="120"/>
              <w:rPr>
                <w:i/>
              </w:rPr>
            </w:pPr>
            <w:r w:rsidRPr="009D6A26">
              <w:rPr>
                <w:i/>
              </w:rPr>
              <w:t>Adjustment for differences between actual and expected outcomes</w:t>
            </w:r>
          </w:p>
        </w:tc>
      </w:tr>
      <w:tr w:rsidR="009D6A26" w:rsidRPr="009D6A26" w14:paraId="5456D1D6" w14:textId="77777777" w:rsidTr="00EA7E1D">
        <w:tc>
          <w:tcPr>
            <w:tcW w:w="748" w:type="dxa"/>
            <w:shd w:val="clear" w:color="auto" w:fill="auto"/>
          </w:tcPr>
          <w:p w14:paraId="76216518" w14:textId="77777777" w:rsidR="009D6A26" w:rsidRPr="009D6A26" w:rsidRDefault="009D6A26" w:rsidP="009D6A26">
            <w:pPr>
              <w:spacing w:before="140" w:after="140"/>
            </w:pPr>
          </w:p>
        </w:tc>
        <w:tc>
          <w:tcPr>
            <w:tcW w:w="4463" w:type="dxa"/>
            <w:gridSpan w:val="2"/>
            <w:shd w:val="clear" w:color="auto" w:fill="auto"/>
          </w:tcPr>
          <w:p w14:paraId="7A303E74" w14:textId="16A98FC4" w:rsidR="009D6A26" w:rsidRPr="009D6A26" w:rsidRDefault="009D6A26" w:rsidP="009D6A26">
            <w:pPr>
              <w:spacing w:before="120" w:after="120"/>
            </w:pPr>
            <w:r w:rsidRPr="009D6A26">
              <w:t>Higher than anticipated new debt in semester 1, 2020</w:t>
            </w:r>
            <w:r w:rsidRPr="009D6A26">
              <w:rPr>
                <w:rFonts w:cs="Arial"/>
              </w:rPr>
              <w:t>¹</w:t>
            </w:r>
          </w:p>
        </w:tc>
        <w:tc>
          <w:tcPr>
            <w:tcW w:w="1843" w:type="dxa"/>
            <w:shd w:val="clear" w:color="auto" w:fill="auto"/>
          </w:tcPr>
          <w:p w14:paraId="27D8E858" w14:textId="1039D939" w:rsidR="009D6A26" w:rsidRPr="009D6A26" w:rsidRDefault="009D6A26" w:rsidP="009D6A26">
            <w:pPr>
              <w:spacing w:before="120" w:after="120"/>
              <w:jc w:val="center"/>
            </w:pPr>
            <w:r w:rsidRPr="009D6A26">
              <w:t>160.128</w:t>
            </w:r>
          </w:p>
        </w:tc>
        <w:tc>
          <w:tcPr>
            <w:tcW w:w="1985" w:type="dxa"/>
            <w:shd w:val="clear" w:color="auto" w:fill="auto"/>
          </w:tcPr>
          <w:p w14:paraId="475649B7" w14:textId="73B3B754" w:rsidR="009D6A26" w:rsidRPr="009D6A26" w:rsidRDefault="009D6A26" w:rsidP="009D6A26">
            <w:pPr>
              <w:spacing w:before="120" w:after="120"/>
              <w:jc w:val="center"/>
            </w:pPr>
            <w:r w:rsidRPr="009D6A26">
              <w:t>229.613</w:t>
            </w:r>
          </w:p>
        </w:tc>
      </w:tr>
      <w:tr w:rsidR="009D6A26" w:rsidRPr="009D6A26" w14:paraId="4D8324C7" w14:textId="77777777" w:rsidTr="00EA7E1D">
        <w:tc>
          <w:tcPr>
            <w:tcW w:w="748" w:type="dxa"/>
            <w:shd w:val="clear" w:color="auto" w:fill="auto"/>
          </w:tcPr>
          <w:p w14:paraId="21BCEF36" w14:textId="77777777" w:rsidR="009D6A26" w:rsidRPr="009D6A26" w:rsidRDefault="009D6A26" w:rsidP="009D6A26">
            <w:pPr>
              <w:spacing w:before="140" w:after="140"/>
            </w:pPr>
          </w:p>
        </w:tc>
        <w:tc>
          <w:tcPr>
            <w:tcW w:w="4463" w:type="dxa"/>
            <w:gridSpan w:val="2"/>
            <w:shd w:val="clear" w:color="auto" w:fill="auto"/>
          </w:tcPr>
          <w:p w14:paraId="6831B6BE" w14:textId="120AEAAD" w:rsidR="009D6A26" w:rsidRPr="009D6A26" w:rsidRDefault="009D6A26" w:rsidP="009D6A26">
            <w:pPr>
              <w:spacing w:before="120" w:after="120"/>
              <w:jc w:val="left"/>
            </w:pPr>
            <w:r w:rsidRPr="009D6A26">
              <w:t>Higher than expected compulsory repayments relative to model estimate of 2019-20 PAYG receipts (including interest)</w:t>
            </w:r>
          </w:p>
        </w:tc>
        <w:tc>
          <w:tcPr>
            <w:tcW w:w="1843" w:type="dxa"/>
            <w:shd w:val="clear" w:color="auto" w:fill="auto"/>
          </w:tcPr>
          <w:p w14:paraId="563C85D7" w14:textId="4D10670F" w:rsidR="009D6A26" w:rsidRPr="009D6A26" w:rsidRDefault="009D6A26" w:rsidP="009D6A26">
            <w:pPr>
              <w:spacing w:before="120" w:after="120"/>
              <w:jc w:val="center"/>
            </w:pPr>
            <w:r w:rsidRPr="009D6A26">
              <w:t>-355.992</w:t>
            </w:r>
          </w:p>
        </w:tc>
        <w:tc>
          <w:tcPr>
            <w:tcW w:w="1985" w:type="dxa"/>
            <w:shd w:val="clear" w:color="auto" w:fill="auto"/>
          </w:tcPr>
          <w:p w14:paraId="6AE77BBE" w14:textId="2438BC6D" w:rsidR="009D6A26" w:rsidRPr="009D6A26" w:rsidRDefault="009D6A26" w:rsidP="009D6A26">
            <w:pPr>
              <w:spacing w:before="120" w:after="120"/>
              <w:jc w:val="center"/>
            </w:pPr>
            <w:r w:rsidRPr="009D6A26">
              <w:t>-350.201</w:t>
            </w:r>
          </w:p>
        </w:tc>
      </w:tr>
      <w:tr w:rsidR="009D6A26" w:rsidRPr="009D6A26" w14:paraId="06FF9C60" w14:textId="77777777" w:rsidTr="00EA7E1D">
        <w:tc>
          <w:tcPr>
            <w:tcW w:w="748" w:type="dxa"/>
            <w:shd w:val="clear" w:color="auto" w:fill="auto"/>
          </w:tcPr>
          <w:p w14:paraId="3B26D0C4" w14:textId="77777777" w:rsidR="009D6A26" w:rsidRPr="009D6A26" w:rsidRDefault="009D6A26" w:rsidP="009D6A26">
            <w:pPr>
              <w:spacing w:before="140" w:after="140"/>
            </w:pPr>
            <w:r w:rsidRPr="009D6A26">
              <w:t>gives</w:t>
            </w:r>
          </w:p>
        </w:tc>
        <w:tc>
          <w:tcPr>
            <w:tcW w:w="4463" w:type="dxa"/>
            <w:gridSpan w:val="2"/>
            <w:shd w:val="clear" w:color="auto" w:fill="auto"/>
          </w:tcPr>
          <w:p w14:paraId="5B23CD50" w14:textId="048E0C4F" w:rsidR="009D6A26" w:rsidRPr="009D6A26" w:rsidRDefault="009D6A26" w:rsidP="009D6A26">
            <w:pPr>
              <w:spacing w:before="120" w:after="120"/>
              <w:jc w:val="left"/>
            </w:pPr>
            <w:r w:rsidRPr="009D6A26">
              <w:t xml:space="preserve">Revised Estimate of Fair Value of Debt </w:t>
            </w:r>
            <w:r w:rsidRPr="009D6A26">
              <w:br/>
              <w:t>(based on 2019 model)</w:t>
            </w:r>
          </w:p>
        </w:tc>
        <w:tc>
          <w:tcPr>
            <w:tcW w:w="1843" w:type="dxa"/>
            <w:shd w:val="clear" w:color="auto" w:fill="auto"/>
          </w:tcPr>
          <w:p w14:paraId="0788554D" w14:textId="6059F13F" w:rsidR="009D6A26" w:rsidRPr="009D6A26" w:rsidRDefault="009D6A26" w:rsidP="009D6A26">
            <w:pPr>
              <w:spacing w:before="120" w:after="120"/>
              <w:jc w:val="center"/>
            </w:pPr>
            <w:r w:rsidRPr="009D6A26">
              <w:t>36,421.450</w:t>
            </w:r>
          </w:p>
        </w:tc>
        <w:tc>
          <w:tcPr>
            <w:tcW w:w="1985" w:type="dxa"/>
            <w:shd w:val="clear" w:color="auto" w:fill="auto"/>
          </w:tcPr>
          <w:p w14:paraId="143D1948" w14:textId="20E5086C" w:rsidR="009D6A26" w:rsidRPr="009D6A26" w:rsidRDefault="009D6A26" w:rsidP="009D6A26">
            <w:pPr>
              <w:spacing w:before="120" w:after="120"/>
              <w:jc w:val="center"/>
            </w:pPr>
            <w:r w:rsidRPr="009D6A26">
              <w:t>50,512.962</w:t>
            </w:r>
          </w:p>
        </w:tc>
      </w:tr>
      <w:tr w:rsidR="00391686" w:rsidRPr="009D6A26" w14:paraId="17AFA6D2" w14:textId="77777777" w:rsidTr="00B1623D">
        <w:tc>
          <w:tcPr>
            <w:tcW w:w="748" w:type="dxa"/>
            <w:shd w:val="clear" w:color="auto" w:fill="auto"/>
          </w:tcPr>
          <w:p w14:paraId="171ED1B7" w14:textId="77777777" w:rsidR="00391686" w:rsidRPr="009D6A26" w:rsidRDefault="00391686" w:rsidP="00391686">
            <w:pPr>
              <w:spacing w:before="140" w:after="140"/>
            </w:pPr>
            <w:r w:rsidRPr="009D6A26">
              <w:t>plus</w:t>
            </w:r>
          </w:p>
        </w:tc>
        <w:tc>
          <w:tcPr>
            <w:tcW w:w="4463" w:type="dxa"/>
            <w:gridSpan w:val="2"/>
            <w:shd w:val="clear" w:color="auto" w:fill="auto"/>
          </w:tcPr>
          <w:p w14:paraId="14600DDC" w14:textId="65C693BD" w:rsidR="00391686" w:rsidRPr="009D6A26" w:rsidRDefault="00391686" w:rsidP="00391686">
            <w:pPr>
              <w:spacing w:before="120" w:after="120"/>
              <w:rPr>
                <w:i/>
              </w:rPr>
            </w:pPr>
            <w:r w:rsidRPr="009D6A26">
              <w:rPr>
                <w:i/>
              </w:rPr>
              <w:t>Impact of using 2020 model</w:t>
            </w:r>
          </w:p>
        </w:tc>
        <w:tc>
          <w:tcPr>
            <w:tcW w:w="1843" w:type="dxa"/>
            <w:shd w:val="clear" w:color="auto" w:fill="auto"/>
          </w:tcPr>
          <w:p w14:paraId="44006320" w14:textId="6C7DF34E" w:rsidR="00391686" w:rsidRPr="009D6A26" w:rsidRDefault="00391686" w:rsidP="00391686">
            <w:pPr>
              <w:spacing w:before="120" w:after="120"/>
              <w:jc w:val="center"/>
            </w:pPr>
            <w:r w:rsidRPr="00C97055">
              <w:t>3,717.660</w:t>
            </w:r>
          </w:p>
        </w:tc>
        <w:tc>
          <w:tcPr>
            <w:tcW w:w="1985" w:type="dxa"/>
            <w:shd w:val="clear" w:color="auto" w:fill="auto"/>
          </w:tcPr>
          <w:p w14:paraId="5DE790EC" w14:textId="148FE5F3" w:rsidR="00391686" w:rsidRPr="009D6A26" w:rsidRDefault="00391686" w:rsidP="00391686">
            <w:pPr>
              <w:spacing w:before="120" w:after="120"/>
              <w:jc w:val="center"/>
            </w:pPr>
            <w:r w:rsidRPr="00C97055">
              <w:t>3,345.140</w:t>
            </w:r>
          </w:p>
        </w:tc>
      </w:tr>
      <w:tr w:rsidR="00391686" w:rsidRPr="009D6A26" w14:paraId="19E96815" w14:textId="77777777" w:rsidTr="00EA7E1D">
        <w:tc>
          <w:tcPr>
            <w:tcW w:w="748" w:type="dxa"/>
            <w:shd w:val="clear" w:color="auto" w:fill="auto"/>
          </w:tcPr>
          <w:p w14:paraId="489F8E25" w14:textId="77777777" w:rsidR="00391686" w:rsidRPr="009D6A26" w:rsidRDefault="00391686" w:rsidP="00391686">
            <w:pPr>
              <w:spacing w:before="140" w:after="140"/>
            </w:pPr>
            <w:r w:rsidRPr="009D6A26">
              <w:t>gives</w:t>
            </w:r>
          </w:p>
        </w:tc>
        <w:tc>
          <w:tcPr>
            <w:tcW w:w="4463" w:type="dxa"/>
            <w:gridSpan w:val="2"/>
            <w:shd w:val="clear" w:color="auto" w:fill="auto"/>
          </w:tcPr>
          <w:p w14:paraId="2C1D02B3" w14:textId="49AB1488" w:rsidR="00391686" w:rsidRPr="009D6A26" w:rsidRDefault="00391686" w:rsidP="00391686">
            <w:pPr>
              <w:spacing w:before="120" w:after="120"/>
              <w:jc w:val="left"/>
            </w:pPr>
            <w:r w:rsidRPr="009D6A26">
              <w:t xml:space="preserve">Estimate of Fair Value of Debt </w:t>
            </w:r>
            <w:r w:rsidRPr="009D6A26">
              <w:br/>
              <w:t>(based on 2020 model)</w:t>
            </w:r>
          </w:p>
        </w:tc>
        <w:tc>
          <w:tcPr>
            <w:tcW w:w="1843" w:type="dxa"/>
            <w:shd w:val="clear" w:color="auto" w:fill="auto"/>
          </w:tcPr>
          <w:p w14:paraId="6FFD5E06" w14:textId="1CB7E048" w:rsidR="00391686" w:rsidRPr="009D6A26" w:rsidRDefault="00391686" w:rsidP="00391686">
            <w:pPr>
              <w:spacing w:before="120" w:after="120"/>
              <w:jc w:val="center"/>
              <w:rPr>
                <w:b/>
                <w:bCs/>
              </w:rPr>
            </w:pPr>
            <w:r w:rsidRPr="004371FC">
              <w:t>40,139.111</w:t>
            </w:r>
          </w:p>
        </w:tc>
        <w:tc>
          <w:tcPr>
            <w:tcW w:w="1985" w:type="dxa"/>
            <w:shd w:val="clear" w:color="auto" w:fill="auto"/>
          </w:tcPr>
          <w:p w14:paraId="660CF394" w14:textId="5BD22355" w:rsidR="00391686" w:rsidRPr="009D6A26" w:rsidRDefault="00391686" w:rsidP="00391686">
            <w:pPr>
              <w:spacing w:before="120" w:after="120"/>
              <w:jc w:val="center"/>
              <w:rPr>
                <w:b/>
                <w:bCs/>
              </w:rPr>
            </w:pPr>
            <w:r w:rsidRPr="004371FC">
              <w:t>53,858.103</w:t>
            </w:r>
          </w:p>
        </w:tc>
      </w:tr>
    </w:tbl>
    <w:p w14:paraId="2A4AB603" w14:textId="77777777" w:rsidR="00DA3764" w:rsidRPr="009D6A26" w:rsidRDefault="00DA3764" w:rsidP="00DA3764">
      <w:pPr>
        <w:ind w:left="567" w:hanging="567"/>
        <w:rPr>
          <w:sz w:val="16"/>
          <w:szCs w:val="16"/>
          <w:highlight w:val="yellow"/>
        </w:rPr>
      </w:pPr>
      <w:r w:rsidRPr="009D6A26">
        <w:rPr>
          <w:rFonts w:cs="Arial"/>
        </w:rPr>
        <w:t>¹</w:t>
      </w:r>
      <w:r w:rsidRPr="009D6A26">
        <w:tab/>
      </w:r>
      <w:r w:rsidRPr="009D6A26">
        <w:rPr>
          <w:sz w:val="16"/>
          <w:szCs w:val="16"/>
        </w:rPr>
        <w:t xml:space="preserve">Note that this is the value of the </w:t>
      </w:r>
      <w:r w:rsidR="006929A7" w:rsidRPr="009D6A26">
        <w:rPr>
          <w:sz w:val="16"/>
          <w:szCs w:val="16"/>
        </w:rPr>
        <w:t>reduction</w:t>
      </w:r>
      <w:r w:rsidRPr="009D6A26">
        <w:rPr>
          <w:sz w:val="16"/>
          <w:szCs w:val="16"/>
        </w:rPr>
        <w:t xml:space="preserve"> </w:t>
      </w:r>
      <w:r w:rsidR="004D25A7" w:rsidRPr="009D6A26">
        <w:rPr>
          <w:sz w:val="16"/>
          <w:szCs w:val="16"/>
        </w:rPr>
        <w:t xml:space="preserve">in </w:t>
      </w:r>
      <w:r w:rsidRPr="009D6A26">
        <w:rPr>
          <w:sz w:val="16"/>
          <w:szCs w:val="16"/>
        </w:rPr>
        <w:t>new debt after applying the impairment ratio which adjusts for DNER and the deferral adjustment.</w:t>
      </w:r>
    </w:p>
    <w:p w14:paraId="67C90438" w14:textId="77C35BB6" w:rsidR="00A944E1" w:rsidRPr="00F84AC1" w:rsidRDefault="00856E21" w:rsidP="00DA3764">
      <w:pPr>
        <w:pStyle w:val="BodyText"/>
        <w:spacing w:before="360"/>
        <w:ind w:left="851" w:hanging="851"/>
      </w:pPr>
      <w:r w:rsidRPr="00F84AC1">
        <w:lastRenderedPageBreak/>
        <w:t xml:space="preserve">The impact of updating the model </w:t>
      </w:r>
      <w:r w:rsidR="00235567" w:rsidRPr="00F84AC1">
        <w:t xml:space="preserve">to </w:t>
      </w:r>
      <w:r w:rsidR="007E3E32" w:rsidRPr="00F84AC1">
        <w:t>2020</w:t>
      </w:r>
      <w:r w:rsidR="00235567" w:rsidRPr="00F84AC1">
        <w:t xml:space="preserve"> is to </w:t>
      </w:r>
      <w:r w:rsidR="00EF3430" w:rsidRPr="00F84AC1">
        <w:t>inc</w:t>
      </w:r>
      <w:r w:rsidR="00DF0F8F" w:rsidRPr="00F84AC1">
        <w:t>rease</w:t>
      </w:r>
      <w:r w:rsidR="00DA3764" w:rsidRPr="00F84AC1">
        <w:t xml:space="preserve"> the receivable </w:t>
      </w:r>
      <w:r w:rsidR="00235567" w:rsidRPr="00F84AC1">
        <w:t>by</w:t>
      </w:r>
      <w:r w:rsidR="00DA3764" w:rsidRPr="00F84AC1">
        <w:t xml:space="preserve"> </w:t>
      </w:r>
      <w:r w:rsidR="0027345C" w:rsidRPr="00F84AC1">
        <w:t>around $</w:t>
      </w:r>
      <w:r w:rsidR="00EF3430" w:rsidRPr="00F84AC1">
        <w:t>3.</w:t>
      </w:r>
      <w:r w:rsidR="00391686">
        <w:t>5</w:t>
      </w:r>
      <w:r w:rsidR="0027345C" w:rsidRPr="00F84AC1">
        <w:t xml:space="preserve"> </w:t>
      </w:r>
      <w:r w:rsidR="0078142E" w:rsidRPr="00F84AC1">
        <w:t>b</w:t>
      </w:r>
      <w:r w:rsidR="0027345C" w:rsidRPr="00F84AC1">
        <w:t>illion</w:t>
      </w:r>
      <w:r w:rsidR="009803DC" w:rsidRPr="00F84AC1">
        <w:t xml:space="preserve"> </w:t>
      </w:r>
      <w:r w:rsidR="00DA3764" w:rsidRPr="00F84AC1">
        <w:t xml:space="preserve">when the receivable is calculated using a </w:t>
      </w:r>
      <w:r w:rsidR="0078142E" w:rsidRPr="00F84AC1">
        <w:t>5</w:t>
      </w:r>
      <w:r w:rsidR="00DA3764" w:rsidRPr="00F84AC1">
        <w:t xml:space="preserve">% p.a. discount rate and </w:t>
      </w:r>
      <w:r w:rsidR="0027345C" w:rsidRPr="00F84AC1">
        <w:t>a</w:t>
      </w:r>
      <w:r w:rsidR="00EF3430" w:rsidRPr="00F84AC1">
        <w:t>n increase</w:t>
      </w:r>
      <w:r w:rsidR="0027345C" w:rsidRPr="00F84AC1">
        <w:t xml:space="preserve"> of around $</w:t>
      </w:r>
      <w:r w:rsidR="00EF3430" w:rsidRPr="00F84AC1">
        <w:t>3.</w:t>
      </w:r>
      <w:r w:rsidR="00391686">
        <w:t>2</w:t>
      </w:r>
      <w:r w:rsidR="0027345C" w:rsidRPr="00F84AC1">
        <w:t xml:space="preserve"> </w:t>
      </w:r>
      <w:r w:rsidR="0078142E" w:rsidRPr="00F84AC1">
        <w:t>b</w:t>
      </w:r>
      <w:r w:rsidR="0027345C" w:rsidRPr="00F84AC1">
        <w:t>illion</w:t>
      </w:r>
      <w:r w:rsidR="0080756D" w:rsidRPr="00F84AC1">
        <w:t xml:space="preserve"> </w:t>
      </w:r>
      <w:r w:rsidR="00DA3764" w:rsidRPr="00F84AC1">
        <w:t xml:space="preserve">when the </w:t>
      </w:r>
      <w:r w:rsidR="007E3E32" w:rsidRPr="00F84AC1">
        <w:t>2020</w:t>
      </w:r>
      <w:r w:rsidR="00BB7246" w:rsidRPr="00F84AC1">
        <w:t xml:space="preserve"> </w:t>
      </w:r>
      <w:r w:rsidR="00DA3764" w:rsidRPr="00F84AC1">
        <w:t xml:space="preserve">yield curve is used for discounting. </w:t>
      </w:r>
      <w:r w:rsidR="00EF3430" w:rsidRPr="00F84AC1">
        <w:t xml:space="preserve">Most of this increase </w:t>
      </w:r>
      <w:r w:rsidR="00A944E1" w:rsidRPr="00F84AC1">
        <w:t xml:space="preserve">($2.1 billion using 5% discount rate) </w:t>
      </w:r>
      <w:r w:rsidR="00EF3430" w:rsidRPr="00F84AC1">
        <w:t xml:space="preserve">relates to the updated economic forecasts </w:t>
      </w:r>
      <w:r w:rsidR="00A944E1" w:rsidRPr="00F84AC1">
        <w:t>relative to the more conservative assumptions adopted following the July 2020 Economic and Fiscal Update</w:t>
      </w:r>
      <w:r w:rsidR="0080520C" w:rsidRPr="00F84AC1">
        <w:t xml:space="preserve">. </w:t>
      </w:r>
      <w:r w:rsidR="00DA3764" w:rsidRPr="00F84AC1">
        <w:t xml:space="preserve"> </w:t>
      </w:r>
    </w:p>
    <w:p w14:paraId="0F355667" w14:textId="4BF3EC9C" w:rsidR="0078142E" w:rsidRPr="00F84AC1" w:rsidRDefault="00235567" w:rsidP="00DA3764">
      <w:pPr>
        <w:pStyle w:val="BodyText"/>
        <w:spacing w:before="360"/>
        <w:ind w:left="851" w:hanging="851"/>
      </w:pPr>
      <w:r w:rsidRPr="00F84AC1">
        <w:t xml:space="preserve">In terms of the updating of the model, there have been </w:t>
      </w:r>
      <w:r w:rsidR="0078142E" w:rsidRPr="00F84AC1">
        <w:t xml:space="preserve">significant changes </w:t>
      </w:r>
      <w:r w:rsidRPr="00F84AC1">
        <w:t xml:space="preserve">which </w:t>
      </w:r>
      <w:r w:rsidR="0078142E" w:rsidRPr="00F84AC1">
        <w:t>reflect a combination of the following positive influences:</w:t>
      </w:r>
    </w:p>
    <w:p w14:paraId="62D3A07F" w14:textId="7FA43F5C" w:rsidR="00CB5398" w:rsidRPr="00F84AC1" w:rsidRDefault="007534D0" w:rsidP="007534D0">
      <w:pPr>
        <w:pStyle w:val="Bullet"/>
      </w:pPr>
      <w:r w:rsidRPr="00F84AC1">
        <w:t>h</w:t>
      </w:r>
      <w:r w:rsidR="0078142E" w:rsidRPr="00F84AC1">
        <w:t xml:space="preserve">igher observed voluntary repayments, </w:t>
      </w:r>
    </w:p>
    <w:p w14:paraId="1CEBE1B4" w14:textId="2B341D64" w:rsidR="0078142E" w:rsidRPr="00F84AC1" w:rsidRDefault="00CB5398" w:rsidP="007534D0">
      <w:pPr>
        <w:pStyle w:val="Bullet"/>
      </w:pPr>
      <w:r w:rsidRPr="00F84AC1">
        <w:t xml:space="preserve">inclusion of current year incomes in the modelling process, </w:t>
      </w:r>
      <w:r w:rsidR="0078142E" w:rsidRPr="00F84AC1">
        <w:t>and</w:t>
      </w:r>
    </w:p>
    <w:p w14:paraId="203E6AB1" w14:textId="4D6E393F" w:rsidR="0078142E" w:rsidRPr="00F84AC1" w:rsidRDefault="007534D0" w:rsidP="007534D0">
      <w:pPr>
        <w:pStyle w:val="Bullet"/>
      </w:pPr>
      <w:r w:rsidRPr="00F84AC1">
        <w:t>a</w:t>
      </w:r>
      <w:r w:rsidR="0078142E" w:rsidRPr="00F84AC1">
        <w:t xml:space="preserve"> general underestimation of incomes predicted by the 201</w:t>
      </w:r>
      <w:r w:rsidR="00A944E1" w:rsidRPr="00F84AC1">
        <w:t>9</w:t>
      </w:r>
      <w:r w:rsidR="0078142E" w:rsidRPr="00F84AC1">
        <w:t xml:space="preserve"> model, with updated income data resulting in higher repayment expectations in the </w:t>
      </w:r>
      <w:r w:rsidR="007E3E32" w:rsidRPr="00F84AC1">
        <w:t>2020</w:t>
      </w:r>
      <w:r w:rsidR="0078142E" w:rsidRPr="00F84AC1">
        <w:t xml:space="preserve"> model</w:t>
      </w:r>
      <w:r w:rsidR="00A944E1" w:rsidRPr="00F84AC1">
        <w:t>.</w:t>
      </w:r>
    </w:p>
    <w:p w14:paraId="538A5000" w14:textId="5F4E6F15" w:rsidR="00DA3764" w:rsidRPr="00F84AC1" w:rsidRDefault="00DA3764" w:rsidP="00DA3764">
      <w:pPr>
        <w:pStyle w:val="BodyText"/>
        <w:spacing w:before="360"/>
        <w:ind w:left="851" w:hanging="851"/>
      </w:pPr>
      <w:r w:rsidRPr="00F84AC1">
        <w:fldChar w:fldCharType="begin"/>
      </w:r>
      <w:r w:rsidRPr="00F84AC1">
        <w:instrText xml:space="preserve"> REF _Ref426113242 \h  \* MERGEFORMAT </w:instrText>
      </w:r>
      <w:r w:rsidRPr="00F84AC1">
        <w:fldChar w:fldCharType="separate"/>
      </w:r>
      <w:r w:rsidR="000106DA" w:rsidRPr="00F84AC1">
        <w:t xml:space="preserve">Figure </w:t>
      </w:r>
      <w:r w:rsidR="000106DA">
        <w:t>2</w:t>
      </w:r>
      <w:r w:rsidRPr="00F84AC1">
        <w:fldChar w:fldCharType="end"/>
      </w:r>
      <w:r w:rsidRPr="00F84AC1">
        <w:t xml:space="preserve"> compares the repayments projected from the 201</w:t>
      </w:r>
      <w:r w:rsidR="00A944E1" w:rsidRPr="00F84AC1">
        <w:t>9</w:t>
      </w:r>
      <w:r w:rsidRPr="00F84AC1">
        <w:t xml:space="preserve"> and </w:t>
      </w:r>
      <w:r w:rsidR="007E3E32" w:rsidRPr="00F84AC1">
        <w:t>2020</w:t>
      </w:r>
      <w:r w:rsidRPr="00F84AC1">
        <w:t xml:space="preserve"> model</w:t>
      </w:r>
      <w:r w:rsidR="0022216B" w:rsidRPr="00F84AC1">
        <w:t>s</w:t>
      </w:r>
      <w:r w:rsidR="00F93208" w:rsidRPr="00F84AC1">
        <w:t xml:space="preserve"> against the outstanding debt as at 30 June </w:t>
      </w:r>
      <w:r w:rsidR="007E3E32" w:rsidRPr="00F84AC1">
        <w:t>2020</w:t>
      </w:r>
      <w:r w:rsidRPr="00F84AC1">
        <w:t>.  Note that the cashflows in this chart are shown in nominal dollars (that is, they are undiscounted) and, for the 201</w:t>
      </w:r>
      <w:r w:rsidR="00A944E1" w:rsidRPr="00F84AC1">
        <w:t>9</w:t>
      </w:r>
      <w:r w:rsidRPr="00F84AC1">
        <w:t xml:space="preserve"> model, take account of the new debt incurred in 201</w:t>
      </w:r>
      <w:r w:rsidR="00A944E1" w:rsidRPr="00F84AC1">
        <w:t>9</w:t>
      </w:r>
      <w:r w:rsidRPr="00F84AC1">
        <w:t>-</w:t>
      </w:r>
      <w:r w:rsidR="00A944E1" w:rsidRPr="00F84AC1">
        <w:t>20</w:t>
      </w:r>
      <w:r w:rsidRPr="00F84AC1">
        <w:t xml:space="preserve">.  The impact of the </w:t>
      </w:r>
      <w:r w:rsidR="00F84AC1" w:rsidRPr="00F84AC1">
        <w:t xml:space="preserve">more optimistic </w:t>
      </w:r>
      <w:r w:rsidR="00CB5398" w:rsidRPr="00F84AC1">
        <w:t>economic assumptions</w:t>
      </w:r>
      <w:r w:rsidR="00F84AC1" w:rsidRPr="00F84AC1">
        <w:t xml:space="preserve"> and the better than expected income data are</w:t>
      </w:r>
      <w:r w:rsidR="007534D0" w:rsidRPr="00F84AC1">
        <w:t xml:space="preserve"> the dominant cause</w:t>
      </w:r>
      <w:r w:rsidR="00F84AC1" w:rsidRPr="00F84AC1">
        <w:t>s</w:t>
      </w:r>
      <w:r w:rsidR="007534D0" w:rsidRPr="00F84AC1">
        <w:t xml:space="preserve"> of </w:t>
      </w:r>
      <w:r w:rsidRPr="00F84AC1">
        <w:t xml:space="preserve">the </w:t>
      </w:r>
      <w:r w:rsidR="00F84AC1" w:rsidRPr="00F84AC1">
        <w:t>increase</w:t>
      </w:r>
      <w:r w:rsidR="007534D0" w:rsidRPr="00F84AC1">
        <w:t xml:space="preserve"> </w:t>
      </w:r>
      <w:r w:rsidRPr="00F84AC1">
        <w:t xml:space="preserve">in repayments shown for the </w:t>
      </w:r>
      <w:r w:rsidR="004D25A7" w:rsidRPr="00F84AC1">
        <w:t>two models.</w:t>
      </w:r>
    </w:p>
    <w:p w14:paraId="7C2BDF7F" w14:textId="4D78B553" w:rsidR="00DA3764" w:rsidRPr="00F84AC1" w:rsidRDefault="00DA3764" w:rsidP="00DA3764">
      <w:pPr>
        <w:pStyle w:val="Caption"/>
        <w:rPr>
          <w:b/>
        </w:rPr>
      </w:pPr>
      <w:bookmarkStart w:id="8" w:name="_Ref426113242"/>
      <w:r w:rsidRPr="00F84AC1">
        <w:t xml:space="preserve">Figure </w:t>
      </w:r>
      <w:r w:rsidR="00C80517">
        <w:fldChar w:fldCharType="begin"/>
      </w:r>
      <w:r w:rsidR="00C80517">
        <w:instrText xml:space="preserve"> SEQ Figure \* ARABIC </w:instrText>
      </w:r>
      <w:r w:rsidR="00C80517">
        <w:fldChar w:fldCharType="separate"/>
      </w:r>
      <w:r w:rsidR="000106DA">
        <w:rPr>
          <w:noProof/>
        </w:rPr>
        <w:t>2</w:t>
      </w:r>
      <w:r w:rsidR="00C80517">
        <w:rPr>
          <w:noProof/>
        </w:rPr>
        <w:fldChar w:fldCharType="end"/>
      </w:r>
      <w:bookmarkEnd w:id="8"/>
      <w:r w:rsidRPr="00F84AC1">
        <w:t>:  Projected repayments under 201</w:t>
      </w:r>
      <w:r w:rsidR="00A944E1" w:rsidRPr="00F84AC1">
        <w:t>9</w:t>
      </w:r>
      <w:r w:rsidRPr="00F84AC1">
        <w:t xml:space="preserve"> and </w:t>
      </w:r>
      <w:r w:rsidR="007E3E32" w:rsidRPr="00F84AC1">
        <w:t>2020</w:t>
      </w:r>
      <w:r w:rsidRPr="00F84AC1">
        <w:t xml:space="preserve"> models</w:t>
      </w:r>
      <w:r w:rsidR="00951DB8" w:rsidRPr="00F84AC1">
        <w:t xml:space="preserve"> </w:t>
      </w:r>
    </w:p>
    <w:p w14:paraId="3A2A00A0" w14:textId="281A6049" w:rsidR="00DA3764" w:rsidRPr="00F84AC1" w:rsidRDefault="00A944E1" w:rsidP="001F6A67">
      <w:pPr>
        <w:ind w:firstLine="709"/>
      </w:pPr>
      <w:r w:rsidRPr="00F84AC1">
        <w:rPr>
          <w:noProof/>
        </w:rPr>
        <w:drawing>
          <wp:inline distT="0" distB="0" distL="0" distR="0" wp14:anchorId="16EC98FA" wp14:editId="27D69F47">
            <wp:extent cx="4391025" cy="2715260"/>
            <wp:effectExtent l="0" t="0" r="952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6765" cy="2718809"/>
                    </a:xfrm>
                    <a:prstGeom prst="rect">
                      <a:avLst/>
                    </a:prstGeom>
                  </pic:spPr>
                </pic:pic>
              </a:graphicData>
            </a:graphic>
          </wp:inline>
        </w:drawing>
      </w:r>
    </w:p>
    <w:p w14:paraId="7866CCC5" w14:textId="41EAB960" w:rsidR="00DA3764" w:rsidRPr="00F84AC1" w:rsidRDefault="009718C9" w:rsidP="00DA3764">
      <w:pPr>
        <w:pStyle w:val="BodyText"/>
        <w:spacing w:before="360"/>
        <w:ind w:left="851" w:hanging="851"/>
      </w:pPr>
      <w:r w:rsidRPr="00F84AC1">
        <w:t xml:space="preserve">The fair value of the HELP receivable is the sum of these repayments after discounting to get a present value.  Overall, the move to the </w:t>
      </w:r>
      <w:r w:rsidR="007E3E32" w:rsidRPr="00F84AC1">
        <w:t>2020</w:t>
      </w:r>
      <w:r w:rsidRPr="00F84AC1">
        <w:t xml:space="preserve"> model</w:t>
      </w:r>
      <w:r w:rsidR="009803DC" w:rsidRPr="00F84AC1">
        <w:t xml:space="preserve"> </w:t>
      </w:r>
      <w:r w:rsidR="008700A9" w:rsidRPr="00F84AC1">
        <w:t xml:space="preserve">has </w:t>
      </w:r>
      <w:r w:rsidR="009F68DE" w:rsidRPr="00F84AC1">
        <w:t>resulted in a</w:t>
      </w:r>
      <w:r w:rsidR="00F84AC1" w:rsidRPr="00F84AC1">
        <w:t>n inc</w:t>
      </w:r>
      <w:r w:rsidR="009F68DE" w:rsidRPr="00F84AC1">
        <w:t xml:space="preserve">rease in the estimated fair value of the receivable of </w:t>
      </w:r>
      <w:r w:rsidR="00F84AC1" w:rsidRPr="00F84AC1">
        <w:t>6.</w:t>
      </w:r>
      <w:r w:rsidR="00C314F3">
        <w:t>4</w:t>
      </w:r>
      <w:r w:rsidR="009F68DE" w:rsidRPr="00F84AC1">
        <w:t xml:space="preserve">% on the yield curve basis. On the </w:t>
      </w:r>
      <w:r w:rsidR="001F6A67" w:rsidRPr="00F84AC1">
        <w:t>5</w:t>
      </w:r>
      <w:r w:rsidR="009F68DE" w:rsidRPr="00F84AC1">
        <w:t xml:space="preserve">% p.a. discount rate, the increase is </w:t>
      </w:r>
      <w:r w:rsidR="00F84AC1" w:rsidRPr="00F84AC1">
        <w:t>higher</w:t>
      </w:r>
      <w:r w:rsidR="00816D67" w:rsidRPr="00F84AC1">
        <w:t xml:space="preserve"> </w:t>
      </w:r>
      <w:r w:rsidR="009F68DE" w:rsidRPr="00F84AC1">
        <w:t xml:space="preserve">at </w:t>
      </w:r>
      <w:r w:rsidR="00C314F3">
        <w:t>9.6</w:t>
      </w:r>
      <w:r w:rsidR="009F68DE" w:rsidRPr="00F84AC1">
        <w:t>%.</w:t>
      </w:r>
      <w:r w:rsidR="00951DB8" w:rsidRPr="00F84AC1">
        <w:t xml:space="preserve"> </w:t>
      </w:r>
      <w:r w:rsidR="004D25A7" w:rsidRPr="00F84AC1">
        <w:t xml:space="preserve">These </w:t>
      </w:r>
      <w:r w:rsidR="004D25A7" w:rsidRPr="00F84AC1">
        <w:lastRenderedPageBreak/>
        <w:t xml:space="preserve">adjustments are </w:t>
      </w:r>
      <w:r w:rsidR="001F6A67" w:rsidRPr="00F84AC1">
        <w:t xml:space="preserve">quite significant </w:t>
      </w:r>
      <w:r w:rsidR="004D25A7" w:rsidRPr="00F84AC1">
        <w:t xml:space="preserve">in the context of the overall estimation process and </w:t>
      </w:r>
      <w:r w:rsidR="001F6A67" w:rsidRPr="00F84AC1">
        <w:t xml:space="preserve">largely reflect the </w:t>
      </w:r>
      <w:r w:rsidR="00F84AC1" w:rsidRPr="00F84AC1">
        <w:t>updated economic impact o</w:t>
      </w:r>
      <w:r w:rsidR="00931ACA" w:rsidRPr="00F84AC1">
        <w:t xml:space="preserve">f </w:t>
      </w:r>
      <w:r w:rsidR="00386AC1" w:rsidRPr="00F84AC1">
        <w:t xml:space="preserve">COVID-19 </w:t>
      </w:r>
      <w:r w:rsidR="00F84AC1" w:rsidRPr="00F84AC1">
        <w:t>and</w:t>
      </w:r>
      <w:r w:rsidR="00386AC1" w:rsidRPr="00F84AC1">
        <w:t xml:space="preserve"> </w:t>
      </w:r>
      <w:r w:rsidR="001F6A67" w:rsidRPr="00F84AC1">
        <w:t xml:space="preserve">changes in the operation </w:t>
      </w:r>
      <w:r w:rsidR="00E720B2" w:rsidRPr="00F84AC1">
        <w:t xml:space="preserve">and outcomes </w:t>
      </w:r>
      <w:r w:rsidR="001F6A67" w:rsidRPr="00F84AC1">
        <w:t>of the model</w:t>
      </w:r>
      <w:r w:rsidR="004D25A7" w:rsidRPr="00F84AC1">
        <w:t>.</w:t>
      </w:r>
    </w:p>
    <w:p w14:paraId="1ACA88D2" w14:textId="04A3480D" w:rsidR="00561EC2" w:rsidRPr="00F64D4C" w:rsidRDefault="00561EC2" w:rsidP="00561EC2">
      <w:pPr>
        <w:pStyle w:val="Heading1"/>
      </w:pPr>
      <w:bookmarkStart w:id="9" w:name="_Toc77250474"/>
      <w:r w:rsidRPr="00F64D4C">
        <w:lastRenderedPageBreak/>
        <w:t xml:space="preserve">Estimated Results as at 30 June </w:t>
      </w:r>
      <w:r w:rsidR="007E3E32" w:rsidRPr="00F64D4C">
        <w:t>202</w:t>
      </w:r>
      <w:r w:rsidR="0048021B" w:rsidRPr="00F64D4C">
        <w:t>1</w:t>
      </w:r>
      <w:bookmarkEnd w:id="9"/>
    </w:p>
    <w:p w14:paraId="66EF9F74" w14:textId="235CD553" w:rsidR="00561EC2" w:rsidRPr="00F64D4C" w:rsidRDefault="00216E4E" w:rsidP="00561EC2">
      <w:pPr>
        <w:pStyle w:val="BodyText"/>
      </w:pPr>
      <w:r w:rsidRPr="00F64D4C">
        <w:t xml:space="preserve">In order to roll forward the </w:t>
      </w:r>
      <w:r w:rsidR="007E3E32" w:rsidRPr="00F64D4C">
        <w:t>2020</w:t>
      </w:r>
      <w:r w:rsidR="009718C9" w:rsidRPr="00F64D4C">
        <w:t xml:space="preserve"> </w:t>
      </w:r>
      <w:r w:rsidRPr="00F64D4C">
        <w:t>model results to the balance date, a range of additional information is required, specifically:</w:t>
      </w:r>
    </w:p>
    <w:p w14:paraId="11C503B4" w14:textId="070FDCBD" w:rsidR="00DE5547" w:rsidRPr="00F64D4C" w:rsidRDefault="00DE5547" w:rsidP="00105880">
      <w:pPr>
        <w:pStyle w:val="TenderBullet"/>
        <w:keepNext/>
        <w:tabs>
          <w:tab w:val="clear" w:pos="1080"/>
        </w:tabs>
        <w:spacing w:after="240"/>
        <w:ind w:left="1418" w:hanging="567"/>
      </w:pPr>
      <w:r w:rsidRPr="00F64D4C">
        <w:t xml:space="preserve">ATO aggregate data on debt incurred during </w:t>
      </w:r>
      <w:r w:rsidR="007E3E32" w:rsidRPr="00F64D4C">
        <w:t>2020</w:t>
      </w:r>
      <w:r w:rsidR="00B65515" w:rsidRPr="00F64D4C">
        <w:t>-</w:t>
      </w:r>
      <w:r w:rsidR="00651953" w:rsidRPr="00F64D4C">
        <w:t>2</w:t>
      </w:r>
      <w:r w:rsidR="0048021B" w:rsidRPr="00F64D4C">
        <w:t>1</w:t>
      </w:r>
      <w:r w:rsidR="00420702" w:rsidRPr="00F64D4C">
        <w:t xml:space="preserve">. This includes all of the debt for semester 2 of </w:t>
      </w:r>
      <w:r w:rsidR="007E3E32" w:rsidRPr="00F64D4C">
        <w:t>2020</w:t>
      </w:r>
      <w:r w:rsidR="00420702" w:rsidRPr="00F64D4C">
        <w:t xml:space="preserve"> and most of the debt for semester 1 of </w:t>
      </w:r>
      <w:proofErr w:type="gramStart"/>
      <w:r w:rsidR="007E3E32" w:rsidRPr="00F64D4C">
        <w:t>2021</w:t>
      </w:r>
      <w:r w:rsidRPr="00F64D4C">
        <w:t>;</w:t>
      </w:r>
      <w:proofErr w:type="gramEnd"/>
    </w:p>
    <w:p w14:paraId="4E2BCCB5" w14:textId="3A114DD4" w:rsidR="00DE5547" w:rsidRPr="00F64D4C" w:rsidRDefault="00DE5547" w:rsidP="00105880">
      <w:pPr>
        <w:pStyle w:val="TenderBullet"/>
        <w:tabs>
          <w:tab w:val="clear" w:pos="1080"/>
        </w:tabs>
        <w:spacing w:after="240"/>
        <w:ind w:left="1418" w:hanging="567"/>
      </w:pPr>
      <w:r w:rsidRPr="00F64D4C">
        <w:t xml:space="preserve">an estimate of debt incurred during semester 1 of </w:t>
      </w:r>
      <w:r w:rsidR="007E3E32" w:rsidRPr="00F64D4C">
        <w:t>2021</w:t>
      </w:r>
      <w:r w:rsidRPr="00F64D4C">
        <w:t xml:space="preserve"> </w:t>
      </w:r>
      <w:r w:rsidR="00420702" w:rsidRPr="00F64D4C">
        <w:t xml:space="preserve">that was not included in the ATO HELP certificates </w:t>
      </w:r>
      <w:r w:rsidRPr="00F64D4C">
        <w:t xml:space="preserve">provided by </w:t>
      </w:r>
      <w:proofErr w:type="gramStart"/>
      <w:r w:rsidRPr="00F64D4C">
        <w:t>Education;</w:t>
      </w:r>
      <w:proofErr w:type="gramEnd"/>
    </w:p>
    <w:p w14:paraId="01591E10" w14:textId="0693F31D" w:rsidR="00420702" w:rsidRPr="00F64D4C" w:rsidRDefault="00420702" w:rsidP="00105880">
      <w:pPr>
        <w:pStyle w:val="TenderBullet"/>
        <w:tabs>
          <w:tab w:val="clear" w:pos="1080"/>
        </w:tabs>
        <w:spacing w:after="240"/>
        <w:ind w:left="1418" w:hanging="567"/>
      </w:pPr>
      <w:r w:rsidRPr="00F64D4C">
        <w:t xml:space="preserve">a split of debt incurred in </w:t>
      </w:r>
      <w:r w:rsidR="007E3E32" w:rsidRPr="00F64D4C">
        <w:t>2020</w:t>
      </w:r>
      <w:r w:rsidR="00651953" w:rsidRPr="00F64D4C">
        <w:t>-2</w:t>
      </w:r>
      <w:r w:rsidR="00F64D4C" w:rsidRPr="00F64D4C">
        <w:t>1</w:t>
      </w:r>
      <w:r w:rsidRPr="00F64D4C">
        <w:t xml:space="preserve"> between VET and non-VET </w:t>
      </w:r>
      <w:proofErr w:type="gramStart"/>
      <w:r w:rsidRPr="00F64D4C">
        <w:t>debtors;</w:t>
      </w:r>
      <w:proofErr w:type="gramEnd"/>
    </w:p>
    <w:p w14:paraId="52E30B47" w14:textId="74E258B4" w:rsidR="00DE5547" w:rsidRPr="00F64D4C" w:rsidRDefault="00DE5547" w:rsidP="00105880">
      <w:pPr>
        <w:pStyle w:val="TenderBullet"/>
        <w:tabs>
          <w:tab w:val="clear" w:pos="1080"/>
        </w:tabs>
        <w:spacing w:after="240"/>
        <w:ind w:left="1418" w:hanging="567"/>
      </w:pPr>
      <w:r w:rsidRPr="00F64D4C">
        <w:t xml:space="preserve">an estimate of PAYG receipts over the </w:t>
      </w:r>
      <w:r w:rsidR="007E3E32" w:rsidRPr="00F64D4C">
        <w:t>2020</w:t>
      </w:r>
      <w:r w:rsidR="00B65515" w:rsidRPr="00F64D4C">
        <w:t>-</w:t>
      </w:r>
      <w:r w:rsidR="00651953" w:rsidRPr="00F64D4C">
        <w:t>2</w:t>
      </w:r>
      <w:r w:rsidR="00F64D4C" w:rsidRPr="00F64D4C">
        <w:t>1</w:t>
      </w:r>
      <w:r w:rsidRPr="00F64D4C">
        <w:t xml:space="preserve"> financial year also provided by </w:t>
      </w:r>
      <w:proofErr w:type="gramStart"/>
      <w:r w:rsidRPr="00F64D4C">
        <w:t>Education;</w:t>
      </w:r>
      <w:proofErr w:type="gramEnd"/>
      <w:r w:rsidRPr="00F64D4C">
        <w:t xml:space="preserve"> </w:t>
      </w:r>
    </w:p>
    <w:p w14:paraId="6B3476DD" w14:textId="2A71E1EF" w:rsidR="00DE5547" w:rsidRPr="00F64D4C" w:rsidRDefault="00DE5547" w:rsidP="00105880">
      <w:pPr>
        <w:pStyle w:val="TenderBullet"/>
        <w:tabs>
          <w:tab w:val="clear" w:pos="1080"/>
        </w:tabs>
        <w:spacing w:after="240"/>
        <w:ind w:left="1418" w:hanging="567"/>
      </w:pPr>
      <w:r w:rsidRPr="00F64D4C">
        <w:t xml:space="preserve">the indexation rate of </w:t>
      </w:r>
      <w:r w:rsidR="00F64D4C" w:rsidRPr="00F64D4C">
        <w:t>0.6</w:t>
      </w:r>
      <w:r w:rsidRPr="00F64D4C">
        <w:t xml:space="preserve">% which applied to outstanding HELP debt </w:t>
      </w:r>
      <w:r w:rsidR="00014004" w:rsidRPr="00F64D4C">
        <w:t>as at</w:t>
      </w:r>
      <w:r w:rsidRPr="00F64D4C">
        <w:t xml:space="preserve"> 1</w:t>
      </w:r>
      <w:r w:rsidR="00014004" w:rsidRPr="00F64D4C">
        <w:t> </w:t>
      </w:r>
      <w:r w:rsidRPr="00F64D4C">
        <w:t xml:space="preserve">June </w:t>
      </w:r>
      <w:r w:rsidR="007E3E32" w:rsidRPr="00F64D4C">
        <w:t>2021</w:t>
      </w:r>
      <w:r w:rsidRPr="00F64D4C">
        <w:t>; and</w:t>
      </w:r>
    </w:p>
    <w:p w14:paraId="56C0D9F2" w14:textId="1AAD0D20" w:rsidR="00DE5547" w:rsidRPr="00F64D4C" w:rsidRDefault="00DE5547" w:rsidP="00DE5547">
      <w:pPr>
        <w:pStyle w:val="TenderBullet"/>
        <w:tabs>
          <w:tab w:val="clear" w:pos="1080"/>
        </w:tabs>
        <w:ind w:left="1418" w:hanging="567"/>
      </w:pPr>
      <w:r w:rsidRPr="00F64D4C">
        <w:t xml:space="preserve">ATO aggregate data on indexation, write-offs, repayments and remissions over the </w:t>
      </w:r>
      <w:r w:rsidR="007E3E32" w:rsidRPr="00F64D4C">
        <w:t>2020</w:t>
      </w:r>
      <w:r w:rsidR="00B65515" w:rsidRPr="00F64D4C">
        <w:t>-</w:t>
      </w:r>
      <w:r w:rsidR="00651953" w:rsidRPr="00F64D4C">
        <w:t>2</w:t>
      </w:r>
      <w:r w:rsidR="0048021B" w:rsidRPr="00F64D4C">
        <w:t>1</w:t>
      </w:r>
      <w:r w:rsidRPr="00F64D4C">
        <w:t xml:space="preserve"> financial year, taken from </w:t>
      </w:r>
      <w:r w:rsidR="00F64D4C" w:rsidRPr="00F64D4C">
        <w:t>the draft</w:t>
      </w:r>
      <w:r w:rsidR="00041571" w:rsidRPr="00F64D4C">
        <w:t xml:space="preserve"> </w:t>
      </w:r>
      <w:r w:rsidRPr="00F64D4C">
        <w:t xml:space="preserve">June </w:t>
      </w:r>
      <w:r w:rsidR="007E3E32" w:rsidRPr="00F64D4C">
        <w:t>2021</w:t>
      </w:r>
      <w:r w:rsidRPr="00F64D4C">
        <w:t xml:space="preserve"> HELP certificate</w:t>
      </w:r>
      <w:r w:rsidR="00041571" w:rsidRPr="00F64D4C">
        <w:t xml:space="preserve"> provided by </w:t>
      </w:r>
      <w:r w:rsidR="00F64D4C" w:rsidRPr="00F64D4C">
        <w:t>the ATO</w:t>
      </w:r>
      <w:r w:rsidRPr="00F64D4C">
        <w:t xml:space="preserve">. </w:t>
      </w:r>
    </w:p>
    <w:p w14:paraId="3F75F4DA" w14:textId="082256CD" w:rsidR="009718C9" w:rsidRPr="00F64D4C" w:rsidRDefault="00DE5547" w:rsidP="00561EC2">
      <w:pPr>
        <w:pStyle w:val="BodyText"/>
      </w:pPr>
      <w:r w:rsidRPr="00F64D4C">
        <w:t>The main assumption adopted in rolling forward the estimate is that new debt</w:t>
      </w:r>
      <w:r w:rsidR="00420702" w:rsidRPr="00F64D4C">
        <w:t>s</w:t>
      </w:r>
      <w:r w:rsidRPr="00F64D4C">
        <w:t xml:space="preserve"> incurred over </w:t>
      </w:r>
      <w:r w:rsidR="007E3E32" w:rsidRPr="00F64D4C">
        <w:t>2020</w:t>
      </w:r>
      <w:r w:rsidR="00B65515" w:rsidRPr="00F64D4C">
        <w:t>-</w:t>
      </w:r>
      <w:r w:rsidR="00C41F9F" w:rsidRPr="00F64D4C">
        <w:t>2</w:t>
      </w:r>
      <w:r w:rsidR="0048021B" w:rsidRPr="00F64D4C">
        <w:t>1</w:t>
      </w:r>
      <w:r w:rsidRPr="00F64D4C">
        <w:t xml:space="preserve"> will have the same DNER percentage</w:t>
      </w:r>
      <w:r w:rsidR="00420702" w:rsidRPr="00F64D4C">
        <w:t>s</w:t>
      </w:r>
      <w:r w:rsidRPr="00F64D4C">
        <w:t xml:space="preserve"> and repayment pattern</w:t>
      </w:r>
      <w:r w:rsidR="00420702" w:rsidRPr="00F64D4C">
        <w:t>s</w:t>
      </w:r>
      <w:r w:rsidRPr="00F64D4C">
        <w:t xml:space="preserve"> associated with</w:t>
      </w:r>
      <w:r w:rsidR="00420702" w:rsidRPr="00F64D4C">
        <w:t xml:space="preserve"> them</w:t>
      </w:r>
      <w:r w:rsidRPr="00F64D4C">
        <w:t xml:space="preserve"> as </w:t>
      </w:r>
      <w:r w:rsidR="00420702" w:rsidRPr="00F64D4C">
        <w:t xml:space="preserve">was </w:t>
      </w:r>
      <w:r w:rsidRPr="00F64D4C">
        <w:t>estimated by our model for new debt</w:t>
      </w:r>
      <w:r w:rsidR="00420702" w:rsidRPr="00F64D4C">
        <w:t>s</w:t>
      </w:r>
      <w:r w:rsidRPr="00F64D4C">
        <w:t xml:space="preserve"> incurred in 201</w:t>
      </w:r>
      <w:r w:rsidR="00C41F9F" w:rsidRPr="00F64D4C">
        <w:t>8</w:t>
      </w:r>
      <w:r w:rsidR="00014004" w:rsidRPr="00F64D4C">
        <w:noBreakHyphen/>
      </w:r>
      <w:r w:rsidR="00124E9D" w:rsidRPr="00F64D4C">
        <w:t>19</w:t>
      </w:r>
      <w:r w:rsidR="00C62973" w:rsidRPr="00F64D4C">
        <w:t xml:space="preserve">. </w:t>
      </w:r>
      <w:r w:rsidR="002C144B" w:rsidRPr="00F64D4C">
        <w:t xml:space="preserve">Impairment assumptions for new </w:t>
      </w:r>
      <w:r w:rsidR="00C41F9F" w:rsidRPr="00F64D4C">
        <w:t>VET</w:t>
      </w:r>
      <w:r w:rsidR="002C144B" w:rsidRPr="00F64D4C">
        <w:t xml:space="preserve"> debt in </w:t>
      </w:r>
      <w:r w:rsidR="007E3E32" w:rsidRPr="00F64D4C">
        <w:t>2020</w:t>
      </w:r>
      <w:r w:rsidR="00B65515" w:rsidRPr="00F64D4C">
        <w:t>-</w:t>
      </w:r>
      <w:r w:rsidR="00C41F9F" w:rsidRPr="00F64D4C">
        <w:t>2</w:t>
      </w:r>
      <w:r w:rsidR="0048021B" w:rsidRPr="00F64D4C">
        <w:t>1</w:t>
      </w:r>
      <w:r w:rsidR="002C144B" w:rsidRPr="00F64D4C">
        <w:t xml:space="preserve"> have been derived based on </w:t>
      </w:r>
      <w:r w:rsidR="00C41F9F" w:rsidRPr="00F64D4C">
        <w:t xml:space="preserve">separate analysis </w:t>
      </w:r>
      <w:r w:rsidR="002C144B" w:rsidRPr="00F64D4C">
        <w:t>o</w:t>
      </w:r>
      <w:r w:rsidR="0022216B" w:rsidRPr="00F64D4C">
        <w:t>f</w:t>
      </w:r>
      <w:r w:rsidR="002C144B" w:rsidRPr="00F64D4C">
        <w:t xml:space="preserve"> the potential repayment prospects of </w:t>
      </w:r>
      <w:r w:rsidR="00C41F9F" w:rsidRPr="00F64D4C">
        <w:t xml:space="preserve">these new </w:t>
      </w:r>
      <w:r w:rsidR="002C144B" w:rsidRPr="00F64D4C">
        <w:t xml:space="preserve">VSL debts and </w:t>
      </w:r>
      <w:r w:rsidR="00420702" w:rsidRPr="00F64D4C">
        <w:t>was</w:t>
      </w:r>
      <w:r w:rsidR="002C144B" w:rsidRPr="00F64D4C">
        <w:t xml:space="preserve"> discussed in greater detail in Chapter </w:t>
      </w:r>
      <w:r w:rsidR="002C144B" w:rsidRPr="00F64D4C">
        <w:fldChar w:fldCharType="begin"/>
      </w:r>
      <w:r w:rsidR="002C144B" w:rsidRPr="00F64D4C">
        <w:instrText xml:space="preserve"> REF _Ref519063359 \r \h </w:instrText>
      </w:r>
      <w:r w:rsidR="002C144B" w:rsidRPr="00F64D4C">
        <w:fldChar w:fldCharType="separate"/>
      </w:r>
      <w:r w:rsidR="000106DA">
        <w:t>3</w:t>
      </w:r>
      <w:r w:rsidR="002C144B" w:rsidRPr="00F64D4C">
        <w:fldChar w:fldCharType="end"/>
      </w:r>
      <w:r w:rsidR="002C144B" w:rsidRPr="00F64D4C">
        <w:t xml:space="preserve">. </w:t>
      </w:r>
      <w:r w:rsidR="00420702" w:rsidRPr="00F64D4C">
        <w:t xml:space="preserve">You have </w:t>
      </w:r>
      <w:r w:rsidRPr="00F64D4C">
        <w:t xml:space="preserve">provided </w:t>
      </w:r>
      <w:r w:rsidR="00420702" w:rsidRPr="00F64D4C">
        <w:t xml:space="preserve">information on the split of </w:t>
      </w:r>
      <w:r w:rsidRPr="00F64D4C">
        <w:t xml:space="preserve">new HELP debt </w:t>
      </w:r>
      <w:r w:rsidR="00420702" w:rsidRPr="00F64D4C">
        <w:t xml:space="preserve">that is </w:t>
      </w:r>
      <w:r w:rsidR="002C144B" w:rsidRPr="00F64D4C">
        <w:t xml:space="preserve">VET </w:t>
      </w:r>
      <w:r w:rsidRPr="00F64D4C">
        <w:t xml:space="preserve">debt. Given the differences in repayment prospects, we have distinguished between </w:t>
      </w:r>
      <w:r w:rsidR="002C144B" w:rsidRPr="00F64D4C">
        <w:t xml:space="preserve">VET </w:t>
      </w:r>
      <w:r w:rsidRPr="00F64D4C">
        <w:t>debt and other HELP debt in estimating the impairment on the new debt</w:t>
      </w:r>
      <w:r w:rsidR="00420702" w:rsidRPr="00F64D4C">
        <w:t xml:space="preserve"> incurred in </w:t>
      </w:r>
      <w:r w:rsidR="007E3E32" w:rsidRPr="00F64D4C">
        <w:t>2020</w:t>
      </w:r>
      <w:r w:rsidR="00B65515" w:rsidRPr="00F64D4C">
        <w:t>-</w:t>
      </w:r>
      <w:r w:rsidR="00C41F9F" w:rsidRPr="00F64D4C">
        <w:t>2</w:t>
      </w:r>
      <w:r w:rsidR="0048021B" w:rsidRPr="00F64D4C">
        <w:t>1</w:t>
      </w:r>
      <w:r w:rsidRPr="00F64D4C">
        <w:t>.</w:t>
      </w:r>
    </w:p>
    <w:p w14:paraId="2B3F242A" w14:textId="2099B0CD" w:rsidR="00105880" w:rsidRPr="00F64D4C" w:rsidRDefault="00105880" w:rsidP="00561EC2">
      <w:pPr>
        <w:pStyle w:val="BodyText"/>
      </w:pPr>
      <w:r w:rsidRPr="00F64D4C">
        <w:t xml:space="preserve">There are then three elements to the calculation: the estimation of the outstanding debt as at 30 June </w:t>
      </w:r>
      <w:r w:rsidR="007E3E32" w:rsidRPr="00F64D4C">
        <w:t>2021</w:t>
      </w:r>
      <w:r w:rsidRPr="00F64D4C">
        <w:t xml:space="preserve"> before allowance for PAYG receipts; the roll forward of the DNER from 30 June </w:t>
      </w:r>
      <w:r w:rsidR="007E3E32" w:rsidRPr="00F64D4C">
        <w:t>2020</w:t>
      </w:r>
      <w:r w:rsidRPr="00F64D4C">
        <w:t xml:space="preserve"> to the balance date; and the estimation of the fair value of the receivable at the balance date on both the yield curve </w:t>
      </w:r>
      <w:r w:rsidR="00262B96" w:rsidRPr="00F64D4C">
        <w:t xml:space="preserve">(represented by a single discount rate) </w:t>
      </w:r>
      <w:r w:rsidRPr="00F64D4C">
        <w:t xml:space="preserve">and </w:t>
      </w:r>
      <w:r w:rsidR="00262B96" w:rsidRPr="00F64D4C">
        <w:t>5</w:t>
      </w:r>
      <w:r w:rsidRPr="00F64D4C">
        <w:t>% p.a. discount rate bas</w:t>
      </w:r>
      <w:r w:rsidR="00D06FFB">
        <w:t>i</w:t>
      </w:r>
      <w:r w:rsidRPr="00F64D4C">
        <w:t>s. Finally, we provide a reconciliation between the outstanding debt and the estimated fair value as at the balance date.</w:t>
      </w:r>
    </w:p>
    <w:p w14:paraId="2730BF10" w14:textId="02853273" w:rsidR="00105880" w:rsidRPr="00F64D4C" w:rsidRDefault="00105880" w:rsidP="00105880">
      <w:pPr>
        <w:pStyle w:val="BodyText"/>
        <w:keepNext/>
        <w:numPr>
          <w:ilvl w:val="0"/>
          <w:numId w:val="0"/>
        </w:numPr>
        <w:ind w:left="851"/>
        <w:rPr>
          <w:b/>
          <w:i/>
        </w:rPr>
      </w:pPr>
      <w:r w:rsidRPr="00F64D4C">
        <w:rPr>
          <w:b/>
          <w:i/>
        </w:rPr>
        <w:t xml:space="preserve">Calculation of Outstanding Debt as at 30 June </w:t>
      </w:r>
      <w:r w:rsidR="007E3E32" w:rsidRPr="00F64D4C">
        <w:rPr>
          <w:b/>
          <w:i/>
        </w:rPr>
        <w:t>2021</w:t>
      </w:r>
    </w:p>
    <w:p w14:paraId="141E9192" w14:textId="06BA8F99" w:rsidR="00DE5547" w:rsidRPr="00F64D4C" w:rsidRDefault="00105880" w:rsidP="00561EC2">
      <w:pPr>
        <w:pStyle w:val="BodyText"/>
      </w:pPr>
      <w:r w:rsidRPr="00F64D4C">
        <w:t>T</w:t>
      </w:r>
      <w:r w:rsidR="00DE5547" w:rsidRPr="00F64D4C">
        <w:t xml:space="preserve">he outstanding debt as at 30 June </w:t>
      </w:r>
      <w:r w:rsidR="007E3E32" w:rsidRPr="00F64D4C">
        <w:t>2021</w:t>
      </w:r>
      <w:r w:rsidR="00DE5547" w:rsidRPr="00F64D4C">
        <w:t xml:space="preserve"> is calculated as follows: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2218"/>
      </w:tblGrid>
      <w:tr w:rsidR="00F64D4C" w:rsidRPr="00F64D4C" w14:paraId="10FAA791" w14:textId="77777777" w:rsidTr="00F64D4C">
        <w:tc>
          <w:tcPr>
            <w:tcW w:w="4710" w:type="dxa"/>
            <w:tcBorders>
              <w:top w:val="nil"/>
              <w:left w:val="nil"/>
              <w:bottom w:val="nil"/>
              <w:right w:val="nil"/>
            </w:tcBorders>
          </w:tcPr>
          <w:p w14:paraId="6142F411" w14:textId="77777777" w:rsidR="00127075" w:rsidRPr="00F64D4C" w:rsidRDefault="00127075" w:rsidP="00105880">
            <w:pPr>
              <w:keepNext/>
              <w:spacing w:line="240" w:lineRule="auto"/>
            </w:pPr>
          </w:p>
        </w:tc>
        <w:tc>
          <w:tcPr>
            <w:tcW w:w="2218" w:type="dxa"/>
            <w:tcBorders>
              <w:top w:val="nil"/>
              <w:left w:val="nil"/>
              <w:bottom w:val="nil"/>
              <w:right w:val="nil"/>
            </w:tcBorders>
            <w:vAlign w:val="center"/>
          </w:tcPr>
          <w:p w14:paraId="609A0D3C" w14:textId="79C4E3A0" w:rsidR="00127075" w:rsidRPr="00F64D4C" w:rsidRDefault="00127075" w:rsidP="006461F9">
            <w:pPr>
              <w:keepNext/>
              <w:spacing w:line="240" w:lineRule="auto"/>
              <w:jc w:val="center"/>
            </w:pPr>
            <w:r w:rsidRPr="00F64D4C">
              <w:t>$m</w:t>
            </w:r>
          </w:p>
        </w:tc>
      </w:tr>
      <w:tr w:rsidR="00F64D4C" w:rsidRPr="00F64D4C" w14:paraId="1D8672B5" w14:textId="77777777" w:rsidTr="00F64D4C">
        <w:tc>
          <w:tcPr>
            <w:tcW w:w="4710" w:type="dxa"/>
            <w:tcBorders>
              <w:top w:val="nil"/>
              <w:left w:val="nil"/>
              <w:bottom w:val="nil"/>
              <w:right w:val="nil"/>
            </w:tcBorders>
          </w:tcPr>
          <w:p w14:paraId="73C34FD3" w14:textId="11C3DC15" w:rsidR="00C41F9F" w:rsidRPr="00F64D4C" w:rsidRDefault="00C41F9F" w:rsidP="00C41F9F">
            <w:pPr>
              <w:keepNext/>
              <w:spacing w:line="240" w:lineRule="auto"/>
            </w:pPr>
            <w:r w:rsidRPr="00F64D4C">
              <w:t xml:space="preserve">Outstanding debt from the ATO estimated June </w:t>
            </w:r>
            <w:r w:rsidR="007E3E32" w:rsidRPr="00F64D4C">
              <w:t>2021</w:t>
            </w:r>
            <w:r w:rsidRPr="00F64D4C">
              <w:t xml:space="preserve"> statement</w:t>
            </w:r>
            <w:r w:rsidR="00F64D4C" w:rsidRPr="00F64D4C">
              <w:t xml:space="preserve"> (including VSL)</w:t>
            </w:r>
          </w:p>
        </w:tc>
        <w:tc>
          <w:tcPr>
            <w:tcW w:w="2218" w:type="dxa"/>
            <w:tcBorders>
              <w:top w:val="nil"/>
              <w:left w:val="nil"/>
              <w:bottom w:val="nil"/>
              <w:right w:val="nil"/>
            </w:tcBorders>
          </w:tcPr>
          <w:p w14:paraId="26DA3DED" w14:textId="61C7F903" w:rsidR="00C41F9F" w:rsidRPr="00F64D4C" w:rsidRDefault="00C41F9F" w:rsidP="00C41F9F">
            <w:pPr>
              <w:keepNext/>
              <w:spacing w:line="240" w:lineRule="auto"/>
              <w:jc w:val="right"/>
            </w:pPr>
            <w:r w:rsidRPr="00F64D4C">
              <w:t>$6</w:t>
            </w:r>
            <w:r w:rsidR="00F64D4C" w:rsidRPr="00F64D4C">
              <w:t>9,233.991</w:t>
            </w:r>
          </w:p>
        </w:tc>
      </w:tr>
      <w:tr w:rsidR="00F64D4C" w:rsidRPr="00F64D4C" w14:paraId="008CC78B" w14:textId="77777777" w:rsidTr="00F64D4C">
        <w:tc>
          <w:tcPr>
            <w:tcW w:w="4710" w:type="dxa"/>
            <w:tcBorders>
              <w:top w:val="nil"/>
              <w:left w:val="nil"/>
              <w:bottom w:val="nil"/>
              <w:right w:val="nil"/>
            </w:tcBorders>
          </w:tcPr>
          <w:p w14:paraId="49EB59C7" w14:textId="4FA8C3F4" w:rsidR="00F64D4C" w:rsidRPr="00F64D4C" w:rsidRDefault="00F64D4C" w:rsidP="00F64D4C">
            <w:pPr>
              <w:spacing w:line="240" w:lineRule="auto"/>
            </w:pPr>
            <w:r w:rsidRPr="00F64D4C">
              <w:t>Education estimate of debt incurred in semester 1 2021 yet to be reported by ATO in 2021-22</w:t>
            </w:r>
          </w:p>
        </w:tc>
        <w:tc>
          <w:tcPr>
            <w:tcW w:w="2218" w:type="dxa"/>
            <w:tcBorders>
              <w:top w:val="nil"/>
              <w:left w:val="nil"/>
              <w:bottom w:val="single" w:sz="4" w:space="0" w:color="auto"/>
              <w:right w:val="nil"/>
            </w:tcBorders>
          </w:tcPr>
          <w:p w14:paraId="64E000D5" w14:textId="187235A5" w:rsidR="00F64D4C" w:rsidRPr="00F64D4C" w:rsidRDefault="00F64D4C" w:rsidP="00F64D4C">
            <w:pPr>
              <w:spacing w:line="240" w:lineRule="auto"/>
              <w:jc w:val="right"/>
            </w:pPr>
            <w:r w:rsidRPr="00F64D4C">
              <w:t>$2,366.580</w:t>
            </w:r>
          </w:p>
        </w:tc>
      </w:tr>
      <w:tr w:rsidR="00F64D4C" w:rsidRPr="00F64D4C" w14:paraId="6666977B" w14:textId="77777777" w:rsidTr="00F64D4C">
        <w:tc>
          <w:tcPr>
            <w:tcW w:w="4710" w:type="dxa"/>
            <w:tcBorders>
              <w:top w:val="nil"/>
              <w:left w:val="nil"/>
              <w:bottom w:val="nil"/>
              <w:right w:val="nil"/>
            </w:tcBorders>
          </w:tcPr>
          <w:p w14:paraId="33CFE302" w14:textId="082D2B8F" w:rsidR="00F64D4C" w:rsidRPr="00F64D4C" w:rsidRDefault="00F64D4C" w:rsidP="00F64D4C">
            <w:pPr>
              <w:spacing w:before="120" w:after="120" w:line="240" w:lineRule="auto"/>
            </w:pPr>
            <w:r w:rsidRPr="00F64D4C">
              <w:t>Outstanding debt as at 30 June 2021</w:t>
            </w:r>
          </w:p>
        </w:tc>
        <w:tc>
          <w:tcPr>
            <w:tcW w:w="2218" w:type="dxa"/>
            <w:tcBorders>
              <w:top w:val="single" w:sz="4" w:space="0" w:color="auto"/>
              <w:left w:val="nil"/>
              <w:bottom w:val="nil"/>
              <w:right w:val="nil"/>
            </w:tcBorders>
          </w:tcPr>
          <w:p w14:paraId="49449074" w14:textId="7080B1C9" w:rsidR="00F64D4C" w:rsidRPr="00F64D4C" w:rsidRDefault="00F64D4C" w:rsidP="00F64D4C">
            <w:pPr>
              <w:spacing w:before="120" w:after="120" w:line="240" w:lineRule="auto"/>
              <w:jc w:val="right"/>
            </w:pPr>
            <w:r w:rsidRPr="00F64D4C">
              <w:t>$71,600.570</w:t>
            </w:r>
          </w:p>
        </w:tc>
      </w:tr>
    </w:tbl>
    <w:p w14:paraId="08CE2A0C" w14:textId="138B69A8" w:rsidR="00830F90" w:rsidRPr="0018291E" w:rsidRDefault="00262B96" w:rsidP="00830F90">
      <w:pPr>
        <w:pStyle w:val="BodyText"/>
      </w:pPr>
      <w:r w:rsidRPr="0018291E">
        <w:t xml:space="preserve">The transfer of debt from providers to Education and then to the ATO reflects </w:t>
      </w:r>
      <w:r w:rsidR="00C41F9F" w:rsidRPr="0018291E">
        <w:t xml:space="preserve">a return to the significant delays that were observed prior to </w:t>
      </w:r>
      <w:r w:rsidR="007E3E32" w:rsidRPr="0018291E">
        <w:t>20</w:t>
      </w:r>
      <w:r w:rsidR="00F64D4C" w:rsidRPr="0018291E">
        <w:t>19</w:t>
      </w:r>
      <w:r w:rsidR="00C41F9F" w:rsidRPr="0018291E">
        <w:t xml:space="preserve">. </w:t>
      </w:r>
      <w:r w:rsidR="005B4D13">
        <w:t xml:space="preserve">I understand that this reflects delays in the implementation of a new debt reporting system. This meant </w:t>
      </w:r>
      <w:r w:rsidR="00C41F9F" w:rsidRPr="0018291E">
        <w:t xml:space="preserve">that almost all of the debt incurred in semester 1 </w:t>
      </w:r>
      <w:r w:rsidR="007E3E32" w:rsidRPr="0018291E">
        <w:t>2021</w:t>
      </w:r>
      <w:r w:rsidR="00C41F9F" w:rsidRPr="0018291E">
        <w:t xml:space="preserve"> will not be </w:t>
      </w:r>
      <w:r w:rsidR="00830F90" w:rsidRPr="0018291E">
        <w:t>reported until after 30 June</w:t>
      </w:r>
      <w:r w:rsidR="008E709B" w:rsidRPr="0018291E">
        <w:t xml:space="preserve"> </w:t>
      </w:r>
      <w:r w:rsidR="007E3E32" w:rsidRPr="0018291E">
        <w:t>2021</w:t>
      </w:r>
      <w:r w:rsidR="0022216B" w:rsidRPr="0018291E">
        <w:t>.</w:t>
      </w:r>
      <w:r w:rsidR="00CA717E" w:rsidRPr="0018291E">
        <w:t xml:space="preserve"> </w:t>
      </w:r>
    </w:p>
    <w:p w14:paraId="682FB219" w14:textId="52587D39" w:rsidR="00105880" w:rsidRPr="00BA4D7F" w:rsidRDefault="00105880" w:rsidP="00F02283">
      <w:pPr>
        <w:pStyle w:val="BodyText"/>
        <w:keepNext/>
        <w:numPr>
          <w:ilvl w:val="0"/>
          <w:numId w:val="0"/>
        </w:numPr>
        <w:ind w:left="851"/>
        <w:rPr>
          <w:b/>
          <w:i/>
        </w:rPr>
      </w:pPr>
      <w:r w:rsidRPr="00BA4D7F">
        <w:rPr>
          <w:b/>
          <w:i/>
        </w:rPr>
        <w:t xml:space="preserve">Calculation of DNER as at 30 June </w:t>
      </w:r>
      <w:r w:rsidR="007E3E32" w:rsidRPr="00BA4D7F">
        <w:rPr>
          <w:b/>
          <w:i/>
        </w:rPr>
        <w:t>2021</w:t>
      </w:r>
    </w:p>
    <w:p w14:paraId="08D05B93" w14:textId="355A67C8" w:rsidR="00105880" w:rsidRPr="00BA4D7F" w:rsidRDefault="00105880" w:rsidP="00105880">
      <w:pPr>
        <w:pStyle w:val="BodyText"/>
      </w:pPr>
      <w:r w:rsidRPr="00BA4D7F">
        <w:fldChar w:fldCharType="begin"/>
      </w:r>
      <w:r w:rsidRPr="00BA4D7F">
        <w:instrText xml:space="preserve"> REF _Ref426115110 \h  \* MERGEFORMAT </w:instrText>
      </w:r>
      <w:r w:rsidRPr="00BA4D7F">
        <w:fldChar w:fldCharType="separate"/>
      </w:r>
      <w:r w:rsidR="000106DA" w:rsidRPr="00B75E06">
        <w:t xml:space="preserve">Table </w:t>
      </w:r>
      <w:r w:rsidR="000106DA">
        <w:t>4</w:t>
      </w:r>
      <w:r w:rsidRPr="00BA4D7F">
        <w:fldChar w:fldCharType="end"/>
      </w:r>
      <w:r w:rsidRPr="00BA4D7F">
        <w:t xml:space="preserve"> shows the calculation of the DNER as at 30 June </w:t>
      </w:r>
      <w:r w:rsidR="007E3E32" w:rsidRPr="00BA4D7F">
        <w:t>2021</w:t>
      </w:r>
      <w:r w:rsidRPr="00BA4D7F">
        <w:t xml:space="preserve"> working forward from the DNER as at 30 June </w:t>
      </w:r>
      <w:r w:rsidR="007E3E32" w:rsidRPr="00BA4D7F">
        <w:t>2020</w:t>
      </w:r>
      <w:r w:rsidRPr="00BA4D7F">
        <w:t xml:space="preserve"> we advised last year based on the 201</w:t>
      </w:r>
      <w:r w:rsidR="00DA1428" w:rsidRPr="00BA4D7F">
        <w:t>9</w:t>
      </w:r>
      <w:r w:rsidRPr="00BA4D7F">
        <w:t xml:space="preserve"> model.  </w:t>
      </w:r>
    </w:p>
    <w:p w14:paraId="3C55DEDC" w14:textId="4462D33E" w:rsidR="00C47DAD" w:rsidRPr="00BA4D7F" w:rsidRDefault="00C47DAD" w:rsidP="00C47DAD">
      <w:pPr>
        <w:pStyle w:val="BodyText"/>
      </w:pPr>
      <w:r w:rsidRPr="00BA4D7F">
        <w:t xml:space="preserve">It is important to recognise that the DNER percentage calculated below relates to the outstanding debt as at 30 June </w:t>
      </w:r>
      <w:r w:rsidR="007E3E32" w:rsidRPr="00BA4D7F">
        <w:t>2021</w:t>
      </w:r>
      <w:r w:rsidR="000953BF" w:rsidRPr="00BA4D7F">
        <w:t xml:space="preserve">, </w:t>
      </w:r>
      <w:r w:rsidRPr="00BA4D7F">
        <w:t>and any attempt to compare this value with values based on outstanding debt in prior years should be taken with care.</w:t>
      </w:r>
    </w:p>
    <w:p w14:paraId="45536A33" w14:textId="77777777" w:rsidR="00C47DAD" w:rsidRPr="00BA4D7F" w:rsidRDefault="00C47DAD" w:rsidP="00C47DAD">
      <w:pPr>
        <w:pStyle w:val="BodyText"/>
      </w:pPr>
      <w:r w:rsidRPr="00BA4D7F">
        <w:t xml:space="preserve">The DNER percentage at any time is a function of </w:t>
      </w:r>
      <w:r w:rsidR="00AB72C8" w:rsidRPr="00BA4D7F">
        <w:t>the following:</w:t>
      </w:r>
    </w:p>
    <w:p w14:paraId="2C1DFCEC" w14:textId="77777777" w:rsidR="001A64BC" w:rsidRPr="00BA4D7F" w:rsidRDefault="001A64BC" w:rsidP="001A64BC">
      <w:pPr>
        <w:pStyle w:val="Bullet"/>
      </w:pPr>
      <w:r w:rsidRPr="00BA4D7F">
        <w:t xml:space="preserve">the age of the relative tranches of debt, noting that the DNER of a </w:t>
      </w:r>
      <w:r w:rsidR="00742FF5" w:rsidRPr="00BA4D7F">
        <w:t xml:space="preserve">certain pool of debt </w:t>
      </w:r>
      <w:r w:rsidRPr="00BA4D7F">
        <w:t>can be expected to increase over time due to the mathematical out</w:t>
      </w:r>
      <w:r w:rsidR="0092411B" w:rsidRPr="00BA4D7F">
        <w:t>-</w:t>
      </w:r>
      <w:r w:rsidRPr="00BA4D7F">
        <w:t xml:space="preserve">workings of an increasing proportion of non-recoverable debt relative to the reducing outstanding balance of a debt (referred to as “debt creep”), </w:t>
      </w:r>
    </w:p>
    <w:p w14:paraId="157CADC6" w14:textId="77777777" w:rsidR="0092411B" w:rsidRPr="00BA4D7F" w:rsidRDefault="0092411B" w:rsidP="0092411B">
      <w:pPr>
        <w:pStyle w:val="Bullet"/>
      </w:pPr>
      <w:r w:rsidRPr="00BA4D7F">
        <w:t xml:space="preserve">the weightings of debt in the relative tranches, including the amount of new debt entering the system each year relative to debt being repaid each year, </w:t>
      </w:r>
    </w:p>
    <w:p w14:paraId="6B2335B5" w14:textId="77777777" w:rsidR="00AB72C8" w:rsidRPr="00BA4D7F" w:rsidRDefault="00AB72C8" w:rsidP="00AB72C8">
      <w:pPr>
        <w:pStyle w:val="Bullet"/>
      </w:pPr>
      <w:r w:rsidRPr="00BA4D7F">
        <w:t>the weighting of the debt between VET and non-VET debts (which exhibit significantly different repayment prospects),</w:t>
      </w:r>
    </w:p>
    <w:p w14:paraId="40D0441C" w14:textId="77777777" w:rsidR="001A64BC" w:rsidRPr="00BA4D7F" w:rsidRDefault="001A64BC" w:rsidP="00AB72C8">
      <w:pPr>
        <w:pStyle w:val="Bullet"/>
      </w:pPr>
      <w:r w:rsidRPr="00BA4D7F">
        <w:t>the assumptions incorporated into the AGA model each year, which reflect updated experience and modifications to previous assumptions, and</w:t>
      </w:r>
    </w:p>
    <w:p w14:paraId="10D1BA9F" w14:textId="77777777" w:rsidR="001A64BC" w:rsidRPr="00BA4D7F" w:rsidRDefault="001A64BC" w:rsidP="001A64BC">
      <w:pPr>
        <w:pStyle w:val="Bullet"/>
      </w:pPr>
      <w:r w:rsidRPr="00BA4D7F">
        <w:t>the prevailing legislative environment.</w:t>
      </w:r>
    </w:p>
    <w:p w14:paraId="58F10E12" w14:textId="5C9EFB82" w:rsidR="001A64BC" w:rsidRPr="00BA4D7F" w:rsidRDefault="001A64BC" w:rsidP="001A64BC">
      <w:pPr>
        <w:pStyle w:val="BodyText"/>
      </w:pPr>
      <w:r w:rsidRPr="00BA4D7F">
        <w:t>Discussion around the calculation of DNER, changes in this value over time and different bases for measuring DNER are set out in more detail in our Report on HELP Debt as at 30 June 201</w:t>
      </w:r>
      <w:r w:rsidR="00FC7D11" w:rsidRPr="00BA4D7F">
        <w:t>8</w:t>
      </w:r>
      <w:r w:rsidRPr="00BA4D7F">
        <w:t xml:space="preserve"> issued in </w:t>
      </w:r>
      <w:r w:rsidR="00BA4D7F" w:rsidRPr="00BA4D7F">
        <w:t>October</w:t>
      </w:r>
      <w:r w:rsidR="00DB6C14" w:rsidRPr="00BA4D7F">
        <w:t xml:space="preserve"> </w:t>
      </w:r>
      <w:r w:rsidR="007E3E32" w:rsidRPr="00BA4D7F">
        <w:t>202</w:t>
      </w:r>
      <w:r w:rsidR="00BA4D7F" w:rsidRPr="00BA4D7F">
        <w:t>0</w:t>
      </w:r>
      <w:r w:rsidRPr="00BA4D7F">
        <w:t>.</w:t>
      </w:r>
      <w:r w:rsidR="0092411B" w:rsidRPr="00BA4D7F">
        <w:t xml:space="preserve"> An updated report as at 30</w:t>
      </w:r>
      <w:r w:rsidR="00D26E2E" w:rsidRPr="00BA4D7F">
        <w:t> </w:t>
      </w:r>
      <w:r w:rsidR="0092411B" w:rsidRPr="00BA4D7F">
        <w:t>June</w:t>
      </w:r>
      <w:r w:rsidR="00D26E2E" w:rsidRPr="00BA4D7F">
        <w:t> </w:t>
      </w:r>
      <w:r w:rsidR="007E3E32" w:rsidRPr="00BA4D7F">
        <w:t>20</w:t>
      </w:r>
      <w:r w:rsidR="00BA4D7F" w:rsidRPr="00BA4D7F">
        <w:t>19</w:t>
      </w:r>
      <w:r w:rsidR="0092411B" w:rsidRPr="00BA4D7F">
        <w:t xml:space="preserve"> will be issued later this year.</w:t>
      </w:r>
    </w:p>
    <w:p w14:paraId="32B5BE1A" w14:textId="45D16BD6" w:rsidR="00105880" w:rsidRPr="00B75E06" w:rsidRDefault="00105880" w:rsidP="00105880">
      <w:pPr>
        <w:pStyle w:val="Caption"/>
        <w:spacing w:before="360"/>
        <w:rPr>
          <w:b/>
        </w:rPr>
      </w:pPr>
      <w:bookmarkStart w:id="10" w:name="_Ref426115110"/>
      <w:r w:rsidRPr="00B75E06">
        <w:lastRenderedPageBreak/>
        <w:t xml:space="preserve">Table </w:t>
      </w:r>
      <w:r w:rsidR="00C80517">
        <w:fldChar w:fldCharType="begin"/>
      </w:r>
      <w:r w:rsidR="00C80517">
        <w:instrText xml:space="preserve"> SEQ Table \* ARABIC </w:instrText>
      </w:r>
      <w:r w:rsidR="00C80517">
        <w:fldChar w:fldCharType="separate"/>
      </w:r>
      <w:r w:rsidR="000106DA">
        <w:rPr>
          <w:noProof/>
        </w:rPr>
        <w:t>4</w:t>
      </w:r>
      <w:r w:rsidR="00C80517">
        <w:rPr>
          <w:noProof/>
        </w:rPr>
        <w:fldChar w:fldCharType="end"/>
      </w:r>
      <w:bookmarkEnd w:id="10"/>
      <w:r w:rsidRPr="00B75E06">
        <w:t xml:space="preserve">:  Estimated DNER at 30 June </w:t>
      </w:r>
      <w:r w:rsidR="007E3E32" w:rsidRPr="00B75E06">
        <w:t>2021</w:t>
      </w:r>
    </w:p>
    <w:tbl>
      <w:tblPr>
        <w:tblW w:w="8589" w:type="dxa"/>
        <w:tblLayout w:type="fixed"/>
        <w:tblLook w:val="01E0" w:firstRow="1" w:lastRow="1" w:firstColumn="1" w:lastColumn="1" w:noHBand="0" w:noVBand="0"/>
      </w:tblPr>
      <w:tblGrid>
        <w:gridCol w:w="5913"/>
        <w:gridCol w:w="1425"/>
        <w:gridCol w:w="1251"/>
      </w:tblGrid>
      <w:tr w:rsidR="00B75E06" w:rsidRPr="00B75E06" w14:paraId="440A38EB" w14:textId="77777777" w:rsidTr="00CE2BF6">
        <w:trPr>
          <w:trHeight w:val="680"/>
          <w:tblHeader/>
        </w:trPr>
        <w:tc>
          <w:tcPr>
            <w:tcW w:w="5913" w:type="dxa"/>
            <w:tcBorders>
              <w:bottom w:val="single" w:sz="4" w:space="0" w:color="auto"/>
            </w:tcBorders>
            <w:vAlign w:val="bottom"/>
          </w:tcPr>
          <w:p w14:paraId="014AC510" w14:textId="77777777" w:rsidR="00105880" w:rsidRPr="00B75E06" w:rsidRDefault="00105880" w:rsidP="00105880">
            <w:pPr>
              <w:keepNext/>
              <w:spacing w:before="80" w:after="80"/>
              <w:jc w:val="left"/>
              <w:rPr>
                <w:rFonts w:cs="Arial"/>
              </w:rPr>
            </w:pPr>
          </w:p>
        </w:tc>
        <w:tc>
          <w:tcPr>
            <w:tcW w:w="1425" w:type="dxa"/>
            <w:tcBorders>
              <w:bottom w:val="single" w:sz="4" w:space="0" w:color="auto"/>
            </w:tcBorders>
            <w:vAlign w:val="bottom"/>
          </w:tcPr>
          <w:p w14:paraId="2C76B395" w14:textId="77777777" w:rsidR="00105880" w:rsidRPr="00B75E06" w:rsidRDefault="00105880" w:rsidP="00105880">
            <w:pPr>
              <w:keepNext/>
              <w:spacing w:before="80" w:after="80"/>
              <w:jc w:val="center"/>
              <w:rPr>
                <w:rFonts w:cs="Arial"/>
              </w:rPr>
            </w:pPr>
            <w:r w:rsidRPr="00B75E06">
              <w:rPr>
                <w:rFonts w:cs="Arial"/>
              </w:rPr>
              <w:t>Outstanding Debt ($’m)</w:t>
            </w:r>
          </w:p>
        </w:tc>
        <w:tc>
          <w:tcPr>
            <w:tcW w:w="1251" w:type="dxa"/>
            <w:tcBorders>
              <w:bottom w:val="single" w:sz="4" w:space="0" w:color="auto"/>
            </w:tcBorders>
            <w:vAlign w:val="bottom"/>
          </w:tcPr>
          <w:p w14:paraId="60D41A85" w14:textId="77777777" w:rsidR="00105880" w:rsidRPr="00B75E06" w:rsidRDefault="00105880" w:rsidP="00105880">
            <w:pPr>
              <w:keepNext/>
              <w:spacing w:before="80" w:after="80"/>
              <w:jc w:val="center"/>
              <w:rPr>
                <w:rFonts w:cs="Arial"/>
              </w:rPr>
            </w:pPr>
            <w:r w:rsidRPr="00B75E06">
              <w:rPr>
                <w:rFonts w:cs="Arial"/>
              </w:rPr>
              <w:t>DNER ($’m)</w:t>
            </w:r>
          </w:p>
        </w:tc>
      </w:tr>
      <w:tr w:rsidR="00B75E06" w:rsidRPr="00B75E06" w14:paraId="375C27DE" w14:textId="77777777" w:rsidTr="00CE2BF6">
        <w:trPr>
          <w:trHeight w:val="442"/>
        </w:trPr>
        <w:tc>
          <w:tcPr>
            <w:tcW w:w="5913" w:type="dxa"/>
            <w:tcBorders>
              <w:top w:val="single" w:sz="4" w:space="0" w:color="auto"/>
              <w:bottom w:val="single" w:sz="4" w:space="0" w:color="auto"/>
            </w:tcBorders>
            <w:vAlign w:val="bottom"/>
          </w:tcPr>
          <w:p w14:paraId="57367460" w14:textId="42049473" w:rsidR="00CE2BF6" w:rsidRPr="00B75E06" w:rsidRDefault="00CE2BF6" w:rsidP="009B54CB">
            <w:pPr>
              <w:keepNext/>
              <w:spacing w:before="0" w:after="0"/>
              <w:jc w:val="left"/>
              <w:rPr>
                <w:rFonts w:cs="Arial"/>
                <w:b/>
              </w:rPr>
            </w:pPr>
            <w:r w:rsidRPr="00B75E06">
              <w:rPr>
                <w:rFonts w:cs="Arial"/>
                <w:b/>
              </w:rPr>
              <w:tab/>
              <w:t xml:space="preserve">Closing balance reported as at 30/6/20 </w:t>
            </w:r>
          </w:p>
        </w:tc>
        <w:tc>
          <w:tcPr>
            <w:tcW w:w="1425" w:type="dxa"/>
            <w:tcBorders>
              <w:top w:val="single" w:sz="4" w:space="0" w:color="auto"/>
              <w:bottom w:val="single" w:sz="4" w:space="0" w:color="auto"/>
            </w:tcBorders>
          </w:tcPr>
          <w:p w14:paraId="5F1B5B05" w14:textId="4A355406" w:rsidR="00CE2BF6" w:rsidRPr="00B75E06" w:rsidRDefault="00CE2BF6" w:rsidP="009B54CB">
            <w:pPr>
              <w:spacing w:before="0" w:after="0"/>
              <w:jc w:val="center"/>
              <w:rPr>
                <w:b/>
              </w:rPr>
            </w:pPr>
            <w:r w:rsidRPr="00B75E06">
              <w:t>69,462.653</w:t>
            </w:r>
          </w:p>
        </w:tc>
        <w:tc>
          <w:tcPr>
            <w:tcW w:w="1251" w:type="dxa"/>
            <w:tcBorders>
              <w:top w:val="single" w:sz="4" w:space="0" w:color="auto"/>
              <w:bottom w:val="single" w:sz="4" w:space="0" w:color="auto"/>
            </w:tcBorders>
          </w:tcPr>
          <w:p w14:paraId="377FA7FB" w14:textId="47B18E06" w:rsidR="00CE2BF6" w:rsidRPr="00B75E06" w:rsidRDefault="00CE2BF6" w:rsidP="009B54CB">
            <w:pPr>
              <w:spacing w:before="0" w:after="0"/>
              <w:jc w:val="center"/>
              <w:rPr>
                <w:b/>
              </w:rPr>
            </w:pPr>
            <w:r w:rsidRPr="00B75E06">
              <w:t>17,635.862</w:t>
            </w:r>
          </w:p>
        </w:tc>
      </w:tr>
      <w:tr w:rsidR="00B75E06" w:rsidRPr="00B75E06" w14:paraId="4DA1EB62" w14:textId="77777777" w:rsidTr="00C314F3">
        <w:trPr>
          <w:trHeight w:val="442"/>
        </w:trPr>
        <w:tc>
          <w:tcPr>
            <w:tcW w:w="5913" w:type="dxa"/>
            <w:tcBorders>
              <w:top w:val="single" w:sz="4" w:space="0" w:color="auto"/>
            </w:tcBorders>
            <w:vAlign w:val="bottom"/>
          </w:tcPr>
          <w:p w14:paraId="3E579E64" w14:textId="0E6651B5" w:rsidR="00CE2BF6" w:rsidRPr="00B75E06" w:rsidRDefault="00CE2BF6" w:rsidP="009B54CB">
            <w:pPr>
              <w:keepNext/>
              <w:spacing w:before="40" w:after="40"/>
              <w:jc w:val="left"/>
              <w:rPr>
                <w:rFonts w:cs="Arial"/>
                <w:bCs/>
              </w:rPr>
            </w:pPr>
            <w:proofErr w:type="gramStart"/>
            <w:r w:rsidRPr="00B75E06">
              <w:rPr>
                <w:rFonts w:cs="Arial"/>
                <w:bCs/>
              </w:rPr>
              <w:t>plus</w:t>
            </w:r>
            <w:proofErr w:type="gramEnd"/>
            <w:r w:rsidRPr="00B75E06">
              <w:rPr>
                <w:rFonts w:cs="Arial"/>
                <w:bCs/>
              </w:rPr>
              <w:t xml:space="preserve">   Adjustment to closing balance of ATO Certificate</w:t>
            </w:r>
          </w:p>
        </w:tc>
        <w:tc>
          <w:tcPr>
            <w:tcW w:w="1425" w:type="dxa"/>
            <w:tcBorders>
              <w:top w:val="single" w:sz="4" w:space="0" w:color="auto"/>
            </w:tcBorders>
          </w:tcPr>
          <w:p w14:paraId="42643AF8" w14:textId="01A25905" w:rsidR="00CE2BF6" w:rsidRPr="00B75E06" w:rsidRDefault="00CE2BF6" w:rsidP="009B54CB">
            <w:pPr>
              <w:spacing w:before="40" w:after="40"/>
              <w:jc w:val="center"/>
            </w:pPr>
            <w:r w:rsidRPr="00B75E06">
              <w:t xml:space="preserve"> 61.68 </w:t>
            </w:r>
          </w:p>
        </w:tc>
        <w:tc>
          <w:tcPr>
            <w:tcW w:w="1251" w:type="dxa"/>
            <w:tcBorders>
              <w:top w:val="single" w:sz="4" w:space="0" w:color="auto"/>
            </w:tcBorders>
          </w:tcPr>
          <w:p w14:paraId="1A37115D" w14:textId="4C3DCA51" w:rsidR="00CE2BF6" w:rsidRPr="00B75E06" w:rsidRDefault="00CE2BF6" w:rsidP="009B54CB">
            <w:pPr>
              <w:spacing w:before="40" w:after="40"/>
              <w:jc w:val="center"/>
            </w:pPr>
            <w:r w:rsidRPr="00B75E06">
              <w:t>12.278</w:t>
            </w:r>
          </w:p>
        </w:tc>
      </w:tr>
      <w:tr w:rsidR="00C314F3" w:rsidRPr="00B75E06" w14:paraId="526C9700" w14:textId="77777777" w:rsidTr="00C314F3">
        <w:trPr>
          <w:trHeight w:val="442"/>
        </w:trPr>
        <w:tc>
          <w:tcPr>
            <w:tcW w:w="5913" w:type="dxa"/>
            <w:vAlign w:val="bottom"/>
          </w:tcPr>
          <w:p w14:paraId="323EA35B" w14:textId="002E04CF" w:rsidR="00C314F3" w:rsidRPr="00B75E06" w:rsidRDefault="00C314F3" w:rsidP="009B54CB">
            <w:pPr>
              <w:keepNext/>
              <w:spacing w:before="40" w:after="40"/>
              <w:jc w:val="left"/>
              <w:rPr>
                <w:rFonts w:cs="Arial"/>
                <w:bCs/>
              </w:rPr>
            </w:pPr>
            <w:proofErr w:type="gramStart"/>
            <w:r>
              <w:rPr>
                <w:rFonts w:cs="Arial"/>
                <w:bCs/>
              </w:rPr>
              <w:t>plus</w:t>
            </w:r>
            <w:proofErr w:type="gramEnd"/>
            <w:r>
              <w:rPr>
                <w:rFonts w:cs="Arial"/>
                <w:bCs/>
              </w:rPr>
              <w:t xml:space="preserve">   VSL ATO Certificate balance at 30 June 2020</w:t>
            </w:r>
          </w:p>
        </w:tc>
        <w:tc>
          <w:tcPr>
            <w:tcW w:w="1425" w:type="dxa"/>
          </w:tcPr>
          <w:p w14:paraId="280DA9EF" w14:textId="6A47B05D" w:rsidR="00C314F3" w:rsidRPr="00B75E06" w:rsidRDefault="00C314F3" w:rsidP="009B54CB">
            <w:pPr>
              <w:spacing w:before="40" w:after="40"/>
              <w:jc w:val="center"/>
            </w:pPr>
            <w:r>
              <w:t>306.69</w:t>
            </w:r>
          </w:p>
        </w:tc>
        <w:tc>
          <w:tcPr>
            <w:tcW w:w="1251" w:type="dxa"/>
          </w:tcPr>
          <w:p w14:paraId="2F3D016E" w14:textId="0DB0FA70" w:rsidR="00C314F3" w:rsidRPr="00B75E06" w:rsidRDefault="00C314F3" w:rsidP="009B54CB">
            <w:pPr>
              <w:spacing w:before="40" w:after="40"/>
              <w:jc w:val="center"/>
            </w:pPr>
            <w:r>
              <w:t>112.855</w:t>
            </w:r>
          </w:p>
        </w:tc>
      </w:tr>
      <w:tr w:rsidR="00B75E06" w:rsidRPr="00B75E06" w14:paraId="315E2262" w14:textId="77777777" w:rsidTr="00CE2BF6">
        <w:trPr>
          <w:trHeight w:val="746"/>
        </w:trPr>
        <w:tc>
          <w:tcPr>
            <w:tcW w:w="5913" w:type="dxa"/>
            <w:vAlign w:val="bottom"/>
          </w:tcPr>
          <w:p w14:paraId="6C37F50E" w14:textId="50F977F4" w:rsidR="00CE2BF6" w:rsidRPr="00B75E06" w:rsidRDefault="002204A9" w:rsidP="009B54CB">
            <w:pPr>
              <w:keepNext/>
              <w:spacing w:before="40" w:after="40"/>
              <w:ind w:left="567" w:hanging="567"/>
              <w:jc w:val="left"/>
              <w:rPr>
                <w:rFonts w:cs="Arial"/>
              </w:rPr>
            </w:pPr>
            <w:proofErr w:type="gramStart"/>
            <w:r>
              <w:rPr>
                <w:rFonts w:cs="Arial"/>
              </w:rPr>
              <w:t>plus</w:t>
            </w:r>
            <w:proofErr w:type="gramEnd"/>
            <w:r w:rsidR="00CE2BF6" w:rsidRPr="00B75E06">
              <w:rPr>
                <w:rFonts w:cs="Arial"/>
              </w:rPr>
              <w:tab/>
              <w:t xml:space="preserve">Difference between actual ATO records and Department of Education estimates of debt in 2020 </w:t>
            </w:r>
          </w:p>
        </w:tc>
        <w:tc>
          <w:tcPr>
            <w:tcW w:w="1425" w:type="dxa"/>
          </w:tcPr>
          <w:p w14:paraId="3CFE1E87" w14:textId="26273EE7" w:rsidR="00CE2BF6" w:rsidRPr="00B75E06" w:rsidRDefault="00CE2BF6" w:rsidP="009B54CB">
            <w:pPr>
              <w:spacing w:before="40" w:after="40"/>
              <w:jc w:val="center"/>
            </w:pPr>
            <w:r w:rsidRPr="00B75E06">
              <w:t>269.349</w:t>
            </w:r>
          </w:p>
        </w:tc>
        <w:tc>
          <w:tcPr>
            <w:tcW w:w="1251" w:type="dxa"/>
          </w:tcPr>
          <w:p w14:paraId="41749AA9" w14:textId="4AA4DA3E" w:rsidR="00CE2BF6" w:rsidRPr="00B75E06" w:rsidRDefault="00CE2BF6" w:rsidP="009B54CB">
            <w:pPr>
              <w:spacing w:before="40" w:after="40" w:line="240" w:lineRule="auto"/>
              <w:jc w:val="center"/>
            </w:pPr>
            <w:r w:rsidRPr="00B75E06">
              <w:t>53.620</w:t>
            </w:r>
          </w:p>
        </w:tc>
      </w:tr>
      <w:tr w:rsidR="00CE2BF6" w:rsidRPr="00B75E06" w14:paraId="08A0482F" w14:textId="77777777" w:rsidTr="00BD3A5B">
        <w:trPr>
          <w:trHeight w:val="442"/>
        </w:trPr>
        <w:tc>
          <w:tcPr>
            <w:tcW w:w="5913" w:type="dxa"/>
            <w:vAlign w:val="bottom"/>
          </w:tcPr>
          <w:p w14:paraId="4F6E44AB" w14:textId="77777777" w:rsidR="00B75E06" w:rsidRDefault="00CE2BF6" w:rsidP="009B54CB">
            <w:pPr>
              <w:keepNext/>
              <w:spacing w:before="40" w:after="40"/>
              <w:jc w:val="left"/>
              <w:rPr>
                <w:rFonts w:cs="Arial"/>
              </w:rPr>
            </w:pPr>
            <w:proofErr w:type="gramStart"/>
            <w:r w:rsidRPr="00B75E06">
              <w:rPr>
                <w:rFonts w:cs="Arial"/>
              </w:rPr>
              <w:t>plus</w:t>
            </w:r>
            <w:proofErr w:type="gramEnd"/>
            <w:r w:rsidRPr="00B75E06">
              <w:rPr>
                <w:rFonts w:cs="Arial"/>
              </w:rPr>
              <w:t xml:space="preserve"> </w:t>
            </w:r>
            <w:r w:rsidRPr="00B75E06">
              <w:rPr>
                <w:rFonts w:cs="Arial"/>
              </w:rPr>
              <w:tab/>
              <w:t>Removal of VFH debtors from model¹</w:t>
            </w:r>
            <w:r w:rsidR="00B75E06">
              <w:rPr>
                <w:rFonts w:cs="Arial"/>
              </w:rPr>
              <w:t xml:space="preserve"> in excess of </w:t>
            </w:r>
          </w:p>
          <w:p w14:paraId="0359CD0B" w14:textId="511A91B7" w:rsidR="00CE2BF6" w:rsidRPr="00B75E06" w:rsidRDefault="00B75E06" w:rsidP="009B54CB">
            <w:pPr>
              <w:keepNext/>
              <w:spacing w:before="40" w:after="40"/>
              <w:jc w:val="left"/>
              <w:rPr>
                <w:rFonts w:cs="Arial"/>
              </w:rPr>
            </w:pPr>
            <w:r>
              <w:rPr>
                <w:rFonts w:cs="Arial"/>
              </w:rPr>
              <w:t xml:space="preserve">          allowance at 30 June 2020</w:t>
            </w:r>
          </w:p>
        </w:tc>
        <w:tc>
          <w:tcPr>
            <w:tcW w:w="1425" w:type="dxa"/>
          </w:tcPr>
          <w:p w14:paraId="271BBE65" w14:textId="0354F3C6" w:rsidR="00CE2BF6" w:rsidRPr="00B75E06" w:rsidRDefault="00B75E06" w:rsidP="009B54CB">
            <w:pPr>
              <w:spacing w:before="40" w:after="40"/>
              <w:jc w:val="center"/>
            </w:pPr>
            <w:r>
              <w:t>-</w:t>
            </w:r>
          </w:p>
        </w:tc>
        <w:tc>
          <w:tcPr>
            <w:tcW w:w="1251" w:type="dxa"/>
          </w:tcPr>
          <w:p w14:paraId="6E63E049" w14:textId="5B48A319" w:rsidR="00CE2BF6" w:rsidRPr="00B75E06" w:rsidRDefault="00CE2BF6" w:rsidP="009B54CB">
            <w:pPr>
              <w:spacing w:before="40" w:after="40"/>
              <w:jc w:val="center"/>
            </w:pPr>
            <w:r w:rsidRPr="00B75E06">
              <w:t>4.899</w:t>
            </w:r>
          </w:p>
        </w:tc>
      </w:tr>
      <w:tr w:rsidR="00C314F3" w:rsidRPr="00B75E06" w14:paraId="06FD0CE0" w14:textId="77777777" w:rsidTr="00BD3A5B">
        <w:trPr>
          <w:trHeight w:val="442"/>
        </w:trPr>
        <w:tc>
          <w:tcPr>
            <w:tcW w:w="5913" w:type="dxa"/>
            <w:vAlign w:val="bottom"/>
          </w:tcPr>
          <w:p w14:paraId="07FDE9B3" w14:textId="2C5CF9F8" w:rsidR="00C314F3" w:rsidRPr="00B75E06" w:rsidRDefault="00C314F3" w:rsidP="00C314F3">
            <w:pPr>
              <w:keepNext/>
              <w:spacing w:before="40" w:after="40"/>
              <w:jc w:val="left"/>
              <w:rPr>
                <w:rFonts w:cs="Arial"/>
              </w:rPr>
            </w:pPr>
            <w:r w:rsidRPr="00B75E06">
              <w:rPr>
                <w:rFonts w:cs="Arial"/>
              </w:rPr>
              <w:t xml:space="preserve">less </w:t>
            </w:r>
            <w:r w:rsidRPr="00B75E06">
              <w:rPr>
                <w:rFonts w:cs="Arial"/>
              </w:rPr>
              <w:tab/>
              <w:t xml:space="preserve">Effect of HELP model changes for 2020     </w:t>
            </w:r>
          </w:p>
        </w:tc>
        <w:tc>
          <w:tcPr>
            <w:tcW w:w="1425" w:type="dxa"/>
          </w:tcPr>
          <w:p w14:paraId="32FB3B77" w14:textId="72E7E154" w:rsidR="00C314F3" w:rsidRPr="00B75E06" w:rsidRDefault="00C314F3" w:rsidP="00C314F3">
            <w:pPr>
              <w:spacing w:before="40" w:after="40"/>
              <w:jc w:val="center"/>
            </w:pPr>
            <w:r w:rsidRPr="0050131A">
              <w:t xml:space="preserve"> -   </w:t>
            </w:r>
          </w:p>
        </w:tc>
        <w:tc>
          <w:tcPr>
            <w:tcW w:w="1251" w:type="dxa"/>
          </w:tcPr>
          <w:p w14:paraId="6B2509FD" w14:textId="075A91CD" w:rsidR="00C314F3" w:rsidRPr="00B75E06" w:rsidRDefault="00C314F3" w:rsidP="00C314F3">
            <w:pPr>
              <w:spacing w:before="40" w:after="40"/>
              <w:jc w:val="center"/>
            </w:pPr>
            <w:r w:rsidRPr="0050131A">
              <w:t>-1,148.997</w:t>
            </w:r>
          </w:p>
        </w:tc>
      </w:tr>
      <w:tr w:rsidR="00C314F3" w:rsidRPr="00B75E06" w14:paraId="0E949927" w14:textId="77777777" w:rsidTr="00BD3A5B">
        <w:trPr>
          <w:trHeight w:val="746"/>
        </w:trPr>
        <w:tc>
          <w:tcPr>
            <w:tcW w:w="5913" w:type="dxa"/>
            <w:tcBorders>
              <w:bottom w:val="single" w:sz="4" w:space="0" w:color="auto"/>
            </w:tcBorders>
            <w:vAlign w:val="bottom"/>
          </w:tcPr>
          <w:p w14:paraId="34E39876" w14:textId="03B9057D" w:rsidR="00C314F3" w:rsidRPr="00B75E06" w:rsidRDefault="00C314F3" w:rsidP="00C314F3">
            <w:pPr>
              <w:keepNext/>
              <w:spacing w:before="40" w:after="40"/>
              <w:ind w:left="567" w:hanging="567"/>
              <w:jc w:val="left"/>
              <w:rPr>
                <w:rFonts w:cs="Arial"/>
                <w:b/>
              </w:rPr>
            </w:pPr>
            <w:r w:rsidRPr="00B75E06">
              <w:rPr>
                <w:rFonts w:cs="Arial"/>
              </w:rPr>
              <w:t>gives</w:t>
            </w:r>
            <w:r w:rsidRPr="00B75E06">
              <w:rPr>
                <w:rFonts w:cs="Arial"/>
                <w:b/>
              </w:rPr>
              <w:tab/>
              <w:t xml:space="preserve">Revised closing balance at 30/6/20 using </w:t>
            </w:r>
            <w:r w:rsidRPr="00B75E06">
              <w:rPr>
                <w:rFonts w:cs="Arial"/>
                <w:b/>
              </w:rPr>
              <w:br/>
              <w:t>data to 30/6/20</w:t>
            </w:r>
          </w:p>
        </w:tc>
        <w:tc>
          <w:tcPr>
            <w:tcW w:w="1425" w:type="dxa"/>
            <w:tcBorders>
              <w:top w:val="single" w:sz="4" w:space="0" w:color="auto"/>
              <w:bottom w:val="single" w:sz="4" w:space="0" w:color="auto"/>
            </w:tcBorders>
          </w:tcPr>
          <w:p w14:paraId="1A5CAB5B" w14:textId="3FE1FE5A" w:rsidR="00C314F3" w:rsidRPr="00C314F3" w:rsidRDefault="00C314F3" w:rsidP="00C314F3">
            <w:pPr>
              <w:spacing w:before="40" w:after="40"/>
              <w:jc w:val="center"/>
              <w:rPr>
                <w:b/>
                <w:bCs/>
              </w:rPr>
            </w:pPr>
            <w:r w:rsidRPr="00C314F3">
              <w:rPr>
                <w:b/>
                <w:bCs/>
              </w:rPr>
              <w:t>70,100.370</w:t>
            </w:r>
          </w:p>
        </w:tc>
        <w:tc>
          <w:tcPr>
            <w:tcW w:w="1251" w:type="dxa"/>
            <w:tcBorders>
              <w:top w:val="single" w:sz="4" w:space="0" w:color="auto"/>
              <w:bottom w:val="single" w:sz="4" w:space="0" w:color="auto"/>
            </w:tcBorders>
          </w:tcPr>
          <w:p w14:paraId="70267648" w14:textId="5FB4E235" w:rsidR="00C314F3" w:rsidRPr="00C314F3" w:rsidRDefault="00C314F3" w:rsidP="00C314F3">
            <w:pPr>
              <w:spacing w:before="40" w:after="40"/>
              <w:jc w:val="center"/>
              <w:rPr>
                <w:b/>
                <w:bCs/>
              </w:rPr>
            </w:pPr>
            <w:r w:rsidRPr="00C314F3">
              <w:rPr>
                <w:b/>
                <w:bCs/>
              </w:rPr>
              <w:t>16,659.483</w:t>
            </w:r>
          </w:p>
        </w:tc>
      </w:tr>
      <w:tr w:rsidR="00336914" w:rsidRPr="00B75E06" w14:paraId="6F69BDB7" w14:textId="77777777" w:rsidTr="00BD3A5B">
        <w:trPr>
          <w:trHeight w:val="442"/>
        </w:trPr>
        <w:tc>
          <w:tcPr>
            <w:tcW w:w="5913" w:type="dxa"/>
            <w:tcBorders>
              <w:top w:val="single" w:sz="4" w:space="0" w:color="auto"/>
            </w:tcBorders>
            <w:vAlign w:val="bottom"/>
          </w:tcPr>
          <w:p w14:paraId="75C41D58" w14:textId="2175FFE2" w:rsidR="00336914" w:rsidRPr="00B75E06" w:rsidRDefault="00336914" w:rsidP="009B54CB">
            <w:pPr>
              <w:keepNext/>
              <w:spacing w:before="0" w:after="0"/>
              <w:jc w:val="left"/>
              <w:rPr>
                <w:rFonts w:cs="Arial"/>
              </w:rPr>
            </w:pPr>
            <w:r w:rsidRPr="00B75E06">
              <w:rPr>
                <w:rFonts w:cs="Arial"/>
              </w:rPr>
              <w:t xml:space="preserve">less </w:t>
            </w:r>
            <w:r w:rsidRPr="00B75E06">
              <w:rPr>
                <w:rFonts w:cs="Arial"/>
              </w:rPr>
              <w:tab/>
              <w:t>Actual compulsory repayments in 2020-21</w:t>
            </w:r>
          </w:p>
        </w:tc>
        <w:tc>
          <w:tcPr>
            <w:tcW w:w="1425" w:type="dxa"/>
            <w:tcBorders>
              <w:top w:val="single" w:sz="4" w:space="0" w:color="auto"/>
            </w:tcBorders>
          </w:tcPr>
          <w:p w14:paraId="7FA6B14D" w14:textId="0593FFD6" w:rsidR="00336914" w:rsidRPr="00B75E06" w:rsidRDefault="00336914" w:rsidP="00B75E06">
            <w:pPr>
              <w:spacing w:before="40" w:after="40" w:line="240" w:lineRule="auto"/>
              <w:jc w:val="center"/>
            </w:pPr>
            <w:r w:rsidRPr="00B75E06">
              <w:t>-3,723.762</w:t>
            </w:r>
          </w:p>
        </w:tc>
        <w:tc>
          <w:tcPr>
            <w:tcW w:w="1251" w:type="dxa"/>
            <w:tcBorders>
              <w:top w:val="single" w:sz="4" w:space="0" w:color="auto"/>
            </w:tcBorders>
          </w:tcPr>
          <w:p w14:paraId="38ECCC63" w14:textId="535975D4" w:rsidR="00336914" w:rsidRPr="00B75E06" w:rsidRDefault="00336914" w:rsidP="00B75E06">
            <w:pPr>
              <w:spacing w:before="40" w:after="40"/>
              <w:jc w:val="center"/>
            </w:pPr>
            <w:r w:rsidRPr="00B75E06">
              <w:t>-</w:t>
            </w:r>
          </w:p>
        </w:tc>
      </w:tr>
      <w:tr w:rsidR="00336914" w:rsidRPr="00B75E06" w14:paraId="55E23E49" w14:textId="77777777" w:rsidTr="00BD3A5B">
        <w:trPr>
          <w:trHeight w:val="442"/>
        </w:trPr>
        <w:tc>
          <w:tcPr>
            <w:tcW w:w="5913" w:type="dxa"/>
            <w:vAlign w:val="bottom"/>
          </w:tcPr>
          <w:p w14:paraId="46A007D2" w14:textId="24179D9A" w:rsidR="00336914" w:rsidRPr="00B75E06" w:rsidRDefault="00336914" w:rsidP="009B54CB">
            <w:pPr>
              <w:keepNext/>
              <w:spacing w:before="0" w:after="0"/>
              <w:jc w:val="left"/>
              <w:rPr>
                <w:rFonts w:cs="Arial"/>
              </w:rPr>
            </w:pPr>
            <w:r w:rsidRPr="00B75E06">
              <w:rPr>
                <w:rFonts w:cs="Arial"/>
              </w:rPr>
              <w:t xml:space="preserve">less </w:t>
            </w:r>
            <w:r w:rsidRPr="00B75E06">
              <w:rPr>
                <w:rFonts w:cs="Arial"/>
              </w:rPr>
              <w:tab/>
              <w:t>Voluntary repayments in 2020-21</w:t>
            </w:r>
          </w:p>
        </w:tc>
        <w:tc>
          <w:tcPr>
            <w:tcW w:w="1425" w:type="dxa"/>
          </w:tcPr>
          <w:p w14:paraId="0458E453" w14:textId="06F887E8" w:rsidR="00336914" w:rsidRPr="00B75E06" w:rsidRDefault="00336914" w:rsidP="00B75E06">
            <w:pPr>
              <w:spacing w:before="40" w:after="40"/>
              <w:jc w:val="center"/>
            </w:pPr>
            <w:r w:rsidRPr="00B75E06">
              <w:t>-541.538</w:t>
            </w:r>
          </w:p>
        </w:tc>
        <w:tc>
          <w:tcPr>
            <w:tcW w:w="1251" w:type="dxa"/>
          </w:tcPr>
          <w:p w14:paraId="613C003E" w14:textId="2A0A2EB1" w:rsidR="00336914" w:rsidRPr="00B75E06" w:rsidRDefault="00336914" w:rsidP="00B75E06">
            <w:pPr>
              <w:spacing w:before="40" w:after="40"/>
              <w:jc w:val="center"/>
            </w:pPr>
            <w:r w:rsidRPr="00B75E06">
              <w:t>-</w:t>
            </w:r>
          </w:p>
        </w:tc>
      </w:tr>
      <w:tr w:rsidR="00336914" w:rsidRPr="00B75E06" w14:paraId="22187F4C" w14:textId="77777777" w:rsidTr="00BD3A5B">
        <w:trPr>
          <w:trHeight w:val="442"/>
        </w:trPr>
        <w:tc>
          <w:tcPr>
            <w:tcW w:w="5913" w:type="dxa"/>
            <w:vAlign w:val="bottom"/>
          </w:tcPr>
          <w:p w14:paraId="637C68B5" w14:textId="327DA9DA" w:rsidR="00336914" w:rsidRPr="00B75E06" w:rsidRDefault="00336914" w:rsidP="009B54CB">
            <w:pPr>
              <w:keepNext/>
              <w:spacing w:before="0" w:after="0"/>
              <w:jc w:val="left"/>
              <w:rPr>
                <w:rFonts w:cs="Arial"/>
              </w:rPr>
            </w:pPr>
            <w:r w:rsidRPr="00B75E06">
              <w:rPr>
                <w:rFonts w:cs="Arial"/>
              </w:rPr>
              <w:t xml:space="preserve">less </w:t>
            </w:r>
            <w:r w:rsidRPr="00B75E06">
              <w:rPr>
                <w:rFonts w:cs="Arial"/>
              </w:rPr>
              <w:tab/>
              <w:t>Bonus on voluntary repayments in 2020-21</w:t>
            </w:r>
          </w:p>
        </w:tc>
        <w:tc>
          <w:tcPr>
            <w:tcW w:w="1425" w:type="dxa"/>
          </w:tcPr>
          <w:p w14:paraId="36C9E110" w14:textId="32AE975E" w:rsidR="00336914" w:rsidRPr="00B75E06" w:rsidRDefault="00336914" w:rsidP="00B75E06">
            <w:pPr>
              <w:spacing w:before="40" w:after="40"/>
              <w:jc w:val="center"/>
            </w:pPr>
            <w:r w:rsidRPr="00B75E06">
              <w:t>-0.001</w:t>
            </w:r>
          </w:p>
        </w:tc>
        <w:tc>
          <w:tcPr>
            <w:tcW w:w="1251" w:type="dxa"/>
          </w:tcPr>
          <w:p w14:paraId="79CBFF92" w14:textId="63AE0C9F" w:rsidR="00336914" w:rsidRPr="00B75E06" w:rsidRDefault="00336914" w:rsidP="00B75E06">
            <w:pPr>
              <w:spacing w:before="40" w:after="40"/>
              <w:jc w:val="center"/>
            </w:pPr>
            <w:r w:rsidRPr="00B75E06">
              <w:t>-</w:t>
            </w:r>
          </w:p>
        </w:tc>
      </w:tr>
      <w:tr w:rsidR="00336914" w:rsidRPr="00B75E06" w14:paraId="1822012B" w14:textId="77777777" w:rsidTr="00BD3A5B">
        <w:trPr>
          <w:trHeight w:val="442"/>
        </w:trPr>
        <w:tc>
          <w:tcPr>
            <w:tcW w:w="5913" w:type="dxa"/>
            <w:vAlign w:val="bottom"/>
          </w:tcPr>
          <w:p w14:paraId="20D858CF" w14:textId="77777777" w:rsidR="00336914" w:rsidRPr="00B75E06" w:rsidRDefault="00336914" w:rsidP="009B54CB">
            <w:pPr>
              <w:keepNext/>
              <w:spacing w:before="0" w:after="0"/>
              <w:jc w:val="left"/>
              <w:rPr>
                <w:rFonts w:cs="Arial"/>
              </w:rPr>
            </w:pPr>
            <w:r w:rsidRPr="00B75E06">
              <w:rPr>
                <w:rFonts w:cs="Arial"/>
              </w:rPr>
              <w:t>less</w:t>
            </w:r>
            <w:r w:rsidRPr="00B75E06">
              <w:rPr>
                <w:rFonts w:cs="Arial"/>
              </w:rPr>
              <w:tab/>
              <w:t>Reductions for selected courses</w:t>
            </w:r>
          </w:p>
        </w:tc>
        <w:tc>
          <w:tcPr>
            <w:tcW w:w="1425" w:type="dxa"/>
          </w:tcPr>
          <w:p w14:paraId="26D3BAA4" w14:textId="4CA641D9" w:rsidR="00336914" w:rsidRPr="00B75E06" w:rsidRDefault="00336914" w:rsidP="00B75E06">
            <w:pPr>
              <w:spacing w:before="40" w:after="40"/>
              <w:jc w:val="center"/>
            </w:pPr>
            <w:r w:rsidRPr="00B75E06">
              <w:t>-0.029</w:t>
            </w:r>
          </w:p>
        </w:tc>
        <w:tc>
          <w:tcPr>
            <w:tcW w:w="1251" w:type="dxa"/>
          </w:tcPr>
          <w:p w14:paraId="23ABFD52" w14:textId="252F63B9" w:rsidR="00336914" w:rsidRPr="00B75E06" w:rsidRDefault="00336914" w:rsidP="00B75E06">
            <w:pPr>
              <w:spacing w:before="40" w:after="40"/>
              <w:jc w:val="center"/>
            </w:pPr>
            <w:r w:rsidRPr="00B75E06">
              <w:t>-0.005</w:t>
            </w:r>
          </w:p>
        </w:tc>
      </w:tr>
      <w:tr w:rsidR="00336914" w:rsidRPr="00B75E06" w14:paraId="0DB4ADB0" w14:textId="77777777" w:rsidTr="00BD3A5B">
        <w:trPr>
          <w:trHeight w:val="455"/>
        </w:trPr>
        <w:tc>
          <w:tcPr>
            <w:tcW w:w="5913" w:type="dxa"/>
            <w:vAlign w:val="bottom"/>
          </w:tcPr>
          <w:p w14:paraId="6B9381F2" w14:textId="3B294AF2" w:rsidR="00336914" w:rsidRPr="00B75E06" w:rsidRDefault="00336914" w:rsidP="009B54CB">
            <w:pPr>
              <w:keepNext/>
              <w:spacing w:before="0" w:after="0"/>
              <w:jc w:val="left"/>
              <w:rPr>
                <w:rFonts w:cs="Arial"/>
              </w:rPr>
            </w:pPr>
            <w:r w:rsidRPr="00B75E06">
              <w:rPr>
                <w:rFonts w:cs="Arial"/>
              </w:rPr>
              <w:t xml:space="preserve">less </w:t>
            </w:r>
            <w:r w:rsidRPr="00B75E06">
              <w:rPr>
                <w:rFonts w:cs="Arial"/>
              </w:rPr>
              <w:tab/>
              <w:t>Write-offs in 2020-21</w:t>
            </w:r>
          </w:p>
        </w:tc>
        <w:tc>
          <w:tcPr>
            <w:tcW w:w="1425" w:type="dxa"/>
          </w:tcPr>
          <w:p w14:paraId="14ED0B04" w14:textId="075A5D85" w:rsidR="00336914" w:rsidRPr="00B75E06" w:rsidRDefault="00336914" w:rsidP="00B75E06">
            <w:pPr>
              <w:spacing w:before="40" w:after="40"/>
              <w:jc w:val="center"/>
            </w:pPr>
            <w:r w:rsidRPr="00B75E06">
              <w:t>0.000</w:t>
            </w:r>
          </w:p>
        </w:tc>
        <w:tc>
          <w:tcPr>
            <w:tcW w:w="1251" w:type="dxa"/>
          </w:tcPr>
          <w:p w14:paraId="64CC53B8" w14:textId="304ADF9B" w:rsidR="00336914" w:rsidRPr="00B75E06" w:rsidRDefault="00336914" w:rsidP="00B75E06">
            <w:pPr>
              <w:spacing w:before="40" w:after="40"/>
              <w:jc w:val="center"/>
            </w:pPr>
            <w:r w:rsidRPr="00B75E06">
              <w:t>0.000</w:t>
            </w:r>
          </w:p>
        </w:tc>
      </w:tr>
      <w:tr w:rsidR="00336914" w:rsidRPr="00B75E06" w14:paraId="299036B0" w14:textId="77777777" w:rsidTr="00BD3A5B">
        <w:trPr>
          <w:trHeight w:val="442"/>
        </w:trPr>
        <w:tc>
          <w:tcPr>
            <w:tcW w:w="5913" w:type="dxa"/>
            <w:vAlign w:val="bottom"/>
          </w:tcPr>
          <w:p w14:paraId="6777E55E" w14:textId="6AD826BB" w:rsidR="00336914" w:rsidRPr="00B75E06" w:rsidRDefault="00336914" w:rsidP="009B54CB">
            <w:pPr>
              <w:keepNext/>
              <w:spacing w:before="0" w:after="0"/>
              <w:jc w:val="left"/>
              <w:rPr>
                <w:rFonts w:cs="Arial"/>
              </w:rPr>
            </w:pPr>
            <w:r w:rsidRPr="00B75E06">
              <w:rPr>
                <w:rFonts w:cs="Arial"/>
              </w:rPr>
              <w:t xml:space="preserve">less </w:t>
            </w:r>
            <w:r w:rsidRPr="00B75E06">
              <w:rPr>
                <w:rFonts w:cs="Arial"/>
              </w:rPr>
              <w:tab/>
              <w:t>Remissions and waivers in 2020-21</w:t>
            </w:r>
          </w:p>
        </w:tc>
        <w:tc>
          <w:tcPr>
            <w:tcW w:w="1425" w:type="dxa"/>
          </w:tcPr>
          <w:p w14:paraId="7DA73C55" w14:textId="620DFB72" w:rsidR="00336914" w:rsidRPr="00B75E06" w:rsidRDefault="00336914" w:rsidP="00B75E06">
            <w:pPr>
              <w:spacing w:before="40" w:after="40"/>
              <w:jc w:val="center"/>
            </w:pPr>
            <w:r w:rsidRPr="00B75E06">
              <w:t>-7.758</w:t>
            </w:r>
          </w:p>
        </w:tc>
        <w:tc>
          <w:tcPr>
            <w:tcW w:w="1251" w:type="dxa"/>
          </w:tcPr>
          <w:p w14:paraId="13C28C62" w14:textId="7B0431EB" w:rsidR="00336914" w:rsidRPr="00B75E06" w:rsidRDefault="00336914" w:rsidP="00B75E06">
            <w:pPr>
              <w:spacing w:before="40" w:after="40"/>
              <w:jc w:val="center"/>
            </w:pPr>
            <w:r w:rsidRPr="00B75E06">
              <w:t>-7.758</w:t>
            </w:r>
          </w:p>
        </w:tc>
      </w:tr>
      <w:tr w:rsidR="00336914" w:rsidRPr="00B75E06" w14:paraId="7E9AA0B2" w14:textId="77777777" w:rsidTr="00BD3A5B">
        <w:trPr>
          <w:trHeight w:val="442"/>
        </w:trPr>
        <w:tc>
          <w:tcPr>
            <w:tcW w:w="5913" w:type="dxa"/>
            <w:vAlign w:val="bottom"/>
          </w:tcPr>
          <w:p w14:paraId="1C8EC26D" w14:textId="77777777" w:rsidR="00336914" w:rsidRPr="00B75E06" w:rsidRDefault="00336914" w:rsidP="009B54CB">
            <w:pPr>
              <w:keepNext/>
              <w:spacing w:before="0" w:after="0"/>
              <w:jc w:val="left"/>
              <w:rPr>
                <w:rFonts w:cs="Arial"/>
              </w:rPr>
            </w:pPr>
            <w:proofErr w:type="gramStart"/>
            <w:r w:rsidRPr="00B75E06">
              <w:rPr>
                <w:rFonts w:cs="Arial"/>
              </w:rPr>
              <w:t>plus</w:t>
            </w:r>
            <w:proofErr w:type="gramEnd"/>
            <w:r w:rsidRPr="00B75E06">
              <w:rPr>
                <w:rFonts w:cs="Arial"/>
              </w:rPr>
              <w:t xml:space="preserve"> </w:t>
            </w:r>
            <w:r w:rsidRPr="00B75E06">
              <w:rPr>
                <w:rFonts w:cs="Arial"/>
              </w:rPr>
              <w:tab/>
              <w:t>New Debt</w:t>
            </w:r>
          </w:p>
        </w:tc>
        <w:tc>
          <w:tcPr>
            <w:tcW w:w="1425" w:type="dxa"/>
          </w:tcPr>
          <w:p w14:paraId="2BC583D3" w14:textId="6267C037" w:rsidR="00336914" w:rsidRPr="00B75E06" w:rsidRDefault="00336914" w:rsidP="00B75E06">
            <w:pPr>
              <w:spacing w:before="40" w:after="40"/>
              <w:jc w:val="center"/>
            </w:pPr>
            <w:r w:rsidRPr="00B75E06">
              <w:t>6,843.388</w:t>
            </w:r>
          </w:p>
        </w:tc>
        <w:tc>
          <w:tcPr>
            <w:tcW w:w="1251" w:type="dxa"/>
          </w:tcPr>
          <w:p w14:paraId="535F0048" w14:textId="31EDC883" w:rsidR="00336914" w:rsidRPr="00B75E06" w:rsidRDefault="00336914" w:rsidP="00B75E06">
            <w:pPr>
              <w:spacing w:before="40" w:after="40"/>
              <w:jc w:val="center"/>
            </w:pPr>
            <w:r w:rsidRPr="00B75E06">
              <w:t>1,075.181</w:t>
            </w:r>
          </w:p>
        </w:tc>
      </w:tr>
      <w:tr w:rsidR="00C314F3" w:rsidRPr="00B75E06" w14:paraId="340E8B45" w14:textId="77777777" w:rsidTr="00BD3A5B">
        <w:trPr>
          <w:trHeight w:val="442"/>
        </w:trPr>
        <w:tc>
          <w:tcPr>
            <w:tcW w:w="5913" w:type="dxa"/>
            <w:vAlign w:val="bottom"/>
          </w:tcPr>
          <w:p w14:paraId="0AD5D97A" w14:textId="77777777" w:rsidR="00C314F3" w:rsidRPr="00B75E06" w:rsidRDefault="00C314F3" w:rsidP="00C314F3">
            <w:pPr>
              <w:keepNext/>
              <w:spacing w:before="60" w:after="0"/>
              <w:jc w:val="left"/>
              <w:rPr>
                <w:rFonts w:cs="Arial"/>
              </w:rPr>
            </w:pPr>
            <w:r w:rsidRPr="00B75E06">
              <w:rPr>
                <w:rFonts w:cs="Arial"/>
              </w:rPr>
              <w:t>less    Estimate of further VET debt re-credits processed to April</w:t>
            </w:r>
          </w:p>
          <w:p w14:paraId="548F3B78" w14:textId="70472C88" w:rsidR="00C314F3" w:rsidRPr="00B75E06" w:rsidRDefault="00C314F3" w:rsidP="00C314F3">
            <w:pPr>
              <w:keepNext/>
              <w:spacing w:before="60" w:after="0"/>
              <w:jc w:val="left"/>
              <w:rPr>
                <w:rFonts w:cs="Arial"/>
              </w:rPr>
            </w:pPr>
            <w:r w:rsidRPr="00B75E06">
              <w:rPr>
                <w:rFonts w:cs="Arial"/>
              </w:rPr>
              <w:t xml:space="preserve">          2021 removed from debtor data</w:t>
            </w:r>
          </w:p>
        </w:tc>
        <w:tc>
          <w:tcPr>
            <w:tcW w:w="1425" w:type="dxa"/>
          </w:tcPr>
          <w:p w14:paraId="15E95359" w14:textId="0D3E3C69" w:rsidR="00C314F3" w:rsidRPr="00B75E06" w:rsidRDefault="00C314F3" w:rsidP="00C314F3">
            <w:pPr>
              <w:spacing w:before="60" w:after="40"/>
              <w:jc w:val="center"/>
            </w:pPr>
            <w:r w:rsidRPr="008F5126">
              <w:t>-1,166.04</w:t>
            </w:r>
            <w:r>
              <w:t>3</w:t>
            </w:r>
            <w:r w:rsidRPr="008F5126">
              <w:t xml:space="preserve"> </w:t>
            </w:r>
          </w:p>
        </w:tc>
        <w:tc>
          <w:tcPr>
            <w:tcW w:w="1251" w:type="dxa"/>
          </w:tcPr>
          <w:p w14:paraId="332F2E43" w14:textId="2D0AAFE0" w:rsidR="00C314F3" w:rsidRPr="00B75E06" w:rsidRDefault="00C314F3" w:rsidP="00C314F3">
            <w:pPr>
              <w:spacing w:before="60" w:after="40"/>
              <w:jc w:val="center"/>
            </w:pPr>
            <w:r w:rsidRPr="008F5126">
              <w:t>-1,166.043</w:t>
            </w:r>
          </w:p>
        </w:tc>
      </w:tr>
      <w:tr w:rsidR="00C314F3" w:rsidRPr="00B75E06" w14:paraId="4AC10F9E" w14:textId="77777777" w:rsidTr="00BD3A5B">
        <w:trPr>
          <w:trHeight w:val="442"/>
        </w:trPr>
        <w:tc>
          <w:tcPr>
            <w:tcW w:w="5913" w:type="dxa"/>
            <w:vAlign w:val="bottom"/>
          </w:tcPr>
          <w:p w14:paraId="5232048C" w14:textId="1342A953" w:rsidR="00C314F3" w:rsidRPr="00B75E06" w:rsidRDefault="00C314F3" w:rsidP="00C314F3">
            <w:pPr>
              <w:keepNext/>
              <w:spacing w:before="60" w:after="0"/>
              <w:jc w:val="left"/>
              <w:rPr>
                <w:rFonts w:cs="Arial"/>
              </w:rPr>
            </w:pPr>
            <w:r w:rsidRPr="00B75E06">
              <w:rPr>
                <w:rFonts w:cs="Arial"/>
              </w:rPr>
              <w:t>less   Estimate of further VET debt re-credits processed up to</w:t>
            </w:r>
          </w:p>
          <w:p w14:paraId="4ECD9AD0" w14:textId="463D6AFA" w:rsidR="00C314F3" w:rsidRPr="00B75E06" w:rsidRDefault="00C314F3" w:rsidP="00C314F3">
            <w:pPr>
              <w:keepNext/>
              <w:spacing w:before="60" w:after="0"/>
              <w:jc w:val="left"/>
              <w:rPr>
                <w:rFonts w:cs="Arial"/>
              </w:rPr>
            </w:pPr>
            <w:r w:rsidRPr="00B75E06">
              <w:rPr>
                <w:rFonts w:cs="Arial"/>
              </w:rPr>
              <w:t xml:space="preserve">         </w:t>
            </w:r>
            <w:r>
              <w:rPr>
                <w:rFonts w:cs="Arial"/>
              </w:rPr>
              <w:t xml:space="preserve"> </w:t>
            </w:r>
            <w:r w:rsidRPr="00B75E06">
              <w:rPr>
                <w:rFonts w:cs="Arial"/>
              </w:rPr>
              <w:t>July 2021 implied by ATO Certificate</w:t>
            </w:r>
            <w:r w:rsidRPr="00B75E06">
              <w:rPr>
                <w:rFonts w:cs="Arial"/>
                <w:vertAlign w:val="superscript"/>
              </w:rPr>
              <w:t>2</w:t>
            </w:r>
          </w:p>
        </w:tc>
        <w:tc>
          <w:tcPr>
            <w:tcW w:w="1425" w:type="dxa"/>
          </w:tcPr>
          <w:p w14:paraId="40B8F202" w14:textId="27A03E2B" w:rsidR="00C314F3" w:rsidRPr="00B75E06" w:rsidRDefault="00C314F3" w:rsidP="00C314F3">
            <w:pPr>
              <w:spacing w:before="60" w:after="40"/>
              <w:jc w:val="center"/>
            </w:pPr>
            <w:r w:rsidRPr="008F5126">
              <w:t>-239.21</w:t>
            </w:r>
            <w:r>
              <w:t>4</w:t>
            </w:r>
            <w:r w:rsidRPr="008F5126">
              <w:t xml:space="preserve"> </w:t>
            </w:r>
          </w:p>
        </w:tc>
        <w:tc>
          <w:tcPr>
            <w:tcW w:w="1251" w:type="dxa"/>
          </w:tcPr>
          <w:p w14:paraId="12290568" w14:textId="34391743" w:rsidR="00C314F3" w:rsidRPr="00B75E06" w:rsidRDefault="00C314F3" w:rsidP="00C314F3">
            <w:pPr>
              <w:spacing w:before="60" w:after="40"/>
              <w:jc w:val="center"/>
            </w:pPr>
          </w:p>
        </w:tc>
      </w:tr>
      <w:tr w:rsidR="00336914" w:rsidRPr="00B75E06" w14:paraId="54D79A6D" w14:textId="77777777" w:rsidTr="00BD3A5B">
        <w:trPr>
          <w:trHeight w:val="442"/>
        </w:trPr>
        <w:tc>
          <w:tcPr>
            <w:tcW w:w="5913" w:type="dxa"/>
            <w:vAlign w:val="bottom"/>
          </w:tcPr>
          <w:p w14:paraId="0D13C501" w14:textId="5B064BBD" w:rsidR="00336914" w:rsidRPr="00B75E06" w:rsidRDefault="00336914" w:rsidP="009B54CB">
            <w:pPr>
              <w:keepNext/>
              <w:spacing w:before="0" w:after="0"/>
              <w:jc w:val="left"/>
              <w:rPr>
                <w:rFonts w:cs="Arial"/>
              </w:rPr>
            </w:pPr>
            <w:proofErr w:type="gramStart"/>
            <w:r w:rsidRPr="00B75E06">
              <w:rPr>
                <w:rFonts w:cs="Arial"/>
              </w:rPr>
              <w:t>plus</w:t>
            </w:r>
            <w:proofErr w:type="gramEnd"/>
            <w:r w:rsidRPr="00B75E06">
              <w:rPr>
                <w:rFonts w:cs="Arial"/>
              </w:rPr>
              <w:t xml:space="preserve"> </w:t>
            </w:r>
            <w:r w:rsidRPr="00B75E06">
              <w:rPr>
                <w:rFonts w:cs="Arial"/>
              </w:rPr>
              <w:tab/>
              <w:t>Actual indexation applied at 1 June 2021</w:t>
            </w:r>
          </w:p>
        </w:tc>
        <w:tc>
          <w:tcPr>
            <w:tcW w:w="1425" w:type="dxa"/>
          </w:tcPr>
          <w:p w14:paraId="4A79600D" w14:textId="4EE82B04" w:rsidR="00336914" w:rsidRPr="00B75E06" w:rsidRDefault="00336914" w:rsidP="00B75E06">
            <w:pPr>
              <w:spacing w:before="40" w:after="40"/>
              <w:jc w:val="center"/>
            </w:pPr>
            <w:r w:rsidRPr="00B75E06">
              <w:t>387.457</w:t>
            </w:r>
          </w:p>
        </w:tc>
        <w:tc>
          <w:tcPr>
            <w:tcW w:w="1251" w:type="dxa"/>
          </w:tcPr>
          <w:p w14:paraId="2D669E67" w14:textId="029BFE70" w:rsidR="00336914" w:rsidRPr="00B75E06" w:rsidRDefault="00C314F3" w:rsidP="00B75E06">
            <w:pPr>
              <w:spacing w:before="40" w:after="40"/>
              <w:jc w:val="center"/>
            </w:pPr>
            <w:r>
              <w:t>99.910</w:t>
            </w:r>
          </w:p>
        </w:tc>
      </w:tr>
      <w:tr w:rsidR="00B75E06" w:rsidRPr="00B75E06" w14:paraId="3286F0F2" w14:textId="77777777" w:rsidTr="00BD3A5B">
        <w:trPr>
          <w:trHeight w:val="442"/>
        </w:trPr>
        <w:tc>
          <w:tcPr>
            <w:tcW w:w="5913" w:type="dxa"/>
            <w:vAlign w:val="bottom"/>
          </w:tcPr>
          <w:p w14:paraId="6E4C2C99" w14:textId="77777777" w:rsidR="00336914" w:rsidRPr="00B75E06" w:rsidRDefault="00336914" w:rsidP="009B54CB">
            <w:pPr>
              <w:keepNext/>
              <w:spacing w:before="0" w:after="0"/>
              <w:jc w:val="left"/>
              <w:rPr>
                <w:rFonts w:cs="Arial"/>
              </w:rPr>
            </w:pPr>
            <w:r w:rsidRPr="00B75E06">
              <w:rPr>
                <w:rFonts w:cs="Arial"/>
              </w:rPr>
              <w:t xml:space="preserve">less </w:t>
            </w:r>
            <w:r w:rsidRPr="00B75E06">
              <w:rPr>
                <w:rFonts w:cs="Arial"/>
              </w:rPr>
              <w:tab/>
              <w:t>ATO adjustment for indexation and transfers</w:t>
            </w:r>
          </w:p>
        </w:tc>
        <w:tc>
          <w:tcPr>
            <w:tcW w:w="1425" w:type="dxa"/>
            <w:tcBorders>
              <w:bottom w:val="single" w:sz="4" w:space="0" w:color="auto"/>
            </w:tcBorders>
          </w:tcPr>
          <w:p w14:paraId="7B57E416" w14:textId="45F480ED" w:rsidR="00336914" w:rsidRPr="00B75E06" w:rsidRDefault="00336914" w:rsidP="00B75E06">
            <w:pPr>
              <w:spacing w:before="40" w:after="40"/>
              <w:jc w:val="center"/>
            </w:pPr>
            <w:r w:rsidRPr="00B75E06">
              <w:t>-52.298</w:t>
            </w:r>
          </w:p>
        </w:tc>
        <w:tc>
          <w:tcPr>
            <w:tcW w:w="1251" w:type="dxa"/>
            <w:tcBorders>
              <w:bottom w:val="single" w:sz="4" w:space="0" w:color="auto"/>
            </w:tcBorders>
          </w:tcPr>
          <w:p w14:paraId="75D61F98" w14:textId="23C9FB07" w:rsidR="00336914" w:rsidRPr="00B75E06" w:rsidRDefault="00336914" w:rsidP="00B75E06">
            <w:pPr>
              <w:spacing w:before="40" w:after="40"/>
              <w:jc w:val="center"/>
            </w:pPr>
            <w:r w:rsidRPr="00B75E06">
              <w:t>-</w:t>
            </w:r>
          </w:p>
        </w:tc>
      </w:tr>
      <w:tr w:rsidR="00B75E06" w:rsidRPr="00B75E06" w14:paraId="0EF94B5C" w14:textId="77777777" w:rsidTr="009B54CB">
        <w:trPr>
          <w:trHeight w:val="442"/>
        </w:trPr>
        <w:tc>
          <w:tcPr>
            <w:tcW w:w="5913" w:type="dxa"/>
            <w:vAlign w:val="bottom"/>
          </w:tcPr>
          <w:p w14:paraId="7DD64EF3" w14:textId="2AD27DCF" w:rsidR="00336914" w:rsidRPr="00B75E06" w:rsidRDefault="00336914" w:rsidP="009B54CB">
            <w:pPr>
              <w:keepNext/>
              <w:spacing w:before="0" w:after="0"/>
              <w:jc w:val="left"/>
              <w:rPr>
                <w:rFonts w:cs="Arial"/>
              </w:rPr>
            </w:pPr>
            <w:r w:rsidRPr="00B75E06">
              <w:rPr>
                <w:rFonts w:cs="Arial"/>
              </w:rPr>
              <w:t>gives</w:t>
            </w:r>
            <w:r w:rsidRPr="00B75E06">
              <w:rPr>
                <w:rFonts w:cs="Arial"/>
              </w:rPr>
              <w:tab/>
              <w:t>Closing balance as at 30 June 2021</w:t>
            </w:r>
          </w:p>
        </w:tc>
        <w:tc>
          <w:tcPr>
            <w:tcW w:w="1425" w:type="dxa"/>
            <w:tcBorders>
              <w:top w:val="single" w:sz="4" w:space="0" w:color="auto"/>
              <w:bottom w:val="single" w:sz="4" w:space="0" w:color="auto"/>
            </w:tcBorders>
          </w:tcPr>
          <w:p w14:paraId="219FB4B8" w14:textId="1AC69DD1" w:rsidR="00336914" w:rsidRPr="00B75E06" w:rsidRDefault="00336914" w:rsidP="00B75E06">
            <w:pPr>
              <w:spacing w:before="40" w:after="40"/>
              <w:jc w:val="center"/>
            </w:pPr>
            <w:r w:rsidRPr="00B75E06">
              <w:t>71,600.571</w:t>
            </w:r>
          </w:p>
        </w:tc>
        <w:tc>
          <w:tcPr>
            <w:tcW w:w="1251" w:type="dxa"/>
            <w:tcBorders>
              <w:top w:val="single" w:sz="4" w:space="0" w:color="auto"/>
              <w:bottom w:val="single" w:sz="4" w:space="0" w:color="auto"/>
            </w:tcBorders>
          </w:tcPr>
          <w:p w14:paraId="06E4B4D0" w14:textId="77DAF100" w:rsidR="00336914" w:rsidRPr="00B75E06" w:rsidRDefault="00336914" w:rsidP="00B75E06">
            <w:pPr>
              <w:spacing w:before="40" w:after="40"/>
              <w:jc w:val="center"/>
            </w:pPr>
            <w:r w:rsidRPr="00B75E06">
              <w:t>16,</w:t>
            </w:r>
            <w:r w:rsidR="00C314F3">
              <w:t>660.769</w:t>
            </w:r>
          </w:p>
        </w:tc>
      </w:tr>
      <w:tr w:rsidR="00C314F3" w:rsidRPr="00B75E06" w14:paraId="1F732D63" w14:textId="77777777" w:rsidTr="00EF3430">
        <w:trPr>
          <w:trHeight w:val="442"/>
        </w:trPr>
        <w:tc>
          <w:tcPr>
            <w:tcW w:w="5913" w:type="dxa"/>
          </w:tcPr>
          <w:p w14:paraId="7CB7209D" w14:textId="2DBFB214" w:rsidR="00C314F3" w:rsidRPr="00B75E06" w:rsidRDefault="00C314F3" w:rsidP="00C314F3">
            <w:pPr>
              <w:keepNext/>
              <w:spacing w:before="120" w:after="0"/>
              <w:jc w:val="left"/>
              <w:rPr>
                <w:rFonts w:cs="Arial"/>
              </w:rPr>
            </w:pPr>
            <w:r w:rsidRPr="00B75E06">
              <w:t>less Estimate of further VET re-credits (on certificate)</w:t>
            </w:r>
          </w:p>
        </w:tc>
        <w:tc>
          <w:tcPr>
            <w:tcW w:w="1425" w:type="dxa"/>
            <w:tcBorders>
              <w:top w:val="single" w:sz="4" w:space="0" w:color="auto"/>
              <w:bottom w:val="single" w:sz="4" w:space="0" w:color="auto"/>
            </w:tcBorders>
          </w:tcPr>
          <w:p w14:paraId="186B213F" w14:textId="406871F6" w:rsidR="00C314F3" w:rsidRPr="00B75E06" w:rsidRDefault="00C314F3" w:rsidP="00C314F3">
            <w:pPr>
              <w:spacing w:before="120" w:after="40"/>
              <w:jc w:val="center"/>
            </w:pPr>
            <w:r w:rsidRPr="00000026">
              <w:t xml:space="preserve">-1,260.79 </w:t>
            </w:r>
          </w:p>
        </w:tc>
        <w:tc>
          <w:tcPr>
            <w:tcW w:w="1251" w:type="dxa"/>
            <w:tcBorders>
              <w:top w:val="single" w:sz="4" w:space="0" w:color="auto"/>
              <w:bottom w:val="single" w:sz="4" w:space="0" w:color="auto"/>
            </w:tcBorders>
          </w:tcPr>
          <w:p w14:paraId="60E72B40" w14:textId="5BAD408D" w:rsidR="00C314F3" w:rsidRPr="00B75E06" w:rsidRDefault="00C314F3" w:rsidP="00C314F3">
            <w:pPr>
              <w:spacing w:before="120" w:after="40"/>
              <w:jc w:val="center"/>
            </w:pPr>
            <w:r w:rsidRPr="00000026">
              <w:t xml:space="preserve">-504.31 </w:t>
            </w:r>
          </w:p>
        </w:tc>
      </w:tr>
      <w:tr w:rsidR="00C314F3" w:rsidRPr="00B75E06" w14:paraId="4FCB9519" w14:textId="77777777" w:rsidTr="00EF3430">
        <w:trPr>
          <w:trHeight w:val="442"/>
        </w:trPr>
        <w:tc>
          <w:tcPr>
            <w:tcW w:w="5913" w:type="dxa"/>
            <w:tcBorders>
              <w:bottom w:val="single" w:sz="4" w:space="0" w:color="auto"/>
            </w:tcBorders>
          </w:tcPr>
          <w:p w14:paraId="6EC6A3C0" w14:textId="40EB8ADA" w:rsidR="00C314F3" w:rsidRPr="00B75E06" w:rsidRDefault="00C314F3" w:rsidP="00C314F3">
            <w:pPr>
              <w:keepNext/>
              <w:spacing w:before="120" w:after="0"/>
              <w:jc w:val="left"/>
              <w:rPr>
                <w:rFonts w:cs="Arial"/>
                <w:b/>
                <w:bCs/>
              </w:rPr>
            </w:pPr>
            <w:r w:rsidRPr="00B75E06">
              <w:rPr>
                <w:b/>
                <w:bCs/>
              </w:rPr>
              <w:t>Adjusted Closing balance as at 30 June 2021</w:t>
            </w:r>
          </w:p>
        </w:tc>
        <w:tc>
          <w:tcPr>
            <w:tcW w:w="1425" w:type="dxa"/>
            <w:tcBorders>
              <w:top w:val="single" w:sz="4" w:space="0" w:color="auto"/>
              <w:bottom w:val="single" w:sz="4" w:space="0" w:color="auto"/>
            </w:tcBorders>
          </w:tcPr>
          <w:p w14:paraId="5584EEB7" w14:textId="2743C2B8" w:rsidR="00C314F3" w:rsidRPr="00C314F3" w:rsidRDefault="00C314F3" w:rsidP="00C314F3">
            <w:pPr>
              <w:spacing w:before="120" w:after="40"/>
              <w:jc w:val="center"/>
              <w:rPr>
                <w:b/>
                <w:bCs/>
              </w:rPr>
            </w:pPr>
            <w:r w:rsidRPr="00C314F3">
              <w:rPr>
                <w:b/>
                <w:bCs/>
              </w:rPr>
              <w:t>70,339.785</w:t>
            </w:r>
          </w:p>
        </w:tc>
        <w:tc>
          <w:tcPr>
            <w:tcW w:w="1251" w:type="dxa"/>
            <w:tcBorders>
              <w:top w:val="single" w:sz="4" w:space="0" w:color="auto"/>
              <w:bottom w:val="single" w:sz="4" w:space="0" w:color="auto"/>
            </w:tcBorders>
          </w:tcPr>
          <w:p w14:paraId="67C6C6F5" w14:textId="0E82B952" w:rsidR="00C314F3" w:rsidRPr="00C314F3" w:rsidRDefault="00C314F3" w:rsidP="00C314F3">
            <w:pPr>
              <w:spacing w:before="120" w:after="40"/>
              <w:jc w:val="center"/>
              <w:rPr>
                <w:b/>
                <w:bCs/>
              </w:rPr>
            </w:pPr>
            <w:r w:rsidRPr="00C314F3">
              <w:rPr>
                <w:b/>
                <w:bCs/>
              </w:rPr>
              <w:t>16,156.455</w:t>
            </w:r>
          </w:p>
        </w:tc>
      </w:tr>
    </w:tbl>
    <w:p w14:paraId="0CCCB9F4" w14:textId="4A228503" w:rsidR="00105880" w:rsidRPr="009F2AC6" w:rsidRDefault="00105880" w:rsidP="00105880">
      <w:pPr>
        <w:ind w:left="567" w:hanging="567"/>
        <w:rPr>
          <w:rFonts w:cs="Arial"/>
          <w:sz w:val="16"/>
          <w:szCs w:val="16"/>
        </w:rPr>
      </w:pPr>
      <w:r w:rsidRPr="009F2AC6">
        <w:rPr>
          <w:rFonts w:cs="Arial"/>
          <w:sz w:val="16"/>
          <w:szCs w:val="16"/>
        </w:rPr>
        <w:t>¹</w:t>
      </w:r>
      <w:r w:rsidRPr="009F2AC6">
        <w:rPr>
          <w:rFonts w:cs="Arial"/>
          <w:sz w:val="16"/>
          <w:szCs w:val="16"/>
        </w:rPr>
        <w:tab/>
        <w:t xml:space="preserve">This accounts for the difference in </w:t>
      </w:r>
      <w:r w:rsidR="00DB6C14" w:rsidRPr="009F2AC6">
        <w:rPr>
          <w:rFonts w:cs="Arial"/>
          <w:sz w:val="16"/>
          <w:szCs w:val="16"/>
        </w:rPr>
        <w:t xml:space="preserve">the DNER associated with </w:t>
      </w:r>
      <w:r w:rsidRPr="009F2AC6">
        <w:rPr>
          <w:rFonts w:cs="Arial"/>
          <w:sz w:val="16"/>
          <w:szCs w:val="16"/>
        </w:rPr>
        <w:t xml:space="preserve">debt captured in the VFH adjustment </w:t>
      </w:r>
      <w:r w:rsidR="00F93208" w:rsidRPr="009F2AC6">
        <w:rPr>
          <w:rFonts w:cs="Arial"/>
          <w:sz w:val="16"/>
          <w:szCs w:val="16"/>
        </w:rPr>
        <w:t>of $</w:t>
      </w:r>
      <w:r w:rsidR="00DB6C14" w:rsidRPr="009F2AC6">
        <w:rPr>
          <w:rFonts w:cs="Arial"/>
          <w:sz w:val="16"/>
          <w:szCs w:val="16"/>
        </w:rPr>
        <w:t>2.</w:t>
      </w:r>
      <w:r w:rsidR="00FC7D11" w:rsidRPr="009F2AC6">
        <w:rPr>
          <w:rFonts w:cs="Arial"/>
          <w:sz w:val="16"/>
          <w:szCs w:val="16"/>
        </w:rPr>
        <w:t>7</w:t>
      </w:r>
      <w:r w:rsidR="00B75E06" w:rsidRPr="009F2AC6">
        <w:rPr>
          <w:rFonts w:cs="Arial"/>
          <w:sz w:val="16"/>
          <w:szCs w:val="16"/>
        </w:rPr>
        <w:t>1</w:t>
      </w:r>
      <w:r w:rsidR="00F93208" w:rsidRPr="009F2AC6">
        <w:rPr>
          <w:rFonts w:cs="Arial"/>
          <w:sz w:val="16"/>
          <w:szCs w:val="16"/>
        </w:rPr>
        <w:t xml:space="preserve">bn </w:t>
      </w:r>
      <w:r w:rsidR="00B75E06" w:rsidRPr="009F2AC6">
        <w:rPr>
          <w:rFonts w:cs="Arial"/>
          <w:sz w:val="16"/>
          <w:szCs w:val="16"/>
        </w:rPr>
        <w:t xml:space="preserve">in the data provided </w:t>
      </w:r>
      <w:r w:rsidR="00F93208" w:rsidRPr="009F2AC6">
        <w:rPr>
          <w:rFonts w:cs="Arial"/>
          <w:sz w:val="16"/>
          <w:szCs w:val="16"/>
        </w:rPr>
        <w:t>relative to the previous $</w:t>
      </w:r>
      <w:r w:rsidR="00FC7D11" w:rsidRPr="009F2AC6">
        <w:rPr>
          <w:rFonts w:cs="Arial"/>
          <w:sz w:val="16"/>
          <w:szCs w:val="16"/>
        </w:rPr>
        <w:t>2.</w:t>
      </w:r>
      <w:r w:rsidR="00B75E06" w:rsidRPr="009F2AC6">
        <w:rPr>
          <w:rFonts w:cs="Arial"/>
          <w:sz w:val="16"/>
          <w:szCs w:val="16"/>
        </w:rPr>
        <w:t>7</w:t>
      </w:r>
      <w:r w:rsidR="00F93208" w:rsidRPr="009F2AC6">
        <w:rPr>
          <w:rFonts w:cs="Arial"/>
          <w:sz w:val="16"/>
          <w:szCs w:val="16"/>
        </w:rPr>
        <w:t xml:space="preserve">bn </w:t>
      </w:r>
      <w:r w:rsidRPr="009F2AC6">
        <w:rPr>
          <w:rFonts w:cs="Arial"/>
          <w:sz w:val="16"/>
          <w:szCs w:val="16"/>
        </w:rPr>
        <w:t>allowance.</w:t>
      </w:r>
    </w:p>
    <w:p w14:paraId="781D6F19" w14:textId="758637B9" w:rsidR="00FC7D11" w:rsidRPr="009F2AC6" w:rsidRDefault="00FC7D11" w:rsidP="00FC7D11">
      <w:pPr>
        <w:ind w:left="567" w:hanging="567"/>
        <w:rPr>
          <w:rFonts w:cs="Arial"/>
          <w:sz w:val="16"/>
          <w:szCs w:val="16"/>
        </w:rPr>
      </w:pPr>
      <w:r w:rsidRPr="009F2AC6">
        <w:rPr>
          <w:rFonts w:cs="Arial"/>
          <w:sz w:val="16"/>
          <w:szCs w:val="16"/>
          <w:vertAlign w:val="superscript"/>
        </w:rPr>
        <w:lastRenderedPageBreak/>
        <w:t>2</w:t>
      </w:r>
      <w:r w:rsidRPr="009F2AC6">
        <w:rPr>
          <w:rFonts w:cs="Arial"/>
          <w:sz w:val="16"/>
          <w:szCs w:val="16"/>
        </w:rPr>
        <w:tab/>
        <w:t xml:space="preserve">This </w:t>
      </w:r>
      <w:r w:rsidR="00FF646D" w:rsidRPr="009F2AC6">
        <w:rPr>
          <w:rFonts w:cs="Arial"/>
          <w:sz w:val="16"/>
          <w:szCs w:val="16"/>
        </w:rPr>
        <w:t>represents an estimate of VET re-credits based on new debt advised by the ATO (which includes re-credits) and new debt advised by Education which excludes re-credits</w:t>
      </w:r>
      <w:r w:rsidRPr="009F2AC6">
        <w:rPr>
          <w:rFonts w:cs="Arial"/>
          <w:sz w:val="16"/>
          <w:szCs w:val="16"/>
        </w:rPr>
        <w:t>.</w:t>
      </w:r>
    </w:p>
    <w:p w14:paraId="15CF3702" w14:textId="6DDE9BC9" w:rsidR="009F2AC6" w:rsidRPr="00F84AC1" w:rsidRDefault="00105880" w:rsidP="00EF3430">
      <w:pPr>
        <w:pStyle w:val="BodyText"/>
        <w:keepNext/>
        <w:numPr>
          <w:ilvl w:val="0"/>
          <w:numId w:val="0"/>
        </w:numPr>
        <w:ind w:left="851"/>
      </w:pPr>
      <w:r w:rsidRPr="00F84AC1">
        <w:t>Based on the</w:t>
      </w:r>
      <w:r w:rsidR="009463EC" w:rsidRPr="00F84AC1">
        <w:t xml:space="preserve">se results, DNER represents </w:t>
      </w:r>
      <w:r w:rsidR="00857E48" w:rsidRPr="00F84AC1">
        <w:t>2</w:t>
      </w:r>
      <w:r w:rsidR="009F2AC6" w:rsidRPr="00F84AC1">
        <w:t>3.</w:t>
      </w:r>
      <w:r w:rsidR="00334DE1">
        <w:t>0</w:t>
      </w:r>
      <w:r w:rsidRPr="00F84AC1">
        <w:t xml:space="preserve">% of the estimated outstanding debt as at 30 June </w:t>
      </w:r>
      <w:r w:rsidR="007E3E32" w:rsidRPr="00F84AC1">
        <w:t>2021</w:t>
      </w:r>
      <w:r w:rsidR="00FF646D" w:rsidRPr="00F84AC1">
        <w:t xml:space="preserve"> based on the VET re-credits applied to date</w:t>
      </w:r>
      <w:r w:rsidRPr="00F84AC1">
        <w:t xml:space="preserve">.  </w:t>
      </w:r>
    </w:p>
    <w:p w14:paraId="04C0214E" w14:textId="1FEE58BE" w:rsidR="009003B7" w:rsidRPr="00F84AC1" w:rsidRDefault="009003B7" w:rsidP="009F2AC6">
      <w:pPr>
        <w:pStyle w:val="BodyText"/>
        <w:keepNext/>
        <w:numPr>
          <w:ilvl w:val="0"/>
          <w:numId w:val="0"/>
        </w:numPr>
        <w:ind w:left="850" w:hanging="850"/>
        <w:rPr>
          <w:b/>
          <w:i/>
        </w:rPr>
      </w:pPr>
      <w:r w:rsidRPr="00F84AC1">
        <w:rPr>
          <w:b/>
          <w:i/>
        </w:rPr>
        <w:t xml:space="preserve">Estimate of fair value of HELP receivable as at 30 June </w:t>
      </w:r>
      <w:r w:rsidR="007E3E32" w:rsidRPr="00F84AC1">
        <w:rPr>
          <w:b/>
          <w:i/>
        </w:rPr>
        <w:t>2021</w:t>
      </w:r>
    </w:p>
    <w:p w14:paraId="59CA71D2" w14:textId="2D155C6E" w:rsidR="00DE5547" w:rsidRPr="00BC698F" w:rsidRDefault="009003B7" w:rsidP="00561EC2">
      <w:pPr>
        <w:pStyle w:val="BodyText"/>
      </w:pPr>
      <w:r w:rsidRPr="00BC698F">
        <w:t xml:space="preserve">The estimate of the fair value of the HELP receivable as at 30 June </w:t>
      </w:r>
      <w:r w:rsidR="007E3E32" w:rsidRPr="00BC698F">
        <w:t>2021</w:t>
      </w:r>
      <w:r w:rsidRPr="00BC698F">
        <w:t xml:space="preserve"> is derived from the fair value adjusted for the ANAO methodology as at 30 June </w:t>
      </w:r>
      <w:r w:rsidR="007E3E32" w:rsidRPr="00BC698F">
        <w:t>2020</w:t>
      </w:r>
      <w:r w:rsidRPr="00BC698F">
        <w:t>.  I have shown the calculation at the</w:t>
      </w:r>
      <w:r w:rsidR="00FB6957" w:rsidRPr="00BC698F">
        <w:t xml:space="preserve"> long term</w:t>
      </w:r>
      <w:r w:rsidRPr="00BC698F">
        <w:t xml:space="preserve"> interest rate (</w:t>
      </w:r>
      <w:r w:rsidRPr="00BC698F">
        <w:fldChar w:fldCharType="begin"/>
      </w:r>
      <w:r w:rsidRPr="00BC698F">
        <w:instrText xml:space="preserve"> REF _Ref426116321 \h  \* MERGEFORMAT </w:instrText>
      </w:r>
      <w:r w:rsidRPr="00BC698F">
        <w:fldChar w:fldCharType="separate"/>
      </w:r>
      <w:r w:rsidR="000106DA" w:rsidRPr="00BC698F">
        <w:t xml:space="preserve">Table </w:t>
      </w:r>
      <w:r w:rsidR="000106DA">
        <w:t>5</w:t>
      </w:r>
      <w:r w:rsidRPr="00BC698F">
        <w:fldChar w:fldCharType="end"/>
      </w:r>
      <w:r w:rsidRPr="00BC698F">
        <w:t>) separately from that using the yield curve (</w:t>
      </w:r>
      <w:r w:rsidR="00C17C19" w:rsidRPr="00BC698F">
        <w:fldChar w:fldCharType="begin"/>
      </w:r>
      <w:r w:rsidR="00C17C19" w:rsidRPr="00BC698F">
        <w:instrText xml:space="preserve"> REF _Ref426116368 \h  \* MERGEFORMAT </w:instrText>
      </w:r>
      <w:r w:rsidR="00C17C19" w:rsidRPr="00BC698F">
        <w:fldChar w:fldCharType="separate"/>
      </w:r>
      <w:r w:rsidR="000106DA" w:rsidRPr="00BB0E2C">
        <w:t>Table 7</w:t>
      </w:r>
      <w:r w:rsidR="00C17C19" w:rsidRPr="00BC698F">
        <w:fldChar w:fldCharType="end"/>
      </w:r>
      <w:r w:rsidR="00FB6957" w:rsidRPr="00BC698F">
        <w:t>).</w:t>
      </w:r>
    </w:p>
    <w:p w14:paraId="467D5FE1" w14:textId="5F46D5FE" w:rsidR="00DE5547" w:rsidRPr="00BC698F" w:rsidRDefault="009003B7" w:rsidP="00561EC2">
      <w:pPr>
        <w:pStyle w:val="BodyText"/>
      </w:pPr>
      <w:r w:rsidRPr="00BC698F">
        <w:t xml:space="preserve">Note that in presenting the yield curve figures </w:t>
      </w:r>
      <w:r w:rsidR="00857E48" w:rsidRPr="00BC698F">
        <w:t>(represented this year by a single discount rate of 1.</w:t>
      </w:r>
      <w:r w:rsidR="00BC698F" w:rsidRPr="00BC698F">
        <w:t>72</w:t>
      </w:r>
      <w:r w:rsidR="00857E48" w:rsidRPr="00BC698F">
        <w:t xml:space="preserve">% </w:t>
      </w:r>
      <w:r w:rsidR="00DA5946" w:rsidRPr="00BC698F">
        <w:t xml:space="preserve">per annum </w:t>
      </w:r>
      <w:r w:rsidR="00E81B96" w:rsidRPr="00BC698F">
        <w:t xml:space="preserve">using the yield curve </w:t>
      </w:r>
      <w:r w:rsidR="00857E48" w:rsidRPr="00BC698F">
        <w:t xml:space="preserve">as at </w:t>
      </w:r>
      <w:r w:rsidR="0073199B" w:rsidRPr="00BC698F">
        <w:t>30 June</w:t>
      </w:r>
      <w:r w:rsidR="00857E48" w:rsidRPr="00BC698F">
        <w:t xml:space="preserve"> </w:t>
      </w:r>
      <w:r w:rsidR="007E3E32" w:rsidRPr="00BC698F">
        <w:t>2021</w:t>
      </w:r>
      <w:r w:rsidR="00857E48" w:rsidRPr="00BC698F">
        <w:t xml:space="preserve">), </w:t>
      </w:r>
      <w:r w:rsidRPr="00BC698F">
        <w:t xml:space="preserve">I have followed what I believe to be standard accounting practice in that I have included the effect of the change in the discount rate assumption (that is, the </w:t>
      </w:r>
      <w:r w:rsidR="007E3E32" w:rsidRPr="00BC698F">
        <w:t>2020</w:t>
      </w:r>
      <w:r w:rsidRPr="00BC698F">
        <w:t xml:space="preserve"> yield curve to the </w:t>
      </w:r>
      <w:r w:rsidR="007E3E32" w:rsidRPr="00BC698F">
        <w:t>2021</w:t>
      </w:r>
      <w:r w:rsidRPr="00BC698F">
        <w:t xml:space="preserve"> yield curve) as </w:t>
      </w:r>
      <w:r w:rsidR="00BC698F" w:rsidRPr="00BC698F">
        <w:t>a separate</w:t>
      </w:r>
      <w:r w:rsidRPr="00BC698F">
        <w:t xml:space="preserve"> component in the derivation.  The interest charge and calculation of the deferral adjustment associated with new debt is ba</w:t>
      </w:r>
      <w:r w:rsidR="0087636D" w:rsidRPr="00BC698F">
        <w:t xml:space="preserve">sed on the </w:t>
      </w:r>
      <w:r w:rsidR="00857E48" w:rsidRPr="00BC698F">
        <w:t xml:space="preserve">equivalent single </w:t>
      </w:r>
      <w:r w:rsidR="0087636D" w:rsidRPr="00BC698F">
        <w:t xml:space="preserve">discount rate of </w:t>
      </w:r>
      <w:r w:rsidR="00FF646D" w:rsidRPr="00BC698F">
        <w:t>1.</w:t>
      </w:r>
      <w:r w:rsidR="00BC698F" w:rsidRPr="00BC698F">
        <w:t>30</w:t>
      </w:r>
      <w:r w:rsidR="0087636D" w:rsidRPr="00BC698F">
        <w:t xml:space="preserve">% </w:t>
      </w:r>
      <w:r w:rsidR="00DA5946" w:rsidRPr="00BC698F">
        <w:t xml:space="preserve">per annum </w:t>
      </w:r>
      <w:r w:rsidR="0087636D" w:rsidRPr="00BC698F">
        <w:t>which</w:t>
      </w:r>
      <w:r w:rsidRPr="00BC698F">
        <w:t xml:space="preserve"> was </w:t>
      </w:r>
      <w:r w:rsidR="00E81B96" w:rsidRPr="00BC698F">
        <w:t xml:space="preserve">determined </w:t>
      </w:r>
      <w:r w:rsidRPr="00BC698F">
        <w:t xml:space="preserve">based on the </w:t>
      </w:r>
      <w:r w:rsidR="00E81B96" w:rsidRPr="00BC698F">
        <w:t xml:space="preserve">30 June </w:t>
      </w:r>
      <w:r w:rsidR="007E3E32" w:rsidRPr="00BC698F">
        <w:t>2020</w:t>
      </w:r>
      <w:r w:rsidRPr="00BC698F">
        <w:t xml:space="preserve"> yield curve.</w:t>
      </w:r>
    </w:p>
    <w:p w14:paraId="52D4055E" w14:textId="5FFFBC64" w:rsidR="009003B7" w:rsidRPr="00BC698F" w:rsidRDefault="009003B7" w:rsidP="007B5695">
      <w:pPr>
        <w:pStyle w:val="Caption"/>
        <w:ind w:firstLine="851"/>
        <w:rPr>
          <w:b/>
        </w:rPr>
      </w:pPr>
      <w:bookmarkStart w:id="11" w:name="_Ref426116321"/>
      <w:r w:rsidRPr="00BC698F">
        <w:t xml:space="preserve">Table </w:t>
      </w:r>
      <w:r w:rsidR="00C80517">
        <w:fldChar w:fldCharType="begin"/>
      </w:r>
      <w:r w:rsidR="00C80517">
        <w:instrText xml:space="preserve"> SEQ Table \* ARABIC </w:instrText>
      </w:r>
      <w:r w:rsidR="00C80517">
        <w:fldChar w:fldCharType="separate"/>
      </w:r>
      <w:r w:rsidR="000106DA">
        <w:rPr>
          <w:noProof/>
        </w:rPr>
        <w:t>5</w:t>
      </w:r>
      <w:r w:rsidR="00C80517">
        <w:rPr>
          <w:noProof/>
        </w:rPr>
        <w:fldChar w:fldCharType="end"/>
      </w:r>
      <w:bookmarkEnd w:id="11"/>
      <w:r w:rsidRPr="00BC698F">
        <w:t xml:space="preserve">:  Estimate of Fair Value at </w:t>
      </w:r>
      <w:r w:rsidR="00EE009F" w:rsidRPr="00BC698F">
        <w:t xml:space="preserve">Long Term </w:t>
      </w:r>
      <w:r w:rsidRPr="00BC698F">
        <w:t>Discount Rate</w:t>
      </w:r>
    </w:p>
    <w:tbl>
      <w:tblPr>
        <w:tblW w:w="8188" w:type="dxa"/>
        <w:tblInd w:w="392" w:type="dxa"/>
        <w:tblLayout w:type="fixed"/>
        <w:tblLook w:val="01E0" w:firstRow="1" w:lastRow="1" w:firstColumn="1" w:lastColumn="1" w:noHBand="0" w:noVBand="0"/>
      </w:tblPr>
      <w:tblGrid>
        <w:gridCol w:w="817"/>
        <w:gridCol w:w="5595"/>
        <w:gridCol w:w="1776"/>
      </w:tblGrid>
      <w:tr w:rsidR="00A70050" w:rsidRPr="00BC698F" w14:paraId="0EB5DFA0" w14:textId="77777777" w:rsidTr="00747406">
        <w:trPr>
          <w:trHeight w:val="255"/>
        </w:trPr>
        <w:tc>
          <w:tcPr>
            <w:tcW w:w="817" w:type="dxa"/>
            <w:tcBorders>
              <w:bottom w:val="single" w:sz="4" w:space="0" w:color="auto"/>
            </w:tcBorders>
          </w:tcPr>
          <w:p w14:paraId="2ADEBDB1" w14:textId="77777777" w:rsidR="009003B7" w:rsidRPr="00BC698F" w:rsidRDefault="009003B7" w:rsidP="00B1623D">
            <w:pPr>
              <w:keepNext/>
              <w:spacing w:before="0" w:after="0"/>
              <w:rPr>
                <w:rFonts w:cs="Arial"/>
                <w:lang w:eastAsia="en-AU"/>
              </w:rPr>
            </w:pPr>
          </w:p>
        </w:tc>
        <w:tc>
          <w:tcPr>
            <w:tcW w:w="5595" w:type="dxa"/>
            <w:tcBorders>
              <w:bottom w:val="single" w:sz="4" w:space="0" w:color="auto"/>
            </w:tcBorders>
          </w:tcPr>
          <w:p w14:paraId="3E200146" w14:textId="77777777" w:rsidR="009003B7" w:rsidRPr="00BC698F" w:rsidRDefault="009003B7" w:rsidP="00B1623D">
            <w:pPr>
              <w:keepNext/>
              <w:spacing w:before="0" w:after="0"/>
              <w:rPr>
                <w:rFonts w:cs="Arial"/>
                <w:lang w:eastAsia="en-AU"/>
              </w:rPr>
            </w:pPr>
          </w:p>
        </w:tc>
        <w:tc>
          <w:tcPr>
            <w:tcW w:w="1776" w:type="dxa"/>
            <w:tcBorders>
              <w:bottom w:val="single" w:sz="4" w:space="0" w:color="auto"/>
            </w:tcBorders>
            <w:noWrap/>
          </w:tcPr>
          <w:p w14:paraId="6CDDA954" w14:textId="77777777" w:rsidR="009003B7" w:rsidRPr="00BC698F" w:rsidRDefault="009003B7" w:rsidP="00B1623D">
            <w:pPr>
              <w:keepNext/>
              <w:tabs>
                <w:tab w:val="decimal" w:pos="1062"/>
              </w:tabs>
              <w:spacing w:before="0" w:after="0"/>
            </w:pPr>
            <w:r w:rsidRPr="00BC698F">
              <w:t>$m</w:t>
            </w:r>
          </w:p>
        </w:tc>
      </w:tr>
      <w:tr w:rsidR="00BC698F" w:rsidRPr="00BC698F" w14:paraId="38981C49" w14:textId="77777777" w:rsidTr="00747406">
        <w:trPr>
          <w:trHeight w:val="255"/>
        </w:trPr>
        <w:tc>
          <w:tcPr>
            <w:tcW w:w="817" w:type="dxa"/>
            <w:tcBorders>
              <w:top w:val="single" w:sz="4" w:space="0" w:color="auto"/>
            </w:tcBorders>
          </w:tcPr>
          <w:p w14:paraId="7250A403" w14:textId="77777777" w:rsidR="00BC698F" w:rsidRPr="00BC698F" w:rsidRDefault="00BC698F" w:rsidP="00BC698F">
            <w:pPr>
              <w:keepNext/>
              <w:spacing w:before="100" w:after="100"/>
              <w:rPr>
                <w:rFonts w:cs="Arial"/>
                <w:lang w:eastAsia="en-AU"/>
              </w:rPr>
            </w:pPr>
          </w:p>
        </w:tc>
        <w:tc>
          <w:tcPr>
            <w:tcW w:w="5595" w:type="dxa"/>
            <w:tcBorders>
              <w:top w:val="single" w:sz="4" w:space="0" w:color="auto"/>
            </w:tcBorders>
          </w:tcPr>
          <w:p w14:paraId="1AB0EB59" w14:textId="657B6B76" w:rsidR="00BC698F" w:rsidRPr="00BC698F" w:rsidRDefault="00BC698F" w:rsidP="00BC698F">
            <w:pPr>
              <w:keepNext/>
              <w:spacing w:before="40" w:after="40"/>
              <w:rPr>
                <w:rFonts w:cs="Arial"/>
                <w:lang w:eastAsia="en-AU"/>
              </w:rPr>
            </w:pPr>
            <w:r w:rsidRPr="00BC698F">
              <w:rPr>
                <w:rFonts w:cs="Arial"/>
                <w:lang w:eastAsia="en-AU"/>
              </w:rPr>
              <w:t>Opening balance at fair value (revised balance as at 30/6/20)</w:t>
            </w:r>
          </w:p>
        </w:tc>
        <w:tc>
          <w:tcPr>
            <w:tcW w:w="1776" w:type="dxa"/>
            <w:tcBorders>
              <w:top w:val="single" w:sz="4" w:space="0" w:color="auto"/>
            </w:tcBorders>
            <w:noWrap/>
          </w:tcPr>
          <w:p w14:paraId="10416A4F" w14:textId="375693B0" w:rsidR="00BC698F" w:rsidRPr="00BC698F" w:rsidRDefault="00334DE1" w:rsidP="00BC698F">
            <w:pPr>
              <w:spacing w:before="40" w:after="40"/>
              <w:jc w:val="center"/>
            </w:pPr>
            <w:r w:rsidRPr="00334DE1">
              <w:t>40,139.111</w:t>
            </w:r>
          </w:p>
        </w:tc>
      </w:tr>
      <w:tr w:rsidR="00BC698F" w:rsidRPr="00BC698F" w14:paraId="66913AC5" w14:textId="77777777" w:rsidTr="00747406">
        <w:trPr>
          <w:trHeight w:val="255"/>
        </w:trPr>
        <w:tc>
          <w:tcPr>
            <w:tcW w:w="817" w:type="dxa"/>
          </w:tcPr>
          <w:p w14:paraId="3E81F037" w14:textId="77777777" w:rsidR="00BC698F" w:rsidRPr="00BC698F" w:rsidRDefault="00BC698F" w:rsidP="00BC698F">
            <w:pPr>
              <w:spacing w:before="100" w:after="100"/>
              <w:rPr>
                <w:rFonts w:cs="Arial"/>
                <w:lang w:eastAsia="en-AU"/>
              </w:rPr>
            </w:pPr>
            <w:r w:rsidRPr="00BC698F">
              <w:rPr>
                <w:rFonts w:cs="Arial"/>
                <w:lang w:eastAsia="en-AU"/>
              </w:rPr>
              <w:t>less</w:t>
            </w:r>
          </w:p>
        </w:tc>
        <w:tc>
          <w:tcPr>
            <w:tcW w:w="5595" w:type="dxa"/>
          </w:tcPr>
          <w:p w14:paraId="19E943B3" w14:textId="6139991E" w:rsidR="00BC698F" w:rsidRPr="00BC698F" w:rsidRDefault="00BC698F" w:rsidP="00BC698F">
            <w:pPr>
              <w:spacing w:before="40" w:after="40"/>
              <w:rPr>
                <w:rFonts w:cs="Arial"/>
                <w:lang w:eastAsia="en-AU"/>
              </w:rPr>
            </w:pPr>
            <w:r w:rsidRPr="00BC698F">
              <w:rPr>
                <w:rFonts w:cs="Arial"/>
                <w:lang w:eastAsia="en-AU"/>
              </w:rPr>
              <w:t>Education estimate of 2020-21 PAYG receipts on opening balance</w:t>
            </w:r>
          </w:p>
        </w:tc>
        <w:tc>
          <w:tcPr>
            <w:tcW w:w="1776" w:type="dxa"/>
            <w:noWrap/>
          </w:tcPr>
          <w:p w14:paraId="24D6FC13" w14:textId="3A2F2B9E" w:rsidR="00BC698F" w:rsidRPr="00BC698F" w:rsidRDefault="00BC698F" w:rsidP="00BC698F">
            <w:pPr>
              <w:spacing w:before="40" w:after="40"/>
              <w:jc w:val="center"/>
            </w:pPr>
            <w:r w:rsidRPr="00BC698F">
              <w:t>-3,931.566</w:t>
            </w:r>
          </w:p>
        </w:tc>
      </w:tr>
      <w:tr w:rsidR="00BC698F" w:rsidRPr="00BC698F" w14:paraId="749A6341" w14:textId="77777777" w:rsidTr="00747406">
        <w:trPr>
          <w:trHeight w:val="255"/>
        </w:trPr>
        <w:tc>
          <w:tcPr>
            <w:tcW w:w="817" w:type="dxa"/>
          </w:tcPr>
          <w:p w14:paraId="6C88778C" w14:textId="77777777" w:rsidR="00BC698F" w:rsidRPr="00BC698F" w:rsidRDefault="00BC698F" w:rsidP="00BC698F">
            <w:pPr>
              <w:spacing w:before="100" w:after="100"/>
              <w:rPr>
                <w:rFonts w:cs="Arial"/>
                <w:lang w:eastAsia="en-AU"/>
              </w:rPr>
            </w:pPr>
            <w:r w:rsidRPr="00BC698F">
              <w:rPr>
                <w:rFonts w:cs="Arial"/>
                <w:lang w:eastAsia="en-AU"/>
              </w:rPr>
              <w:t>less</w:t>
            </w:r>
          </w:p>
        </w:tc>
        <w:tc>
          <w:tcPr>
            <w:tcW w:w="5595" w:type="dxa"/>
          </w:tcPr>
          <w:p w14:paraId="4A5F29D9" w14:textId="06EAE658" w:rsidR="00BC698F" w:rsidRPr="00BC698F" w:rsidRDefault="00BC698F" w:rsidP="00BC698F">
            <w:pPr>
              <w:spacing w:before="40" w:after="40"/>
              <w:rPr>
                <w:rFonts w:cs="Arial"/>
                <w:lang w:eastAsia="en-AU"/>
              </w:rPr>
            </w:pPr>
            <w:r w:rsidRPr="00BC698F">
              <w:rPr>
                <w:rFonts w:cs="Arial"/>
                <w:lang w:eastAsia="en-AU"/>
              </w:rPr>
              <w:t>Actual voluntary repayments in 2020-21</w:t>
            </w:r>
          </w:p>
        </w:tc>
        <w:tc>
          <w:tcPr>
            <w:tcW w:w="1776" w:type="dxa"/>
            <w:noWrap/>
          </w:tcPr>
          <w:p w14:paraId="3FD54A91" w14:textId="76D42A5E" w:rsidR="00BC698F" w:rsidRPr="00BC698F" w:rsidRDefault="00BC698F" w:rsidP="00BC698F">
            <w:pPr>
              <w:spacing w:before="40" w:after="40"/>
              <w:jc w:val="center"/>
            </w:pPr>
            <w:r w:rsidRPr="00BC698F">
              <w:t>-541.538</w:t>
            </w:r>
          </w:p>
        </w:tc>
      </w:tr>
      <w:tr w:rsidR="00BC698F" w:rsidRPr="00BC698F" w14:paraId="316C6086" w14:textId="77777777" w:rsidTr="00747406">
        <w:trPr>
          <w:trHeight w:val="255"/>
        </w:trPr>
        <w:tc>
          <w:tcPr>
            <w:tcW w:w="817" w:type="dxa"/>
          </w:tcPr>
          <w:p w14:paraId="61DEB8DC" w14:textId="77777777" w:rsidR="00BC698F" w:rsidRPr="00BC698F" w:rsidRDefault="00BC698F" w:rsidP="00BC698F">
            <w:pPr>
              <w:spacing w:before="100" w:after="100"/>
              <w:rPr>
                <w:rFonts w:cs="Arial"/>
                <w:lang w:eastAsia="en-AU"/>
              </w:rPr>
            </w:pPr>
            <w:r w:rsidRPr="00BC698F">
              <w:rPr>
                <w:rFonts w:cs="Arial"/>
                <w:lang w:eastAsia="en-AU"/>
              </w:rPr>
              <w:t>plus</w:t>
            </w:r>
          </w:p>
        </w:tc>
        <w:tc>
          <w:tcPr>
            <w:tcW w:w="5595" w:type="dxa"/>
          </w:tcPr>
          <w:p w14:paraId="3866C0B1" w14:textId="3DF88528" w:rsidR="00BC698F" w:rsidRPr="00BC698F" w:rsidRDefault="00BC698F" w:rsidP="00BC698F">
            <w:pPr>
              <w:spacing w:before="40" w:after="40"/>
              <w:rPr>
                <w:rFonts w:cs="Arial"/>
                <w:lang w:eastAsia="en-AU"/>
              </w:rPr>
            </w:pPr>
            <w:r w:rsidRPr="00BC698F">
              <w:rPr>
                <w:rFonts w:cs="Arial"/>
                <w:lang w:eastAsia="en-AU"/>
              </w:rPr>
              <w:t>New debt incurred in 2020-21</w:t>
            </w:r>
          </w:p>
        </w:tc>
        <w:tc>
          <w:tcPr>
            <w:tcW w:w="1776" w:type="dxa"/>
            <w:noWrap/>
          </w:tcPr>
          <w:p w14:paraId="58FB07F0" w14:textId="3ECC4671" w:rsidR="00BC698F" w:rsidRPr="00BC698F" w:rsidRDefault="00BC698F" w:rsidP="00BC698F">
            <w:pPr>
              <w:spacing w:before="40" w:after="40"/>
              <w:jc w:val="center"/>
            </w:pPr>
            <w:r w:rsidRPr="00BC698F">
              <w:t>6,843.388</w:t>
            </w:r>
          </w:p>
        </w:tc>
      </w:tr>
      <w:tr w:rsidR="00BC698F" w:rsidRPr="00BC698F" w14:paraId="4CE4BB8D" w14:textId="77777777" w:rsidTr="00747406">
        <w:trPr>
          <w:trHeight w:val="255"/>
        </w:trPr>
        <w:tc>
          <w:tcPr>
            <w:tcW w:w="817" w:type="dxa"/>
          </w:tcPr>
          <w:p w14:paraId="25BFC275" w14:textId="77777777" w:rsidR="00BC698F" w:rsidRPr="00BC698F" w:rsidRDefault="00BC698F" w:rsidP="00BC698F">
            <w:pPr>
              <w:spacing w:before="100" w:after="100"/>
              <w:rPr>
                <w:rFonts w:cs="Arial"/>
                <w:lang w:eastAsia="en-AU"/>
              </w:rPr>
            </w:pPr>
            <w:r w:rsidRPr="00BC698F">
              <w:rPr>
                <w:rFonts w:cs="Arial"/>
                <w:lang w:eastAsia="en-AU"/>
              </w:rPr>
              <w:t>less</w:t>
            </w:r>
          </w:p>
        </w:tc>
        <w:tc>
          <w:tcPr>
            <w:tcW w:w="5595" w:type="dxa"/>
          </w:tcPr>
          <w:p w14:paraId="4893CACF" w14:textId="1B51E7CE" w:rsidR="00BC698F" w:rsidRPr="00BC698F" w:rsidRDefault="00BC698F" w:rsidP="00BC698F">
            <w:pPr>
              <w:spacing w:before="40" w:after="40"/>
              <w:rPr>
                <w:rFonts w:cs="Arial"/>
                <w:lang w:eastAsia="en-AU"/>
              </w:rPr>
            </w:pPr>
            <w:r w:rsidRPr="00BC698F">
              <w:rPr>
                <w:rFonts w:cs="Arial"/>
                <w:lang w:eastAsia="en-AU"/>
              </w:rPr>
              <w:t>Estimated 2020-21 PAYG receipts on new debt</w:t>
            </w:r>
          </w:p>
        </w:tc>
        <w:tc>
          <w:tcPr>
            <w:tcW w:w="1776" w:type="dxa"/>
            <w:noWrap/>
          </w:tcPr>
          <w:p w14:paraId="68D84BE7" w14:textId="39BBAF40" w:rsidR="00BC698F" w:rsidRPr="00BC698F" w:rsidRDefault="00BC698F" w:rsidP="00BC698F">
            <w:pPr>
              <w:spacing w:before="40" w:after="40"/>
              <w:jc w:val="center"/>
            </w:pPr>
            <w:r w:rsidRPr="00BC698F">
              <w:t>-250.935</w:t>
            </w:r>
          </w:p>
        </w:tc>
      </w:tr>
      <w:tr w:rsidR="00BC698F" w:rsidRPr="00BC698F" w14:paraId="7E0E4890" w14:textId="77777777" w:rsidTr="00747406">
        <w:trPr>
          <w:trHeight w:val="255"/>
        </w:trPr>
        <w:tc>
          <w:tcPr>
            <w:tcW w:w="817" w:type="dxa"/>
          </w:tcPr>
          <w:p w14:paraId="7DFBF9DE" w14:textId="77777777" w:rsidR="00BC698F" w:rsidRPr="00BC698F" w:rsidRDefault="00BC698F" w:rsidP="00BC698F">
            <w:pPr>
              <w:spacing w:before="100" w:after="100"/>
              <w:rPr>
                <w:rFonts w:cs="Arial"/>
                <w:lang w:eastAsia="en-AU"/>
              </w:rPr>
            </w:pPr>
            <w:r w:rsidRPr="00BC698F">
              <w:rPr>
                <w:rFonts w:cs="Arial"/>
                <w:lang w:eastAsia="en-AU"/>
              </w:rPr>
              <w:t>less</w:t>
            </w:r>
          </w:p>
        </w:tc>
        <w:tc>
          <w:tcPr>
            <w:tcW w:w="5595" w:type="dxa"/>
          </w:tcPr>
          <w:p w14:paraId="46ADBE32" w14:textId="77777777" w:rsidR="00BC698F" w:rsidRPr="00BC698F" w:rsidRDefault="00BC698F" w:rsidP="00BC698F">
            <w:pPr>
              <w:spacing w:before="40" w:after="40"/>
              <w:rPr>
                <w:rFonts w:cs="Arial"/>
                <w:lang w:eastAsia="en-AU"/>
              </w:rPr>
            </w:pPr>
            <w:r w:rsidRPr="00BC698F">
              <w:rPr>
                <w:rFonts w:cs="Arial"/>
                <w:lang w:eastAsia="en-AU"/>
              </w:rPr>
              <w:t>Fair value adjustment on new debt</w:t>
            </w:r>
          </w:p>
        </w:tc>
        <w:tc>
          <w:tcPr>
            <w:tcW w:w="1776" w:type="dxa"/>
            <w:noWrap/>
          </w:tcPr>
          <w:p w14:paraId="12666A72" w14:textId="3A7EAFB2" w:rsidR="00BC698F" w:rsidRPr="00BC698F" w:rsidRDefault="00BC698F" w:rsidP="00BC698F">
            <w:pPr>
              <w:spacing w:before="40" w:after="40"/>
              <w:jc w:val="center"/>
            </w:pPr>
            <w:r w:rsidRPr="00BC698F">
              <w:t>-2,342.867</w:t>
            </w:r>
          </w:p>
        </w:tc>
      </w:tr>
      <w:tr w:rsidR="00334DE1" w:rsidRPr="00BC698F" w14:paraId="196D844B" w14:textId="77777777" w:rsidTr="00747406">
        <w:trPr>
          <w:trHeight w:val="255"/>
        </w:trPr>
        <w:tc>
          <w:tcPr>
            <w:tcW w:w="817" w:type="dxa"/>
          </w:tcPr>
          <w:p w14:paraId="0502C283" w14:textId="77777777" w:rsidR="00334DE1" w:rsidRPr="00BC698F" w:rsidRDefault="00334DE1" w:rsidP="00334DE1">
            <w:pPr>
              <w:spacing w:before="100" w:after="100"/>
              <w:rPr>
                <w:rFonts w:cs="Arial"/>
                <w:lang w:eastAsia="en-AU"/>
              </w:rPr>
            </w:pPr>
            <w:r w:rsidRPr="00BC698F">
              <w:rPr>
                <w:rFonts w:cs="Arial"/>
                <w:lang w:eastAsia="en-AU"/>
              </w:rPr>
              <w:t>plus</w:t>
            </w:r>
          </w:p>
        </w:tc>
        <w:tc>
          <w:tcPr>
            <w:tcW w:w="5595" w:type="dxa"/>
          </w:tcPr>
          <w:p w14:paraId="55ECDB5A" w14:textId="3885EB4E" w:rsidR="00334DE1" w:rsidRPr="00BC698F" w:rsidRDefault="00334DE1" w:rsidP="00334DE1">
            <w:pPr>
              <w:spacing w:before="40" w:after="40"/>
              <w:rPr>
                <w:rFonts w:cs="Arial"/>
                <w:lang w:eastAsia="en-AU"/>
              </w:rPr>
            </w:pPr>
            <w:r w:rsidRPr="00BC698F">
              <w:rPr>
                <w:rFonts w:cs="Arial"/>
                <w:lang w:eastAsia="en-AU"/>
              </w:rPr>
              <w:t>Difference between AGA and Education estimate of 2020-21 PAYG receipts</w:t>
            </w:r>
          </w:p>
        </w:tc>
        <w:tc>
          <w:tcPr>
            <w:tcW w:w="1776" w:type="dxa"/>
            <w:noWrap/>
          </w:tcPr>
          <w:p w14:paraId="7AA7FBA3" w14:textId="713FAF00" w:rsidR="00334DE1" w:rsidRPr="00BC698F" w:rsidRDefault="00334DE1" w:rsidP="00334DE1">
            <w:pPr>
              <w:spacing w:before="40" w:after="40"/>
              <w:jc w:val="center"/>
            </w:pPr>
            <w:r w:rsidRPr="00851113">
              <w:t>3.066</w:t>
            </w:r>
          </w:p>
        </w:tc>
      </w:tr>
      <w:tr w:rsidR="00334DE1" w:rsidRPr="00BC698F" w14:paraId="749D7A70" w14:textId="77777777" w:rsidTr="00747406">
        <w:trPr>
          <w:trHeight w:val="255"/>
        </w:trPr>
        <w:tc>
          <w:tcPr>
            <w:tcW w:w="817" w:type="dxa"/>
          </w:tcPr>
          <w:p w14:paraId="1978F043" w14:textId="77777777" w:rsidR="00334DE1" w:rsidRPr="00BC698F" w:rsidRDefault="00334DE1" w:rsidP="00334DE1">
            <w:pPr>
              <w:spacing w:before="100" w:after="100"/>
              <w:rPr>
                <w:rFonts w:cs="Arial"/>
                <w:lang w:eastAsia="en-AU"/>
              </w:rPr>
            </w:pPr>
            <w:r w:rsidRPr="00BC698F">
              <w:rPr>
                <w:rFonts w:cs="Arial"/>
                <w:lang w:eastAsia="en-AU"/>
              </w:rPr>
              <w:t>plus</w:t>
            </w:r>
          </w:p>
        </w:tc>
        <w:tc>
          <w:tcPr>
            <w:tcW w:w="5595" w:type="dxa"/>
          </w:tcPr>
          <w:p w14:paraId="4FA60AF6" w14:textId="77777777" w:rsidR="00334DE1" w:rsidRPr="00BC698F" w:rsidRDefault="00334DE1" w:rsidP="00334DE1">
            <w:pPr>
              <w:spacing w:before="40" w:after="40"/>
              <w:rPr>
                <w:rFonts w:cs="Arial"/>
                <w:lang w:eastAsia="en-AU"/>
              </w:rPr>
            </w:pPr>
            <w:r w:rsidRPr="00BC698F">
              <w:rPr>
                <w:rFonts w:cs="Arial"/>
                <w:lang w:eastAsia="en-AU"/>
              </w:rPr>
              <w:t>Interest at 5% per annum</w:t>
            </w:r>
          </w:p>
        </w:tc>
        <w:tc>
          <w:tcPr>
            <w:tcW w:w="1776" w:type="dxa"/>
            <w:noWrap/>
          </w:tcPr>
          <w:p w14:paraId="2FFF6A4B" w14:textId="5A9F9F0E" w:rsidR="00334DE1" w:rsidRPr="00BC698F" w:rsidRDefault="00334DE1" w:rsidP="00334DE1">
            <w:pPr>
              <w:spacing w:before="40" w:after="40"/>
              <w:jc w:val="center"/>
            </w:pPr>
            <w:r w:rsidRPr="00851113">
              <w:t>1,890.371</w:t>
            </w:r>
          </w:p>
        </w:tc>
      </w:tr>
      <w:tr w:rsidR="00BC698F" w:rsidRPr="00BC698F" w14:paraId="52A477A1" w14:textId="77777777" w:rsidTr="00747406">
        <w:trPr>
          <w:trHeight w:val="255"/>
        </w:trPr>
        <w:tc>
          <w:tcPr>
            <w:tcW w:w="817" w:type="dxa"/>
          </w:tcPr>
          <w:p w14:paraId="586F078F" w14:textId="77777777" w:rsidR="00BC698F" w:rsidRPr="00BC698F" w:rsidRDefault="00BC698F" w:rsidP="00BC698F">
            <w:pPr>
              <w:spacing w:before="100" w:after="100"/>
              <w:rPr>
                <w:rFonts w:cs="Arial"/>
                <w:lang w:eastAsia="en-AU"/>
              </w:rPr>
            </w:pPr>
            <w:r w:rsidRPr="00BC698F">
              <w:rPr>
                <w:rFonts w:cs="Arial"/>
                <w:lang w:eastAsia="en-AU"/>
              </w:rPr>
              <w:t>plus</w:t>
            </w:r>
          </w:p>
        </w:tc>
        <w:tc>
          <w:tcPr>
            <w:tcW w:w="5595" w:type="dxa"/>
          </w:tcPr>
          <w:p w14:paraId="3681CFF1" w14:textId="77777777" w:rsidR="00BC698F" w:rsidRPr="00BC698F" w:rsidRDefault="00BC698F" w:rsidP="00BC698F">
            <w:pPr>
              <w:spacing w:before="40" w:after="40"/>
              <w:rPr>
                <w:rFonts w:cs="Arial"/>
                <w:lang w:eastAsia="en-AU"/>
              </w:rPr>
            </w:pPr>
            <w:r w:rsidRPr="00BC698F">
              <w:rPr>
                <w:rFonts w:cs="Arial"/>
                <w:lang w:eastAsia="en-AU"/>
              </w:rPr>
              <w:t xml:space="preserve">Actuarial gains </w:t>
            </w:r>
          </w:p>
        </w:tc>
        <w:tc>
          <w:tcPr>
            <w:tcW w:w="1776" w:type="dxa"/>
            <w:noWrap/>
          </w:tcPr>
          <w:p w14:paraId="2D1325F8" w14:textId="5C104258" w:rsidR="00BC698F" w:rsidRPr="00BC698F" w:rsidRDefault="00BC698F" w:rsidP="00BC698F">
            <w:pPr>
              <w:spacing w:before="40" w:after="40"/>
              <w:jc w:val="center"/>
            </w:pPr>
            <w:r w:rsidRPr="00BC698F">
              <w:t>0.000</w:t>
            </w:r>
          </w:p>
        </w:tc>
      </w:tr>
      <w:tr w:rsidR="00BC698F" w:rsidRPr="00BC698F" w14:paraId="70684719" w14:textId="77777777" w:rsidTr="00747406">
        <w:trPr>
          <w:trHeight w:val="255"/>
        </w:trPr>
        <w:tc>
          <w:tcPr>
            <w:tcW w:w="817" w:type="dxa"/>
          </w:tcPr>
          <w:p w14:paraId="5A93B7E2" w14:textId="6061E276" w:rsidR="00BC698F" w:rsidRPr="00BC698F" w:rsidRDefault="00BC698F" w:rsidP="00BC698F">
            <w:pPr>
              <w:spacing w:before="100" w:after="100"/>
              <w:rPr>
                <w:rFonts w:cs="Arial"/>
                <w:lang w:eastAsia="en-AU"/>
              </w:rPr>
            </w:pPr>
            <w:r w:rsidRPr="00BC698F">
              <w:rPr>
                <w:rFonts w:cs="Arial"/>
                <w:lang w:eastAsia="en-AU"/>
              </w:rPr>
              <w:t xml:space="preserve">less       </w:t>
            </w:r>
          </w:p>
        </w:tc>
        <w:tc>
          <w:tcPr>
            <w:tcW w:w="5595" w:type="dxa"/>
          </w:tcPr>
          <w:p w14:paraId="70023DF4" w14:textId="77A8AD57" w:rsidR="00BC698F" w:rsidRPr="00BC698F" w:rsidRDefault="00BC698F" w:rsidP="00BC698F">
            <w:pPr>
              <w:spacing w:before="40" w:after="40"/>
              <w:rPr>
                <w:rFonts w:cs="Arial"/>
                <w:lang w:eastAsia="en-AU"/>
              </w:rPr>
            </w:pPr>
            <w:r w:rsidRPr="00BC698F">
              <w:rPr>
                <w:rFonts w:cs="Arial"/>
                <w:lang w:eastAsia="en-AU"/>
              </w:rPr>
              <w:t>Impact of further VET recredits assumed</w:t>
            </w:r>
          </w:p>
        </w:tc>
        <w:tc>
          <w:tcPr>
            <w:tcW w:w="1776" w:type="dxa"/>
            <w:noWrap/>
          </w:tcPr>
          <w:p w14:paraId="210FA637" w14:textId="01D02948" w:rsidR="00BC698F" w:rsidRPr="00BC698F" w:rsidRDefault="00BC698F" w:rsidP="00BC698F">
            <w:pPr>
              <w:spacing w:before="40" w:after="40"/>
              <w:jc w:val="center"/>
            </w:pPr>
            <w:r w:rsidRPr="00BC698F">
              <w:t xml:space="preserve">-330.64 </w:t>
            </w:r>
          </w:p>
        </w:tc>
      </w:tr>
      <w:tr w:rsidR="00BC698F" w:rsidRPr="00BC698F" w14:paraId="2FA2381B" w14:textId="77777777" w:rsidTr="00747406">
        <w:trPr>
          <w:trHeight w:val="255"/>
        </w:trPr>
        <w:tc>
          <w:tcPr>
            <w:tcW w:w="817" w:type="dxa"/>
            <w:tcBorders>
              <w:bottom w:val="single" w:sz="4" w:space="0" w:color="auto"/>
            </w:tcBorders>
          </w:tcPr>
          <w:p w14:paraId="0A8E41D8" w14:textId="77777777" w:rsidR="00BC698F" w:rsidRPr="00BC698F" w:rsidRDefault="00BC698F" w:rsidP="00BC698F">
            <w:pPr>
              <w:spacing w:before="100" w:after="100"/>
              <w:rPr>
                <w:rFonts w:cs="Arial"/>
                <w:lang w:eastAsia="en-AU"/>
              </w:rPr>
            </w:pPr>
            <w:r w:rsidRPr="00BC698F">
              <w:rPr>
                <w:rFonts w:cs="Arial"/>
                <w:lang w:eastAsia="en-AU"/>
              </w:rPr>
              <w:t>gives</w:t>
            </w:r>
          </w:p>
        </w:tc>
        <w:tc>
          <w:tcPr>
            <w:tcW w:w="5595" w:type="dxa"/>
            <w:tcBorders>
              <w:bottom w:val="single" w:sz="4" w:space="0" w:color="auto"/>
            </w:tcBorders>
          </w:tcPr>
          <w:p w14:paraId="0E80B398" w14:textId="00F796AC" w:rsidR="00BC698F" w:rsidRPr="00BC698F" w:rsidRDefault="00BC698F" w:rsidP="00BC698F">
            <w:pPr>
              <w:spacing w:before="40" w:after="40"/>
              <w:rPr>
                <w:rFonts w:cs="Arial"/>
                <w:b/>
                <w:lang w:eastAsia="en-AU"/>
              </w:rPr>
            </w:pPr>
            <w:r w:rsidRPr="00BC698F">
              <w:rPr>
                <w:rFonts w:cs="Arial"/>
                <w:b/>
                <w:lang w:eastAsia="en-AU"/>
              </w:rPr>
              <w:t>Closing 5.0% per annum balance at fair value (as at 30 June 2021)</w:t>
            </w:r>
          </w:p>
        </w:tc>
        <w:tc>
          <w:tcPr>
            <w:tcW w:w="1776" w:type="dxa"/>
            <w:tcBorders>
              <w:bottom w:val="single" w:sz="4" w:space="0" w:color="auto"/>
            </w:tcBorders>
            <w:noWrap/>
          </w:tcPr>
          <w:p w14:paraId="7A768391" w14:textId="3315B79D" w:rsidR="00BC698F" w:rsidRPr="00334DE1" w:rsidRDefault="00334DE1" w:rsidP="00BC698F">
            <w:pPr>
              <w:spacing w:before="40" w:after="40"/>
              <w:jc w:val="center"/>
              <w:rPr>
                <w:b/>
                <w:bCs/>
              </w:rPr>
            </w:pPr>
            <w:r w:rsidRPr="00334DE1">
              <w:rPr>
                <w:b/>
                <w:bCs/>
              </w:rPr>
              <w:t>41,478.393</w:t>
            </w:r>
          </w:p>
        </w:tc>
      </w:tr>
    </w:tbl>
    <w:p w14:paraId="7D4F22F8" w14:textId="77777777" w:rsidR="009003B7" w:rsidRPr="00BC698F" w:rsidRDefault="009003B7" w:rsidP="009003B7">
      <w:pPr>
        <w:pStyle w:val="BodyText"/>
      </w:pPr>
      <w:r w:rsidRPr="00BC698F">
        <w:t xml:space="preserve">An explanation of the various items in the table follows. </w:t>
      </w:r>
    </w:p>
    <w:p w14:paraId="5FFD8904" w14:textId="28330228" w:rsidR="009003B7" w:rsidRPr="00C165C9" w:rsidRDefault="009003B7" w:rsidP="009003B7">
      <w:pPr>
        <w:keepNext/>
        <w:ind w:firstLine="851"/>
        <w:rPr>
          <w:i/>
        </w:rPr>
      </w:pPr>
      <w:r w:rsidRPr="00C165C9">
        <w:rPr>
          <w:i/>
        </w:rPr>
        <w:lastRenderedPageBreak/>
        <w:t xml:space="preserve">Estimated split of </w:t>
      </w:r>
      <w:r w:rsidR="00BA4D7F" w:rsidRPr="00C165C9">
        <w:rPr>
          <w:rFonts w:cs="Arial"/>
          <w:i/>
          <w:lang w:eastAsia="en-AU"/>
        </w:rPr>
        <w:t>2020-21</w:t>
      </w:r>
      <w:r w:rsidRPr="00C165C9">
        <w:rPr>
          <w:rFonts w:cs="Arial"/>
          <w:i/>
          <w:lang w:eastAsia="en-AU"/>
        </w:rPr>
        <w:t xml:space="preserve"> PAYG between opening balance and new debt</w:t>
      </w:r>
    </w:p>
    <w:p w14:paraId="1C7E4149" w14:textId="7C971DBB" w:rsidR="009003B7" w:rsidRPr="00C165C9" w:rsidRDefault="009003B7" w:rsidP="009003B7">
      <w:pPr>
        <w:pStyle w:val="BodyText"/>
      </w:pPr>
      <w:r w:rsidRPr="00C165C9">
        <w:t xml:space="preserve">It is possible to estimate the proportion of compulsory repayments that relate to debt in existence a year before the balance date and the residual that relates to new debt incurred during the year.  Based on the </w:t>
      </w:r>
      <w:r w:rsidR="007E3E32" w:rsidRPr="00C165C9">
        <w:t>2020</w:t>
      </w:r>
      <w:r w:rsidR="00D836C6" w:rsidRPr="00C165C9">
        <w:t xml:space="preserve"> model, </w:t>
      </w:r>
      <w:r w:rsidR="00BC698F" w:rsidRPr="00C165C9">
        <w:t>about 6%</w:t>
      </w:r>
      <w:r w:rsidR="00D836C6" w:rsidRPr="00C165C9">
        <w:t xml:space="preserve"> </w:t>
      </w:r>
      <w:r w:rsidRPr="00C165C9">
        <w:t xml:space="preserve">of compulsory repayments in </w:t>
      </w:r>
      <w:r w:rsidR="00BA4D7F" w:rsidRPr="00C165C9">
        <w:t>2020-21</w:t>
      </w:r>
      <w:r w:rsidRPr="00C165C9">
        <w:t xml:space="preserve"> were expected to be in respect of</w:t>
      </w:r>
      <w:r w:rsidR="00D836C6" w:rsidRPr="00C165C9">
        <w:t xml:space="preserve"> new debt, with the remaining 9</w:t>
      </w:r>
      <w:r w:rsidR="00BC698F" w:rsidRPr="00C165C9">
        <w:t>4</w:t>
      </w:r>
      <w:r w:rsidRPr="00C165C9">
        <w:t>%</w:t>
      </w:r>
      <w:r w:rsidR="00D836C6" w:rsidRPr="00C165C9">
        <w:t xml:space="preserve"> </w:t>
      </w:r>
      <w:r w:rsidRPr="00C165C9">
        <w:t xml:space="preserve">of repayments relating to debt in existence at 1 July </w:t>
      </w:r>
      <w:r w:rsidR="007E3E32" w:rsidRPr="00C165C9">
        <w:t>2020</w:t>
      </w:r>
      <w:r w:rsidRPr="00C165C9">
        <w:t xml:space="preserve">.  These percentages have been applied to the Education estimate of PAYG receipts for </w:t>
      </w:r>
      <w:r w:rsidR="00BA4D7F" w:rsidRPr="00C165C9">
        <w:t>2020-21</w:t>
      </w:r>
      <w:r w:rsidR="00FB6957" w:rsidRPr="00C165C9">
        <w:t xml:space="preserve"> of </w:t>
      </w:r>
      <w:r w:rsidR="00560E94" w:rsidRPr="00C165C9">
        <w:t>$</w:t>
      </w:r>
      <w:r w:rsidR="00BC698F" w:rsidRPr="00C165C9">
        <w:t>4,182.5</w:t>
      </w:r>
      <w:r w:rsidRPr="00C165C9">
        <w:t>m</w:t>
      </w:r>
      <w:r w:rsidR="00D836C6" w:rsidRPr="00C165C9">
        <w:t>.</w:t>
      </w:r>
    </w:p>
    <w:p w14:paraId="329B5766" w14:textId="77777777" w:rsidR="009003B7" w:rsidRPr="00C165C9" w:rsidRDefault="009003B7" w:rsidP="009003B7">
      <w:pPr>
        <w:keepNext/>
        <w:ind w:firstLine="851"/>
        <w:rPr>
          <w:i/>
        </w:rPr>
      </w:pPr>
      <w:r w:rsidRPr="00C165C9">
        <w:rPr>
          <w:i/>
        </w:rPr>
        <w:t>Voluntary repayments</w:t>
      </w:r>
    </w:p>
    <w:p w14:paraId="0C74C1A5" w14:textId="36C646B7" w:rsidR="009003B7" w:rsidRPr="00C165C9" w:rsidRDefault="009003B7" w:rsidP="009003B7">
      <w:pPr>
        <w:pStyle w:val="BodyText"/>
      </w:pPr>
      <w:r w:rsidRPr="00C165C9">
        <w:t xml:space="preserve">Voluntary repayments for </w:t>
      </w:r>
      <w:r w:rsidR="00BA4D7F" w:rsidRPr="00C165C9">
        <w:t>2020-21</w:t>
      </w:r>
      <w:r w:rsidRPr="00C165C9">
        <w:t xml:space="preserve"> are </w:t>
      </w:r>
      <w:r w:rsidR="004D41CD" w:rsidRPr="00C165C9">
        <w:t xml:space="preserve">taken from </w:t>
      </w:r>
      <w:r w:rsidR="005E55DF" w:rsidRPr="00C165C9">
        <w:t xml:space="preserve">the </w:t>
      </w:r>
      <w:r w:rsidR="003949C4" w:rsidRPr="00C165C9">
        <w:t xml:space="preserve">estimated </w:t>
      </w:r>
      <w:r w:rsidRPr="00C165C9">
        <w:t>ATO Certificate as at 30</w:t>
      </w:r>
      <w:r w:rsidR="007146D5" w:rsidRPr="00C165C9">
        <w:t> </w:t>
      </w:r>
      <w:r w:rsidRPr="00C165C9">
        <w:t>June</w:t>
      </w:r>
      <w:r w:rsidR="007146D5" w:rsidRPr="00C165C9">
        <w:t> </w:t>
      </w:r>
      <w:r w:rsidR="007E3E32" w:rsidRPr="00C165C9">
        <w:t>2021</w:t>
      </w:r>
      <w:r w:rsidRPr="00C165C9">
        <w:t>.</w:t>
      </w:r>
    </w:p>
    <w:p w14:paraId="76358565" w14:textId="116DD479" w:rsidR="009003B7" w:rsidRPr="00C165C9" w:rsidRDefault="009003B7" w:rsidP="009003B7">
      <w:pPr>
        <w:keepNext/>
        <w:ind w:firstLine="851"/>
        <w:rPr>
          <w:i/>
        </w:rPr>
      </w:pPr>
      <w:r w:rsidRPr="00C165C9">
        <w:rPr>
          <w:i/>
        </w:rPr>
        <w:t xml:space="preserve">New debt incurred in </w:t>
      </w:r>
      <w:r w:rsidR="00BA4D7F" w:rsidRPr="00C165C9">
        <w:rPr>
          <w:i/>
        </w:rPr>
        <w:t>2020-21</w:t>
      </w:r>
    </w:p>
    <w:p w14:paraId="7E4B6534" w14:textId="0AA89145" w:rsidR="009003B7" w:rsidRPr="00C165C9" w:rsidRDefault="009003B7" w:rsidP="009003B7">
      <w:pPr>
        <w:pStyle w:val="BodyText"/>
      </w:pPr>
      <w:r w:rsidRPr="00C165C9">
        <w:t xml:space="preserve">The new debt has been calculated by combining the debt reported on the ATO certificate for </w:t>
      </w:r>
      <w:r w:rsidR="00BA4D7F" w:rsidRPr="00C165C9">
        <w:t>2020-21</w:t>
      </w:r>
      <w:r w:rsidRPr="00C165C9">
        <w:t xml:space="preserve"> </w:t>
      </w:r>
      <w:r w:rsidR="005404B9" w:rsidRPr="00C165C9">
        <w:t xml:space="preserve">(adjusted for the first semester </w:t>
      </w:r>
      <w:r w:rsidR="007E3E32" w:rsidRPr="00C165C9">
        <w:t>2020</w:t>
      </w:r>
      <w:r w:rsidR="005404B9" w:rsidRPr="00C165C9">
        <w:t xml:space="preserve"> debt that was still to be reported last year but was included in our calculation at that time) </w:t>
      </w:r>
      <w:r w:rsidRPr="00C165C9">
        <w:t xml:space="preserve">with the Education estimate of debt (including </w:t>
      </w:r>
      <w:r w:rsidR="008363DD" w:rsidRPr="00C165C9">
        <w:t>V</w:t>
      </w:r>
      <w:r w:rsidR="00C165C9" w:rsidRPr="00C165C9">
        <w:t>SL</w:t>
      </w:r>
      <w:r w:rsidRPr="00C165C9">
        <w:t xml:space="preserve">) incurred in the first semester of </w:t>
      </w:r>
      <w:r w:rsidR="007E3E32" w:rsidRPr="00C165C9">
        <w:t>2021</w:t>
      </w:r>
      <w:r w:rsidR="00645392" w:rsidRPr="00C165C9">
        <w:t xml:space="preserve"> that was still to be reported to the ATO</w:t>
      </w:r>
      <w:r w:rsidR="005404B9" w:rsidRPr="00C165C9">
        <w:t xml:space="preserve"> for this year</w:t>
      </w:r>
      <w:r w:rsidRPr="00C165C9">
        <w:t>.</w:t>
      </w:r>
    </w:p>
    <w:p w14:paraId="2D76834A" w14:textId="77777777" w:rsidR="009003B7" w:rsidRPr="00C165C9" w:rsidRDefault="009003B7" w:rsidP="009003B7">
      <w:pPr>
        <w:keepNext/>
        <w:ind w:firstLine="851"/>
        <w:rPr>
          <w:i/>
        </w:rPr>
      </w:pPr>
      <w:r w:rsidRPr="00C165C9">
        <w:rPr>
          <w:i/>
        </w:rPr>
        <w:t>Fair value adjustment on new debt</w:t>
      </w:r>
    </w:p>
    <w:p w14:paraId="36976A0D" w14:textId="37FDD022" w:rsidR="009003B7" w:rsidRPr="00C165C9" w:rsidRDefault="009003B7" w:rsidP="009003B7">
      <w:pPr>
        <w:pStyle w:val="BodyText"/>
      </w:pPr>
      <w:r w:rsidRPr="00C165C9">
        <w:t xml:space="preserve">The adjustment for the fair value has been determined by comparing the present value of all estimated repayments projected by the </w:t>
      </w:r>
      <w:r w:rsidR="007E3E32" w:rsidRPr="00C165C9">
        <w:t>2020</w:t>
      </w:r>
      <w:r w:rsidRPr="00C165C9">
        <w:t xml:space="preserve"> model against the face value of the debt incurred in 201</w:t>
      </w:r>
      <w:r w:rsidR="00C165C9" w:rsidRPr="00C165C9">
        <w:t>9-20</w:t>
      </w:r>
      <w:r w:rsidRPr="00C165C9">
        <w:t xml:space="preserve">.  These estimates have been applied to the figures we have been advised for new debt incurred in </w:t>
      </w:r>
      <w:r w:rsidR="00BA4D7F" w:rsidRPr="00C165C9">
        <w:t>2020-21</w:t>
      </w:r>
      <w:r w:rsidRPr="00C165C9">
        <w:t>, split by VET and non-VET debt.  This resulted in an overall fair value adjustment of -</w:t>
      </w:r>
      <w:r w:rsidR="000F0F19" w:rsidRPr="00C165C9">
        <w:t>3</w:t>
      </w:r>
      <w:r w:rsidR="00C165C9" w:rsidRPr="00C165C9">
        <w:t>4.2</w:t>
      </w:r>
      <w:r w:rsidR="0023522A" w:rsidRPr="00C165C9">
        <w:t>%</w:t>
      </w:r>
      <w:r w:rsidR="00370970" w:rsidRPr="00C165C9">
        <w:t>, under the 5% discount rate basis</w:t>
      </w:r>
      <w:r w:rsidR="0090281A" w:rsidRPr="00C165C9">
        <w:t>.</w:t>
      </w:r>
      <w:r w:rsidRPr="00C165C9">
        <w:t xml:space="preserve">  </w:t>
      </w:r>
    </w:p>
    <w:p w14:paraId="69CC4917" w14:textId="26411D64" w:rsidR="009003B7" w:rsidRPr="00C165C9" w:rsidRDefault="009003B7" w:rsidP="009003B7">
      <w:pPr>
        <w:pStyle w:val="BodyText"/>
      </w:pPr>
      <w:r w:rsidRPr="00C165C9">
        <w:t xml:space="preserve">The split between the components of the adjustment is shown in </w:t>
      </w:r>
      <w:r w:rsidR="00287F03" w:rsidRPr="00C165C9">
        <w:t>Table 6</w:t>
      </w:r>
      <w:r w:rsidRPr="00C165C9">
        <w:t xml:space="preserve"> </w:t>
      </w:r>
      <w:r w:rsidR="008363DD" w:rsidRPr="00C165C9">
        <w:t xml:space="preserve">together </w:t>
      </w:r>
      <w:r w:rsidRPr="00C165C9">
        <w:t>with the percentage of new debt each component equates to in brackets</w:t>
      </w:r>
      <w:r w:rsidR="008363DD" w:rsidRPr="00C165C9">
        <w:t>.  Given the difference in outcomes, there results are reported</w:t>
      </w:r>
      <w:r w:rsidRPr="00C165C9">
        <w:t xml:space="preserve"> separat</w:t>
      </w:r>
      <w:r w:rsidR="008363DD" w:rsidRPr="00C165C9">
        <w:t>ely</w:t>
      </w:r>
      <w:r w:rsidRPr="00C165C9">
        <w:t xml:space="preserve"> </w:t>
      </w:r>
      <w:r w:rsidR="008363DD" w:rsidRPr="00C165C9">
        <w:t xml:space="preserve">for </w:t>
      </w:r>
      <w:r w:rsidR="00A7646E" w:rsidRPr="00C165C9">
        <w:t xml:space="preserve">VET </w:t>
      </w:r>
      <w:r w:rsidRPr="00C165C9">
        <w:t xml:space="preserve">and other debt.  The amount of new debt the adjustments relate to is also provided.  </w:t>
      </w:r>
    </w:p>
    <w:p w14:paraId="5D1CE56C" w14:textId="77777777" w:rsidR="009003B7" w:rsidRPr="00A70050" w:rsidRDefault="009003B7" w:rsidP="009003B7">
      <w:pPr>
        <w:pStyle w:val="BodyText"/>
        <w:numPr>
          <w:ilvl w:val="0"/>
          <w:numId w:val="0"/>
        </w:numPr>
        <w:ind w:left="850"/>
        <w:rPr>
          <w:color w:val="A6A6A6" w:themeColor="background1" w:themeShade="A6"/>
          <w:highlight w:val="yellow"/>
        </w:rPr>
      </w:pPr>
    </w:p>
    <w:p w14:paraId="389A59EB" w14:textId="77777777" w:rsidR="00670C5D" w:rsidRPr="0071024C" w:rsidRDefault="00670C5D" w:rsidP="00670C5D">
      <w:pPr>
        <w:pStyle w:val="Caption"/>
        <w:ind w:firstLine="851"/>
      </w:pPr>
      <w:r w:rsidRPr="0071024C">
        <w:lastRenderedPageBreak/>
        <w:t xml:space="preserve">Table </w:t>
      </w:r>
      <w:r w:rsidR="00C17C19" w:rsidRPr="0071024C">
        <w:t>6</w:t>
      </w:r>
      <w:r w:rsidRPr="0071024C">
        <w:t>:  Split of fair value adjustment (5% discount rate)</w:t>
      </w:r>
    </w:p>
    <w:tbl>
      <w:tblPr>
        <w:tblStyle w:val="TableGrid"/>
        <w:tblW w:w="7622" w:type="dxa"/>
        <w:tblInd w:w="8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276"/>
        <w:gridCol w:w="1418"/>
        <w:gridCol w:w="1242"/>
      </w:tblGrid>
      <w:tr w:rsidR="00A70050" w:rsidRPr="0071024C" w14:paraId="0478BFD6" w14:textId="77777777" w:rsidTr="00B1623D">
        <w:tc>
          <w:tcPr>
            <w:tcW w:w="3686" w:type="dxa"/>
            <w:tcBorders>
              <w:top w:val="single" w:sz="4" w:space="0" w:color="auto"/>
              <w:bottom w:val="single" w:sz="4" w:space="0" w:color="auto"/>
            </w:tcBorders>
          </w:tcPr>
          <w:p w14:paraId="1478659D" w14:textId="77777777" w:rsidR="00670C5D" w:rsidRPr="0071024C" w:rsidRDefault="00670C5D" w:rsidP="006F125C">
            <w:pPr>
              <w:pStyle w:val="BodyText"/>
              <w:keepNext/>
              <w:numPr>
                <w:ilvl w:val="0"/>
                <w:numId w:val="0"/>
              </w:numPr>
            </w:pPr>
          </w:p>
        </w:tc>
        <w:tc>
          <w:tcPr>
            <w:tcW w:w="1276" w:type="dxa"/>
            <w:tcBorders>
              <w:top w:val="single" w:sz="4" w:space="0" w:color="auto"/>
              <w:bottom w:val="single" w:sz="4" w:space="0" w:color="auto"/>
            </w:tcBorders>
          </w:tcPr>
          <w:p w14:paraId="69DEF852" w14:textId="77777777" w:rsidR="00670C5D" w:rsidRPr="0071024C" w:rsidRDefault="00670C5D" w:rsidP="006F125C">
            <w:pPr>
              <w:pStyle w:val="BodyText"/>
              <w:keepNext/>
              <w:numPr>
                <w:ilvl w:val="0"/>
                <w:numId w:val="0"/>
              </w:numPr>
              <w:jc w:val="center"/>
            </w:pPr>
            <w:r w:rsidRPr="0071024C">
              <w:t>VET</w:t>
            </w:r>
          </w:p>
        </w:tc>
        <w:tc>
          <w:tcPr>
            <w:tcW w:w="1418" w:type="dxa"/>
            <w:tcBorders>
              <w:top w:val="single" w:sz="4" w:space="0" w:color="auto"/>
              <w:bottom w:val="single" w:sz="4" w:space="0" w:color="auto"/>
            </w:tcBorders>
          </w:tcPr>
          <w:p w14:paraId="29E95C26" w14:textId="77777777" w:rsidR="00670C5D" w:rsidRPr="0071024C" w:rsidRDefault="00670C5D" w:rsidP="006F125C">
            <w:pPr>
              <w:pStyle w:val="BodyText"/>
              <w:keepNext/>
              <w:numPr>
                <w:ilvl w:val="0"/>
                <w:numId w:val="0"/>
              </w:numPr>
              <w:jc w:val="center"/>
            </w:pPr>
            <w:r w:rsidRPr="0071024C">
              <w:t>non-VET</w:t>
            </w:r>
          </w:p>
        </w:tc>
        <w:tc>
          <w:tcPr>
            <w:tcW w:w="1242" w:type="dxa"/>
            <w:tcBorders>
              <w:top w:val="single" w:sz="4" w:space="0" w:color="auto"/>
              <w:bottom w:val="single" w:sz="4" w:space="0" w:color="auto"/>
            </w:tcBorders>
          </w:tcPr>
          <w:p w14:paraId="7880E908" w14:textId="77777777" w:rsidR="00670C5D" w:rsidRPr="0071024C" w:rsidRDefault="00670C5D" w:rsidP="006F125C">
            <w:pPr>
              <w:pStyle w:val="BodyText"/>
              <w:keepNext/>
              <w:numPr>
                <w:ilvl w:val="0"/>
                <w:numId w:val="0"/>
              </w:numPr>
              <w:jc w:val="center"/>
            </w:pPr>
            <w:r w:rsidRPr="0071024C">
              <w:t>Total</w:t>
            </w:r>
          </w:p>
        </w:tc>
      </w:tr>
      <w:tr w:rsidR="0071024C" w:rsidRPr="0071024C" w14:paraId="242CC09C" w14:textId="77777777" w:rsidTr="00B1623D">
        <w:tc>
          <w:tcPr>
            <w:tcW w:w="3686" w:type="dxa"/>
            <w:tcBorders>
              <w:top w:val="single" w:sz="4" w:space="0" w:color="auto"/>
            </w:tcBorders>
          </w:tcPr>
          <w:p w14:paraId="276425D2" w14:textId="03945D66" w:rsidR="0071024C" w:rsidRPr="0071024C" w:rsidRDefault="0071024C" w:rsidP="0071024C">
            <w:pPr>
              <w:pStyle w:val="BodyText"/>
              <w:keepNext/>
              <w:numPr>
                <w:ilvl w:val="0"/>
                <w:numId w:val="0"/>
              </w:numPr>
            </w:pPr>
            <w:r w:rsidRPr="0071024C">
              <w:t>Estimated new debt in 2020-21 ($m)</w:t>
            </w:r>
          </w:p>
        </w:tc>
        <w:tc>
          <w:tcPr>
            <w:tcW w:w="1276" w:type="dxa"/>
            <w:tcBorders>
              <w:top w:val="single" w:sz="4" w:space="0" w:color="auto"/>
            </w:tcBorders>
          </w:tcPr>
          <w:p w14:paraId="480BC227" w14:textId="0EB9FEE4" w:rsidR="0071024C" w:rsidRPr="0071024C" w:rsidRDefault="0071024C" w:rsidP="0071024C">
            <w:pPr>
              <w:jc w:val="center"/>
            </w:pPr>
            <w:r w:rsidRPr="0071024C">
              <w:t>293.814</w:t>
            </w:r>
          </w:p>
        </w:tc>
        <w:tc>
          <w:tcPr>
            <w:tcW w:w="1418" w:type="dxa"/>
            <w:tcBorders>
              <w:top w:val="single" w:sz="4" w:space="0" w:color="auto"/>
            </w:tcBorders>
          </w:tcPr>
          <w:p w14:paraId="06243C58" w14:textId="50F82926" w:rsidR="0071024C" w:rsidRPr="0071024C" w:rsidRDefault="0071024C" w:rsidP="0071024C">
            <w:pPr>
              <w:jc w:val="center"/>
            </w:pPr>
            <w:r w:rsidRPr="0071024C">
              <w:t>6,549.574</w:t>
            </w:r>
          </w:p>
        </w:tc>
        <w:tc>
          <w:tcPr>
            <w:tcW w:w="1242" w:type="dxa"/>
            <w:tcBorders>
              <w:top w:val="single" w:sz="4" w:space="0" w:color="auto"/>
            </w:tcBorders>
          </w:tcPr>
          <w:p w14:paraId="372BBE35" w14:textId="10FA831E" w:rsidR="0071024C" w:rsidRPr="0071024C" w:rsidRDefault="0071024C" w:rsidP="0071024C">
            <w:pPr>
              <w:jc w:val="center"/>
            </w:pPr>
            <w:r w:rsidRPr="0071024C">
              <w:t>6,843.388</w:t>
            </w:r>
          </w:p>
        </w:tc>
      </w:tr>
      <w:tr w:rsidR="0071024C" w:rsidRPr="0071024C" w14:paraId="42D5A8CE" w14:textId="77777777" w:rsidTr="00B1623D">
        <w:tc>
          <w:tcPr>
            <w:tcW w:w="3686" w:type="dxa"/>
          </w:tcPr>
          <w:p w14:paraId="63E5F3D7" w14:textId="77777777" w:rsidR="0071024C" w:rsidRPr="0071024C" w:rsidRDefault="0071024C" w:rsidP="0071024C">
            <w:pPr>
              <w:pStyle w:val="BodyText"/>
              <w:keepNext/>
              <w:numPr>
                <w:ilvl w:val="0"/>
                <w:numId w:val="0"/>
              </w:numPr>
            </w:pPr>
            <w:r w:rsidRPr="0071024C">
              <w:t>Face value of DNER ($m)</w:t>
            </w:r>
          </w:p>
        </w:tc>
        <w:tc>
          <w:tcPr>
            <w:tcW w:w="1276" w:type="dxa"/>
          </w:tcPr>
          <w:p w14:paraId="07C870C7" w14:textId="03702B11" w:rsidR="0071024C" w:rsidRPr="0071024C" w:rsidRDefault="0071024C" w:rsidP="0071024C">
            <w:pPr>
              <w:jc w:val="center"/>
            </w:pPr>
            <w:r w:rsidRPr="0071024C">
              <w:t>88.144</w:t>
            </w:r>
          </w:p>
        </w:tc>
        <w:tc>
          <w:tcPr>
            <w:tcW w:w="1418" w:type="dxa"/>
          </w:tcPr>
          <w:p w14:paraId="2F9B2476" w14:textId="4AA100ED" w:rsidR="0071024C" w:rsidRPr="0071024C" w:rsidRDefault="0071024C" w:rsidP="0071024C">
            <w:pPr>
              <w:jc w:val="center"/>
            </w:pPr>
            <w:r w:rsidRPr="0071024C">
              <w:t>987.037</w:t>
            </w:r>
          </w:p>
        </w:tc>
        <w:tc>
          <w:tcPr>
            <w:tcW w:w="1242" w:type="dxa"/>
          </w:tcPr>
          <w:p w14:paraId="6DD2961C" w14:textId="1FC2D446" w:rsidR="0071024C" w:rsidRPr="0071024C" w:rsidRDefault="0071024C" w:rsidP="0071024C">
            <w:pPr>
              <w:jc w:val="center"/>
            </w:pPr>
            <w:r w:rsidRPr="0071024C">
              <w:t>1,075.181</w:t>
            </w:r>
          </w:p>
        </w:tc>
      </w:tr>
      <w:tr w:rsidR="0071024C" w:rsidRPr="0071024C" w14:paraId="68E00711" w14:textId="77777777" w:rsidTr="00B1623D">
        <w:tc>
          <w:tcPr>
            <w:tcW w:w="3686" w:type="dxa"/>
          </w:tcPr>
          <w:p w14:paraId="19B9D1C3" w14:textId="467F84CB" w:rsidR="0071024C" w:rsidRPr="0071024C" w:rsidRDefault="0071024C" w:rsidP="0071024C">
            <w:pPr>
              <w:pStyle w:val="BodyText"/>
              <w:keepNext/>
              <w:numPr>
                <w:ilvl w:val="0"/>
                <w:numId w:val="0"/>
              </w:numPr>
            </w:pPr>
            <w:r w:rsidRPr="0071024C">
              <w:t>DNER as a % of new debt</w:t>
            </w:r>
          </w:p>
        </w:tc>
        <w:tc>
          <w:tcPr>
            <w:tcW w:w="1276" w:type="dxa"/>
          </w:tcPr>
          <w:p w14:paraId="08B0E109" w14:textId="57B6C8C0" w:rsidR="0071024C" w:rsidRPr="0071024C" w:rsidRDefault="0071024C" w:rsidP="0071024C">
            <w:pPr>
              <w:jc w:val="center"/>
            </w:pPr>
            <w:r w:rsidRPr="0071024C">
              <w:t>30.00%</w:t>
            </w:r>
          </w:p>
        </w:tc>
        <w:tc>
          <w:tcPr>
            <w:tcW w:w="1418" w:type="dxa"/>
          </w:tcPr>
          <w:p w14:paraId="04B5DCC8" w14:textId="330F2F1A" w:rsidR="0071024C" w:rsidRPr="0071024C" w:rsidRDefault="0071024C" w:rsidP="0071024C">
            <w:pPr>
              <w:jc w:val="center"/>
            </w:pPr>
            <w:r w:rsidRPr="0071024C">
              <w:t>15.07%</w:t>
            </w:r>
          </w:p>
        </w:tc>
        <w:tc>
          <w:tcPr>
            <w:tcW w:w="1242" w:type="dxa"/>
          </w:tcPr>
          <w:p w14:paraId="4FE39536" w14:textId="46D61258" w:rsidR="0071024C" w:rsidRPr="0071024C" w:rsidRDefault="0071024C" w:rsidP="0071024C">
            <w:pPr>
              <w:jc w:val="center"/>
            </w:pPr>
            <w:r w:rsidRPr="0071024C">
              <w:t>15.71%</w:t>
            </w:r>
          </w:p>
        </w:tc>
      </w:tr>
      <w:tr w:rsidR="0071024C" w:rsidRPr="0071024C" w14:paraId="346FA76F" w14:textId="77777777" w:rsidTr="00B1623D">
        <w:tc>
          <w:tcPr>
            <w:tcW w:w="3686" w:type="dxa"/>
          </w:tcPr>
          <w:p w14:paraId="757BF7D5" w14:textId="77777777" w:rsidR="0071024C" w:rsidRPr="0071024C" w:rsidRDefault="0071024C" w:rsidP="0071024C">
            <w:pPr>
              <w:pStyle w:val="BodyText"/>
              <w:keepNext/>
              <w:numPr>
                <w:ilvl w:val="0"/>
                <w:numId w:val="0"/>
              </w:numPr>
            </w:pPr>
            <w:r w:rsidRPr="0071024C">
              <w:t>Deferral adjustment ($m)</w:t>
            </w:r>
          </w:p>
        </w:tc>
        <w:tc>
          <w:tcPr>
            <w:tcW w:w="1276" w:type="dxa"/>
          </w:tcPr>
          <w:p w14:paraId="2FDF8C5C" w14:textId="667AF335" w:rsidR="0071024C" w:rsidRPr="0071024C" w:rsidRDefault="0071024C" w:rsidP="0071024C">
            <w:pPr>
              <w:jc w:val="center"/>
            </w:pPr>
            <w:r w:rsidRPr="0071024C">
              <w:t>58.787</w:t>
            </w:r>
          </w:p>
        </w:tc>
        <w:tc>
          <w:tcPr>
            <w:tcW w:w="1418" w:type="dxa"/>
          </w:tcPr>
          <w:p w14:paraId="2E186124" w14:textId="14C92531" w:rsidR="0071024C" w:rsidRPr="0071024C" w:rsidRDefault="0071024C" w:rsidP="0071024C">
            <w:pPr>
              <w:jc w:val="center"/>
            </w:pPr>
            <w:r w:rsidRPr="0071024C">
              <w:t>1,208.900</w:t>
            </w:r>
          </w:p>
        </w:tc>
        <w:tc>
          <w:tcPr>
            <w:tcW w:w="1242" w:type="dxa"/>
          </w:tcPr>
          <w:p w14:paraId="785372FF" w14:textId="56FBB014" w:rsidR="0071024C" w:rsidRPr="0071024C" w:rsidRDefault="0071024C" w:rsidP="0071024C">
            <w:pPr>
              <w:jc w:val="center"/>
            </w:pPr>
            <w:r w:rsidRPr="0071024C">
              <w:t>1,267.686</w:t>
            </w:r>
          </w:p>
        </w:tc>
      </w:tr>
      <w:tr w:rsidR="0071024C" w:rsidRPr="0071024C" w14:paraId="35BB972F" w14:textId="77777777" w:rsidTr="00B1623D">
        <w:tc>
          <w:tcPr>
            <w:tcW w:w="3686" w:type="dxa"/>
          </w:tcPr>
          <w:p w14:paraId="3A771E79" w14:textId="77777777" w:rsidR="0071024C" w:rsidRPr="0071024C" w:rsidRDefault="0071024C" w:rsidP="0071024C">
            <w:pPr>
              <w:pStyle w:val="BodyText"/>
              <w:keepNext/>
              <w:numPr>
                <w:ilvl w:val="0"/>
                <w:numId w:val="0"/>
              </w:numPr>
            </w:pPr>
            <w:r w:rsidRPr="0071024C">
              <w:t>Deferral adjustment as a % of new debt</w:t>
            </w:r>
          </w:p>
        </w:tc>
        <w:tc>
          <w:tcPr>
            <w:tcW w:w="1276" w:type="dxa"/>
          </w:tcPr>
          <w:p w14:paraId="06D8D6EF" w14:textId="3750BA13" w:rsidR="0071024C" w:rsidRPr="0071024C" w:rsidRDefault="0071024C" w:rsidP="0071024C">
            <w:pPr>
              <w:jc w:val="center"/>
            </w:pPr>
            <w:r w:rsidRPr="0071024C">
              <w:t>20.01%</w:t>
            </w:r>
          </w:p>
        </w:tc>
        <w:tc>
          <w:tcPr>
            <w:tcW w:w="1418" w:type="dxa"/>
          </w:tcPr>
          <w:p w14:paraId="47BA5389" w14:textId="12059E4F" w:rsidR="0071024C" w:rsidRPr="0071024C" w:rsidRDefault="0071024C" w:rsidP="0071024C">
            <w:pPr>
              <w:jc w:val="center"/>
            </w:pPr>
            <w:r w:rsidRPr="0071024C">
              <w:t>18.46%</w:t>
            </w:r>
          </w:p>
        </w:tc>
        <w:tc>
          <w:tcPr>
            <w:tcW w:w="1242" w:type="dxa"/>
          </w:tcPr>
          <w:p w14:paraId="522377E6" w14:textId="495CF3EB" w:rsidR="0071024C" w:rsidRPr="0071024C" w:rsidRDefault="0071024C" w:rsidP="0071024C">
            <w:pPr>
              <w:jc w:val="center"/>
            </w:pPr>
            <w:r w:rsidRPr="0071024C">
              <w:t>18.52%</w:t>
            </w:r>
          </w:p>
        </w:tc>
      </w:tr>
      <w:tr w:rsidR="0071024C" w:rsidRPr="0071024C" w14:paraId="108926EE" w14:textId="77777777" w:rsidTr="00B1623D">
        <w:tc>
          <w:tcPr>
            <w:tcW w:w="3686" w:type="dxa"/>
          </w:tcPr>
          <w:p w14:paraId="78A3BDBD" w14:textId="77777777" w:rsidR="0071024C" w:rsidRPr="0071024C" w:rsidRDefault="0071024C" w:rsidP="0071024C">
            <w:pPr>
              <w:pStyle w:val="BodyText"/>
              <w:keepNext/>
              <w:numPr>
                <w:ilvl w:val="0"/>
                <w:numId w:val="0"/>
              </w:numPr>
            </w:pPr>
            <w:r w:rsidRPr="0071024C">
              <w:t>Fair value adjustment on new debt ($m)</w:t>
            </w:r>
          </w:p>
        </w:tc>
        <w:tc>
          <w:tcPr>
            <w:tcW w:w="1276" w:type="dxa"/>
          </w:tcPr>
          <w:p w14:paraId="3CB2E96E" w14:textId="2683C97F" w:rsidR="0071024C" w:rsidRPr="0071024C" w:rsidRDefault="0071024C" w:rsidP="0071024C">
            <w:pPr>
              <w:jc w:val="center"/>
            </w:pPr>
            <w:r w:rsidRPr="0071024C">
              <w:t>146.931</w:t>
            </w:r>
          </w:p>
        </w:tc>
        <w:tc>
          <w:tcPr>
            <w:tcW w:w="1418" w:type="dxa"/>
          </w:tcPr>
          <w:p w14:paraId="36B1FED9" w14:textId="2C92C9F7" w:rsidR="0071024C" w:rsidRPr="0071024C" w:rsidRDefault="0071024C" w:rsidP="0071024C">
            <w:pPr>
              <w:jc w:val="center"/>
            </w:pPr>
            <w:r w:rsidRPr="0071024C">
              <w:t>2,195.936</w:t>
            </w:r>
          </w:p>
        </w:tc>
        <w:tc>
          <w:tcPr>
            <w:tcW w:w="1242" w:type="dxa"/>
          </w:tcPr>
          <w:p w14:paraId="658A9529" w14:textId="36375DC8" w:rsidR="0071024C" w:rsidRPr="0071024C" w:rsidRDefault="0071024C" w:rsidP="0071024C">
            <w:pPr>
              <w:jc w:val="center"/>
            </w:pPr>
            <w:r w:rsidRPr="0071024C">
              <w:t>2,342.867</w:t>
            </w:r>
          </w:p>
        </w:tc>
      </w:tr>
      <w:tr w:rsidR="0071024C" w:rsidRPr="0071024C" w14:paraId="4203E6F6" w14:textId="77777777" w:rsidTr="00B1623D">
        <w:tc>
          <w:tcPr>
            <w:tcW w:w="3686" w:type="dxa"/>
          </w:tcPr>
          <w:p w14:paraId="78A7348D" w14:textId="77777777" w:rsidR="0071024C" w:rsidRPr="0071024C" w:rsidRDefault="0071024C" w:rsidP="0071024C">
            <w:pPr>
              <w:pStyle w:val="BodyText"/>
              <w:numPr>
                <w:ilvl w:val="0"/>
                <w:numId w:val="0"/>
              </w:numPr>
            </w:pPr>
            <w:r w:rsidRPr="0071024C">
              <w:t>Total impairment percentage</w:t>
            </w:r>
          </w:p>
        </w:tc>
        <w:tc>
          <w:tcPr>
            <w:tcW w:w="1276" w:type="dxa"/>
          </w:tcPr>
          <w:p w14:paraId="4197F8FD" w14:textId="29F25DB0" w:rsidR="0071024C" w:rsidRPr="0071024C" w:rsidRDefault="0071024C" w:rsidP="0071024C">
            <w:pPr>
              <w:jc w:val="center"/>
            </w:pPr>
            <w:r w:rsidRPr="0071024C">
              <w:t>50.01%</w:t>
            </w:r>
          </w:p>
        </w:tc>
        <w:tc>
          <w:tcPr>
            <w:tcW w:w="1418" w:type="dxa"/>
          </w:tcPr>
          <w:p w14:paraId="7E37CDCF" w14:textId="0A646E86" w:rsidR="0071024C" w:rsidRPr="0071024C" w:rsidRDefault="0071024C" w:rsidP="0071024C">
            <w:pPr>
              <w:jc w:val="center"/>
            </w:pPr>
            <w:r w:rsidRPr="0071024C">
              <w:t>33.53%</w:t>
            </w:r>
          </w:p>
        </w:tc>
        <w:tc>
          <w:tcPr>
            <w:tcW w:w="1242" w:type="dxa"/>
          </w:tcPr>
          <w:p w14:paraId="3DDF7E7A" w14:textId="323AA789" w:rsidR="0071024C" w:rsidRPr="0071024C" w:rsidRDefault="0071024C" w:rsidP="0071024C">
            <w:pPr>
              <w:jc w:val="center"/>
            </w:pPr>
            <w:r w:rsidRPr="0071024C">
              <w:t>34.24%</w:t>
            </w:r>
          </w:p>
        </w:tc>
      </w:tr>
    </w:tbl>
    <w:p w14:paraId="2AC040A3" w14:textId="7274ECD2" w:rsidR="009003B7" w:rsidRPr="0071024C" w:rsidRDefault="009003B7" w:rsidP="009003B7">
      <w:pPr>
        <w:keepNext/>
        <w:ind w:firstLine="851"/>
        <w:rPr>
          <w:i/>
        </w:rPr>
      </w:pPr>
      <w:r w:rsidRPr="0071024C">
        <w:rPr>
          <w:i/>
        </w:rPr>
        <w:t>Difference between AGA and Education estimates of PAYG receipts</w:t>
      </w:r>
    </w:p>
    <w:p w14:paraId="2C7C7BD1" w14:textId="0F39F4EF" w:rsidR="009003B7" w:rsidRPr="0071024C" w:rsidRDefault="00DA5946" w:rsidP="009003B7">
      <w:pPr>
        <w:pStyle w:val="BodyText"/>
      </w:pPr>
      <w:r w:rsidRPr="0071024C">
        <w:t xml:space="preserve">Although our practice is to recognise the estimate of PAYG receipts generated by our model, </w:t>
      </w:r>
      <w:r w:rsidR="001450EE" w:rsidRPr="0071024C">
        <w:t xml:space="preserve">for disclosure purposes </w:t>
      </w:r>
      <w:r w:rsidRPr="0071024C">
        <w:t>w</w:t>
      </w:r>
      <w:r w:rsidR="009003B7" w:rsidRPr="0071024C">
        <w:t xml:space="preserve">e have continued the practice of showing the difference between the estimate provided by Education and the estimate generated by the model as an explicit item in the roll forward.   By including this adjustment, we are </w:t>
      </w:r>
      <w:r w:rsidR="00CF1EF3" w:rsidRPr="0071024C">
        <w:t>increasing</w:t>
      </w:r>
      <w:r w:rsidR="009003B7" w:rsidRPr="0071024C">
        <w:t xml:space="preserve"> the value of the receivable by the difference</w:t>
      </w:r>
      <w:r w:rsidR="008363DD" w:rsidRPr="0071024C">
        <w:t xml:space="preserve"> and ensuring that the resulting estimate corresponds to the present value of projected repayments after 30</w:t>
      </w:r>
      <w:r w:rsidR="007146D5" w:rsidRPr="0071024C">
        <w:t> </w:t>
      </w:r>
      <w:r w:rsidR="008363DD" w:rsidRPr="0071024C">
        <w:t xml:space="preserve">June </w:t>
      </w:r>
      <w:r w:rsidR="007E3E32" w:rsidRPr="0071024C">
        <w:t>2021</w:t>
      </w:r>
      <w:r w:rsidR="009003B7" w:rsidRPr="0071024C">
        <w:t xml:space="preserve">.  </w:t>
      </w:r>
    </w:p>
    <w:p w14:paraId="3EA6C928" w14:textId="77777777" w:rsidR="009003B7" w:rsidRPr="0071024C" w:rsidRDefault="009003B7" w:rsidP="009003B7">
      <w:pPr>
        <w:keepNext/>
        <w:ind w:firstLine="851"/>
        <w:rPr>
          <w:i/>
        </w:rPr>
      </w:pPr>
      <w:r w:rsidRPr="0071024C">
        <w:rPr>
          <w:i/>
        </w:rPr>
        <w:t>Interest</w:t>
      </w:r>
    </w:p>
    <w:p w14:paraId="1F7FE145" w14:textId="1F9C40D2" w:rsidR="009003B7" w:rsidRPr="0071024C" w:rsidRDefault="009003B7" w:rsidP="009003B7">
      <w:pPr>
        <w:pStyle w:val="BodyText"/>
      </w:pPr>
      <w:r w:rsidRPr="0071024C">
        <w:t>In moving forward from the estimated fair value of the HELP receivable as at 30</w:t>
      </w:r>
      <w:r w:rsidR="007146D5" w:rsidRPr="0071024C">
        <w:t> </w:t>
      </w:r>
      <w:r w:rsidRPr="0071024C">
        <w:t>June</w:t>
      </w:r>
      <w:r w:rsidR="007146D5" w:rsidRPr="0071024C">
        <w:t> </w:t>
      </w:r>
      <w:r w:rsidR="007E3E32" w:rsidRPr="0071024C">
        <w:t>2020</w:t>
      </w:r>
      <w:r w:rsidRPr="0071024C">
        <w:t xml:space="preserve"> to the </w:t>
      </w:r>
      <w:r w:rsidR="007E3E32" w:rsidRPr="0071024C">
        <w:t>2021</w:t>
      </w:r>
      <w:r w:rsidRPr="0071024C">
        <w:t xml:space="preserve"> estimate, the discount rate used to derive the present value of repayments needs to be unwound to reflect the fact that projected payments are one year closer to being received.  Hence, the interest rate used in deriving the opening balance is applied to bring the estimate up to </w:t>
      </w:r>
      <w:r w:rsidR="007E3E32" w:rsidRPr="0071024C">
        <w:t>2021</w:t>
      </w:r>
      <w:r w:rsidRPr="0071024C">
        <w:t xml:space="preserve"> dollars. Cashflows occurring during the year are assumed to be spread evenly over the year and accordingly six months interest is assumed on voluntary repayments and PAYG receipts (including the AGA adjustment mentioned above).</w:t>
      </w:r>
    </w:p>
    <w:p w14:paraId="07F1D076" w14:textId="77777777" w:rsidR="009003B7" w:rsidRPr="0071024C" w:rsidRDefault="009003B7" w:rsidP="009003B7">
      <w:pPr>
        <w:keepNext/>
        <w:ind w:firstLine="851"/>
        <w:rPr>
          <w:i/>
        </w:rPr>
      </w:pPr>
      <w:r w:rsidRPr="0071024C">
        <w:rPr>
          <w:i/>
        </w:rPr>
        <w:t>Actuarial gains/losses</w:t>
      </w:r>
    </w:p>
    <w:p w14:paraId="455D96B5" w14:textId="4E8D5F3D" w:rsidR="00253DD8" w:rsidRDefault="009003B7" w:rsidP="00253DD8">
      <w:pPr>
        <w:pStyle w:val="BodyText"/>
      </w:pPr>
      <w:r w:rsidRPr="0071024C">
        <w:t xml:space="preserve">The AGA model assumes that the CPI will grow by </w:t>
      </w:r>
      <w:r w:rsidR="0071024C" w:rsidRPr="0071024C">
        <w:t>0.6</w:t>
      </w:r>
      <w:r w:rsidR="0023522A" w:rsidRPr="0071024C">
        <w:t>%</w:t>
      </w:r>
      <w:r w:rsidRPr="0071024C">
        <w:t xml:space="preserve"> per annum </w:t>
      </w:r>
      <w:r w:rsidR="001450EE" w:rsidRPr="0071024C">
        <w:t xml:space="preserve">in </w:t>
      </w:r>
      <w:r w:rsidR="00BA4D7F" w:rsidRPr="0071024C">
        <w:t>2020-21</w:t>
      </w:r>
      <w:r w:rsidR="001450EE" w:rsidRPr="0071024C">
        <w:t xml:space="preserve"> </w:t>
      </w:r>
      <w:r w:rsidRPr="0071024C">
        <w:t xml:space="preserve">and this is the rate of indexation applied to outstanding debt by our model.  If inflation is </w:t>
      </w:r>
      <w:r w:rsidR="0023522A" w:rsidRPr="0071024C">
        <w:t>highe</w:t>
      </w:r>
      <w:r w:rsidRPr="0071024C">
        <w:t xml:space="preserve">r than expected, the outstanding debt will be subject to a </w:t>
      </w:r>
      <w:r w:rsidR="0023522A" w:rsidRPr="0071024C">
        <w:t>higher</w:t>
      </w:r>
      <w:r w:rsidRPr="0071024C">
        <w:t xml:space="preserve"> level of indexation and expected repayments will also </w:t>
      </w:r>
      <w:r w:rsidR="0023522A" w:rsidRPr="0071024C">
        <w:t>increase</w:t>
      </w:r>
      <w:r w:rsidRPr="0071024C">
        <w:t xml:space="preserve">.  In </w:t>
      </w:r>
      <w:r w:rsidR="00BA4D7F" w:rsidRPr="0071024C">
        <w:t>2020-21</w:t>
      </w:r>
      <w:r w:rsidRPr="0071024C">
        <w:t>, the applicable indexation rate app</w:t>
      </w:r>
      <w:r w:rsidR="003B1C1C" w:rsidRPr="0071024C">
        <w:t xml:space="preserve">lied to outstanding HELP was </w:t>
      </w:r>
      <w:r w:rsidR="0071024C" w:rsidRPr="0071024C">
        <w:t>0.6</w:t>
      </w:r>
      <w:r w:rsidR="0023522A" w:rsidRPr="0071024C">
        <w:t>%</w:t>
      </w:r>
      <w:r w:rsidRPr="0071024C">
        <w:t xml:space="preserve"> and accordingly there has </w:t>
      </w:r>
      <w:r w:rsidRPr="0071024C">
        <w:lastRenderedPageBreak/>
        <w:t xml:space="preserve">been </w:t>
      </w:r>
      <w:r w:rsidR="00D84DA4" w:rsidRPr="0071024C">
        <w:t>no</w:t>
      </w:r>
      <w:r w:rsidRPr="0071024C">
        <w:t xml:space="preserve"> actuarial </w:t>
      </w:r>
      <w:r w:rsidR="0023522A" w:rsidRPr="0071024C">
        <w:t>gain</w:t>
      </w:r>
      <w:r w:rsidRPr="0071024C">
        <w:t xml:space="preserve"> which </w:t>
      </w:r>
      <w:r w:rsidR="00D84DA4" w:rsidRPr="0071024C">
        <w:t xml:space="preserve">impacts on </w:t>
      </w:r>
      <w:r w:rsidRPr="0071024C">
        <w:t xml:space="preserve">the value of the HELP receivable.  Note that this is </w:t>
      </w:r>
      <w:r w:rsidR="00D84DA4" w:rsidRPr="0071024C">
        <w:t xml:space="preserve">normally </w:t>
      </w:r>
      <w:r w:rsidRPr="0071024C">
        <w:t>calculated from the discounted value of repayments before adjustment for PAYG amounts because PAYG receipts do not affect the amount recorded by the ATO as outstanding at the indexation date of 1 June</w:t>
      </w:r>
      <w:r w:rsidR="007146D5" w:rsidRPr="0071024C">
        <w:t xml:space="preserve"> </w:t>
      </w:r>
      <w:r w:rsidR="007E3E32" w:rsidRPr="0071024C">
        <w:t>2021</w:t>
      </w:r>
      <w:r w:rsidRPr="0071024C">
        <w:t xml:space="preserve">. </w:t>
      </w:r>
    </w:p>
    <w:p w14:paraId="208B7F94" w14:textId="418C6894" w:rsidR="00BB0E2C" w:rsidRPr="00BB0E2C" w:rsidRDefault="00BB0E2C" w:rsidP="00BB0E2C">
      <w:pPr>
        <w:pStyle w:val="BodyText"/>
        <w:numPr>
          <w:ilvl w:val="0"/>
          <w:numId w:val="0"/>
        </w:numPr>
        <w:ind w:left="850"/>
        <w:rPr>
          <w:i/>
          <w:iCs/>
        </w:rPr>
      </w:pPr>
      <w:r w:rsidRPr="00BB0E2C">
        <w:rPr>
          <w:i/>
          <w:iCs/>
        </w:rPr>
        <w:t>Impact of further VET recredits</w:t>
      </w:r>
    </w:p>
    <w:p w14:paraId="42DC0AFC" w14:textId="3E79CFD4" w:rsidR="00BB0E2C" w:rsidRPr="0071024C" w:rsidRDefault="00BB0E2C" w:rsidP="00253DD8">
      <w:pPr>
        <w:pStyle w:val="BodyText"/>
      </w:pPr>
      <w:r>
        <w:t>We have estimated that there will be a further $1</w:t>
      </w:r>
      <w:r w:rsidR="0001044F">
        <w:t xml:space="preserve">.5 billion of VET recredits on top of the $2.7 billion that had been processed by April 2021. Our expectation is that the DNER generated by our model on this debt is about 60%. A further 18% of this amount relates to the deferral adjustment on a 5% discount rate, leaving only 22% of the face value to be removed from the fair value. </w:t>
      </w:r>
    </w:p>
    <w:p w14:paraId="28A8E85A" w14:textId="705FBD21" w:rsidR="007C4BA6" w:rsidRPr="00BB0E2C" w:rsidRDefault="007C4BA6" w:rsidP="007C4BA6">
      <w:pPr>
        <w:pStyle w:val="BodyText"/>
        <w:numPr>
          <w:ilvl w:val="0"/>
          <w:numId w:val="0"/>
        </w:numPr>
        <w:ind w:left="850"/>
        <w:rPr>
          <w:i/>
        </w:rPr>
      </w:pPr>
      <w:r w:rsidRPr="00BB0E2C">
        <w:rPr>
          <w:i/>
        </w:rPr>
        <w:t xml:space="preserve">Value of post 1 July </w:t>
      </w:r>
      <w:r w:rsidR="007E3E32" w:rsidRPr="00BB0E2C">
        <w:rPr>
          <w:i/>
        </w:rPr>
        <w:t>20</w:t>
      </w:r>
      <w:r w:rsidR="00175360" w:rsidRPr="00BB0E2C">
        <w:rPr>
          <w:i/>
        </w:rPr>
        <w:t>19</w:t>
      </w:r>
      <w:r w:rsidRPr="00BB0E2C">
        <w:rPr>
          <w:i/>
        </w:rPr>
        <w:t xml:space="preserve"> VSL debt</w:t>
      </w:r>
    </w:p>
    <w:p w14:paraId="6099495F" w14:textId="2785F212" w:rsidR="007C4BA6" w:rsidRPr="00BB0E2C" w:rsidRDefault="007C4BA6" w:rsidP="007C4BA6">
      <w:pPr>
        <w:pStyle w:val="BodyText"/>
      </w:pPr>
      <w:r w:rsidRPr="00BB0E2C">
        <w:t>Advice received from Education was that a total of $29</w:t>
      </w:r>
      <w:r w:rsidR="00175360" w:rsidRPr="00BB0E2C">
        <w:t>3.8</w:t>
      </w:r>
      <w:r w:rsidRPr="00BB0E2C">
        <w:t xml:space="preserve">m of VSL debt has been incurred between 1 July </w:t>
      </w:r>
      <w:r w:rsidR="007E3E32" w:rsidRPr="00BB0E2C">
        <w:t>2020</w:t>
      </w:r>
      <w:r w:rsidRPr="00BB0E2C">
        <w:t xml:space="preserve"> and 30 June </w:t>
      </w:r>
      <w:r w:rsidR="007E3E32" w:rsidRPr="00BB0E2C">
        <w:t>2021</w:t>
      </w:r>
      <w:r w:rsidRPr="00BB0E2C">
        <w:t xml:space="preserve"> under the lower ranked repayment arrangement</w:t>
      </w:r>
      <w:r w:rsidR="00175360" w:rsidRPr="00BB0E2C">
        <w:t>, along with $297.1m incurred in the year to 30 June 2020</w:t>
      </w:r>
      <w:r w:rsidRPr="00BB0E2C">
        <w:t>. As it is a requirement to separately calculate and report the fair value of future expected repayments associated with this debt, this value has been determined to be $</w:t>
      </w:r>
      <w:r w:rsidR="00175360" w:rsidRPr="00BB0E2C">
        <w:t>284.145</w:t>
      </w:r>
      <w:r w:rsidRPr="00BB0E2C">
        <w:t xml:space="preserve">m based on a discount rate of 5% p.a. The value of the post 1 July </w:t>
      </w:r>
      <w:r w:rsidR="007E3E32" w:rsidRPr="00BB0E2C">
        <w:t>20</w:t>
      </w:r>
      <w:r w:rsidR="00175360" w:rsidRPr="00BB0E2C">
        <w:t>19</w:t>
      </w:r>
      <w:r w:rsidRPr="00BB0E2C">
        <w:t xml:space="preserve"> VSL debt is included in the total value of the receivable referred to above.</w:t>
      </w:r>
    </w:p>
    <w:p w14:paraId="5A44814E" w14:textId="4DFA7EEE" w:rsidR="007C4BA6" w:rsidRPr="00BB0E2C" w:rsidRDefault="007C4BA6" w:rsidP="007C4BA6">
      <w:pPr>
        <w:pStyle w:val="BodyText"/>
        <w:numPr>
          <w:ilvl w:val="0"/>
          <w:numId w:val="0"/>
        </w:numPr>
        <w:ind w:left="850"/>
        <w:rPr>
          <w:i/>
        </w:rPr>
      </w:pPr>
      <w:r w:rsidRPr="00BB0E2C">
        <w:rPr>
          <w:i/>
        </w:rPr>
        <w:t>Yield curve results</w:t>
      </w:r>
    </w:p>
    <w:p w14:paraId="34AEF9E3" w14:textId="1C4078F2" w:rsidR="007C4BA6" w:rsidRPr="00BB0E2C" w:rsidRDefault="007C4BA6" w:rsidP="007C4BA6">
      <w:pPr>
        <w:pStyle w:val="BodyText"/>
      </w:pPr>
      <w:r w:rsidRPr="00BB0E2C">
        <w:t xml:space="preserve">Table 7 below sets out the estimate of the fair value using the </w:t>
      </w:r>
      <w:r w:rsidR="007E3E32" w:rsidRPr="00BB0E2C">
        <w:t>2021</w:t>
      </w:r>
      <w:r w:rsidRPr="00BB0E2C">
        <w:t xml:space="preserve"> yield curve.</w:t>
      </w:r>
    </w:p>
    <w:p w14:paraId="6D6C10FF" w14:textId="0FEDFF31" w:rsidR="007B5695" w:rsidRPr="00BB0E2C" w:rsidRDefault="007B5695" w:rsidP="007B5695">
      <w:pPr>
        <w:pStyle w:val="Caption"/>
        <w:ind w:firstLine="851"/>
        <w:rPr>
          <w:b/>
        </w:rPr>
      </w:pPr>
      <w:bookmarkStart w:id="12" w:name="_Ref426116368"/>
      <w:r w:rsidRPr="00BB0E2C">
        <w:t xml:space="preserve">Table </w:t>
      </w:r>
      <w:r w:rsidR="00C17C19" w:rsidRPr="00BB0E2C">
        <w:t>7</w:t>
      </w:r>
      <w:bookmarkEnd w:id="12"/>
      <w:r w:rsidRPr="00BB0E2C">
        <w:t xml:space="preserve">:  Estimate of Fair Value using </w:t>
      </w:r>
      <w:r w:rsidR="001450EE" w:rsidRPr="00BB0E2C">
        <w:t xml:space="preserve">the </w:t>
      </w:r>
      <w:r w:rsidR="007E3E32" w:rsidRPr="00BB0E2C">
        <w:t>2021</w:t>
      </w:r>
      <w:r w:rsidR="001450EE" w:rsidRPr="00BB0E2C">
        <w:t xml:space="preserve"> </w:t>
      </w:r>
      <w:r w:rsidRPr="00BB0E2C">
        <w:t>Yield Curve</w:t>
      </w:r>
    </w:p>
    <w:tbl>
      <w:tblPr>
        <w:tblW w:w="8188" w:type="dxa"/>
        <w:tblInd w:w="392" w:type="dxa"/>
        <w:tblLayout w:type="fixed"/>
        <w:tblLook w:val="01E0" w:firstRow="1" w:lastRow="1" w:firstColumn="1" w:lastColumn="1" w:noHBand="0" w:noVBand="0"/>
      </w:tblPr>
      <w:tblGrid>
        <w:gridCol w:w="817"/>
        <w:gridCol w:w="5595"/>
        <w:gridCol w:w="1776"/>
      </w:tblGrid>
      <w:tr w:rsidR="00A70050" w:rsidRPr="00BB0E2C" w14:paraId="78B33116" w14:textId="77777777" w:rsidTr="00CF56EE">
        <w:trPr>
          <w:trHeight w:val="255"/>
          <w:tblHeader/>
        </w:trPr>
        <w:tc>
          <w:tcPr>
            <w:tcW w:w="817" w:type="dxa"/>
            <w:tcBorders>
              <w:bottom w:val="single" w:sz="4" w:space="0" w:color="auto"/>
            </w:tcBorders>
          </w:tcPr>
          <w:p w14:paraId="65D50171" w14:textId="77777777" w:rsidR="007B5695" w:rsidRPr="00BB0E2C" w:rsidRDefault="007B5695" w:rsidP="00B1623D">
            <w:pPr>
              <w:keepNext/>
              <w:spacing w:before="0" w:after="0"/>
              <w:rPr>
                <w:rFonts w:cs="Arial"/>
                <w:lang w:eastAsia="en-AU"/>
              </w:rPr>
            </w:pPr>
          </w:p>
        </w:tc>
        <w:tc>
          <w:tcPr>
            <w:tcW w:w="5595" w:type="dxa"/>
            <w:tcBorders>
              <w:bottom w:val="single" w:sz="4" w:space="0" w:color="auto"/>
            </w:tcBorders>
          </w:tcPr>
          <w:p w14:paraId="37A5412A" w14:textId="77777777" w:rsidR="007B5695" w:rsidRPr="00BB0E2C" w:rsidRDefault="007B5695" w:rsidP="00B1623D">
            <w:pPr>
              <w:keepNext/>
              <w:spacing w:before="0" w:after="0"/>
              <w:rPr>
                <w:rFonts w:cs="Arial"/>
                <w:lang w:eastAsia="en-AU"/>
              </w:rPr>
            </w:pPr>
          </w:p>
        </w:tc>
        <w:tc>
          <w:tcPr>
            <w:tcW w:w="1776" w:type="dxa"/>
            <w:tcBorders>
              <w:bottom w:val="single" w:sz="4" w:space="0" w:color="auto"/>
            </w:tcBorders>
            <w:noWrap/>
          </w:tcPr>
          <w:p w14:paraId="59C1BE6D" w14:textId="77777777" w:rsidR="007B5695" w:rsidRPr="00BB0E2C" w:rsidRDefault="007B5695" w:rsidP="00B1623D">
            <w:pPr>
              <w:keepNext/>
              <w:tabs>
                <w:tab w:val="decimal" w:pos="1062"/>
              </w:tabs>
              <w:spacing w:before="0" w:after="0"/>
            </w:pPr>
            <w:r w:rsidRPr="00BB0E2C">
              <w:t>$m</w:t>
            </w:r>
          </w:p>
        </w:tc>
      </w:tr>
      <w:tr w:rsidR="00175360" w:rsidRPr="00BB0E2C" w14:paraId="2AB233E3" w14:textId="77777777" w:rsidTr="00CF56EE">
        <w:trPr>
          <w:trHeight w:val="255"/>
        </w:trPr>
        <w:tc>
          <w:tcPr>
            <w:tcW w:w="817" w:type="dxa"/>
            <w:tcBorders>
              <w:top w:val="single" w:sz="4" w:space="0" w:color="auto"/>
            </w:tcBorders>
          </w:tcPr>
          <w:p w14:paraId="0D6F22DD" w14:textId="77777777" w:rsidR="00175360" w:rsidRPr="00BB0E2C" w:rsidRDefault="00175360" w:rsidP="00175360">
            <w:pPr>
              <w:spacing w:before="100" w:after="100"/>
              <w:rPr>
                <w:rFonts w:cs="Arial"/>
                <w:lang w:eastAsia="en-AU"/>
              </w:rPr>
            </w:pPr>
          </w:p>
        </w:tc>
        <w:tc>
          <w:tcPr>
            <w:tcW w:w="5595" w:type="dxa"/>
            <w:tcBorders>
              <w:top w:val="single" w:sz="4" w:space="0" w:color="auto"/>
            </w:tcBorders>
          </w:tcPr>
          <w:p w14:paraId="7B993426" w14:textId="62872E68" w:rsidR="00175360" w:rsidRPr="00BB0E2C" w:rsidRDefault="00175360" w:rsidP="00175360">
            <w:pPr>
              <w:spacing w:before="100" w:after="100"/>
              <w:rPr>
                <w:rFonts w:cs="Arial"/>
                <w:lang w:eastAsia="en-AU"/>
              </w:rPr>
            </w:pPr>
            <w:r w:rsidRPr="00BB0E2C">
              <w:rPr>
                <w:rFonts w:cs="Arial"/>
                <w:lang w:eastAsia="en-AU"/>
              </w:rPr>
              <w:t>Opening balance at fair value (revised balance as at 30/6/20)</w:t>
            </w:r>
          </w:p>
        </w:tc>
        <w:tc>
          <w:tcPr>
            <w:tcW w:w="1776" w:type="dxa"/>
            <w:tcBorders>
              <w:top w:val="single" w:sz="4" w:space="0" w:color="auto"/>
            </w:tcBorders>
            <w:noWrap/>
          </w:tcPr>
          <w:p w14:paraId="3F729B07" w14:textId="034D14CA" w:rsidR="00175360" w:rsidRPr="00BB0E2C" w:rsidRDefault="00334DE1" w:rsidP="00175360">
            <w:pPr>
              <w:spacing w:before="100" w:after="100"/>
              <w:jc w:val="center"/>
            </w:pPr>
            <w:r w:rsidRPr="00334DE1">
              <w:t>53,858.103</w:t>
            </w:r>
          </w:p>
        </w:tc>
      </w:tr>
      <w:tr w:rsidR="00175360" w:rsidRPr="00BB0E2C" w14:paraId="37FB7E54" w14:textId="77777777" w:rsidTr="00CF56EE">
        <w:trPr>
          <w:trHeight w:val="255"/>
        </w:trPr>
        <w:tc>
          <w:tcPr>
            <w:tcW w:w="817" w:type="dxa"/>
          </w:tcPr>
          <w:p w14:paraId="117D44DD" w14:textId="77777777" w:rsidR="00175360" w:rsidRPr="00BB0E2C" w:rsidRDefault="00175360" w:rsidP="00175360">
            <w:pPr>
              <w:spacing w:before="100" w:after="100"/>
              <w:rPr>
                <w:rFonts w:cs="Arial"/>
                <w:lang w:eastAsia="en-AU"/>
              </w:rPr>
            </w:pPr>
            <w:r w:rsidRPr="00BB0E2C">
              <w:rPr>
                <w:rFonts w:cs="Arial"/>
                <w:lang w:eastAsia="en-AU"/>
              </w:rPr>
              <w:t>less</w:t>
            </w:r>
          </w:p>
        </w:tc>
        <w:tc>
          <w:tcPr>
            <w:tcW w:w="5595" w:type="dxa"/>
          </w:tcPr>
          <w:p w14:paraId="0DC78B02" w14:textId="0B4B77AA" w:rsidR="00175360" w:rsidRPr="00BB0E2C" w:rsidRDefault="00175360" w:rsidP="00175360">
            <w:pPr>
              <w:spacing w:before="100" w:after="100"/>
              <w:rPr>
                <w:rFonts w:cs="Arial"/>
                <w:lang w:eastAsia="en-AU"/>
              </w:rPr>
            </w:pPr>
            <w:r w:rsidRPr="00BB0E2C">
              <w:rPr>
                <w:rFonts w:cs="Arial"/>
                <w:lang w:eastAsia="en-AU"/>
              </w:rPr>
              <w:t>Estimated 2020-21 PAYG receipts on opening balance</w:t>
            </w:r>
          </w:p>
        </w:tc>
        <w:tc>
          <w:tcPr>
            <w:tcW w:w="1776" w:type="dxa"/>
            <w:noWrap/>
          </w:tcPr>
          <w:p w14:paraId="3B2C9276" w14:textId="45816E4E" w:rsidR="00175360" w:rsidRPr="00BB0E2C" w:rsidRDefault="00175360" w:rsidP="00175360">
            <w:pPr>
              <w:spacing w:before="100" w:after="100"/>
              <w:jc w:val="center"/>
            </w:pPr>
            <w:r w:rsidRPr="00BB0E2C">
              <w:t>-3,931.566</w:t>
            </w:r>
          </w:p>
        </w:tc>
      </w:tr>
      <w:tr w:rsidR="00175360" w:rsidRPr="00BB0E2C" w14:paraId="2AF9131A" w14:textId="77777777" w:rsidTr="00CF56EE">
        <w:trPr>
          <w:trHeight w:val="255"/>
        </w:trPr>
        <w:tc>
          <w:tcPr>
            <w:tcW w:w="817" w:type="dxa"/>
          </w:tcPr>
          <w:p w14:paraId="462A1E9A" w14:textId="77777777" w:rsidR="00175360" w:rsidRPr="00BB0E2C" w:rsidRDefault="00175360" w:rsidP="00175360">
            <w:pPr>
              <w:spacing w:before="100" w:after="100"/>
              <w:rPr>
                <w:rFonts w:cs="Arial"/>
                <w:lang w:eastAsia="en-AU"/>
              </w:rPr>
            </w:pPr>
            <w:r w:rsidRPr="00BB0E2C">
              <w:rPr>
                <w:rFonts w:cs="Arial"/>
                <w:lang w:eastAsia="en-AU"/>
              </w:rPr>
              <w:t>less</w:t>
            </w:r>
          </w:p>
        </w:tc>
        <w:tc>
          <w:tcPr>
            <w:tcW w:w="5595" w:type="dxa"/>
          </w:tcPr>
          <w:p w14:paraId="58E4DBBA" w14:textId="00B217FD" w:rsidR="00175360" w:rsidRPr="00BB0E2C" w:rsidRDefault="00175360" w:rsidP="00175360">
            <w:pPr>
              <w:spacing w:before="100" w:after="100"/>
              <w:rPr>
                <w:rFonts w:cs="Arial"/>
                <w:lang w:eastAsia="en-AU"/>
              </w:rPr>
            </w:pPr>
            <w:r w:rsidRPr="00BB0E2C">
              <w:rPr>
                <w:rFonts w:cs="Arial"/>
                <w:lang w:eastAsia="en-AU"/>
              </w:rPr>
              <w:t>Actual voluntary repayments in 2020-21</w:t>
            </w:r>
          </w:p>
        </w:tc>
        <w:tc>
          <w:tcPr>
            <w:tcW w:w="1776" w:type="dxa"/>
            <w:noWrap/>
          </w:tcPr>
          <w:p w14:paraId="5ECE49FB" w14:textId="485806A7" w:rsidR="00175360" w:rsidRPr="00BB0E2C" w:rsidRDefault="00175360" w:rsidP="00175360">
            <w:pPr>
              <w:spacing w:before="100" w:after="100"/>
              <w:jc w:val="center"/>
            </w:pPr>
            <w:r w:rsidRPr="00BB0E2C">
              <w:t>-541.538</w:t>
            </w:r>
          </w:p>
        </w:tc>
      </w:tr>
      <w:tr w:rsidR="00175360" w:rsidRPr="00BB0E2C" w14:paraId="7043973F" w14:textId="77777777" w:rsidTr="00CF56EE">
        <w:trPr>
          <w:trHeight w:val="255"/>
        </w:trPr>
        <w:tc>
          <w:tcPr>
            <w:tcW w:w="817" w:type="dxa"/>
          </w:tcPr>
          <w:p w14:paraId="305E9C05" w14:textId="77777777" w:rsidR="00175360" w:rsidRPr="00BB0E2C" w:rsidRDefault="00175360" w:rsidP="00175360">
            <w:pPr>
              <w:spacing w:before="100" w:after="100"/>
              <w:rPr>
                <w:rFonts w:cs="Arial"/>
                <w:lang w:eastAsia="en-AU"/>
              </w:rPr>
            </w:pPr>
            <w:r w:rsidRPr="00BB0E2C">
              <w:rPr>
                <w:rFonts w:cs="Arial"/>
                <w:lang w:eastAsia="en-AU"/>
              </w:rPr>
              <w:t>plus</w:t>
            </w:r>
          </w:p>
        </w:tc>
        <w:tc>
          <w:tcPr>
            <w:tcW w:w="5595" w:type="dxa"/>
          </w:tcPr>
          <w:p w14:paraId="389441E9" w14:textId="3202E3F7" w:rsidR="00175360" w:rsidRPr="00BB0E2C" w:rsidRDefault="00175360" w:rsidP="00175360">
            <w:pPr>
              <w:spacing w:before="100" w:after="100"/>
              <w:rPr>
                <w:rFonts w:cs="Arial"/>
                <w:lang w:eastAsia="en-AU"/>
              </w:rPr>
            </w:pPr>
            <w:r w:rsidRPr="00BB0E2C">
              <w:rPr>
                <w:rFonts w:cs="Arial"/>
                <w:lang w:eastAsia="en-AU"/>
              </w:rPr>
              <w:t>New debt incurred in 2020-21</w:t>
            </w:r>
          </w:p>
        </w:tc>
        <w:tc>
          <w:tcPr>
            <w:tcW w:w="1776" w:type="dxa"/>
            <w:noWrap/>
          </w:tcPr>
          <w:p w14:paraId="2AB1562C" w14:textId="597410FE" w:rsidR="00175360" w:rsidRPr="00BB0E2C" w:rsidRDefault="00175360" w:rsidP="00175360">
            <w:pPr>
              <w:spacing w:before="100" w:after="100"/>
              <w:jc w:val="center"/>
            </w:pPr>
            <w:r w:rsidRPr="00BB0E2C">
              <w:t>6,843.388</w:t>
            </w:r>
          </w:p>
        </w:tc>
      </w:tr>
      <w:tr w:rsidR="00175360" w:rsidRPr="00BB0E2C" w14:paraId="0DB081A9" w14:textId="77777777" w:rsidTr="00CF56EE">
        <w:trPr>
          <w:trHeight w:val="255"/>
        </w:trPr>
        <w:tc>
          <w:tcPr>
            <w:tcW w:w="817" w:type="dxa"/>
          </w:tcPr>
          <w:p w14:paraId="6C0E2DBE" w14:textId="77777777" w:rsidR="00175360" w:rsidRPr="00BB0E2C" w:rsidRDefault="00175360" w:rsidP="00175360">
            <w:pPr>
              <w:keepNext/>
              <w:spacing w:before="100" w:after="100"/>
              <w:rPr>
                <w:rFonts w:cs="Arial"/>
                <w:lang w:eastAsia="en-AU"/>
              </w:rPr>
            </w:pPr>
            <w:r w:rsidRPr="00BB0E2C">
              <w:rPr>
                <w:rFonts w:cs="Arial"/>
                <w:lang w:eastAsia="en-AU"/>
              </w:rPr>
              <w:t>less</w:t>
            </w:r>
          </w:p>
        </w:tc>
        <w:tc>
          <w:tcPr>
            <w:tcW w:w="5595" w:type="dxa"/>
          </w:tcPr>
          <w:p w14:paraId="76FDB48D" w14:textId="21E14524" w:rsidR="00175360" w:rsidRPr="00BB0E2C" w:rsidRDefault="00175360" w:rsidP="00175360">
            <w:pPr>
              <w:keepNext/>
              <w:spacing w:before="100" w:after="100"/>
              <w:rPr>
                <w:rFonts w:cs="Arial"/>
                <w:lang w:eastAsia="en-AU"/>
              </w:rPr>
            </w:pPr>
            <w:r w:rsidRPr="00BB0E2C">
              <w:rPr>
                <w:rFonts w:cs="Arial"/>
                <w:lang w:eastAsia="en-AU"/>
              </w:rPr>
              <w:t>Estimated 2020-21 PAYG receipts on new debt</w:t>
            </w:r>
          </w:p>
        </w:tc>
        <w:tc>
          <w:tcPr>
            <w:tcW w:w="1776" w:type="dxa"/>
            <w:noWrap/>
          </w:tcPr>
          <w:p w14:paraId="7E048007" w14:textId="6B41CDE8" w:rsidR="00175360" w:rsidRPr="00BB0E2C" w:rsidRDefault="00175360" w:rsidP="00175360">
            <w:pPr>
              <w:spacing w:before="100" w:after="100"/>
              <w:jc w:val="center"/>
            </w:pPr>
            <w:r w:rsidRPr="00BB0E2C">
              <w:t>-250.935</w:t>
            </w:r>
          </w:p>
        </w:tc>
      </w:tr>
      <w:tr w:rsidR="00175360" w:rsidRPr="00BB0E2C" w14:paraId="63C7DD39" w14:textId="77777777" w:rsidTr="00CF56EE">
        <w:trPr>
          <w:trHeight w:val="255"/>
        </w:trPr>
        <w:tc>
          <w:tcPr>
            <w:tcW w:w="817" w:type="dxa"/>
          </w:tcPr>
          <w:p w14:paraId="476AE046" w14:textId="77777777" w:rsidR="00175360" w:rsidRPr="00BB0E2C" w:rsidRDefault="00175360" w:rsidP="00175360">
            <w:pPr>
              <w:spacing w:before="100" w:after="100"/>
              <w:rPr>
                <w:rFonts w:cs="Arial"/>
                <w:lang w:eastAsia="en-AU"/>
              </w:rPr>
            </w:pPr>
            <w:r w:rsidRPr="00BB0E2C">
              <w:rPr>
                <w:rFonts w:cs="Arial"/>
                <w:lang w:eastAsia="en-AU"/>
              </w:rPr>
              <w:t>less</w:t>
            </w:r>
          </w:p>
        </w:tc>
        <w:tc>
          <w:tcPr>
            <w:tcW w:w="5595" w:type="dxa"/>
          </w:tcPr>
          <w:p w14:paraId="6A2AB9E4" w14:textId="77777777" w:rsidR="00175360" w:rsidRPr="00BB0E2C" w:rsidRDefault="00175360" w:rsidP="00175360">
            <w:pPr>
              <w:spacing w:before="100" w:after="100"/>
              <w:rPr>
                <w:rFonts w:cs="Arial"/>
                <w:lang w:eastAsia="en-AU"/>
              </w:rPr>
            </w:pPr>
            <w:r w:rsidRPr="00BB0E2C">
              <w:rPr>
                <w:rFonts w:cs="Arial"/>
                <w:lang w:eastAsia="en-AU"/>
              </w:rPr>
              <w:t>Fair value adjustment on new debt</w:t>
            </w:r>
          </w:p>
        </w:tc>
        <w:tc>
          <w:tcPr>
            <w:tcW w:w="1776" w:type="dxa"/>
            <w:noWrap/>
          </w:tcPr>
          <w:p w14:paraId="042A3F37" w14:textId="4DE2AED5" w:rsidR="00175360" w:rsidRPr="00BB0E2C" w:rsidRDefault="00175360" w:rsidP="00175360">
            <w:pPr>
              <w:spacing w:before="100" w:after="100"/>
              <w:jc w:val="center"/>
            </w:pPr>
            <w:r w:rsidRPr="00BB0E2C">
              <w:t>-295.481</w:t>
            </w:r>
          </w:p>
        </w:tc>
      </w:tr>
      <w:tr w:rsidR="00334DE1" w:rsidRPr="00BB0E2C" w14:paraId="45964364" w14:textId="77777777" w:rsidTr="00CF56EE">
        <w:trPr>
          <w:trHeight w:val="255"/>
        </w:trPr>
        <w:tc>
          <w:tcPr>
            <w:tcW w:w="817" w:type="dxa"/>
          </w:tcPr>
          <w:p w14:paraId="057EAF0C" w14:textId="77777777" w:rsidR="00334DE1" w:rsidRPr="00BB0E2C" w:rsidRDefault="00334DE1" w:rsidP="00334DE1">
            <w:pPr>
              <w:spacing w:before="100" w:after="100"/>
              <w:rPr>
                <w:rFonts w:cs="Arial"/>
                <w:lang w:eastAsia="en-AU"/>
              </w:rPr>
            </w:pPr>
            <w:r w:rsidRPr="00BB0E2C">
              <w:rPr>
                <w:rFonts w:cs="Arial"/>
                <w:lang w:eastAsia="en-AU"/>
              </w:rPr>
              <w:t>plus</w:t>
            </w:r>
          </w:p>
        </w:tc>
        <w:tc>
          <w:tcPr>
            <w:tcW w:w="5595" w:type="dxa"/>
          </w:tcPr>
          <w:p w14:paraId="680E22F1" w14:textId="084279AA" w:rsidR="00334DE1" w:rsidRPr="00BB0E2C" w:rsidRDefault="00334DE1" w:rsidP="00334DE1">
            <w:pPr>
              <w:spacing w:before="100" w:after="100"/>
              <w:rPr>
                <w:rFonts w:cs="Arial"/>
                <w:lang w:eastAsia="en-AU"/>
              </w:rPr>
            </w:pPr>
            <w:r w:rsidRPr="00BB0E2C">
              <w:rPr>
                <w:rFonts w:cs="Arial"/>
                <w:lang w:eastAsia="en-AU"/>
              </w:rPr>
              <w:t>Difference between AGA and Education estimate of 2020-21 PAYG receipts</w:t>
            </w:r>
          </w:p>
        </w:tc>
        <w:tc>
          <w:tcPr>
            <w:tcW w:w="1776" w:type="dxa"/>
            <w:noWrap/>
          </w:tcPr>
          <w:p w14:paraId="015F719D" w14:textId="619466C3" w:rsidR="00334DE1" w:rsidRPr="00BB0E2C" w:rsidRDefault="00334DE1" w:rsidP="00334DE1">
            <w:pPr>
              <w:spacing w:before="100" w:after="100"/>
              <w:jc w:val="center"/>
            </w:pPr>
            <w:r w:rsidRPr="005070EE">
              <w:t>3.066</w:t>
            </w:r>
          </w:p>
        </w:tc>
      </w:tr>
      <w:tr w:rsidR="00334DE1" w:rsidRPr="00BB0E2C" w14:paraId="5C31699F" w14:textId="77777777" w:rsidTr="00CF56EE">
        <w:trPr>
          <w:trHeight w:val="255"/>
        </w:trPr>
        <w:tc>
          <w:tcPr>
            <w:tcW w:w="817" w:type="dxa"/>
          </w:tcPr>
          <w:p w14:paraId="30A42561" w14:textId="77777777" w:rsidR="00334DE1" w:rsidRPr="00BB0E2C" w:rsidRDefault="00334DE1" w:rsidP="00334DE1">
            <w:pPr>
              <w:spacing w:before="100" w:after="100"/>
              <w:rPr>
                <w:rFonts w:cs="Arial"/>
                <w:lang w:eastAsia="en-AU"/>
              </w:rPr>
            </w:pPr>
            <w:r w:rsidRPr="00BB0E2C">
              <w:rPr>
                <w:rFonts w:cs="Arial"/>
                <w:lang w:eastAsia="en-AU"/>
              </w:rPr>
              <w:t>plus</w:t>
            </w:r>
          </w:p>
        </w:tc>
        <w:tc>
          <w:tcPr>
            <w:tcW w:w="5595" w:type="dxa"/>
          </w:tcPr>
          <w:p w14:paraId="243AB535" w14:textId="75950EE8" w:rsidR="00334DE1" w:rsidRPr="00BB0E2C" w:rsidRDefault="00334DE1" w:rsidP="00334DE1">
            <w:pPr>
              <w:spacing w:before="100" w:after="100"/>
              <w:jc w:val="left"/>
              <w:rPr>
                <w:rFonts w:cs="Arial"/>
                <w:lang w:eastAsia="en-AU"/>
              </w:rPr>
            </w:pPr>
            <w:r w:rsidRPr="00BB0E2C">
              <w:rPr>
                <w:rFonts w:cs="Arial"/>
                <w:lang w:eastAsia="en-AU"/>
              </w:rPr>
              <w:t>Interest at 1.30% per annum (unwinding of the discount)</w:t>
            </w:r>
            <w:r w:rsidRPr="00BB0E2C">
              <w:rPr>
                <w:rFonts w:cs="Arial"/>
                <w:vertAlign w:val="superscript"/>
                <w:lang w:eastAsia="en-AU"/>
              </w:rPr>
              <w:t>1</w:t>
            </w:r>
          </w:p>
        </w:tc>
        <w:tc>
          <w:tcPr>
            <w:tcW w:w="1776" w:type="dxa"/>
            <w:noWrap/>
          </w:tcPr>
          <w:p w14:paraId="7B468A37" w14:textId="7EC266D2" w:rsidR="00334DE1" w:rsidRPr="00BB0E2C" w:rsidRDefault="00334DE1" w:rsidP="00334DE1">
            <w:pPr>
              <w:spacing w:before="100" w:after="100"/>
              <w:jc w:val="center"/>
            </w:pPr>
            <w:r w:rsidRPr="005070EE">
              <w:t>669.393</w:t>
            </w:r>
          </w:p>
        </w:tc>
      </w:tr>
      <w:tr w:rsidR="00175360" w:rsidRPr="00BB0E2C" w14:paraId="0E2D0EC5" w14:textId="77777777" w:rsidTr="00CF56EE">
        <w:trPr>
          <w:trHeight w:val="255"/>
        </w:trPr>
        <w:tc>
          <w:tcPr>
            <w:tcW w:w="817" w:type="dxa"/>
          </w:tcPr>
          <w:p w14:paraId="6EADEC86" w14:textId="77777777" w:rsidR="00175360" w:rsidRPr="00BB0E2C" w:rsidRDefault="00175360" w:rsidP="00175360">
            <w:pPr>
              <w:spacing w:before="100" w:after="100"/>
              <w:rPr>
                <w:rFonts w:cs="Arial"/>
                <w:lang w:eastAsia="en-AU"/>
              </w:rPr>
            </w:pPr>
            <w:r w:rsidRPr="00BB0E2C">
              <w:rPr>
                <w:rFonts w:cs="Arial"/>
                <w:lang w:eastAsia="en-AU"/>
              </w:rPr>
              <w:t>plus</w:t>
            </w:r>
          </w:p>
        </w:tc>
        <w:tc>
          <w:tcPr>
            <w:tcW w:w="5595" w:type="dxa"/>
          </w:tcPr>
          <w:p w14:paraId="2157C2DF" w14:textId="77777777" w:rsidR="00175360" w:rsidRPr="00BB0E2C" w:rsidRDefault="00175360" w:rsidP="00175360">
            <w:pPr>
              <w:spacing w:before="100" w:after="100"/>
              <w:rPr>
                <w:rFonts w:cs="Arial"/>
                <w:lang w:eastAsia="en-AU"/>
              </w:rPr>
            </w:pPr>
            <w:r w:rsidRPr="00BB0E2C">
              <w:rPr>
                <w:rFonts w:cs="Arial"/>
                <w:lang w:eastAsia="en-AU"/>
              </w:rPr>
              <w:t xml:space="preserve">Actuarial gains </w:t>
            </w:r>
          </w:p>
        </w:tc>
        <w:tc>
          <w:tcPr>
            <w:tcW w:w="1776" w:type="dxa"/>
            <w:noWrap/>
          </w:tcPr>
          <w:p w14:paraId="3EDBB7F5" w14:textId="473A1F30" w:rsidR="00175360" w:rsidRPr="00BB0E2C" w:rsidRDefault="00175360" w:rsidP="00175360">
            <w:pPr>
              <w:spacing w:before="100" w:after="100"/>
              <w:jc w:val="center"/>
            </w:pPr>
            <w:r w:rsidRPr="00BB0E2C">
              <w:t>0.000</w:t>
            </w:r>
          </w:p>
        </w:tc>
      </w:tr>
      <w:tr w:rsidR="00175360" w:rsidRPr="00BB0E2C" w14:paraId="7C5FB16E" w14:textId="77777777" w:rsidTr="00CF56EE">
        <w:trPr>
          <w:trHeight w:val="255"/>
        </w:trPr>
        <w:tc>
          <w:tcPr>
            <w:tcW w:w="817" w:type="dxa"/>
          </w:tcPr>
          <w:p w14:paraId="719C4A18" w14:textId="77777777" w:rsidR="00175360" w:rsidRPr="00BB0E2C" w:rsidRDefault="00175360" w:rsidP="00175360">
            <w:pPr>
              <w:spacing w:before="100" w:after="100"/>
              <w:rPr>
                <w:rFonts w:cs="Arial"/>
                <w:lang w:eastAsia="en-AU"/>
              </w:rPr>
            </w:pPr>
            <w:r w:rsidRPr="00BB0E2C">
              <w:rPr>
                <w:rFonts w:cs="Arial"/>
                <w:lang w:eastAsia="en-AU"/>
              </w:rPr>
              <w:t>gives</w:t>
            </w:r>
          </w:p>
        </w:tc>
        <w:tc>
          <w:tcPr>
            <w:tcW w:w="5595" w:type="dxa"/>
          </w:tcPr>
          <w:p w14:paraId="13D37335" w14:textId="6D7995B2" w:rsidR="00175360" w:rsidRPr="00BB0E2C" w:rsidRDefault="00175360" w:rsidP="00175360">
            <w:pPr>
              <w:spacing w:before="100" w:after="100"/>
              <w:rPr>
                <w:rFonts w:cs="Arial"/>
                <w:lang w:eastAsia="en-AU"/>
              </w:rPr>
            </w:pPr>
            <w:r w:rsidRPr="00BB0E2C">
              <w:rPr>
                <w:rFonts w:cs="Arial"/>
                <w:lang w:eastAsia="en-AU"/>
              </w:rPr>
              <w:t>Closing balance at fair value using 2020 yield curve</w:t>
            </w:r>
          </w:p>
        </w:tc>
        <w:tc>
          <w:tcPr>
            <w:tcW w:w="1776" w:type="dxa"/>
            <w:noWrap/>
          </w:tcPr>
          <w:p w14:paraId="31F76EBA" w14:textId="15AD74B0" w:rsidR="00175360" w:rsidRPr="00BB0E2C" w:rsidRDefault="00334DE1" w:rsidP="00175360">
            <w:pPr>
              <w:spacing w:before="100" w:after="100"/>
              <w:jc w:val="center"/>
            </w:pPr>
            <w:r w:rsidRPr="00334DE1">
              <w:t>56,354.429</w:t>
            </w:r>
          </w:p>
        </w:tc>
      </w:tr>
      <w:tr w:rsidR="00BB0E2C" w:rsidRPr="00BB0E2C" w14:paraId="44E5C325" w14:textId="77777777" w:rsidTr="00CF56EE">
        <w:trPr>
          <w:trHeight w:val="255"/>
        </w:trPr>
        <w:tc>
          <w:tcPr>
            <w:tcW w:w="817" w:type="dxa"/>
          </w:tcPr>
          <w:p w14:paraId="7E26BD52" w14:textId="77777777" w:rsidR="00175360" w:rsidRPr="00BB0E2C" w:rsidRDefault="00175360" w:rsidP="00175360">
            <w:pPr>
              <w:spacing w:before="100" w:after="100"/>
              <w:rPr>
                <w:rFonts w:cs="Arial"/>
                <w:lang w:eastAsia="en-AU"/>
              </w:rPr>
            </w:pPr>
            <w:r w:rsidRPr="00BB0E2C">
              <w:rPr>
                <w:rFonts w:cs="Arial"/>
                <w:lang w:eastAsia="en-AU"/>
              </w:rPr>
              <w:lastRenderedPageBreak/>
              <w:t>plus</w:t>
            </w:r>
          </w:p>
        </w:tc>
        <w:tc>
          <w:tcPr>
            <w:tcW w:w="5595" w:type="dxa"/>
          </w:tcPr>
          <w:p w14:paraId="2F39F670" w14:textId="3BF30DB6" w:rsidR="00175360" w:rsidRPr="00BB0E2C" w:rsidRDefault="00175360" w:rsidP="00175360">
            <w:pPr>
              <w:spacing w:before="100" w:after="100"/>
              <w:rPr>
                <w:rFonts w:cs="Arial"/>
                <w:lang w:eastAsia="en-AU"/>
              </w:rPr>
            </w:pPr>
            <w:r w:rsidRPr="00BB0E2C">
              <w:rPr>
                <w:rFonts w:cs="Arial"/>
                <w:lang w:eastAsia="en-AU"/>
              </w:rPr>
              <w:t>Movement from the 2020 yield curve to the 2021 yield curve</w:t>
            </w:r>
          </w:p>
        </w:tc>
        <w:tc>
          <w:tcPr>
            <w:tcW w:w="1776" w:type="dxa"/>
            <w:noWrap/>
          </w:tcPr>
          <w:p w14:paraId="5DB00612" w14:textId="340C9FE8" w:rsidR="00175360" w:rsidRPr="00BB0E2C" w:rsidRDefault="00334DE1" w:rsidP="00175360">
            <w:pPr>
              <w:spacing w:before="100" w:after="100"/>
              <w:jc w:val="center"/>
            </w:pPr>
            <w:r w:rsidRPr="00334DE1">
              <w:t>-2,069.900</w:t>
            </w:r>
          </w:p>
        </w:tc>
      </w:tr>
      <w:tr w:rsidR="00BB0E2C" w:rsidRPr="00BB0E2C" w14:paraId="0A081D60" w14:textId="77777777" w:rsidTr="00CF56EE">
        <w:trPr>
          <w:trHeight w:val="255"/>
        </w:trPr>
        <w:tc>
          <w:tcPr>
            <w:tcW w:w="817" w:type="dxa"/>
          </w:tcPr>
          <w:p w14:paraId="4ED955E9" w14:textId="47D1B3F0" w:rsidR="00BB0E2C" w:rsidRPr="00BB0E2C" w:rsidRDefault="00BB0E2C" w:rsidP="00BB0E2C">
            <w:pPr>
              <w:spacing w:before="100" w:after="100"/>
              <w:rPr>
                <w:rFonts w:cs="Arial"/>
                <w:lang w:eastAsia="en-AU"/>
              </w:rPr>
            </w:pPr>
            <w:r w:rsidRPr="00BB0E2C">
              <w:t xml:space="preserve">less       </w:t>
            </w:r>
          </w:p>
        </w:tc>
        <w:tc>
          <w:tcPr>
            <w:tcW w:w="5595" w:type="dxa"/>
          </w:tcPr>
          <w:p w14:paraId="02C19D2C" w14:textId="52F0D182" w:rsidR="00BB0E2C" w:rsidRPr="00BB0E2C" w:rsidRDefault="00BB0E2C" w:rsidP="00BB0E2C">
            <w:pPr>
              <w:spacing w:before="100" w:after="100"/>
              <w:rPr>
                <w:rFonts w:cs="Arial"/>
                <w:lang w:eastAsia="en-AU"/>
              </w:rPr>
            </w:pPr>
            <w:r w:rsidRPr="00BB0E2C">
              <w:t>Impact of further VET recredits assumed</w:t>
            </w:r>
          </w:p>
        </w:tc>
        <w:tc>
          <w:tcPr>
            <w:tcW w:w="1776" w:type="dxa"/>
            <w:noWrap/>
          </w:tcPr>
          <w:p w14:paraId="58B74613" w14:textId="4C59A404" w:rsidR="00BB0E2C" w:rsidRPr="00BB0E2C" w:rsidRDefault="00BB0E2C" w:rsidP="00BB0E2C">
            <w:pPr>
              <w:spacing w:before="100" w:after="100"/>
              <w:jc w:val="center"/>
            </w:pPr>
            <w:r w:rsidRPr="00BB0E2C">
              <w:t xml:space="preserve">-708.47 </w:t>
            </w:r>
          </w:p>
        </w:tc>
      </w:tr>
      <w:tr w:rsidR="00BB0E2C" w:rsidRPr="00BB0E2C" w14:paraId="6A00ED0F" w14:textId="77777777" w:rsidTr="00CF56EE">
        <w:trPr>
          <w:trHeight w:val="255"/>
        </w:trPr>
        <w:tc>
          <w:tcPr>
            <w:tcW w:w="817" w:type="dxa"/>
            <w:tcBorders>
              <w:bottom w:val="single" w:sz="4" w:space="0" w:color="auto"/>
            </w:tcBorders>
          </w:tcPr>
          <w:p w14:paraId="3D7C3DC8" w14:textId="77777777" w:rsidR="00BB0E2C" w:rsidRPr="00BB0E2C" w:rsidRDefault="00BB0E2C" w:rsidP="00BB0E2C">
            <w:pPr>
              <w:spacing w:before="100" w:after="100"/>
              <w:rPr>
                <w:rFonts w:cs="Arial"/>
                <w:lang w:eastAsia="en-AU"/>
              </w:rPr>
            </w:pPr>
            <w:r w:rsidRPr="00BB0E2C">
              <w:rPr>
                <w:rFonts w:cs="Arial"/>
                <w:lang w:eastAsia="en-AU"/>
              </w:rPr>
              <w:t>gives</w:t>
            </w:r>
          </w:p>
        </w:tc>
        <w:tc>
          <w:tcPr>
            <w:tcW w:w="5595" w:type="dxa"/>
            <w:tcBorders>
              <w:bottom w:val="single" w:sz="4" w:space="0" w:color="auto"/>
            </w:tcBorders>
          </w:tcPr>
          <w:p w14:paraId="625AE53D" w14:textId="7AB9CD45" w:rsidR="00BB0E2C" w:rsidRPr="00BB0E2C" w:rsidRDefault="00BB0E2C" w:rsidP="00BB0E2C">
            <w:pPr>
              <w:spacing w:before="100" w:after="100"/>
              <w:rPr>
                <w:rFonts w:cs="Arial"/>
                <w:b/>
                <w:lang w:eastAsia="en-AU"/>
              </w:rPr>
            </w:pPr>
            <w:r w:rsidRPr="00BB0E2C">
              <w:rPr>
                <w:rFonts w:cs="Arial"/>
                <w:b/>
                <w:lang w:eastAsia="en-AU"/>
              </w:rPr>
              <w:t>Closing balance at fair value (as at 30 June 2021)</w:t>
            </w:r>
          </w:p>
        </w:tc>
        <w:tc>
          <w:tcPr>
            <w:tcW w:w="1776" w:type="dxa"/>
            <w:tcBorders>
              <w:top w:val="single" w:sz="4" w:space="0" w:color="auto"/>
              <w:bottom w:val="single" w:sz="4" w:space="0" w:color="auto"/>
            </w:tcBorders>
            <w:noWrap/>
          </w:tcPr>
          <w:p w14:paraId="54194F38" w14:textId="2C551FD1" w:rsidR="00BB0E2C" w:rsidRPr="00BB0E2C" w:rsidRDefault="00334DE1" w:rsidP="00BB0E2C">
            <w:pPr>
              <w:spacing w:before="100" w:after="100"/>
              <w:jc w:val="center"/>
              <w:rPr>
                <w:b/>
                <w:bCs/>
              </w:rPr>
            </w:pPr>
            <w:r w:rsidRPr="00334DE1">
              <w:rPr>
                <w:b/>
                <w:bCs/>
              </w:rPr>
              <w:t>53,576.056</w:t>
            </w:r>
          </w:p>
        </w:tc>
      </w:tr>
    </w:tbl>
    <w:p w14:paraId="20100AAC" w14:textId="59B538FF" w:rsidR="00C952E7" w:rsidRPr="00BB0E2C" w:rsidRDefault="00C952E7" w:rsidP="00C952E7">
      <w:pPr>
        <w:ind w:left="567" w:hanging="567"/>
        <w:rPr>
          <w:rFonts w:cs="Arial"/>
          <w:sz w:val="16"/>
          <w:szCs w:val="16"/>
        </w:rPr>
      </w:pPr>
      <w:r w:rsidRPr="00BB0E2C">
        <w:rPr>
          <w:rFonts w:cs="Arial"/>
          <w:sz w:val="16"/>
          <w:szCs w:val="16"/>
        </w:rPr>
        <w:t>¹</w:t>
      </w:r>
      <w:r w:rsidRPr="00BB0E2C">
        <w:rPr>
          <w:rFonts w:cs="Arial"/>
          <w:sz w:val="16"/>
          <w:szCs w:val="16"/>
        </w:rPr>
        <w:tab/>
        <w:t>This is represented by a</w:t>
      </w:r>
      <w:r w:rsidR="001E248F" w:rsidRPr="00BB0E2C">
        <w:rPr>
          <w:rFonts w:cs="Arial"/>
          <w:sz w:val="16"/>
          <w:szCs w:val="16"/>
        </w:rPr>
        <w:t xml:space="preserve"> </w:t>
      </w:r>
      <w:r w:rsidR="00175360" w:rsidRPr="00BB0E2C">
        <w:rPr>
          <w:rFonts w:cs="Arial"/>
          <w:sz w:val="16"/>
          <w:szCs w:val="16"/>
        </w:rPr>
        <w:t>0.6</w:t>
      </w:r>
      <w:r w:rsidR="001E248F" w:rsidRPr="00BB0E2C">
        <w:rPr>
          <w:rFonts w:cs="Arial"/>
          <w:sz w:val="16"/>
          <w:szCs w:val="16"/>
        </w:rPr>
        <w:t>%</w:t>
      </w:r>
      <w:r w:rsidRPr="00BB0E2C">
        <w:rPr>
          <w:rFonts w:cs="Arial"/>
          <w:sz w:val="16"/>
          <w:szCs w:val="16"/>
        </w:rPr>
        <w:t xml:space="preserve"> indexation component of $</w:t>
      </w:r>
      <w:r w:rsidR="00BB0E2C" w:rsidRPr="00BB0E2C">
        <w:rPr>
          <w:rFonts w:cs="Arial"/>
          <w:sz w:val="16"/>
          <w:szCs w:val="16"/>
        </w:rPr>
        <w:t>3</w:t>
      </w:r>
      <w:r w:rsidR="00334DE1">
        <w:rPr>
          <w:rFonts w:cs="Arial"/>
          <w:sz w:val="16"/>
          <w:szCs w:val="16"/>
        </w:rPr>
        <w:t>09.031</w:t>
      </w:r>
      <w:r w:rsidRPr="00BB0E2C">
        <w:rPr>
          <w:rFonts w:cs="Arial"/>
          <w:sz w:val="16"/>
          <w:szCs w:val="16"/>
        </w:rPr>
        <w:t>m and a net discount component of $</w:t>
      </w:r>
      <w:r w:rsidR="00BB0E2C" w:rsidRPr="00BB0E2C">
        <w:rPr>
          <w:rFonts w:cs="Arial"/>
          <w:sz w:val="16"/>
          <w:szCs w:val="16"/>
        </w:rPr>
        <w:t>36</w:t>
      </w:r>
      <w:r w:rsidR="00334DE1">
        <w:rPr>
          <w:rFonts w:cs="Arial"/>
          <w:sz w:val="16"/>
          <w:szCs w:val="16"/>
        </w:rPr>
        <w:t>0.362</w:t>
      </w:r>
      <w:r w:rsidRPr="00BB0E2C">
        <w:rPr>
          <w:rFonts w:cs="Arial"/>
          <w:sz w:val="16"/>
          <w:szCs w:val="16"/>
        </w:rPr>
        <w:t>m.</w:t>
      </w:r>
    </w:p>
    <w:p w14:paraId="1CDAB2C5" w14:textId="38B3D3B6" w:rsidR="00D740D2" w:rsidRPr="00BB0E2C" w:rsidRDefault="00D740D2" w:rsidP="00B64457">
      <w:pPr>
        <w:pStyle w:val="BodyText"/>
      </w:pPr>
      <w:r w:rsidRPr="00BB0E2C">
        <w:t xml:space="preserve">For reporting purposes, we have been requested to determine the proportion of future repayments that are attributable to interest on the outstanding debt balance. The proportion in relation to the fair value as at 30 June </w:t>
      </w:r>
      <w:r w:rsidR="007E3E32" w:rsidRPr="00BB0E2C">
        <w:t>2021</w:t>
      </w:r>
      <w:r w:rsidRPr="00BB0E2C">
        <w:t xml:space="preserve"> of $5</w:t>
      </w:r>
      <w:r w:rsidR="00BB0E2C">
        <w:t>3.</w:t>
      </w:r>
      <w:r w:rsidR="002204A9">
        <w:t>576</w:t>
      </w:r>
      <w:r w:rsidRPr="00BB0E2C">
        <w:t>b</w:t>
      </w:r>
      <w:r w:rsidR="002214B4" w:rsidRPr="00BB0E2C">
        <w:t>n</w:t>
      </w:r>
      <w:r w:rsidRPr="00BB0E2C">
        <w:t xml:space="preserve"> is 1</w:t>
      </w:r>
      <w:r w:rsidR="00BB0E2C">
        <w:t>8.2</w:t>
      </w:r>
      <w:r w:rsidRPr="00BB0E2C">
        <w:t>%.</w:t>
      </w:r>
    </w:p>
    <w:p w14:paraId="2E5246F2" w14:textId="7353B912" w:rsidR="006C3AA1" w:rsidRPr="00BB0E2C" w:rsidRDefault="000F1D93" w:rsidP="00D740D2">
      <w:pPr>
        <w:pStyle w:val="BodyText"/>
      </w:pPr>
      <w:r w:rsidRPr="00BB0E2C">
        <w:t xml:space="preserve">When calculating results </w:t>
      </w:r>
      <w:r w:rsidR="00B64457" w:rsidRPr="00BB0E2C">
        <w:t xml:space="preserve">based on the </w:t>
      </w:r>
      <w:r w:rsidR="007E3E32" w:rsidRPr="00BB0E2C">
        <w:t>2021</w:t>
      </w:r>
      <w:r w:rsidR="00B64457" w:rsidRPr="00BB0E2C">
        <w:t xml:space="preserve"> yield curve</w:t>
      </w:r>
      <w:r w:rsidRPr="00BB0E2C">
        <w:t>, th</w:t>
      </w:r>
      <w:r w:rsidR="001E248F" w:rsidRPr="00BB0E2C">
        <w:t xml:space="preserve">e only changes from the calculation at the long term interest rate are the impairment ratio applied to the new debt which is calculated using the </w:t>
      </w:r>
      <w:r w:rsidR="007E3E32" w:rsidRPr="00BB0E2C">
        <w:t>2020</w:t>
      </w:r>
      <w:r w:rsidR="001E248F" w:rsidRPr="00BB0E2C">
        <w:t xml:space="preserve"> yield curve, the calculation of interest, which is based on the </w:t>
      </w:r>
      <w:r w:rsidR="007E3E32" w:rsidRPr="00BB0E2C">
        <w:t>2020</w:t>
      </w:r>
      <w:r w:rsidR="001E248F" w:rsidRPr="00BB0E2C">
        <w:t xml:space="preserve"> yield curve (represented by a single discount rate), and the impact of the change from the </w:t>
      </w:r>
      <w:r w:rsidR="007E3E32" w:rsidRPr="00BB0E2C">
        <w:t>2020</w:t>
      </w:r>
      <w:r w:rsidR="001E248F" w:rsidRPr="00BB0E2C">
        <w:t xml:space="preserve"> to the </w:t>
      </w:r>
      <w:r w:rsidR="007E3E32" w:rsidRPr="00BB0E2C">
        <w:t>2021</w:t>
      </w:r>
      <w:r w:rsidR="001E248F" w:rsidRPr="00BB0E2C">
        <w:t xml:space="preserve"> yield curve on the overall value</w:t>
      </w:r>
      <w:r w:rsidR="00D740D2" w:rsidRPr="00BB0E2C">
        <w:t>.</w:t>
      </w:r>
    </w:p>
    <w:p w14:paraId="6E91DDCA" w14:textId="02A4F519" w:rsidR="007B5695" w:rsidRPr="00BB0E2C" w:rsidRDefault="007B5695" w:rsidP="007B5695">
      <w:pPr>
        <w:pStyle w:val="BodyText"/>
      </w:pPr>
      <w:r w:rsidRPr="00BB0E2C">
        <w:t xml:space="preserve">The split between the components of the fair value adjustment on the new debt based on the </w:t>
      </w:r>
      <w:r w:rsidR="007E3E32" w:rsidRPr="00BB0E2C">
        <w:t>2020</w:t>
      </w:r>
      <w:r w:rsidRPr="00BB0E2C">
        <w:t xml:space="preserve"> yield curve is shown in </w:t>
      </w:r>
      <w:r w:rsidRPr="00BB0E2C">
        <w:fldChar w:fldCharType="begin"/>
      </w:r>
      <w:r w:rsidRPr="00BB0E2C">
        <w:instrText xml:space="preserve"> REF _Ref426124163 \h  \* MERGEFORMAT </w:instrText>
      </w:r>
      <w:r w:rsidRPr="00BB0E2C">
        <w:fldChar w:fldCharType="separate"/>
      </w:r>
      <w:r w:rsidR="000106DA" w:rsidRPr="0019575B">
        <w:t xml:space="preserve">Table </w:t>
      </w:r>
      <w:r w:rsidRPr="00BB0E2C">
        <w:fldChar w:fldCharType="end"/>
      </w:r>
      <w:r w:rsidR="00C17C19" w:rsidRPr="00BB0E2C">
        <w:t>8</w:t>
      </w:r>
      <w:r w:rsidRPr="00BB0E2C">
        <w:t>.</w:t>
      </w:r>
    </w:p>
    <w:p w14:paraId="6CF66E5D" w14:textId="17C8A671" w:rsidR="007B5695" w:rsidRPr="0019575B" w:rsidRDefault="007B5695" w:rsidP="007B5695">
      <w:pPr>
        <w:pStyle w:val="Caption"/>
        <w:spacing w:after="240"/>
        <w:ind w:firstLine="851"/>
      </w:pPr>
      <w:bookmarkStart w:id="13" w:name="_Ref426124163"/>
      <w:r w:rsidRPr="0019575B">
        <w:t xml:space="preserve">Table </w:t>
      </w:r>
      <w:bookmarkEnd w:id="13"/>
      <w:r w:rsidR="00C17C19" w:rsidRPr="0019575B">
        <w:t>8</w:t>
      </w:r>
      <w:r w:rsidRPr="0019575B">
        <w:t>:  Split of fair value adjustment (</w:t>
      </w:r>
      <w:r w:rsidR="007E3E32" w:rsidRPr="0019575B">
        <w:t>2020</w:t>
      </w:r>
      <w:r w:rsidRPr="0019575B">
        <w:t xml:space="preserve"> yield curve, $m)</w:t>
      </w:r>
    </w:p>
    <w:tbl>
      <w:tblPr>
        <w:tblStyle w:val="TableGrid"/>
        <w:tblW w:w="7655" w:type="dxa"/>
        <w:tblInd w:w="8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134"/>
        <w:gridCol w:w="1560"/>
        <w:gridCol w:w="1275"/>
      </w:tblGrid>
      <w:tr w:rsidR="00A70050" w:rsidRPr="0019575B" w14:paraId="3C70F20D" w14:textId="77777777" w:rsidTr="00715D68">
        <w:tc>
          <w:tcPr>
            <w:tcW w:w="3686" w:type="dxa"/>
            <w:tcBorders>
              <w:top w:val="single" w:sz="4" w:space="0" w:color="auto"/>
              <w:bottom w:val="single" w:sz="4" w:space="0" w:color="auto"/>
            </w:tcBorders>
          </w:tcPr>
          <w:p w14:paraId="44F4D9D9" w14:textId="77777777" w:rsidR="007B5695" w:rsidRPr="0019575B" w:rsidRDefault="007B5695" w:rsidP="009115B4">
            <w:pPr>
              <w:pStyle w:val="BodyText"/>
              <w:keepNext/>
              <w:numPr>
                <w:ilvl w:val="0"/>
                <w:numId w:val="0"/>
              </w:numPr>
            </w:pPr>
          </w:p>
        </w:tc>
        <w:tc>
          <w:tcPr>
            <w:tcW w:w="1134" w:type="dxa"/>
            <w:tcBorders>
              <w:top w:val="single" w:sz="4" w:space="0" w:color="auto"/>
              <w:bottom w:val="single" w:sz="4" w:space="0" w:color="auto"/>
            </w:tcBorders>
          </w:tcPr>
          <w:p w14:paraId="0056419D" w14:textId="77777777" w:rsidR="007B5695" w:rsidRPr="0019575B" w:rsidRDefault="007B5695" w:rsidP="009115B4">
            <w:pPr>
              <w:pStyle w:val="BodyText"/>
              <w:keepNext/>
              <w:numPr>
                <w:ilvl w:val="0"/>
                <w:numId w:val="0"/>
              </w:numPr>
              <w:jc w:val="center"/>
            </w:pPr>
            <w:r w:rsidRPr="0019575B">
              <w:t>VET</w:t>
            </w:r>
          </w:p>
        </w:tc>
        <w:tc>
          <w:tcPr>
            <w:tcW w:w="1560" w:type="dxa"/>
            <w:tcBorders>
              <w:top w:val="single" w:sz="4" w:space="0" w:color="auto"/>
              <w:bottom w:val="single" w:sz="4" w:space="0" w:color="auto"/>
            </w:tcBorders>
          </w:tcPr>
          <w:p w14:paraId="081FC71B" w14:textId="77777777" w:rsidR="007B5695" w:rsidRPr="0019575B" w:rsidRDefault="007B5695" w:rsidP="009115B4">
            <w:pPr>
              <w:pStyle w:val="BodyText"/>
              <w:keepNext/>
              <w:numPr>
                <w:ilvl w:val="0"/>
                <w:numId w:val="0"/>
              </w:numPr>
              <w:jc w:val="center"/>
            </w:pPr>
            <w:r w:rsidRPr="0019575B">
              <w:t>non-VET</w:t>
            </w:r>
          </w:p>
        </w:tc>
        <w:tc>
          <w:tcPr>
            <w:tcW w:w="1275" w:type="dxa"/>
            <w:tcBorders>
              <w:top w:val="single" w:sz="4" w:space="0" w:color="auto"/>
              <w:bottom w:val="single" w:sz="4" w:space="0" w:color="auto"/>
            </w:tcBorders>
          </w:tcPr>
          <w:p w14:paraId="46260A96" w14:textId="77777777" w:rsidR="007B5695" w:rsidRPr="0019575B" w:rsidRDefault="007B5695" w:rsidP="009115B4">
            <w:pPr>
              <w:pStyle w:val="BodyText"/>
              <w:keepNext/>
              <w:numPr>
                <w:ilvl w:val="0"/>
                <w:numId w:val="0"/>
              </w:numPr>
              <w:jc w:val="center"/>
            </w:pPr>
            <w:r w:rsidRPr="0019575B">
              <w:t>Total</w:t>
            </w:r>
          </w:p>
        </w:tc>
      </w:tr>
      <w:tr w:rsidR="0019575B" w:rsidRPr="0019575B" w14:paraId="5F4E6EE7" w14:textId="77777777" w:rsidTr="00715D68">
        <w:tc>
          <w:tcPr>
            <w:tcW w:w="3686" w:type="dxa"/>
            <w:tcBorders>
              <w:top w:val="single" w:sz="4" w:space="0" w:color="auto"/>
            </w:tcBorders>
          </w:tcPr>
          <w:p w14:paraId="5402B7E9" w14:textId="76C9A4C1" w:rsidR="0019575B" w:rsidRPr="0019575B" w:rsidRDefault="0019575B" w:rsidP="0019575B">
            <w:pPr>
              <w:pStyle w:val="BodyText"/>
              <w:keepNext/>
              <w:numPr>
                <w:ilvl w:val="0"/>
                <w:numId w:val="0"/>
              </w:numPr>
            </w:pPr>
            <w:r w:rsidRPr="0019575B">
              <w:t>Estimated new debt in 2020-21 ($m)</w:t>
            </w:r>
          </w:p>
        </w:tc>
        <w:tc>
          <w:tcPr>
            <w:tcW w:w="1134" w:type="dxa"/>
            <w:tcBorders>
              <w:top w:val="single" w:sz="4" w:space="0" w:color="auto"/>
            </w:tcBorders>
          </w:tcPr>
          <w:p w14:paraId="075641A9" w14:textId="020EB974" w:rsidR="0019575B" w:rsidRPr="0019575B" w:rsidRDefault="0019575B" w:rsidP="0019575B">
            <w:pPr>
              <w:jc w:val="center"/>
            </w:pPr>
            <w:r w:rsidRPr="0019575B">
              <w:t>293.814</w:t>
            </w:r>
          </w:p>
        </w:tc>
        <w:tc>
          <w:tcPr>
            <w:tcW w:w="1560" w:type="dxa"/>
            <w:tcBorders>
              <w:top w:val="single" w:sz="4" w:space="0" w:color="auto"/>
            </w:tcBorders>
          </w:tcPr>
          <w:p w14:paraId="1321A5F9" w14:textId="70F24E72" w:rsidR="0019575B" w:rsidRPr="0019575B" w:rsidRDefault="0019575B" w:rsidP="0019575B">
            <w:pPr>
              <w:jc w:val="center"/>
            </w:pPr>
            <w:r w:rsidRPr="0019575B">
              <w:t>6,549.574</w:t>
            </w:r>
          </w:p>
        </w:tc>
        <w:tc>
          <w:tcPr>
            <w:tcW w:w="1275" w:type="dxa"/>
            <w:tcBorders>
              <w:top w:val="single" w:sz="4" w:space="0" w:color="auto"/>
            </w:tcBorders>
          </w:tcPr>
          <w:p w14:paraId="0CE8F011" w14:textId="30B45A52" w:rsidR="0019575B" w:rsidRPr="0019575B" w:rsidRDefault="0019575B" w:rsidP="0019575B">
            <w:pPr>
              <w:jc w:val="center"/>
            </w:pPr>
            <w:r w:rsidRPr="0019575B">
              <w:t>6,843.388</w:t>
            </w:r>
          </w:p>
        </w:tc>
      </w:tr>
      <w:tr w:rsidR="0019575B" w:rsidRPr="0019575B" w14:paraId="297B598C" w14:textId="77777777" w:rsidTr="00715D68">
        <w:tc>
          <w:tcPr>
            <w:tcW w:w="3686" w:type="dxa"/>
          </w:tcPr>
          <w:p w14:paraId="5F016CA2" w14:textId="77777777" w:rsidR="0019575B" w:rsidRPr="0019575B" w:rsidRDefault="0019575B" w:rsidP="0019575B">
            <w:pPr>
              <w:pStyle w:val="BodyText"/>
              <w:keepNext/>
              <w:numPr>
                <w:ilvl w:val="0"/>
                <w:numId w:val="0"/>
              </w:numPr>
            </w:pPr>
            <w:r w:rsidRPr="0019575B">
              <w:t>Face value of DNER ($m)</w:t>
            </w:r>
          </w:p>
        </w:tc>
        <w:tc>
          <w:tcPr>
            <w:tcW w:w="1134" w:type="dxa"/>
          </w:tcPr>
          <w:p w14:paraId="54B15F16" w14:textId="370CC41A" w:rsidR="0019575B" w:rsidRPr="0019575B" w:rsidRDefault="0019575B" w:rsidP="0019575B">
            <w:pPr>
              <w:jc w:val="center"/>
            </w:pPr>
            <w:r w:rsidRPr="0019575B">
              <w:t>88.144</w:t>
            </w:r>
          </w:p>
        </w:tc>
        <w:tc>
          <w:tcPr>
            <w:tcW w:w="1560" w:type="dxa"/>
          </w:tcPr>
          <w:p w14:paraId="3399BFD6" w14:textId="4E9A252F" w:rsidR="0019575B" w:rsidRPr="0019575B" w:rsidRDefault="0019575B" w:rsidP="0019575B">
            <w:pPr>
              <w:jc w:val="center"/>
            </w:pPr>
            <w:r w:rsidRPr="0019575B">
              <w:t>987.037</w:t>
            </w:r>
          </w:p>
        </w:tc>
        <w:tc>
          <w:tcPr>
            <w:tcW w:w="1275" w:type="dxa"/>
          </w:tcPr>
          <w:p w14:paraId="2C613D59" w14:textId="02A59A30" w:rsidR="0019575B" w:rsidRPr="0019575B" w:rsidRDefault="0019575B" w:rsidP="0019575B">
            <w:pPr>
              <w:jc w:val="center"/>
            </w:pPr>
            <w:r w:rsidRPr="0019575B">
              <w:t>1,075.181</w:t>
            </w:r>
          </w:p>
        </w:tc>
      </w:tr>
      <w:tr w:rsidR="0019575B" w:rsidRPr="0019575B" w14:paraId="687DF50D" w14:textId="77777777" w:rsidTr="00715D68">
        <w:tc>
          <w:tcPr>
            <w:tcW w:w="3686" w:type="dxa"/>
          </w:tcPr>
          <w:p w14:paraId="7C271E02" w14:textId="43660B56" w:rsidR="0019575B" w:rsidRPr="0019575B" w:rsidRDefault="0019575B" w:rsidP="0019575B">
            <w:pPr>
              <w:pStyle w:val="BodyText"/>
              <w:keepNext/>
              <w:numPr>
                <w:ilvl w:val="0"/>
                <w:numId w:val="0"/>
              </w:numPr>
            </w:pPr>
            <w:r w:rsidRPr="0019575B">
              <w:t>DNER as a % of new debt</w:t>
            </w:r>
          </w:p>
        </w:tc>
        <w:tc>
          <w:tcPr>
            <w:tcW w:w="1134" w:type="dxa"/>
          </w:tcPr>
          <w:p w14:paraId="03B71DE1" w14:textId="202235E5" w:rsidR="0019575B" w:rsidRPr="0019575B" w:rsidRDefault="0019575B" w:rsidP="0019575B">
            <w:pPr>
              <w:jc w:val="center"/>
            </w:pPr>
            <w:r w:rsidRPr="0019575B">
              <w:t>30.00%</w:t>
            </w:r>
          </w:p>
        </w:tc>
        <w:tc>
          <w:tcPr>
            <w:tcW w:w="1560" w:type="dxa"/>
          </w:tcPr>
          <w:p w14:paraId="2301EAA0" w14:textId="7DFD5536" w:rsidR="0019575B" w:rsidRPr="0019575B" w:rsidRDefault="0019575B" w:rsidP="0019575B">
            <w:pPr>
              <w:jc w:val="center"/>
            </w:pPr>
            <w:r w:rsidRPr="0019575B">
              <w:t>15.07%</w:t>
            </w:r>
          </w:p>
        </w:tc>
        <w:tc>
          <w:tcPr>
            <w:tcW w:w="1275" w:type="dxa"/>
          </w:tcPr>
          <w:p w14:paraId="1B92C435" w14:textId="703C1561" w:rsidR="0019575B" w:rsidRPr="0019575B" w:rsidRDefault="0019575B" w:rsidP="0019575B">
            <w:pPr>
              <w:jc w:val="center"/>
            </w:pPr>
            <w:r w:rsidRPr="0019575B">
              <w:t>15.71%</w:t>
            </w:r>
          </w:p>
        </w:tc>
      </w:tr>
      <w:tr w:rsidR="0019575B" w:rsidRPr="0019575B" w14:paraId="36257894" w14:textId="77777777" w:rsidTr="00715D68">
        <w:tc>
          <w:tcPr>
            <w:tcW w:w="3686" w:type="dxa"/>
          </w:tcPr>
          <w:p w14:paraId="432EDEB8" w14:textId="77777777" w:rsidR="0019575B" w:rsidRPr="0019575B" w:rsidRDefault="0019575B" w:rsidP="0019575B">
            <w:pPr>
              <w:pStyle w:val="BodyText"/>
              <w:keepNext/>
              <w:numPr>
                <w:ilvl w:val="0"/>
                <w:numId w:val="0"/>
              </w:numPr>
            </w:pPr>
            <w:r w:rsidRPr="0019575B">
              <w:t>Deferral adjustment ($m)</w:t>
            </w:r>
          </w:p>
        </w:tc>
        <w:tc>
          <w:tcPr>
            <w:tcW w:w="1134" w:type="dxa"/>
          </w:tcPr>
          <w:p w14:paraId="7823215E" w14:textId="2C732D38" w:rsidR="0019575B" w:rsidRPr="0019575B" w:rsidRDefault="0019575B" w:rsidP="0019575B">
            <w:pPr>
              <w:jc w:val="center"/>
            </w:pPr>
            <w:r w:rsidRPr="0019575B">
              <w:t>-36.727</w:t>
            </w:r>
          </w:p>
        </w:tc>
        <w:tc>
          <w:tcPr>
            <w:tcW w:w="1560" w:type="dxa"/>
          </w:tcPr>
          <w:p w14:paraId="76C3FBE5" w14:textId="1739FF31" w:rsidR="0019575B" w:rsidRPr="0019575B" w:rsidRDefault="0019575B" w:rsidP="0019575B">
            <w:pPr>
              <w:jc w:val="center"/>
            </w:pPr>
            <w:r w:rsidRPr="0019575B">
              <w:t>-742.973</w:t>
            </w:r>
          </w:p>
        </w:tc>
        <w:tc>
          <w:tcPr>
            <w:tcW w:w="1275" w:type="dxa"/>
          </w:tcPr>
          <w:p w14:paraId="57A37DFF" w14:textId="3E2059AD" w:rsidR="0019575B" w:rsidRPr="0019575B" w:rsidRDefault="0019575B" w:rsidP="0019575B">
            <w:pPr>
              <w:jc w:val="center"/>
            </w:pPr>
            <w:r w:rsidRPr="0019575B">
              <w:t>-779.700</w:t>
            </w:r>
          </w:p>
        </w:tc>
      </w:tr>
      <w:tr w:rsidR="0019575B" w:rsidRPr="0019575B" w14:paraId="2963E013" w14:textId="77777777" w:rsidTr="00715D68">
        <w:tc>
          <w:tcPr>
            <w:tcW w:w="3686" w:type="dxa"/>
          </w:tcPr>
          <w:p w14:paraId="568F908B" w14:textId="77777777" w:rsidR="0019575B" w:rsidRPr="0019575B" w:rsidRDefault="0019575B" w:rsidP="0019575B">
            <w:pPr>
              <w:pStyle w:val="BodyText"/>
              <w:keepNext/>
              <w:numPr>
                <w:ilvl w:val="0"/>
                <w:numId w:val="0"/>
              </w:numPr>
            </w:pPr>
            <w:r w:rsidRPr="0019575B">
              <w:t>Deferral adjustment as a % of new debt</w:t>
            </w:r>
          </w:p>
        </w:tc>
        <w:tc>
          <w:tcPr>
            <w:tcW w:w="1134" w:type="dxa"/>
          </w:tcPr>
          <w:p w14:paraId="5CA908F9" w14:textId="479CB90D" w:rsidR="0019575B" w:rsidRPr="0019575B" w:rsidRDefault="0019575B" w:rsidP="0019575B">
            <w:pPr>
              <w:jc w:val="center"/>
            </w:pPr>
            <w:r w:rsidRPr="0019575B">
              <w:t>-12.50%</w:t>
            </w:r>
          </w:p>
        </w:tc>
        <w:tc>
          <w:tcPr>
            <w:tcW w:w="1560" w:type="dxa"/>
          </w:tcPr>
          <w:p w14:paraId="5BCA288C" w14:textId="191BEF97" w:rsidR="0019575B" w:rsidRPr="0019575B" w:rsidRDefault="0019575B" w:rsidP="0019575B">
            <w:pPr>
              <w:jc w:val="center"/>
            </w:pPr>
            <w:r w:rsidRPr="0019575B">
              <w:t>-11.34%</w:t>
            </w:r>
          </w:p>
        </w:tc>
        <w:tc>
          <w:tcPr>
            <w:tcW w:w="1275" w:type="dxa"/>
          </w:tcPr>
          <w:p w14:paraId="758278DE" w14:textId="5C10C1D4" w:rsidR="0019575B" w:rsidRPr="0019575B" w:rsidRDefault="0019575B" w:rsidP="0019575B">
            <w:pPr>
              <w:jc w:val="center"/>
            </w:pPr>
            <w:r w:rsidRPr="0019575B">
              <w:t>-11.39%</w:t>
            </w:r>
          </w:p>
        </w:tc>
      </w:tr>
      <w:tr w:rsidR="0019575B" w:rsidRPr="0019575B" w14:paraId="0E274253" w14:textId="77777777" w:rsidTr="00715D68">
        <w:tc>
          <w:tcPr>
            <w:tcW w:w="3686" w:type="dxa"/>
          </w:tcPr>
          <w:p w14:paraId="77980374" w14:textId="77777777" w:rsidR="0019575B" w:rsidRPr="0019575B" w:rsidRDefault="0019575B" w:rsidP="0019575B">
            <w:pPr>
              <w:pStyle w:val="BodyText"/>
              <w:keepNext/>
              <w:numPr>
                <w:ilvl w:val="0"/>
                <w:numId w:val="0"/>
              </w:numPr>
            </w:pPr>
            <w:r w:rsidRPr="0019575B">
              <w:t>Fair value adjustment on new debt ($m)</w:t>
            </w:r>
          </w:p>
        </w:tc>
        <w:tc>
          <w:tcPr>
            <w:tcW w:w="1134" w:type="dxa"/>
          </w:tcPr>
          <w:p w14:paraId="1DC96F15" w14:textId="3FB25B49" w:rsidR="0019575B" w:rsidRPr="0019575B" w:rsidRDefault="0019575B" w:rsidP="0019575B">
            <w:pPr>
              <w:jc w:val="center"/>
            </w:pPr>
            <w:r w:rsidRPr="0019575B">
              <w:t>51.417</w:t>
            </w:r>
          </w:p>
        </w:tc>
        <w:tc>
          <w:tcPr>
            <w:tcW w:w="1560" w:type="dxa"/>
          </w:tcPr>
          <w:p w14:paraId="53B72882" w14:textId="0D1F10B0" w:rsidR="0019575B" w:rsidRPr="0019575B" w:rsidRDefault="0019575B" w:rsidP="0019575B">
            <w:pPr>
              <w:jc w:val="center"/>
            </w:pPr>
            <w:r w:rsidRPr="0019575B">
              <w:t>244.063</w:t>
            </w:r>
          </w:p>
        </w:tc>
        <w:tc>
          <w:tcPr>
            <w:tcW w:w="1275" w:type="dxa"/>
          </w:tcPr>
          <w:p w14:paraId="3499DFB0" w14:textId="71AA674C" w:rsidR="0019575B" w:rsidRPr="0019575B" w:rsidRDefault="0019575B" w:rsidP="0019575B">
            <w:pPr>
              <w:jc w:val="center"/>
            </w:pPr>
            <w:r w:rsidRPr="0019575B">
              <w:t>295.481</w:t>
            </w:r>
          </w:p>
        </w:tc>
      </w:tr>
      <w:tr w:rsidR="0019575B" w:rsidRPr="0019575B" w14:paraId="0C22B451" w14:textId="77777777" w:rsidTr="00715D68">
        <w:tc>
          <w:tcPr>
            <w:tcW w:w="3686" w:type="dxa"/>
          </w:tcPr>
          <w:p w14:paraId="13282666" w14:textId="77777777" w:rsidR="0019575B" w:rsidRPr="0019575B" w:rsidRDefault="0019575B" w:rsidP="0019575B">
            <w:pPr>
              <w:pStyle w:val="BodyText"/>
              <w:numPr>
                <w:ilvl w:val="0"/>
                <w:numId w:val="0"/>
              </w:numPr>
            </w:pPr>
            <w:r w:rsidRPr="0019575B">
              <w:t>Total impairment percentage</w:t>
            </w:r>
          </w:p>
        </w:tc>
        <w:tc>
          <w:tcPr>
            <w:tcW w:w="1134" w:type="dxa"/>
          </w:tcPr>
          <w:p w14:paraId="0655CC08" w14:textId="7636E2D3" w:rsidR="0019575B" w:rsidRPr="0019575B" w:rsidRDefault="0019575B" w:rsidP="0019575B">
            <w:pPr>
              <w:jc w:val="center"/>
            </w:pPr>
            <w:r w:rsidRPr="0019575B">
              <w:t>17.50%</w:t>
            </w:r>
          </w:p>
        </w:tc>
        <w:tc>
          <w:tcPr>
            <w:tcW w:w="1560" w:type="dxa"/>
          </w:tcPr>
          <w:p w14:paraId="2481127E" w14:textId="0E219760" w:rsidR="0019575B" w:rsidRPr="0019575B" w:rsidRDefault="0019575B" w:rsidP="0019575B">
            <w:pPr>
              <w:jc w:val="center"/>
            </w:pPr>
            <w:r w:rsidRPr="0019575B">
              <w:t>3.73%</w:t>
            </w:r>
          </w:p>
        </w:tc>
        <w:tc>
          <w:tcPr>
            <w:tcW w:w="1275" w:type="dxa"/>
          </w:tcPr>
          <w:p w14:paraId="06AF3F79" w14:textId="072F79F3" w:rsidR="0019575B" w:rsidRPr="0019575B" w:rsidRDefault="0019575B" w:rsidP="0019575B">
            <w:pPr>
              <w:jc w:val="center"/>
            </w:pPr>
            <w:r w:rsidRPr="0019575B">
              <w:t>4.32%</w:t>
            </w:r>
          </w:p>
        </w:tc>
      </w:tr>
    </w:tbl>
    <w:p w14:paraId="2A6C331C" w14:textId="42E3B9D6" w:rsidR="007B5695" w:rsidRPr="0019575B" w:rsidRDefault="007B5695" w:rsidP="00FC2A6B">
      <w:pPr>
        <w:pStyle w:val="BodyText"/>
      </w:pPr>
      <w:r w:rsidRPr="0019575B">
        <w:t xml:space="preserve">For the purposes of advising on the impairment that should </w:t>
      </w:r>
      <w:r w:rsidR="00560E94" w:rsidRPr="0019575B">
        <w:t xml:space="preserve">be </w:t>
      </w:r>
      <w:r w:rsidRPr="0019575B">
        <w:t xml:space="preserve">applied to new debt incurred in </w:t>
      </w:r>
      <w:r w:rsidR="007E3E32" w:rsidRPr="0019575B">
        <w:t>2021</w:t>
      </w:r>
      <w:r w:rsidR="00B65515" w:rsidRPr="0019575B">
        <w:t>-2</w:t>
      </w:r>
      <w:r w:rsidR="0019575B" w:rsidRPr="0019575B">
        <w:t>2</w:t>
      </w:r>
      <w:r w:rsidR="00645392" w:rsidRPr="0019575B">
        <w:t xml:space="preserve"> in your forward estimates model</w:t>
      </w:r>
      <w:r w:rsidRPr="0019575B">
        <w:t xml:space="preserve">, you require the equivalent figures estimated using the </w:t>
      </w:r>
      <w:r w:rsidR="007E3E32" w:rsidRPr="0019575B">
        <w:t>2021</w:t>
      </w:r>
      <w:r w:rsidRPr="0019575B">
        <w:t xml:space="preserve"> yield curve.  Since the amount of debt incurred will be different, I have shown only the percentages in </w:t>
      </w:r>
      <w:r w:rsidR="00C17C19" w:rsidRPr="0019575B">
        <w:fldChar w:fldCharType="begin"/>
      </w:r>
      <w:r w:rsidR="00C17C19" w:rsidRPr="0019575B">
        <w:instrText xml:space="preserve"> REF _Ref488409811 \h  \* MERGEFORMAT </w:instrText>
      </w:r>
      <w:r w:rsidR="00C17C19" w:rsidRPr="0019575B">
        <w:fldChar w:fldCharType="separate"/>
      </w:r>
      <w:r w:rsidR="000106DA" w:rsidRPr="0019575B">
        <w:t xml:space="preserve">Table </w:t>
      </w:r>
      <w:r w:rsidR="00C17C19" w:rsidRPr="0019575B">
        <w:fldChar w:fldCharType="end"/>
      </w:r>
      <w:r w:rsidR="003C71D6" w:rsidRPr="0019575B">
        <w:t>9</w:t>
      </w:r>
      <w:r w:rsidRPr="0019575B">
        <w:t xml:space="preserve">.  </w:t>
      </w:r>
      <w:r w:rsidR="00020308" w:rsidRPr="0019575B">
        <w:t xml:space="preserve">Note that this implicitly </w:t>
      </w:r>
      <w:r w:rsidR="00020308" w:rsidRPr="0019575B">
        <w:lastRenderedPageBreak/>
        <w:t xml:space="preserve">assumes that the mix between VET and non-VET debt will be the same in </w:t>
      </w:r>
      <w:r w:rsidR="007E3E32" w:rsidRPr="0019575B">
        <w:t>2021</w:t>
      </w:r>
      <w:r w:rsidR="00B65515" w:rsidRPr="0019575B">
        <w:t>-2</w:t>
      </w:r>
      <w:r w:rsidR="0019575B" w:rsidRPr="0019575B">
        <w:t>2</w:t>
      </w:r>
      <w:r w:rsidR="00020308" w:rsidRPr="0019575B">
        <w:t xml:space="preserve"> as</w:t>
      </w:r>
      <w:r w:rsidR="009D4A44" w:rsidRPr="0019575B">
        <w:t xml:space="preserve"> the </w:t>
      </w:r>
      <w:r w:rsidR="00BA4D7F" w:rsidRPr="0019575B">
        <w:t>2020-21</w:t>
      </w:r>
      <w:r w:rsidR="009D4A44" w:rsidRPr="0019575B">
        <w:t xml:space="preserve"> estimates used in the tables above.</w:t>
      </w:r>
    </w:p>
    <w:p w14:paraId="13F18F0B" w14:textId="7D9A7AC3" w:rsidR="003C71D6" w:rsidRPr="0019575B" w:rsidRDefault="003C71D6" w:rsidP="007B5695">
      <w:pPr>
        <w:pStyle w:val="BodyText"/>
      </w:pPr>
      <w:r w:rsidRPr="0019575B">
        <w:t xml:space="preserve">It is important to recognise that due to the historically low </w:t>
      </w:r>
      <w:r w:rsidR="007E3E32" w:rsidRPr="0019575B">
        <w:t>2021</w:t>
      </w:r>
      <w:r w:rsidRPr="0019575B">
        <w:t xml:space="preserve"> yield curve, represented b</w:t>
      </w:r>
      <w:r w:rsidR="008C241A" w:rsidRPr="0019575B">
        <w:t xml:space="preserve">y a single discount rate of </w:t>
      </w:r>
      <w:r w:rsidR="003924BA" w:rsidRPr="0019575B">
        <w:t>1.</w:t>
      </w:r>
      <w:r w:rsidR="0019575B">
        <w:t>72</w:t>
      </w:r>
      <w:r w:rsidRPr="0019575B">
        <w:t xml:space="preserve">% per annum, being lower than the assumed rate of future CPI growth, the deferral adjustment </w:t>
      </w:r>
      <w:r w:rsidRPr="0019575B">
        <w:rPr>
          <w:u w:val="single"/>
        </w:rPr>
        <w:t>reduces</w:t>
      </w:r>
      <w:r w:rsidRPr="0019575B">
        <w:t xml:space="preserve"> </w:t>
      </w:r>
      <w:r w:rsidR="001450EE" w:rsidRPr="0019575B">
        <w:t>t</w:t>
      </w:r>
      <w:r w:rsidRPr="0019575B">
        <w:t xml:space="preserve">he total impairment percentage. </w:t>
      </w:r>
    </w:p>
    <w:p w14:paraId="3509529E" w14:textId="29234865" w:rsidR="007B5695" w:rsidRPr="0019575B" w:rsidRDefault="007B5695" w:rsidP="007B5695">
      <w:pPr>
        <w:pStyle w:val="Caption"/>
        <w:spacing w:after="240"/>
        <w:ind w:firstLine="851"/>
      </w:pPr>
      <w:bookmarkStart w:id="14" w:name="_Ref488409811"/>
      <w:r w:rsidRPr="0019575B">
        <w:t xml:space="preserve">Table </w:t>
      </w:r>
      <w:bookmarkEnd w:id="14"/>
      <w:r w:rsidR="00C17C19" w:rsidRPr="0019575B">
        <w:t>9</w:t>
      </w:r>
      <w:r w:rsidRPr="0019575B">
        <w:t>:  Split of fair value adjustment (</w:t>
      </w:r>
      <w:r w:rsidR="007E3E32" w:rsidRPr="0019575B">
        <w:t>2021</w:t>
      </w:r>
      <w:r w:rsidRPr="0019575B">
        <w:t xml:space="preserve"> yield curve)</w:t>
      </w:r>
    </w:p>
    <w:tbl>
      <w:tblPr>
        <w:tblStyle w:val="TableGrid"/>
        <w:tblW w:w="7622" w:type="dxa"/>
        <w:tblInd w:w="8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1276"/>
        <w:gridCol w:w="1275"/>
        <w:gridCol w:w="1101"/>
      </w:tblGrid>
      <w:tr w:rsidR="00A70050" w:rsidRPr="0019575B" w14:paraId="2F200B5B" w14:textId="77777777" w:rsidTr="00B1623D">
        <w:tc>
          <w:tcPr>
            <w:tcW w:w="3970" w:type="dxa"/>
            <w:tcBorders>
              <w:top w:val="single" w:sz="4" w:space="0" w:color="auto"/>
              <w:bottom w:val="single" w:sz="4" w:space="0" w:color="auto"/>
            </w:tcBorders>
          </w:tcPr>
          <w:p w14:paraId="41B34506" w14:textId="77777777" w:rsidR="007B5695" w:rsidRPr="0019575B" w:rsidRDefault="007B5695" w:rsidP="009115B4">
            <w:pPr>
              <w:pStyle w:val="BodyText"/>
              <w:keepNext/>
              <w:numPr>
                <w:ilvl w:val="0"/>
                <w:numId w:val="0"/>
              </w:numPr>
            </w:pPr>
          </w:p>
        </w:tc>
        <w:tc>
          <w:tcPr>
            <w:tcW w:w="1276" w:type="dxa"/>
            <w:tcBorders>
              <w:top w:val="single" w:sz="4" w:space="0" w:color="auto"/>
              <w:bottom w:val="single" w:sz="4" w:space="0" w:color="auto"/>
            </w:tcBorders>
          </w:tcPr>
          <w:p w14:paraId="156BD7EA" w14:textId="77777777" w:rsidR="007B5695" w:rsidRPr="0019575B" w:rsidRDefault="007B5695" w:rsidP="009115B4">
            <w:pPr>
              <w:pStyle w:val="BodyText"/>
              <w:keepNext/>
              <w:numPr>
                <w:ilvl w:val="0"/>
                <w:numId w:val="0"/>
              </w:numPr>
              <w:jc w:val="center"/>
            </w:pPr>
            <w:r w:rsidRPr="0019575B">
              <w:t>VET</w:t>
            </w:r>
          </w:p>
        </w:tc>
        <w:tc>
          <w:tcPr>
            <w:tcW w:w="1275" w:type="dxa"/>
            <w:tcBorders>
              <w:top w:val="single" w:sz="4" w:space="0" w:color="auto"/>
              <w:bottom w:val="single" w:sz="4" w:space="0" w:color="auto"/>
            </w:tcBorders>
          </w:tcPr>
          <w:p w14:paraId="6546F297" w14:textId="77777777" w:rsidR="007B5695" w:rsidRPr="0019575B" w:rsidRDefault="007B5695" w:rsidP="009115B4">
            <w:pPr>
              <w:pStyle w:val="BodyText"/>
              <w:keepNext/>
              <w:numPr>
                <w:ilvl w:val="0"/>
                <w:numId w:val="0"/>
              </w:numPr>
              <w:jc w:val="center"/>
            </w:pPr>
            <w:r w:rsidRPr="0019575B">
              <w:t>non-VET</w:t>
            </w:r>
          </w:p>
        </w:tc>
        <w:tc>
          <w:tcPr>
            <w:tcW w:w="1101" w:type="dxa"/>
            <w:tcBorders>
              <w:top w:val="single" w:sz="4" w:space="0" w:color="auto"/>
              <w:bottom w:val="single" w:sz="4" w:space="0" w:color="auto"/>
            </w:tcBorders>
          </w:tcPr>
          <w:p w14:paraId="6DD568BD" w14:textId="77777777" w:rsidR="007B5695" w:rsidRPr="0019575B" w:rsidRDefault="007B5695" w:rsidP="009115B4">
            <w:pPr>
              <w:pStyle w:val="BodyText"/>
              <w:keepNext/>
              <w:numPr>
                <w:ilvl w:val="0"/>
                <w:numId w:val="0"/>
              </w:numPr>
              <w:jc w:val="center"/>
            </w:pPr>
            <w:r w:rsidRPr="0019575B">
              <w:t>Total</w:t>
            </w:r>
          </w:p>
        </w:tc>
      </w:tr>
      <w:tr w:rsidR="0019575B" w:rsidRPr="0019575B" w14:paraId="42E1D9C0" w14:textId="77777777" w:rsidTr="00B1623D">
        <w:tc>
          <w:tcPr>
            <w:tcW w:w="3970" w:type="dxa"/>
          </w:tcPr>
          <w:p w14:paraId="7B605CB9" w14:textId="380F51F6" w:rsidR="0019575B" w:rsidRPr="0019575B" w:rsidRDefault="0019575B" w:rsidP="0019575B">
            <w:pPr>
              <w:pStyle w:val="BodyText"/>
              <w:keepNext/>
              <w:numPr>
                <w:ilvl w:val="0"/>
                <w:numId w:val="0"/>
              </w:numPr>
            </w:pPr>
            <w:r w:rsidRPr="0019575B">
              <w:t>DNER as a % of new debt</w:t>
            </w:r>
          </w:p>
        </w:tc>
        <w:tc>
          <w:tcPr>
            <w:tcW w:w="1276" w:type="dxa"/>
          </w:tcPr>
          <w:p w14:paraId="3AD22E07" w14:textId="7D9FB109" w:rsidR="0019575B" w:rsidRPr="0019575B" w:rsidRDefault="0019575B" w:rsidP="0019575B">
            <w:pPr>
              <w:jc w:val="center"/>
            </w:pPr>
            <w:r w:rsidRPr="00FC5D72">
              <w:t>30.00%</w:t>
            </w:r>
          </w:p>
        </w:tc>
        <w:tc>
          <w:tcPr>
            <w:tcW w:w="1275" w:type="dxa"/>
          </w:tcPr>
          <w:p w14:paraId="2C3C9018" w14:textId="2774E376" w:rsidR="0019575B" w:rsidRPr="0019575B" w:rsidRDefault="0019575B" w:rsidP="0019575B">
            <w:pPr>
              <w:jc w:val="center"/>
            </w:pPr>
            <w:r w:rsidRPr="00FC5D72">
              <w:t>15.07%</w:t>
            </w:r>
          </w:p>
        </w:tc>
        <w:tc>
          <w:tcPr>
            <w:tcW w:w="1101" w:type="dxa"/>
          </w:tcPr>
          <w:p w14:paraId="2A70C27C" w14:textId="1F5CA4FB" w:rsidR="0019575B" w:rsidRPr="0019575B" w:rsidRDefault="0019575B" w:rsidP="0019575B">
            <w:pPr>
              <w:jc w:val="center"/>
            </w:pPr>
            <w:r w:rsidRPr="00FC5D72">
              <w:t>15.71%</w:t>
            </w:r>
          </w:p>
        </w:tc>
      </w:tr>
      <w:tr w:rsidR="0019575B" w:rsidRPr="0019575B" w14:paraId="6A66E1F2" w14:textId="77777777" w:rsidTr="00B1623D">
        <w:tc>
          <w:tcPr>
            <w:tcW w:w="3970" w:type="dxa"/>
          </w:tcPr>
          <w:p w14:paraId="6D6B7842" w14:textId="77777777" w:rsidR="0019575B" w:rsidRPr="0019575B" w:rsidRDefault="0019575B" w:rsidP="0019575B">
            <w:pPr>
              <w:pStyle w:val="BodyText"/>
              <w:keepNext/>
              <w:numPr>
                <w:ilvl w:val="0"/>
                <w:numId w:val="0"/>
              </w:numPr>
            </w:pPr>
            <w:r w:rsidRPr="0019575B">
              <w:t>Deferral adjustment as a % of new debt</w:t>
            </w:r>
          </w:p>
        </w:tc>
        <w:tc>
          <w:tcPr>
            <w:tcW w:w="1276" w:type="dxa"/>
          </w:tcPr>
          <w:p w14:paraId="4EF17031" w14:textId="23551D08" w:rsidR="0019575B" w:rsidRPr="0019575B" w:rsidRDefault="0019575B" w:rsidP="0019575B">
            <w:pPr>
              <w:jc w:val="center"/>
            </w:pPr>
            <w:r w:rsidRPr="00500C2A">
              <w:t>-3.42%</w:t>
            </w:r>
          </w:p>
        </w:tc>
        <w:tc>
          <w:tcPr>
            <w:tcW w:w="1275" w:type="dxa"/>
          </w:tcPr>
          <w:p w14:paraId="1F69D727" w14:textId="3AA20512" w:rsidR="0019575B" w:rsidRPr="0019575B" w:rsidRDefault="0019575B" w:rsidP="0019575B">
            <w:pPr>
              <w:jc w:val="center"/>
            </w:pPr>
            <w:r w:rsidRPr="00500C2A">
              <w:t>-6.90%</w:t>
            </w:r>
          </w:p>
        </w:tc>
        <w:tc>
          <w:tcPr>
            <w:tcW w:w="1101" w:type="dxa"/>
          </w:tcPr>
          <w:p w14:paraId="3A6FB45B" w14:textId="1F2B5287" w:rsidR="0019575B" w:rsidRPr="0019575B" w:rsidRDefault="0019575B" w:rsidP="0019575B">
            <w:pPr>
              <w:jc w:val="center"/>
            </w:pPr>
            <w:r w:rsidRPr="00500C2A">
              <w:t>-6.75%</w:t>
            </w:r>
          </w:p>
        </w:tc>
      </w:tr>
      <w:tr w:rsidR="0019575B" w:rsidRPr="0019575B" w14:paraId="23AEBAA0" w14:textId="77777777" w:rsidTr="00B1623D">
        <w:tc>
          <w:tcPr>
            <w:tcW w:w="3970" w:type="dxa"/>
          </w:tcPr>
          <w:p w14:paraId="07F6E76B" w14:textId="77777777" w:rsidR="0019575B" w:rsidRPr="0019575B" w:rsidRDefault="0019575B" w:rsidP="0019575B">
            <w:pPr>
              <w:pStyle w:val="BodyText"/>
              <w:numPr>
                <w:ilvl w:val="0"/>
                <w:numId w:val="0"/>
              </w:numPr>
            </w:pPr>
            <w:r w:rsidRPr="0019575B">
              <w:t>Total impairment percentage</w:t>
            </w:r>
          </w:p>
        </w:tc>
        <w:tc>
          <w:tcPr>
            <w:tcW w:w="1276" w:type="dxa"/>
          </w:tcPr>
          <w:p w14:paraId="2618B9EE" w14:textId="7C5DC2A4" w:rsidR="0019575B" w:rsidRPr="0019575B" w:rsidRDefault="0019575B" w:rsidP="0019575B">
            <w:pPr>
              <w:jc w:val="center"/>
            </w:pPr>
            <w:r w:rsidRPr="00651FC3">
              <w:t>26.58%</w:t>
            </w:r>
          </w:p>
        </w:tc>
        <w:tc>
          <w:tcPr>
            <w:tcW w:w="1275" w:type="dxa"/>
          </w:tcPr>
          <w:p w14:paraId="1DA1B2EF" w14:textId="2427A9AF" w:rsidR="0019575B" w:rsidRPr="0019575B" w:rsidRDefault="0019575B" w:rsidP="0019575B">
            <w:pPr>
              <w:jc w:val="center"/>
            </w:pPr>
            <w:r w:rsidRPr="00651FC3">
              <w:t>8.17%</w:t>
            </w:r>
          </w:p>
        </w:tc>
        <w:tc>
          <w:tcPr>
            <w:tcW w:w="1101" w:type="dxa"/>
          </w:tcPr>
          <w:p w14:paraId="5F5A3BA3" w14:textId="06D86E62" w:rsidR="0019575B" w:rsidRPr="0019575B" w:rsidRDefault="0019575B" w:rsidP="0019575B">
            <w:pPr>
              <w:jc w:val="center"/>
            </w:pPr>
            <w:r w:rsidRPr="00651FC3">
              <w:t>8.96%</w:t>
            </w:r>
          </w:p>
        </w:tc>
      </w:tr>
    </w:tbl>
    <w:p w14:paraId="5EFC3DC9" w14:textId="2C1F916F" w:rsidR="00D5654C" w:rsidRPr="00BD0CF9" w:rsidRDefault="00D5654C" w:rsidP="00FE5B6F">
      <w:pPr>
        <w:pStyle w:val="BodyText"/>
        <w:keepNext/>
        <w:numPr>
          <w:ilvl w:val="0"/>
          <w:numId w:val="0"/>
        </w:numPr>
        <w:spacing w:before="240"/>
        <w:ind w:left="851"/>
        <w:rPr>
          <w:i/>
        </w:rPr>
      </w:pPr>
      <w:r w:rsidRPr="00BD0CF9">
        <w:rPr>
          <w:i/>
        </w:rPr>
        <w:t xml:space="preserve">Value of </w:t>
      </w:r>
      <w:r w:rsidR="00FE5B6F" w:rsidRPr="00BD0CF9">
        <w:rPr>
          <w:i/>
        </w:rPr>
        <w:t xml:space="preserve">post 1 July </w:t>
      </w:r>
      <w:r w:rsidR="007E3E32" w:rsidRPr="00BD0CF9">
        <w:rPr>
          <w:i/>
        </w:rPr>
        <w:t>20</w:t>
      </w:r>
      <w:r w:rsidR="0019575B" w:rsidRPr="00BD0CF9">
        <w:rPr>
          <w:i/>
        </w:rPr>
        <w:t>19</w:t>
      </w:r>
      <w:r w:rsidR="00FE5B6F" w:rsidRPr="00BD0CF9">
        <w:rPr>
          <w:i/>
        </w:rPr>
        <w:t xml:space="preserve"> </w:t>
      </w:r>
      <w:r w:rsidRPr="00BD0CF9">
        <w:rPr>
          <w:i/>
        </w:rPr>
        <w:t>VSL debt</w:t>
      </w:r>
    </w:p>
    <w:p w14:paraId="398CC17C" w14:textId="3452F3E2" w:rsidR="00D5654C" w:rsidRPr="00BD0CF9" w:rsidRDefault="00D5654C" w:rsidP="000F1D93">
      <w:pPr>
        <w:pStyle w:val="BodyText"/>
      </w:pPr>
      <w:r w:rsidRPr="00BD0CF9">
        <w:t>The fair value of future expected repayments associated with this debt has been determined to be $</w:t>
      </w:r>
      <w:r w:rsidR="0019575B" w:rsidRPr="00BD0CF9">
        <w:t>429.858</w:t>
      </w:r>
      <w:r w:rsidRPr="00BD0CF9">
        <w:t xml:space="preserve">m based on </w:t>
      </w:r>
      <w:r w:rsidR="00FE5B6F" w:rsidRPr="00BD0CF9">
        <w:t xml:space="preserve">the </w:t>
      </w:r>
      <w:r w:rsidR="007E3E32" w:rsidRPr="00BD0CF9">
        <w:t>2021</w:t>
      </w:r>
      <w:r w:rsidR="00FE5B6F" w:rsidRPr="00BD0CF9">
        <w:t xml:space="preserve"> yield curve which is equivalent to </w:t>
      </w:r>
      <w:r w:rsidRPr="00BD0CF9">
        <w:t>a discount rate</w:t>
      </w:r>
      <w:r w:rsidR="00FE5B6F" w:rsidRPr="00BD0CF9">
        <w:t xml:space="preserve"> of </w:t>
      </w:r>
      <w:r w:rsidR="0019575B" w:rsidRPr="00BD0CF9">
        <w:t>2.</w:t>
      </w:r>
      <w:r w:rsidR="00BD0CF9" w:rsidRPr="00BD0CF9">
        <w:t>01</w:t>
      </w:r>
      <w:r w:rsidR="00FE5B6F" w:rsidRPr="00BD0CF9">
        <w:t>% p.a. A different and higher discount rate has been used for the new VSL debt to recognise that it represents a separately calculated and reported fair value with a different repayment pattern to other debts.</w:t>
      </w:r>
      <w:r w:rsidR="000F1D93" w:rsidRPr="00BD0CF9">
        <w:t xml:space="preserve"> The value of the post 1 July </w:t>
      </w:r>
      <w:r w:rsidR="007E3E32" w:rsidRPr="00BD0CF9">
        <w:t>20</w:t>
      </w:r>
      <w:r w:rsidR="00BD0CF9" w:rsidRPr="00BD0CF9">
        <w:t>19</w:t>
      </w:r>
      <w:r w:rsidR="000F1D93" w:rsidRPr="00BD0CF9">
        <w:t xml:space="preserve"> VSL debt is included in the total value of the receivable referred to above.</w:t>
      </w:r>
    </w:p>
    <w:p w14:paraId="2D8ADDC3" w14:textId="63653098" w:rsidR="00D5654C" w:rsidRPr="00062A8C" w:rsidRDefault="00D5654C" w:rsidP="00D5654C">
      <w:pPr>
        <w:pStyle w:val="BodyText"/>
        <w:numPr>
          <w:ilvl w:val="0"/>
          <w:numId w:val="0"/>
        </w:numPr>
        <w:ind w:left="850"/>
        <w:rPr>
          <w:b/>
          <w:i/>
        </w:rPr>
      </w:pPr>
      <w:r w:rsidRPr="00062A8C">
        <w:rPr>
          <w:b/>
          <w:i/>
        </w:rPr>
        <w:t xml:space="preserve">Estimate of fair value of HELP receivable as at 30 June </w:t>
      </w:r>
      <w:r w:rsidR="007E3E32" w:rsidRPr="00062A8C">
        <w:rPr>
          <w:b/>
          <w:i/>
        </w:rPr>
        <w:t>2021</w:t>
      </w:r>
    </w:p>
    <w:p w14:paraId="37A30F33" w14:textId="1A122FE1" w:rsidR="007B5695" w:rsidRPr="00062A8C" w:rsidRDefault="00C17C19" w:rsidP="007B5695">
      <w:pPr>
        <w:pStyle w:val="BodyText"/>
      </w:pPr>
      <w:r w:rsidRPr="00062A8C">
        <w:fldChar w:fldCharType="begin"/>
      </w:r>
      <w:r w:rsidRPr="00062A8C">
        <w:instrText xml:space="preserve"> REF _Ref426118502 \h  \* MERGEFORMAT </w:instrText>
      </w:r>
      <w:r w:rsidRPr="00062A8C">
        <w:fldChar w:fldCharType="separate"/>
      </w:r>
      <w:r w:rsidR="000106DA" w:rsidRPr="000106DA">
        <w:t xml:space="preserve">Table </w:t>
      </w:r>
      <w:r w:rsidRPr="00062A8C">
        <w:fldChar w:fldCharType="end"/>
      </w:r>
      <w:r w:rsidR="00A112BF" w:rsidRPr="00062A8C">
        <w:t>10</w:t>
      </w:r>
      <w:r w:rsidRPr="00062A8C">
        <w:t xml:space="preserve"> </w:t>
      </w:r>
      <w:r w:rsidR="007B5695" w:rsidRPr="00062A8C">
        <w:t>reconciles the ATO certified amount of outstanding debt to the fair value calculated using the ANAO preferred approach.</w:t>
      </w:r>
    </w:p>
    <w:p w14:paraId="058AD63F" w14:textId="77777777" w:rsidR="007B5695" w:rsidRPr="00062A8C" w:rsidRDefault="007B5695" w:rsidP="007B5695">
      <w:pPr>
        <w:keepNext/>
        <w:ind w:firstLine="851"/>
        <w:jc w:val="left"/>
        <w:rPr>
          <w:b/>
          <w:u w:val="single"/>
        </w:rPr>
      </w:pPr>
      <w:bookmarkStart w:id="15" w:name="_Ref426118502"/>
      <w:r w:rsidRPr="00062A8C">
        <w:rPr>
          <w:u w:val="single"/>
        </w:rPr>
        <w:t xml:space="preserve">Table </w:t>
      </w:r>
      <w:bookmarkEnd w:id="15"/>
      <w:r w:rsidR="00C17C19" w:rsidRPr="00062A8C">
        <w:rPr>
          <w:u w:val="single"/>
        </w:rPr>
        <w:t>10</w:t>
      </w:r>
      <w:r w:rsidRPr="00062A8C">
        <w:rPr>
          <w:u w:val="single"/>
        </w:rPr>
        <w:t>:  Reconciliation between outstanding debt and fair value</w:t>
      </w:r>
    </w:p>
    <w:tbl>
      <w:tblPr>
        <w:tblW w:w="8931" w:type="dxa"/>
        <w:tblLayout w:type="fixed"/>
        <w:tblLook w:val="01E0" w:firstRow="1" w:lastRow="1" w:firstColumn="1" w:lastColumn="1" w:noHBand="0" w:noVBand="0"/>
      </w:tblPr>
      <w:tblGrid>
        <w:gridCol w:w="709"/>
        <w:gridCol w:w="4536"/>
        <w:gridCol w:w="1843"/>
        <w:gridCol w:w="1843"/>
      </w:tblGrid>
      <w:tr w:rsidR="00A70050" w:rsidRPr="00062A8C" w14:paraId="09A88C5B" w14:textId="77777777" w:rsidTr="00B1623D">
        <w:trPr>
          <w:trHeight w:val="255"/>
          <w:tblHeader/>
        </w:trPr>
        <w:tc>
          <w:tcPr>
            <w:tcW w:w="709" w:type="dxa"/>
            <w:tcBorders>
              <w:top w:val="single" w:sz="4" w:space="0" w:color="auto"/>
              <w:bottom w:val="single" w:sz="4" w:space="0" w:color="auto"/>
            </w:tcBorders>
          </w:tcPr>
          <w:p w14:paraId="3A49EF1A" w14:textId="77777777" w:rsidR="007B5695" w:rsidRPr="00062A8C" w:rsidRDefault="007B5695" w:rsidP="007B5695">
            <w:pPr>
              <w:keepNext/>
              <w:jc w:val="left"/>
              <w:rPr>
                <w:rFonts w:cs="Arial"/>
                <w:highlight w:val="yellow"/>
                <w:lang w:eastAsia="en-AU"/>
              </w:rPr>
            </w:pPr>
          </w:p>
        </w:tc>
        <w:tc>
          <w:tcPr>
            <w:tcW w:w="4536" w:type="dxa"/>
            <w:tcBorders>
              <w:top w:val="single" w:sz="4" w:space="0" w:color="auto"/>
              <w:bottom w:val="single" w:sz="4" w:space="0" w:color="auto"/>
            </w:tcBorders>
            <w:noWrap/>
          </w:tcPr>
          <w:p w14:paraId="41668579" w14:textId="77777777" w:rsidR="007B5695" w:rsidRPr="00062A8C" w:rsidRDefault="007B5695" w:rsidP="00B70043">
            <w:pPr>
              <w:keepNext/>
              <w:spacing w:before="100" w:after="100"/>
              <w:jc w:val="left"/>
              <w:rPr>
                <w:rFonts w:cs="Arial"/>
                <w:lang w:eastAsia="en-AU"/>
              </w:rPr>
            </w:pPr>
          </w:p>
        </w:tc>
        <w:tc>
          <w:tcPr>
            <w:tcW w:w="1843" w:type="dxa"/>
            <w:tcBorders>
              <w:top w:val="single" w:sz="4" w:space="0" w:color="auto"/>
              <w:bottom w:val="single" w:sz="4" w:space="0" w:color="auto"/>
            </w:tcBorders>
            <w:noWrap/>
          </w:tcPr>
          <w:p w14:paraId="151B424F" w14:textId="77777777" w:rsidR="007B5695" w:rsidRPr="00062A8C" w:rsidRDefault="001638CD" w:rsidP="00B70043">
            <w:pPr>
              <w:keepNext/>
              <w:spacing w:before="100" w:after="100"/>
              <w:jc w:val="center"/>
            </w:pPr>
            <w:r w:rsidRPr="00062A8C">
              <w:t>5</w:t>
            </w:r>
            <w:r w:rsidR="007B5695" w:rsidRPr="00062A8C">
              <w:t>.0% Discount Rate ($m)</w:t>
            </w:r>
          </w:p>
        </w:tc>
        <w:tc>
          <w:tcPr>
            <w:tcW w:w="1843" w:type="dxa"/>
            <w:tcBorders>
              <w:top w:val="single" w:sz="4" w:space="0" w:color="auto"/>
              <w:bottom w:val="single" w:sz="4" w:space="0" w:color="auto"/>
            </w:tcBorders>
          </w:tcPr>
          <w:p w14:paraId="51CB91E3" w14:textId="54CB4471" w:rsidR="007B5695" w:rsidRPr="00062A8C" w:rsidRDefault="007E3E32" w:rsidP="00B70043">
            <w:pPr>
              <w:keepNext/>
              <w:spacing w:before="100" w:after="100"/>
              <w:jc w:val="center"/>
            </w:pPr>
            <w:r w:rsidRPr="00062A8C">
              <w:t>2021</w:t>
            </w:r>
            <w:r w:rsidR="009B3889" w:rsidRPr="00062A8C">
              <w:t xml:space="preserve"> </w:t>
            </w:r>
            <w:r w:rsidR="007B5695" w:rsidRPr="00062A8C">
              <w:t>Yield Curve ($m)</w:t>
            </w:r>
          </w:p>
        </w:tc>
      </w:tr>
      <w:tr w:rsidR="00062A8C" w:rsidRPr="00062A8C" w14:paraId="074DDCE9" w14:textId="77777777" w:rsidTr="00062A8C">
        <w:trPr>
          <w:trHeight w:val="255"/>
        </w:trPr>
        <w:tc>
          <w:tcPr>
            <w:tcW w:w="709" w:type="dxa"/>
            <w:tcBorders>
              <w:top w:val="single" w:sz="4" w:space="0" w:color="auto"/>
            </w:tcBorders>
          </w:tcPr>
          <w:p w14:paraId="221D3F33" w14:textId="77777777" w:rsidR="00062A8C" w:rsidRPr="00062A8C" w:rsidRDefault="00062A8C" w:rsidP="00062A8C">
            <w:pPr>
              <w:jc w:val="left"/>
              <w:rPr>
                <w:rFonts w:cs="Arial"/>
                <w:lang w:eastAsia="en-AU"/>
              </w:rPr>
            </w:pPr>
          </w:p>
        </w:tc>
        <w:tc>
          <w:tcPr>
            <w:tcW w:w="4536" w:type="dxa"/>
            <w:tcBorders>
              <w:top w:val="single" w:sz="4" w:space="0" w:color="auto"/>
            </w:tcBorders>
            <w:noWrap/>
          </w:tcPr>
          <w:p w14:paraId="570E4D96" w14:textId="41F00354" w:rsidR="00062A8C" w:rsidRPr="00062A8C" w:rsidRDefault="00062A8C" w:rsidP="00062A8C">
            <w:pPr>
              <w:spacing w:before="100" w:after="100"/>
              <w:jc w:val="left"/>
              <w:rPr>
                <w:rFonts w:cs="Arial"/>
                <w:lang w:eastAsia="en-AU"/>
              </w:rPr>
            </w:pPr>
            <w:r w:rsidRPr="00062A8C">
              <w:rPr>
                <w:rFonts w:cs="Arial"/>
                <w:lang w:eastAsia="en-AU"/>
              </w:rPr>
              <w:t>ATO estimate of amount of outstanding debt as at 30 June 2021</w:t>
            </w:r>
          </w:p>
        </w:tc>
        <w:tc>
          <w:tcPr>
            <w:tcW w:w="1843" w:type="dxa"/>
            <w:tcBorders>
              <w:top w:val="single" w:sz="4" w:space="0" w:color="auto"/>
            </w:tcBorders>
            <w:noWrap/>
          </w:tcPr>
          <w:p w14:paraId="5AC346F6" w14:textId="5EA5F2DE" w:rsidR="00062A8C" w:rsidRPr="00062A8C" w:rsidRDefault="00062A8C" w:rsidP="00062A8C">
            <w:pPr>
              <w:spacing w:before="100" w:after="100"/>
              <w:jc w:val="center"/>
            </w:pPr>
            <w:r w:rsidRPr="00062A8C">
              <w:t>69,233.991</w:t>
            </w:r>
          </w:p>
        </w:tc>
        <w:tc>
          <w:tcPr>
            <w:tcW w:w="1843" w:type="dxa"/>
            <w:tcBorders>
              <w:top w:val="single" w:sz="4" w:space="0" w:color="auto"/>
            </w:tcBorders>
          </w:tcPr>
          <w:p w14:paraId="1086328C" w14:textId="39DB6BE9" w:rsidR="00062A8C" w:rsidRPr="00062A8C" w:rsidRDefault="00062A8C" w:rsidP="00062A8C">
            <w:pPr>
              <w:spacing w:before="100" w:after="100"/>
              <w:jc w:val="center"/>
            </w:pPr>
            <w:r w:rsidRPr="00062A8C">
              <w:t>69,233.991</w:t>
            </w:r>
          </w:p>
        </w:tc>
      </w:tr>
      <w:tr w:rsidR="00062A8C" w:rsidRPr="00062A8C" w14:paraId="6C1E55EA" w14:textId="77777777" w:rsidTr="00062A8C">
        <w:trPr>
          <w:trHeight w:val="255"/>
        </w:trPr>
        <w:tc>
          <w:tcPr>
            <w:tcW w:w="709" w:type="dxa"/>
          </w:tcPr>
          <w:p w14:paraId="51208506" w14:textId="77777777" w:rsidR="00062A8C" w:rsidRPr="00062A8C" w:rsidRDefault="00062A8C" w:rsidP="00062A8C">
            <w:pPr>
              <w:jc w:val="left"/>
              <w:rPr>
                <w:rFonts w:cs="Arial"/>
                <w:lang w:eastAsia="en-AU"/>
              </w:rPr>
            </w:pPr>
            <w:r w:rsidRPr="00062A8C">
              <w:rPr>
                <w:rFonts w:cs="Arial"/>
                <w:lang w:eastAsia="en-AU"/>
              </w:rPr>
              <w:t>plus</w:t>
            </w:r>
          </w:p>
        </w:tc>
        <w:tc>
          <w:tcPr>
            <w:tcW w:w="4536" w:type="dxa"/>
            <w:noWrap/>
          </w:tcPr>
          <w:p w14:paraId="679C21BA" w14:textId="4D4D1388" w:rsidR="00062A8C" w:rsidRPr="00062A8C" w:rsidRDefault="00062A8C" w:rsidP="00062A8C">
            <w:pPr>
              <w:spacing w:before="100" w:after="100"/>
              <w:ind w:left="34"/>
              <w:jc w:val="left"/>
              <w:rPr>
                <w:rFonts w:cs="Arial"/>
                <w:lang w:eastAsia="en-AU"/>
              </w:rPr>
            </w:pPr>
            <w:r w:rsidRPr="00062A8C">
              <w:rPr>
                <w:rFonts w:cs="Arial"/>
                <w:lang w:eastAsia="en-AU"/>
              </w:rPr>
              <w:t>Estimated debt incurred in semester 1 of 2021 to be reported in 2021-22</w:t>
            </w:r>
          </w:p>
        </w:tc>
        <w:tc>
          <w:tcPr>
            <w:tcW w:w="1843" w:type="dxa"/>
            <w:noWrap/>
          </w:tcPr>
          <w:p w14:paraId="6BC6C1A5" w14:textId="532DD9D7" w:rsidR="00062A8C" w:rsidRPr="00062A8C" w:rsidRDefault="00062A8C" w:rsidP="00062A8C">
            <w:pPr>
              <w:spacing w:before="100" w:after="100"/>
              <w:jc w:val="center"/>
            </w:pPr>
            <w:r w:rsidRPr="00062A8C">
              <w:t>2,366.580</w:t>
            </w:r>
          </w:p>
        </w:tc>
        <w:tc>
          <w:tcPr>
            <w:tcW w:w="1843" w:type="dxa"/>
          </w:tcPr>
          <w:p w14:paraId="42FFD86B" w14:textId="38F1B31B" w:rsidR="00062A8C" w:rsidRPr="00062A8C" w:rsidRDefault="00062A8C" w:rsidP="00062A8C">
            <w:pPr>
              <w:spacing w:before="100" w:after="100"/>
              <w:jc w:val="center"/>
            </w:pPr>
            <w:r w:rsidRPr="00062A8C">
              <w:t>2,366.580</w:t>
            </w:r>
          </w:p>
        </w:tc>
      </w:tr>
      <w:tr w:rsidR="002204A9" w:rsidRPr="00062A8C" w14:paraId="46386762" w14:textId="77777777" w:rsidTr="00062A8C">
        <w:trPr>
          <w:trHeight w:val="255"/>
        </w:trPr>
        <w:tc>
          <w:tcPr>
            <w:tcW w:w="709" w:type="dxa"/>
          </w:tcPr>
          <w:p w14:paraId="4ED6C897" w14:textId="294E01C3" w:rsidR="002204A9" w:rsidRPr="00062A8C" w:rsidRDefault="002204A9" w:rsidP="002204A9">
            <w:pPr>
              <w:jc w:val="left"/>
              <w:rPr>
                <w:rFonts w:cs="Arial"/>
                <w:lang w:eastAsia="en-AU"/>
              </w:rPr>
            </w:pPr>
            <w:r w:rsidRPr="00062A8C">
              <w:rPr>
                <w:rFonts w:cs="Arial"/>
                <w:lang w:eastAsia="en-AU"/>
              </w:rPr>
              <w:t xml:space="preserve">less     </w:t>
            </w:r>
          </w:p>
        </w:tc>
        <w:tc>
          <w:tcPr>
            <w:tcW w:w="4536" w:type="dxa"/>
            <w:noWrap/>
          </w:tcPr>
          <w:p w14:paraId="20DA33C8" w14:textId="57CF031F" w:rsidR="002204A9" w:rsidRPr="00062A8C" w:rsidRDefault="002204A9" w:rsidP="002204A9">
            <w:pPr>
              <w:spacing w:before="100" w:after="100"/>
              <w:ind w:left="34"/>
              <w:jc w:val="left"/>
              <w:rPr>
                <w:rFonts w:cs="Arial"/>
                <w:lang w:eastAsia="en-AU"/>
              </w:rPr>
            </w:pPr>
            <w:r w:rsidRPr="00062A8C">
              <w:rPr>
                <w:rFonts w:cs="Arial"/>
                <w:lang w:eastAsia="en-AU"/>
              </w:rPr>
              <w:t>Estimate of further VET recredits</w:t>
            </w:r>
          </w:p>
        </w:tc>
        <w:tc>
          <w:tcPr>
            <w:tcW w:w="1843" w:type="dxa"/>
            <w:tcBorders>
              <w:bottom w:val="single" w:sz="4" w:space="0" w:color="auto"/>
            </w:tcBorders>
            <w:noWrap/>
          </w:tcPr>
          <w:p w14:paraId="6E013AD9" w14:textId="5EE37A48" w:rsidR="002204A9" w:rsidRPr="00062A8C" w:rsidRDefault="002204A9" w:rsidP="002204A9">
            <w:pPr>
              <w:spacing w:before="100" w:after="100"/>
              <w:jc w:val="center"/>
            </w:pPr>
            <w:r w:rsidRPr="004C2525">
              <w:t xml:space="preserve">-1,260.786 </w:t>
            </w:r>
          </w:p>
        </w:tc>
        <w:tc>
          <w:tcPr>
            <w:tcW w:w="1843" w:type="dxa"/>
            <w:tcBorders>
              <w:bottom w:val="single" w:sz="4" w:space="0" w:color="auto"/>
            </w:tcBorders>
          </w:tcPr>
          <w:p w14:paraId="403B83B4" w14:textId="7098FBEA" w:rsidR="002204A9" w:rsidRPr="00062A8C" w:rsidRDefault="002204A9" w:rsidP="002204A9">
            <w:pPr>
              <w:spacing w:before="100" w:after="100"/>
              <w:jc w:val="center"/>
            </w:pPr>
            <w:r w:rsidRPr="004C2525">
              <w:t>-1,260.786</w:t>
            </w:r>
          </w:p>
        </w:tc>
      </w:tr>
      <w:tr w:rsidR="002204A9" w:rsidRPr="00062A8C" w14:paraId="0ACF7DE5" w14:textId="77777777" w:rsidTr="00B1623D">
        <w:trPr>
          <w:trHeight w:val="255"/>
        </w:trPr>
        <w:tc>
          <w:tcPr>
            <w:tcW w:w="709" w:type="dxa"/>
          </w:tcPr>
          <w:p w14:paraId="62D2D210" w14:textId="77777777" w:rsidR="002204A9" w:rsidRPr="00062A8C" w:rsidRDefault="002204A9" w:rsidP="002204A9">
            <w:pPr>
              <w:jc w:val="left"/>
              <w:rPr>
                <w:rFonts w:cs="Arial"/>
                <w:lang w:eastAsia="en-AU"/>
              </w:rPr>
            </w:pPr>
            <w:r w:rsidRPr="00062A8C">
              <w:rPr>
                <w:rFonts w:cs="Arial"/>
                <w:lang w:eastAsia="en-AU"/>
              </w:rPr>
              <w:t>gives</w:t>
            </w:r>
          </w:p>
        </w:tc>
        <w:tc>
          <w:tcPr>
            <w:tcW w:w="4536" w:type="dxa"/>
            <w:noWrap/>
          </w:tcPr>
          <w:p w14:paraId="4CD1AAEB" w14:textId="5C4F36EC" w:rsidR="002204A9" w:rsidRPr="00062A8C" w:rsidRDefault="002204A9" w:rsidP="002204A9">
            <w:pPr>
              <w:spacing w:before="100" w:after="100"/>
              <w:jc w:val="left"/>
              <w:rPr>
                <w:rFonts w:cs="Arial"/>
                <w:lang w:eastAsia="en-AU"/>
              </w:rPr>
            </w:pPr>
            <w:r w:rsidRPr="00062A8C">
              <w:rPr>
                <w:rFonts w:cs="Arial"/>
                <w:lang w:eastAsia="en-AU"/>
              </w:rPr>
              <w:t>Face value of outstanding debt as at 30 June 2021</w:t>
            </w:r>
          </w:p>
        </w:tc>
        <w:tc>
          <w:tcPr>
            <w:tcW w:w="1843" w:type="dxa"/>
            <w:tcBorders>
              <w:top w:val="single" w:sz="4" w:space="0" w:color="auto"/>
            </w:tcBorders>
            <w:noWrap/>
          </w:tcPr>
          <w:p w14:paraId="2296E3EC" w14:textId="385E38C1" w:rsidR="002204A9" w:rsidRPr="00062A8C" w:rsidRDefault="002204A9" w:rsidP="002204A9">
            <w:pPr>
              <w:spacing w:before="100" w:after="100"/>
              <w:jc w:val="center"/>
            </w:pPr>
            <w:r w:rsidRPr="004C2525">
              <w:t>70,339.785</w:t>
            </w:r>
          </w:p>
        </w:tc>
        <w:tc>
          <w:tcPr>
            <w:tcW w:w="1843" w:type="dxa"/>
            <w:tcBorders>
              <w:top w:val="single" w:sz="4" w:space="0" w:color="auto"/>
            </w:tcBorders>
          </w:tcPr>
          <w:p w14:paraId="11B29374" w14:textId="428CB23D" w:rsidR="002204A9" w:rsidRPr="00062A8C" w:rsidRDefault="002204A9" w:rsidP="002204A9">
            <w:pPr>
              <w:spacing w:before="100" w:after="100"/>
              <w:jc w:val="center"/>
            </w:pPr>
            <w:r w:rsidRPr="004C2525">
              <w:t>70,339.785</w:t>
            </w:r>
          </w:p>
        </w:tc>
      </w:tr>
      <w:tr w:rsidR="00062A8C" w:rsidRPr="00062A8C" w14:paraId="5F24CCB0" w14:textId="77777777" w:rsidTr="00B1623D">
        <w:trPr>
          <w:trHeight w:val="255"/>
        </w:trPr>
        <w:tc>
          <w:tcPr>
            <w:tcW w:w="709" w:type="dxa"/>
          </w:tcPr>
          <w:p w14:paraId="551D68DF" w14:textId="77777777" w:rsidR="00062A8C" w:rsidRPr="00062A8C" w:rsidRDefault="00062A8C" w:rsidP="00062A8C">
            <w:pPr>
              <w:jc w:val="left"/>
              <w:rPr>
                <w:rFonts w:cs="Arial"/>
                <w:lang w:eastAsia="en-AU"/>
              </w:rPr>
            </w:pPr>
            <w:r w:rsidRPr="00062A8C">
              <w:rPr>
                <w:rFonts w:cs="Arial"/>
                <w:lang w:eastAsia="en-AU"/>
              </w:rPr>
              <w:lastRenderedPageBreak/>
              <w:t>less</w:t>
            </w:r>
          </w:p>
        </w:tc>
        <w:tc>
          <w:tcPr>
            <w:tcW w:w="4536" w:type="dxa"/>
            <w:noWrap/>
          </w:tcPr>
          <w:p w14:paraId="644D1311" w14:textId="76CB4B62" w:rsidR="00062A8C" w:rsidRPr="00062A8C" w:rsidRDefault="00062A8C" w:rsidP="00062A8C">
            <w:pPr>
              <w:spacing w:before="100" w:after="100"/>
              <w:ind w:left="34"/>
              <w:jc w:val="left"/>
              <w:rPr>
                <w:rFonts w:cs="Arial"/>
                <w:lang w:eastAsia="en-AU"/>
              </w:rPr>
            </w:pPr>
            <w:r w:rsidRPr="00062A8C">
              <w:rPr>
                <w:rFonts w:cs="Arial"/>
                <w:lang w:eastAsia="en-AU"/>
              </w:rPr>
              <w:t xml:space="preserve">estimated 2020-21 PAYG receipts </w:t>
            </w:r>
          </w:p>
        </w:tc>
        <w:tc>
          <w:tcPr>
            <w:tcW w:w="1843" w:type="dxa"/>
            <w:tcBorders>
              <w:bottom w:val="single" w:sz="4" w:space="0" w:color="auto"/>
            </w:tcBorders>
            <w:noWrap/>
          </w:tcPr>
          <w:p w14:paraId="7BE16E21" w14:textId="441A4D58" w:rsidR="00062A8C" w:rsidRPr="00062A8C" w:rsidRDefault="00062A8C" w:rsidP="00062A8C">
            <w:pPr>
              <w:spacing w:before="100" w:after="100"/>
              <w:jc w:val="center"/>
            </w:pPr>
            <w:r w:rsidRPr="00062A8C">
              <w:t>-4,182.501</w:t>
            </w:r>
          </w:p>
        </w:tc>
        <w:tc>
          <w:tcPr>
            <w:tcW w:w="1843" w:type="dxa"/>
            <w:tcBorders>
              <w:bottom w:val="single" w:sz="4" w:space="0" w:color="auto"/>
            </w:tcBorders>
          </w:tcPr>
          <w:p w14:paraId="124AEAF7" w14:textId="26F256D2" w:rsidR="00062A8C" w:rsidRPr="00062A8C" w:rsidRDefault="00062A8C" w:rsidP="00062A8C">
            <w:pPr>
              <w:spacing w:before="100" w:after="100"/>
              <w:jc w:val="center"/>
            </w:pPr>
            <w:r w:rsidRPr="00062A8C">
              <w:t>-4,182.501</w:t>
            </w:r>
          </w:p>
        </w:tc>
      </w:tr>
      <w:tr w:rsidR="002204A9" w:rsidRPr="00062A8C" w14:paraId="49404ABF" w14:textId="77777777" w:rsidTr="004876EA">
        <w:trPr>
          <w:trHeight w:val="60"/>
        </w:trPr>
        <w:tc>
          <w:tcPr>
            <w:tcW w:w="709" w:type="dxa"/>
          </w:tcPr>
          <w:p w14:paraId="21CD564E" w14:textId="77777777" w:rsidR="002204A9" w:rsidRPr="00062A8C" w:rsidRDefault="002204A9" w:rsidP="002204A9">
            <w:pPr>
              <w:jc w:val="left"/>
              <w:rPr>
                <w:rFonts w:cs="Arial"/>
                <w:lang w:eastAsia="en-AU"/>
              </w:rPr>
            </w:pPr>
            <w:r w:rsidRPr="00062A8C">
              <w:rPr>
                <w:rFonts w:cs="Arial"/>
                <w:lang w:eastAsia="en-AU"/>
              </w:rPr>
              <w:t>gives</w:t>
            </w:r>
          </w:p>
        </w:tc>
        <w:tc>
          <w:tcPr>
            <w:tcW w:w="4536" w:type="dxa"/>
            <w:noWrap/>
          </w:tcPr>
          <w:p w14:paraId="5D74A40F" w14:textId="77777777" w:rsidR="002204A9" w:rsidRPr="00062A8C" w:rsidRDefault="002204A9" w:rsidP="002204A9">
            <w:pPr>
              <w:spacing w:before="100" w:after="100"/>
              <w:jc w:val="left"/>
              <w:rPr>
                <w:rFonts w:cs="Arial"/>
                <w:lang w:eastAsia="en-AU"/>
              </w:rPr>
            </w:pPr>
            <w:r w:rsidRPr="00062A8C">
              <w:rPr>
                <w:rFonts w:cs="Arial"/>
                <w:lang w:eastAsia="en-AU"/>
              </w:rPr>
              <w:t>Nominal value of outstanding debt after PAYG</w:t>
            </w:r>
          </w:p>
        </w:tc>
        <w:tc>
          <w:tcPr>
            <w:tcW w:w="1843" w:type="dxa"/>
            <w:tcBorders>
              <w:top w:val="single" w:sz="4" w:space="0" w:color="auto"/>
            </w:tcBorders>
            <w:noWrap/>
          </w:tcPr>
          <w:p w14:paraId="5EC6B65A" w14:textId="4C3ED87A" w:rsidR="002204A9" w:rsidRPr="00062A8C" w:rsidRDefault="002204A9" w:rsidP="002204A9">
            <w:pPr>
              <w:spacing w:before="100" w:after="100"/>
              <w:jc w:val="center"/>
            </w:pPr>
            <w:r w:rsidRPr="006D4240">
              <w:t>66,157.284</w:t>
            </w:r>
          </w:p>
        </w:tc>
        <w:tc>
          <w:tcPr>
            <w:tcW w:w="1843" w:type="dxa"/>
            <w:tcBorders>
              <w:top w:val="single" w:sz="4" w:space="0" w:color="auto"/>
            </w:tcBorders>
          </w:tcPr>
          <w:p w14:paraId="084E91E9" w14:textId="00323D94" w:rsidR="002204A9" w:rsidRPr="00062A8C" w:rsidRDefault="002204A9" w:rsidP="002204A9">
            <w:pPr>
              <w:spacing w:before="100" w:after="100"/>
              <w:jc w:val="center"/>
            </w:pPr>
            <w:r w:rsidRPr="006D4240">
              <w:t>66,157.284</w:t>
            </w:r>
          </w:p>
        </w:tc>
      </w:tr>
      <w:tr w:rsidR="002204A9" w:rsidRPr="00062A8C" w14:paraId="691EF62B" w14:textId="77777777" w:rsidTr="0017060A">
        <w:trPr>
          <w:trHeight w:val="255"/>
        </w:trPr>
        <w:tc>
          <w:tcPr>
            <w:tcW w:w="709" w:type="dxa"/>
          </w:tcPr>
          <w:p w14:paraId="42805695" w14:textId="77777777" w:rsidR="002204A9" w:rsidRPr="00062A8C" w:rsidRDefault="002204A9" w:rsidP="002204A9">
            <w:pPr>
              <w:jc w:val="left"/>
              <w:rPr>
                <w:rFonts w:cs="Arial"/>
                <w:lang w:eastAsia="en-AU"/>
              </w:rPr>
            </w:pPr>
            <w:r w:rsidRPr="00062A8C">
              <w:rPr>
                <w:rFonts w:cs="Arial"/>
                <w:lang w:eastAsia="en-AU"/>
              </w:rPr>
              <w:t>less</w:t>
            </w:r>
          </w:p>
        </w:tc>
        <w:tc>
          <w:tcPr>
            <w:tcW w:w="4536" w:type="dxa"/>
            <w:noWrap/>
          </w:tcPr>
          <w:p w14:paraId="508659C2" w14:textId="7FC13E79" w:rsidR="002204A9" w:rsidRPr="00062A8C" w:rsidRDefault="002204A9" w:rsidP="002204A9">
            <w:pPr>
              <w:spacing w:before="100" w:after="100"/>
              <w:ind w:left="34"/>
              <w:jc w:val="left"/>
              <w:rPr>
                <w:rFonts w:cs="Arial"/>
                <w:lang w:eastAsia="en-AU"/>
              </w:rPr>
            </w:pPr>
            <w:r w:rsidRPr="00062A8C">
              <w:rPr>
                <w:rFonts w:cs="Arial"/>
                <w:lang w:eastAsia="en-AU"/>
              </w:rPr>
              <w:t>Estimate of remaining VET debtors to be removed (including a 0.6% adjustment for June indexation)</w:t>
            </w:r>
          </w:p>
        </w:tc>
        <w:tc>
          <w:tcPr>
            <w:tcW w:w="1843" w:type="dxa"/>
            <w:noWrap/>
          </w:tcPr>
          <w:p w14:paraId="4D2E5A31" w14:textId="290FE193" w:rsidR="002204A9" w:rsidRPr="00062A8C" w:rsidRDefault="002204A9" w:rsidP="002204A9">
            <w:pPr>
              <w:spacing w:before="100" w:after="100"/>
              <w:jc w:val="center"/>
            </w:pPr>
            <w:r>
              <w:t>-</w:t>
            </w:r>
            <w:r w:rsidRPr="006D4240">
              <w:t>5.514</w:t>
            </w:r>
          </w:p>
        </w:tc>
        <w:tc>
          <w:tcPr>
            <w:tcW w:w="1843" w:type="dxa"/>
          </w:tcPr>
          <w:p w14:paraId="0646E72A" w14:textId="614D9D57" w:rsidR="002204A9" w:rsidRPr="00062A8C" w:rsidRDefault="002204A9" w:rsidP="002204A9">
            <w:pPr>
              <w:spacing w:before="100" w:after="100"/>
              <w:jc w:val="center"/>
            </w:pPr>
            <w:r>
              <w:t>-</w:t>
            </w:r>
            <w:r w:rsidRPr="006D4240">
              <w:t>5.514</w:t>
            </w:r>
          </w:p>
        </w:tc>
      </w:tr>
      <w:tr w:rsidR="002204A9" w:rsidRPr="00062A8C" w14:paraId="6EB7CA85" w14:textId="77777777" w:rsidTr="0017060A">
        <w:trPr>
          <w:trHeight w:val="255"/>
        </w:trPr>
        <w:tc>
          <w:tcPr>
            <w:tcW w:w="709" w:type="dxa"/>
          </w:tcPr>
          <w:p w14:paraId="63D6CD80" w14:textId="77777777" w:rsidR="002204A9" w:rsidRPr="00062A8C" w:rsidRDefault="002204A9" w:rsidP="002204A9">
            <w:pPr>
              <w:jc w:val="left"/>
              <w:rPr>
                <w:rFonts w:cs="Arial"/>
                <w:lang w:eastAsia="en-AU"/>
              </w:rPr>
            </w:pPr>
            <w:r w:rsidRPr="00062A8C">
              <w:rPr>
                <w:rFonts w:cs="Arial"/>
                <w:lang w:eastAsia="en-AU"/>
              </w:rPr>
              <w:t>less</w:t>
            </w:r>
          </w:p>
        </w:tc>
        <w:tc>
          <w:tcPr>
            <w:tcW w:w="4536" w:type="dxa"/>
            <w:noWrap/>
          </w:tcPr>
          <w:p w14:paraId="42968755" w14:textId="77777777" w:rsidR="002204A9" w:rsidRPr="00062A8C" w:rsidRDefault="002204A9" w:rsidP="002204A9">
            <w:pPr>
              <w:spacing w:before="100" w:after="100"/>
              <w:ind w:left="34"/>
              <w:jc w:val="left"/>
              <w:rPr>
                <w:rFonts w:cs="Arial"/>
                <w:lang w:eastAsia="en-AU"/>
              </w:rPr>
            </w:pPr>
            <w:r w:rsidRPr="00062A8C">
              <w:rPr>
                <w:rFonts w:cs="Arial"/>
                <w:lang w:eastAsia="en-AU"/>
              </w:rPr>
              <w:t>Modelled face value of debt not expected to be repaid (DNER)</w:t>
            </w:r>
          </w:p>
        </w:tc>
        <w:tc>
          <w:tcPr>
            <w:tcW w:w="1843" w:type="dxa"/>
            <w:noWrap/>
          </w:tcPr>
          <w:p w14:paraId="23D2ADEF" w14:textId="67EA11A6" w:rsidR="002204A9" w:rsidRPr="00062A8C" w:rsidRDefault="002204A9" w:rsidP="002204A9">
            <w:pPr>
              <w:spacing w:before="100" w:after="100"/>
              <w:jc w:val="center"/>
            </w:pPr>
            <w:r w:rsidRPr="007317FB">
              <w:t>-16,161.969</w:t>
            </w:r>
          </w:p>
        </w:tc>
        <w:tc>
          <w:tcPr>
            <w:tcW w:w="1843" w:type="dxa"/>
          </w:tcPr>
          <w:p w14:paraId="64676C6F" w14:textId="19B3FD7A" w:rsidR="002204A9" w:rsidRPr="00062A8C" w:rsidRDefault="002204A9" w:rsidP="002204A9">
            <w:pPr>
              <w:spacing w:before="100" w:after="100"/>
              <w:jc w:val="center"/>
            </w:pPr>
            <w:r w:rsidRPr="007317FB">
              <w:t>-16,161.969</w:t>
            </w:r>
          </w:p>
        </w:tc>
      </w:tr>
      <w:tr w:rsidR="002204A9" w:rsidRPr="00062A8C" w14:paraId="6C66A43E" w14:textId="77777777" w:rsidTr="00434B22">
        <w:trPr>
          <w:trHeight w:val="255"/>
        </w:trPr>
        <w:tc>
          <w:tcPr>
            <w:tcW w:w="709" w:type="dxa"/>
          </w:tcPr>
          <w:p w14:paraId="1BE1353F" w14:textId="77777777" w:rsidR="002204A9" w:rsidRPr="00062A8C" w:rsidRDefault="002204A9" w:rsidP="002204A9">
            <w:pPr>
              <w:jc w:val="left"/>
              <w:rPr>
                <w:rFonts w:cs="Arial"/>
                <w:lang w:eastAsia="en-AU"/>
              </w:rPr>
            </w:pPr>
            <w:r w:rsidRPr="00062A8C">
              <w:rPr>
                <w:rFonts w:cs="Arial"/>
                <w:lang w:eastAsia="en-AU"/>
              </w:rPr>
              <w:t>gives</w:t>
            </w:r>
          </w:p>
        </w:tc>
        <w:tc>
          <w:tcPr>
            <w:tcW w:w="4536" w:type="dxa"/>
            <w:noWrap/>
          </w:tcPr>
          <w:p w14:paraId="29C47F24" w14:textId="77777777" w:rsidR="002204A9" w:rsidRPr="00062A8C" w:rsidRDefault="002204A9" w:rsidP="002204A9">
            <w:pPr>
              <w:spacing w:before="100" w:after="100"/>
              <w:jc w:val="left"/>
              <w:rPr>
                <w:rFonts w:cs="Arial"/>
                <w:lang w:eastAsia="en-AU"/>
              </w:rPr>
            </w:pPr>
            <w:r w:rsidRPr="00062A8C">
              <w:rPr>
                <w:rFonts w:cs="Arial"/>
                <w:lang w:eastAsia="en-AU"/>
              </w:rPr>
              <w:t>Face value of debt expected to be repaid</w:t>
            </w:r>
          </w:p>
        </w:tc>
        <w:tc>
          <w:tcPr>
            <w:tcW w:w="1843" w:type="dxa"/>
            <w:tcBorders>
              <w:top w:val="single" w:sz="4" w:space="0" w:color="auto"/>
              <w:bottom w:val="single" w:sz="4" w:space="0" w:color="auto"/>
            </w:tcBorders>
            <w:noWrap/>
          </w:tcPr>
          <w:p w14:paraId="724E45F7" w14:textId="1736DAE0" w:rsidR="002204A9" w:rsidRPr="00062A8C" w:rsidRDefault="002204A9" w:rsidP="002204A9">
            <w:pPr>
              <w:spacing w:before="100" w:after="100"/>
              <w:jc w:val="center"/>
            </w:pPr>
            <w:r w:rsidRPr="00342B98">
              <w:t>50,000.829</w:t>
            </w:r>
          </w:p>
        </w:tc>
        <w:tc>
          <w:tcPr>
            <w:tcW w:w="1843" w:type="dxa"/>
            <w:tcBorders>
              <w:top w:val="single" w:sz="4" w:space="0" w:color="auto"/>
              <w:bottom w:val="single" w:sz="4" w:space="0" w:color="auto"/>
            </w:tcBorders>
          </w:tcPr>
          <w:p w14:paraId="3FDF1648" w14:textId="379600B0" w:rsidR="002204A9" w:rsidRPr="00062A8C" w:rsidRDefault="002204A9" w:rsidP="002204A9">
            <w:pPr>
              <w:spacing w:before="100" w:after="100"/>
              <w:jc w:val="center"/>
            </w:pPr>
            <w:r w:rsidRPr="00342B98">
              <w:t>50,000.829</w:t>
            </w:r>
          </w:p>
        </w:tc>
      </w:tr>
      <w:tr w:rsidR="002204A9" w:rsidRPr="00062A8C" w14:paraId="6DAAC916" w14:textId="77777777" w:rsidTr="00434B22">
        <w:trPr>
          <w:trHeight w:val="255"/>
        </w:trPr>
        <w:tc>
          <w:tcPr>
            <w:tcW w:w="709" w:type="dxa"/>
          </w:tcPr>
          <w:p w14:paraId="38B7C16E" w14:textId="77777777" w:rsidR="002204A9" w:rsidRPr="00062A8C" w:rsidRDefault="002204A9" w:rsidP="002204A9">
            <w:pPr>
              <w:jc w:val="left"/>
              <w:rPr>
                <w:rFonts w:cs="Arial"/>
                <w:lang w:eastAsia="en-AU"/>
              </w:rPr>
            </w:pPr>
            <w:r w:rsidRPr="00062A8C">
              <w:rPr>
                <w:rFonts w:cs="Arial"/>
                <w:lang w:eastAsia="en-AU"/>
              </w:rPr>
              <w:t>less</w:t>
            </w:r>
          </w:p>
        </w:tc>
        <w:tc>
          <w:tcPr>
            <w:tcW w:w="4536" w:type="dxa"/>
            <w:noWrap/>
          </w:tcPr>
          <w:p w14:paraId="7C8469CE" w14:textId="77777777" w:rsidR="002204A9" w:rsidRPr="00062A8C" w:rsidRDefault="002204A9" w:rsidP="002204A9">
            <w:pPr>
              <w:spacing w:before="100" w:after="100"/>
              <w:ind w:left="34"/>
              <w:jc w:val="left"/>
              <w:rPr>
                <w:rFonts w:cs="Arial"/>
                <w:lang w:eastAsia="en-AU"/>
              </w:rPr>
            </w:pPr>
            <w:r w:rsidRPr="00062A8C">
              <w:rPr>
                <w:rFonts w:cs="Arial"/>
                <w:lang w:eastAsia="en-AU"/>
              </w:rPr>
              <w:t>Deferral adjustment</w:t>
            </w:r>
          </w:p>
        </w:tc>
        <w:tc>
          <w:tcPr>
            <w:tcW w:w="1843" w:type="dxa"/>
            <w:tcBorders>
              <w:top w:val="single" w:sz="4" w:space="0" w:color="auto"/>
            </w:tcBorders>
            <w:noWrap/>
          </w:tcPr>
          <w:p w14:paraId="7EDC03A9" w14:textId="2CA0C4BC" w:rsidR="002204A9" w:rsidRPr="00062A8C" w:rsidRDefault="002204A9" w:rsidP="002204A9">
            <w:pPr>
              <w:spacing w:before="100" w:after="100"/>
              <w:jc w:val="center"/>
            </w:pPr>
            <w:r w:rsidRPr="00342B98">
              <w:t>-8,522.436</w:t>
            </w:r>
          </w:p>
        </w:tc>
        <w:tc>
          <w:tcPr>
            <w:tcW w:w="1843" w:type="dxa"/>
            <w:tcBorders>
              <w:top w:val="single" w:sz="4" w:space="0" w:color="auto"/>
            </w:tcBorders>
          </w:tcPr>
          <w:p w14:paraId="5985661A" w14:textId="056F520A" w:rsidR="002204A9" w:rsidRPr="00062A8C" w:rsidRDefault="002204A9" w:rsidP="002204A9">
            <w:pPr>
              <w:spacing w:before="100" w:after="100"/>
              <w:jc w:val="center"/>
            </w:pPr>
            <w:r w:rsidRPr="00342B98">
              <w:t>3,575.226</w:t>
            </w:r>
          </w:p>
        </w:tc>
      </w:tr>
      <w:tr w:rsidR="002204A9" w:rsidRPr="005C1BCB" w14:paraId="1415A6B3" w14:textId="77777777" w:rsidTr="00B1623D">
        <w:trPr>
          <w:trHeight w:val="255"/>
        </w:trPr>
        <w:tc>
          <w:tcPr>
            <w:tcW w:w="709" w:type="dxa"/>
            <w:tcBorders>
              <w:bottom w:val="single" w:sz="4" w:space="0" w:color="auto"/>
            </w:tcBorders>
          </w:tcPr>
          <w:p w14:paraId="4BF1426F" w14:textId="77777777" w:rsidR="002204A9" w:rsidRPr="005C1BCB" w:rsidRDefault="002204A9" w:rsidP="002204A9">
            <w:pPr>
              <w:jc w:val="left"/>
              <w:rPr>
                <w:rFonts w:cs="Arial"/>
                <w:lang w:eastAsia="en-AU"/>
              </w:rPr>
            </w:pPr>
            <w:r w:rsidRPr="005C1BCB">
              <w:rPr>
                <w:rFonts w:cs="Arial"/>
                <w:lang w:eastAsia="en-AU"/>
              </w:rPr>
              <w:t>gives</w:t>
            </w:r>
          </w:p>
        </w:tc>
        <w:tc>
          <w:tcPr>
            <w:tcW w:w="4536" w:type="dxa"/>
            <w:tcBorders>
              <w:bottom w:val="single" w:sz="4" w:space="0" w:color="auto"/>
            </w:tcBorders>
            <w:noWrap/>
          </w:tcPr>
          <w:p w14:paraId="018E7678" w14:textId="77777777" w:rsidR="002204A9" w:rsidRPr="005C1BCB" w:rsidRDefault="002204A9" w:rsidP="002204A9">
            <w:pPr>
              <w:spacing w:before="100" w:after="100"/>
              <w:jc w:val="left"/>
              <w:rPr>
                <w:rFonts w:cs="Arial"/>
                <w:lang w:eastAsia="en-AU"/>
              </w:rPr>
            </w:pPr>
            <w:r w:rsidRPr="005C1BCB">
              <w:rPr>
                <w:rFonts w:cs="Arial"/>
                <w:lang w:eastAsia="en-AU"/>
              </w:rPr>
              <w:t>Closing balance at fair value</w:t>
            </w:r>
          </w:p>
        </w:tc>
        <w:tc>
          <w:tcPr>
            <w:tcW w:w="1843" w:type="dxa"/>
            <w:tcBorders>
              <w:top w:val="single" w:sz="4" w:space="0" w:color="auto"/>
              <w:bottom w:val="single" w:sz="4" w:space="0" w:color="auto"/>
            </w:tcBorders>
            <w:noWrap/>
          </w:tcPr>
          <w:p w14:paraId="51637A69" w14:textId="2CA8CDC0" w:rsidR="002204A9" w:rsidRPr="005C1BCB" w:rsidRDefault="002204A9" w:rsidP="002204A9">
            <w:pPr>
              <w:spacing w:before="100" w:after="100"/>
              <w:jc w:val="center"/>
            </w:pPr>
            <w:r w:rsidRPr="00342B98">
              <w:t>41,478.393</w:t>
            </w:r>
          </w:p>
        </w:tc>
        <w:tc>
          <w:tcPr>
            <w:tcW w:w="1843" w:type="dxa"/>
            <w:tcBorders>
              <w:top w:val="single" w:sz="4" w:space="0" w:color="auto"/>
              <w:bottom w:val="single" w:sz="4" w:space="0" w:color="auto"/>
            </w:tcBorders>
          </w:tcPr>
          <w:p w14:paraId="705BFD69" w14:textId="483FDBBA" w:rsidR="002204A9" w:rsidRPr="005C1BCB" w:rsidRDefault="002204A9" w:rsidP="002204A9">
            <w:pPr>
              <w:spacing w:before="100" w:after="100"/>
              <w:jc w:val="center"/>
            </w:pPr>
            <w:r w:rsidRPr="00342B98">
              <w:t>53,576.056</w:t>
            </w:r>
          </w:p>
        </w:tc>
      </w:tr>
    </w:tbl>
    <w:p w14:paraId="1DA8D6C1" w14:textId="6F9FA0F0" w:rsidR="00C3118D" w:rsidRPr="005C1BCB" w:rsidRDefault="00C3118D" w:rsidP="00C3118D">
      <w:pPr>
        <w:pStyle w:val="BodyText"/>
        <w:spacing w:before="360"/>
        <w:ind w:left="851" w:hanging="851"/>
      </w:pPr>
      <w:r w:rsidRPr="005C1BCB">
        <w:t xml:space="preserve">Finally, by combining the results from chapters 4 and 5, we can reconcile the fair value of the receivable reported in </w:t>
      </w:r>
      <w:r w:rsidR="007E3E32" w:rsidRPr="005C1BCB">
        <w:t>2020</w:t>
      </w:r>
      <w:r w:rsidRPr="005C1BCB">
        <w:t xml:space="preserve"> with the current estimate, as shown in </w:t>
      </w:r>
      <w:r w:rsidRPr="005C1BCB">
        <w:fldChar w:fldCharType="begin"/>
      </w:r>
      <w:r w:rsidRPr="005C1BCB">
        <w:instrText xml:space="preserve"> REF _Ref426118502 \h  \* MERGEFORMAT </w:instrText>
      </w:r>
      <w:r w:rsidRPr="005C1BCB">
        <w:fldChar w:fldCharType="separate"/>
      </w:r>
      <w:r w:rsidR="000106DA" w:rsidRPr="000106DA">
        <w:t xml:space="preserve">Table </w:t>
      </w:r>
      <w:r w:rsidRPr="005C1BCB">
        <w:fldChar w:fldCharType="end"/>
      </w:r>
      <w:r w:rsidR="00A112BF" w:rsidRPr="005C1BCB">
        <w:t>11</w:t>
      </w:r>
      <w:r w:rsidRPr="005C1BCB">
        <w:t>.</w:t>
      </w:r>
    </w:p>
    <w:p w14:paraId="714366A7" w14:textId="52362E52" w:rsidR="007B5695" w:rsidRPr="005C1BCB" w:rsidRDefault="00C3118D" w:rsidP="00C3118D">
      <w:pPr>
        <w:pStyle w:val="Caption"/>
        <w:ind w:firstLine="851"/>
      </w:pPr>
      <w:bookmarkStart w:id="16" w:name="_Ref489882439"/>
      <w:r w:rsidRPr="005C1BCB">
        <w:t xml:space="preserve">Table </w:t>
      </w:r>
      <w:bookmarkEnd w:id="16"/>
      <w:r w:rsidR="00C17C19" w:rsidRPr="005C1BCB">
        <w:t>11</w:t>
      </w:r>
      <w:r w:rsidRPr="005C1BCB">
        <w:t xml:space="preserve">: </w:t>
      </w:r>
      <w:r w:rsidR="006D3A02" w:rsidRPr="005C1BCB">
        <w:t xml:space="preserve">Reconciliation between </w:t>
      </w:r>
      <w:r w:rsidR="007E3E32" w:rsidRPr="005C1BCB">
        <w:t>2020</w:t>
      </w:r>
      <w:r w:rsidR="006D3A02" w:rsidRPr="005C1BCB">
        <w:t xml:space="preserve"> and </w:t>
      </w:r>
      <w:r w:rsidR="007E3E32" w:rsidRPr="005C1BCB">
        <w:t>2021</w:t>
      </w:r>
      <w:r w:rsidR="006D3A02" w:rsidRPr="005C1BCB">
        <w:t xml:space="preserve"> </w:t>
      </w:r>
      <w:r w:rsidR="00AF6F89" w:rsidRPr="005C1BCB">
        <w:t xml:space="preserve">yield curve </w:t>
      </w:r>
      <w:r w:rsidR="006D3A02" w:rsidRPr="005C1BCB">
        <w:t>estimates</w:t>
      </w:r>
    </w:p>
    <w:tbl>
      <w:tblPr>
        <w:tblW w:w="10306" w:type="dxa"/>
        <w:tblInd w:w="426" w:type="dxa"/>
        <w:tblLook w:val="01E0" w:firstRow="1" w:lastRow="1" w:firstColumn="1" w:lastColumn="1" w:noHBand="0" w:noVBand="0"/>
      </w:tblPr>
      <w:tblGrid>
        <w:gridCol w:w="850"/>
        <w:gridCol w:w="5670"/>
        <w:gridCol w:w="3786"/>
      </w:tblGrid>
      <w:tr w:rsidR="00A70050" w:rsidRPr="005C1BCB" w14:paraId="69A7AD83" w14:textId="77777777" w:rsidTr="00B1623D">
        <w:trPr>
          <w:trHeight w:val="255"/>
          <w:tblHeader/>
        </w:trPr>
        <w:tc>
          <w:tcPr>
            <w:tcW w:w="850" w:type="dxa"/>
            <w:tcBorders>
              <w:bottom w:val="single" w:sz="4" w:space="0" w:color="auto"/>
            </w:tcBorders>
          </w:tcPr>
          <w:p w14:paraId="41C60BE1" w14:textId="77777777" w:rsidR="006D3A02" w:rsidRPr="005C1BCB" w:rsidRDefault="006D3A02" w:rsidP="0018772A">
            <w:pPr>
              <w:keepNext/>
              <w:jc w:val="left"/>
              <w:rPr>
                <w:rFonts w:cs="Arial"/>
                <w:lang w:eastAsia="en-AU"/>
              </w:rPr>
            </w:pPr>
          </w:p>
        </w:tc>
        <w:tc>
          <w:tcPr>
            <w:tcW w:w="5670" w:type="dxa"/>
            <w:tcBorders>
              <w:bottom w:val="single" w:sz="4" w:space="0" w:color="auto"/>
            </w:tcBorders>
            <w:noWrap/>
          </w:tcPr>
          <w:p w14:paraId="65C29047" w14:textId="77777777" w:rsidR="006D3A02" w:rsidRPr="005C1BCB" w:rsidRDefault="006D3A02" w:rsidP="0018772A">
            <w:pPr>
              <w:keepNext/>
              <w:jc w:val="left"/>
              <w:rPr>
                <w:rFonts w:cs="Arial"/>
                <w:lang w:eastAsia="en-AU"/>
              </w:rPr>
            </w:pPr>
          </w:p>
        </w:tc>
        <w:tc>
          <w:tcPr>
            <w:tcW w:w="3786" w:type="dxa"/>
            <w:tcBorders>
              <w:bottom w:val="single" w:sz="4" w:space="0" w:color="auto"/>
            </w:tcBorders>
            <w:noWrap/>
          </w:tcPr>
          <w:p w14:paraId="7425CFF4" w14:textId="77777777" w:rsidR="006D3A02" w:rsidRPr="005C1BCB" w:rsidRDefault="006D3A02" w:rsidP="0018772A">
            <w:pPr>
              <w:keepNext/>
              <w:jc w:val="center"/>
            </w:pPr>
            <w:r w:rsidRPr="005C1BCB">
              <w:t xml:space="preserve"> ($m)</w:t>
            </w:r>
          </w:p>
        </w:tc>
      </w:tr>
      <w:tr w:rsidR="005C1BCB" w:rsidRPr="005C1BCB" w14:paraId="5528B648" w14:textId="77777777" w:rsidTr="00B1623D">
        <w:trPr>
          <w:trHeight w:val="255"/>
        </w:trPr>
        <w:tc>
          <w:tcPr>
            <w:tcW w:w="850" w:type="dxa"/>
            <w:tcBorders>
              <w:top w:val="single" w:sz="4" w:space="0" w:color="auto"/>
            </w:tcBorders>
          </w:tcPr>
          <w:p w14:paraId="60B86DC1" w14:textId="77777777" w:rsidR="005C1BCB" w:rsidRPr="005C1BCB" w:rsidRDefault="005C1BCB" w:rsidP="005C1BCB">
            <w:pPr>
              <w:keepNext/>
              <w:jc w:val="left"/>
              <w:rPr>
                <w:rFonts w:cs="Arial"/>
                <w:lang w:eastAsia="en-AU"/>
              </w:rPr>
            </w:pPr>
          </w:p>
        </w:tc>
        <w:tc>
          <w:tcPr>
            <w:tcW w:w="5670" w:type="dxa"/>
            <w:tcBorders>
              <w:top w:val="single" w:sz="4" w:space="0" w:color="auto"/>
            </w:tcBorders>
            <w:noWrap/>
          </w:tcPr>
          <w:p w14:paraId="1E5765EC" w14:textId="0B77987E" w:rsidR="005C1BCB" w:rsidRPr="005C1BCB" w:rsidRDefault="005C1BCB" w:rsidP="005C1BCB">
            <w:pPr>
              <w:keepNext/>
              <w:jc w:val="left"/>
              <w:rPr>
                <w:rFonts w:cs="Arial"/>
                <w:lang w:eastAsia="en-AU"/>
              </w:rPr>
            </w:pPr>
            <w:r w:rsidRPr="005C1BCB">
              <w:rPr>
                <w:rFonts w:cs="Arial"/>
                <w:lang w:eastAsia="en-AU"/>
              </w:rPr>
              <w:t>Reported fair value of HELP receivable as at 30 June 2020</w:t>
            </w:r>
          </w:p>
        </w:tc>
        <w:tc>
          <w:tcPr>
            <w:tcW w:w="3786" w:type="dxa"/>
            <w:tcBorders>
              <w:top w:val="single" w:sz="4" w:space="0" w:color="auto"/>
            </w:tcBorders>
            <w:noWrap/>
          </w:tcPr>
          <w:p w14:paraId="19EDDC4A" w14:textId="24E9C37A" w:rsidR="005C1BCB" w:rsidRPr="005C1BCB" w:rsidRDefault="005C1BCB" w:rsidP="005C1BCB">
            <w:pPr>
              <w:jc w:val="center"/>
            </w:pPr>
            <w:r w:rsidRPr="005C1BCB">
              <w:t>50,633.551</w:t>
            </w:r>
          </w:p>
        </w:tc>
      </w:tr>
      <w:tr w:rsidR="002204A9" w:rsidRPr="005C1BCB" w14:paraId="1ACF5C71" w14:textId="77777777" w:rsidTr="00B1623D">
        <w:trPr>
          <w:trHeight w:val="255"/>
        </w:trPr>
        <w:tc>
          <w:tcPr>
            <w:tcW w:w="850" w:type="dxa"/>
          </w:tcPr>
          <w:p w14:paraId="15E5D93A" w14:textId="34AFD08A" w:rsidR="002204A9" w:rsidRPr="005C1BCB" w:rsidRDefault="002204A9" w:rsidP="002204A9">
            <w:pPr>
              <w:jc w:val="left"/>
              <w:rPr>
                <w:rFonts w:cs="Arial"/>
                <w:lang w:eastAsia="en-AU"/>
              </w:rPr>
            </w:pPr>
            <w:r>
              <w:rPr>
                <w:rFonts w:cs="Arial"/>
                <w:lang w:eastAsia="en-AU"/>
              </w:rPr>
              <w:t>plus</w:t>
            </w:r>
          </w:p>
        </w:tc>
        <w:tc>
          <w:tcPr>
            <w:tcW w:w="5670" w:type="dxa"/>
            <w:noWrap/>
          </w:tcPr>
          <w:p w14:paraId="2DCB3D38" w14:textId="77777777" w:rsidR="002204A9" w:rsidRPr="005C1BCB" w:rsidRDefault="002204A9" w:rsidP="002204A9">
            <w:pPr>
              <w:ind w:left="34"/>
              <w:jc w:val="left"/>
              <w:rPr>
                <w:rFonts w:cs="Arial"/>
                <w:lang w:eastAsia="en-AU"/>
              </w:rPr>
            </w:pPr>
            <w:r w:rsidRPr="005C1BCB">
              <w:rPr>
                <w:rFonts w:cs="Arial"/>
                <w:lang w:eastAsia="en-AU"/>
              </w:rPr>
              <w:t>Fair value adjustment for existing debt</w:t>
            </w:r>
          </w:p>
        </w:tc>
        <w:tc>
          <w:tcPr>
            <w:tcW w:w="3786" w:type="dxa"/>
            <w:tcBorders>
              <w:bottom w:val="single" w:sz="4" w:space="0" w:color="auto"/>
            </w:tcBorders>
            <w:noWrap/>
          </w:tcPr>
          <w:p w14:paraId="68F85B31" w14:textId="7B7A223C" w:rsidR="002204A9" w:rsidRPr="005C1BCB" w:rsidRDefault="002204A9" w:rsidP="002204A9">
            <w:pPr>
              <w:jc w:val="center"/>
            </w:pPr>
            <w:r w:rsidRPr="00302664">
              <w:t>3,224.552</w:t>
            </w:r>
          </w:p>
        </w:tc>
      </w:tr>
      <w:tr w:rsidR="002204A9" w:rsidRPr="005C1BCB" w14:paraId="48222E7C" w14:textId="77777777" w:rsidTr="00B1623D">
        <w:trPr>
          <w:trHeight w:val="255"/>
        </w:trPr>
        <w:tc>
          <w:tcPr>
            <w:tcW w:w="850" w:type="dxa"/>
          </w:tcPr>
          <w:p w14:paraId="201A1546" w14:textId="77777777" w:rsidR="002204A9" w:rsidRPr="005C1BCB" w:rsidRDefault="002204A9" w:rsidP="002204A9">
            <w:pPr>
              <w:jc w:val="left"/>
              <w:rPr>
                <w:rFonts w:cs="Arial"/>
                <w:lang w:eastAsia="en-AU"/>
              </w:rPr>
            </w:pPr>
            <w:r w:rsidRPr="005C1BCB">
              <w:rPr>
                <w:rFonts w:cs="Arial"/>
                <w:lang w:eastAsia="en-AU"/>
              </w:rPr>
              <w:t>gives</w:t>
            </w:r>
          </w:p>
        </w:tc>
        <w:tc>
          <w:tcPr>
            <w:tcW w:w="5670" w:type="dxa"/>
            <w:noWrap/>
          </w:tcPr>
          <w:p w14:paraId="23AED714" w14:textId="5BFF4893" w:rsidR="002204A9" w:rsidRPr="005C1BCB" w:rsidRDefault="002204A9" w:rsidP="002204A9">
            <w:pPr>
              <w:jc w:val="left"/>
              <w:rPr>
                <w:rFonts w:cs="Arial"/>
                <w:lang w:eastAsia="en-AU"/>
              </w:rPr>
            </w:pPr>
            <w:r w:rsidRPr="005C1BCB">
              <w:rPr>
                <w:rFonts w:cs="Arial"/>
                <w:lang w:eastAsia="en-AU"/>
              </w:rPr>
              <w:t>Revised fair value of HELP receivable as at 30 June 2020</w:t>
            </w:r>
          </w:p>
        </w:tc>
        <w:tc>
          <w:tcPr>
            <w:tcW w:w="3786" w:type="dxa"/>
            <w:tcBorders>
              <w:top w:val="single" w:sz="4" w:space="0" w:color="auto"/>
            </w:tcBorders>
            <w:noWrap/>
          </w:tcPr>
          <w:p w14:paraId="057DDA09" w14:textId="2F304708" w:rsidR="002204A9" w:rsidRPr="005C1BCB" w:rsidRDefault="002204A9" w:rsidP="002204A9">
            <w:pPr>
              <w:jc w:val="center"/>
            </w:pPr>
            <w:r w:rsidRPr="00302664">
              <w:t>53,858.103</w:t>
            </w:r>
          </w:p>
        </w:tc>
      </w:tr>
      <w:tr w:rsidR="002204A9" w:rsidRPr="005C1BCB" w14:paraId="4C91D28F" w14:textId="77777777" w:rsidTr="00B1623D">
        <w:trPr>
          <w:trHeight w:val="255"/>
        </w:trPr>
        <w:tc>
          <w:tcPr>
            <w:tcW w:w="850" w:type="dxa"/>
          </w:tcPr>
          <w:p w14:paraId="625E331F" w14:textId="77777777" w:rsidR="002204A9" w:rsidRPr="005C1BCB" w:rsidRDefault="002204A9" w:rsidP="002204A9">
            <w:pPr>
              <w:jc w:val="left"/>
              <w:rPr>
                <w:rFonts w:cs="Arial"/>
                <w:lang w:eastAsia="en-AU"/>
              </w:rPr>
            </w:pPr>
            <w:r w:rsidRPr="005C1BCB">
              <w:rPr>
                <w:rFonts w:cs="Arial"/>
                <w:lang w:eastAsia="en-AU"/>
              </w:rPr>
              <w:t>less</w:t>
            </w:r>
          </w:p>
        </w:tc>
        <w:tc>
          <w:tcPr>
            <w:tcW w:w="5670" w:type="dxa"/>
            <w:noWrap/>
          </w:tcPr>
          <w:p w14:paraId="52DC1190" w14:textId="600913D4" w:rsidR="002204A9" w:rsidRPr="005C1BCB" w:rsidRDefault="002204A9" w:rsidP="002204A9">
            <w:pPr>
              <w:ind w:left="34"/>
              <w:jc w:val="left"/>
              <w:rPr>
                <w:rFonts w:cs="Arial"/>
                <w:lang w:eastAsia="en-AU"/>
              </w:rPr>
            </w:pPr>
            <w:r w:rsidRPr="005C1BCB">
              <w:rPr>
                <w:rFonts w:cs="Arial"/>
                <w:lang w:eastAsia="en-AU"/>
              </w:rPr>
              <w:t>AGA estimated 2020-21 PAYG receipts and actual voluntary repayments</w:t>
            </w:r>
          </w:p>
        </w:tc>
        <w:tc>
          <w:tcPr>
            <w:tcW w:w="3786" w:type="dxa"/>
            <w:noWrap/>
          </w:tcPr>
          <w:p w14:paraId="5F9AB154" w14:textId="7B732260" w:rsidR="002204A9" w:rsidRPr="005C1BCB" w:rsidRDefault="002204A9" w:rsidP="002204A9">
            <w:pPr>
              <w:jc w:val="center"/>
            </w:pPr>
            <w:r w:rsidRPr="0015084A">
              <w:t>-4,720.973</w:t>
            </w:r>
          </w:p>
        </w:tc>
      </w:tr>
      <w:tr w:rsidR="002204A9" w:rsidRPr="005C1BCB" w14:paraId="7B2D986A" w14:textId="77777777" w:rsidTr="00B1623D">
        <w:trPr>
          <w:trHeight w:val="255"/>
        </w:trPr>
        <w:tc>
          <w:tcPr>
            <w:tcW w:w="850" w:type="dxa"/>
          </w:tcPr>
          <w:p w14:paraId="11479922" w14:textId="77777777" w:rsidR="002204A9" w:rsidRPr="005C1BCB" w:rsidRDefault="002204A9" w:rsidP="002204A9">
            <w:pPr>
              <w:jc w:val="left"/>
              <w:rPr>
                <w:rFonts w:cs="Arial"/>
                <w:lang w:eastAsia="en-AU"/>
              </w:rPr>
            </w:pPr>
            <w:r w:rsidRPr="005C1BCB">
              <w:rPr>
                <w:rFonts w:cs="Arial"/>
                <w:lang w:eastAsia="en-AU"/>
              </w:rPr>
              <w:t>plus</w:t>
            </w:r>
          </w:p>
        </w:tc>
        <w:tc>
          <w:tcPr>
            <w:tcW w:w="5670" w:type="dxa"/>
            <w:noWrap/>
          </w:tcPr>
          <w:p w14:paraId="02CA7763" w14:textId="614E709C" w:rsidR="002204A9" w:rsidRPr="005C1BCB" w:rsidRDefault="002204A9" w:rsidP="002204A9">
            <w:pPr>
              <w:ind w:left="34"/>
              <w:jc w:val="left"/>
              <w:rPr>
                <w:rFonts w:cs="Arial"/>
                <w:lang w:eastAsia="en-AU"/>
              </w:rPr>
            </w:pPr>
            <w:r w:rsidRPr="005C1BCB">
              <w:rPr>
                <w:rFonts w:cs="Arial"/>
                <w:lang w:eastAsia="en-AU"/>
              </w:rPr>
              <w:t>Estimated new debt incurred in 2020-21</w:t>
            </w:r>
          </w:p>
        </w:tc>
        <w:tc>
          <w:tcPr>
            <w:tcW w:w="3786" w:type="dxa"/>
            <w:noWrap/>
          </w:tcPr>
          <w:p w14:paraId="2C52AFC3" w14:textId="51DB0713" w:rsidR="002204A9" w:rsidRPr="005C1BCB" w:rsidRDefault="002204A9" w:rsidP="002204A9">
            <w:pPr>
              <w:jc w:val="center"/>
            </w:pPr>
            <w:r w:rsidRPr="0015084A">
              <w:t>6,843.388</w:t>
            </w:r>
          </w:p>
        </w:tc>
      </w:tr>
      <w:tr w:rsidR="002204A9" w:rsidRPr="005C1BCB" w14:paraId="4A50D9B0" w14:textId="77777777" w:rsidTr="00B1623D">
        <w:trPr>
          <w:trHeight w:val="60"/>
        </w:trPr>
        <w:tc>
          <w:tcPr>
            <w:tcW w:w="850" w:type="dxa"/>
          </w:tcPr>
          <w:p w14:paraId="1F3D23C7" w14:textId="77777777" w:rsidR="002204A9" w:rsidRPr="005C1BCB" w:rsidRDefault="002204A9" w:rsidP="002204A9">
            <w:pPr>
              <w:jc w:val="left"/>
              <w:rPr>
                <w:rFonts w:cs="Arial"/>
                <w:lang w:eastAsia="en-AU"/>
              </w:rPr>
            </w:pPr>
            <w:r w:rsidRPr="005C1BCB">
              <w:rPr>
                <w:rFonts w:cs="Arial"/>
                <w:lang w:eastAsia="en-AU"/>
              </w:rPr>
              <w:t>less</w:t>
            </w:r>
          </w:p>
        </w:tc>
        <w:tc>
          <w:tcPr>
            <w:tcW w:w="5670" w:type="dxa"/>
            <w:noWrap/>
          </w:tcPr>
          <w:p w14:paraId="07925A25" w14:textId="066D3C45" w:rsidR="002204A9" w:rsidRPr="005C1BCB" w:rsidRDefault="002204A9" w:rsidP="002204A9">
            <w:pPr>
              <w:jc w:val="left"/>
              <w:rPr>
                <w:rFonts w:cs="Arial"/>
                <w:lang w:eastAsia="en-AU"/>
              </w:rPr>
            </w:pPr>
            <w:r w:rsidRPr="005C1BCB">
              <w:rPr>
                <w:rFonts w:cs="Arial"/>
                <w:lang w:eastAsia="en-AU"/>
              </w:rPr>
              <w:t>Fair value adjustment for new debt (comprising DNER of $1,075.181m and a deferral adjustment of $779.700m)</w:t>
            </w:r>
          </w:p>
        </w:tc>
        <w:tc>
          <w:tcPr>
            <w:tcW w:w="3786" w:type="dxa"/>
            <w:noWrap/>
          </w:tcPr>
          <w:p w14:paraId="1498F08C" w14:textId="79A56E93" w:rsidR="002204A9" w:rsidRPr="005C1BCB" w:rsidRDefault="002204A9" w:rsidP="002204A9">
            <w:pPr>
              <w:jc w:val="center"/>
            </w:pPr>
            <w:r w:rsidRPr="0015084A">
              <w:t>-295.481</w:t>
            </w:r>
          </w:p>
        </w:tc>
      </w:tr>
      <w:tr w:rsidR="002204A9" w:rsidRPr="005C1BCB" w14:paraId="409A4408" w14:textId="77777777" w:rsidTr="00B1623D">
        <w:trPr>
          <w:trHeight w:val="255"/>
        </w:trPr>
        <w:tc>
          <w:tcPr>
            <w:tcW w:w="850" w:type="dxa"/>
          </w:tcPr>
          <w:p w14:paraId="1ABC22EF" w14:textId="77777777" w:rsidR="002204A9" w:rsidRPr="005C1BCB" w:rsidRDefault="002204A9" w:rsidP="002204A9">
            <w:pPr>
              <w:jc w:val="left"/>
              <w:rPr>
                <w:rFonts w:cs="Arial"/>
                <w:lang w:eastAsia="en-AU"/>
              </w:rPr>
            </w:pPr>
            <w:r w:rsidRPr="005C1BCB">
              <w:rPr>
                <w:rFonts w:cs="Arial"/>
                <w:lang w:eastAsia="en-AU"/>
              </w:rPr>
              <w:t>plus</w:t>
            </w:r>
          </w:p>
        </w:tc>
        <w:tc>
          <w:tcPr>
            <w:tcW w:w="5670" w:type="dxa"/>
            <w:noWrap/>
          </w:tcPr>
          <w:p w14:paraId="3E94F72D" w14:textId="77777777" w:rsidR="002204A9" w:rsidRPr="005C1BCB" w:rsidRDefault="002204A9" w:rsidP="002204A9">
            <w:pPr>
              <w:ind w:left="34"/>
              <w:jc w:val="left"/>
              <w:rPr>
                <w:rFonts w:cs="Arial"/>
                <w:lang w:eastAsia="en-AU"/>
              </w:rPr>
            </w:pPr>
            <w:r w:rsidRPr="005C1BCB">
              <w:rPr>
                <w:rFonts w:cs="Arial"/>
                <w:lang w:eastAsia="en-AU"/>
              </w:rPr>
              <w:t>Unwinding of the discount</w:t>
            </w:r>
          </w:p>
        </w:tc>
        <w:tc>
          <w:tcPr>
            <w:tcW w:w="3786" w:type="dxa"/>
            <w:noWrap/>
          </w:tcPr>
          <w:p w14:paraId="73DB56B5" w14:textId="61E9CA81" w:rsidR="002204A9" w:rsidRPr="005C1BCB" w:rsidRDefault="002204A9" w:rsidP="002204A9">
            <w:pPr>
              <w:jc w:val="center"/>
            </w:pPr>
            <w:r w:rsidRPr="0015084A">
              <w:t>669.393</w:t>
            </w:r>
          </w:p>
        </w:tc>
      </w:tr>
      <w:tr w:rsidR="005C1BCB" w:rsidRPr="005C1BCB" w14:paraId="3931D140" w14:textId="77777777" w:rsidTr="00B1623D">
        <w:trPr>
          <w:trHeight w:val="255"/>
        </w:trPr>
        <w:tc>
          <w:tcPr>
            <w:tcW w:w="850" w:type="dxa"/>
          </w:tcPr>
          <w:p w14:paraId="7930BE7F" w14:textId="77777777" w:rsidR="005C1BCB" w:rsidRPr="005C1BCB" w:rsidRDefault="005C1BCB" w:rsidP="005C1BCB">
            <w:pPr>
              <w:jc w:val="left"/>
              <w:rPr>
                <w:rFonts w:cs="Arial"/>
                <w:lang w:eastAsia="en-AU"/>
              </w:rPr>
            </w:pPr>
            <w:r w:rsidRPr="005C1BCB">
              <w:rPr>
                <w:rFonts w:cs="Arial"/>
                <w:lang w:eastAsia="en-AU"/>
              </w:rPr>
              <w:lastRenderedPageBreak/>
              <w:t>plus</w:t>
            </w:r>
          </w:p>
        </w:tc>
        <w:tc>
          <w:tcPr>
            <w:tcW w:w="5670" w:type="dxa"/>
            <w:noWrap/>
          </w:tcPr>
          <w:p w14:paraId="5E08F4F0" w14:textId="77777777" w:rsidR="005C1BCB" w:rsidRPr="005C1BCB" w:rsidRDefault="005C1BCB" w:rsidP="005C1BCB">
            <w:pPr>
              <w:ind w:left="34"/>
              <w:jc w:val="left"/>
              <w:rPr>
                <w:rFonts w:cs="Arial"/>
                <w:lang w:eastAsia="en-AU"/>
              </w:rPr>
            </w:pPr>
            <w:r w:rsidRPr="005C1BCB">
              <w:rPr>
                <w:rFonts w:cs="Arial"/>
                <w:lang w:eastAsia="en-AU"/>
              </w:rPr>
              <w:t>Fair value adjustment for actuarial losses</w:t>
            </w:r>
          </w:p>
        </w:tc>
        <w:tc>
          <w:tcPr>
            <w:tcW w:w="3786" w:type="dxa"/>
            <w:noWrap/>
          </w:tcPr>
          <w:p w14:paraId="18A97D1F" w14:textId="5CAC2124" w:rsidR="005C1BCB" w:rsidRPr="005C1BCB" w:rsidRDefault="005C1BCB" w:rsidP="005C1BCB">
            <w:pPr>
              <w:jc w:val="center"/>
            </w:pPr>
            <w:r w:rsidRPr="005C1BCB">
              <w:t>0.000</w:t>
            </w:r>
          </w:p>
        </w:tc>
      </w:tr>
      <w:tr w:rsidR="002204A9" w:rsidRPr="005C1BCB" w14:paraId="0114AA63" w14:textId="77777777" w:rsidTr="00B1623D">
        <w:trPr>
          <w:trHeight w:val="255"/>
        </w:trPr>
        <w:tc>
          <w:tcPr>
            <w:tcW w:w="850" w:type="dxa"/>
          </w:tcPr>
          <w:p w14:paraId="47354690" w14:textId="77777777" w:rsidR="002204A9" w:rsidRPr="005C1BCB" w:rsidRDefault="002204A9" w:rsidP="002204A9">
            <w:pPr>
              <w:jc w:val="left"/>
              <w:rPr>
                <w:rFonts w:cs="Arial"/>
                <w:lang w:eastAsia="en-AU"/>
              </w:rPr>
            </w:pPr>
            <w:r w:rsidRPr="005C1BCB">
              <w:rPr>
                <w:rFonts w:cs="Arial"/>
                <w:lang w:eastAsia="en-AU"/>
              </w:rPr>
              <w:t>plus</w:t>
            </w:r>
          </w:p>
        </w:tc>
        <w:tc>
          <w:tcPr>
            <w:tcW w:w="5670" w:type="dxa"/>
            <w:noWrap/>
          </w:tcPr>
          <w:p w14:paraId="61E0D2A2" w14:textId="77777777" w:rsidR="002204A9" w:rsidRPr="005C1BCB" w:rsidRDefault="002204A9" w:rsidP="002204A9">
            <w:pPr>
              <w:ind w:left="34"/>
              <w:jc w:val="left"/>
              <w:rPr>
                <w:rFonts w:cs="Arial"/>
                <w:lang w:eastAsia="en-AU"/>
              </w:rPr>
            </w:pPr>
            <w:r w:rsidRPr="005C1BCB">
              <w:rPr>
                <w:rFonts w:cs="Arial"/>
                <w:lang w:eastAsia="en-AU"/>
              </w:rPr>
              <w:t>Fair value adjustment for change in discount rates</w:t>
            </w:r>
          </w:p>
        </w:tc>
        <w:tc>
          <w:tcPr>
            <w:tcW w:w="3786" w:type="dxa"/>
            <w:noWrap/>
          </w:tcPr>
          <w:p w14:paraId="08FD8645" w14:textId="3FD680CF" w:rsidR="002204A9" w:rsidRPr="005C1BCB" w:rsidRDefault="002204A9" w:rsidP="002204A9">
            <w:pPr>
              <w:jc w:val="center"/>
            </w:pPr>
            <w:r w:rsidRPr="008E1B38">
              <w:t>-2,069.900</w:t>
            </w:r>
          </w:p>
        </w:tc>
      </w:tr>
      <w:tr w:rsidR="002204A9" w:rsidRPr="005C1BCB" w14:paraId="06EE2F67" w14:textId="77777777" w:rsidTr="00B1623D">
        <w:trPr>
          <w:trHeight w:val="255"/>
        </w:trPr>
        <w:tc>
          <w:tcPr>
            <w:tcW w:w="850" w:type="dxa"/>
          </w:tcPr>
          <w:p w14:paraId="0A74842C" w14:textId="31FAF97B" w:rsidR="002204A9" w:rsidRPr="005C1BCB" w:rsidRDefault="002204A9" w:rsidP="002204A9">
            <w:pPr>
              <w:jc w:val="left"/>
              <w:rPr>
                <w:rFonts w:cs="Arial"/>
                <w:lang w:eastAsia="en-AU"/>
              </w:rPr>
            </w:pPr>
            <w:r w:rsidRPr="005C1BCB">
              <w:rPr>
                <w:rFonts w:cs="Arial"/>
                <w:lang w:eastAsia="en-AU"/>
              </w:rPr>
              <w:t>less</w:t>
            </w:r>
          </w:p>
        </w:tc>
        <w:tc>
          <w:tcPr>
            <w:tcW w:w="5670" w:type="dxa"/>
            <w:noWrap/>
          </w:tcPr>
          <w:p w14:paraId="32FF3EDD" w14:textId="6D3631B9" w:rsidR="002204A9" w:rsidRPr="005C1BCB" w:rsidRDefault="002204A9" w:rsidP="002204A9">
            <w:pPr>
              <w:ind w:left="34"/>
              <w:jc w:val="left"/>
              <w:rPr>
                <w:rFonts w:cs="Arial"/>
                <w:lang w:eastAsia="en-AU"/>
              </w:rPr>
            </w:pPr>
            <w:r>
              <w:rPr>
                <w:rFonts w:cs="Arial"/>
                <w:lang w:eastAsia="en-AU"/>
              </w:rPr>
              <w:t>Fair value adjustment for</w:t>
            </w:r>
            <w:r w:rsidRPr="005C1BCB">
              <w:rPr>
                <w:rFonts w:cs="Arial"/>
                <w:lang w:eastAsia="en-AU"/>
              </w:rPr>
              <w:t xml:space="preserve"> further VET recredits</w:t>
            </w:r>
          </w:p>
        </w:tc>
        <w:tc>
          <w:tcPr>
            <w:tcW w:w="3786" w:type="dxa"/>
            <w:noWrap/>
          </w:tcPr>
          <w:p w14:paraId="051B6494" w14:textId="7A7E433B" w:rsidR="002204A9" w:rsidRPr="005C1BCB" w:rsidRDefault="002204A9" w:rsidP="002204A9">
            <w:pPr>
              <w:jc w:val="center"/>
            </w:pPr>
            <w:r w:rsidRPr="008E1B38">
              <w:t xml:space="preserve">-708.47 </w:t>
            </w:r>
          </w:p>
        </w:tc>
      </w:tr>
      <w:tr w:rsidR="002204A9" w:rsidRPr="005C1BCB" w14:paraId="545920B3" w14:textId="77777777" w:rsidTr="00B1623D">
        <w:trPr>
          <w:trHeight w:val="255"/>
        </w:trPr>
        <w:tc>
          <w:tcPr>
            <w:tcW w:w="850" w:type="dxa"/>
            <w:tcBorders>
              <w:bottom w:val="single" w:sz="4" w:space="0" w:color="auto"/>
            </w:tcBorders>
          </w:tcPr>
          <w:p w14:paraId="10D9369D" w14:textId="77777777" w:rsidR="002204A9" w:rsidRPr="005C1BCB" w:rsidRDefault="002204A9" w:rsidP="002204A9">
            <w:pPr>
              <w:jc w:val="left"/>
              <w:rPr>
                <w:rFonts w:cs="Arial"/>
                <w:lang w:eastAsia="en-AU"/>
              </w:rPr>
            </w:pPr>
            <w:r w:rsidRPr="005C1BCB">
              <w:rPr>
                <w:rFonts w:cs="Arial"/>
                <w:lang w:eastAsia="en-AU"/>
              </w:rPr>
              <w:t>gives</w:t>
            </w:r>
          </w:p>
        </w:tc>
        <w:tc>
          <w:tcPr>
            <w:tcW w:w="5670" w:type="dxa"/>
            <w:tcBorders>
              <w:bottom w:val="single" w:sz="4" w:space="0" w:color="auto"/>
            </w:tcBorders>
            <w:noWrap/>
          </w:tcPr>
          <w:p w14:paraId="7810E3AC" w14:textId="626C515A" w:rsidR="002204A9" w:rsidRPr="005C1BCB" w:rsidRDefault="002204A9" w:rsidP="002204A9">
            <w:pPr>
              <w:keepNext/>
              <w:jc w:val="left"/>
              <w:rPr>
                <w:rFonts w:cs="Arial"/>
                <w:lang w:eastAsia="en-AU"/>
              </w:rPr>
            </w:pPr>
            <w:r w:rsidRPr="005C1BCB">
              <w:rPr>
                <w:rFonts w:cs="Arial"/>
                <w:lang w:eastAsia="en-AU"/>
              </w:rPr>
              <w:t>Reported fair value of HELP receivable as at 30 June 2021</w:t>
            </w:r>
          </w:p>
        </w:tc>
        <w:tc>
          <w:tcPr>
            <w:tcW w:w="3786" w:type="dxa"/>
            <w:tcBorders>
              <w:top w:val="single" w:sz="4" w:space="0" w:color="auto"/>
              <w:bottom w:val="single" w:sz="4" w:space="0" w:color="auto"/>
            </w:tcBorders>
            <w:noWrap/>
          </w:tcPr>
          <w:p w14:paraId="3AFB437F" w14:textId="107E41A4" w:rsidR="002204A9" w:rsidRPr="005C1BCB" w:rsidRDefault="002204A9" w:rsidP="002204A9">
            <w:pPr>
              <w:jc w:val="center"/>
            </w:pPr>
            <w:r w:rsidRPr="008E1B38">
              <w:t>53,576.056</w:t>
            </w:r>
          </w:p>
        </w:tc>
      </w:tr>
    </w:tbl>
    <w:p w14:paraId="7A484A64" w14:textId="3F2AD038" w:rsidR="008E59C6" w:rsidRPr="005C1BCB" w:rsidRDefault="008E59C6" w:rsidP="008E59C6">
      <w:pPr>
        <w:pStyle w:val="BodyText"/>
        <w:spacing w:before="360"/>
        <w:ind w:left="851" w:hanging="851"/>
      </w:pPr>
      <w:r w:rsidRPr="005C1BCB">
        <w:t>In total, the various fair value adjustments amount to a</w:t>
      </w:r>
      <w:r w:rsidR="005C1BCB">
        <w:t>n in</w:t>
      </w:r>
      <w:r w:rsidR="008A23D0" w:rsidRPr="005C1BCB">
        <w:t>c</w:t>
      </w:r>
      <w:r w:rsidR="00BD3A5B" w:rsidRPr="005C1BCB">
        <w:t>rease</w:t>
      </w:r>
      <w:r w:rsidRPr="005C1BCB">
        <w:t xml:space="preserve"> in the estima</w:t>
      </w:r>
      <w:r w:rsidR="006D3A02" w:rsidRPr="005C1BCB">
        <w:t xml:space="preserve">ted value </w:t>
      </w:r>
      <w:r w:rsidR="000575A7" w:rsidRPr="005C1BCB">
        <w:t>of the receivable of around $</w:t>
      </w:r>
      <w:r w:rsidR="005C1BCB">
        <w:t>0.</w:t>
      </w:r>
      <w:r w:rsidR="008656CA">
        <w:t>2</w:t>
      </w:r>
      <w:r w:rsidR="00645392" w:rsidRPr="005C1BCB">
        <w:t>b</w:t>
      </w:r>
      <w:r w:rsidR="008656CA">
        <w:t>n</w:t>
      </w:r>
      <w:r w:rsidR="006D3A02" w:rsidRPr="005C1BCB">
        <w:t xml:space="preserve">. </w:t>
      </w:r>
      <w:r w:rsidR="00BD3A5B" w:rsidRPr="005C1BCB">
        <w:t>Although e</w:t>
      </w:r>
      <w:r w:rsidRPr="005C1BCB">
        <w:t xml:space="preserve">stimated repayments over the year have </w:t>
      </w:r>
      <w:r w:rsidR="008A23D0" w:rsidRPr="005C1BCB">
        <w:t xml:space="preserve">also </w:t>
      </w:r>
      <w:r w:rsidRPr="005C1BCB">
        <w:t>reduced the value of the receivable by $</w:t>
      </w:r>
      <w:r w:rsidR="005C1BCB">
        <w:t>4.7</w:t>
      </w:r>
      <w:r w:rsidRPr="005C1BCB">
        <w:t>b</w:t>
      </w:r>
      <w:r w:rsidR="008656CA">
        <w:t>n</w:t>
      </w:r>
      <w:r w:rsidR="00BD3A5B" w:rsidRPr="005C1BCB">
        <w:t xml:space="preserve">, this has been more than offset by </w:t>
      </w:r>
      <w:r w:rsidRPr="005C1BCB">
        <w:t>the estimated $</w:t>
      </w:r>
      <w:r w:rsidR="003924BA" w:rsidRPr="005C1BCB">
        <w:t>6.</w:t>
      </w:r>
      <w:r w:rsidR="005C1BCB">
        <w:t>8</w:t>
      </w:r>
      <w:r w:rsidR="003924BA" w:rsidRPr="005C1BCB">
        <w:t>b</w:t>
      </w:r>
      <w:r w:rsidR="008656CA">
        <w:t>n</w:t>
      </w:r>
      <w:r w:rsidR="003924BA" w:rsidRPr="005C1BCB">
        <w:t xml:space="preserve"> </w:t>
      </w:r>
      <w:r w:rsidRPr="005C1BCB">
        <w:t>in new loa</w:t>
      </w:r>
      <w:r w:rsidR="006D3A02" w:rsidRPr="005C1BCB">
        <w:t>ns issued over the year</w:t>
      </w:r>
      <w:r w:rsidR="005E0363" w:rsidRPr="005C1BCB">
        <w:t xml:space="preserve"> and </w:t>
      </w:r>
      <w:r w:rsidR="006D3A02" w:rsidRPr="005C1BCB">
        <w:t>$</w:t>
      </w:r>
      <w:r w:rsidR="008A23D0" w:rsidRPr="005C1BCB">
        <w:t>0.7b</w:t>
      </w:r>
      <w:r w:rsidR="008656CA">
        <w:t>n</w:t>
      </w:r>
      <w:r w:rsidR="00835857" w:rsidRPr="005C1BCB">
        <w:t xml:space="preserve"> </w:t>
      </w:r>
      <w:r w:rsidRPr="005C1BCB">
        <w:t>arising from the unwinding of the</w:t>
      </w:r>
      <w:r w:rsidR="006D3A02" w:rsidRPr="005C1BCB">
        <w:t xml:space="preserve"> discount.  The net effect is an increase </w:t>
      </w:r>
      <w:r w:rsidRPr="005C1BCB">
        <w:t xml:space="preserve">of around </w:t>
      </w:r>
      <w:r w:rsidR="008A23D0" w:rsidRPr="005C1BCB">
        <w:t>$</w:t>
      </w:r>
      <w:r w:rsidR="008656CA">
        <w:t>2.9</w:t>
      </w:r>
      <w:r w:rsidR="00764736" w:rsidRPr="005C1BCB">
        <w:t>b</w:t>
      </w:r>
      <w:r w:rsidR="008656CA">
        <w:t>n</w:t>
      </w:r>
      <w:r w:rsidR="00243E53" w:rsidRPr="005C1BCB">
        <w:t xml:space="preserve"> r</w:t>
      </w:r>
      <w:r w:rsidRPr="005C1BCB">
        <w:t xml:space="preserve">elative to the value reported in the </w:t>
      </w:r>
      <w:r w:rsidR="007E3E32" w:rsidRPr="005C1BCB">
        <w:t>2020</w:t>
      </w:r>
      <w:r w:rsidRPr="005C1BCB">
        <w:t xml:space="preserve"> financial statements.</w:t>
      </w:r>
    </w:p>
    <w:p w14:paraId="425AD697" w14:textId="5C3768E3" w:rsidR="00EB5F30" w:rsidRPr="005C1BCB" w:rsidRDefault="0018772A" w:rsidP="008E59C6">
      <w:pPr>
        <w:pStyle w:val="BodyText"/>
        <w:spacing w:before="360"/>
        <w:ind w:left="851" w:hanging="851"/>
      </w:pPr>
      <w:r w:rsidRPr="005C1BCB">
        <w:t xml:space="preserve">For your reference, </w:t>
      </w:r>
      <w:r w:rsidR="00EB5F30" w:rsidRPr="005C1BCB">
        <w:t>I have</w:t>
      </w:r>
      <w:r w:rsidRPr="005C1BCB">
        <w:t xml:space="preserve"> also</w:t>
      </w:r>
      <w:r w:rsidR="00EB5F30" w:rsidRPr="005C1BCB">
        <w:t xml:space="preserve"> provided a table in </w:t>
      </w:r>
      <w:r w:rsidR="00345B8C" w:rsidRPr="005C1BCB">
        <w:t xml:space="preserve">the </w:t>
      </w:r>
      <w:r w:rsidR="00DB38A6" w:rsidRPr="005C1BCB">
        <w:t>A</w:t>
      </w:r>
      <w:r w:rsidR="00EB5F30" w:rsidRPr="005C1BCB">
        <w:t>ppendix</w:t>
      </w:r>
      <w:r w:rsidR="00DB38A6" w:rsidRPr="005C1BCB">
        <w:t xml:space="preserve"> </w:t>
      </w:r>
      <w:r w:rsidR="00947C11" w:rsidRPr="005C1BCB">
        <w:t xml:space="preserve">(Table 12) </w:t>
      </w:r>
      <w:r w:rsidR="00EB5F30" w:rsidRPr="005C1BCB">
        <w:t xml:space="preserve">to this report </w:t>
      </w:r>
      <w:r w:rsidR="00560E94" w:rsidRPr="005C1BCB">
        <w:t xml:space="preserve">in a </w:t>
      </w:r>
      <w:r w:rsidRPr="005C1BCB">
        <w:t xml:space="preserve">slightly different format to the reconciliation above in a structure which I understand you use for inclusion in </w:t>
      </w:r>
      <w:r w:rsidR="00EB5F30" w:rsidRPr="005C1BCB">
        <w:t>financial statement disclosures</w:t>
      </w:r>
      <w:r w:rsidRPr="005C1BCB">
        <w:t>.</w:t>
      </w:r>
    </w:p>
    <w:p w14:paraId="31E726DD" w14:textId="77008F73" w:rsidR="005E0363" w:rsidRPr="005C1BCB" w:rsidRDefault="005E0363" w:rsidP="008E59C6">
      <w:pPr>
        <w:pStyle w:val="BodyText"/>
        <w:spacing w:before="360"/>
        <w:ind w:left="851" w:hanging="851"/>
      </w:pPr>
      <w:r w:rsidRPr="005C1BCB">
        <w:t xml:space="preserve">Also included in the Appendix </w:t>
      </w:r>
      <w:r w:rsidR="00947C11" w:rsidRPr="005C1BCB">
        <w:t xml:space="preserve">(Table 13) </w:t>
      </w:r>
      <w:r w:rsidRPr="005C1BCB">
        <w:t>is a split of the fair value of the receivable into a current value (representing the face value of expected repayments in the coming year) and a non-current value (representing the remainder of the fair value).</w:t>
      </w:r>
      <w:r w:rsidR="00CB7B1D" w:rsidRPr="005C1BCB">
        <w:t xml:space="preserve"> Values for the total receivable and in respect of post 1 July </w:t>
      </w:r>
      <w:r w:rsidR="007E3E32" w:rsidRPr="005C1BCB">
        <w:t>20</w:t>
      </w:r>
      <w:r w:rsidR="005C1BCB">
        <w:t>19</w:t>
      </w:r>
      <w:r w:rsidR="00CB7B1D" w:rsidRPr="005C1BCB">
        <w:t xml:space="preserve"> VSL debt are provided.</w:t>
      </w:r>
    </w:p>
    <w:p w14:paraId="0BCAB51E" w14:textId="77777777" w:rsidR="00C3118D" w:rsidRPr="005C1BCB" w:rsidRDefault="00C3118D" w:rsidP="00C3118D">
      <w:pPr>
        <w:pStyle w:val="BodyText"/>
        <w:numPr>
          <w:ilvl w:val="0"/>
          <w:numId w:val="0"/>
        </w:numPr>
        <w:ind w:left="850"/>
        <w:rPr>
          <w:highlight w:val="yellow"/>
        </w:rPr>
      </w:pPr>
    </w:p>
    <w:p w14:paraId="7A9308A7" w14:textId="77777777" w:rsidR="00216E4E" w:rsidRPr="00CA6A0D" w:rsidRDefault="00216E4E" w:rsidP="00216E4E">
      <w:pPr>
        <w:pStyle w:val="Heading1"/>
      </w:pPr>
      <w:bookmarkStart w:id="17" w:name="_Toc77250475"/>
      <w:r w:rsidRPr="00CA6A0D">
        <w:lastRenderedPageBreak/>
        <w:t>Comments on Results</w:t>
      </w:r>
      <w:bookmarkEnd w:id="17"/>
    </w:p>
    <w:p w14:paraId="75BFD6D1" w14:textId="7F552B36" w:rsidR="007953BE" w:rsidRPr="00CA6A0D" w:rsidRDefault="007953BE" w:rsidP="007953BE">
      <w:pPr>
        <w:pStyle w:val="BodyText"/>
      </w:pPr>
      <w:r w:rsidRPr="00CA6A0D">
        <w:t xml:space="preserve">On a </w:t>
      </w:r>
      <w:r w:rsidR="007C62AE" w:rsidRPr="00CA6A0D">
        <w:t>5</w:t>
      </w:r>
      <w:r w:rsidRPr="00CA6A0D">
        <w:t>% discount rate basis, th</w:t>
      </w:r>
      <w:r w:rsidR="00A0695D" w:rsidRPr="00CA6A0D">
        <w:t xml:space="preserve">e closing balance </w:t>
      </w:r>
      <w:r w:rsidR="00E57B1E" w:rsidRPr="00CA6A0D">
        <w:t xml:space="preserve">of the receivable </w:t>
      </w:r>
      <w:r w:rsidR="00B1623D" w:rsidRPr="00CA6A0D">
        <w:t>is around</w:t>
      </w:r>
      <w:r w:rsidRPr="00CA6A0D">
        <w:t xml:space="preserve"> </w:t>
      </w:r>
      <w:r w:rsidR="008F65BD" w:rsidRPr="00CA6A0D">
        <w:t>$</w:t>
      </w:r>
      <w:r w:rsidR="008656CA">
        <w:t>4.9</w:t>
      </w:r>
      <w:r w:rsidR="00764736" w:rsidRPr="00CA6A0D">
        <w:t xml:space="preserve"> </w:t>
      </w:r>
      <w:r w:rsidRPr="00CA6A0D">
        <w:t>billion</w:t>
      </w:r>
      <w:r w:rsidR="00A0695D" w:rsidRPr="00CA6A0D">
        <w:t xml:space="preserve"> </w:t>
      </w:r>
      <w:r w:rsidR="00F962B0" w:rsidRPr="00CA6A0D">
        <w:t>high</w:t>
      </w:r>
      <w:r w:rsidR="0017060A" w:rsidRPr="00CA6A0D">
        <w:t>e</w:t>
      </w:r>
      <w:r w:rsidRPr="00CA6A0D">
        <w:t xml:space="preserve">r than the estimate of the receivable provided in </w:t>
      </w:r>
      <w:r w:rsidR="007E3E32" w:rsidRPr="00CA6A0D">
        <w:t>2020</w:t>
      </w:r>
      <w:r w:rsidRPr="00CA6A0D">
        <w:t xml:space="preserve">.  </w:t>
      </w:r>
      <w:r w:rsidR="00ED2771" w:rsidRPr="00CA6A0D">
        <w:t xml:space="preserve">While </w:t>
      </w:r>
      <w:r w:rsidR="0017060A" w:rsidRPr="00CA6A0D">
        <w:t xml:space="preserve">an increase would normally be expected </w:t>
      </w:r>
      <w:r w:rsidRPr="00CA6A0D">
        <w:t>due to the additional debt incurred over the course of the year</w:t>
      </w:r>
      <w:r w:rsidR="00ED2771" w:rsidRPr="00CA6A0D">
        <w:t xml:space="preserve">, </w:t>
      </w:r>
      <w:r w:rsidR="00B81830" w:rsidRPr="00CA6A0D">
        <w:t xml:space="preserve">the </w:t>
      </w:r>
      <w:r w:rsidR="00F42F8B" w:rsidRPr="00CA6A0D">
        <w:t>value has also increased due to the upgraded</w:t>
      </w:r>
      <w:r w:rsidR="00B81830" w:rsidRPr="00CA6A0D">
        <w:t xml:space="preserve"> </w:t>
      </w:r>
      <w:r w:rsidR="00ED2771" w:rsidRPr="00CA6A0D">
        <w:t xml:space="preserve">wage growth and CPI assumptions </w:t>
      </w:r>
      <w:r w:rsidR="00F42F8B" w:rsidRPr="00CA6A0D">
        <w:t xml:space="preserve">offset by a further </w:t>
      </w:r>
      <w:r w:rsidR="00ED2771" w:rsidRPr="00CA6A0D">
        <w:t xml:space="preserve">increase in irrecoverable VET debt. </w:t>
      </w:r>
      <w:r w:rsidR="00A0695D" w:rsidRPr="00CA6A0D">
        <w:t>T</w:t>
      </w:r>
      <w:r w:rsidRPr="00CA6A0D">
        <w:t xml:space="preserve">he </w:t>
      </w:r>
      <w:r w:rsidR="00A0695D" w:rsidRPr="00CA6A0D">
        <w:t>incorporation</w:t>
      </w:r>
      <w:r w:rsidRPr="00CA6A0D">
        <w:t xml:space="preserve"> of an additional year of income data</w:t>
      </w:r>
      <w:r w:rsidR="00A0695D" w:rsidRPr="00CA6A0D">
        <w:t xml:space="preserve"> </w:t>
      </w:r>
      <w:r w:rsidR="008F65BD" w:rsidRPr="00CA6A0D">
        <w:t xml:space="preserve">in our </w:t>
      </w:r>
      <w:r w:rsidR="007E3E32" w:rsidRPr="00CA6A0D">
        <w:t>2020</w:t>
      </w:r>
      <w:r w:rsidR="008F65BD" w:rsidRPr="00CA6A0D">
        <w:t xml:space="preserve"> model </w:t>
      </w:r>
      <w:r w:rsidR="00A0695D" w:rsidRPr="00CA6A0D">
        <w:t>has had a</w:t>
      </w:r>
      <w:r w:rsidR="00ED2771" w:rsidRPr="00CA6A0D">
        <w:t xml:space="preserve"> positive </w:t>
      </w:r>
      <w:r w:rsidR="00A0695D" w:rsidRPr="00CA6A0D">
        <w:t>impact on the receivable</w:t>
      </w:r>
      <w:r w:rsidRPr="00CA6A0D">
        <w:t xml:space="preserve"> relative to what we were projecting based on the 201</w:t>
      </w:r>
      <w:r w:rsidR="00F42F8B" w:rsidRPr="00CA6A0D">
        <w:t>9</w:t>
      </w:r>
      <w:r w:rsidRPr="00CA6A0D">
        <w:t xml:space="preserve"> model using the </w:t>
      </w:r>
      <w:r w:rsidR="00ED2771" w:rsidRPr="00CA6A0D">
        <w:t>5</w:t>
      </w:r>
      <w:r w:rsidRPr="00CA6A0D">
        <w:t xml:space="preserve">% discount rate.  </w:t>
      </w:r>
    </w:p>
    <w:p w14:paraId="5BA0FC58" w14:textId="67D68BF2" w:rsidR="00645392" w:rsidRPr="00CA6A0D" w:rsidRDefault="00F42F8B" w:rsidP="001A2BC0">
      <w:pPr>
        <w:pStyle w:val="BodyText"/>
      </w:pPr>
      <w:r w:rsidRPr="00CA6A0D">
        <w:t>F</w:t>
      </w:r>
      <w:r w:rsidR="00683F9A" w:rsidRPr="00CA6A0D">
        <w:t xml:space="preserve">or non-VET debtors, the impairment on new debt </w:t>
      </w:r>
      <w:r w:rsidR="001A2BC0" w:rsidRPr="00CA6A0D">
        <w:t>relating to</w:t>
      </w:r>
      <w:r w:rsidR="00683F9A" w:rsidRPr="00CA6A0D">
        <w:t xml:space="preserve"> DNER is estimated to </w:t>
      </w:r>
      <w:r w:rsidRPr="00CA6A0D">
        <w:t xml:space="preserve">have increased slightly </w:t>
      </w:r>
      <w:r w:rsidR="00B81830" w:rsidRPr="00CA6A0D">
        <w:t>from what it</w:t>
      </w:r>
      <w:r w:rsidRPr="00CA6A0D">
        <w:t>’s pre COVID-19 adjusted level</w:t>
      </w:r>
      <w:r w:rsidR="00B81830" w:rsidRPr="00CA6A0D">
        <w:t xml:space="preserve"> </w:t>
      </w:r>
      <w:r w:rsidR="00683F9A" w:rsidRPr="00CA6A0D">
        <w:t xml:space="preserve">in </w:t>
      </w:r>
      <w:r w:rsidR="007E3E32" w:rsidRPr="00CA6A0D">
        <w:t>2020</w:t>
      </w:r>
      <w:r w:rsidR="00F7435A" w:rsidRPr="00CA6A0D">
        <w:t xml:space="preserve"> (1</w:t>
      </w:r>
      <w:r w:rsidRPr="00CA6A0D">
        <w:t>5.1</w:t>
      </w:r>
      <w:r w:rsidR="00683F9A" w:rsidRPr="00CA6A0D">
        <w:t xml:space="preserve">% in </w:t>
      </w:r>
      <w:r w:rsidR="007E3E32" w:rsidRPr="00CA6A0D">
        <w:t>2021</w:t>
      </w:r>
      <w:r w:rsidR="00906C46" w:rsidRPr="00CA6A0D">
        <w:t xml:space="preserve"> </w:t>
      </w:r>
      <w:r w:rsidR="00471D78" w:rsidRPr="00CA6A0D">
        <w:t>and</w:t>
      </w:r>
      <w:r w:rsidR="00906C46" w:rsidRPr="00CA6A0D">
        <w:t xml:space="preserve"> 1</w:t>
      </w:r>
      <w:r w:rsidR="00B81830" w:rsidRPr="00CA6A0D">
        <w:t>4.7</w:t>
      </w:r>
      <w:r w:rsidR="00683F9A" w:rsidRPr="00CA6A0D">
        <w:t xml:space="preserve">% in </w:t>
      </w:r>
      <w:r w:rsidR="007E3E32" w:rsidRPr="00CA6A0D">
        <w:t>2020</w:t>
      </w:r>
      <w:r w:rsidR="00683F9A" w:rsidRPr="00CA6A0D">
        <w:t>)</w:t>
      </w:r>
      <w:r w:rsidR="00C54A79" w:rsidRPr="00CA6A0D">
        <w:t xml:space="preserve">. </w:t>
      </w:r>
    </w:p>
    <w:p w14:paraId="49FDB5E0" w14:textId="5637F66F" w:rsidR="001A2BC0" w:rsidRPr="00CA6A0D" w:rsidRDefault="00645392" w:rsidP="00645392">
      <w:pPr>
        <w:pStyle w:val="BodyText"/>
        <w:numPr>
          <w:ilvl w:val="0"/>
          <w:numId w:val="0"/>
        </w:numPr>
        <w:ind w:left="850"/>
        <w:rPr>
          <w:i/>
        </w:rPr>
      </w:pPr>
      <w:r w:rsidRPr="00CA6A0D">
        <w:rPr>
          <w:i/>
        </w:rPr>
        <w:t>VET</w:t>
      </w:r>
      <w:r w:rsidR="001A2BC0" w:rsidRPr="00CA6A0D">
        <w:rPr>
          <w:i/>
        </w:rPr>
        <w:t xml:space="preserve"> </w:t>
      </w:r>
    </w:p>
    <w:p w14:paraId="25374086" w14:textId="5872BCCA" w:rsidR="00677779" w:rsidRPr="00CA6A0D" w:rsidRDefault="001A2BC0" w:rsidP="007953BE">
      <w:pPr>
        <w:pStyle w:val="BodyText"/>
      </w:pPr>
      <w:r w:rsidRPr="00CA6A0D">
        <w:t xml:space="preserve">The VET system </w:t>
      </w:r>
      <w:r w:rsidR="00CC35FA" w:rsidRPr="00CA6A0D">
        <w:t>continues to</w:t>
      </w:r>
      <w:r w:rsidR="00AB72C8" w:rsidRPr="00CA6A0D">
        <w:t xml:space="preserve"> transition</w:t>
      </w:r>
      <w:r w:rsidRPr="00CA6A0D">
        <w:t xml:space="preserve"> from VFH to VSL</w:t>
      </w:r>
      <w:r w:rsidR="00A677A4" w:rsidRPr="00CA6A0D">
        <w:t xml:space="preserve"> with new debts </w:t>
      </w:r>
      <w:r w:rsidR="00471D78" w:rsidRPr="00CA6A0D">
        <w:t xml:space="preserve">now all </w:t>
      </w:r>
      <w:r w:rsidR="00A677A4" w:rsidRPr="00CA6A0D">
        <w:t>coming from the new VSL program</w:t>
      </w:r>
      <w:r w:rsidR="00560E94" w:rsidRPr="00CA6A0D">
        <w:t>.</w:t>
      </w:r>
      <w:r w:rsidRPr="00CA6A0D">
        <w:t xml:space="preserve">  </w:t>
      </w:r>
      <w:r w:rsidR="00560E94" w:rsidRPr="00CA6A0D">
        <w:t>The t</w:t>
      </w:r>
      <w:r w:rsidRPr="00CA6A0D">
        <w:t xml:space="preserve">ake-up of loans continues to be lower since the closure of VFH to new students and </w:t>
      </w:r>
      <w:r w:rsidR="00560E94" w:rsidRPr="00CA6A0D">
        <w:t xml:space="preserve">the </w:t>
      </w:r>
      <w:r w:rsidRPr="00CA6A0D">
        <w:t>introduction of VSL</w:t>
      </w:r>
      <w:r w:rsidR="00677779" w:rsidRPr="00CA6A0D">
        <w:t xml:space="preserve">.  </w:t>
      </w:r>
    </w:p>
    <w:p w14:paraId="53B3089B" w14:textId="4FF96510" w:rsidR="004C6D70" w:rsidRPr="00CA6A0D" w:rsidRDefault="00471D78" w:rsidP="000A1220">
      <w:pPr>
        <w:pStyle w:val="BodyText"/>
      </w:pPr>
      <w:r w:rsidRPr="00CA6A0D">
        <w:t xml:space="preserve">Last year we chose to </w:t>
      </w:r>
      <w:r w:rsidR="004C6D70" w:rsidRPr="00CA6A0D">
        <w:t>ad</w:t>
      </w:r>
      <w:r w:rsidRPr="00CA6A0D">
        <w:t xml:space="preserve">opt a </w:t>
      </w:r>
      <w:r w:rsidR="00CC35FA" w:rsidRPr="00CA6A0D">
        <w:t xml:space="preserve">DNER assumption of </w:t>
      </w:r>
      <w:r w:rsidR="00CA6A0D" w:rsidRPr="00CA6A0D">
        <w:t>4</w:t>
      </w:r>
      <w:r w:rsidR="004C6D70" w:rsidRPr="00CA6A0D">
        <w:t xml:space="preserve">5% for new VET debt from </w:t>
      </w:r>
      <w:r w:rsidR="00124E9D" w:rsidRPr="00CA6A0D">
        <w:t>201</w:t>
      </w:r>
      <w:r w:rsidR="00CA6A0D" w:rsidRPr="00CA6A0D">
        <w:t xml:space="preserve">9-20. </w:t>
      </w:r>
      <w:r w:rsidR="001A64BC" w:rsidRPr="00CA6A0D">
        <w:t>This assumption r</w:t>
      </w:r>
      <w:r w:rsidR="005629F6" w:rsidRPr="00CA6A0D">
        <w:t>ecognis</w:t>
      </w:r>
      <w:r w:rsidR="001A64BC" w:rsidRPr="00CA6A0D">
        <w:t>e</w:t>
      </w:r>
      <w:r w:rsidR="008F65BD" w:rsidRPr="00CA6A0D">
        <w:t>d</w:t>
      </w:r>
      <w:r w:rsidR="001A64BC" w:rsidRPr="00CA6A0D">
        <w:t xml:space="preserve"> t</w:t>
      </w:r>
      <w:r w:rsidR="005629F6" w:rsidRPr="00CA6A0D">
        <w:t>he different design elements of the VSL program relative t</w:t>
      </w:r>
      <w:r w:rsidR="008F65BD" w:rsidRPr="00CA6A0D">
        <w:t xml:space="preserve">o VFH, drawing on work we </w:t>
      </w:r>
      <w:r w:rsidR="005629F6" w:rsidRPr="00CA6A0D">
        <w:t>undert</w:t>
      </w:r>
      <w:r w:rsidR="008F65BD" w:rsidRPr="00CA6A0D">
        <w:t xml:space="preserve">ook previously </w:t>
      </w:r>
      <w:r w:rsidR="00CC4CEC" w:rsidRPr="00CA6A0D">
        <w:t>looking at the experience of early VFH completion cohorts</w:t>
      </w:r>
      <w:r w:rsidR="00AC09FE" w:rsidRPr="00CA6A0D">
        <w:t xml:space="preserve"> to infer potential VSL outcomes</w:t>
      </w:r>
      <w:r w:rsidR="000825A5" w:rsidRPr="00CA6A0D">
        <w:t xml:space="preserve">. </w:t>
      </w:r>
      <w:r w:rsidR="00CA6A0D" w:rsidRPr="00CA6A0D">
        <w:t>It also recognised that the repayment of this debt does not take place until all other HELP and VET debts have been repaid.</w:t>
      </w:r>
    </w:p>
    <w:p w14:paraId="43C2AF5C" w14:textId="1BECCAF1" w:rsidR="00916A31" w:rsidRPr="00CA6A0D" w:rsidRDefault="00CA6A0D" w:rsidP="000A1220">
      <w:pPr>
        <w:pStyle w:val="BodyText"/>
      </w:pPr>
      <w:r w:rsidRPr="00CA6A0D">
        <w:t>As described earlier, we have reduced this value to 30% this year, recognising the improved economic outlook and updated modelling, including the use of more recent VSL income data.</w:t>
      </w:r>
    </w:p>
    <w:p w14:paraId="165DF76E" w14:textId="1078F285" w:rsidR="009C3E68" w:rsidRPr="00CA6A0D" w:rsidRDefault="00CC4CEC" w:rsidP="007953BE">
      <w:pPr>
        <w:pStyle w:val="BodyText"/>
      </w:pPr>
      <w:r w:rsidRPr="00CA6A0D">
        <w:t xml:space="preserve">I note that there is significant uncertainty around how VSL might ultimately play out and that we do not yet have </w:t>
      </w:r>
      <w:r w:rsidR="0030000C" w:rsidRPr="00CA6A0D">
        <w:t xml:space="preserve">sufficient post completion income data </w:t>
      </w:r>
      <w:r w:rsidRPr="00CA6A0D">
        <w:t xml:space="preserve">to support </w:t>
      </w:r>
      <w:r w:rsidR="00005479" w:rsidRPr="00CA6A0D">
        <w:t xml:space="preserve">associated </w:t>
      </w:r>
      <w:r w:rsidR="00520823" w:rsidRPr="00CA6A0D">
        <w:t>DNER assumption</w:t>
      </w:r>
      <w:r w:rsidR="00005479" w:rsidRPr="00CA6A0D">
        <w:t>s</w:t>
      </w:r>
      <w:r w:rsidR="000825A5" w:rsidRPr="00CA6A0D">
        <w:t xml:space="preserve">. As such, </w:t>
      </w:r>
      <w:r w:rsidRPr="00CA6A0D">
        <w:t xml:space="preserve">it will likely be a number of years before sufficient data exists to further refine this assumption.  </w:t>
      </w:r>
      <w:r w:rsidR="0089007E" w:rsidRPr="00CA6A0D">
        <w:t xml:space="preserve">  </w:t>
      </w:r>
    </w:p>
    <w:p w14:paraId="03CD859A" w14:textId="77777777" w:rsidR="00645392" w:rsidRPr="00CA6A0D" w:rsidRDefault="00645392" w:rsidP="00645392">
      <w:pPr>
        <w:pStyle w:val="BodyText"/>
        <w:numPr>
          <w:ilvl w:val="0"/>
          <w:numId w:val="0"/>
        </w:numPr>
        <w:ind w:left="850"/>
        <w:rPr>
          <w:i/>
        </w:rPr>
      </w:pPr>
      <w:r w:rsidRPr="00CA6A0D">
        <w:rPr>
          <w:i/>
        </w:rPr>
        <w:t>Legislation</w:t>
      </w:r>
    </w:p>
    <w:p w14:paraId="25D6D207" w14:textId="326B89D5" w:rsidR="00441B19" w:rsidRPr="00CA6A0D" w:rsidRDefault="00441B19" w:rsidP="00645392">
      <w:pPr>
        <w:pStyle w:val="BodyText"/>
      </w:pPr>
      <w:r w:rsidRPr="00CA6A0D">
        <w:t>There were no changes to l</w:t>
      </w:r>
      <w:r w:rsidR="0089007E" w:rsidRPr="00CA6A0D">
        <w:t xml:space="preserve">egislation </w:t>
      </w:r>
      <w:r w:rsidRPr="00CA6A0D">
        <w:t>over the past year</w:t>
      </w:r>
      <w:r w:rsidR="006B4B09">
        <w:t xml:space="preserve"> that have impacted on our calculations</w:t>
      </w:r>
      <w:r w:rsidRPr="00CA6A0D">
        <w:t xml:space="preserve">, following the significant changes adopted </w:t>
      </w:r>
      <w:r w:rsidR="00CA6A0D" w:rsidRPr="00CA6A0D">
        <w:t>in 2019</w:t>
      </w:r>
      <w:r w:rsidRPr="00CA6A0D">
        <w:t xml:space="preserve"> involving </w:t>
      </w:r>
      <w:r w:rsidR="00CD3447" w:rsidRPr="00CA6A0D">
        <w:t xml:space="preserve">a </w:t>
      </w:r>
      <w:r w:rsidR="00076FF3" w:rsidRPr="00CA6A0D">
        <w:t xml:space="preserve">widening of the repayment thresholds as well as indexing </w:t>
      </w:r>
      <w:r w:rsidR="00DC14FC" w:rsidRPr="00CA6A0D">
        <w:t xml:space="preserve">thresholds </w:t>
      </w:r>
      <w:r w:rsidR="00076FF3" w:rsidRPr="00CA6A0D">
        <w:t>in line with movements in CPI</w:t>
      </w:r>
      <w:r w:rsidRPr="00CA6A0D">
        <w:t>.</w:t>
      </w:r>
    </w:p>
    <w:p w14:paraId="0C8FEF70" w14:textId="66323C8A" w:rsidR="00BC0E07" w:rsidRPr="00CA6A0D" w:rsidRDefault="00BC0E07" w:rsidP="00BC0E07">
      <w:pPr>
        <w:pStyle w:val="BodyText"/>
        <w:numPr>
          <w:ilvl w:val="0"/>
          <w:numId w:val="0"/>
        </w:numPr>
        <w:ind w:left="850"/>
      </w:pPr>
    </w:p>
    <w:p w14:paraId="304974CB" w14:textId="0D12507D" w:rsidR="00CA6A0D" w:rsidRPr="00CA6A0D" w:rsidRDefault="00CA6A0D" w:rsidP="00BC0E07">
      <w:pPr>
        <w:pStyle w:val="BodyText"/>
        <w:numPr>
          <w:ilvl w:val="0"/>
          <w:numId w:val="0"/>
        </w:numPr>
        <w:ind w:left="850"/>
      </w:pPr>
    </w:p>
    <w:p w14:paraId="12A67C7E" w14:textId="77777777" w:rsidR="00CA6A0D" w:rsidRPr="00CA6A0D" w:rsidRDefault="00CA6A0D" w:rsidP="00BC0E07">
      <w:pPr>
        <w:pStyle w:val="BodyText"/>
        <w:numPr>
          <w:ilvl w:val="0"/>
          <w:numId w:val="0"/>
        </w:numPr>
        <w:ind w:left="850"/>
      </w:pPr>
    </w:p>
    <w:p w14:paraId="35B68E5C" w14:textId="77777777" w:rsidR="00BC0E07" w:rsidRPr="00CA6A0D" w:rsidRDefault="00BC0E07" w:rsidP="00BC0E07">
      <w:pPr>
        <w:pStyle w:val="BodyText"/>
        <w:numPr>
          <w:ilvl w:val="0"/>
          <w:numId w:val="0"/>
        </w:numPr>
        <w:ind w:left="850"/>
      </w:pPr>
    </w:p>
    <w:p w14:paraId="09A146C5" w14:textId="713C087D" w:rsidR="008F65BD" w:rsidRPr="00CA6A0D" w:rsidRDefault="00BC0E07" w:rsidP="008F65BD">
      <w:pPr>
        <w:pStyle w:val="BodyText"/>
        <w:numPr>
          <w:ilvl w:val="0"/>
          <w:numId w:val="0"/>
        </w:numPr>
        <w:ind w:left="850"/>
        <w:rPr>
          <w:i/>
        </w:rPr>
      </w:pPr>
      <w:r w:rsidRPr="00CA6A0D">
        <w:rPr>
          <w:i/>
        </w:rPr>
        <w:t>Yield Curve</w:t>
      </w:r>
    </w:p>
    <w:p w14:paraId="39AD737A" w14:textId="64F4FA3C" w:rsidR="007953BE" w:rsidRPr="00CA6A0D" w:rsidRDefault="007953BE" w:rsidP="007953BE">
      <w:pPr>
        <w:pStyle w:val="BodyText"/>
      </w:pPr>
      <w:r w:rsidRPr="00CA6A0D">
        <w:t>Yields on Commonwealth bonds were</w:t>
      </w:r>
      <w:r w:rsidR="00CA6A0D" w:rsidRPr="00CA6A0D">
        <w:t xml:space="preserve"> higher</w:t>
      </w:r>
      <w:r w:rsidR="00096D5B" w:rsidRPr="00CA6A0D">
        <w:t xml:space="preserve"> in </w:t>
      </w:r>
      <w:r w:rsidRPr="00CA6A0D">
        <w:t xml:space="preserve">June </w:t>
      </w:r>
      <w:r w:rsidR="007E3E32" w:rsidRPr="00CA6A0D">
        <w:t>2021</w:t>
      </w:r>
      <w:r w:rsidRPr="00CA6A0D">
        <w:t xml:space="preserve"> compared to 30 June </w:t>
      </w:r>
      <w:r w:rsidR="007E3E32" w:rsidRPr="00CA6A0D">
        <w:t>2020</w:t>
      </w:r>
      <w:r w:rsidR="00906C46" w:rsidRPr="00CA6A0D">
        <w:t xml:space="preserve">. </w:t>
      </w:r>
      <w:r w:rsidR="00096D5B" w:rsidRPr="00CA6A0D">
        <w:t xml:space="preserve">This year we have </w:t>
      </w:r>
      <w:r w:rsidR="00441B19" w:rsidRPr="00CA6A0D">
        <w:t xml:space="preserve">again </w:t>
      </w:r>
      <w:r w:rsidR="00096D5B" w:rsidRPr="00CA6A0D">
        <w:t xml:space="preserve">chosen to represent the respective yield curves by calculating equivalent single discount rates. The </w:t>
      </w:r>
      <w:r w:rsidR="00CA6A0D" w:rsidRPr="00CA6A0D">
        <w:t>increase</w:t>
      </w:r>
      <w:r w:rsidR="00096D5B" w:rsidRPr="00CA6A0D">
        <w:t xml:space="preserve"> in the </w:t>
      </w:r>
      <w:r w:rsidR="007E3E32" w:rsidRPr="00CA6A0D">
        <w:t>2020</w:t>
      </w:r>
      <w:r w:rsidR="00096D5B" w:rsidRPr="00CA6A0D">
        <w:t xml:space="preserve"> rate of </w:t>
      </w:r>
      <w:r w:rsidR="00441B19" w:rsidRPr="00CA6A0D">
        <w:t>1.</w:t>
      </w:r>
      <w:r w:rsidR="00CA6A0D" w:rsidRPr="00CA6A0D">
        <w:t>30</w:t>
      </w:r>
      <w:r w:rsidR="00096D5B" w:rsidRPr="00CA6A0D">
        <w:t xml:space="preserve">% </w:t>
      </w:r>
      <w:r w:rsidR="00DC14FC" w:rsidRPr="00CA6A0D">
        <w:t xml:space="preserve">per annum </w:t>
      </w:r>
      <w:r w:rsidR="00096D5B" w:rsidRPr="00CA6A0D">
        <w:t xml:space="preserve">to the current rate of </w:t>
      </w:r>
      <w:r w:rsidR="00290F8F" w:rsidRPr="00CA6A0D">
        <w:t>1.</w:t>
      </w:r>
      <w:r w:rsidR="00CA6A0D" w:rsidRPr="00CA6A0D">
        <w:t>72</w:t>
      </w:r>
      <w:r w:rsidR="00290F8F" w:rsidRPr="00CA6A0D">
        <w:t xml:space="preserve">% </w:t>
      </w:r>
      <w:r w:rsidR="00DC14FC" w:rsidRPr="00CA6A0D">
        <w:t xml:space="preserve">per annum </w:t>
      </w:r>
      <w:r w:rsidR="00096D5B" w:rsidRPr="00CA6A0D">
        <w:t xml:space="preserve">has </w:t>
      </w:r>
      <w:r w:rsidR="00906C46" w:rsidRPr="00CA6A0D">
        <w:t xml:space="preserve">resulted in a </w:t>
      </w:r>
      <w:r w:rsidR="00916A31" w:rsidRPr="00CA6A0D">
        <w:t>$</w:t>
      </w:r>
      <w:r w:rsidR="00CA6A0D" w:rsidRPr="00CA6A0D">
        <w:t>2.1</w:t>
      </w:r>
      <w:r w:rsidR="00906C46" w:rsidRPr="00CA6A0D">
        <w:t xml:space="preserve"> billion</w:t>
      </w:r>
      <w:r w:rsidRPr="00CA6A0D">
        <w:t xml:space="preserve"> </w:t>
      </w:r>
      <w:r w:rsidR="00906C46" w:rsidRPr="00CA6A0D">
        <w:t xml:space="preserve">increase </w:t>
      </w:r>
      <w:r w:rsidRPr="00CA6A0D">
        <w:t xml:space="preserve">in the receivable.  </w:t>
      </w:r>
    </w:p>
    <w:p w14:paraId="103FDB10" w14:textId="610178DF" w:rsidR="00A51152" w:rsidRPr="00CA6A0D" w:rsidRDefault="004B4B4B" w:rsidP="007953BE">
      <w:pPr>
        <w:pStyle w:val="BodyText"/>
      </w:pPr>
      <w:r w:rsidRPr="00CA6A0D">
        <w:t xml:space="preserve">As always, I would emphasise the uncertainty associated with estimates based on projecting incomes up to 45 years into the future.  The higher debts that are now </w:t>
      </w:r>
      <w:r w:rsidR="00020308" w:rsidRPr="00CA6A0D">
        <w:t xml:space="preserve">being </w:t>
      </w:r>
      <w:r w:rsidRPr="00CA6A0D">
        <w:t>incurred mean that repayments span an increasingly longer period and the results are therefore more sensitive to income projections further into the future, which are inherently subject to greater uncertainty.  The margin of error around the results is therefore substantial.</w:t>
      </w:r>
      <w:r w:rsidR="00BC0E07" w:rsidRPr="00CA6A0D">
        <w:t xml:space="preserve"> </w:t>
      </w:r>
      <w:r w:rsidRPr="00CA6A0D">
        <w:t>Nonetheless, I consider that the value of the receivable reported here falls within the range of reasonable estimates.</w:t>
      </w:r>
    </w:p>
    <w:p w14:paraId="7CC3B147" w14:textId="77777777" w:rsidR="005F3F4D" w:rsidRPr="00CA6A0D" w:rsidRDefault="005F3F4D" w:rsidP="005F3F4D">
      <w:pPr>
        <w:rPr>
          <w:highlight w:val="yellow"/>
        </w:rPr>
      </w:pPr>
    </w:p>
    <w:p w14:paraId="7A74E108" w14:textId="416A6D0D" w:rsidR="00B40C52" w:rsidRPr="00D260A1" w:rsidRDefault="00D260A1" w:rsidP="005F3F4D">
      <w:r w:rsidRPr="00D260A1">
        <w:rPr>
          <w:noProof/>
        </w:rPr>
        <w:drawing>
          <wp:inline distT="0" distB="0" distL="0" distR="0" wp14:anchorId="15D637E5" wp14:editId="7940AE44">
            <wp:extent cx="13906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809625"/>
                    </a:xfrm>
                    <a:prstGeom prst="rect">
                      <a:avLst/>
                    </a:prstGeom>
                    <a:noFill/>
                  </pic:spPr>
                </pic:pic>
              </a:graphicData>
            </a:graphic>
          </wp:inline>
        </w:drawing>
      </w:r>
    </w:p>
    <w:p w14:paraId="70E9F401" w14:textId="77777777" w:rsidR="008D2DA9" w:rsidRPr="00CA6A0D" w:rsidRDefault="00DA1AE9" w:rsidP="00777380">
      <w:pPr>
        <w:pStyle w:val="signaturename"/>
        <w:spacing w:before="0" w:line="240" w:lineRule="auto"/>
      </w:pPr>
      <w:bookmarkStart w:id="18" w:name="Name"/>
      <w:bookmarkEnd w:id="18"/>
      <w:r w:rsidRPr="00CA6A0D">
        <w:t>Stuart Mules</w:t>
      </w:r>
    </w:p>
    <w:p w14:paraId="5A42AD31" w14:textId="2438065B" w:rsidR="00D01E2F" w:rsidRPr="00CA6A0D" w:rsidRDefault="00CA6A0D" w:rsidP="00777380">
      <w:pPr>
        <w:pStyle w:val="SinglePara"/>
      </w:pPr>
      <w:bookmarkStart w:id="19" w:name="Position"/>
      <w:bookmarkEnd w:id="19"/>
      <w:r>
        <w:t xml:space="preserve">Senior </w:t>
      </w:r>
      <w:r w:rsidR="003677D5" w:rsidRPr="00CA6A0D">
        <w:t xml:space="preserve">Actuary </w:t>
      </w:r>
    </w:p>
    <w:p w14:paraId="4AFB211E" w14:textId="77777777" w:rsidR="00D01E2F" w:rsidRPr="00CA6A0D" w:rsidRDefault="00D01E2F" w:rsidP="00D708A2">
      <w:pPr>
        <w:pStyle w:val="SinglePara"/>
        <w:spacing w:after="120" w:line="240" w:lineRule="auto"/>
        <w:rPr>
          <w:highlight w:val="yellow"/>
        </w:rPr>
      </w:pPr>
    </w:p>
    <w:p w14:paraId="1F326074" w14:textId="77777777" w:rsidR="00576494" w:rsidRPr="00CA6A0D" w:rsidRDefault="00576494" w:rsidP="00D708A2">
      <w:pPr>
        <w:pStyle w:val="SinglePara"/>
        <w:spacing w:after="120" w:line="240" w:lineRule="auto"/>
        <w:rPr>
          <w:highlight w:val="yellow"/>
        </w:rPr>
      </w:pPr>
    </w:p>
    <w:p w14:paraId="6AAB12D6" w14:textId="4771BF7C" w:rsidR="00B870DA" w:rsidRPr="00CA6A0D" w:rsidRDefault="008656CA" w:rsidP="003034E9">
      <w:pPr>
        <w:pStyle w:val="SinglePara"/>
        <w:spacing w:after="360"/>
      </w:pPr>
      <w:r>
        <w:t>2</w:t>
      </w:r>
      <w:r w:rsidR="00D260A1">
        <w:t>9</w:t>
      </w:r>
      <w:r w:rsidR="005C1BCB" w:rsidRPr="00CA6A0D">
        <w:t xml:space="preserve"> July</w:t>
      </w:r>
      <w:r w:rsidR="00E45B57" w:rsidRPr="00CA6A0D">
        <w:t xml:space="preserve"> </w:t>
      </w:r>
      <w:r w:rsidR="007E3E32" w:rsidRPr="00CA6A0D">
        <w:t>2021</w:t>
      </w:r>
    </w:p>
    <w:p w14:paraId="3FFE8DA2" w14:textId="77777777" w:rsidR="00B870DA" w:rsidRPr="00CA6A0D" w:rsidRDefault="00B870DA">
      <w:pPr>
        <w:spacing w:before="0" w:after="0" w:line="240" w:lineRule="auto"/>
        <w:jc w:val="left"/>
      </w:pPr>
      <w:r w:rsidRPr="00CA6A0D">
        <w:br w:type="page"/>
      </w:r>
    </w:p>
    <w:p w14:paraId="238C5D4A" w14:textId="77777777" w:rsidR="00DB38A6" w:rsidRPr="001135A2" w:rsidRDefault="00DB38A6" w:rsidP="00DB38A6">
      <w:pPr>
        <w:pStyle w:val="ReportTitle"/>
        <w:spacing w:before="0"/>
        <w:jc w:val="left"/>
      </w:pPr>
      <w:r w:rsidRPr="001135A2">
        <w:lastRenderedPageBreak/>
        <w:t xml:space="preserve">Appendix  </w:t>
      </w:r>
    </w:p>
    <w:p w14:paraId="5AE3A6C3" w14:textId="77777777" w:rsidR="00DB38A6" w:rsidRPr="001135A2" w:rsidRDefault="00DB38A6" w:rsidP="00DB38A6">
      <w:pPr>
        <w:pStyle w:val="Caption"/>
        <w:ind w:firstLine="851"/>
      </w:pPr>
      <w:r w:rsidRPr="001135A2">
        <w:t xml:space="preserve">Table </w:t>
      </w:r>
      <w:r w:rsidR="00C17C19" w:rsidRPr="001135A2">
        <w:t>12</w:t>
      </w:r>
      <w:r w:rsidRPr="001135A2">
        <w:t>: Accounting Disclosures Table</w:t>
      </w:r>
    </w:p>
    <w:tbl>
      <w:tblPr>
        <w:tblW w:w="8647" w:type="dxa"/>
        <w:tblInd w:w="142" w:type="dxa"/>
        <w:tblLook w:val="01E0" w:firstRow="1" w:lastRow="1" w:firstColumn="1" w:lastColumn="1" w:noHBand="0" w:noVBand="0"/>
      </w:tblPr>
      <w:tblGrid>
        <w:gridCol w:w="683"/>
        <w:gridCol w:w="5554"/>
        <w:gridCol w:w="2410"/>
      </w:tblGrid>
      <w:tr w:rsidR="00A70050" w:rsidRPr="001135A2" w14:paraId="52A38560" w14:textId="77777777" w:rsidTr="00B1623D">
        <w:trPr>
          <w:trHeight w:val="255"/>
          <w:tblHeader/>
        </w:trPr>
        <w:tc>
          <w:tcPr>
            <w:tcW w:w="683" w:type="dxa"/>
            <w:tcBorders>
              <w:bottom w:val="single" w:sz="4" w:space="0" w:color="auto"/>
            </w:tcBorders>
          </w:tcPr>
          <w:p w14:paraId="6A818099" w14:textId="77777777" w:rsidR="00DB38A6" w:rsidRPr="001135A2" w:rsidRDefault="00DB38A6" w:rsidP="00C62973">
            <w:pPr>
              <w:keepNext/>
              <w:jc w:val="left"/>
              <w:rPr>
                <w:rFonts w:cs="Arial"/>
                <w:lang w:eastAsia="en-AU"/>
              </w:rPr>
            </w:pPr>
          </w:p>
        </w:tc>
        <w:tc>
          <w:tcPr>
            <w:tcW w:w="5554" w:type="dxa"/>
            <w:tcBorders>
              <w:bottom w:val="single" w:sz="4" w:space="0" w:color="auto"/>
            </w:tcBorders>
            <w:noWrap/>
          </w:tcPr>
          <w:p w14:paraId="052F4DCB" w14:textId="77777777" w:rsidR="00DB38A6" w:rsidRPr="001135A2" w:rsidRDefault="00DB38A6" w:rsidP="00C62973">
            <w:pPr>
              <w:keepNext/>
              <w:jc w:val="left"/>
              <w:rPr>
                <w:rFonts w:cs="Arial"/>
                <w:lang w:eastAsia="en-AU"/>
              </w:rPr>
            </w:pPr>
          </w:p>
        </w:tc>
        <w:tc>
          <w:tcPr>
            <w:tcW w:w="2410" w:type="dxa"/>
            <w:tcBorders>
              <w:bottom w:val="single" w:sz="4" w:space="0" w:color="auto"/>
            </w:tcBorders>
            <w:noWrap/>
          </w:tcPr>
          <w:p w14:paraId="02C820EB" w14:textId="77777777" w:rsidR="00DB38A6" w:rsidRPr="001135A2" w:rsidRDefault="00DB38A6" w:rsidP="00C62973">
            <w:pPr>
              <w:keepNext/>
              <w:jc w:val="center"/>
            </w:pPr>
            <w:r w:rsidRPr="001135A2">
              <w:t xml:space="preserve"> ($m)</w:t>
            </w:r>
          </w:p>
        </w:tc>
      </w:tr>
      <w:tr w:rsidR="001135A2" w:rsidRPr="001135A2" w14:paraId="5EE98B5A" w14:textId="77777777" w:rsidTr="00B1623D">
        <w:trPr>
          <w:trHeight w:val="255"/>
        </w:trPr>
        <w:tc>
          <w:tcPr>
            <w:tcW w:w="683" w:type="dxa"/>
            <w:tcBorders>
              <w:top w:val="single" w:sz="4" w:space="0" w:color="auto"/>
            </w:tcBorders>
          </w:tcPr>
          <w:p w14:paraId="6640A1F2" w14:textId="77777777" w:rsidR="001135A2" w:rsidRPr="001135A2" w:rsidRDefault="001135A2" w:rsidP="001135A2">
            <w:pPr>
              <w:keepNext/>
              <w:jc w:val="left"/>
              <w:rPr>
                <w:rFonts w:cs="Arial"/>
                <w:lang w:eastAsia="en-AU"/>
              </w:rPr>
            </w:pPr>
          </w:p>
        </w:tc>
        <w:tc>
          <w:tcPr>
            <w:tcW w:w="5554" w:type="dxa"/>
            <w:tcBorders>
              <w:top w:val="single" w:sz="4" w:space="0" w:color="auto"/>
            </w:tcBorders>
            <w:noWrap/>
          </w:tcPr>
          <w:p w14:paraId="5891AB3C" w14:textId="0FA3C6C1" w:rsidR="001135A2" w:rsidRPr="001135A2" w:rsidRDefault="001135A2" w:rsidP="001135A2">
            <w:pPr>
              <w:keepNext/>
              <w:jc w:val="left"/>
              <w:rPr>
                <w:rFonts w:cs="Arial"/>
                <w:lang w:eastAsia="en-AU"/>
              </w:rPr>
            </w:pPr>
            <w:r w:rsidRPr="001135A2">
              <w:rPr>
                <w:rFonts w:cs="Arial"/>
                <w:lang w:eastAsia="en-AU"/>
              </w:rPr>
              <w:t>Opening Balance as at 1 July 2020</w:t>
            </w:r>
          </w:p>
        </w:tc>
        <w:tc>
          <w:tcPr>
            <w:tcW w:w="2410" w:type="dxa"/>
            <w:tcBorders>
              <w:top w:val="single" w:sz="4" w:space="0" w:color="auto"/>
            </w:tcBorders>
            <w:noWrap/>
          </w:tcPr>
          <w:p w14:paraId="67631355" w14:textId="27616F9D" w:rsidR="001135A2" w:rsidRPr="001135A2" w:rsidRDefault="001135A2" w:rsidP="001135A2">
            <w:pPr>
              <w:jc w:val="center"/>
            </w:pPr>
            <w:r w:rsidRPr="001135A2">
              <w:t>50,633.551</w:t>
            </w:r>
          </w:p>
        </w:tc>
      </w:tr>
      <w:tr w:rsidR="001135A2" w:rsidRPr="001135A2" w14:paraId="17E21714" w14:textId="77777777" w:rsidTr="00B1623D">
        <w:trPr>
          <w:trHeight w:val="255"/>
        </w:trPr>
        <w:tc>
          <w:tcPr>
            <w:tcW w:w="683" w:type="dxa"/>
          </w:tcPr>
          <w:p w14:paraId="4093F5FB" w14:textId="77777777" w:rsidR="001135A2" w:rsidRPr="001135A2" w:rsidRDefault="001135A2" w:rsidP="001135A2">
            <w:pPr>
              <w:jc w:val="left"/>
              <w:rPr>
                <w:rFonts w:cs="Arial"/>
                <w:lang w:eastAsia="en-AU"/>
              </w:rPr>
            </w:pPr>
            <w:r w:rsidRPr="001135A2">
              <w:rPr>
                <w:rFonts w:cs="Arial"/>
                <w:lang w:eastAsia="en-AU"/>
              </w:rPr>
              <w:t>less</w:t>
            </w:r>
          </w:p>
        </w:tc>
        <w:tc>
          <w:tcPr>
            <w:tcW w:w="5554" w:type="dxa"/>
            <w:noWrap/>
          </w:tcPr>
          <w:p w14:paraId="07506272" w14:textId="104A9AEC" w:rsidR="001135A2" w:rsidRPr="001135A2" w:rsidRDefault="001135A2" w:rsidP="001135A2">
            <w:pPr>
              <w:ind w:left="34"/>
              <w:jc w:val="left"/>
              <w:rPr>
                <w:rFonts w:cs="Arial"/>
                <w:lang w:eastAsia="en-AU"/>
              </w:rPr>
            </w:pPr>
            <w:r w:rsidRPr="001135A2">
              <w:rPr>
                <w:rFonts w:cs="Arial"/>
                <w:lang w:eastAsia="en-AU"/>
              </w:rPr>
              <w:t>Higher than estimated semester 1 2020 new debt</w:t>
            </w:r>
          </w:p>
        </w:tc>
        <w:tc>
          <w:tcPr>
            <w:tcW w:w="2410" w:type="dxa"/>
            <w:noWrap/>
          </w:tcPr>
          <w:p w14:paraId="31DD7519" w14:textId="057513F4" w:rsidR="001135A2" w:rsidRPr="001135A2" w:rsidRDefault="001135A2" w:rsidP="001135A2">
            <w:pPr>
              <w:jc w:val="center"/>
            </w:pPr>
            <w:r w:rsidRPr="001135A2">
              <w:t>229.613</w:t>
            </w:r>
          </w:p>
        </w:tc>
      </w:tr>
      <w:tr w:rsidR="001135A2" w:rsidRPr="001135A2" w14:paraId="6FF97458" w14:textId="77777777" w:rsidTr="00C54A79">
        <w:trPr>
          <w:trHeight w:val="255"/>
        </w:trPr>
        <w:tc>
          <w:tcPr>
            <w:tcW w:w="683" w:type="dxa"/>
          </w:tcPr>
          <w:p w14:paraId="579C0952" w14:textId="77777777" w:rsidR="001135A2" w:rsidRPr="001135A2" w:rsidRDefault="001135A2" w:rsidP="001135A2">
            <w:pPr>
              <w:jc w:val="left"/>
              <w:rPr>
                <w:rFonts w:cs="Arial"/>
                <w:lang w:eastAsia="en-AU"/>
              </w:rPr>
            </w:pPr>
            <w:r w:rsidRPr="001135A2">
              <w:rPr>
                <w:rFonts w:cs="Arial"/>
                <w:lang w:eastAsia="en-AU"/>
              </w:rPr>
              <w:t>less</w:t>
            </w:r>
          </w:p>
        </w:tc>
        <w:tc>
          <w:tcPr>
            <w:tcW w:w="5554" w:type="dxa"/>
            <w:noWrap/>
          </w:tcPr>
          <w:p w14:paraId="181E6B54" w14:textId="77777777" w:rsidR="001135A2" w:rsidRPr="001135A2" w:rsidRDefault="001135A2" w:rsidP="001135A2">
            <w:pPr>
              <w:ind w:left="34"/>
              <w:jc w:val="left"/>
              <w:rPr>
                <w:rFonts w:cs="Arial"/>
                <w:lang w:eastAsia="en-AU"/>
              </w:rPr>
            </w:pPr>
            <w:r w:rsidRPr="001135A2">
              <w:rPr>
                <w:rFonts w:cs="Arial"/>
                <w:lang w:eastAsia="en-AU"/>
              </w:rPr>
              <w:t>Higher than expected PAYG repayments</w:t>
            </w:r>
          </w:p>
        </w:tc>
        <w:tc>
          <w:tcPr>
            <w:tcW w:w="2410" w:type="dxa"/>
            <w:noWrap/>
          </w:tcPr>
          <w:p w14:paraId="62083581" w14:textId="2FD13D48" w:rsidR="001135A2" w:rsidRPr="001135A2" w:rsidRDefault="001135A2" w:rsidP="001135A2">
            <w:pPr>
              <w:jc w:val="center"/>
            </w:pPr>
            <w:r w:rsidRPr="001135A2">
              <w:t>-350.201</w:t>
            </w:r>
          </w:p>
        </w:tc>
      </w:tr>
      <w:tr w:rsidR="001135A2" w:rsidRPr="001135A2" w14:paraId="325E15AE" w14:textId="77777777" w:rsidTr="00C54A79">
        <w:trPr>
          <w:trHeight w:val="255"/>
        </w:trPr>
        <w:tc>
          <w:tcPr>
            <w:tcW w:w="683" w:type="dxa"/>
          </w:tcPr>
          <w:p w14:paraId="4FF1560B" w14:textId="77777777" w:rsidR="001135A2" w:rsidRPr="001135A2" w:rsidRDefault="001135A2" w:rsidP="001135A2">
            <w:pPr>
              <w:jc w:val="left"/>
              <w:rPr>
                <w:rFonts w:cs="Arial"/>
                <w:lang w:eastAsia="en-AU"/>
              </w:rPr>
            </w:pPr>
            <w:r w:rsidRPr="001135A2">
              <w:rPr>
                <w:rFonts w:cs="Arial"/>
                <w:lang w:eastAsia="en-AU"/>
              </w:rPr>
              <w:t>plus</w:t>
            </w:r>
          </w:p>
        </w:tc>
        <w:tc>
          <w:tcPr>
            <w:tcW w:w="5554" w:type="dxa"/>
            <w:noWrap/>
          </w:tcPr>
          <w:p w14:paraId="787ECA6C" w14:textId="493E9EC3" w:rsidR="001135A2" w:rsidRPr="001135A2" w:rsidRDefault="001135A2" w:rsidP="001135A2">
            <w:pPr>
              <w:ind w:left="34"/>
              <w:jc w:val="left"/>
              <w:rPr>
                <w:rFonts w:cs="Arial"/>
                <w:lang w:eastAsia="en-AU"/>
              </w:rPr>
            </w:pPr>
            <w:r w:rsidRPr="001135A2">
              <w:rPr>
                <w:rFonts w:cs="Arial"/>
                <w:lang w:eastAsia="en-AU"/>
              </w:rPr>
              <w:t>Methodology adjustment (including initial COVID-19 changes to assumptions)</w:t>
            </w:r>
          </w:p>
        </w:tc>
        <w:tc>
          <w:tcPr>
            <w:tcW w:w="2410" w:type="dxa"/>
            <w:noWrap/>
          </w:tcPr>
          <w:p w14:paraId="332876B0" w14:textId="1BCDD881" w:rsidR="001135A2" w:rsidRPr="001135A2" w:rsidRDefault="008656CA" w:rsidP="001135A2">
            <w:pPr>
              <w:jc w:val="center"/>
            </w:pPr>
            <w:r w:rsidRPr="008656CA">
              <w:t>3,345.140</w:t>
            </w:r>
          </w:p>
        </w:tc>
      </w:tr>
      <w:tr w:rsidR="008656CA" w:rsidRPr="001135A2" w14:paraId="657F3AD4" w14:textId="77777777" w:rsidTr="00B1623D">
        <w:trPr>
          <w:trHeight w:val="255"/>
        </w:trPr>
        <w:tc>
          <w:tcPr>
            <w:tcW w:w="683" w:type="dxa"/>
          </w:tcPr>
          <w:p w14:paraId="5E728296" w14:textId="77777777" w:rsidR="008656CA" w:rsidRPr="001135A2" w:rsidRDefault="008656CA" w:rsidP="008656CA">
            <w:pPr>
              <w:jc w:val="left"/>
              <w:rPr>
                <w:rFonts w:cs="Arial"/>
                <w:lang w:eastAsia="en-AU"/>
              </w:rPr>
            </w:pPr>
            <w:r w:rsidRPr="001135A2">
              <w:rPr>
                <w:rFonts w:cs="Arial"/>
                <w:lang w:eastAsia="en-AU"/>
              </w:rPr>
              <w:t>gives</w:t>
            </w:r>
          </w:p>
        </w:tc>
        <w:tc>
          <w:tcPr>
            <w:tcW w:w="5554" w:type="dxa"/>
            <w:noWrap/>
          </w:tcPr>
          <w:p w14:paraId="6A088E2E" w14:textId="6105AF6B" w:rsidR="008656CA" w:rsidRPr="001135A2" w:rsidRDefault="008656CA" w:rsidP="008656CA">
            <w:pPr>
              <w:jc w:val="left"/>
              <w:rPr>
                <w:rFonts w:cs="Arial"/>
                <w:lang w:eastAsia="en-AU"/>
              </w:rPr>
            </w:pPr>
            <w:r w:rsidRPr="001135A2">
              <w:rPr>
                <w:rFonts w:cs="Arial"/>
                <w:lang w:eastAsia="en-AU"/>
              </w:rPr>
              <w:t>Revised Opening Balance as at 1 July 2020</w:t>
            </w:r>
          </w:p>
        </w:tc>
        <w:tc>
          <w:tcPr>
            <w:tcW w:w="2410" w:type="dxa"/>
            <w:tcBorders>
              <w:top w:val="single" w:sz="4" w:space="0" w:color="auto"/>
            </w:tcBorders>
            <w:noWrap/>
          </w:tcPr>
          <w:p w14:paraId="654364CF" w14:textId="1654B820" w:rsidR="008656CA" w:rsidRPr="001135A2" w:rsidRDefault="008656CA" w:rsidP="008656CA">
            <w:pPr>
              <w:jc w:val="center"/>
            </w:pPr>
            <w:r w:rsidRPr="007D15E4">
              <w:t>53,858.103</w:t>
            </w:r>
          </w:p>
        </w:tc>
      </w:tr>
      <w:tr w:rsidR="008656CA" w:rsidRPr="001135A2" w14:paraId="324D7E3E" w14:textId="77777777" w:rsidTr="00B1623D">
        <w:trPr>
          <w:trHeight w:val="255"/>
        </w:trPr>
        <w:tc>
          <w:tcPr>
            <w:tcW w:w="683" w:type="dxa"/>
          </w:tcPr>
          <w:p w14:paraId="5D00CADA" w14:textId="77777777" w:rsidR="008656CA" w:rsidRPr="001135A2" w:rsidRDefault="008656CA" w:rsidP="008656CA">
            <w:pPr>
              <w:jc w:val="left"/>
              <w:rPr>
                <w:rFonts w:cs="Arial"/>
                <w:lang w:eastAsia="en-AU"/>
              </w:rPr>
            </w:pPr>
            <w:r w:rsidRPr="001135A2">
              <w:rPr>
                <w:rFonts w:cs="Arial"/>
                <w:lang w:eastAsia="en-AU"/>
              </w:rPr>
              <w:t>less</w:t>
            </w:r>
          </w:p>
        </w:tc>
        <w:tc>
          <w:tcPr>
            <w:tcW w:w="5554" w:type="dxa"/>
            <w:noWrap/>
          </w:tcPr>
          <w:p w14:paraId="0273065C" w14:textId="68B00621" w:rsidR="008656CA" w:rsidRPr="001135A2" w:rsidRDefault="008656CA" w:rsidP="008656CA">
            <w:pPr>
              <w:ind w:left="34"/>
              <w:jc w:val="left"/>
              <w:rPr>
                <w:rFonts w:cs="Arial"/>
                <w:lang w:eastAsia="en-AU"/>
              </w:rPr>
            </w:pPr>
            <w:r w:rsidRPr="001135A2">
              <w:rPr>
                <w:rFonts w:cs="Arial"/>
                <w:lang w:eastAsia="en-AU"/>
              </w:rPr>
              <w:t>Education estimate of 2020-21 PAYG receipts on opening balance</w:t>
            </w:r>
          </w:p>
        </w:tc>
        <w:tc>
          <w:tcPr>
            <w:tcW w:w="2410" w:type="dxa"/>
            <w:noWrap/>
          </w:tcPr>
          <w:p w14:paraId="11C79FE3" w14:textId="6679FF6B" w:rsidR="008656CA" w:rsidRPr="001135A2" w:rsidRDefault="008656CA" w:rsidP="008656CA">
            <w:pPr>
              <w:jc w:val="center"/>
              <w:rPr>
                <w:highlight w:val="yellow"/>
              </w:rPr>
            </w:pPr>
            <w:r w:rsidRPr="007D15E4">
              <w:t>-3,931.566</w:t>
            </w:r>
          </w:p>
        </w:tc>
      </w:tr>
      <w:tr w:rsidR="008656CA" w:rsidRPr="001135A2" w14:paraId="64D5D703" w14:textId="77777777" w:rsidTr="00B1623D">
        <w:trPr>
          <w:trHeight w:val="255"/>
        </w:trPr>
        <w:tc>
          <w:tcPr>
            <w:tcW w:w="683" w:type="dxa"/>
          </w:tcPr>
          <w:p w14:paraId="61F0D289" w14:textId="77777777" w:rsidR="008656CA" w:rsidRPr="001135A2" w:rsidRDefault="008656CA" w:rsidP="008656CA">
            <w:pPr>
              <w:jc w:val="left"/>
              <w:rPr>
                <w:rFonts w:cs="Arial"/>
                <w:lang w:eastAsia="en-AU"/>
              </w:rPr>
            </w:pPr>
            <w:r w:rsidRPr="001135A2">
              <w:rPr>
                <w:rFonts w:cs="Arial"/>
                <w:lang w:eastAsia="en-AU"/>
              </w:rPr>
              <w:t>less</w:t>
            </w:r>
          </w:p>
        </w:tc>
        <w:tc>
          <w:tcPr>
            <w:tcW w:w="5554" w:type="dxa"/>
            <w:noWrap/>
          </w:tcPr>
          <w:p w14:paraId="6EC9AC95" w14:textId="3892A738" w:rsidR="008656CA" w:rsidRPr="001135A2" w:rsidRDefault="008656CA" w:rsidP="008656CA">
            <w:pPr>
              <w:ind w:left="34"/>
              <w:jc w:val="left"/>
              <w:rPr>
                <w:rFonts w:cs="Arial"/>
                <w:lang w:eastAsia="en-AU"/>
              </w:rPr>
            </w:pPr>
            <w:r w:rsidRPr="001135A2">
              <w:rPr>
                <w:rFonts w:cs="Arial"/>
                <w:lang w:eastAsia="en-AU"/>
              </w:rPr>
              <w:t>Actual voluntary repayments in 2020-21</w:t>
            </w:r>
          </w:p>
        </w:tc>
        <w:tc>
          <w:tcPr>
            <w:tcW w:w="2410" w:type="dxa"/>
            <w:noWrap/>
          </w:tcPr>
          <w:p w14:paraId="49EEAFAA" w14:textId="0A3DBAC1" w:rsidR="008656CA" w:rsidRPr="001135A2" w:rsidRDefault="008656CA" w:rsidP="008656CA">
            <w:pPr>
              <w:jc w:val="center"/>
            </w:pPr>
            <w:r w:rsidRPr="007D15E4">
              <w:t>-541.538</w:t>
            </w:r>
          </w:p>
        </w:tc>
      </w:tr>
      <w:tr w:rsidR="008656CA" w:rsidRPr="001135A2" w14:paraId="17B103BB" w14:textId="77777777" w:rsidTr="00B1623D">
        <w:trPr>
          <w:trHeight w:val="255"/>
        </w:trPr>
        <w:tc>
          <w:tcPr>
            <w:tcW w:w="683" w:type="dxa"/>
          </w:tcPr>
          <w:p w14:paraId="7AA66827" w14:textId="77777777" w:rsidR="008656CA" w:rsidRPr="001135A2" w:rsidRDefault="008656CA" w:rsidP="008656CA">
            <w:pPr>
              <w:jc w:val="left"/>
              <w:rPr>
                <w:rFonts w:cs="Arial"/>
                <w:lang w:eastAsia="en-AU"/>
              </w:rPr>
            </w:pPr>
            <w:r w:rsidRPr="001135A2">
              <w:rPr>
                <w:rFonts w:cs="Arial"/>
                <w:lang w:eastAsia="en-AU"/>
              </w:rPr>
              <w:t>plus</w:t>
            </w:r>
          </w:p>
        </w:tc>
        <w:tc>
          <w:tcPr>
            <w:tcW w:w="5554" w:type="dxa"/>
            <w:noWrap/>
          </w:tcPr>
          <w:p w14:paraId="5CF686BE" w14:textId="60AF15EB" w:rsidR="008656CA" w:rsidRPr="001135A2" w:rsidRDefault="008656CA" w:rsidP="008656CA">
            <w:pPr>
              <w:ind w:left="34"/>
              <w:jc w:val="left"/>
              <w:rPr>
                <w:rFonts w:cs="Arial"/>
                <w:lang w:eastAsia="en-AU"/>
              </w:rPr>
            </w:pPr>
            <w:r w:rsidRPr="001135A2">
              <w:rPr>
                <w:rFonts w:cs="Arial"/>
                <w:lang w:eastAsia="en-AU"/>
              </w:rPr>
              <w:t>New debt incurred in 2020-21</w:t>
            </w:r>
          </w:p>
        </w:tc>
        <w:tc>
          <w:tcPr>
            <w:tcW w:w="2410" w:type="dxa"/>
            <w:noWrap/>
          </w:tcPr>
          <w:p w14:paraId="789C1A7C" w14:textId="08355016" w:rsidR="008656CA" w:rsidRPr="001135A2" w:rsidRDefault="008656CA" w:rsidP="008656CA">
            <w:pPr>
              <w:jc w:val="center"/>
            </w:pPr>
            <w:r w:rsidRPr="007D15E4">
              <w:t>6,843.388</w:t>
            </w:r>
          </w:p>
        </w:tc>
      </w:tr>
      <w:tr w:rsidR="008656CA" w:rsidRPr="001135A2" w14:paraId="02442F5A" w14:textId="77777777" w:rsidTr="00B1623D">
        <w:trPr>
          <w:trHeight w:val="60"/>
        </w:trPr>
        <w:tc>
          <w:tcPr>
            <w:tcW w:w="683" w:type="dxa"/>
          </w:tcPr>
          <w:p w14:paraId="7CE8D9FF" w14:textId="77777777" w:rsidR="008656CA" w:rsidRPr="001135A2" w:rsidRDefault="008656CA" w:rsidP="008656CA">
            <w:pPr>
              <w:jc w:val="left"/>
              <w:rPr>
                <w:rFonts w:cs="Arial"/>
                <w:lang w:eastAsia="en-AU"/>
              </w:rPr>
            </w:pPr>
            <w:r w:rsidRPr="001135A2">
              <w:rPr>
                <w:rFonts w:cs="Arial"/>
                <w:lang w:eastAsia="en-AU"/>
              </w:rPr>
              <w:t>less</w:t>
            </w:r>
          </w:p>
        </w:tc>
        <w:tc>
          <w:tcPr>
            <w:tcW w:w="5554" w:type="dxa"/>
            <w:noWrap/>
          </w:tcPr>
          <w:p w14:paraId="0C000D44" w14:textId="795961A0" w:rsidR="008656CA" w:rsidRPr="001135A2" w:rsidRDefault="008656CA" w:rsidP="008656CA">
            <w:pPr>
              <w:jc w:val="left"/>
              <w:rPr>
                <w:rFonts w:cs="Arial"/>
                <w:lang w:eastAsia="en-AU"/>
              </w:rPr>
            </w:pPr>
            <w:r w:rsidRPr="001135A2">
              <w:rPr>
                <w:rFonts w:cs="Arial"/>
                <w:lang w:eastAsia="en-AU"/>
              </w:rPr>
              <w:t>Estimated 2020-21 PAYG receipts on new debt</w:t>
            </w:r>
          </w:p>
        </w:tc>
        <w:tc>
          <w:tcPr>
            <w:tcW w:w="2410" w:type="dxa"/>
            <w:noWrap/>
          </w:tcPr>
          <w:p w14:paraId="7909A678" w14:textId="4C38D156" w:rsidR="008656CA" w:rsidRPr="001135A2" w:rsidRDefault="008656CA" w:rsidP="008656CA">
            <w:pPr>
              <w:jc w:val="center"/>
            </w:pPr>
            <w:r w:rsidRPr="007D15E4">
              <w:t>-250.935</w:t>
            </w:r>
          </w:p>
        </w:tc>
      </w:tr>
      <w:tr w:rsidR="008656CA" w:rsidRPr="001135A2" w14:paraId="198765B6" w14:textId="77777777" w:rsidTr="00B1623D">
        <w:trPr>
          <w:trHeight w:val="60"/>
        </w:trPr>
        <w:tc>
          <w:tcPr>
            <w:tcW w:w="683" w:type="dxa"/>
          </w:tcPr>
          <w:p w14:paraId="0CD93696" w14:textId="77777777" w:rsidR="008656CA" w:rsidRPr="001135A2" w:rsidRDefault="008656CA" w:rsidP="008656CA">
            <w:pPr>
              <w:jc w:val="left"/>
              <w:rPr>
                <w:rFonts w:cs="Arial"/>
                <w:lang w:eastAsia="en-AU"/>
              </w:rPr>
            </w:pPr>
            <w:r w:rsidRPr="001135A2">
              <w:rPr>
                <w:rFonts w:cs="Arial"/>
                <w:lang w:eastAsia="en-AU"/>
              </w:rPr>
              <w:t>less</w:t>
            </w:r>
          </w:p>
        </w:tc>
        <w:tc>
          <w:tcPr>
            <w:tcW w:w="5554" w:type="dxa"/>
            <w:noWrap/>
          </w:tcPr>
          <w:p w14:paraId="040FD664" w14:textId="77777777" w:rsidR="008656CA" w:rsidRPr="001135A2" w:rsidRDefault="008656CA" w:rsidP="008656CA">
            <w:pPr>
              <w:jc w:val="left"/>
              <w:rPr>
                <w:rFonts w:cs="Arial"/>
                <w:lang w:eastAsia="en-AU"/>
              </w:rPr>
            </w:pPr>
            <w:r w:rsidRPr="001135A2">
              <w:rPr>
                <w:rFonts w:cs="Arial"/>
                <w:lang w:eastAsia="en-AU"/>
              </w:rPr>
              <w:t>Fair value adjustment on new debt</w:t>
            </w:r>
          </w:p>
        </w:tc>
        <w:tc>
          <w:tcPr>
            <w:tcW w:w="2410" w:type="dxa"/>
            <w:noWrap/>
          </w:tcPr>
          <w:p w14:paraId="6EA05FC8" w14:textId="0057FC92" w:rsidR="008656CA" w:rsidRPr="001135A2" w:rsidRDefault="008656CA" w:rsidP="008656CA">
            <w:pPr>
              <w:jc w:val="center"/>
            </w:pPr>
            <w:r w:rsidRPr="007D15E4">
              <w:t>-295.481</w:t>
            </w:r>
          </w:p>
        </w:tc>
      </w:tr>
      <w:tr w:rsidR="008656CA" w:rsidRPr="001135A2" w14:paraId="4D32C6DF" w14:textId="77777777" w:rsidTr="00B1623D">
        <w:trPr>
          <w:trHeight w:val="255"/>
        </w:trPr>
        <w:tc>
          <w:tcPr>
            <w:tcW w:w="683" w:type="dxa"/>
          </w:tcPr>
          <w:p w14:paraId="7A55B2D5" w14:textId="77777777" w:rsidR="008656CA" w:rsidRPr="001135A2" w:rsidRDefault="008656CA" w:rsidP="008656CA">
            <w:pPr>
              <w:jc w:val="left"/>
              <w:rPr>
                <w:rFonts w:cs="Arial"/>
                <w:lang w:eastAsia="en-AU"/>
              </w:rPr>
            </w:pPr>
            <w:r w:rsidRPr="001135A2">
              <w:rPr>
                <w:rFonts w:cs="Arial"/>
                <w:lang w:eastAsia="en-AU"/>
              </w:rPr>
              <w:t>plus</w:t>
            </w:r>
          </w:p>
        </w:tc>
        <w:tc>
          <w:tcPr>
            <w:tcW w:w="5554" w:type="dxa"/>
            <w:noWrap/>
          </w:tcPr>
          <w:p w14:paraId="44BA8CAA" w14:textId="15ED3498" w:rsidR="008656CA" w:rsidRPr="001135A2" w:rsidRDefault="008656CA" w:rsidP="008656CA">
            <w:pPr>
              <w:ind w:left="34"/>
              <w:jc w:val="left"/>
              <w:rPr>
                <w:rFonts w:cs="Arial"/>
                <w:lang w:eastAsia="en-AU"/>
              </w:rPr>
            </w:pPr>
            <w:r w:rsidRPr="001135A2">
              <w:rPr>
                <w:rFonts w:cs="Arial"/>
                <w:lang w:eastAsia="en-AU"/>
              </w:rPr>
              <w:t>Difference between AGA and Education estimate of PAYG 2020-21 receipts</w:t>
            </w:r>
          </w:p>
        </w:tc>
        <w:tc>
          <w:tcPr>
            <w:tcW w:w="2410" w:type="dxa"/>
            <w:noWrap/>
          </w:tcPr>
          <w:p w14:paraId="43B33631" w14:textId="54A15275" w:rsidR="008656CA" w:rsidRPr="001135A2" w:rsidRDefault="008656CA" w:rsidP="008656CA">
            <w:pPr>
              <w:jc w:val="center"/>
            </w:pPr>
            <w:r w:rsidRPr="007D15E4">
              <w:t>3.066</w:t>
            </w:r>
          </w:p>
        </w:tc>
      </w:tr>
      <w:tr w:rsidR="008656CA" w:rsidRPr="001135A2" w14:paraId="3758616B" w14:textId="77777777" w:rsidTr="00B1623D">
        <w:trPr>
          <w:trHeight w:val="255"/>
        </w:trPr>
        <w:tc>
          <w:tcPr>
            <w:tcW w:w="683" w:type="dxa"/>
          </w:tcPr>
          <w:p w14:paraId="30044762" w14:textId="77777777" w:rsidR="008656CA" w:rsidRPr="001135A2" w:rsidRDefault="008656CA" w:rsidP="008656CA">
            <w:pPr>
              <w:jc w:val="left"/>
              <w:rPr>
                <w:rFonts w:cs="Arial"/>
                <w:lang w:eastAsia="en-AU"/>
              </w:rPr>
            </w:pPr>
            <w:r w:rsidRPr="001135A2">
              <w:rPr>
                <w:rFonts w:cs="Arial"/>
                <w:lang w:eastAsia="en-AU"/>
              </w:rPr>
              <w:t>plus</w:t>
            </w:r>
          </w:p>
        </w:tc>
        <w:tc>
          <w:tcPr>
            <w:tcW w:w="5554" w:type="dxa"/>
            <w:noWrap/>
          </w:tcPr>
          <w:p w14:paraId="2F33436F" w14:textId="17F661BC" w:rsidR="008656CA" w:rsidRPr="001135A2" w:rsidRDefault="008656CA" w:rsidP="008656CA">
            <w:pPr>
              <w:ind w:left="34"/>
              <w:jc w:val="left"/>
              <w:rPr>
                <w:rFonts w:cs="Arial"/>
                <w:lang w:eastAsia="en-AU"/>
              </w:rPr>
            </w:pPr>
            <w:r w:rsidRPr="001135A2">
              <w:rPr>
                <w:rFonts w:cs="Arial"/>
                <w:lang w:eastAsia="en-AU"/>
              </w:rPr>
              <w:t>Interest at 1.30% p.a. (unwind the discount)</w:t>
            </w:r>
          </w:p>
        </w:tc>
        <w:tc>
          <w:tcPr>
            <w:tcW w:w="2410" w:type="dxa"/>
            <w:noWrap/>
          </w:tcPr>
          <w:p w14:paraId="5CAEC214" w14:textId="31D1BE6B" w:rsidR="008656CA" w:rsidRPr="001135A2" w:rsidRDefault="008656CA" w:rsidP="008656CA">
            <w:pPr>
              <w:jc w:val="center"/>
            </w:pPr>
            <w:r w:rsidRPr="007D15E4">
              <w:t>669.393</w:t>
            </w:r>
          </w:p>
        </w:tc>
      </w:tr>
      <w:tr w:rsidR="008656CA" w:rsidRPr="001135A2" w14:paraId="43C0B438" w14:textId="77777777" w:rsidTr="00B1623D">
        <w:trPr>
          <w:trHeight w:val="255"/>
        </w:trPr>
        <w:tc>
          <w:tcPr>
            <w:tcW w:w="683" w:type="dxa"/>
          </w:tcPr>
          <w:p w14:paraId="549E0BC7" w14:textId="77777777" w:rsidR="008656CA" w:rsidRPr="001135A2" w:rsidRDefault="008656CA" w:rsidP="008656CA">
            <w:pPr>
              <w:jc w:val="left"/>
              <w:rPr>
                <w:rFonts w:cs="Arial"/>
                <w:lang w:eastAsia="en-AU"/>
              </w:rPr>
            </w:pPr>
            <w:r w:rsidRPr="001135A2">
              <w:rPr>
                <w:rFonts w:cs="Arial"/>
                <w:lang w:eastAsia="en-AU"/>
              </w:rPr>
              <w:t>plus</w:t>
            </w:r>
          </w:p>
        </w:tc>
        <w:tc>
          <w:tcPr>
            <w:tcW w:w="5554" w:type="dxa"/>
            <w:noWrap/>
          </w:tcPr>
          <w:p w14:paraId="4E36BD30" w14:textId="77777777" w:rsidR="008656CA" w:rsidRPr="001135A2" w:rsidRDefault="008656CA" w:rsidP="008656CA">
            <w:pPr>
              <w:ind w:left="34"/>
              <w:jc w:val="left"/>
              <w:rPr>
                <w:rFonts w:cs="Arial"/>
                <w:lang w:eastAsia="en-AU"/>
              </w:rPr>
            </w:pPr>
            <w:r w:rsidRPr="001135A2">
              <w:rPr>
                <w:rFonts w:cs="Arial"/>
                <w:lang w:eastAsia="en-AU"/>
              </w:rPr>
              <w:t>Actuarial gains</w:t>
            </w:r>
          </w:p>
        </w:tc>
        <w:tc>
          <w:tcPr>
            <w:tcW w:w="2410" w:type="dxa"/>
            <w:noWrap/>
          </w:tcPr>
          <w:p w14:paraId="2504C9DC" w14:textId="7509F819" w:rsidR="008656CA" w:rsidRPr="001135A2" w:rsidRDefault="008656CA" w:rsidP="008656CA">
            <w:pPr>
              <w:jc w:val="center"/>
            </w:pPr>
            <w:r w:rsidRPr="007D15E4">
              <w:t>0.000</w:t>
            </w:r>
          </w:p>
        </w:tc>
      </w:tr>
      <w:tr w:rsidR="008656CA" w:rsidRPr="001135A2" w14:paraId="196843CB" w14:textId="77777777" w:rsidTr="00B1623D">
        <w:trPr>
          <w:trHeight w:val="255"/>
        </w:trPr>
        <w:tc>
          <w:tcPr>
            <w:tcW w:w="683" w:type="dxa"/>
          </w:tcPr>
          <w:p w14:paraId="52CEA421" w14:textId="77777777" w:rsidR="008656CA" w:rsidRPr="001135A2" w:rsidRDefault="008656CA" w:rsidP="008656CA">
            <w:pPr>
              <w:jc w:val="left"/>
              <w:rPr>
                <w:rFonts w:cs="Arial"/>
                <w:lang w:eastAsia="en-AU"/>
              </w:rPr>
            </w:pPr>
            <w:r w:rsidRPr="001135A2">
              <w:rPr>
                <w:rFonts w:cs="Arial"/>
                <w:lang w:eastAsia="en-AU"/>
              </w:rPr>
              <w:t>plus</w:t>
            </w:r>
          </w:p>
        </w:tc>
        <w:tc>
          <w:tcPr>
            <w:tcW w:w="5554" w:type="dxa"/>
            <w:noWrap/>
          </w:tcPr>
          <w:p w14:paraId="5C7B7362" w14:textId="3FD66D00" w:rsidR="008656CA" w:rsidRPr="001135A2" w:rsidRDefault="008656CA" w:rsidP="008656CA">
            <w:pPr>
              <w:ind w:left="34"/>
              <w:jc w:val="left"/>
              <w:rPr>
                <w:rFonts w:cs="Arial"/>
                <w:lang w:eastAsia="en-AU"/>
              </w:rPr>
            </w:pPr>
            <w:r w:rsidRPr="001135A2">
              <w:rPr>
                <w:rFonts w:cs="Arial"/>
                <w:lang w:eastAsia="en-AU"/>
              </w:rPr>
              <w:t>Movement in yield curve from 2020 to 2021</w:t>
            </w:r>
          </w:p>
        </w:tc>
        <w:tc>
          <w:tcPr>
            <w:tcW w:w="2410" w:type="dxa"/>
            <w:noWrap/>
          </w:tcPr>
          <w:p w14:paraId="070657F0" w14:textId="3681111C" w:rsidR="008656CA" w:rsidRPr="001135A2" w:rsidRDefault="008656CA" w:rsidP="008656CA">
            <w:pPr>
              <w:jc w:val="center"/>
            </w:pPr>
            <w:r w:rsidRPr="007D15E4">
              <w:t>-2,069.900</w:t>
            </w:r>
          </w:p>
        </w:tc>
      </w:tr>
      <w:tr w:rsidR="001135A2" w:rsidRPr="001135A2" w14:paraId="735C1F44" w14:textId="77777777" w:rsidTr="00B1623D">
        <w:trPr>
          <w:trHeight w:val="255"/>
        </w:trPr>
        <w:tc>
          <w:tcPr>
            <w:tcW w:w="683" w:type="dxa"/>
          </w:tcPr>
          <w:p w14:paraId="4F63B3CF" w14:textId="28510895" w:rsidR="001135A2" w:rsidRPr="001135A2" w:rsidRDefault="001135A2" w:rsidP="001135A2">
            <w:pPr>
              <w:jc w:val="left"/>
              <w:rPr>
                <w:rFonts w:cs="Arial"/>
                <w:lang w:eastAsia="en-AU"/>
              </w:rPr>
            </w:pPr>
            <w:r w:rsidRPr="001135A2">
              <w:rPr>
                <w:rFonts w:cs="Arial"/>
                <w:lang w:eastAsia="en-AU"/>
              </w:rPr>
              <w:t>less</w:t>
            </w:r>
          </w:p>
        </w:tc>
        <w:tc>
          <w:tcPr>
            <w:tcW w:w="5554" w:type="dxa"/>
            <w:noWrap/>
          </w:tcPr>
          <w:p w14:paraId="3EF5FCF7" w14:textId="1F5EF493" w:rsidR="001135A2" w:rsidRPr="001135A2" w:rsidRDefault="001135A2" w:rsidP="001135A2">
            <w:pPr>
              <w:ind w:left="34"/>
              <w:jc w:val="left"/>
              <w:rPr>
                <w:rFonts w:cs="Arial"/>
                <w:lang w:eastAsia="en-AU"/>
              </w:rPr>
            </w:pPr>
            <w:r w:rsidRPr="001135A2">
              <w:rPr>
                <w:rFonts w:cs="Arial"/>
                <w:lang w:eastAsia="en-AU"/>
              </w:rPr>
              <w:t>Impact of further VET recredits</w:t>
            </w:r>
          </w:p>
        </w:tc>
        <w:tc>
          <w:tcPr>
            <w:tcW w:w="2410" w:type="dxa"/>
            <w:noWrap/>
          </w:tcPr>
          <w:p w14:paraId="7DF677BA" w14:textId="1947CA90" w:rsidR="001135A2" w:rsidRPr="001135A2" w:rsidRDefault="001135A2" w:rsidP="001135A2">
            <w:pPr>
              <w:jc w:val="center"/>
            </w:pPr>
            <w:r w:rsidRPr="001135A2">
              <w:t xml:space="preserve">-708.47 </w:t>
            </w:r>
          </w:p>
        </w:tc>
      </w:tr>
      <w:tr w:rsidR="001135A2" w:rsidRPr="001135A2" w14:paraId="27078C44" w14:textId="77777777" w:rsidTr="00B1623D">
        <w:trPr>
          <w:trHeight w:val="255"/>
        </w:trPr>
        <w:tc>
          <w:tcPr>
            <w:tcW w:w="683" w:type="dxa"/>
            <w:tcBorders>
              <w:bottom w:val="single" w:sz="4" w:space="0" w:color="auto"/>
            </w:tcBorders>
          </w:tcPr>
          <w:p w14:paraId="4FFD7FAA" w14:textId="77777777" w:rsidR="001135A2" w:rsidRPr="001135A2" w:rsidRDefault="001135A2" w:rsidP="001135A2">
            <w:pPr>
              <w:jc w:val="left"/>
              <w:rPr>
                <w:rFonts w:cs="Arial"/>
                <w:lang w:eastAsia="en-AU"/>
              </w:rPr>
            </w:pPr>
            <w:r w:rsidRPr="001135A2">
              <w:rPr>
                <w:rFonts w:cs="Arial"/>
                <w:lang w:eastAsia="en-AU"/>
              </w:rPr>
              <w:t>gives</w:t>
            </w:r>
          </w:p>
        </w:tc>
        <w:tc>
          <w:tcPr>
            <w:tcW w:w="5554" w:type="dxa"/>
            <w:tcBorders>
              <w:bottom w:val="single" w:sz="4" w:space="0" w:color="auto"/>
            </w:tcBorders>
            <w:noWrap/>
          </w:tcPr>
          <w:p w14:paraId="4B176A15" w14:textId="3131A514" w:rsidR="001135A2" w:rsidRPr="001135A2" w:rsidRDefault="001135A2" w:rsidP="001135A2">
            <w:pPr>
              <w:keepNext/>
              <w:jc w:val="left"/>
              <w:rPr>
                <w:rFonts w:cs="Arial"/>
                <w:lang w:eastAsia="en-AU"/>
              </w:rPr>
            </w:pPr>
            <w:r w:rsidRPr="001135A2">
              <w:rPr>
                <w:rFonts w:cs="Arial"/>
                <w:lang w:eastAsia="en-AU"/>
              </w:rPr>
              <w:t>Closing Balance as at 30 June 2021</w:t>
            </w:r>
          </w:p>
        </w:tc>
        <w:tc>
          <w:tcPr>
            <w:tcW w:w="2410" w:type="dxa"/>
            <w:tcBorders>
              <w:top w:val="single" w:sz="4" w:space="0" w:color="auto"/>
              <w:bottom w:val="single" w:sz="4" w:space="0" w:color="auto"/>
            </w:tcBorders>
            <w:noWrap/>
          </w:tcPr>
          <w:p w14:paraId="5C4D92DA" w14:textId="5ACB80BB" w:rsidR="001135A2" w:rsidRPr="001135A2" w:rsidRDefault="008656CA" w:rsidP="001135A2">
            <w:pPr>
              <w:jc w:val="center"/>
            </w:pPr>
            <w:r w:rsidRPr="008656CA">
              <w:t>53,576.056</w:t>
            </w:r>
          </w:p>
        </w:tc>
      </w:tr>
    </w:tbl>
    <w:p w14:paraId="679CC2B9" w14:textId="77777777" w:rsidR="00DB38A6" w:rsidRPr="001135A2" w:rsidRDefault="00DB38A6">
      <w:pPr>
        <w:spacing w:before="0" w:after="0" w:line="240" w:lineRule="auto"/>
        <w:jc w:val="left"/>
      </w:pPr>
    </w:p>
    <w:p w14:paraId="03E731FD" w14:textId="77777777" w:rsidR="003620D0" w:rsidRPr="001135A2" w:rsidRDefault="003620D0">
      <w:pPr>
        <w:spacing w:before="0" w:after="0" w:line="240" w:lineRule="auto"/>
        <w:jc w:val="left"/>
      </w:pPr>
    </w:p>
    <w:p w14:paraId="57757746" w14:textId="63BEFDB9" w:rsidR="005E0363" w:rsidRPr="001135A2" w:rsidRDefault="005E0363">
      <w:pPr>
        <w:spacing w:before="0" w:after="0" w:line="240" w:lineRule="auto"/>
        <w:jc w:val="left"/>
      </w:pPr>
    </w:p>
    <w:p w14:paraId="506D9364" w14:textId="77777777" w:rsidR="003620D0" w:rsidRPr="001135A2" w:rsidRDefault="003620D0">
      <w:pPr>
        <w:spacing w:before="0" w:after="0" w:line="240" w:lineRule="auto"/>
        <w:jc w:val="left"/>
      </w:pPr>
    </w:p>
    <w:p w14:paraId="16BC50CD" w14:textId="77777777" w:rsidR="003620D0" w:rsidRPr="001135A2" w:rsidRDefault="003620D0" w:rsidP="007C62AE">
      <w:pPr>
        <w:spacing w:before="0" w:after="0" w:line="240" w:lineRule="auto"/>
        <w:ind w:firstLine="709"/>
        <w:jc w:val="left"/>
        <w:rPr>
          <w:u w:val="single"/>
        </w:rPr>
      </w:pPr>
      <w:r w:rsidRPr="001135A2">
        <w:rPr>
          <w:u w:val="single"/>
        </w:rPr>
        <w:t>Table 13: Current and Non-current split</w:t>
      </w:r>
      <w:r w:rsidR="007C62AE" w:rsidRPr="001135A2">
        <w:rPr>
          <w:u w:val="single"/>
        </w:rPr>
        <w:t xml:space="preserve"> ($</w:t>
      </w:r>
      <w:r w:rsidR="007D729D" w:rsidRPr="001135A2">
        <w:rPr>
          <w:u w:val="single"/>
        </w:rPr>
        <w:t>m</w:t>
      </w:r>
      <w:r w:rsidR="007C62AE" w:rsidRPr="001135A2">
        <w:rPr>
          <w:u w:val="single"/>
        </w:rPr>
        <w:t>)</w:t>
      </w:r>
    </w:p>
    <w:p w14:paraId="51748A69" w14:textId="77777777" w:rsidR="003620D0" w:rsidRPr="001135A2" w:rsidRDefault="003620D0">
      <w:pPr>
        <w:spacing w:before="0" w:after="0" w:line="240" w:lineRule="auto"/>
        <w:jc w:val="left"/>
      </w:pPr>
    </w:p>
    <w:tbl>
      <w:tblPr>
        <w:tblStyle w:val="TableGrid"/>
        <w:tblW w:w="7622" w:type="dxa"/>
        <w:tblInd w:w="8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843"/>
        <w:gridCol w:w="1701"/>
        <w:gridCol w:w="1526"/>
      </w:tblGrid>
      <w:tr w:rsidR="00A70050" w:rsidRPr="001135A2" w14:paraId="35086DD8" w14:textId="77777777" w:rsidTr="00B1623D">
        <w:tc>
          <w:tcPr>
            <w:tcW w:w="2552" w:type="dxa"/>
            <w:tcBorders>
              <w:top w:val="single" w:sz="4" w:space="0" w:color="auto"/>
              <w:bottom w:val="single" w:sz="4" w:space="0" w:color="auto"/>
            </w:tcBorders>
          </w:tcPr>
          <w:p w14:paraId="7EEEB1FC" w14:textId="08C2989F" w:rsidR="005E0363" w:rsidRPr="001135A2" w:rsidRDefault="006C3AA1" w:rsidP="0031736E">
            <w:pPr>
              <w:pStyle w:val="BodyText"/>
              <w:keepNext/>
              <w:numPr>
                <w:ilvl w:val="0"/>
                <w:numId w:val="0"/>
              </w:numPr>
            </w:pPr>
            <w:r w:rsidRPr="001135A2">
              <w:t>Fair Value of Receivable</w:t>
            </w:r>
          </w:p>
        </w:tc>
        <w:tc>
          <w:tcPr>
            <w:tcW w:w="1843" w:type="dxa"/>
            <w:tcBorders>
              <w:top w:val="single" w:sz="4" w:space="0" w:color="auto"/>
              <w:bottom w:val="single" w:sz="4" w:space="0" w:color="auto"/>
            </w:tcBorders>
          </w:tcPr>
          <w:p w14:paraId="262F1A91" w14:textId="77777777" w:rsidR="005E0363" w:rsidRPr="001135A2" w:rsidRDefault="005E0363" w:rsidP="0031736E">
            <w:pPr>
              <w:pStyle w:val="BodyText"/>
              <w:keepNext/>
              <w:numPr>
                <w:ilvl w:val="0"/>
                <w:numId w:val="0"/>
              </w:numPr>
              <w:jc w:val="center"/>
            </w:pPr>
            <w:r w:rsidRPr="001135A2">
              <w:t>Current</w:t>
            </w:r>
          </w:p>
        </w:tc>
        <w:tc>
          <w:tcPr>
            <w:tcW w:w="1701" w:type="dxa"/>
            <w:tcBorders>
              <w:top w:val="single" w:sz="4" w:space="0" w:color="auto"/>
              <w:bottom w:val="single" w:sz="4" w:space="0" w:color="auto"/>
            </w:tcBorders>
          </w:tcPr>
          <w:p w14:paraId="781AF6A0" w14:textId="77777777" w:rsidR="005E0363" w:rsidRPr="001135A2" w:rsidRDefault="005E0363" w:rsidP="005E0363">
            <w:pPr>
              <w:pStyle w:val="BodyText"/>
              <w:keepNext/>
              <w:numPr>
                <w:ilvl w:val="0"/>
                <w:numId w:val="0"/>
              </w:numPr>
              <w:jc w:val="center"/>
            </w:pPr>
            <w:r w:rsidRPr="001135A2">
              <w:t>Non-Current</w:t>
            </w:r>
          </w:p>
        </w:tc>
        <w:tc>
          <w:tcPr>
            <w:tcW w:w="1526" w:type="dxa"/>
            <w:tcBorders>
              <w:top w:val="single" w:sz="4" w:space="0" w:color="auto"/>
              <w:bottom w:val="single" w:sz="4" w:space="0" w:color="auto"/>
            </w:tcBorders>
          </w:tcPr>
          <w:p w14:paraId="3D74630B" w14:textId="77777777" w:rsidR="005E0363" w:rsidRPr="001135A2" w:rsidRDefault="005E0363" w:rsidP="0031736E">
            <w:pPr>
              <w:pStyle w:val="BodyText"/>
              <w:keepNext/>
              <w:numPr>
                <w:ilvl w:val="0"/>
                <w:numId w:val="0"/>
              </w:numPr>
              <w:jc w:val="center"/>
            </w:pPr>
            <w:r w:rsidRPr="001135A2">
              <w:t>Total</w:t>
            </w:r>
          </w:p>
        </w:tc>
      </w:tr>
      <w:tr w:rsidR="00A70050" w:rsidRPr="001135A2" w14:paraId="3D20050F" w14:textId="77777777" w:rsidTr="00B1623D">
        <w:tc>
          <w:tcPr>
            <w:tcW w:w="2552" w:type="dxa"/>
          </w:tcPr>
          <w:p w14:paraId="2CB7FC1B" w14:textId="72426C26" w:rsidR="00C54A79" w:rsidRPr="001135A2" w:rsidRDefault="00C54A79" w:rsidP="00C54A79">
            <w:pPr>
              <w:pStyle w:val="BodyText"/>
              <w:keepNext/>
              <w:numPr>
                <w:ilvl w:val="0"/>
                <w:numId w:val="0"/>
              </w:numPr>
            </w:pPr>
            <w:r w:rsidRPr="001135A2">
              <w:t xml:space="preserve">Post </w:t>
            </w:r>
            <w:r w:rsidR="007E3E32" w:rsidRPr="001135A2">
              <w:t>20</w:t>
            </w:r>
            <w:r w:rsidR="001135A2" w:rsidRPr="001135A2">
              <w:t>19</w:t>
            </w:r>
            <w:r w:rsidRPr="001135A2">
              <w:t xml:space="preserve"> VSL</w:t>
            </w:r>
          </w:p>
        </w:tc>
        <w:tc>
          <w:tcPr>
            <w:tcW w:w="1843" w:type="dxa"/>
          </w:tcPr>
          <w:p w14:paraId="294F7219" w14:textId="2B817629" w:rsidR="00C54A79" w:rsidRPr="001135A2" w:rsidRDefault="00C54A79" w:rsidP="00C54A79">
            <w:pPr>
              <w:spacing w:before="240" w:after="0" w:line="240" w:lineRule="auto"/>
              <w:jc w:val="center"/>
              <w:rPr>
                <w:rFonts w:cs="Arial"/>
                <w:iCs/>
              </w:rPr>
            </w:pPr>
            <w:r w:rsidRPr="001135A2">
              <w:t>$</w:t>
            </w:r>
            <w:r w:rsidR="001135A2" w:rsidRPr="001135A2">
              <w:t>8.925</w:t>
            </w:r>
          </w:p>
        </w:tc>
        <w:tc>
          <w:tcPr>
            <w:tcW w:w="1701" w:type="dxa"/>
          </w:tcPr>
          <w:p w14:paraId="67D8FE33" w14:textId="51F812BB" w:rsidR="00C54A79" w:rsidRPr="001135A2" w:rsidRDefault="00C54A79" w:rsidP="00C54A79">
            <w:pPr>
              <w:spacing w:before="240" w:after="0" w:line="240" w:lineRule="auto"/>
              <w:jc w:val="center"/>
              <w:rPr>
                <w:rFonts w:cs="Arial"/>
                <w:iCs/>
              </w:rPr>
            </w:pPr>
            <w:r w:rsidRPr="001135A2">
              <w:t>$</w:t>
            </w:r>
            <w:r w:rsidR="001135A2" w:rsidRPr="001135A2">
              <w:t>420.933</w:t>
            </w:r>
          </w:p>
        </w:tc>
        <w:tc>
          <w:tcPr>
            <w:tcW w:w="1526" w:type="dxa"/>
          </w:tcPr>
          <w:p w14:paraId="0A9CD18F" w14:textId="19385799" w:rsidR="00C54A79" w:rsidRPr="001135A2" w:rsidRDefault="00C54A79" w:rsidP="00C54A79">
            <w:pPr>
              <w:spacing w:before="240" w:after="0" w:line="240" w:lineRule="auto"/>
              <w:jc w:val="center"/>
            </w:pPr>
            <w:r w:rsidRPr="001135A2">
              <w:t>$</w:t>
            </w:r>
            <w:r w:rsidR="001135A2" w:rsidRPr="001135A2">
              <w:t>429.858</w:t>
            </w:r>
          </w:p>
        </w:tc>
      </w:tr>
      <w:tr w:rsidR="00A70050" w:rsidRPr="001135A2" w14:paraId="1F3A60E9" w14:textId="77777777" w:rsidTr="00B1623D">
        <w:tc>
          <w:tcPr>
            <w:tcW w:w="2552" w:type="dxa"/>
          </w:tcPr>
          <w:p w14:paraId="53DBD4F8" w14:textId="7832C208" w:rsidR="00C54A79" w:rsidRPr="001135A2" w:rsidRDefault="00C54A79" w:rsidP="00C54A79">
            <w:pPr>
              <w:pStyle w:val="BodyText"/>
              <w:keepNext/>
              <w:numPr>
                <w:ilvl w:val="0"/>
                <w:numId w:val="0"/>
              </w:numPr>
            </w:pPr>
            <w:r w:rsidRPr="001135A2">
              <w:t>All other debts</w:t>
            </w:r>
          </w:p>
        </w:tc>
        <w:tc>
          <w:tcPr>
            <w:tcW w:w="1843" w:type="dxa"/>
          </w:tcPr>
          <w:p w14:paraId="3385FE31" w14:textId="5B5A3689" w:rsidR="00C54A79" w:rsidRPr="001135A2" w:rsidRDefault="00C54A79" w:rsidP="00C54A79">
            <w:pPr>
              <w:spacing w:before="240" w:after="0" w:line="240" w:lineRule="auto"/>
              <w:jc w:val="center"/>
              <w:rPr>
                <w:rFonts w:cs="Arial"/>
                <w:iCs/>
              </w:rPr>
            </w:pPr>
            <w:r w:rsidRPr="001135A2">
              <w:t>$</w:t>
            </w:r>
            <w:r w:rsidR="001135A2" w:rsidRPr="001135A2">
              <w:t>4,4</w:t>
            </w:r>
            <w:r w:rsidR="008656CA">
              <w:t>73.283</w:t>
            </w:r>
          </w:p>
        </w:tc>
        <w:tc>
          <w:tcPr>
            <w:tcW w:w="1701" w:type="dxa"/>
          </w:tcPr>
          <w:p w14:paraId="36757E4F" w14:textId="2FBBF293" w:rsidR="00C54A79" w:rsidRPr="001135A2" w:rsidRDefault="00C54A79" w:rsidP="00C54A79">
            <w:pPr>
              <w:spacing w:before="240" w:after="0" w:line="240" w:lineRule="auto"/>
              <w:jc w:val="center"/>
              <w:rPr>
                <w:rFonts w:cs="Arial"/>
                <w:iCs/>
              </w:rPr>
            </w:pPr>
            <w:r w:rsidRPr="001135A2">
              <w:t>$4</w:t>
            </w:r>
            <w:r w:rsidR="001135A2" w:rsidRPr="001135A2">
              <w:t>8,</w:t>
            </w:r>
            <w:r w:rsidR="008656CA">
              <w:t>672.914</w:t>
            </w:r>
          </w:p>
        </w:tc>
        <w:tc>
          <w:tcPr>
            <w:tcW w:w="1526" w:type="dxa"/>
          </w:tcPr>
          <w:p w14:paraId="547B74BD" w14:textId="7D24F4F1" w:rsidR="00C54A79" w:rsidRPr="001135A2" w:rsidRDefault="00C54A79" w:rsidP="00C54A79">
            <w:pPr>
              <w:spacing w:before="240" w:after="0" w:line="240" w:lineRule="auto"/>
              <w:jc w:val="center"/>
            </w:pPr>
            <w:r w:rsidRPr="001135A2">
              <w:t>$</w:t>
            </w:r>
            <w:r w:rsidR="001135A2" w:rsidRPr="001135A2">
              <w:t>53,</w:t>
            </w:r>
            <w:r w:rsidR="00171BC5">
              <w:t>146.198</w:t>
            </w:r>
          </w:p>
        </w:tc>
      </w:tr>
      <w:tr w:rsidR="00C54A79" w:rsidRPr="001135A2" w14:paraId="13FD0480" w14:textId="77777777" w:rsidTr="00B1623D">
        <w:tc>
          <w:tcPr>
            <w:tcW w:w="2552" w:type="dxa"/>
          </w:tcPr>
          <w:p w14:paraId="53173F16" w14:textId="482A557D" w:rsidR="00C54A79" w:rsidRPr="001135A2" w:rsidRDefault="00C54A79" w:rsidP="00C54A79">
            <w:pPr>
              <w:pStyle w:val="BodyText"/>
              <w:keepNext/>
              <w:numPr>
                <w:ilvl w:val="0"/>
                <w:numId w:val="0"/>
              </w:numPr>
              <w:rPr>
                <w:b/>
              </w:rPr>
            </w:pPr>
            <w:r w:rsidRPr="001135A2">
              <w:rPr>
                <w:b/>
              </w:rPr>
              <w:t>Total debts</w:t>
            </w:r>
          </w:p>
        </w:tc>
        <w:tc>
          <w:tcPr>
            <w:tcW w:w="1843" w:type="dxa"/>
          </w:tcPr>
          <w:p w14:paraId="3DDC223B" w14:textId="4CCE6395" w:rsidR="00C54A79" w:rsidRPr="001135A2" w:rsidRDefault="00C54A79" w:rsidP="00C54A79">
            <w:pPr>
              <w:spacing w:before="240" w:after="0" w:line="240" w:lineRule="auto"/>
              <w:jc w:val="center"/>
              <w:rPr>
                <w:rFonts w:cs="Arial"/>
                <w:b/>
                <w:iCs/>
              </w:rPr>
            </w:pPr>
            <w:r w:rsidRPr="001135A2">
              <w:rPr>
                <w:b/>
              </w:rPr>
              <w:t>$</w:t>
            </w:r>
            <w:r w:rsidR="001135A2" w:rsidRPr="001135A2">
              <w:rPr>
                <w:b/>
              </w:rPr>
              <w:t>4,</w:t>
            </w:r>
            <w:r w:rsidR="008656CA">
              <w:rPr>
                <w:b/>
              </w:rPr>
              <w:t>482.208</w:t>
            </w:r>
          </w:p>
        </w:tc>
        <w:tc>
          <w:tcPr>
            <w:tcW w:w="1701" w:type="dxa"/>
          </w:tcPr>
          <w:p w14:paraId="411A1936" w14:textId="43BCF7B2" w:rsidR="00C54A79" w:rsidRPr="001135A2" w:rsidRDefault="00C54A79" w:rsidP="00C54A79">
            <w:pPr>
              <w:spacing w:before="240" w:after="0" w:line="240" w:lineRule="auto"/>
              <w:jc w:val="center"/>
              <w:rPr>
                <w:rFonts w:cs="Arial"/>
                <w:b/>
                <w:iCs/>
              </w:rPr>
            </w:pPr>
            <w:r w:rsidRPr="001135A2">
              <w:rPr>
                <w:b/>
              </w:rPr>
              <w:t>$4</w:t>
            </w:r>
            <w:r w:rsidR="001135A2" w:rsidRPr="001135A2">
              <w:rPr>
                <w:b/>
              </w:rPr>
              <w:t>9,</w:t>
            </w:r>
            <w:r w:rsidR="008656CA">
              <w:rPr>
                <w:b/>
              </w:rPr>
              <w:t>093.</w:t>
            </w:r>
            <w:r w:rsidR="00171BC5">
              <w:rPr>
                <w:b/>
              </w:rPr>
              <w:t>848</w:t>
            </w:r>
          </w:p>
        </w:tc>
        <w:tc>
          <w:tcPr>
            <w:tcW w:w="1526" w:type="dxa"/>
          </w:tcPr>
          <w:p w14:paraId="2145F60D" w14:textId="641245A4" w:rsidR="00C54A79" w:rsidRPr="001135A2" w:rsidRDefault="00C54A79" w:rsidP="00C54A79">
            <w:pPr>
              <w:spacing w:before="240" w:after="0" w:line="240" w:lineRule="auto"/>
              <w:jc w:val="center"/>
              <w:rPr>
                <w:b/>
              </w:rPr>
            </w:pPr>
            <w:r w:rsidRPr="001135A2">
              <w:rPr>
                <w:b/>
              </w:rPr>
              <w:t>$</w:t>
            </w:r>
            <w:r w:rsidR="00377721">
              <w:rPr>
                <w:b/>
              </w:rPr>
              <w:t>5</w:t>
            </w:r>
            <w:r w:rsidR="001135A2" w:rsidRPr="001135A2">
              <w:rPr>
                <w:b/>
              </w:rPr>
              <w:t>3,</w:t>
            </w:r>
            <w:r w:rsidR="00171BC5">
              <w:rPr>
                <w:b/>
              </w:rPr>
              <w:t>576.056</w:t>
            </w:r>
          </w:p>
        </w:tc>
      </w:tr>
    </w:tbl>
    <w:p w14:paraId="4DAB507B" w14:textId="5EAA7C97" w:rsidR="003620D0" w:rsidRPr="001135A2" w:rsidRDefault="003620D0">
      <w:pPr>
        <w:spacing w:before="0" w:after="0" w:line="240" w:lineRule="auto"/>
        <w:jc w:val="left"/>
      </w:pPr>
    </w:p>
    <w:p w14:paraId="5453BC75" w14:textId="77777777" w:rsidR="00552589" w:rsidRPr="001135A2" w:rsidRDefault="00552589" w:rsidP="00222CB3">
      <w:pPr>
        <w:spacing w:before="0" w:after="0" w:line="240" w:lineRule="auto"/>
        <w:ind w:firstLine="709"/>
        <w:jc w:val="left"/>
        <w:rPr>
          <w:u w:val="single"/>
        </w:rPr>
      </w:pPr>
    </w:p>
    <w:sectPr w:rsidR="00552589" w:rsidRPr="001135A2" w:rsidSect="005750A7">
      <w:headerReference w:type="first" r:id="rId21"/>
      <w:pgSz w:w="11906" w:h="16838"/>
      <w:pgMar w:top="1440" w:right="1797" w:bottom="1440" w:left="1797" w:header="709" w:footer="446"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BC953" w14:textId="77777777" w:rsidR="009304A9" w:rsidRDefault="009304A9">
      <w:r>
        <w:separator/>
      </w:r>
    </w:p>
  </w:endnote>
  <w:endnote w:type="continuationSeparator" w:id="0">
    <w:p w14:paraId="624BE501" w14:textId="77777777" w:rsidR="009304A9" w:rsidRDefault="0093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5">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77DCF" w14:textId="77777777" w:rsidR="009304A9" w:rsidRDefault="009304A9">
    <w:pPr>
      <w:pStyle w:val="Footer"/>
    </w:pPr>
  </w:p>
  <w:p w14:paraId="27522905" w14:textId="06007243" w:rsidR="009304A9" w:rsidRDefault="00C80517" w:rsidP="0016047B">
    <w:pPr>
      <w:pStyle w:val="SecurityClassificationFooter"/>
    </w:pPr>
    <w:r>
      <w:fldChar w:fldCharType="begin"/>
    </w:r>
    <w:r>
      <w:instrText xml:space="preserve"> DOCPROPERTY WorkingDocStatus \* MERGEFORMAT </w:instrText>
    </w:r>
    <w:r>
      <w:fldChar w:fldCharType="separate"/>
    </w:r>
    <w:r w:rsidR="000106DA">
      <w:t>DRAFT WORKING DOCUMENT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3FFE" w14:textId="56BA0B71" w:rsidR="009304A9" w:rsidRDefault="009304A9" w:rsidP="005750A7">
    <w:pPr>
      <w:pStyle w:val="Footer"/>
      <w:tabs>
        <w:tab w:val="clear" w:pos="4153"/>
        <w:tab w:val="clear" w:pos="8306"/>
        <w:tab w:val="center" w:pos="8222"/>
        <w:tab w:val="right" w:pos="8800"/>
      </w:tabs>
      <w:spacing w:before="0"/>
      <w:ind w:firstLine="396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ab/>
    </w:r>
    <w:r>
      <w:rPr>
        <w:noProof/>
        <w:position w:val="-48"/>
        <w:lang w:eastAsia="en-AU"/>
      </w:rPr>
      <w:drawing>
        <wp:inline distT="0" distB="0" distL="0" distR="0" wp14:anchorId="21BF4A6B" wp14:editId="4296AD7C">
          <wp:extent cx="1190625" cy="523875"/>
          <wp:effectExtent l="19050" t="0" r="9525" b="0"/>
          <wp:docPr id="1" name="Picture 1"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text%20for%20template"/>
                  <pic:cNvPicPr>
                    <a:picLocks noChangeAspect="1" noChangeArrowheads="1"/>
                  </pic:cNvPicPr>
                </pic:nvPicPr>
                <pic:blipFill>
                  <a:blip r:embed="rId1"/>
                  <a:srcRect/>
                  <a:stretch>
                    <a:fillRect/>
                  </a:stretch>
                </pic:blipFill>
                <pic:spPr bwMode="auto">
                  <a:xfrm>
                    <a:off x="0" y="0"/>
                    <a:ext cx="1190625" cy="523875"/>
                  </a:xfrm>
                  <a:prstGeom prst="rect">
                    <a:avLst/>
                  </a:prstGeom>
                  <a:noFill/>
                  <a:ln w="9525">
                    <a:noFill/>
                    <a:miter lim="800000"/>
                    <a:headEnd/>
                    <a:tailEnd/>
                  </a:ln>
                </pic:spPr>
              </pic:pic>
            </a:graphicData>
          </a:graphic>
        </wp:inline>
      </w:drawing>
    </w:r>
  </w:p>
  <w:p w14:paraId="65E4BFD9" w14:textId="77777777" w:rsidR="009304A9" w:rsidRDefault="009304A9" w:rsidP="00420702">
    <w:pPr>
      <w:pStyle w:val="SecurityClassification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18610" w14:textId="77777777" w:rsidR="009304A9" w:rsidRDefault="009304A9" w:rsidP="004C1F8D">
    <w:pPr>
      <w:pStyle w:val="Footer"/>
      <w:jc w:val="right"/>
    </w:pPr>
  </w:p>
  <w:p w14:paraId="70D0E269" w14:textId="77777777" w:rsidR="009304A9" w:rsidRPr="004C1F8D" w:rsidRDefault="009304A9" w:rsidP="0016047B">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7CC7" w14:textId="77777777" w:rsidR="009304A9" w:rsidRDefault="009304A9" w:rsidP="005750A7">
    <w:pPr>
      <w:pStyle w:val="Footer"/>
      <w:tabs>
        <w:tab w:val="clear" w:pos="4153"/>
        <w:tab w:val="clear" w:pos="8306"/>
        <w:tab w:val="center" w:pos="8222"/>
        <w:tab w:val="right" w:pos="8800"/>
      </w:tabs>
      <w:spacing w:before="0"/>
      <w:ind w:firstLine="3969"/>
      <w:rPr>
        <w:rStyle w:val="PageNumber"/>
      </w:rPr>
    </w:pPr>
    <w:r>
      <w:rPr>
        <w:rStyle w:val="PageNumber"/>
      </w:rPr>
      <w:tab/>
    </w:r>
    <w:r>
      <w:rPr>
        <w:noProof/>
        <w:position w:val="-48"/>
        <w:lang w:eastAsia="en-AU"/>
      </w:rPr>
      <w:drawing>
        <wp:inline distT="0" distB="0" distL="0" distR="0" wp14:anchorId="218B54E6" wp14:editId="7944B47F">
          <wp:extent cx="1190625" cy="523875"/>
          <wp:effectExtent l="19050" t="0" r="9525" b="0"/>
          <wp:docPr id="8" name="Picture 8"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text%20for%20template"/>
                  <pic:cNvPicPr>
                    <a:picLocks noChangeAspect="1" noChangeArrowheads="1"/>
                  </pic:cNvPicPr>
                </pic:nvPicPr>
                <pic:blipFill>
                  <a:blip r:embed="rId1"/>
                  <a:srcRect/>
                  <a:stretch>
                    <a:fillRect/>
                  </a:stretch>
                </pic:blipFill>
                <pic:spPr bwMode="auto">
                  <a:xfrm>
                    <a:off x="0" y="0"/>
                    <a:ext cx="1190625" cy="523875"/>
                  </a:xfrm>
                  <a:prstGeom prst="rect">
                    <a:avLst/>
                  </a:prstGeom>
                  <a:noFill/>
                  <a:ln w="9525">
                    <a:noFill/>
                    <a:miter lim="800000"/>
                    <a:headEnd/>
                    <a:tailEnd/>
                  </a:ln>
                </pic:spPr>
              </pic:pic>
            </a:graphicData>
          </a:graphic>
        </wp:inline>
      </w:drawing>
    </w:r>
  </w:p>
  <w:p w14:paraId="70E0B7E8" w14:textId="77777777" w:rsidR="009304A9" w:rsidRPr="005126B2" w:rsidRDefault="009304A9" w:rsidP="0016047B">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BB302" w14:textId="77777777" w:rsidR="009304A9" w:rsidRDefault="009304A9">
      <w:r>
        <w:separator/>
      </w:r>
    </w:p>
  </w:footnote>
  <w:footnote w:type="continuationSeparator" w:id="0">
    <w:p w14:paraId="44136D4C" w14:textId="77777777" w:rsidR="009304A9" w:rsidRDefault="00930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71F3" w14:textId="479367DA" w:rsidR="009304A9" w:rsidRDefault="00C80517" w:rsidP="0016047B">
    <w:pPr>
      <w:pStyle w:val="SecurityClassificationHeader"/>
    </w:pPr>
    <w:r>
      <w:fldChar w:fldCharType="begin"/>
    </w:r>
    <w:r>
      <w:instrText xml:space="preserve"> DOCPROPERTY WorkingDocStatus \* MERGEFORMAT </w:instrText>
    </w:r>
    <w:r>
      <w:fldChar w:fldCharType="separate"/>
    </w:r>
    <w:r w:rsidR="000106DA">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A88E2" w14:textId="12A95CAC" w:rsidR="009304A9" w:rsidRDefault="00C80517" w:rsidP="0016047B">
    <w:pPr>
      <w:pStyle w:val="SecurityClassificationHeader"/>
    </w:pPr>
    <w:r>
      <w:fldChar w:fldCharType="begin"/>
    </w:r>
    <w:r>
      <w:instrText xml:space="preserve"> DOCPROPERTY WorkingDocStatus \* MERGEFORMAT </w:instrText>
    </w:r>
    <w:r>
      <w:fldChar w:fldCharType="separate"/>
    </w:r>
    <w:r w:rsidR="000106DA">
      <w:t>DRAFT WORKING DOCUMENT</w:t>
    </w:r>
    <w:r>
      <w:fldChar w:fldCharType="end"/>
    </w:r>
    <w:r>
      <w:fldChar w:fldCharType="begin"/>
    </w:r>
    <w:r>
      <w:instrText xml:space="preserve"> STYLEREF  "Report Title"  \* MERGEFORMAT </w:instrText>
    </w:r>
    <w:r>
      <w:fldChar w:fldCharType="separate"/>
    </w:r>
    <w:r w:rsidR="000106DA">
      <w:t>Reporting of HELP Receivable at 30 June 2021</w:t>
    </w:r>
    <w:r>
      <w:fldChar w:fldCharType="end"/>
    </w:r>
    <w:r>
      <w:fldChar w:fldCharType="begin"/>
    </w:r>
    <w:r>
      <w:instrText xml:space="preserve"> STYLEREF  "Report Title"  \* MERGEFORMAT </w:instrText>
    </w:r>
    <w:r>
      <w:fldChar w:fldCharType="separate"/>
    </w:r>
    <w:r w:rsidR="000106DA">
      <w:t>Reporting of HELP Receivable at 30 June 2021</w:t>
    </w:r>
    <w:r>
      <w:fldChar w:fldCharType="end"/>
    </w:r>
    <w:r w:rsidR="009304A9">
      <w:fldChar w:fldCharType="begin"/>
    </w:r>
    <w:r w:rsidR="009304A9">
      <w:instrText xml:space="preserve"> REF ReportTitle \h </w:instrText>
    </w:r>
    <w:r w:rsidR="009304A9">
      <w:fldChar w:fldCharType="separate"/>
    </w:r>
    <w:r w:rsidR="000106DA">
      <w:rPr>
        <w:b w:val="0"/>
        <w:bCs/>
        <w:lang w:val="en-US"/>
      </w:rPr>
      <w:t>Error! Reference source not found.</w:t>
    </w:r>
    <w:r w:rsidR="009304A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CB00" w14:textId="77777777" w:rsidR="009304A9" w:rsidRDefault="009304A9" w:rsidP="00B24731">
    <w:pPr>
      <w:pStyle w:val="Header"/>
      <w:jc w:val="center"/>
    </w:pPr>
    <w:r>
      <w:rPr>
        <w:noProof/>
        <w:lang w:eastAsia="en-AU"/>
      </w:rPr>
      <w:drawing>
        <wp:inline distT="0" distB="0" distL="0" distR="0" wp14:anchorId="298A33E2" wp14:editId="35F523AB">
          <wp:extent cx="1838325" cy="971550"/>
          <wp:effectExtent l="19050" t="0" r="9525" b="0"/>
          <wp:docPr id="5" name="Picture 5" descr="Austrlian%20Governmnet%20Actua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lian%20Governmnet%20Actuary_stacked"/>
                  <pic:cNvPicPr>
                    <a:picLocks noChangeAspect="1" noChangeArrowheads="1"/>
                  </pic:cNvPicPr>
                </pic:nvPicPr>
                <pic:blipFill>
                  <a:blip r:embed="rId1"/>
                  <a:srcRect/>
                  <a:stretch>
                    <a:fillRect/>
                  </a:stretch>
                </pic:blipFill>
                <pic:spPr bwMode="auto">
                  <a:xfrm>
                    <a:off x="0" y="0"/>
                    <a:ext cx="1838325" cy="9715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A6466" w14:textId="77777777" w:rsidR="009304A9" w:rsidRDefault="009304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53B1" w14:textId="4F76A060" w:rsidR="009304A9" w:rsidRDefault="009304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C5662" w14:textId="77777777" w:rsidR="009304A9" w:rsidRDefault="009304A9" w:rsidP="0016047B">
    <w:pPr>
      <w:pStyle w:val="SecurityClassificationHeader"/>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0FBF9" w14:textId="1E18F2EA" w:rsidR="009304A9" w:rsidRDefault="009304A9" w:rsidP="003677D5">
    <w:pPr>
      <w:pStyle w:val="SecurityClassificationHeader"/>
      <w:jc w:val="right"/>
    </w:pPr>
    <w:r>
      <w:t>REPORTING OF HELP RECEIVABLE at 30 june 2021</w:t>
    </w:r>
  </w:p>
  <w:p w14:paraId="6C8F5399" w14:textId="77777777" w:rsidR="009304A9" w:rsidRDefault="009304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380C"/>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 w15:restartNumberingAfterBreak="0">
    <w:nsid w:val="1FDD0F5A"/>
    <w:multiLevelType w:val="singleLevel"/>
    <w:tmpl w:val="6F14EA2A"/>
    <w:name w:val="StandardNumberedParagraphList"/>
    <w:lvl w:ilvl="0">
      <w:start w:val="2"/>
      <w:numFmt w:val="decimal"/>
      <w:pStyle w:val="NumberedParagraph"/>
      <w:lvlText w:val="%1"/>
      <w:lvlJc w:val="left"/>
      <w:pPr>
        <w:tabs>
          <w:tab w:val="num" w:pos="850"/>
        </w:tabs>
        <w:ind w:left="850" w:hanging="850"/>
      </w:pPr>
    </w:lvl>
  </w:abstractNum>
  <w:abstractNum w:abstractNumId="2" w15:restartNumberingAfterBreak="0">
    <w:nsid w:val="2140509D"/>
    <w:multiLevelType w:val="multilevel"/>
    <w:tmpl w:val="AAD88BFC"/>
    <w:lvl w:ilvl="0">
      <w:start w:val="1"/>
      <w:numFmt w:val="decimal"/>
      <w:pStyle w:val="Heading1"/>
      <w:lvlText w:val="%1"/>
      <w:lvlJc w:val="left"/>
      <w:pPr>
        <w:tabs>
          <w:tab w:val="num" w:pos="850"/>
        </w:tabs>
        <w:ind w:left="850" w:hanging="850"/>
      </w:pPr>
      <w:rPr>
        <w:rFonts w:ascii="Arial" w:hAnsi="Arial" w:cs="Arial" w:hint="default"/>
        <w:b/>
        <w:i w:val="0"/>
        <w:sz w:val="28"/>
        <w:szCs w:val="28"/>
      </w:rPr>
    </w:lvl>
    <w:lvl w:ilvl="1">
      <w:start w:val="1"/>
      <w:numFmt w:val="decimal"/>
      <w:pStyle w:val="Heading2"/>
      <w:lvlText w:val="%1.%2"/>
      <w:lvlJc w:val="left"/>
      <w:pPr>
        <w:tabs>
          <w:tab w:val="num" w:pos="850"/>
        </w:tabs>
        <w:ind w:left="850" w:hanging="850"/>
      </w:pPr>
      <w:rPr>
        <w:rFonts w:ascii="Arial" w:hAnsi="Arial" w:cs="Arial" w:hint="default"/>
        <w:b/>
        <w:i/>
        <w:sz w:val="24"/>
        <w:szCs w:val="24"/>
      </w:rPr>
    </w:lvl>
    <w:lvl w:ilvl="2">
      <w:start w:val="1"/>
      <w:numFmt w:val="decimal"/>
      <w:pStyle w:val="BodyText"/>
      <w:lvlText w:val="%1.%3"/>
      <w:lvlJc w:val="left"/>
      <w:pPr>
        <w:tabs>
          <w:tab w:val="num" w:pos="850"/>
        </w:tabs>
        <w:ind w:left="850" w:hanging="850"/>
      </w:pPr>
      <w:rPr>
        <w:rFonts w:ascii="Arial" w:hAnsi="Arial" w:cs="Arial" w:hint="default"/>
        <w:b w:val="0"/>
        <w:i w:val="0"/>
        <w:sz w:val="20"/>
        <w:szCs w:val="20"/>
      </w:rPr>
    </w:lvl>
    <w:lvl w:ilvl="3">
      <w:start w:val="1"/>
      <w:numFmt w:val="decimal"/>
      <w:pStyle w:val="BodyText2"/>
      <w:lvlText w:val="%1.%2.%4"/>
      <w:lvlJc w:val="left"/>
      <w:pPr>
        <w:tabs>
          <w:tab w:val="num" w:pos="850"/>
        </w:tabs>
        <w:ind w:left="850" w:hanging="850"/>
      </w:pPr>
      <w:rPr>
        <w:rFonts w:ascii="Arial" w:hAnsi="Arial" w:cs="Arial" w:hint="default"/>
        <w:b w:val="0"/>
        <w:i w:val="0"/>
        <w:sz w:val="20"/>
        <w:szCs w:val="20"/>
      </w:rPr>
    </w:lvl>
    <w:lvl w:ilvl="4">
      <w:start w:val="1"/>
      <w:numFmt w:val="bullet"/>
      <w:lvlText w:val=""/>
      <w:lvlJc w:val="left"/>
      <w:pPr>
        <w:tabs>
          <w:tab w:val="num" w:pos="1418"/>
        </w:tabs>
        <w:ind w:left="1418" w:hanging="567"/>
      </w:pPr>
      <w:rPr>
        <w:rFonts w:ascii="Symbol" w:hAnsi="Symbol"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CB6029"/>
    <w:multiLevelType w:val="multilevel"/>
    <w:tmpl w:val="0C09001D"/>
    <w:name w:val="StandardHeadingList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E64CAB"/>
    <w:multiLevelType w:val="multilevel"/>
    <w:tmpl w:val="925654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pStyle w:val="Heading5"/>
      <w:lvlText w:val=""/>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1DD3640"/>
    <w:multiLevelType w:val="multilevel"/>
    <w:tmpl w:val="0C09001D"/>
    <w:name w:val="StandardHeadingList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C6671B"/>
    <w:multiLevelType w:val="multilevel"/>
    <w:tmpl w:val="1DEA1C5A"/>
    <w:name w:val="StandardHeadingList4"/>
    <w:lvl w:ilvl="0">
      <w:start w:val="1"/>
      <w:numFmt w:val="decimal"/>
      <w:lvlText w:val="%1"/>
      <w:lvlJc w:val="left"/>
      <w:pPr>
        <w:tabs>
          <w:tab w:val="num" w:pos="850"/>
        </w:tabs>
        <w:ind w:left="850" w:hanging="850"/>
      </w:pPr>
      <w:rPr>
        <w:rFonts w:ascii="Trebuchet MS" w:hAnsi="Trebuchet MS" w:hint="default"/>
        <w:b/>
        <w:i w:val="0"/>
        <w:sz w:val="28"/>
      </w:rPr>
    </w:lvl>
    <w:lvl w:ilvl="1">
      <w:start w:val="1"/>
      <w:numFmt w:val="decimal"/>
      <w:lvlText w:val="%1.%2"/>
      <w:lvlJc w:val="left"/>
      <w:pPr>
        <w:tabs>
          <w:tab w:val="num" w:pos="850"/>
        </w:tabs>
        <w:ind w:left="850" w:hanging="850"/>
      </w:pPr>
      <w:rPr>
        <w:rFonts w:ascii="Trebuchet MS" w:hAnsi="Trebuchet MS" w:hint="default"/>
        <w:b/>
        <w:i/>
        <w:sz w:val="24"/>
      </w:rPr>
    </w:lvl>
    <w:lvl w:ilvl="2">
      <w:start w:val="1"/>
      <w:numFmt w:val="decimal"/>
      <w:lvlText w:val="%1.%2.%3"/>
      <w:lvlJc w:val="left"/>
      <w:pPr>
        <w:tabs>
          <w:tab w:val="num" w:pos="1134"/>
        </w:tabs>
        <w:ind w:left="1134" w:hanging="1134"/>
      </w:pPr>
      <w:rPr>
        <w:rFonts w:ascii="Trebuchet MS" w:hAnsi="Trebuchet MS" w:hint="default"/>
        <w:b w:val="0"/>
        <w:i w:val="0"/>
        <w:sz w:val="22"/>
      </w:rPr>
    </w:lvl>
    <w:lvl w:ilvl="3">
      <w:start w:val="1"/>
      <w:numFmt w:val="bullet"/>
      <w:lvlText w:val=""/>
      <w:lvlJc w:val="left"/>
      <w:pPr>
        <w:tabs>
          <w:tab w:val="num" w:pos="851"/>
        </w:tabs>
        <w:ind w:left="851" w:hanging="851"/>
      </w:pPr>
      <w:rPr>
        <w:rFonts w:ascii="Symbol" w:hAnsi="Symbol" w:hint="default"/>
        <w:sz w:val="28"/>
      </w:rPr>
    </w:lvl>
    <w:lvl w:ilvl="4">
      <w:start w:val="1"/>
      <w:numFmt w:val="bullet"/>
      <w:lvlText w:val=""/>
      <w:lvlJc w:val="left"/>
      <w:pPr>
        <w:tabs>
          <w:tab w:val="num" w:pos="1418"/>
        </w:tabs>
        <w:ind w:left="1418" w:hanging="567"/>
      </w:pPr>
      <w:rPr>
        <w:rFonts w:ascii="Symbol" w:hAnsi="Symbol"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FE5266"/>
    <w:multiLevelType w:val="multilevel"/>
    <w:tmpl w:val="049E660A"/>
    <w:name w:val="StandardHeadingList3"/>
    <w:lvl w:ilvl="0">
      <w:start w:val="1"/>
      <w:numFmt w:val="decimal"/>
      <w:lvlText w:val="%1"/>
      <w:lvlJc w:val="left"/>
      <w:pPr>
        <w:tabs>
          <w:tab w:val="num" w:pos="850"/>
        </w:tabs>
        <w:ind w:left="850" w:hanging="850"/>
      </w:pPr>
      <w:rPr>
        <w:rFonts w:ascii="Trebuchet MS" w:hAnsi="Trebuchet MS" w:hint="default"/>
        <w:b/>
        <w:i w:val="0"/>
        <w:sz w:val="28"/>
      </w:rPr>
    </w:lvl>
    <w:lvl w:ilvl="1">
      <w:start w:val="1"/>
      <w:numFmt w:val="decimal"/>
      <w:lvlText w:val="%1.%2"/>
      <w:lvlJc w:val="left"/>
      <w:pPr>
        <w:tabs>
          <w:tab w:val="num" w:pos="850"/>
        </w:tabs>
        <w:ind w:left="850" w:hanging="850"/>
      </w:pPr>
      <w:rPr>
        <w:rFonts w:ascii="Trebuchet MS" w:hAnsi="Trebuchet MS" w:hint="default"/>
        <w:b/>
        <w:i/>
        <w:sz w:val="24"/>
      </w:rPr>
    </w:lvl>
    <w:lvl w:ilvl="2">
      <w:start w:val="1"/>
      <w:numFmt w:val="decimal"/>
      <w:lvlText w:val="%1.%2.%3"/>
      <w:lvlJc w:val="left"/>
      <w:pPr>
        <w:tabs>
          <w:tab w:val="num" w:pos="1134"/>
        </w:tabs>
        <w:ind w:left="1134" w:hanging="1134"/>
      </w:pPr>
      <w:rPr>
        <w:rFonts w:ascii="Trebuchet MS" w:hAnsi="Trebuchet MS" w:hint="default"/>
        <w:b w:val="0"/>
        <w:i w:val="0"/>
        <w:sz w:val="22"/>
      </w:rPr>
    </w:lvl>
    <w:lvl w:ilvl="3">
      <w:start w:val="1"/>
      <w:numFmt w:val="bullet"/>
      <w:lvlText w:val=""/>
      <w:lvlJc w:val="left"/>
      <w:pPr>
        <w:tabs>
          <w:tab w:val="num" w:pos="851"/>
        </w:tabs>
        <w:ind w:left="851" w:hanging="851"/>
      </w:pPr>
      <w:rPr>
        <w:rFonts w:ascii="Symbol" w:hAnsi="Symbol" w:hint="default"/>
        <w:sz w:val="28"/>
      </w:rPr>
    </w:lvl>
    <w:lvl w:ilvl="4">
      <w:start w:val="1"/>
      <w:numFmt w:val="bullet"/>
      <w:lvlText w:val=""/>
      <w:lvlJc w:val="left"/>
      <w:pPr>
        <w:tabs>
          <w:tab w:val="num" w:pos="1418"/>
        </w:tabs>
        <w:ind w:left="1418" w:hanging="567"/>
      </w:pPr>
      <w:rPr>
        <w:rFonts w:ascii="Symbol" w:hAnsi="Symbol"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63D662D"/>
    <w:multiLevelType w:val="multilevel"/>
    <w:tmpl w:val="0C09001D"/>
    <w:name w:val="AGAReportBulleted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04D7167"/>
    <w:multiLevelType w:val="multilevel"/>
    <w:tmpl w:val="21622140"/>
    <w:name w:val="AGAReportBulletedList"/>
    <w:lvl w:ilvl="0">
      <w:start w:val="1"/>
      <w:numFmt w:val="bullet"/>
      <w:pStyle w:val="Bullet"/>
      <w:lvlText w:val="•"/>
      <w:lvlJc w:val="left"/>
      <w:pPr>
        <w:tabs>
          <w:tab w:val="num" w:pos="1418"/>
        </w:tabs>
        <w:ind w:left="1418" w:hanging="567"/>
      </w:pPr>
      <w:rPr>
        <w:rFonts w:hint="default"/>
      </w:rPr>
    </w:lvl>
    <w:lvl w:ilvl="1">
      <w:start w:val="1"/>
      <w:numFmt w:val="bullet"/>
      <w:pStyle w:val="Dash"/>
      <w:lvlText w:val="–"/>
      <w:lvlJc w:val="left"/>
      <w:pPr>
        <w:tabs>
          <w:tab w:val="num" w:pos="1985"/>
        </w:tabs>
        <w:ind w:left="1985" w:hanging="567"/>
      </w:pPr>
      <w:rPr>
        <w:rFonts w:hint="default"/>
      </w:rPr>
    </w:lvl>
    <w:lvl w:ilvl="2">
      <w:start w:val="1"/>
      <w:numFmt w:val="bullet"/>
      <w:pStyle w:val="DoubleDot"/>
      <w:lvlText w:val=":"/>
      <w:lvlJc w:val="left"/>
      <w:pPr>
        <w:tabs>
          <w:tab w:val="num" w:pos="2552"/>
        </w:tabs>
        <w:ind w:left="2552" w:hanging="567"/>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58631FBA"/>
    <w:multiLevelType w:val="hybridMultilevel"/>
    <w:tmpl w:val="CA5E32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3E6583"/>
    <w:multiLevelType w:val="multilevel"/>
    <w:tmpl w:val="0C09001D"/>
    <w:name w:val="StandardHeading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4236237"/>
    <w:multiLevelType w:val="hybridMultilevel"/>
    <w:tmpl w:val="287C60EC"/>
    <w:lvl w:ilvl="0" w:tplc="778E2290">
      <w:start w:val="1"/>
      <w:numFmt w:val="bullet"/>
      <w:pStyle w:val="TenderBullet"/>
      <w:lvlText w:val=""/>
      <w:lvlJc w:val="left"/>
      <w:pPr>
        <w:tabs>
          <w:tab w:val="num" w:pos="1080"/>
        </w:tabs>
        <w:ind w:left="1080" w:hanging="72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EB7CD2"/>
    <w:multiLevelType w:val="multilevel"/>
    <w:tmpl w:val="94726B66"/>
    <w:name w:val="StandardHeadingListAG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134"/>
        </w:tabs>
        <w:ind w:left="1134" w:hanging="1134"/>
      </w:pPr>
      <w:rPr>
        <w:rFonts w:ascii="Univers 55" w:hAnsi="Univers 55" w:hint="default"/>
      </w:rPr>
    </w:lvl>
    <w:lvl w:ilvl="3">
      <w:start w:val="1"/>
      <w:numFmt w:val="decimal"/>
      <w:isLgl/>
      <w:lvlText w:val="%1.%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9A449E7"/>
    <w:multiLevelType w:val="multilevel"/>
    <w:tmpl w:val="21AC0DA8"/>
    <w:name w:val="StandardHeadingList2"/>
    <w:lvl w:ilvl="0">
      <w:start w:val="1"/>
      <w:numFmt w:val="decimal"/>
      <w:lvlText w:val="%1"/>
      <w:lvlJc w:val="left"/>
      <w:pPr>
        <w:tabs>
          <w:tab w:val="num" w:pos="850"/>
        </w:tabs>
        <w:ind w:left="850" w:hanging="850"/>
      </w:pPr>
      <w:rPr>
        <w:rFonts w:ascii="Trebuchet MS" w:hAnsi="Trebuchet MS" w:hint="default"/>
        <w:b/>
        <w:i w:val="0"/>
        <w:sz w:val="28"/>
      </w:rPr>
    </w:lvl>
    <w:lvl w:ilvl="1">
      <w:start w:val="1"/>
      <w:numFmt w:val="decimal"/>
      <w:lvlText w:val="%1.%2"/>
      <w:lvlJc w:val="left"/>
      <w:pPr>
        <w:tabs>
          <w:tab w:val="num" w:pos="850"/>
        </w:tabs>
        <w:ind w:left="850" w:hanging="850"/>
      </w:pPr>
      <w:rPr>
        <w:rFonts w:ascii="Trebuchet MS" w:hAnsi="Trebuchet MS" w:hint="default"/>
        <w:b/>
        <w:i/>
        <w:sz w:val="24"/>
      </w:rPr>
    </w:lvl>
    <w:lvl w:ilvl="2">
      <w:start w:val="1"/>
      <w:numFmt w:val="decimal"/>
      <w:lvlText w:val="%1.%2.%3"/>
      <w:lvlJc w:val="left"/>
      <w:pPr>
        <w:tabs>
          <w:tab w:val="num" w:pos="1134"/>
        </w:tabs>
        <w:ind w:left="1134" w:hanging="1134"/>
      </w:pPr>
      <w:rPr>
        <w:rFonts w:ascii="Trebuchet MS" w:hAnsi="Trebuchet MS" w:hint="default"/>
        <w:b w:val="0"/>
        <w:i w:val="0"/>
        <w:sz w:val="22"/>
      </w:rPr>
    </w:lvl>
    <w:lvl w:ilvl="3">
      <w:start w:val="1"/>
      <w:numFmt w:val="bullet"/>
      <w:lvlText w:val=""/>
      <w:lvlJc w:val="left"/>
      <w:pPr>
        <w:tabs>
          <w:tab w:val="num" w:pos="851"/>
        </w:tabs>
        <w:ind w:left="851" w:hanging="851"/>
      </w:pPr>
      <w:rPr>
        <w:rFonts w:ascii="Symbol" w:hAnsi="Symbol" w:hint="default"/>
        <w:sz w:val="28"/>
      </w:rPr>
    </w:lvl>
    <w:lvl w:ilvl="4">
      <w:start w:val="1"/>
      <w:numFmt w:val="bullet"/>
      <w:lvlText w:val=""/>
      <w:lvlJc w:val="left"/>
      <w:pPr>
        <w:tabs>
          <w:tab w:val="num" w:pos="1418"/>
        </w:tabs>
        <w:ind w:left="1418" w:hanging="567"/>
      </w:pPr>
      <w:rPr>
        <w:rFonts w:ascii="Symbol" w:hAnsi="Symbol"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
  </w:num>
  <w:num w:numId="3">
    <w:abstractNumId w:val="4"/>
  </w:num>
  <w:num w:numId="4">
    <w:abstractNumId w:val="2"/>
  </w:num>
  <w:num w:numId="5">
    <w:abstractNumId w:val="2"/>
  </w:num>
  <w:num w:numId="6">
    <w:abstractNumId w:val="2"/>
  </w:num>
  <w:num w:numId="7">
    <w:abstractNumId w:val="4"/>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1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0"/>
  </w:num>
  <w:num w:numId="36">
    <w:abstractNumId w:val="2"/>
  </w:num>
  <w:num w:numId="37">
    <w:abstractNumId w:val="2"/>
  </w:num>
  <w:num w:numId="38">
    <w:abstractNumId w:val="2"/>
  </w:num>
  <w:num w:numId="39">
    <w:abstractNumId w:val="2"/>
  </w:num>
  <w:num w:numId="40">
    <w:abstractNumId w:val="2"/>
  </w:num>
  <w:num w:numId="41">
    <w:abstractNumId w:val="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1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True"/>
  </w:docVars>
  <w:rsids>
    <w:rsidRoot w:val="003677D5"/>
    <w:rsid w:val="00005479"/>
    <w:rsid w:val="000071F3"/>
    <w:rsid w:val="00007372"/>
    <w:rsid w:val="00007650"/>
    <w:rsid w:val="0001044F"/>
    <w:rsid w:val="000106DA"/>
    <w:rsid w:val="00011E36"/>
    <w:rsid w:val="00011FD9"/>
    <w:rsid w:val="000138C3"/>
    <w:rsid w:val="00013ADF"/>
    <w:rsid w:val="00014004"/>
    <w:rsid w:val="00017C36"/>
    <w:rsid w:val="00020308"/>
    <w:rsid w:val="00021C5D"/>
    <w:rsid w:val="00022BA1"/>
    <w:rsid w:val="00022BA2"/>
    <w:rsid w:val="00023146"/>
    <w:rsid w:val="00027AD2"/>
    <w:rsid w:val="00032B94"/>
    <w:rsid w:val="000404CA"/>
    <w:rsid w:val="00041571"/>
    <w:rsid w:val="00047FCC"/>
    <w:rsid w:val="00053E7B"/>
    <w:rsid w:val="00054085"/>
    <w:rsid w:val="000575A7"/>
    <w:rsid w:val="0006269F"/>
    <w:rsid w:val="00062A8C"/>
    <w:rsid w:val="00063F42"/>
    <w:rsid w:val="0006593B"/>
    <w:rsid w:val="000672AD"/>
    <w:rsid w:val="000672EC"/>
    <w:rsid w:val="00067C84"/>
    <w:rsid w:val="00076FF3"/>
    <w:rsid w:val="00077EDE"/>
    <w:rsid w:val="00081F9E"/>
    <w:rsid w:val="000825A5"/>
    <w:rsid w:val="00083411"/>
    <w:rsid w:val="000866ED"/>
    <w:rsid w:val="00090229"/>
    <w:rsid w:val="000905AA"/>
    <w:rsid w:val="000949C9"/>
    <w:rsid w:val="000953BF"/>
    <w:rsid w:val="000962BC"/>
    <w:rsid w:val="00096D5B"/>
    <w:rsid w:val="00096F9D"/>
    <w:rsid w:val="00097075"/>
    <w:rsid w:val="000A1220"/>
    <w:rsid w:val="000A2DB0"/>
    <w:rsid w:val="000A7254"/>
    <w:rsid w:val="000A7ECB"/>
    <w:rsid w:val="000B0A4B"/>
    <w:rsid w:val="000B2540"/>
    <w:rsid w:val="000B42CE"/>
    <w:rsid w:val="000B6856"/>
    <w:rsid w:val="000B6C53"/>
    <w:rsid w:val="000C206B"/>
    <w:rsid w:val="000C277E"/>
    <w:rsid w:val="000C365E"/>
    <w:rsid w:val="000C485C"/>
    <w:rsid w:val="000D2194"/>
    <w:rsid w:val="000D2413"/>
    <w:rsid w:val="000D2BE4"/>
    <w:rsid w:val="000D6412"/>
    <w:rsid w:val="000E1EEE"/>
    <w:rsid w:val="000E741D"/>
    <w:rsid w:val="000F0F19"/>
    <w:rsid w:val="000F1621"/>
    <w:rsid w:val="000F1D93"/>
    <w:rsid w:val="000F4E5B"/>
    <w:rsid w:val="000F4F4A"/>
    <w:rsid w:val="000F5B48"/>
    <w:rsid w:val="000F793E"/>
    <w:rsid w:val="001025E0"/>
    <w:rsid w:val="00102E2F"/>
    <w:rsid w:val="00105880"/>
    <w:rsid w:val="001104BB"/>
    <w:rsid w:val="00112206"/>
    <w:rsid w:val="001135A2"/>
    <w:rsid w:val="00114E0E"/>
    <w:rsid w:val="00120697"/>
    <w:rsid w:val="00123EBD"/>
    <w:rsid w:val="001243F9"/>
    <w:rsid w:val="00124E9D"/>
    <w:rsid w:val="00125520"/>
    <w:rsid w:val="00127075"/>
    <w:rsid w:val="0013023F"/>
    <w:rsid w:val="00132DB5"/>
    <w:rsid w:val="001342FD"/>
    <w:rsid w:val="00134A11"/>
    <w:rsid w:val="001367A6"/>
    <w:rsid w:val="0014155F"/>
    <w:rsid w:val="0014222C"/>
    <w:rsid w:val="00142C35"/>
    <w:rsid w:val="001450EE"/>
    <w:rsid w:val="001457F4"/>
    <w:rsid w:val="001462B6"/>
    <w:rsid w:val="00153D3C"/>
    <w:rsid w:val="001568F8"/>
    <w:rsid w:val="00157462"/>
    <w:rsid w:val="00157BA9"/>
    <w:rsid w:val="0016047B"/>
    <w:rsid w:val="00161086"/>
    <w:rsid w:val="001638CD"/>
    <w:rsid w:val="0017060A"/>
    <w:rsid w:val="001719DD"/>
    <w:rsid w:val="00171BC5"/>
    <w:rsid w:val="00172E3F"/>
    <w:rsid w:val="00175360"/>
    <w:rsid w:val="00181A32"/>
    <w:rsid w:val="0018291E"/>
    <w:rsid w:val="001831F4"/>
    <w:rsid w:val="0018706C"/>
    <w:rsid w:val="0018772A"/>
    <w:rsid w:val="0019529A"/>
    <w:rsid w:val="0019575B"/>
    <w:rsid w:val="001A22C1"/>
    <w:rsid w:val="001A2BC0"/>
    <w:rsid w:val="001A30EC"/>
    <w:rsid w:val="001A3127"/>
    <w:rsid w:val="001A4687"/>
    <w:rsid w:val="001A5B57"/>
    <w:rsid w:val="001A64BC"/>
    <w:rsid w:val="001B29DC"/>
    <w:rsid w:val="001C10DD"/>
    <w:rsid w:val="001C3828"/>
    <w:rsid w:val="001D05C3"/>
    <w:rsid w:val="001D38CC"/>
    <w:rsid w:val="001D62EA"/>
    <w:rsid w:val="001D6ED0"/>
    <w:rsid w:val="001D780C"/>
    <w:rsid w:val="001E248F"/>
    <w:rsid w:val="001E429D"/>
    <w:rsid w:val="001F1E30"/>
    <w:rsid w:val="001F33D6"/>
    <w:rsid w:val="001F40FE"/>
    <w:rsid w:val="001F5417"/>
    <w:rsid w:val="001F6A67"/>
    <w:rsid w:val="00201726"/>
    <w:rsid w:val="002033CA"/>
    <w:rsid w:val="00210DA5"/>
    <w:rsid w:val="00216E4E"/>
    <w:rsid w:val="002204A9"/>
    <w:rsid w:val="002214B4"/>
    <w:rsid w:val="0022216B"/>
    <w:rsid w:val="00222CB3"/>
    <w:rsid w:val="002237BD"/>
    <w:rsid w:val="00233FAF"/>
    <w:rsid w:val="0023522A"/>
    <w:rsid w:val="00235567"/>
    <w:rsid w:val="002367B9"/>
    <w:rsid w:val="00236F80"/>
    <w:rsid w:val="002377F3"/>
    <w:rsid w:val="002417B7"/>
    <w:rsid w:val="00243E53"/>
    <w:rsid w:val="00244BB4"/>
    <w:rsid w:val="002453AB"/>
    <w:rsid w:val="00245FA0"/>
    <w:rsid w:val="0024773F"/>
    <w:rsid w:val="00253DD8"/>
    <w:rsid w:val="00257130"/>
    <w:rsid w:val="00262B96"/>
    <w:rsid w:val="00270971"/>
    <w:rsid w:val="0027345C"/>
    <w:rsid w:val="00274798"/>
    <w:rsid w:val="002761E5"/>
    <w:rsid w:val="0028790C"/>
    <w:rsid w:val="00287F03"/>
    <w:rsid w:val="00290F8F"/>
    <w:rsid w:val="00296CE3"/>
    <w:rsid w:val="002977D4"/>
    <w:rsid w:val="002A1715"/>
    <w:rsid w:val="002A3112"/>
    <w:rsid w:val="002A7ECE"/>
    <w:rsid w:val="002B0557"/>
    <w:rsid w:val="002B2E70"/>
    <w:rsid w:val="002B53FD"/>
    <w:rsid w:val="002B6BBD"/>
    <w:rsid w:val="002C144B"/>
    <w:rsid w:val="002C1B9C"/>
    <w:rsid w:val="002C4B42"/>
    <w:rsid w:val="002C4CEA"/>
    <w:rsid w:val="002C7788"/>
    <w:rsid w:val="002D3168"/>
    <w:rsid w:val="002D4FA9"/>
    <w:rsid w:val="002E3034"/>
    <w:rsid w:val="002E4248"/>
    <w:rsid w:val="002F267F"/>
    <w:rsid w:val="002F287D"/>
    <w:rsid w:val="0030000C"/>
    <w:rsid w:val="003034E9"/>
    <w:rsid w:val="00306110"/>
    <w:rsid w:val="00306C0A"/>
    <w:rsid w:val="003072B4"/>
    <w:rsid w:val="00312012"/>
    <w:rsid w:val="0031736E"/>
    <w:rsid w:val="0032686B"/>
    <w:rsid w:val="00330B80"/>
    <w:rsid w:val="00333C1B"/>
    <w:rsid w:val="00334DE1"/>
    <w:rsid w:val="00334E62"/>
    <w:rsid w:val="00336914"/>
    <w:rsid w:val="00341DB4"/>
    <w:rsid w:val="00342DB3"/>
    <w:rsid w:val="00345832"/>
    <w:rsid w:val="00345B8C"/>
    <w:rsid w:val="00351BB0"/>
    <w:rsid w:val="00352606"/>
    <w:rsid w:val="00353735"/>
    <w:rsid w:val="00354107"/>
    <w:rsid w:val="00354C8D"/>
    <w:rsid w:val="00356641"/>
    <w:rsid w:val="003620D0"/>
    <w:rsid w:val="0036265B"/>
    <w:rsid w:val="00367525"/>
    <w:rsid w:val="003677D5"/>
    <w:rsid w:val="003703EE"/>
    <w:rsid w:val="00370589"/>
    <w:rsid w:val="00370970"/>
    <w:rsid w:val="00377721"/>
    <w:rsid w:val="00380BE1"/>
    <w:rsid w:val="00382116"/>
    <w:rsid w:val="00385DEE"/>
    <w:rsid w:val="00386AC1"/>
    <w:rsid w:val="00391686"/>
    <w:rsid w:val="003924BA"/>
    <w:rsid w:val="003949C4"/>
    <w:rsid w:val="003A1643"/>
    <w:rsid w:val="003A2BAF"/>
    <w:rsid w:val="003A4EF9"/>
    <w:rsid w:val="003A63A4"/>
    <w:rsid w:val="003B1C1C"/>
    <w:rsid w:val="003B1E0C"/>
    <w:rsid w:val="003B7A51"/>
    <w:rsid w:val="003B7F06"/>
    <w:rsid w:val="003C4A52"/>
    <w:rsid w:val="003C5CE0"/>
    <w:rsid w:val="003C64E5"/>
    <w:rsid w:val="003C71D6"/>
    <w:rsid w:val="003D049D"/>
    <w:rsid w:val="003D0FE6"/>
    <w:rsid w:val="003D1A91"/>
    <w:rsid w:val="003D69D6"/>
    <w:rsid w:val="003E453F"/>
    <w:rsid w:val="003E6CDB"/>
    <w:rsid w:val="003E705C"/>
    <w:rsid w:val="003F336C"/>
    <w:rsid w:val="003F527D"/>
    <w:rsid w:val="0040089B"/>
    <w:rsid w:val="00403D2A"/>
    <w:rsid w:val="004045DB"/>
    <w:rsid w:val="00405923"/>
    <w:rsid w:val="00406ACE"/>
    <w:rsid w:val="00412DDA"/>
    <w:rsid w:val="0041385C"/>
    <w:rsid w:val="00420702"/>
    <w:rsid w:val="00421CC0"/>
    <w:rsid w:val="00422EDF"/>
    <w:rsid w:val="0042376A"/>
    <w:rsid w:val="0042601B"/>
    <w:rsid w:val="004271AA"/>
    <w:rsid w:val="0042762E"/>
    <w:rsid w:val="004305E6"/>
    <w:rsid w:val="00431FFC"/>
    <w:rsid w:val="0043207A"/>
    <w:rsid w:val="00432D6E"/>
    <w:rsid w:val="0043452A"/>
    <w:rsid w:val="00434B22"/>
    <w:rsid w:val="004405D7"/>
    <w:rsid w:val="00441502"/>
    <w:rsid w:val="00441B19"/>
    <w:rsid w:val="004437CC"/>
    <w:rsid w:val="00445B53"/>
    <w:rsid w:val="00446725"/>
    <w:rsid w:val="00447E35"/>
    <w:rsid w:val="00450BC7"/>
    <w:rsid w:val="00455B8A"/>
    <w:rsid w:val="004572EC"/>
    <w:rsid w:val="00457EEA"/>
    <w:rsid w:val="004621B8"/>
    <w:rsid w:val="00462A4D"/>
    <w:rsid w:val="00463974"/>
    <w:rsid w:val="00464016"/>
    <w:rsid w:val="004701B9"/>
    <w:rsid w:val="00471D78"/>
    <w:rsid w:val="004732A3"/>
    <w:rsid w:val="0048021B"/>
    <w:rsid w:val="00480E80"/>
    <w:rsid w:val="00482F03"/>
    <w:rsid w:val="00484710"/>
    <w:rsid w:val="00486BA2"/>
    <w:rsid w:val="004876EA"/>
    <w:rsid w:val="00490848"/>
    <w:rsid w:val="004A3107"/>
    <w:rsid w:val="004A4018"/>
    <w:rsid w:val="004A7F56"/>
    <w:rsid w:val="004B0182"/>
    <w:rsid w:val="004B4B4B"/>
    <w:rsid w:val="004C1F8D"/>
    <w:rsid w:val="004C6D70"/>
    <w:rsid w:val="004D1707"/>
    <w:rsid w:val="004D25A7"/>
    <w:rsid w:val="004D27B4"/>
    <w:rsid w:val="004D41CD"/>
    <w:rsid w:val="004D7095"/>
    <w:rsid w:val="004E0FFD"/>
    <w:rsid w:val="004E1264"/>
    <w:rsid w:val="004E1677"/>
    <w:rsid w:val="004E2325"/>
    <w:rsid w:val="004E284D"/>
    <w:rsid w:val="004E36E9"/>
    <w:rsid w:val="004E49C6"/>
    <w:rsid w:val="004E5DE4"/>
    <w:rsid w:val="004F316D"/>
    <w:rsid w:val="004F3F67"/>
    <w:rsid w:val="004F675F"/>
    <w:rsid w:val="00501787"/>
    <w:rsid w:val="005032A9"/>
    <w:rsid w:val="005041AB"/>
    <w:rsid w:val="0050604D"/>
    <w:rsid w:val="0051083D"/>
    <w:rsid w:val="005126B2"/>
    <w:rsid w:val="005155F1"/>
    <w:rsid w:val="00516097"/>
    <w:rsid w:val="00517570"/>
    <w:rsid w:val="00520823"/>
    <w:rsid w:val="00524032"/>
    <w:rsid w:val="00526C8E"/>
    <w:rsid w:val="005370B9"/>
    <w:rsid w:val="005404B9"/>
    <w:rsid w:val="00541549"/>
    <w:rsid w:val="005453B0"/>
    <w:rsid w:val="005454DD"/>
    <w:rsid w:val="00552589"/>
    <w:rsid w:val="00557BE9"/>
    <w:rsid w:val="00560E94"/>
    <w:rsid w:val="00561EC2"/>
    <w:rsid w:val="005629F6"/>
    <w:rsid w:val="00564BB3"/>
    <w:rsid w:val="00566C4D"/>
    <w:rsid w:val="00567989"/>
    <w:rsid w:val="005722F3"/>
    <w:rsid w:val="00572B17"/>
    <w:rsid w:val="00573AED"/>
    <w:rsid w:val="005750A7"/>
    <w:rsid w:val="00576494"/>
    <w:rsid w:val="00580AE7"/>
    <w:rsid w:val="005812D8"/>
    <w:rsid w:val="00585796"/>
    <w:rsid w:val="00586D04"/>
    <w:rsid w:val="00586FC4"/>
    <w:rsid w:val="005930DD"/>
    <w:rsid w:val="005A15A1"/>
    <w:rsid w:val="005A18C7"/>
    <w:rsid w:val="005A745F"/>
    <w:rsid w:val="005A7F12"/>
    <w:rsid w:val="005B1080"/>
    <w:rsid w:val="005B108D"/>
    <w:rsid w:val="005B1655"/>
    <w:rsid w:val="005B4D13"/>
    <w:rsid w:val="005B5D91"/>
    <w:rsid w:val="005C1BCB"/>
    <w:rsid w:val="005C4AB4"/>
    <w:rsid w:val="005C5513"/>
    <w:rsid w:val="005D08EB"/>
    <w:rsid w:val="005D10CF"/>
    <w:rsid w:val="005D3941"/>
    <w:rsid w:val="005E0292"/>
    <w:rsid w:val="005E0363"/>
    <w:rsid w:val="005E1B39"/>
    <w:rsid w:val="005E55DF"/>
    <w:rsid w:val="005E5876"/>
    <w:rsid w:val="005F1139"/>
    <w:rsid w:val="005F1C23"/>
    <w:rsid w:val="005F2146"/>
    <w:rsid w:val="005F221F"/>
    <w:rsid w:val="005F3F4D"/>
    <w:rsid w:val="005F6545"/>
    <w:rsid w:val="005F7704"/>
    <w:rsid w:val="00604208"/>
    <w:rsid w:val="00607578"/>
    <w:rsid w:val="00611218"/>
    <w:rsid w:val="0061379E"/>
    <w:rsid w:val="00615540"/>
    <w:rsid w:val="006172E8"/>
    <w:rsid w:val="00622315"/>
    <w:rsid w:val="00623100"/>
    <w:rsid w:val="0062522E"/>
    <w:rsid w:val="00632A55"/>
    <w:rsid w:val="006343E3"/>
    <w:rsid w:val="0063769E"/>
    <w:rsid w:val="0064363D"/>
    <w:rsid w:val="00645392"/>
    <w:rsid w:val="006461F9"/>
    <w:rsid w:val="0064675B"/>
    <w:rsid w:val="00651953"/>
    <w:rsid w:val="00655063"/>
    <w:rsid w:val="00656BFD"/>
    <w:rsid w:val="00656D0A"/>
    <w:rsid w:val="006665B5"/>
    <w:rsid w:val="00670038"/>
    <w:rsid w:val="00670C5D"/>
    <w:rsid w:val="00671D64"/>
    <w:rsid w:val="00677779"/>
    <w:rsid w:val="00680381"/>
    <w:rsid w:val="0068360F"/>
    <w:rsid w:val="00683F9A"/>
    <w:rsid w:val="00684A5B"/>
    <w:rsid w:val="006929A7"/>
    <w:rsid w:val="00695FE9"/>
    <w:rsid w:val="006A2F94"/>
    <w:rsid w:val="006B1B18"/>
    <w:rsid w:val="006B1E51"/>
    <w:rsid w:val="006B4B09"/>
    <w:rsid w:val="006B570D"/>
    <w:rsid w:val="006B5A35"/>
    <w:rsid w:val="006C3AA1"/>
    <w:rsid w:val="006D22D2"/>
    <w:rsid w:val="006D2A80"/>
    <w:rsid w:val="006D3A02"/>
    <w:rsid w:val="006D4E58"/>
    <w:rsid w:val="006D5930"/>
    <w:rsid w:val="006D62F0"/>
    <w:rsid w:val="006E047B"/>
    <w:rsid w:val="006E609E"/>
    <w:rsid w:val="006F125C"/>
    <w:rsid w:val="006F35CF"/>
    <w:rsid w:val="006F49AA"/>
    <w:rsid w:val="00704D57"/>
    <w:rsid w:val="00705345"/>
    <w:rsid w:val="00705571"/>
    <w:rsid w:val="0071024C"/>
    <w:rsid w:val="007146D5"/>
    <w:rsid w:val="007159D5"/>
    <w:rsid w:val="00715D68"/>
    <w:rsid w:val="0071626D"/>
    <w:rsid w:val="00717809"/>
    <w:rsid w:val="007314F2"/>
    <w:rsid w:val="0073199B"/>
    <w:rsid w:val="00731EA1"/>
    <w:rsid w:val="00733AF4"/>
    <w:rsid w:val="00735068"/>
    <w:rsid w:val="00735C6D"/>
    <w:rsid w:val="007418AF"/>
    <w:rsid w:val="00741F25"/>
    <w:rsid w:val="00742FF5"/>
    <w:rsid w:val="00744641"/>
    <w:rsid w:val="00744C7B"/>
    <w:rsid w:val="00747406"/>
    <w:rsid w:val="00752074"/>
    <w:rsid w:val="007534D0"/>
    <w:rsid w:val="00760C6E"/>
    <w:rsid w:val="00760D2F"/>
    <w:rsid w:val="00761FFC"/>
    <w:rsid w:val="00763343"/>
    <w:rsid w:val="00764736"/>
    <w:rsid w:val="007704EA"/>
    <w:rsid w:val="00772EDD"/>
    <w:rsid w:val="00777380"/>
    <w:rsid w:val="0078142E"/>
    <w:rsid w:val="00781504"/>
    <w:rsid w:val="00784954"/>
    <w:rsid w:val="007854E3"/>
    <w:rsid w:val="00790AD9"/>
    <w:rsid w:val="00790E33"/>
    <w:rsid w:val="00791B32"/>
    <w:rsid w:val="007920B1"/>
    <w:rsid w:val="007953BE"/>
    <w:rsid w:val="00797E0E"/>
    <w:rsid w:val="007A2168"/>
    <w:rsid w:val="007A3187"/>
    <w:rsid w:val="007A3A08"/>
    <w:rsid w:val="007A7DCD"/>
    <w:rsid w:val="007B4F5F"/>
    <w:rsid w:val="007B5695"/>
    <w:rsid w:val="007B68E4"/>
    <w:rsid w:val="007C1DCE"/>
    <w:rsid w:val="007C4BA6"/>
    <w:rsid w:val="007C57EC"/>
    <w:rsid w:val="007C62AE"/>
    <w:rsid w:val="007D0999"/>
    <w:rsid w:val="007D0DD5"/>
    <w:rsid w:val="007D216B"/>
    <w:rsid w:val="007D2C81"/>
    <w:rsid w:val="007D3A28"/>
    <w:rsid w:val="007D6A77"/>
    <w:rsid w:val="007D729D"/>
    <w:rsid w:val="007D7583"/>
    <w:rsid w:val="007E059D"/>
    <w:rsid w:val="007E0F10"/>
    <w:rsid w:val="007E2684"/>
    <w:rsid w:val="007E2B81"/>
    <w:rsid w:val="007E3B7B"/>
    <w:rsid w:val="007E3E32"/>
    <w:rsid w:val="007E6280"/>
    <w:rsid w:val="007E6875"/>
    <w:rsid w:val="007F14E3"/>
    <w:rsid w:val="007F7C9E"/>
    <w:rsid w:val="00800356"/>
    <w:rsid w:val="008019C9"/>
    <w:rsid w:val="00801BA6"/>
    <w:rsid w:val="008037D1"/>
    <w:rsid w:val="008041CB"/>
    <w:rsid w:val="0080520C"/>
    <w:rsid w:val="008058E2"/>
    <w:rsid w:val="0080756D"/>
    <w:rsid w:val="00810058"/>
    <w:rsid w:val="0081188F"/>
    <w:rsid w:val="00814023"/>
    <w:rsid w:val="00814C36"/>
    <w:rsid w:val="0081609D"/>
    <w:rsid w:val="008165A1"/>
    <w:rsid w:val="00816D67"/>
    <w:rsid w:val="00825E06"/>
    <w:rsid w:val="00830F90"/>
    <w:rsid w:val="00831B47"/>
    <w:rsid w:val="00835857"/>
    <w:rsid w:val="008363DD"/>
    <w:rsid w:val="00844A39"/>
    <w:rsid w:val="008456E7"/>
    <w:rsid w:val="0084598F"/>
    <w:rsid w:val="008533CA"/>
    <w:rsid w:val="00856E21"/>
    <w:rsid w:val="00857E48"/>
    <w:rsid w:val="00860AA8"/>
    <w:rsid w:val="008626B8"/>
    <w:rsid w:val="00862B3E"/>
    <w:rsid w:val="00863ABC"/>
    <w:rsid w:val="008656CA"/>
    <w:rsid w:val="008700A9"/>
    <w:rsid w:val="00871066"/>
    <w:rsid w:val="0087156D"/>
    <w:rsid w:val="008743AD"/>
    <w:rsid w:val="00874519"/>
    <w:rsid w:val="0087636D"/>
    <w:rsid w:val="0087682D"/>
    <w:rsid w:val="0088269E"/>
    <w:rsid w:val="00884D1C"/>
    <w:rsid w:val="00886236"/>
    <w:rsid w:val="008864A8"/>
    <w:rsid w:val="0089007E"/>
    <w:rsid w:val="008907D8"/>
    <w:rsid w:val="00890B7B"/>
    <w:rsid w:val="00890DD5"/>
    <w:rsid w:val="00891DD4"/>
    <w:rsid w:val="00893A31"/>
    <w:rsid w:val="008A23D0"/>
    <w:rsid w:val="008A74C0"/>
    <w:rsid w:val="008B71B1"/>
    <w:rsid w:val="008C241A"/>
    <w:rsid w:val="008C34CB"/>
    <w:rsid w:val="008C700A"/>
    <w:rsid w:val="008D27FC"/>
    <w:rsid w:val="008D2B45"/>
    <w:rsid w:val="008D2DA9"/>
    <w:rsid w:val="008D33AA"/>
    <w:rsid w:val="008E0D8D"/>
    <w:rsid w:val="008E197A"/>
    <w:rsid w:val="008E33D9"/>
    <w:rsid w:val="008E3C4C"/>
    <w:rsid w:val="008E4732"/>
    <w:rsid w:val="008E59C6"/>
    <w:rsid w:val="008E6B02"/>
    <w:rsid w:val="008E709B"/>
    <w:rsid w:val="008E7220"/>
    <w:rsid w:val="008F09B7"/>
    <w:rsid w:val="008F65BD"/>
    <w:rsid w:val="009003B7"/>
    <w:rsid w:val="0090281A"/>
    <w:rsid w:val="00904576"/>
    <w:rsid w:val="00906C46"/>
    <w:rsid w:val="00910150"/>
    <w:rsid w:val="009115B4"/>
    <w:rsid w:val="00911CF0"/>
    <w:rsid w:val="0091294A"/>
    <w:rsid w:val="00916759"/>
    <w:rsid w:val="009168F2"/>
    <w:rsid w:val="00916A31"/>
    <w:rsid w:val="00921850"/>
    <w:rsid w:val="009225CE"/>
    <w:rsid w:val="009227AB"/>
    <w:rsid w:val="00922926"/>
    <w:rsid w:val="0092411B"/>
    <w:rsid w:val="009245A4"/>
    <w:rsid w:val="00927123"/>
    <w:rsid w:val="009304A9"/>
    <w:rsid w:val="00931277"/>
    <w:rsid w:val="00931ACA"/>
    <w:rsid w:val="00933019"/>
    <w:rsid w:val="00933EB0"/>
    <w:rsid w:val="009361D5"/>
    <w:rsid w:val="00936FA0"/>
    <w:rsid w:val="00941438"/>
    <w:rsid w:val="00945B43"/>
    <w:rsid w:val="00945D5C"/>
    <w:rsid w:val="009463EC"/>
    <w:rsid w:val="00946D9E"/>
    <w:rsid w:val="00947C11"/>
    <w:rsid w:val="00951515"/>
    <w:rsid w:val="00951DB8"/>
    <w:rsid w:val="009521CE"/>
    <w:rsid w:val="00952E1A"/>
    <w:rsid w:val="00953602"/>
    <w:rsid w:val="00954183"/>
    <w:rsid w:val="00954385"/>
    <w:rsid w:val="00954BAB"/>
    <w:rsid w:val="0096032C"/>
    <w:rsid w:val="00961906"/>
    <w:rsid w:val="00963908"/>
    <w:rsid w:val="00963C94"/>
    <w:rsid w:val="00965DC6"/>
    <w:rsid w:val="009718C9"/>
    <w:rsid w:val="0097271A"/>
    <w:rsid w:val="00974911"/>
    <w:rsid w:val="00977507"/>
    <w:rsid w:val="009803DC"/>
    <w:rsid w:val="009843D3"/>
    <w:rsid w:val="00987E07"/>
    <w:rsid w:val="0099246B"/>
    <w:rsid w:val="009A4003"/>
    <w:rsid w:val="009B212F"/>
    <w:rsid w:val="009B3889"/>
    <w:rsid w:val="009B54CB"/>
    <w:rsid w:val="009C3E68"/>
    <w:rsid w:val="009D3133"/>
    <w:rsid w:val="009D4A44"/>
    <w:rsid w:val="009D5E9D"/>
    <w:rsid w:val="009D6A26"/>
    <w:rsid w:val="009E415B"/>
    <w:rsid w:val="009E4B79"/>
    <w:rsid w:val="009E4F9E"/>
    <w:rsid w:val="009F0734"/>
    <w:rsid w:val="009F1138"/>
    <w:rsid w:val="009F184A"/>
    <w:rsid w:val="009F29D6"/>
    <w:rsid w:val="009F2AC6"/>
    <w:rsid w:val="009F3BA1"/>
    <w:rsid w:val="009F68DE"/>
    <w:rsid w:val="00A01ADA"/>
    <w:rsid w:val="00A0695D"/>
    <w:rsid w:val="00A11047"/>
    <w:rsid w:val="00A112BF"/>
    <w:rsid w:val="00A14834"/>
    <w:rsid w:val="00A20D8D"/>
    <w:rsid w:val="00A22679"/>
    <w:rsid w:val="00A269D4"/>
    <w:rsid w:val="00A300E0"/>
    <w:rsid w:val="00A34671"/>
    <w:rsid w:val="00A35DDD"/>
    <w:rsid w:val="00A3761A"/>
    <w:rsid w:val="00A43E87"/>
    <w:rsid w:val="00A51152"/>
    <w:rsid w:val="00A51784"/>
    <w:rsid w:val="00A5222B"/>
    <w:rsid w:val="00A52E40"/>
    <w:rsid w:val="00A53187"/>
    <w:rsid w:val="00A55778"/>
    <w:rsid w:val="00A61243"/>
    <w:rsid w:val="00A61261"/>
    <w:rsid w:val="00A625B0"/>
    <w:rsid w:val="00A6274C"/>
    <w:rsid w:val="00A632D4"/>
    <w:rsid w:val="00A64130"/>
    <w:rsid w:val="00A677A4"/>
    <w:rsid w:val="00A67AC7"/>
    <w:rsid w:val="00A70050"/>
    <w:rsid w:val="00A75F0A"/>
    <w:rsid w:val="00A7646E"/>
    <w:rsid w:val="00A803C6"/>
    <w:rsid w:val="00A82B05"/>
    <w:rsid w:val="00A82CFA"/>
    <w:rsid w:val="00A85D09"/>
    <w:rsid w:val="00A93B94"/>
    <w:rsid w:val="00A944E1"/>
    <w:rsid w:val="00A96677"/>
    <w:rsid w:val="00A97612"/>
    <w:rsid w:val="00A97A05"/>
    <w:rsid w:val="00AA0C03"/>
    <w:rsid w:val="00AA0DBB"/>
    <w:rsid w:val="00AA1D3C"/>
    <w:rsid w:val="00AA20E9"/>
    <w:rsid w:val="00AA24E8"/>
    <w:rsid w:val="00AA4C9F"/>
    <w:rsid w:val="00AA5637"/>
    <w:rsid w:val="00AA6A84"/>
    <w:rsid w:val="00AA735E"/>
    <w:rsid w:val="00AB1089"/>
    <w:rsid w:val="00AB2731"/>
    <w:rsid w:val="00AB2AD5"/>
    <w:rsid w:val="00AB32C3"/>
    <w:rsid w:val="00AB4A1A"/>
    <w:rsid w:val="00AB72C8"/>
    <w:rsid w:val="00AB7F12"/>
    <w:rsid w:val="00AC03CE"/>
    <w:rsid w:val="00AC09FE"/>
    <w:rsid w:val="00AC4B89"/>
    <w:rsid w:val="00AD0846"/>
    <w:rsid w:val="00AD7006"/>
    <w:rsid w:val="00AD7417"/>
    <w:rsid w:val="00AE133F"/>
    <w:rsid w:val="00AE1FE9"/>
    <w:rsid w:val="00AE31C0"/>
    <w:rsid w:val="00AE716C"/>
    <w:rsid w:val="00AF0BB8"/>
    <w:rsid w:val="00AF1204"/>
    <w:rsid w:val="00AF19B8"/>
    <w:rsid w:val="00AF2B72"/>
    <w:rsid w:val="00AF4952"/>
    <w:rsid w:val="00AF6F89"/>
    <w:rsid w:val="00B0111E"/>
    <w:rsid w:val="00B07259"/>
    <w:rsid w:val="00B11B10"/>
    <w:rsid w:val="00B11D83"/>
    <w:rsid w:val="00B12E62"/>
    <w:rsid w:val="00B15431"/>
    <w:rsid w:val="00B15BC0"/>
    <w:rsid w:val="00B1623D"/>
    <w:rsid w:val="00B17F40"/>
    <w:rsid w:val="00B23138"/>
    <w:rsid w:val="00B24731"/>
    <w:rsid w:val="00B274C2"/>
    <w:rsid w:val="00B30DDF"/>
    <w:rsid w:val="00B3644D"/>
    <w:rsid w:val="00B36A6C"/>
    <w:rsid w:val="00B3778D"/>
    <w:rsid w:val="00B40C52"/>
    <w:rsid w:val="00B4281A"/>
    <w:rsid w:val="00B42D92"/>
    <w:rsid w:val="00B43EAF"/>
    <w:rsid w:val="00B43F4C"/>
    <w:rsid w:val="00B448CA"/>
    <w:rsid w:val="00B45335"/>
    <w:rsid w:val="00B45536"/>
    <w:rsid w:val="00B45721"/>
    <w:rsid w:val="00B52773"/>
    <w:rsid w:val="00B536C0"/>
    <w:rsid w:val="00B60C53"/>
    <w:rsid w:val="00B614C4"/>
    <w:rsid w:val="00B64457"/>
    <w:rsid w:val="00B64EC1"/>
    <w:rsid w:val="00B65515"/>
    <w:rsid w:val="00B70043"/>
    <w:rsid w:val="00B71EB2"/>
    <w:rsid w:val="00B71FC7"/>
    <w:rsid w:val="00B743BA"/>
    <w:rsid w:val="00B75E06"/>
    <w:rsid w:val="00B80AA5"/>
    <w:rsid w:val="00B81830"/>
    <w:rsid w:val="00B829F8"/>
    <w:rsid w:val="00B82E67"/>
    <w:rsid w:val="00B836A8"/>
    <w:rsid w:val="00B8465F"/>
    <w:rsid w:val="00B870DA"/>
    <w:rsid w:val="00B90B22"/>
    <w:rsid w:val="00B92340"/>
    <w:rsid w:val="00B94419"/>
    <w:rsid w:val="00B94FB4"/>
    <w:rsid w:val="00B968EB"/>
    <w:rsid w:val="00B96E30"/>
    <w:rsid w:val="00BA257C"/>
    <w:rsid w:val="00BA3791"/>
    <w:rsid w:val="00BA461B"/>
    <w:rsid w:val="00BA4D7F"/>
    <w:rsid w:val="00BA4FC4"/>
    <w:rsid w:val="00BA5558"/>
    <w:rsid w:val="00BA7761"/>
    <w:rsid w:val="00BA787E"/>
    <w:rsid w:val="00BB0E2C"/>
    <w:rsid w:val="00BB56A5"/>
    <w:rsid w:val="00BB7246"/>
    <w:rsid w:val="00BC0E07"/>
    <w:rsid w:val="00BC2105"/>
    <w:rsid w:val="00BC3ABE"/>
    <w:rsid w:val="00BC698F"/>
    <w:rsid w:val="00BD0CF9"/>
    <w:rsid w:val="00BD1524"/>
    <w:rsid w:val="00BD3A5B"/>
    <w:rsid w:val="00BE5D9B"/>
    <w:rsid w:val="00BE76C0"/>
    <w:rsid w:val="00BF270B"/>
    <w:rsid w:val="00BF3233"/>
    <w:rsid w:val="00BF3EA6"/>
    <w:rsid w:val="00C00088"/>
    <w:rsid w:val="00C04B9B"/>
    <w:rsid w:val="00C0540F"/>
    <w:rsid w:val="00C070D8"/>
    <w:rsid w:val="00C116A8"/>
    <w:rsid w:val="00C140BA"/>
    <w:rsid w:val="00C165C9"/>
    <w:rsid w:val="00C17C19"/>
    <w:rsid w:val="00C274CA"/>
    <w:rsid w:val="00C3118D"/>
    <w:rsid w:val="00C314F3"/>
    <w:rsid w:val="00C345CB"/>
    <w:rsid w:val="00C346EC"/>
    <w:rsid w:val="00C36185"/>
    <w:rsid w:val="00C41F9F"/>
    <w:rsid w:val="00C420EC"/>
    <w:rsid w:val="00C4296A"/>
    <w:rsid w:val="00C448AF"/>
    <w:rsid w:val="00C47DAD"/>
    <w:rsid w:val="00C51A08"/>
    <w:rsid w:val="00C5353F"/>
    <w:rsid w:val="00C54A79"/>
    <w:rsid w:val="00C55255"/>
    <w:rsid w:val="00C61489"/>
    <w:rsid w:val="00C62973"/>
    <w:rsid w:val="00C6513F"/>
    <w:rsid w:val="00C659EE"/>
    <w:rsid w:val="00C67136"/>
    <w:rsid w:val="00C72321"/>
    <w:rsid w:val="00C80517"/>
    <w:rsid w:val="00C807A3"/>
    <w:rsid w:val="00C809DF"/>
    <w:rsid w:val="00C80BA0"/>
    <w:rsid w:val="00C80FD6"/>
    <w:rsid w:val="00C8379C"/>
    <w:rsid w:val="00C8430F"/>
    <w:rsid w:val="00C86D4C"/>
    <w:rsid w:val="00C878F1"/>
    <w:rsid w:val="00C93891"/>
    <w:rsid w:val="00C952E7"/>
    <w:rsid w:val="00CA020D"/>
    <w:rsid w:val="00CA0C73"/>
    <w:rsid w:val="00CA109A"/>
    <w:rsid w:val="00CA2253"/>
    <w:rsid w:val="00CA3BAA"/>
    <w:rsid w:val="00CA3CEF"/>
    <w:rsid w:val="00CA6A0D"/>
    <w:rsid w:val="00CA717E"/>
    <w:rsid w:val="00CB0C7A"/>
    <w:rsid w:val="00CB3082"/>
    <w:rsid w:val="00CB3A39"/>
    <w:rsid w:val="00CB5398"/>
    <w:rsid w:val="00CB73F0"/>
    <w:rsid w:val="00CB7B1D"/>
    <w:rsid w:val="00CB7E60"/>
    <w:rsid w:val="00CC35FA"/>
    <w:rsid w:val="00CC4CEC"/>
    <w:rsid w:val="00CD14AC"/>
    <w:rsid w:val="00CD14F0"/>
    <w:rsid w:val="00CD175A"/>
    <w:rsid w:val="00CD17EF"/>
    <w:rsid w:val="00CD199E"/>
    <w:rsid w:val="00CD1DF1"/>
    <w:rsid w:val="00CD3447"/>
    <w:rsid w:val="00CD7C7B"/>
    <w:rsid w:val="00CE0868"/>
    <w:rsid w:val="00CE110F"/>
    <w:rsid w:val="00CE2BF6"/>
    <w:rsid w:val="00CE5332"/>
    <w:rsid w:val="00CE541A"/>
    <w:rsid w:val="00CF1EF3"/>
    <w:rsid w:val="00CF4D4B"/>
    <w:rsid w:val="00CF56EE"/>
    <w:rsid w:val="00D01E2F"/>
    <w:rsid w:val="00D02A1B"/>
    <w:rsid w:val="00D04D63"/>
    <w:rsid w:val="00D0578A"/>
    <w:rsid w:val="00D06FFB"/>
    <w:rsid w:val="00D1036D"/>
    <w:rsid w:val="00D11B1C"/>
    <w:rsid w:val="00D13837"/>
    <w:rsid w:val="00D16157"/>
    <w:rsid w:val="00D260A1"/>
    <w:rsid w:val="00D26E2E"/>
    <w:rsid w:val="00D3148C"/>
    <w:rsid w:val="00D33039"/>
    <w:rsid w:val="00D36B22"/>
    <w:rsid w:val="00D44BD6"/>
    <w:rsid w:val="00D514FC"/>
    <w:rsid w:val="00D5161C"/>
    <w:rsid w:val="00D54540"/>
    <w:rsid w:val="00D557CC"/>
    <w:rsid w:val="00D5654C"/>
    <w:rsid w:val="00D57D9C"/>
    <w:rsid w:val="00D64758"/>
    <w:rsid w:val="00D708A2"/>
    <w:rsid w:val="00D711DC"/>
    <w:rsid w:val="00D72B83"/>
    <w:rsid w:val="00D740D2"/>
    <w:rsid w:val="00D836C6"/>
    <w:rsid w:val="00D84DA4"/>
    <w:rsid w:val="00D953A9"/>
    <w:rsid w:val="00D97334"/>
    <w:rsid w:val="00DA0041"/>
    <w:rsid w:val="00DA1428"/>
    <w:rsid w:val="00DA1AE9"/>
    <w:rsid w:val="00DA3764"/>
    <w:rsid w:val="00DA48E6"/>
    <w:rsid w:val="00DA5946"/>
    <w:rsid w:val="00DB0B25"/>
    <w:rsid w:val="00DB1DB1"/>
    <w:rsid w:val="00DB28E8"/>
    <w:rsid w:val="00DB38A6"/>
    <w:rsid w:val="00DB5E79"/>
    <w:rsid w:val="00DB69E3"/>
    <w:rsid w:val="00DB6C14"/>
    <w:rsid w:val="00DB6E5D"/>
    <w:rsid w:val="00DC14FC"/>
    <w:rsid w:val="00DC1514"/>
    <w:rsid w:val="00DC3A4A"/>
    <w:rsid w:val="00DC46BA"/>
    <w:rsid w:val="00DC4A12"/>
    <w:rsid w:val="00DC51A2"/>
    <w:rsid w:val="00DC5E81"/>
    <w:rsid w:val="00DC6DE3"/>
    <w:rsid w:val="00DD3972"/>
    <w:rsid w:val="00DD4F85"/>
    <w:rsid w:val="00DD5C47"/>
    <w:rsid w:val="00DD6044"/>
    <w:rsid w:val="00DD70BB"/>
    <w:rsid w:val="00DE236B"/>
    <w:rsid w:val="00DE31B3"/>
    <w:rsid w:val="00DE3BB4"/>
    <w:rsid w:val="00DE5547"/>
    <w:rsid w:val="00DF0EE9"/>
    <w:rsid w:val="00DF0F8F"/>
    <w:rsid w:val="00DF3164"/>
    <w:rsid w:val="00DF5DF0"/>
    <w:rsid w:val="00E009A6"/>
    <w:rsid w:val="00E018F0"/>
    <w:rsid w:val="00E01BBE"/>
    <w:rsid w:val="00E03BD5"/>
    <w:rsid w:val="00E0515C"/>
    <w:rsid w:val="00E05761"/>
    <w:rsid w:val="00E07D82"/>
    <w:rsid w:val="00E1158B"/>
    <w:rsid w:val="00E243AF"/>
    <w:rsid w:val="00E24762"/>
    <w:rsid w:val="00E27748"/>
    <w:rsid w:val="00E27FE1"/>
    <w:rsid w:val="00E31EFE"/>
    <w:rsid w:val="00E32449"/>
    <w:rsid w:val="00E340CD"/>
    <w:rsid w:val="00E36ADB"/>
    <w:rsid w:val="00E36CBA"/>
    <w:rsid w:val="00E42F39"/>
    <w:rsid w:val="00E431AA"/>
    <w:rsid w:val="00E45B57"/>
    <w:rsid w:val="00E50AFE"/>
    <w:rsid w:val="00E54C07"/>
    <w:rsid w:val="00E55876"/>
    <w:rsid w:val="00E56B7C"/>
    <w:rsid w:val="00E57B1E"/>
    <w:rsid w:val="00E63D4B"/>
    <w:rsid w:val="00E720B2"/>
    <w:rsid w:val="00E722DD"/>
    <w:rsid w:val="00E72B7D"/>
    <w:rsid w:val="00E74D16"/>
    <w:rsid w:val="00E75157"/>
    <w:rsid w:val="00E76095"/>
    <w:rsid w:val="00E76614"/>
    <w:rsid w:val="00E76720"/>
    <w:rsid w:val="00E8125D"/>
    <w:rsid w:val="00E812F2"/>
    <w:rsid w:val="00E81B96"/>
    <w:rsid w:val="00E86D1B"/>
    <w:rsid w:val="00E87F31"/>
    <w:rsid w:val="00E90456"/>
    <w:rsid w:val="00E950A4"/>
    <w:rsid w:val="00EA39D4"/>
    <w:rsid w:val="00EA4736"/>
    <w:rsid w:val="00EA656B"/>
    <w:rsid w:val="00EA740D"/>
    <w:rsid w:val="00EA7E1D"/>
    <w:rsid w:val="00EB4835"/>
    <w:rsid w:val="00EB59A4"/>
    <w:rsid w:val="00EB5F30"/>
    <w:rsid w:val="00EB60E9"/>
    <w:rsid w:val="00EC2EDA"/>
    <w:rsid w:val="00ED2771"/>
    <w:rsid w:val="00ED471F"/>
    <w:rsid w:val="00ED5F47"/>
    <w:rsid w:val="00ED6272"/>
    <w:rsid w:val="00ED706E"/>
    <w:rsid w:val="00EE009F"/>
    <w:rsid w:val="00EE09F0"/>
    <w:rsid w:val="00EE537D"/>
    <w:rsid w:val="00EE554C"/>
    <w:rsid w:val="00EE7300"/>
    <w:rsid w:val="00EF3430"/>
    <w:rsid w:val="00EF444E"/>
    <w:rsid w:val="00EF4467"/>
    <w:rsid w:val="00EF55BA"/>
    <w:rsid w:val="00EF5A68"/>
    <w:rsid w:val="00F02151"/>
    <w:rsid w:val="00F02283"/>
    <w:rsid w:val="00F04B9B"/>
    <w:rsid w:val="00F05BFF"/>
    <w:rsid w:val="00F073CC"/>
    <w:rsid w:val="00F112F6"/>
    <w:rsid w:val="00F114B7"/>
    <w:rsid w:val="00F11991"/>
    <w:rsid w:val="00F11B7B"/>
    <w:rsid w:val="00F11ED2"/>
    <w:rsid w:val="00F12C50"/>
    <w:rsid w:val="00F1368A"/>
    <w:rsid w:val="00F13AC2"/>
    <w:rsid w:val="00F140C6"/>
    <w:rsid w:val="00F141E4"/>
    <w:rsid w:val="00F231E3"/>
    <w:rsid w:val="00F26C77"/>
    <w:rsid w:val="00F30EF0"/>
    <w:rsid w:val="00F31560"/>
    <w:rsid w:val="00F33081"/>
    <w:rsid w:val="00F36B68"/>
    <w:rsid w:val="00F36CF3"/>
    <w:rsid w:val="00F42F8B"/>
    <w:rsid w:val="00F43C8D"/>
    <w:rsid w:val="00F4709F"/>
    <w:rsid w:val="00F5070B"/>
    <w:rsid w:val="00F51FCE"/>
    <w:rsid w:val="00F52140"/>
    <w:rsid w:val="00F557E0"/>
    <w:rsid w:val="00F57286"/>
    <w:rsid w:val="00F64D4C"/>
    <w:rsid w:val="00F670F3"/>
    <w:rsid w:val="00F6714D"/>
    <w:rsid w:val="00F67FF1"/>
    <w:rsid w:val="00F714C7"/>
    <w:rsid w:val="00F73CCB"/>
    <w:rsid w:val="00F73F86"/>
    <w:rsid w:val="00F7435A"/>
    <w:rsid w:val="00F772A5"/>
    <w:rsid w:val="00F84741"/>
    <w:rsid w:val="00F84AC1"/>
    <w:rsid w:val="00F85C53"/>
    <w:rsid w:val="00F862D2"/>
    <w:rsid w:val="00F902D1"/>
    <w:rsid w:val="00F91DEF"/>
    <w:rsid w:val="00F92986"/>
    <w:rsid w:val="00F93208"/>
    <w:rsid w:val="00F95DA0"/>
    <w:rsid w:val="00F960E4"/>
    <w:rsid w:val="00F962B0"/>
    <w:rsid w:val="00FA1257"/>
    <w:rsid w:val="00FA2ABB"/>
    <w:rsid w:val="00FA2F3D"/>
    <w:rsid w:val="00FA580E"/>
    <w:rsid w:val="00FA7380"/>
    <w:rsid w:val="00FB3598"/>
    <w:rsid w:val="00FB58B9"/>
    <w:rsid w:val="00FB58E9"/>
    <w:rsid w:val="00FB6957"/>
    <w:rsid w:val="00FB6A3B"/>
    <w:rsid w:val="00FB6BFD"/>
    <w:rsid w:val="00FC2A6B"/>
    <w:rsid w:val="00FC527C"/>
    <w:rsid w:val="00FC6C44"/>
    <w:rsid w:val="00FC7D11"/>
    <w:rsid w:val="00FD453E"/>
    <w:rsid w:val="00FD643E"/>
    <w:rsid w:val="00FE1206"/>
    <w:rsid w:val="00FE5B6F"/>
    <w:rsid w:val="00FE6807"/>
    <w:rsid w:val="00FE7E67"/>
    <w:rsid w:val="00FF6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307143F"/>
  <w15:docId w15:val="{FC769BD9-2CFF-4E18-AA93-CEE52814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ADB"/>
    <w:pPr>
      <w:spacing w:before="160" w:after="160" w:line="300" w:lineRule="atLeast"/>
      <w:jc w:val="both"/>
    </w:pPr>
    <w:rPr>
      <w:rFonts w:ascii="Arial" w:hAnsi="Arial"/>
      <w:lang w:eastAsia="en-US"/>
    </w:rPr>
  </w:style>
  <w:style w:type="paragraph" w:styleId="Heading1">
    <w:name w:val="heading 1"/>
    <w:basedOn w:val="BodyText"/>
    <w:next w:val="BodyText"/>
    <w:qFormat/>
    <w:rsid w:val="00A01ADA"/>
    <w:pPr>
      <w:keepNext/>
      <w:pageBreakBefore/>
      <w:numPr>
        <w:ilvl w:val="0"/>
      </w:numPr>
      <w:spacing w:before="240" w:after="240"/>
      <w:outlineLvl w:val="0"/>
    </w:pPr>
    <w:rPr>
      <w:b/>
      <w:sz w:val="28"/>
    </w:rPr>
  </w:style>
  <w:style w:type="paragraph" w:styleId="Heading2">
    <w:name w:val="heading 2"/>
    <w:basedOn w:val="BodyText"/>
    <w:next w:val="BodyText2"/>
    <w:qFormat/>
    <w:rsid w:val="00EA656B"/>
    <w:pPr>
      <w:keepNext/>
      <w:numPr>
        <w:ilvl w:val="1"/>
      </w:numPr>
      <w:spacing w:before="60"/>
      <w:outlineLvl w:val="1"/>
    </w:pPr>
    <w:rPr>
      <w:b/>
      <w:i/>
      <w:sz w:val="24"/>
    </w:rPr>
  </w:style>
  <w:style w:type="paragraph" w:styleId="Heading3">
    <w:name w:val="heading 3"/>
    <w:basedOn w:val="BodyText"/>
    <w:next w:val="BodyText"/>
    <w:qFormat/>
    <w:rsid w:val="00814C36"/>
    <w:pPr>
      <w:keepNext/>
      <w:numPr>
        <w:numId w:val="3"/>
      </w:numPr>
      <w:spacing w:before="240" w:after="60"/>
      <w:outlineLvl w:val="2"/>
    </w:pPr>
    <w:rPr>
      <w:b/>
      <w:sz w:val="24"/>
    </w:rPr>
  </w:style>
  <w:style w:type="paragraph" w:styleId="Heading4">
    <w:name w:val="heading 4"/>
    <w:basedOn w:val="BodyText"/>
    <w:next w:val="BodyText"/>
    <w:qFormat/>
    <w:rsid w:val="00814C36"/>
    <w:pPr>
      <w:keepNext/>
      <w:numPr>
        <w:ilvl w:val="0"/>
        <w:numId w:val="0"/>
      </w:numPr>
      <w:spacing w:before="40" w:after="40"/>
      <w:outlineLvl w:val="3"/>
    </w:pPr>
    <w:rPr>
      <w:b/>
    </w:rPr>
  </w:style>
  <w:style w:type="paragraph" w:styleId="Heading5">
    <w:name w:val="heading 5"/>
    <w:basedOn w:val="Normal"/>
    <w:next w:val="Normal"/>
    <w:qFormat/>
    <w:rsid w:val="00814C36"/>
    <w:pPr>
      <w:keepNext/>
      <w:numPr>
        <w:ilvl w:val="4"/>
        <w:numId w:val="3"/>
      </w:numPr>
      <w:outlineLvl w:val="4"/>
    </w:pPr>
    <w:rPr>
      <w:b/>
      <w:u w:val="single"/>
    </w:rPr>
  </w:style>
  <w:style w:type="paragraph" w:styleId="Heading6">
    <w:name w:val="heading 6"/>
    <w:basedOn w:val="Normal"/>
    <w:next w:val="Normal"/>
    <w:qFormat/>
    <w:rsid w:val="00814C36"/>
    <w:pPr>
      <w:keepNext/>
      <w:numPr>
        <w:ilvl w:val="5"/>
        <w:numId w:val="3"/>
      </w:numPr>
      <w:outlineLvl w:val="5"/>
    </w:pPr>
    <w:rPr>
      <w:b/>
    </w:rPr>
  </w:style>
  <w:style w:type="paragraph" w:styleId="Heading7">
    <w:name w:val="heading 7"/>
    <w:basedOn w:val="Normal"/>
    <w:next w:val="Normal"/>
    <w:qFormat/>
    <w:rsid w:val="00814C36"/>
    <w:pPr>
      <w:numPr>
        <w:ilvl w:val="6"/>
        <w:numId w:val="3"/>
      </w:numPr>
      <w:spacing w:before="240" w:after="60"/>
      <w:outlineLvl w:val="6"/>
    </w:pPr>
  </w:style>
  <w:style w:type="paragraph" w:styleId="Heading8">
    <w:name w:val="heading 8"/>
    <w:basedOn w:val="Normal"/>
    <w:next w:val="Normal"/>
    <w:qFormat/>
    <w:rsid w:val="00814C36"/>
    <w:pPr>
      <w:numPr>
        <w:ilvl w:val="7"/>
        <w:numId w:val="3"/>
      </w:numPr>
      <w:spacing w:before="240" w:after="60"/>
      <w:outlineLvl w:val="7"/>
    </w:pPr>
    <w:rPr>
      <w:i/>
    </w:rPr>
  </w:style>
  <w:style w:type="paragraph" w:styleId="Heading9">
    <w:name w:val="heading 9"/>
    <w:basedOn w:val="Normal"/>
    <w:next w:val="Normal"/>
    <w:qFormat/>
    <w:rsid w:val="00814C36"/>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CA109A"/>
    <w:pPr>
      <w:jc w:val="center"/>
    </w:pPr>
    <w:rPr>
      <w:b/>
    </w:rPr>
  </w:style>
  <w:style w:type="paragraph" w:customStyle="1" w:styleId="ChartSecondHeading">
    <w:name w:val="Chart Second Heading"/>
    <w:basedOn w:val="SingleParagraph"/>
    <w:next w:val="Normal"/>
    <w:rsid w:val="00CA109A"/>
    <w:pPr>
      <w:jc w:val="center"/>
    </w:pPr>
  </w:style>
  <w:style w:type="paragraph" w:customStyle="1" w:styleId="TableMainHeading">
    <w:name w:val="Table Main Heading"/>
    <w:basedOn w:val="ChartMainHeading"/>
    <w:next w:val="Normal"/>
    <w:rsid w:val="00AE31C0"/>
    <w:pPr>
      <w:jc w:val="left"/>
    </w:pPr>
  </w:style>
  <w:style w:type="paragraph" w:styleId="Header">
    <w:name w:val="header"/>
    <w:basedOn w:val="Normal"/>
    <w:link w:val="HeaderChar"/>
    <w:rsid w:val="005D3941"/>
    <w:pPr>
      <w:tabs>
        <w:tab w:val="center" w:pos="4153"/>
        <w:tab w:val="right" w:pos="8306"/>
      </w:tabs>
    </w:pPr>
    <w:rPr>
      <w:b/>
    </w:rPr>
  </w:style>
  <w:style w:type="paragraph" w:styleId="Footer">
    <w:name w:val="footer"/>
    <w:basedOn w:val="Normal"/>
    <w:link w:val="FooterChar"/>
    <w:rsid w:val="005D3941"/>
    <w:pPr>
      <w:tabs>
        <w:tab w:val="center" w:pos="4153"/>
        <w:tab w:val="right" w:pos="8306"/>
      </w:tabs>
    </w:pPr>
  </w:style>
  <w:style w:type="paragraph" w:styleId="BodyText">
    <w:name w:val="Body Text"/>
    <w:basedOn w:val="Normal"/>
    <w:rsid w:val="00EA656B"/>
    <w:pPr>
      <w:numPr>
        <w:ilvl w:val="2"/>
        <w:numId w:val="4"/>
      </w:numPr>
    </w:pPr>
  </w:style>
  <w:style w:type="paragraph" w:customStyle="1" w:styleId="Bullet">
    <w:name w:val="Bullet"/>
    <w:basedOn w:val="Normal"/>
    <w:rsid w:val="005F3F4D"/>
    <w:pPr>
      <w:numPr>
        <w:numId w:val="1"/>
      </w:numPr>
    </w:pPr>
  </w:style>
  <w:style w:type="paragraph" w:styleId="Caption">
    <w:name w:val="caption"/>
    <w:basedOn w:val="Normal"/>
    <w:next w:val="BodyText"/>
    <w:qFormat/>
    <w:rsid w:val="005D3941"/>
    <w:pPr>
      <w:keepNext/>
    </w:pPr>
    <w:rPr>
      <w:u w:val="single"/>
    </w:rPr>
  </w:style>
  <w:style w:type="character" w:styleId="FootnoteReference">
    <w:name w:val="footnote reference"/>
    <w:basedOn w:val="DefaultParagraphFont"/>
    <w:semiHidden/>
    <w:rsid w:val="005D3941"/>
    <w:rPr>
      <w:vertAlign w:val="superscript"/>
    </w:rPr>
  </w:style>
  <w:style w:type="paragraph" w:styleId="FootnoteText">
    <w:name w:val="footnote text"/>
    <w:basedOn w:val="Normal"/>
    <w:semiHidden/>
    <w:rsid w:val="005D3941"/>
    <w:pPr>
      <w:spacing w:after="240"/>
    </w:pPr>
    <w:rPr>
      <w:sz w:val="18"/>
    </w:rPr>
  </w:style>
  <w:style w:type="character" w:styleId="Hyperlink">
    <w:name w:val="Hyperlink"/>
    <w:basedOn w:val="DefaultParagraphFont"/>
    <w:uiPriority w:val="99"/>
    <w:rsid w:val="00EE7300"/>
    <w:rPr>
      <w:rFonts w:ascii="Arial" w:hAnsi="Arial"/>
      <w:color w:val="0000FF"/>
      <w:sz w:val="20"/>
      <w:szCs w:val="20"/>
      <w:u w:val="single"/>
    </w:rPr>
  </w:style>
  <w:style w:type="character" w:styleId="PageNumber">
    <w:name w:val="page number"/>
    <w:basedOn w:val="DefaultParagraphFont"/>
    <w:rsid w:val="005D3941"/>
  </w:style>
  <w:style w:type="paragraph" w:customStyle="1" w:styleId="ReportTitle">
    <w:name w:val="Report Title"/>
    <w:basedOn w:val="Normal"/>
    <w:rsid w:val="00951515"/>
    <w:pPr>
      <w:spacing w:before="4791" w:after="720"/>
      <w:jc w:val="center"/>
    </w:pPr>
    <w:rPr>
      <w:b/>
      <w:caps/>
      <w:sz w:val="32"/>
    </w:rPr>
  </w:style>
  <w:style w:type="paragraph" w:customStyle="1" w:styleId="signaturename">
    <w:name w:val="signature name"/>
    <w:basedOn w:val="Normal"/>
    <w:next w:val="Normal"/>
    <w:rsid w:val="005D3941"/>
    <w:pPr>
      <w:spacing w:before="1200" w:after="0"/>
    </w:pPr>
  </w:style>
  <w:style w:type="paragraph" w:customStyle="1" w:styleId="signaturetitle">
    <w:name w:val="signature title"/>
    <w:basedOn w:val="Normal"/>
    <w:next w:val="Normal"/>
    <w:rsid w:val="00E31EFE"/>
    <w:pPr>
      <w:spacing w:before="240" w:after="0"/>
    </w:pPr>
  </w:style>
  <w:style w:type="paragraph" w:customStyle="1" w:styleId="table">
    <w:name w:val="table"/>
    <w:basedOn w:val="Normal"/>
    <w:rsid w:val="005D3941"/>
    <w:pPr>
      <w:spacing w:before="100"/>
      <w:ind w:left="113"/>
    </w:pPr>
  </w:style>
  <w:style w:type="paragraph" w:customStyle="1" w:styleId="TableofContentsTitle">
    <w:name w:val="Table of Contents Title"/>
    <w:basedOn w:val="Normal"/>
    <w:next w:val="Normal"/>
    <w:rsid w:val="005D3941"/>
    <w:rPr>
      <w:b/>
      <w:caps/>
      <w:sz w:val="28"/>
    </w:rPr>
  </w:style>
  <w:style w:type="paragraph" w:styleId="TableofFigures">
    <w:name w:val="table of figures"/>
    <w:basedOn w:val="Normal"/>
    <w:next w:val="Normal"/>
    <w:semiHidden/>
    <w:rsid w:val="005D3941"/>
    <w:pPr>
      <w:tabs>
        <w:tab w:val="left" w:pos="851"/>
        <w:tab w:val="right" w:pos="8307"/>
      </w:tabs>
      <w:ind w:left="851" w:right="567" w:hanging="851"/>
    </w:pPr>
  </w:style>
  <w:style w:type="paragraph" w:customStyle="1" w:styleId="TableText">
    <w:name w:val="Table Text"/>
    <w:basedOn w:val="BodyText"/>
    <w:rsid w:val="001F40FE"/>
    <w:pPr>
      <w:numPr>
        <w:ilvl w:val="0"/>
        <w:numId w:val="0"/>
      </w:numPr>
      <w:spacing w:before="60" w:after="60"/>
    </w:pPr>
  </w:style>
  <w:style w:type="paragraph" w:styleId="TOC1">
    <w:name w:val="toc 1"/>
    <w:basedOn w:val="Normal"/>
    <w:next w:val="Normal"/>
    <w:uiPriority w:val="39"/>
    <w:rsid w:val="00AA4C9F"/>
    <w:pPr>
      <w:tabs>
        <w:tab w:val="left" w:pos="567"/>
        <w:tab w:val="right" w:leader="dot" w:pos="8301"/>
      </w:tabs>
      <w:spacing w:before="360" w:after="0"/>
    </w:pPr>
    <w:rPr>
      <w:rFonts w:cs="Arial"/>
      <w:b/>
      <w:bCs/>
      <w:caps/>
      <w:sz w:val="24"/>
      <w:szCs w:val="24"/>
    </w:rPr>
  </w:style>
  <w:style w:type="paragraph" w:styleId="TOC2">
    <w:name w:val="toc 2"/>
    <w:basedOn w:val="Normal"/>
    <w:next w:val="Normal"/>
    <w:semiHidden/>
    <w:rsid w:val="005D3941"/>
    <w:pPr>
      <w:spacing w:before="240" w:after="0"/>
    </w:pPr>
    <w:rPr>
      <w:rFonts w:ascii="Times New Roman" w:hAnsi="Times New Roman"/>
      <w:b/>
      <w:bCs/>
    </w:rPr>
  </w:style>
  <w:style w:type="paragraph" w:styleId="TOC3">
    <w:name w:val="toc 3"/>
    <w:basedOn w:val="Normal"/>
    <w:next w:val="Normal"/>
    <w:semiHidden/>
    <w:rsid w:val="005D3941"/>
    <w:pPr>
      <w:spacing w:before="0" w:after="0"/>
      <w:ind w:left="220"/>
    </w:pPr>
    <w:rPr>
      <w:rFonts w:ascii="Times New Roman" w:hAnsi="Times New Roman"/>
    </w:rPr>
  </w:style>
  <w:style w:type="paragraph" w:styleId="TOC4">
    <w:name w:val="toc 4"/>
    <w:basedOn w:val="Normal"/>
    <w:next w:val="Normal"/>
    <w:semiHidden/>
    <w:rsid w:val="005D3941"/>
    <w:pPr>
      <w:spacing w:before="0" w:after="0"/>
      <w:ind w:left="440"/>
    </w:pPr>
    <w:rPr>
      <w:rFonts w:ascii="Times New Roman" w:hAnsi="Times New Roman"/>
    </w:rPr>
  </w:style>
  <w:style w:type="paragraph" w:styleId="TOC5">
    <w:name w:val="toc 5"/>
    <w:basedOn w:val="Normal"/>
    <w:next w:val="Normal"/>
    <w:semiHidden/>
    <w:rsid w:val="005D3941"/>
    <w:pPr>
      <w:spacing w:before="0" w:after="0"/>
      <w:ind w:left="660"/>
    </w:pPr>
    <w:rPr>
      <w:rFonts w:ascii="Times New Roman" w:hAnsi="Times New Roman"/>
    </w:rPr>
  </w:style>
  <w:style w:type="paragraph" w:styleId="TOC6">
    <w:name w:val="toc 6"/>
    <w:basedOn w:val="Normal"/>
    <w:next w:val="Normal"/>
    <w:semiHidden/>
    <w:rsid w:val="005D3941"/>
    <w:pPr>
      <w:spacing w:before="0" w:after="0"/>
      <w:ind w:left="880"/>
    </w:pPr>
    <w:rPr>
      <w:rFonts w:ascii="Times New Roman" w:hAnsi="Times New Roman"/>
    </w:rPr>
  </w:style>
  <w:style w:type="paragraph" w:styleId="TOC7">
    <w:name w:val="toc 7"/>
    <w:basedOn w:val="Normal"/>
    <w:next w:val="Normal"/>
    <w:semiHidden/>
    <w:rsid w:val="005D3941"/>
    <w:pPr>
      <w:spacing w:before="0" w:after="0"/>
      <w:ind w:left="1100"/>
    </w:pPr>
    <w:rPr>
      <w:rFonts w:ascii="Times New Roman" w:hAnsi="Times New Roman"/>
    </w:rPr>
  </w:style>
  <w:style w:type="paragraph" w:styleId="TOC8">
    <w:name w:val="toc 8"/>
    <w:basedOn w:val="Normal"/>
    <w:next w:val="Normal"/>
    <w:semiHidden/>
    <w:rsid w:val="005D3941"/>
    <w:pPr>
      <w:spacing w:before="0" w:after="0"/>
      <w:ind w:left="1320"/>
    </w:pPr>
    <w:rPr>
      <w:rFonts w:ascii="Times New Roman" w:hAnsi="Times New Roman"/>
    </w:rPr>
  </w:style>
  <w:style w:type="paragraph" w:styleId="TOC9">
    <w:name w:val="toc 9"/>
    <w:basedOn w:val="Normal"/>
    <w:next w:val="Normal"/>
    <w:semiHidden/>
    <w:rsid w:val="005D3941"/>
    <w:pPr>
      <w:spacing w:before="0" w:after="0"/>
      <w:ind w:left="1540"/>
    </w:pPr>
    <w:rPr>
      <w:rFonts w:ascii="Times New Roman" w:hAnsi="Times New Roman"/>
    </w:rPr>
  </w:style>
  <w:style w:type="paragraph" w:customStyle="1" w:styleId="Dash">
    <w:name w:val="Dash"/>
    <w:basedOn w:val="Normal"/>
    <w:rsid w:val="005F3F4D"/>
    <w:pPr>
      <w:numPr>
        <w:ilvl w:val="1"/>
        <w:numId w:val="1"/>
      </w:numPr>
    </w:pPr>
  </w:style>
  <w:style w:type="paragraph" w:customStyle="1" w:styleId="DoubleDot">
    <w:name w:val="Double Dot"/>
    <w:basedOn w:val="Normal"/>
    <w:rsid w:val="005F3F4D"/>
    <w:pPr>
      <w:numPr>
        <w:ilvl w:val="2"/>
        <w:numId w:val="1"/>
      </w:numPr>
    </w:pPr>
  </w:style>
  <w:style w:type="table" w:styleId="TableGrid">
    <w:name w:val="Table Grid"/>
    <w:basedOn w:val="TableNormal"/>
    <w:rsid w:val="00D72B83"/>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dTable">
    <w:name w:val="Std Table"/>
    <w:basedOn w:val="TableNormal"/>
    <w:rsid w:val="00D72B83"/>
    <w:pPr>
      <w:spacing w:before="120" w:after="120"/>
    </w:pPr>
    <w:rPr>
      <w:rFonts w:ascii="Trebuchet MS" w:hAnsi="Trebuchet MS"/>
    </w:rPr>
    <w:tblPr>
      <w:tblBorders>
        <w:top w:val="double" w:sz="4" w:space="0" w:color="auto"/>
        <w:left w:val="double" w:sz="4" w:space="0" w:color="auto"/>
        <w:bottom w:val="double" w:sz="4" w:space="0" w:color="auto"/>
        <w:right w:val="double" w:sz="4" w:space="0" w:color="auto"/>
      </w:tblBorders>
    </w:tblPr>
    <w:tblStylePr w:type="firstRow">
      <w:pPr>
        <w:wordWrap/>
        <w:spacing w:beforeLines="0"/>
        <w:jc w:val="center"/>
      </w:pPr>
      <w:rPr>
        <w:rFonts w:ascii="Univers 55" w:hAnsi="Univers 55"/>
        <w:b/>
        <w:i w:val="0"/>
        <w:sz w:val="24"/>
        <w:szCs w:val="24"/>
      </w:rPr>
    </w:tblStylePr>
  </w:style>
  <w:style w:type="paragraph" w:customStyle="1" w:styleId="NoNumber">
    <w:name w:val="No Number"/>
    <w:basedOn w:val="Normal"/>
    <w:rsid w:val="00D72B83"/>
    <w:pPr>
      <w:ind w:left="851"/>
    </w:pPr>
  </w:style>
  <w:style w:type="paragraph" w:customStyle="1" w:styleId="Appendix">
    <w:name w:val="Appendix"/>
    <w:basedOn w:val="Normal"/>
    <w:next w:val="BodyText"/>
    <w:rsid w:val="000A2DB0"/>
    <w:rPr>
      <w:b/>
      <w:sz w:val="28"/>
      <w:szCs w:val="28"/>
    </w:rPr>
  </w:style>
  <w:style w:type="paragraph" w:styleId="BodyText2">
    <w:name w:val="Body Text 2"/>
    <w:basedOn w:val="Normal"/>
    <w:rsid w:val="00EA656B"/>
    <w:pPr>
      <w:numPr>
        <w:ilvl w:val="3"/>
        <w:numId w:val="4"/>
      </w:numPr>
    </w:pPr>
  </w:style>
  <w:style w:type="paragraph" w:customStyle="1" w:styleId="NumberedParagraph">
    <w:name w:val="Numbered Paragraph"/>
    <w:basedOn w:val="Normal"/>
    <w:rsid w:val="005F2146"/>
    <w:pPr>
      <w:numPr>
        <w:numId w:val="2"/>
      </w:numPr>
      <w:tabs>
        <w:tab w:val="right" w:pos="9020"/>
      </w:tabs>
      <w:jc w:val="right"/>
    </w:pPr>
  </w:style>
  <w:style w:type="paragraph" w:styleId="BalloonText">
    <w:name w:val="Balloon Text"/>
    <w:basedOn w:val="Normal"/>
    <w:link w:val="BalloonTextChar"/>
    <w:rsid w:val="00F3308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3081"/>
    <w:rPr>
      <w:rFonts w:ascii="Tahoma" w:hAnsi="Tahoma" w:cs="Tahoma"/>
      <w:sz w:val="16"/>
      <w:szCs w:val="16"/>
      <w:lang w:eastAsia="en-US"/>
    </w:rPr>
  </w:style>
  <w:style w:type="paragraph" w:customStyle="1" w:styleId="SinglePara">
    <w:name w:val="Single Para"/>
    <w:basedOn w:val="Normal"/>
    <w:rsid w:val="00CE110F"/>
    <w:pPr>
      <w:spacing w:before="0" w:after="0"/>
      <w:jc w:val="left"/>
    </w:pPr>
  </w:style>
  <w:style w:type="paragraph" w:customStyle="1" w:styleId="SecurityClassificationHeader">
    <w:name w:val="Security Classification Header"/>
    <w:link w:val="SecurityClassificationHeaderChar"/>
    <w:rsid w:val="0016047B"/>
    <w:pPr>
      <w:spacing w:before="240" w:after="60"/>
      <w:jc w:val="center"/>
    </w:pPr>
    <w:rPr>
      <w:rFonts w:ascii="Arial" w:hAnsi="Arial"/>
      <w:b/>
      <w:caps/>
      <w:noProof/>
      <w:sz w:val="24"/>
      <w:lang w:eastAsia="en-US"/>
    </w:rPr>
  </w:style>
  <w:style w:type="character" w:customStyle="1" w:styleId="HeaderChar">
    <w:name w:val="Header Char"/>
    <w:basedOn w:val="DefaultParagraphFont"/>
    <w:link w:val="Header"/>
    <w:rsid w:val="0016047B"/>
    <w:rPr>
      <w:rFonts w:ascii="Arial" w:hAnsi="Arial"/>
      <w:b/>
      <w:lang w:eastAsia="en-US"/>
    </w:rPr>
  </w:style>
  <w:style w:type="character" w:customStyle="1" w:styleId="SecurityClassificationHeaderChar">
    <w:name w:val="Security Classification Header Char"/>
    <w:basedOn w:val="HeaderChar"/>
    <w:link w:val="SecurityClassificationHeader"/>
    <w:rsid w:val="0016047B"/>
    <w:rPr>
      <w:rFonts w:ascii="Arial" w:hAnsi="Arial"/>
      <w:b/>
      <w:caps/>
      <w:noProof/>
      <w:sz w:val="24"/>
      <w:lang w:eastAsia="en-US"/>
    </w:rPr>
  </w:style>
  <w:style w:type="paragraph" w:customStyle="1" w:styleId="SecurityClassificationFooter">
    <w:name w:val="Security Classification Footer"/>
    <w:link w:val="SecurityClassificationFooterChar"/>
    <w:rsid w:val="0016047B"/>
    <w:pPr>
      <w:spacing w:before="60" w:after="240"/>
      <w:jc w:val="center"/>
    </w:pPr>
    <w:rPr>
      <w:rFonts w:ascii="Arial" w:hAnsi="Arial"/>
      <w:b/>
      <w:caps/>
      <w:noProof/>
      <w:sz w:val="24"/>
      <w:lang w:eastAsia="en-US"/>
    </w:rPr>
  </w:style>
  <w:style w:type="character" w:customStyle="1" w:styleId="SecurityClassificationFooterChar">
    <w:name w:val="Security Classification Footer Char"/>
    <w:basedOn w:val="HeaderChar"/>
    <w:link w:val="SecurityClassificationFooter"/>
    <w:rsid w:val="0016047B"/>
    <w:rPr>
      <w:rFonts w:ascii="Arial" w:hAnsi="Arial"/>
      <w:b/>
      <w:caps/>
      <w:noProof/>
      <w:sz w:val="24"/>
      <w:lang w:eastAsia="en-US"/>
    </w:rPr>
  </w:style>
  <w:style w:type="paragraph" w:customStyle="1" w:styleId="DLMSecurityHeader">
    <w:name w:val="DLM Security Header"/>
    <w:link w:val="DLMSecurityHeaderChar"/>
    <w:rsid w:val="0016047B"/>
    <w:pPr>
      <w:spacing w:before="60" w:after="240"/>
      <w:jc w:val="center"/>
    </w:pPr>
    <w:rPr>
      <w:rFonts w:ascii="Arial" w:hAnsi="Arial"/>
      <w:b/>
      <w:caps/>
      <w:noProof/>
      <w:sz w:val="24"/>
      <w:lang w:eastAsia="en-US"/>
    </w:rPr>
  </w:style>
  <w:style w:type="character" w:customStyle="1" w:styleId="DLMSecurityHeaderChar">
    <w:name w:val="DLM Security Header Char"/>
    <w:basedOn w:val="HeaderChar"/>
    <w:link w:val="DLMSecurityHeader"/>
    <w:rsid w:val="0016047B"/>
    <w:rPr>
      <w:rFonts w:ascii="Arial" w:hAnsi="Arial"/>
      <w:b/>
      <w:caps/>
      <w:noProof/>
      <w:sz w:val="24"/>
      <w:lang w:eastAsia="en-US"/>
    </w:rPr>
  </w:style>
  <w:style w:type="paragraph" w:customStyle="1" w:styleId="DLMSecurityFooter">
    <w:name w:val="DLM Security Footer"/>
    <w:link w:val="DLMSecurityFooterChar"/>
    <w:rsid w:val="0016047B"/>
    <w:pPr>
      <w:spacing w:before="240" w:after="60"/>
      <w:jc w:val="center"/>
    </w:pPr>
    <w:rPr>
      <w:rFonts w:ascii="Arial" w:hAnsi="Arial"/>
      <w:b/>
      <w:caps/>
      <w:noProof/>
      <w:sz w:val="24"/>
      <w:lang w:eastAsia="en-US"/>
    </w:rPr>
  </w:style>
  <w:style w:type="character" w:customStyle="1" w:styleId="DLMSecurityFooterChar">
    <w:name w:val="DLM Security Footer Char"/>
    <w:basedOn w:val="HeaderChar"/>
    <w:link w:val="DLMSecurityFooter"/>
    <w:rsid w:val="0016047B"/>
    <w:rPr>
      <w:rFonts w:ascii="Arial" w:hAnsi="Arial"/>
      <w:b/>
      <w:caps/>
      <w:noProof/>
      <w:sz w:val="24"/>
      <w:lang w:eastAsia="en-US"/>
    </w:rPr>
  </w:style>
  <w:style w:type="paragraph" w:customStyle="1" w:styleId="TenderBullet">
    <w:name w:val="TenderBullet"/>
    <w:basedOn w:val="Normal"/>
    <w:rsid w:val="00DE5547"/>
    <w:pPr>
      <w:numPr>
        <w:numId w:val="15"/>
      </w:numPr>
      <w:spacing w:before="0" w:after="320"/>
      <w:jc w:val="left"/>
    </w:pPr>
  </w:style>
  <w:style w:type="paragraph" w:styleId="NormalIndent">
    <w:name w:val="Normal Indent"/>
    <w:basedOn w:val="Normal"/>
    <w:rsid w:val="000A7254"/>
    <w:pPr>
      <w:spacing w:before="0" w:after="320"/>
      <w:ind w:left="720"/>
      <w:jc w:val="left"/>
    </w:pPr>
  </w:style>
  <w:style w:type="character" w:styleId="CommentReference">
    <w:name w:val="annotation reference"/>
    <w:basedOn w:val="DefaultParagraphFont"/>
    <w:rsid w:val="00A51152"/>
    <w:rPr>
      <w:sz w:val="16"/>
      <w:szCs w:val="16"/>
    </w:rPr>
  </w:style>
  <w:style w:type="paragraph" w:styleId="CommentText">
    <w:name w:val="annotation text"/>
    <w:basedOn w:val="Normal"/>
    <w:link w:val="CommentTextChar"/>
    <w:rsid w:val="00A51152"/>
    <w:pPr>
      <w:spacing w:line="240" w:lineRule="auto"/>
    </w:pPr>
  </w:style>
  <w:style w:type="character" w:customStyle="1" w:styleId="CommentTextChar">
    <w:name w:val="Comment Text Char"/>
    <w:basedOn w:val="DefaultParagraphFont"/>
    <w:link w:val="CommentText"/>
    <w:rsid w:val="00A51152"/>
    <w:rPr>
      <w:rFonts w:ascii="Arial" w:hAnsi="Arial"/>
      <w:lang w:eastAsia="en-US"/>
    </w:rPr>
  </w:style>
  <w:style w:type="paragraph" w:styleId="CommentSubject">
    <w:name w:val="annotation subject"/>
    <w:basedOn w:val="CommentText"/>
    <w:next w:val="CommentText"/>
    <w:link w:val="CommentSubjectChar"/>
    <w:rsid w:val="00A51152"/>
    <w:rPr>
      <w:b/>
      <w:bCs/>
    </w:rPr>
  </w:style>
  <w:style w:type="character" w:customStyle="1" w:styleId="CommentSubjectChar">
    <w:name w:val="Comment Subject Char"/>
    <w:basedOn w:val="CommentTextChar"/>
    <w:link w:val="CommentSubject"/>
    <w:rsid w:val="00A51152"/>
    <w:rPr>
      <w:rFonts w:ascii="Arial" w:hAnsi="Arial"/>
      <w:b/>
      <w:bCs/>
      <w:lang w:eastAsia="en-US"/>
    </w:rPr>
  </w:style>
  <w:style w:type="paragraph" w:styleId="Revision">
    <w:name w:val="Revision"/>
    <w:hidden/>
    <w:uiPriority w:val="99"/>
    <w:semiHidden/>
    <w:rsid w:val="00AF19B8"/>
    <w:rPr>
      <w:rFonts w:ascii="Arial" w:hAnsi="Arial"/>
      <w:lang w:eastAsia="en-US"/>
    </w:rPr>
  </w:style>
  <w:style w:type="character" w:customStyle="1" w:styleId="FooterChar">
    <w:name w:val="Footer Char"/>
    <w:basedOn w:val="DefaultParagraphFont"/>
    <w:link w:val="Footer"/>
    <w:rsid w:val="005750A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947">
      <w:bodyDiv w:val="1"/>
      <w:marLeft w:val="0"/>
      <w:marRight w:val="0"/>
      <w:marTop w:val="0"/>
      <w:marBottom w:val="0"/>
      <w:divBdr>
        <w:top w:val="none" w:sz="0" w:space="0" w:color="auto"/>
        <w:left w:val="none" w:sz="0" w:space="0" w:color="auto"/>
        <w:bottom w:val="none" w:sz="0" w:space="0" w:color="auto"/>
        <w:right w:val="none" w:sz="0" w:space="0" w:color="auto"/>
      </w:divBdr>
    </w:div>
    <w:div w:id="115565271">
      <w:bodyDiv w:val="1"/>
      <w:marLeft w:val="0"/>
      <w:marRight w:val="0"/>
      <w:marTop w:val="0"/>
      <w:marBottom w:val="0"/>
      <w:divBdr>
        <w:top w:val="none" w:sz="0" w:space="0" w:color="auto"/>
        <w:left w:val="none" w:sz="0" w:space="0" w:color="auto"/>
        <w:bottom w:val="none" w:sz="0" w:space="0" w:color="auto"/>
        <w:right w:val="none" w:sz="0" w:space="0" w:color="auto"/>
      </w:divBdr>
    </w:div>
    <w:div w:id="159779444">
      <w:bodyDiv w:val="1"/>
      <w:marLeft w:val="0"/>
      <w:marRight w:val="0"/>
      <w:marTop w:val="0"/>
      <w:marBottom w:val="0"/>
      <w:divBdr>
        <w:top w:val="none" w:sz="0" w:space="0" w:color="auto"/>
        <w:left w:val="none" w:sz="0" w:space="0" w:color="auto"/>
        <w:bottom w:val="none" w:sz="0" w:space="0" w:color="auto"/>
        <w:right w:val="none" w:sz="0" w:space="0" w:color="auto"/>
      </w:divBdr>
    </w:div>
    <w:div w:id="223562583">
      <w:bodyDiv w:val="1"/>
      <w:marLeft w:val="0"/>
      <w:marRight w:val="0"/>
      <w:marTop w:val="0"/>
      <w:marBottom w:val="0"/>
      <w:divBdr>
        <w:top w:val="none" w:sz="0" w:space="0" w:color="auto"/>
        <w:left w:val="none" w:sz="0" w:space="0" w:color="auto"/>
        <w:bottom w:val="none" w:sz="0" w:space="0" w:color="auto"/>
        <w:right w:val="none" w:sz="0" w:space="0" w:color="auto"/>
      </w:divBdr>
    </w:div>
    <w:div w:id="338386959">
      <w:bodyDiv w:val="1"/>
      <w:marLeft w:val="0"/>
      <w:marRight w:val="0"/>
      <w:marTop w:val="0"/>
      <w:marBottom w:val="0"/>
      <w:divBdr>
        <w:top w:val="none" w:sz="0" w:space="0" w:color="auto"/>
        <w:left w:val="none" w:sz="0" w:space="0" w:color="auto"/>
        <w:bottom w:val="none" w:sz="0" w:space="0" w:color="auto"/>
        <w:right w:val="none" w:sz="0" w:space="0" w:color="auto"/>
      </w:divBdr>
    </w:div>
    <w:div w:id="415634157">
      <w:bodyDiv w:val="1"/>
      <w:marLeft w:val="0"/>
      <w:marRight w:val="0"/>
      <w:marTop w:val="0"/>
      <w:marBottom w:val="0"/>
      <w:divBdr>
        <w:top w:val="none" w:sz="0" w:space="0" w:color="auto"/>
        <w:left w:val="none" w:sz="0" w:space="0" w:color="auto"/>
        <w:bottom w:val="none" w:sz="0" w:space="0" w:color="auto"/>
        <w:right w:val="none" w:sz="0" w:space="0" w:color="auto"/>
      </w:divBdr>
    </w:div>
    <w:div w:id="536360699">
      <w:bodyDiv w:val="1"/>
      <w:marLeft w:val="0"/>
      <w:marRight w:val="0"/>
      <w:marTop w:val="0"/>
      <w:marBottom w:val="0"/>
      <w:divBdr>
        <w:top w:val="none" w:sz="0" w:space="0" w:color="auto"/>
        <w:left w:val="none" w:sz="0" w:space="0" w:color="auto"/>
        <w:bottom w:val="none" w:sz="0" w:space="0" w:color="auto"/>
        <w:right w:val="none" w:sz="0" w:space="0" w:color="auto"/>
      </w:divBdr>
    </w:div>
    <w:div w:id="613251717">
      <w:bodyDiv w:val="1"/>
      <w:marLeft w:val="0"/>
      <w:marRight w:val="0"/>
      <w:marTop w:val="0"/>
      <w:marBottom w:val="0"/>
      <w:divBdr>
        <w:top w:val="none" w:sz="0" w:space="0" w:color="auto"/>
        <w:left w:val="none" w:sz="0" w:space="0" w:color="auto"/>
        <w:bottom w:val="none" w:sz="0" w:space="0" w:color="auto"/>
        <w:right w:val="none" w:sz="0" w:space="0" w:color="auto"/>
      </w:divBdr>
    </w:div>
    <w:div w:id="1028679889">
      <w:bodyDiv w:val="1"/>
      <w:marLeft w:val="0"/>
      <w:marRight w:val="0"/>
      <w:marTop w:val="0"/>
      <w:marBottom w:val="0"/>
      <w:divBdr>
        <w:top w:val="none" w:sz="0" w:space="0" w:color="auto"/>
        <w:left w:val="none" w:sz="0" w:space="0" w:color="auto"/>
        <w:bottom w:val="none" w:sz="0" w:space="0" w:color="auto"/>
        <w:right w:val="none" w:sz="0" w:space="0" w:color="auto"/>
      </w:divBdr>
    </w:div>
    <w:div w:id="1397437507">
      <w:bodyDiv w:val="1"/>
      <w:marLeft w:val="0"/>
      <w:marRight w:val="0"/>
      <w:marTop w:val="0"/>
      <w:marBottom w:val="0"/>
      <w:divBdr>
        <w:top w:val="none" w:sz="0" w:space="0" w:color="auto"/>
        <w:left w:val="none" w:sz="0" w:space="0" w:color="auto"/>
        <w:bottom w:val="none" w:sz="0" w:space="0" w:color="auto"/>
        <w:right w:val="none" w:sz="0" w:space="0" w:color="auto"/>
      </w:divBdr>
    </w:div>
    <w:div w:id="1453402577">
      <w:bodyDiv w:val="1"/>
      <w:marLeft w:val="0"/>
      <w:marRight w:val="0"/>
      <w:marTop w:val="0"/>
      <w:marBottom w:val="0"/>
      <w:divBdr>
        <w:top w:val="none" w:sz="0" w:space="0" w:color="auto"/>
        <w:left w:val="none" w:sz="0" w:space="0" w:color="auto"/>
        <w:bottom w:val="none" w:sz="0" w:space="0" w:color="auto"/>
        <w:right w:val="none" w:sz="0" w:space="0" w:color="auto"/>
      </w:divBdr>
    </w:div>
    <w:div w:id="1506046945">
      <w:bodyDiv w:val="1"/>
      <w:marLeft w:val="0"/>
      <w:marRight w:val="0"/>
      <w:marTop w:val="0"/>
      <w:marBottom w:val="0"/>
      <w:divBdr>
        <w:top w:val="none" w:sz="0" w:space="0" w:color="auto"/>
        <w:left w:val="none" w:sz="0" w:space="0" w:color="auto"/>
        <w:bottom w:val="none" w:sz="0" w:space="0" w:color="auto"/>
        <w:right w:val="none" w:sz="0" w:space="0" w:color="auto"/>
      </w:divBdr>
    </w:div>
    <w:div w:id="1566990978">
      <w:bodyDiv w:val="1"/>
      <w:marLeft w:val="0"/>
      <w:marRight w:val="0"/>
      <w:marTop w:val="0"/>
      <w:marBottom w:val="0"/>
      <w:divBdr>
        <w:top w:val="none" w:sz="0" w:space="0" w:color="auto"/>
        <w:left w:val="none" w:sz="0" w:space="0" w:color="auto"/>
        <w:bottom w:val="none" w:sz="0" w:space="0" w:color="auto"/>
        <w:right w:val="none" w:sz="0" w:space="0" w:color="auto"/>
      </w:divBdr>
    </w:div>
    <w:div w:id="1692032178">
      <w:bodyDiv w:val="1"/>
      <w:marLeft w:val="0"/>
      <w:marRight w:val="0"/>
      <w:marTop w:val="0"/>
      <w:marBottom w:val="0"/>
      <w:divBdr>
        <w:top w:val="none" w:sz="0" w:space="0" w:color="auto"/>
        <w:left w:val="none" w:sz="0" w:space="0" w:color="auto"/>
        <w:bottom w:val="none" w:sz="0" w:space="0" w:color="auto"/>
        <w:right w:val="none" w:sz="0" w:space="0" w:color="auto"/>
      </w:divBdr>
    </w:div>
    <w:div w:id="213440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20G%20A\AGA%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77E3B-E0D1-4794-A11F-7175CE1C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AGA Report.dotm</Template>
  <TotalTime>2</TotalTime>
  <Pages>35</Pages>
  <Words>10660</Words>
  <Characters>54577</Characters>
  <Application>Microsoft Office Word</Application>
  <DocSecurity>0</DocSecurity>
  <Lines>454</Lines>
  <Paragraphs>130</Paragraphs>
  <ScaleCrop>false</ScaleCrop>
  <HeadingPairs>
    <vt:vector size="2" baseType="variant">
      <vt:variant>
        <vt:lpstr>Title</vt:lpstr>
      </vt:variant>
      <vt:variant>
        <vt:i4>1</vt:i4>
      </vt:variant>
    </vt:vector>
  </HeadingPairs>
  <TitlesOfParts>
    <vt:vector size="1" baseType="lpstr">
      <vt:lpstr>TABLE OF CONTENTS</vt:lpstr>
    </vt:vector>
  </TitlesOfParts>
  <Company>The Treasury</Company>
  <LinksUpToDate>false</LinksUpToDate>
  <CharactersWithSpaces>65107</CharactersWithSpaces>
  <SharedDoc>false</SharedDoc>
  <HLinks>
    <vt:vector size="6" baseType="variant">
      <vt:variant>
        <vt:i4>1441854</vt:i4>
      </vt:variant>
      <vt:variant>
        <vt:i4>2</vt:i4>
      </vt:variant>
      <vt:variant>
        <vt:i4>0</vt:i4>
      </vt:variant>
      <vt:variant>
        <vt:i4>5</vt:i4>
      </vt:variant>
      <vt:variant>
        <vt:lpwstr/>
      </vt:variant>
      <vt:variant>
        <vt:lpwstr>_Toc59270798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Antcliff, Susan</dc:creator>
  <cp:lastModifiedBy>BRILL,Peta</cp:lastModifiedBy>
  <cp:revision>2</cp:revision>
  <cp:lastPrinted>2021-07-29T01:01:00Z</cp:lastPrinted>
  <dcterms:created xsi:type="dcterms:W3CDTF">2021-10-26T01:40:00Z</dcterms:created>
  <dcterms:modified xsi:type="dcterms:W3CDTF">2021-10-26T01:40:00Z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ingDocStatus">
    <vt:lpwstr>DRAFT WORKING DOCUMENT</vt:lpwstr>
  </property>
  <property fmtid="{D5CDD505-2E9C-101B-9397-08002B2CF9AE}" pid="3" name="_NewReviewCycle">
    <vt:lpwstr/>
  </property>
</Properties>
</file>