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D024F" w14:textId="77777777" w:rsidR="00270631" w:rsidRDefault="00270631" w:rsidP="008C1FEE">
      <w:pPr>
        <w:rPr>
          <w:rFonts w:ascii="Arial" w:hAnsi="Arial" w:cs="Arial"/>
          <w:szCs w:val="24"/>
        </w:rPr>
      </w:pPr>
    </w:p>
    <w:p w14:paraId="465E4B25" w14:textId="77777777" w:rsidR="00270631" w:rsidRDefault="00270631" w:rsidP="008C1FEE">
      <w:pPr>
        <w:rPr>
          <w:rFonts w:ascii="Arial" w:hAnsi="Arial" w:cs="Arial"/>
          <w:szCs w:val="24"/>
        </w:rPr>
      </w:pPr>
    </w:p>
    <w:p w14:paraId="2A7597FE" w14:textId="77777777" w:rsidR="00270631" w:rsidRDefault="00270631" w:rsidP="008C1FEE">
      <w:pPr>
        <w:rPr>
          <w:rFonts w:ascii="Arial" w:hAnsi="Arial" w:cs="Arial"/>
          <w:szCs w:val="24"/>
        </w:rPr>
      </w:pPr>
    </w:p>
    <w:p w14:paraId="7C54C509" w14:textId="77777777" w:rsidR="00270631" w:rsidRDefault="00270631" w:rsidP="008C1FEE">
      <w:pPr>
        <w:rPr>
          <w:rFonts w:ascii="Arial" w:hAnsi="Arial" w:cs="Arial"/>
          <w:szCs w:val="24"/>
        </w:rPr>
      </w:pPr>
    </w:p>
    <w:p w14:paraId="5B17DB56" w14:textId="77777777" w:rsidR="00270631" w:rsidRDefault="00270631" w:rsidP="008C1FEE">
      <w:pPr>
        <w:rPr>
          <w:rFonts w:ascii="Arial" w:hAnsi="Arial" w:cs="Arial"/>
          <w:szCs w:val="24"/>
        </w:rPr>
      </w:pPr>
    </w:p>
    <w:p w14:paraId="3D464FD4" w14:textId="77777777" w:rsidR="00270631" w:rsidRDefault="00270631" w:rsidP="008C1FEE">
      <w:pPr>
        <w:rPr>
          <w:rFonts w:ascii="Arial" w:hAnsi="Arial" w:cs="Arial"/>
          <w:szCs w:val="24"/>
        </w:rPr>
      </w:pPr>
    </w:p>
    <w:p w14:paraId="4D714CD5" w14:textId="77777777" w:rsidR="00270631" w:rsidRDefault="00270631" w:rsidP="008C1FEE">
      <w:pPr>
        <w:rPr>
          <w:rFonts w:ascii="Arial" w:hAnsi="Arial" w:cs="Arial"/>
          <w:szCs w:val="24"/>
        </w:rPr>
      </w:pPr>
    </w:p>
    <w:p w14:paraId="0E9D78E6" w14:textId="77777777" w:rsidR="00270631" w:rsidRDefault="00270631" w:rsidP="008C1FEE">
      <w:pPr>
        <w:rPr>
          <w:rFonts w:ascii="Arial" w:hAnsi="Arial" w:cs="Arial"/>
          <w:szCs w:val="24"/>
        </w:rPr>
      </w:pPr>
    </w:p>
    <w:p w14:paraId="4A33CA26" w14:textId="77777777" w:rsidR="00270631" w:rsidRDefault="00270631" w:rsidP="008C1FEE">
      <w:pPr>
        <w:rPr>
          <w:rFonts w:ascii="Arial" w:hAnsi="Arial" w:cs="Arial"/>
          <w:szCs w:val="24"/>
        </w:rPr>
      </w:pPr>
    </w:p>
    <w:p w14:paraId="2DC4F97E" w14:textId="77777777" w:rsidR="00D22A21" w:rsidRDefault="00D22A21" w:rsidP="008C1FEE">
      <w:pPr>
        <w:rPr>
          <w:rFonts w:ascii="Arial" w:hAnsi="Arial" w:cs="Arial"/>
          <w:szCs w:val="24"/>
        </w:rPr>
      </w:pPr>
    </w:p>
    <w:p w14:paraId="12780E06" w14:textId="2A2E5655" w:rsidR="00D157FA" w:rsidRDefault="00143C75" w:rsidP="008C1FEE">
      <w:pPr>
        <w:rPr>
          <w:rFonts w:ascii="Arial" w:hAnsi="Arial" w:cs="Arial"/>
          <w:szCs w:val="24"/>
        </w:rPr>
      </w:pPr>
      <w:r>
        <w:rPr>
          <w:rFonts w:ascii="Arial" w:hAnsi="Arial" w:cs="Arial"/>
          <w:szCs w:val="24"/>
        </w:rPr>
        <w:t>Ms</w:t>
      </w:r>
      <w:r w:rsidR="00D157FA">
        <w:rPr>
          <w:rFonts w:ascii="Arial" w:hAnsi="Arial" w:cs="Arial"/>
          <w:szCs w:val="24"/>
        </w:rPr>
        <w:t xml:space="preserve"> </w:t>
      </w:r>
      <w:r>
        <w:rPr>
          <w:rFonts w:ascii="Arial" w:hAnsi="Arial" w:cs="Arial"/>
          <w:szCs w:val="24"/>
        </w:rPr>
        <w:t>Melinda</w:t>
      </w:r>
      <w:r w:rsidR="00D157FA">
        <w:rPr>
          <w:rFonts w:ascii="Arial" w:hAnsi="Arial" w:cs="Arial"/>
          <w:szCs w:val="24"/>
        </w:rPr>
        <w:t xml:space="preserve"> </w:t>
      </w:r>
      <w:r>
        <w:rPr>
          <w:rFonts w:ascii="Arial" w:hAnsi="Arial" w:cs="Arial"/>
          <w:szCs w:val="24"/>
        </w:rPr>
        <w:t>Hatton</w:t>
      </w:r>
    </w:p>
    <w:p w14:paraId="22BEAC49" w14:textId="77777777" w:rsidR="00D157FA" w:rsidRDefault="00D157FA" w:rsidP="008C1FEE">
      <w:pPr>
        <w:rPr>
          <w:rFonts w:ascii="Arial" w:hAnsi="Arial" w:cs="Arial"/>
          <w:szCs w:val="24"/>
        </w:rPr>
      </w:pPr>
      <w:r>
        <w:rPr>
          <w:rFonts w:ascii="Arial" w:hAnsi="Arial" w:cs="Arial"/>
          <w:szCs w:val="24"/>
        </w:rPr>
        <w:t>Director</w:t>
      </w:r>
    </w:p>
    <w:p w14:paraId="07E43787" w14:textId="77777777" w:rsidR="007747EF" w:rsidRDefault="007747EF" w:rsidP="008C1FEE">
      <w:pPr>
        <w:rPr>
          <w:rFonts w:ascii="Arial" w:hAnsi="Arial" w:cs="Arial"/>
          <w:szCs w:val="24"/>
        </w:rPr>
      </w:pPr>
      <w:r>
        <w:rPr>
          <w:rFonts w:ascii="Arial" w:hAnsi="Arial" w:cs="Arial"/>
          <w:szCs w:val="24"/>
        </w:rPr>
        <w:t>Tuition Protection Service</w:t>
      </w:r>
    </w:p>
    <w:p w14:paraId="5932E2B3" w14:textId="784CF4D0" w:rsidR="00D157FA" w:rsidRDefault="00A36167" w:rsidP="008C1FEE">
      <w:pPr>
        <w:rPr>
          <w:rFonts w:ascii="Arial" w:hAnsi="Arial" w:cs="Arial"/>
          <w:szCs w:val="24"/>
        </w:rPr>
      </w:pPr>
      <w:r>
        <w:rPr>
          <w:rFonts w:ascii="Arial" w:hAnsi="Arial" w:cs="Arial"/>
          <w:szCs w:val="24"/>
        </w:rPr>
        <w:t>c</w:t>
      </w:r>
      <w:r w:rsidR="00D157FA">
        <w:rPr>
          <w:rFonts w:ascii="Arial" w:hAnsi="Arial" w:cs="Arial"/>
          <w:szCs w:val="24"/>
        </w:rPr>
        <w:t>/</w:t>
      </w:r>
      <w:r>
        <w:rPr>
          <w:rFonts w:ascii="Arial" w:hAnsi="Arial" w:cs="Arial"/>
          <w:szCs w:val="24"/>
        </w:rPr>
        <w:t>o</w:t>
      </w:r>
      <w:r w:rsidR="00D157FA">
        <w:rPr>
          <w:rFonts w:ascii="Arial" w:hAnsi="Arial" w:cs="Arial"/>
          <w:szCs w:val="24"/>
        </w:rPr>
        <w:t xml:space="preserve"> Department of Education</w:t>
      </w:r>
      <w:r w:rsidR="001365E1">
        <w:rPr>
          <w:rFonts w:ascii="Arial" w:hAnsi="Arial" w:cs="Arial"/>
          <w:szCs w:val="24"/>
        </w:rPr>
        <w:t>, Skills and Employment</w:t>
      </w:r>
    </w:p>
    <w:p w14:paraId="102FD0C3" w14:textId="77777777" w:rsidR="007747EF" w:rsidRPr="007747EF" w:rsidRDefault="007747EF" w:rsidP="007747EF">
      <w:pPr>
        <w:rPr>
          <w:rFonts w:ascii="Arial" w:hAnsi="Arial" w:cs="Arial"/>
          <w:szCs w:val="24"/>
        </w:rPr>
      </w:pPr>
      <w:r w:rsidRPr="007747EF">
        <w:rPr>
          <w:rFonts w:ascii="Arial" w:hAnsi="Arial" w:cs="Arial"/>
          <w:szCs w:val="24"/>
        </w:rPr>
        <w:t>GPO Box 9880</w:t>
      </w:r>
    </w:p>
    <w:p w14:paraId="15687341" w14:textId="77777777" w:rsidR="00D157FA" w:rsidRDefault="007747EF" w:rsidP="007747EF">
      <w:pPr>
        <w:rPr>
          <w:rFonts w:ascii="Arial" w:hAnsi="Arial" w:cs="Arial"/>
          <w:szCs w:val="24"/>
        </w:rPr>
      </w:pPr>
      <w:r>
        <w:rPr>
          <w:rFonts w:ascii="Arial" w:hAnsi="Arial" w:cs="Arial"/>
          <w:szCs w:val="24"/>
        </w:rPr>
        <w:t>CANBERRA</w:t>
      </w:r>
      <w:r w:rsidRPr="007747EF">
        <w:rPr>
          <w:rFonts w:ascii="Arial" w:hAnsi="Arial" w:cs="Arial"/>
          <w:szCs w:val="24"/>
        </w:rPr>
        <w:t xml:space="preserve"> </w:t>
      </w:r>
      <w:r>
        <w:rPr>
          <w:rFonts w:ascii="Arial" w:hAnsi="Arial" w:cs="Arial"/>
          <w:szCs w:val="24"/>
        </w:rPr>
        <w:t xml:space="preserve"> </w:t>
      </w:r>
      <w:r w:rsidRPr="007747EF">
        <w:rPr>
          <w:rFonts w:ascii="Arial" w:hAnsi="Arial" w:cs="Arial"/>
          <w:szCs w:val="24"/>
        </w:rPr>
        <w:t xml:space="preserve">ACT </w:t>
      </w:r>
      <w:r>
        <w:rPr>
          <w:rFonts w:ascii="Arial" w:hAnsi="Arial" w:cs="Arial"/>
          <w:szCs w:val="24"/>
        </w:rPr>
        <w:t xml:space="preserve"> </w:t>
      </w:r>
      <w:r w:rsidRPr="007747EF">
        <w:rPr>
          <w:rFonts w:ascii="Arial" w:hAnsi="Arial" w:cs="Arial"/>
          <w:szCs w:val="24"/>
        </w:rPr>
        <w:t>2601</w:t>
      </w:r>
    </w:p>
    <w:p w14:paraId="33E42B5B" w14:textId="0A42824C" w:rsidR="002701C9" w:rsidRDefault="002701C9" w:rsidP="008C1FEE">
      <w:pPr>
        <w:rPr>
          <w:rFonts w:ascii="Arial" w:hAnsi="Arial" w:cs="Arial"/>
          <w:szCs w:val="24"/>
        </w:rPr>
      </w:pPr>
    </w:p>
    <w:p w14:paraId="7ECCE8B3" w14:textId="6C31584C" w:rsidR="007747EF" w:rsidRDefault="007747EF" w:rsidP="008C1FEE">
      <w:pPr>
        <w:rPr>
          <w:rFonts w:ascii="Arial" w:hAnsi="Arial" w:cs="Arial"/>
          <w:szCs w:val="24"/>
        </w:rPr>
      </w:pPr>
    </w:p>
    <w:p w14:paraId="3C155CF0" w14:textId="77777777" w:rsidR="00143C75" w:rsidRDefault="00143C75" w:rsidP="008C1FEE">
      <w:pPr>
        <w:rPr>
          <w:rFonts w:ascii="Arial" w:hAnsi="Arial" w:cs="Arial"/>
          <w:szCs w:val="24"/>
        </w:rPr>
      </w:pPr>
    </w:p>
    <w:p w14:paraId="160808A6" w14:textId="1EB47CA0" w:rsidR="008C1FEE" w:rsidRPr="004470A6" w:rsidRDefault="008C1FEE" w:rsidP="008C1FEE">
      <w:pPr>
        <w:rPr>
          <w:rFonts w:ascii="Arial" w:hAnsi="Arial" w:cs="Arial"/>
          <w:szCs w:val="24"/>
        </w:rPr>
      </w:pPr>
      <w:r w:rsidRPr="004470A6">
        <w:rPr>
          <w:rFonts w:ascii="Arial" w:hAnsi="Arial" w:cs="Arial"/>
          <w:szCs w:val="24"/>
        </w:rPr>
        <w:t xml:space="preserve">Dear </w:t>
      </w:r>
      <w:r w:rsidR="00143C75">
        <w:rPr>
          <w:rFonts w:ascii="Arial" w:hAnsi="Arial" w:cs="Arial"/>
          <w:szCs w:val="24"/>
        </w:rPr>
        <w:t>Ms Hatton</w:t>
      </w:r>
    </w:p>
    <w:p w14:paraId="4D409841" w14:textId="77777777" w:rsidR="008C1FEE" w:rsidRPr="004470A6" w:rsidRDefault="008C1FEE" w:rsidP="008C1FEE">
      <w:pPr>
        <w:rPr>
          <w:rFonts w:ascii="Arial" w:hAnsi="Arial" w:cs="Arial"/>
          <w:szCs w:val="24"/>
        </w:rPr>
      </w:pPr>
    </w:p>
    <w:p w14:paraId="421DC82F" w14:textId="5343C5BA" w:rsidR="008C1FEE" w:rsidRPr="004470A6" w:rsidRDefault="008C1FEE" w:rsidP="008C1FEE">
      <w:pPr>
        <w:rPr>
          <w:rFonts w:ascii="Arial" w:hAnsi="Arial" w:cs="Arial"/>
          <w:szCs w:val="24"/>
        </w:rPr>
      </w:pPr>
      <w:r w:rsidRPr="004470A6">
        <w:rPr>
          <w:rFonts w:ascii="Arial" w:hAnsi="Arial" w:cs="Arial"/>
          <w:szCs w:val="24"/>
        </w:rPr>
        <w:t xml:space="preserve">I am writing to you in accordance with section 55B of the </w:t>
      </w:r>
      <w:r w:rsidRPr="004470A6">
        <w:rPr>
          <w:rFonts w:ascii="Arial" w:hAnsi="Arial" w:cs="Arial"/>
          <w:i/>
          <w:szCs w:val="24"/>
        </w:rPr>
        <w:t>Education Services for Overseas Students</w:t>
      </w:r>
      <w:r w:rsidRPr="004470A6">
        <w:rPr>
          <w:rFonts w:ascii="Arial" w:hAnsi="Arial" w:cs="Arial"/>
          <w:szCs w:val="24"/>
        </w:rPr>
        <w:t xml:space="preserve"> </w:t>
      </w:r>
      <w:r w:rsidRPr="00DB395A">
        <w:rPr>
          <w:rFonts w:ascii="Arial" w:hAnsi="Arial" w:cs="Arial"/>
          <w:i/>
          <w:szCs w:val="24"/>
        </w:rPr>
        <w:t>Act 2000</w:t>
      </w:r>
      <w:r w:rsidRPr="004470A6">
        <w:rPr>
          <w:rFonts w:ascii="Arial" w:hAnsi="Arial" w:cs="Arial"/>
          <w:szCs w:val="24"/>
        </w:rPr>
        <w:t xml:space="preserve"> (the ESOS Act) to provide advice and make recommendations </w:t>
      </w:r>
      <w:r>
        <w:rPr>
          <w:rFonts w:ascii="Arial" w:hAnsi="Arial" w:cs="Arial"/>
          <w:szCs w:val="24"/>
        </w:rPr>
        <w:t xml:space="preserve">to you </w:t>
      </w:r>
      <w:r w:rsidRPr="004470A6">
        <w:rPr>
          <w:rFonts w:ascii="Arial" w:hAnsi="Arial" w:cs="Arial"/>
          <w:szCs w:val="24"/>
        </w:rPr>
        <w:t>in relation to you making the annual legislative instrument for the risk rated premium and special tuition protection components of the Tuition Prote</w:t>
      </w:r>
      <w:r>
        <w:rPr>
          <w:rFonts w:ascii="Arial" w:hAnsi="Arial" w:cs="Arial"/>
          <w:szCs w:val="24"/>
        </w:rPr>
        <w:t xml:space="preserve">ction Service (TPS) Levy for </w:t>
      </w:r>
      <w:r w:rsidR="00D22A21">
        <w:rPr>
          <w:rFonts w:ascii="Arial" w:hAnsi="Arial" w:cs="Arial"/>
          <w:szCs w:val="24"/>
        </w:rPr>
        <w:t>2022</w:t>
      </w:r>
      <w:r w:rsidRPr="004470A6">
        <w:rPr>
          <w:rFonts w:ascii="Arial" w:hAnsi="Arial" w:cs="Arial"/>
          <w:szCs w:val="24"/>
        </w:rPr>
        <w:t>.</w:t>
      </w:r>
    </w:p>
    <w:p w14:paraId="0B95935C" w14:textId="77777777" w:rsidR="008C1FEE" w:rsidRPr="004470A6" w:rsidRDefault="008C1FEE" w:rsidP="008C1FEE">
      <w:pPr>
        <w:rPr>
          <w:rFonts w:ascii="Arial" w:hAnsi="Arial" w:cs="Arial"/>
          <w:szCs w:val="24"/>
        </w:rPr>
      </w:pPr>
    </w:p>
    <w:p w14:paraId="0442F390" w14:textId="5458A659" w:rsidR="008C1FEE" w:rsidRPr="004470A6" w:rsidRDefault="008C1FEE" w:rsidP="008C1FEE">
      <w:pPr>
        <w:rPr>
          <w:rFonts w:ascii="Arial" w:hAnsi="Arial" w:cs="Arial"/>
          <w:szCs w:val="24"/>
        </w:rPr>
      </w:pPr>
      <w:r w:rsidRPr="004470A6">
        <w:rPr>
          <w:rFonts w:ascii="Arial" w:hAnsi="Arial" w:cs="Arial"/>
          <w:szCs w:val="24"/>
        </w:rPr>
        <w:t xml:space="preserve">In </w:t>
      </w:r>
      <w:r>
        <w:rPr>
          <w:rFonts w:ascii="Arial" w:hAnsi="Arial" w:cs="Arial"/>
          <w:szCs w:val="24"/>
        </w:rPr>
        <w:t>formulating</w:t>
      </w:r>
      <w:r w:rsidRPr="004470A6">
        <w:rPr>
          <w:rFonts w:ascii="Arial" w:hAnsi="Arial" w:cs="Arial"/>
          <w:szCs w:val="24"/>
        </w:rPr>
        <w:t xml:space="preserve"> its advice, the </w:t>
      </w:r>
      <w:r>
        <w:rPr>
          <w:rFonts w:ascii="Arial" w:hAnsi="Arial" w:cs="Arial"/>
          <w:szCs w:val="24"/>
        </w:rPr>
        <w:t>Board</w:t>
      </w:r>
      <w:r w:rsidRPr="004470A6">
        <w:rPr>
          <w:rFonts w:ascii="Arial" w:hAnsi="Arial" w:cs="Arial"/>
          <w:szCs w:val="24"/>
        </w:rPr>
        <w:t xml:space="preserve"> has </w:t>
      </w:r>
      <w:r>
        <w:rPr>
          <w:rFonts w:ascii="Arial" w:hAnsi="Arial" w:cs="Arial"/>
          <w:szCs w:val="24"/>
        </w:rPr>
        <w:t>considered</w:t>
      </w:r>
      <w:r w:rsidRPr="004470A6">
        <w:rPr>
          <w:rFonts w:ascii="Arial" w:hAnsi="Arial" w:cs="Arial"/>
          <w:szCs w:val="24"/>
        </w:rPr>
        <w:t xml:space="preserve"> a number of issues including the </w:t>
      </w:r>
      <w:r>
        <w:rPr>
          <w:rFonts w:ascii="Arial" w:hAnsi="Arial" w:cs="Arial"/>
          <w:szCs w:val="24"/>
        </w:rPr>
        <w:t xml:space="preserve">strategic </w:t>
      </w:r>
      <w:r w:rsidRPr="004470A6">
        <w:rPr>
          <w:rFonts w:ascii="Arial" w:hAnsi="Arial" w:cs="Arial"/>
          <w:szCs w:val="24"/>
        </w:rPr>
        <w:t>risk environment,</w:t>
      </w:r>
      <w:r>
        <w:rPr>
          <w:rFonts w:ascii="Arial" w:hAnsi="Arial" w:cs="Arial"/>
          <w:szCs w:val="24"/>
        </w:rPr>
        <w:t xml:space="preserve"> the advice of the Australian Government Actuary</w:t>
      </w:r>
      <w:r w:rsidR="00294D99">
        <w:rPr>
          <w:rFonts w:ascii="Arial" w:hAnsi="Arial" w:cs="Arial"/>
          <w:szCs w:val="24"/>
        </w:rPr>
        <w:t xml:space="preserve"> (AGA)</w:t>
      </w:r>
      <w:r>
        <w:rPr>
          <w:rFonts w:ascii="Arial" w:hAnsi="Arial" w:cs="Arial"/>
          <w:szCs w:val="24"/>
        </w:rPr>
        <w:t>, the views of the regulators and industry peak bodies</w:t>
      </w:r>
      <w:r w:rsidR="001365E1">
        <w:rPr>
          <w:rFonts w:ascii="Arial" w:hAnsi="Arial" w:cs="Arial"/>
          <w:szCs w:val="24"/>
        </w:rPr>
        <w:t>, the</w:t>
      </w:r>
      <w:r w:rsidR="00D22A21">
        <w:rPr>
          <w:rFonts w:ascii="Arial" w:hAnsi="Arial" w:cs="Arial"/>
          <w:szCs w:val="24"/>
        </w:rPr>
        <w:t xml:space="preserve"> continuing</w:t>
      </w:r>
      <w:r w:rsidR="001365E1">
        <w:rPr>
          <w:rFonts w:ascii="Arial" w:hAnsi="Arial" w:cs="Arial"/>
          <w:szCs w:val="24"/>
        </w:rPr>
        <w:t xml:space="preserve"> impact of the Covid-19 pandemic on the sector</w:t>
      </w:r>
      <w:r>
        <w:rPr>
          <w:rFonts w:ascii="Arial" w:hAnsi="Arial" w:cs="Arial"/>
          <w:szCs w:val="24"/>
        </w:rPr>
        <w:t xml:space="preserve"> </w:t>
      </w:r>
      <w:r w:rsidRPr="004470A6">
        <w:rPr>
          <w:rFonts w:ascii="Arial" w:hAnsi="Arial" w:cs="Arial"/>
          <w:szCs w:val="24"/>
        </w:rPr>
        <w:t>and the quantum of funds required for the long-term sustainability of the Overseas Student</w:t>
      </w:r>
      <w:r>
        <w:rPr>
          <w:rFonts w:ascii="Arial" w:hAnsi="Arial" w:cs="Arial"/>
          <w:szCs w:val="24"/>
        </w:rPr>
        <w:t>s</w:t>
      </w:r>
      <w:r w:rsidRPr="004470A6">
        <w:rPr>
          <w:rFonts w:ascii="Arial" w:hAnsi="Arial" w:cs="Arial"/>
          <w:szCs w:val="24"/>
        </w:rPr>
        <w:t xml:space="preserve"> Tuition Fund (OSTF). </w:t>
      </w:r>
    </w:p>
    <w:p w14:paraId="17868533" w14:textId="77777777" w:rsidR="008C1FEE" w:rsidRPr="004470A6" w:rsidRDefault="008C1FEE" w:rsidP="008C1FEE">
      <w:pPr>
        <w:rPr>
          <w:rFonts w:ascii="Arial" w:hAnsi="Arial" w:cs="Arial"/>
          <w:szCs w:val="24"/>
        </w:rPr>
      </w:pPr>
    </w:p>
    <w:p w14:paraId="1EB0BD9C" w14:textId="77777777" w:rsidR="008C1FEE" w:rsidRPr="004470A6" w:rsidRDefault="008C1FEE" w:rsidP="008C1FEE">
      <w:pPr>
        <w:rPr>
          <w:rFonts w:ascii="Arial" w:hAnsi="Arial" w:cs="Arial"/>
          <w:szCs w:val="24"/>
        </w:rPr>
      </w:pPr>
      <w:r>
        <w:rPr>
          <w:rFonts w:ascii="Arial" w:hAnsi="Arial" w:cs="Arial"/>
          <w:szCs w:val="24"/>
        </w:rPr>
        <w:t>As in previous years, t</w:t>
      </w:r>
      <w:r w:rsidRPr="004470A6">
        <w:rPr>
          <w:rFonts w:ascii="Arial" w:hAnsi="Arial" w:cs="Arial"/>
          <w:szCs w:val="24"/>
        </w:rPr>
        <w:t xml:space="preserve">he </w:t>
      </w:r>
      <w:r>
        <w:rPr>
          <w:rFonts w:ascii="Arial" w:hAnsi="Arial" w:cs="Arial"/>
          <w:szCs w:val="24"/>
        </w:rPr>
        <w:t>Board</w:t>
      </w:r>
      <w:r w:rsidRPr="004470A6">
        <w:rPr>
          <w:rFonts w:ascii="Arial" w:hAnsi="Arial" w:cs="Arial"/>
          <w:szCs w:val="24"/>
        </w:rPr>
        <w:t xml:space="preserve"> has </w:t>
      </w:r>
      <w:r>
        <w:rPr>
          <w:rFonts w:ascii="Arial" w:hAnsi="Arial" w:cs="Arial"/>
          <w:szCs w:val="24"/>
        </w:rPr>
        <w:t xml:space="preserve">been assisted in its deliberations by the Board’s agreed ‘guiding </w:t>
      </w:r>
      <w:r w:rsidRPr="004470A6">
        <w:rPr>
          <w:rFonts w:ascii="Arial" w:hAnsi="Arial" w:cs="Arial"/>
          <w:szCs w:val="24"/>
        </w:rPr>
        <w:t>principles</w:t>
      </w:r>
      <w:r>
        <w:rPr>
          <w:rFonts w:ascii="Arial" w:hAnsi="Arial" w:cs="Arial"/>
          <w:szCs w:val="24"/>
        </w:rPr>
        <w:t>’</w:t>
      </w:r>
      <w:r w:rsidRPr="004470A6">
        <w:rPr>
          <w:rFonts w:ascii="Arial" w:hAnsi="Arial" w:cs="Arial"/>
          <w:szCs w:val="24"/>
        </w:rPr>
        <w:t xml:space="preserve">: </w:t>
      </w:r>
    </w:p>
    <w:p w14:paraId="7D66D978" w14:textId="77777777" w:rsidR="008C1FEE" w:rsidRPr="004470A6" w:rsidRDefault="008C1FEE" w:rsidP="008C1FEE">
      <w:pPr>
        <w:rPr>
          <w:rFonts w:ascii="Arial" w:hAnsi="Arial" w:cs="Arial"/>
          <w:szCs w:val="24"/>
        </w:rPr>
      </w:pPr>
    </w:p>
    <w:p w14:paraId="6DB1BB97" w14:textId="29AEF469" w:rsidR="008C1FEE" w:rsidRPr="004470A6" w:rsidRDefault="008C1FEE" w:rsidP="008C1FEE">
      <w:pPr>
        <w:numPr>
          <w:ilvl w:val="0"/>
          <w:numId w:val="1"/>
        </w:numPr>
        <w:spacing w:after="120"/>
        <w:ind w:left="714" w:hanging="357"/>
        <w:rPr>
          <w:rFonts w:ascii="Arial" w:hAnsi="Arial" w:cs="Arial"/>
          <w:szCs w:val="24"/>
        </w:rPr>
      </w:pPr>
      <w:r w:rsidRPr="004470A6">
        <w:rPr>
          <w:rFonts w:ascii="Arial" w:hAnsi="Arial" w:cs="Arial"/>
          <w:szCs w:val="24"/>
        </w:rPr>
        <w:t xml:space="preserve">Advice provided to the TPS Director should reflect the overall risk environment and ensure that revenue matches what is needed to sustain the </w:t>
      </w:r>
      <w:r w:rsidR="00D5149F">
        <w:rPr>
          <w:rFonts w:ascii="Arial" w:hAnsi="Arial" w:cs="Arial"/>
          <w:szCs w:val="24"/>
        </w:rPr>
        <w:t>relevant fund</w:t>
      </w:r>
      <w:r w:rsidRPr="004470A6">
        <w:rPr>
          <w:rFonts w:ascii="Arial" w:hAnsi="Arial" w:cs="Arial"/>
          <w:szCs w:val="24"/>
        </w:rPr>
        <w:t>, while also being sustainable for the industry.</w:t>
      </w:r>
    </w:p>
    <w:p w14:paraId="56767861" w14:textId="20AA34D2" w:rsidR="008C1FEE" w:rsidRPr="004470A6" w:rsidRDefault="008C1FEE" w:rsidP="008C1FEE">
      <w:pPr>
        <w:numPr>
          <w:ilvl w:val="0"/>
          <w:numId w:val="1"/>
        </w:numPr>
        <w:spacing w:after="120"/>
        <w:ind w:left="714" w:hanging="357"/>
        <w:rPr>
          <w:rFonts w:ascii="Arial" w:hAnsi="Arial" w:cs="Arial"/>
          <w:szCs w:val="24"/>
        </w:rPr>
      </w:pPr>
      <w:r w:rsidRPr="004470A6">
        <w:rPr>
          <w:rFonts w:ascii="Arial" w:hAnsi="Arial" w:cs="Arial"/>
          <w:szCs w:val="24"/>
        </w:rPr>
        <w:t xml:space="preserve">The model for </w:t>
      </w:r>
      <w:r w:rsidR="00D5149F">
        <w:rPr>
          <w:rFonts w:ascii="Arial" w:hAnsi="Arial" w:cs="Arial"/>
          <w:szCs w:val="24"/>
        </w:rPr>
        <w:t>each</w:t>
      </w:r>
      <w:r w:rsidRPr="004470A6">
        <w:rPr>
          <w:rFonts w:ascii="Arial" w:hAnsi="Arial" w:cs="Arial"/>
          <w:szCs w:val="24"/>
        </w:rPr>
        <w:t xml:space="preserve"> Levy should, as far as possible, reflect gradual change and assist the industry with business planning by providing a stable regulatory environment.</w:t>
      </w:r>
    </w:p>
    <w:p w14:paraId="19F50A11" w14:textId="740E3568" w:rsidR="008C1FEE" w:rsidRPr="004470A6" w:rsidRDefault="008C1FEE" w:rsidP="008C1FEE">
      <w:pPr>
        <w:numPr>
          <w:ilvl w:val="0"/>
          <w:numId w:val="1"/>
        </w:numPr>
        <w:spacing w:after="120"/>
        <w:ind w:left="714" w:hanging="357"/>
        <w:rPr>
          <w:rFonts w:ascii="Arial" w:hAnsi="Arial" w:cs="Arial"/>
          <w:szCs w:val="24"/>
        </w:rPr>
      </w:pPr>
      <w:r w:rsidRPr="004470A6">
        <w:rPr>
          <w:rFonts w:ascii="Arial" w:hAnsi="Arial" w:cs="Arial"/>
          <w:szCs w:val="24"/>
        </w:rPr>
        <w:t>The model should be as simple and transparent as possible, preferably   based on a small number of risk factors.</w:t>
      </w:r>
    </w:p>
    <w:p w14:paraId="688FE612" w14:textId="77777777" w:rsidR="008C1FEE" w:rsidRPr="004470A6" w:rsidRDefault="008C1FEE" w:rsidP="008C1FEE">
      <w:pPr>
        <w:numPr>
          <w:ilvl w:val="0"/>
          <w:numId w:val="1"/>
        </w:numPr>
        <w:spacing w:after="120"/>
        <w:ind w:left="714" w:hanging="357"/>
        <w:rPr>
          <w:rFonts w:ascii="Arial" w:hAnsi="Arial" w:cs="Arial"/>
          <w:szCs w:val="24"/>
        </w:rPr>
      </w:pPr>
      <w:r w:rsidRPr="004470A6">
        <w:rPr>
          <w:rFonts w:ascii="Arial" w:hAnsi="Arial" w:cs="Arial"/>
          <w:szCs w:val="24"/>
        </w:rPr>
        <w:t>Risk premiums imposed should provide incentives for providers to adopt positive behaviours.</w:t>
      </w:r>
    </w:p>
    <w:p w14:paraId="737A2DB5" w14:textId="2479ABAD" w:rsidR="008C1FEE" w:rsidRDefault="008C1FEE" w:rsidP="008C1FEE">
      <w:pPr>
        <w:numPr>
          <w:ilvl w:val="0"/>
          <w:numId w:val="1"/>
        </w:numPr>
        <w:spacing w:after="120"/>
        <w:ind w:left="714" w:hanging="357"/>
        <w:rPr>
          <w:rFonts w:ascii="Arial" w:hAnsi="Arial" w:cs="Arial"/>
          <w:szCs w:val="24"/>
        </w:rPr>
      </w:pPr>
      <w:r w:rsidRPr="004470A6">
        <w:rPr>
          <w:rFonts w:ascii="Arial" w:hAnsi="Arial" w:cs="Arial"/>
          <w:szCs w:val="24"/>
        </w:rPr>
        <w:t>Additional imposts on industry, such as data collection, should be minimised as far as possible</w:t>
      </w:r>
      <w:r w:rsidR="002701C9">
        <w:rPr>
          <w:rFonts w:ascii="Arial" w:hAnsi="Arial" w:cs="Arial"/>
          <w:szCs w:val="24"/>
        </w:rPr>
        <w:t xml:space="preserve">, </w:t>
      </w:r>
      <w:r w:rsidR="002701C9" w:rsidRPr="002701C9">
        <w:rPr>
          <w:rFonts w:ascii="Arial" w:hAnsi="Arial" w:cs="Arial"/>
          <w:szCs w:val="24"/>
        </w:rPr>
        <w:t>consistent with the ability to set sound risk-based levies</w:t>
      </w:r>
      <w:r w:rsidRPr="004470A6">
        <w:rPr>
          <w:rFonts w:ascii="Arial" w:hAnsi="Arial" w:cs="Arial"/>
          <w:szCs w:val="24"/>
        </w:rPr>
        <w:t>.</w:t>
      </w:r>
    </w:p>
    <w:p w14:paraId="6DA6543E" w14:textId="2B5B247D" w:rsidR="001365E1" w:rsidRDefault="001365E1" w:rsidP="008C1FEE">
      <w:pPr>
        <w:rPr>
          <w:rFonts w:ascii="Arial" w:hAnsi="Arial" w:cs="Arial"/>
          <w:szCs w:val="24"/>
        </w:rPr>
      </w:pPr>
      <w:r>
        <w:rPr>
          <w:rFonts w:ascii="Arial" w:hAnsi="Arial" w:cs="Arial"/>
          <w:szCs w:val="24"/>
        </w:rPr>
        <w:lastRenderedPageBreak/>
        <w:t>In particular, the Board has closely examined the wide-ranging effect on the sector of the Covid-19 pandemic and the impact this has had on international education providers.  The Board has noted the significant reduction in international students being able to commence their studies due to travel restrictions and other health-related restrictions</w:t>
      </w:r>
      <w:r w:rsidR="00D22A21">
        <w:rPr>
          <w:rFonts w:ascii="Arial" w:hAnsi="Arial" w:cs="Arial"/>
          <w:szCs w:val="24"/>
        </w:rPr>
        <w:t>, which has continued into 2021</w:t>
      </w:r>
      <w:r>
        <w:rPr>
          <w:rFonts w:ascii="Arial" w:hAnsi="Arial" w:cs="Arial"/>
          <w:szCs w:val="24"/>
        </w:rPr>
        <w:t xml:space="preserve">.  The Board has also considered </w:t>
      </w:r>
      <w:r w:rsidR="00A26221">
        <w:rPr>
          <w:rFonts w:ascii="Arial" w:hAnsi="Arial" w:cs="Arial"/>
          <w:szCs w:val="24"/>
        </w:rPr>
        <w:t>the views of industry and the regulators.</w:t>
      </w:r>
    </w:p>
    <w:p w14:paraId="67B5B605" w14:textId="77777777" w:rsidR="00A26221" w:rsidRPr="00A8495F" w:rsidRDefault="00A26221" w:rsidP="008C1FEE">
      <w:pPr>
        <w:rPr>
          <w:rFonts w:ascii="Arial" w:hAnsi="Arial" w:cs="Arial"/>
          <w:szCs w:val="24"/>
          <w:highlight w:val="yellow"/>
        </w:rPr>
      </w:pPr>
    </w:p>
    <w:p w14:paraId="337D1392" w14:textId="1A2ACDDF" w:rsidR="008C1FEE" w:rsidRDefault="008C1FEE" w:rsidP="008C1FEE">
      <w:pPr>
        <w:rPr>
          <w:rFonts w:ascii="Arial" w:hAnsi="Arial" w:cs="Arial"/>
        </w:rPr>
      </w:pPr>
      <w:r w:rsidRPr="004470A6">
        <w:rPr>
          <w:rFonts w:ascii="Arial" w:hAnsi="Arial" w:cs="Arial"/>
          <w:szCs w:val="24"/>
        </w:rPr>
        <w:t xml:space="preserve">The annual report from the AGA is a key document on which the </w:t>
      </w:r>
      <w:r>
        <w:rPr>
          <w:rFonts w:ascii="Arial" w:hAnsi="Arial" w:cs="Arial"/>
          <w:szCs w:val="24"/>
        </w:rPr>
        <w:t>Board</w:t>
      </w:r>
      <w:r w:rsidRPr="004470A6">
        <w:rPr>
          <w:rFonts w:ascii="Arial" w:hAnsi="Arial" w:cs="Arial"/>
          <w:szCs w:val="24"/>
        </w:rPr>
        <w:t xml:space="preserve"> relies</w:t>
      </w:r>
      <w:r>
        <w:rPr>
          <w:rFonts w:ascii="Arial" w:hAnsi="Arial" w:cs="Arial"/>
          <w:szCs w:val="24"/>
        </w:rPr>
        <w:t xml:space="preserve"> while</w:t>
      </w:r>
      <w:r w:rsidRPr="004470A6">
        <w:rPr>
          <w:rFonts w:ascii="Arial" w:hAnsi="Arial" w:cs="Arial"/>
          <w:szCs w:val="24"/>
        </w:rPr>
        <w:t xml:space="preserve"> preparing its advice. The latest AGA report, provided in </w:t>
      </w:r>
      <w:r w:rsidR="00D22A21">
        <w:rPr>
          <w:rFonts w:ascii="Arial" w:hAnsi="Arial" w:cs="Arial"/>
          <w:szCs w:val="24"/>
        </w:rPr>
        <w:t>August</w:t>
      </w:r>
      <w:r>
        <w:rPr>
          <w:rFonts w:ascii="Arial" w:hAnsi="Arial" w:cs="Arial"/>
          <w:szCs w:val="24"/>
        </w:rPr>
        <w:t xml:space="preserve"> </w:t>
      </w:r>
      <w:r w:rsidR="00D22A21">
        <w:rPr>
          <w:rFonts w:ascii="Arial" w:hAnsi="Arial" w:cs="Arial"/>
          <w:szCs w:val="24"/>
        </w:rPr>
        <w:t>2021</w:t>
      </w:r>
      <w:r w:rsidRPr="004470A6">
        <w:rPr>
          <w:rFonts w:ascii="Arial" w:hAnsi="Arial" w:cs="Arial"/>
          <w:szCs w:val="24"/>
        </w:rPr>
        <w:t xml:space="preserve">, notes </w:t>
      </w:r>
      <w:r w:rsidR="001365E1">
        <w:rPr>
          <w:rFonts w:ascii="Arial" w:hAnsi="Arial" w:cs="Arial"/>
          <w:szCs w:val="24"/>
        </w:rPr>
        <w:t>the significant challenges of the Covid-19 pandemic</w:t>
      </w:r>
      <w:r w:rsidR="00D22A21">
        <w:rPr>
          <w:rFonts w:ascii="Arial" w:hAnsi="Arial" w:cs="Arial"/>
          <w:szCs w:val="24"/>
        </w:rPr>
        <w:t xml:space="preserve"> continue</w:t>
      </w:r>
      <w:r w:rsidR="001365E1">
        <w:rPr>
          <w:rFonts w:ascii="Arial" w:hAnsi="Arial" w:cs="Arial"/>
          <w:szCs w:val="24"/>
        </w:rPr>
        <w:t xml:space="preserve"> and </w:t>
      </w:r>
      <w:r w:rsidR="008C643E">
        <w:rPr>
          <w:rFonts w:ascii="Arial" w:hAnsi="Arial" w:cs="Arial"/>
          <w:szCs w:val="24"/>
        </w:rPr>
        <w:t xml:space="preserve">supports </w:t>
      </w:r>
      <w:r w:rsidR="00D22A21">
        <w:rPr>
          <w:rFonts w:ascii="Arial" w:hAnsi="Arial" w:cs="Arial"/>
          <w:szCs w:val="24"/>
        </w:rPr>
        <w:t>the re-adopt</w:t>
      </w:r>
      <w:r w:rsidR="008C643E">
        <w:rPr>
          <w:rFonts w:ascii="Arial" w:hAnsi="Arial" w:cs="Arial"/>
          <w:szCs w:val="24"/>
        </w:rPr>
        <w:t xml:space="preserve">ion of </w:t>
      </w:r>
      <w:r w:rsidR="008225A6">
        <w:rPr>
          <w:rFonts w:ascii="Arial" w:hAnsi="Arial" w:cs="Arial"/>
          <w:szCs w:val="24"/>
        </w:rPr>
        <w:t xml:space="preserve">the </w:t>
      </w:r>
      <w:r w:rsidR="008C643E">
        <w:rPr>
          <w:rFonts w:ascii="Arial" w:hAnsi="Arial" w:cs="Arial"/>
          <w:szCs w:val="24"/>
        </w:rPr>
        <w:t xml:space="preserve">2021 settings </w:t>
      </w:r>
      <w:r w:rsidR="00D22A21">
        <w:rPr>
          <w:rFonts w:ascii="Arial" w:hAnsi="Arial" w:cs="Arial"/>
          <w:szCs w:val="24"/>
        </w:rPr>
        <w:t xml:space="preserve">to provide ongoing </w:t>
      </w:r>
      <w:r w:rsidR="001365E1">
        <w:rPr>
          <w:rFonts w:ascii="Arial" w:hAnsi="Arial" w:cs="Arial"/>
          <w:szCs w:val="24"/>
        </w:rPr>
        <w:t>relief to the sector in recognition of the pandemic’s</w:t>
      </w:r>
      <w:r w:rsidR="00D22A21">
        <w:rPr>
          <w:rFonts w:ascii="Arial" w:hAnsi="Arial" w:cs="Arial"/>
          <w:szCs w:val="24"/>
        </w:rPr>
        <w:t xml:space="preserve"> continuing</w:t>
      </w:r>
      <w:r w:rsidR="001365E1">
        <w:rPr>
          <w:rFonts w:ascii="Arial" w:hAnsi="Arial" w:cs="Arial"/>
          <w:szCs w:val="24"/>
        </w:rPr>
        <w:t xml:space="preserve"> impact</w:t>
      </w:r>
      <w:r>
        <w:rPr>
          <w:rFonts w:ascii="Arial" w:hAnsi="Arial" w:cs="Arial"/>
        </w:rPr>
        <w:t>.</w:t>
      </w:r>
    </w:p>
    <w:p w14:paraId="60648C99" w14:textId="77777777" w:rsidR="008C1FEE" w:rsidRDefault="008C1FEE" w:rsidP="008C1FEE">
      <w:pPr>
        <w:rPr>
          <w:rFonts w:ascii="Arial" w:hAnsi="Arial" w:cs="Arial"/>
          <w:szCs w:val="24"/>
        </w:rPr>
      </w:pPr>
    </w:p>
    <w:p w14:paraId="26663369" w14:textId="038A5585" w:rsidR="008C1FEE" w:rsidRDefault="008C1FEE" w:rsidP="008C1FEE">
      <w:pPr>
        <w:rPr>
          <w:rFonts w:ascii="Arial" w:hAnsi="Arial" w:cs="Arial"/>
        </w:rPr>
      </w:pPr>
      <w:r>
        <w:rPr>
          <w:rFonts w:ascii="Arial" w:hAnsi="Arial" w:cs="Arial"/>
        </w:rPr>
        <w:t xml:space="preserve">The </w:t>
      </w:r>
      <w:r w:rsidR="008C643E">
        <w:rPr>
          <w:rFonts w:ascii="Arial" w:hAnsi="Arial" w:cs="Arial"/>
        </w:rPr>
        <w:t xml:space="preserve">Board also notes the </w:t>
      </w:r>
      <w:r>
        <w:rPr>
          <w:rFonts w:ascii="Arial" w:hAnsi="Arial" w:cs="Arial"/>
        </w:rPr>
        <w:t>AGA recommend</w:t>
      </w:r>
      <w:r w:rsidR="008C643E">
        <w:rPr>
          <w:rFonts w:ascii="Arial" w:hAnsi="Arial" w:cs="Arial"/>
        </w:rPr>
        <w:t>ation for</w:t>
      </w:r>
      <w:r>
        <w:rPr>
          <w:rFonts w:ascii="Arial" w:hAnsi="Arial" w:cs="Arial"/>
        </w:rPr>
        <w:t xml:space="preserve"> the target fund size </w:t>
      </w:r>
      <w:r w:rsidR="008C643E">
        <w:rPr>
          <w:rFonts w:ascii="Arial" w:hAnsi="Arial" w:cs="Arial"/>
        </w:rPr>
        <w:t xml:space="preserve">to </w:t>
      </w:r>
      <w:r>
        <w:rPr>
          <w:rFonts w:ascii="Arial" w:hAnsi="Arial" w:cs="Arial"/>
        </w:rPr>
        <w:t xml:space="preserve">remain at current levels ($35 to $60 million) </w:t>
      </w:r>
      <w:r w:rsidR="001365E1">
        <w:rPr>
          <w:rFonts w:ascii="Arial" w:hAnsi="Arial" w:cs="Arial"/>
        </w:rPr>
        <w:t>even if the Fund’s balance will likely remain at the lower end in the near to medium term</w:t>
      </w:r>
      <w:r>
        <w:rPr>
          <w:rFonts w:ascii="Arial" w:hAnsi="Arial" w:cs="Arial"/>
        </w:rPr>
        <w:t xml:space="preserve">. </w:t>
      </w:r>
    </w:p>
    <w:p w14:paraId="39CF1198" w14:textId="77777777" w:rsidR="008C1FEE" w:rsidRPr="004470A6" w:rsidRDefault="008C1FEE" w:rsidP="008C1FEE">
      <w:pPr>
        <w:rPr>
          <w:rFonts w:ascii="Arial" w:hAnsi="Arial" w:cs="Arial"/>
          <w:szCs w:val="24"/>
        </w:rPr>
      </w:pPr>
    </w:p>
    <w:p w14:paraId="464CDA8B" w14:textId="77777777" w:rsidR="008C1FEE" w:rsidRPr="004470A6" w:rsidRDefault="008C1FEE" w:rsidP="008C1FEE">
      <w:pPr>
        <w:rPr>
          <w:rFonts w:ascii="Arial" w:hAnsi="Arial" w:cs="Arial"/>
          <w:szCs w:val="24"/>
          <w:u w:val="single"/>
        </w:rPr>
      </w:pPr>
      <w:r w:rsidRPr="004470A6">
        <w:rPr>
          <w:rFonts w:ascii="Arial" w:hAnsi="Arial" w:cs="Arial"/>
          <w:szCs w:val="24"/>
          <w:u w:val="single"/>
        </w:rPr>
        <w:t xml:space="preserve">Risk Rated Premium Component </w:t>
      </w:r>
    </w:p>
    <w:p w14:paraId="0D68E655" w14:textId="77777777" w:rsidR="008C1FEE" w:rsidRPr="004470A6" w:rsidRDefault="008C1FEE" w:rsidP="008C1FEE">
      <w:pPr>
        <w:rPr>
          <w:rFonts w:ascii="Arial" w:hAnsi="Arial" w:cs="Arial"/>
          <w:szCs w:val="24"/>
        </w:rPr>
      </w:pPr>
    </w:p>
    <w:p w14:paraId="2F83535F" w14:textId="0C27623B" w:rsidR="000F0C81" w:rsidRPr="000F0C81" w:rsidRDefault="008C1FEE" w:rsidP="00D22A21">
      <w:pPr>
        <w:rPr>
          <w:rFonts w:ascii="Arial" w:hAnsi="Arial" w:cs="Arial"/>
          <w:szCs w:val="24"/>
        </w:rPr>
      </w:pPr>
      <w:r w:rsidRPr="006D3F67">
        <w:rPr>
          <w:rFonts w:ascii="Arial" w:hAnsi="Arial" w:cs="Arial"/>
          <w:szCs w:val="24"/>
        </w:rPr>
        <w:t xml:space="preserve">The </w:t>
      </w:r>
      <w:r>
        <w:rPr>
          <w:rFonts w:ascii="Arial" w:hAnsi="Arial" w:cs="Arial"/>
          <w:szCs w:val="24"/>
        </w:rPr>
        <w:t>Board</w:t>
      </w:r>
      <w:r w:rsidRPr="006D3F67">
        <w:rPr>
          <w:rFonts w:ascii="Arial" w:hAnsi="Arial" w:cs="Arial"/>
          <w:szCs w:val="24"/>
        </w:rPr>
        <w:t xml:space="preserve"> agrees with the AGA’s recommendation that </w:t>
      </w:r>
      <w:r w:rsidR="00D22A21">
        <w:rPr>
          <w:rFonts w:ascii="Arial" w:hAnsi="Arial" w:cs="Arial"/>
          <w:szCs w:val="24"/>
        </w:rPr>
        <w:t xml:space="preserve">the risk factors and associated risk scores be retained for 2022. </w:t>
      </w:r>
    </w:p>
    <w:p w14:paraId="3C9BB536" w14:textId="31484F13" w:rsidR="008C1FEE" w:rsidRDefault="008C1FEE" w:rsidP="008C1FEE">
      <w:pPr>
        <w:rPr>
          <w:rFonts w:ascii="Arial" w:hAnsi="Arial" w:cs="Arial"/>
          <w:szCs w:val="24"/>
        </w:rPr>
      </w:pPr>
    </w:p>
    <w:p w14:paraId="1F1B0383" w14:textId="2B7790FA" w:rsidR="008C1FEE" w:rsidRDefault="008C1FEE" w:rsidP="008C1FEE">
      <w:pPr>
        <w:rPr>
          <w:rFonts w:ascii="Arial" w:hAnsi="Arial" w:cs="Arial"/>
          <w:szCs w:val="24"/>
        </w:rPr>
      </w:pPr>
      <w:r w:rsidRPr="0028583E">
        <w:rPr>
          <w:rFonts w:ascii="Arial" w:hAnsi="Arial" w:cs="Arial"/>
          <w:szCs w:val="24"/>
        </w:rPr>
        <w:t xml:space="preserve">The recommended risk factors for </w:t>
      </w:r>
      <w:r w:rsidR="00DA6989">
        <w:rPr>
          <w:rFonts w:ascii="Arial" w:hAnsi="Arial" w:cs="Arial"/>
          <w:szCs w:val="24"/>
        </w:rPr>
        <w:t>2022</w:t>
      </w:r>
      <w:r w:rsidRPr="0028583E">
        <w:rPr>
          <w:rFonts w:ascii="Arial" w:hAnsi="Arial" w:cs="Arial"/>
          <w:szCs w:val="24"/>
        </w:rPr>
        <w:t xml:space="preserve"> therefore </w:t>
      </w:r>
      <w:r w:rsidR="00D22A21">
        <w:rPr>
          <w:rFonts w:ascii="Arial" w:hAnsi="Arial" w:cs="Arial"/>
          <w:szCs w:val="24"/>
        </w:rPr>
        <w:t>remain</w:t>
      </w:r>
      <w:r w:rsidRPr="0028583E">
        <w:rPr>
          <w:rFonts w:ascii="Arial" w:hAnsi="Arial" w:cs="Arial"/>
          <w:szCs w:val="24"/>
        </w:rPr>
        <w:t xml:space="preserve">:  </w:t>
      </w:r>
    </w:p>
    <w:p w14:paraId="5CD02390" w14:textId="77777777" w:rsidR="002701C9" w:rsidRPr="0028583E" w:rsidRDefault="002701C9" w:rsidP="008C1FEE">
      <w:pPr>
        <w:rPr>
          <w:rFonts w:ascii="Arial" w:hAnsi="Arial" w:cs="Arial"/>
          <w:szCs w:val="24"/>
        </w:rPr>
      </w:pPr>
    </w:p>
    <w:p w14:paraId="5CBBDB24" w14:textId="77777777" w:rsidR="008C1FEE" w:rsidRPr="0028583E" w:rsidRDefault="008C1FEE" w:rsidP="008C1FEE">
      <w:pPr>
        <w:pStyle w:val="ListParagraph"/>
        <w:numPr>
          <w:ilvl w:val="0"/>
          <w:numId w:val="2"/>
        </w:numPr>
        <w:contextualSpacing/>
        <w:rPr>
          <w:rFonts w:ascii="Arial" w:hAnsi="Arial" w:cs="Arial"/>
          <w:szCs w:val="24"/>
        </w:rPr>
      </w:pPr>
      <w:r>
        <w:rPr>
          <w:rFonts w:ascii="Arial" w:hAnsi="Arial" w:cs="Arial"/>
          <w:szCs w:val="24"/>
        </w:rPr>
        <w:t>Base risk factor</w:t>
      </w:r>
    </w:p>
    <w:p w14:paraId="2DD2D051" w14:textId="77777777" w:rsidR="008C1FEE" w:rsidRPr="0028583E" w:rsidRDefault="008C1FEE" w:rsidP="008C1FEE">
      <w:pPr>
        <w:pStyle w:val="ListParagraph"/>
        <w:numPr>
          <w:ilvl w:val="0"/>
          <w:numId w:val="2"/>
        </w:numPr>
        <w:contextualSpacing/>
        <w:rPr>
          <w:rFonts w:ascii="Arial" w:hAnsi="Arial" w:cs="Arial"/>
          <w:szCs w:val="24"/>
        </w:rPr>
      </w:pPr>
      <w:r w:rsidRPr="0028583E">
        <w:rPr>
          <w:rFonts w:ascii="Arial" w:hAnsi="Arial" w:cs="Arial"/>
          <w:szCs w:val="24"/>
        </w:rPr>
        <w:t xml:space="preserve">Length of operation </w:t>
      </w:r>
    </w:p>
    <w:p w14:paraId="0B8E7DE8" w14:textId="77777777" w:rsidR="008C1FEE" w:rsidRPr="0028583E" w:rsidRDefault="009870EC" w:rsidP="008C1FEE">
      <w:pPr>
        <w:pStyle w:val="ListParagraph"/>
        <w:numPr>
          <w:ilvl w:val="0"/>
          <w:numId w:val="2"/>
        </w:numPr>
        <w:contextualSpacing/>
        <w:rPr>
          <w:rFonts w:ascii="Arial" w:hAnsi="Arial" w:cs="Arial"/>
          <w:szCs w:val="24"/>
        </w:rPr>
      </w:pPr>
      <w:r>
        <w:rPr>
          <w:rFonts w:ascii="Arial" w:hAnsi="Arial" w:cs="Arial"/>
          <w:szCs w:val="24"/>
        </w:rPr>
        <w:t>Volatility</w:t>
      </w:r>
      <w:r w:rsidR="008C1FEE" w:rsidRPr="0028583E">
        <w:rPr>
          <w:rFonts w:ascii="Arial" w:hAnsi="Arial" w:cs="Arial"/>
          <w:szCs w:val="24"/>
        </w:rPr>
        <w:t xml:space="preserve"> in overseas student enrolments</w:t>
      </w:r>
    </w:p>
    <w:p w14:paraId="7480F5E2" w14:textId="77777777" w:rsidR="008C1FEE" w:rsidRPr="0028583E" w:rsidRDefault="008C1FEE" w:rsidP="008C1FEE">
      <w:pPr>
        <w:pStyle w:val="ListParagraph"/>
        <w:numPr>
          <w:ilvl w:val="0"/>
          <w:numId w:val="2"/>
        </w:numPr>
        <w:contextualSpacing/>
        <w:rPr>
          <w:rFonts w:ascii="Arial" w:hAnsi="Arial" w:cs="Arial"/>
          <w:szCs w:val="24"/>
        </w:rPr>
      </w:pPr>
      <w:r w:rsidRPr="0028583E">
        <w:rPr>
          <w:rFonts w:ascii="Arial" w:hAnsi="Arial" w:cs="Arial"/>
          <w:szCs w:val="24"/>
        </w:rPr>
        <w:t xml:space="preserve">Maximum overseas source country concentration, and </w:t>
      </w:r>
    </w:p>
    <w:p w14:paraId="1265DFAE" w14:textId="77777777" w:rsidR="008C1FEE" w:rsidRPr="0028583E" w:rsidRDefault="008C1FEE" w:rsidP="008C1FEE">
      <w:pPr>
        <w:pStyle w:val="ListParagraph"/>
        <w:numPr>
          <w:ilvl w:val="0"/>
          <w:numId w:val="2"/>
        </w:numPr>
        <w:contextualSpacing/>
        <w:rPr>
          <w:rFonts w:ascii="Arial" w:hAnsi="Arial" w:cs="Arial"/>
          <w:szCs w:val="24"/>
        </w:rPr>
      </w:pPr>
      <w:r w:rsidRPr="0028583E">
        <w:rPr>
          <w:rFonts w:ascii="Arial" w:hAnsi="Arial" w:cs="Arial"/>
          <w:szCs w:val="24"/>
        </w:rPr>
        <w:t>Non-compliance history</w:t>
      </w:r>
    </w:p>
    <w:p w14:paraId="6942E45C" w14:textId="77777777" w:rsidR="008C1FEE" w:rsidRPr="0028583E" w:rsidRDefault="008C1FEE" w:rsidP="008C1FEE">
      <w:pPr>
        <w:contextualSpacing/>
        <w:rPr>
          <w:rFonts w:ascii="Arial" w:hAnsi="Arial" w:cs="Arial"/>
          <w:szCs w:val="24"/>
        </w:rPr>
      </w:pPr>
    </w:p>
    <w:p w14:paraId="243C3439" w14:textId="59108527" w:rsidR="008C1FEE" w:rsidRPr="006D3F67" w:rsidRDefault="00D22A21" w:rsidP="008C1FEE">
      <w:pPr>
        <w:rPr>
          <w:rFonts w:ascii="Arial" w:hAnsi="Arial" w:cs="Arial"/>
          <w:szCs w:val="24"/>
        </w:rPr>
      </w:pPr>
      <w:r>
        <w:rPr>
          <w:rFonts w:ascii="Arial" w:hAnsi="Arial" w:cs="Arial"/>
          <w:szCs w:val="24"/>
        </w:rPr>
        <w:t>I</w:t>
      </w:r>
      <w:r w:rsidR="00646B1C">
        <w:rPr>
          <w:rFonts w:ascii="Arial" w:hAnsi="Arial" w:cs="Arial"/>
          <w:szCs w:val="24"/>
        </w:rPr>
        <w:t xml:space="preserve">n recognition of the </w:t>
      </w:r>
      <w:r>
        <w:rPr>
          <w:rFonts w:ascii="Arial" w:hAnsi="Arial" w:cs="Arial"/>
          <w:szCs w:val="24"/>
        </w:rPr>
        <w:t xml:space="preserve">continuing </w:t>
      </w:r>
      <w:r w:rsidR="00646B1C">
        <w:rPr>
          <w:rFonts w:ascii="Arial" w:hAnsi="Arial" w:cs="Arial"/>
          <w:szCs w:val="24"/>
        </w:rPr>
        <w:t xml:space="preserve">impact of the Covid-19 pandemic on the sector, the Board also recommends that the specified percentage </w:t>
      </w:r>
      <w:r>
        <w:rPr>
          <w:rFonts w:ascii="Arial" w:hAnsi="Arial" w:cs="Arial"/>
          <w:szCs w:val="24"/>
        </w:rPr>
        <w:t xml:space="preserve">remain at </w:t>
      </w:r>
      <w:r w:rsidR="00646B1C">
        <w:rPr>
          <w:rFonts w:ascii="Arial" w:hAnsi="Arial" w:cs="Arial"/>
          <w:szCs w:val="24"/>
        </w:rPr>
        <w:t>0.04%.</w:t>
      </w:r>
    </w:p>
    <w:p w14:paraId="34AC46C0" w14:textId="77777777" w:rsidR="008C1FEE" w:rsidRPr="00D51B32" w:rsidRDefault="008C1FEE" w:rsidP="008C1FEE">
      <w:pPr>
        <w:contextualSpacing/>
        <w:rPr>
          <w:rFonts w:ascii="Arial" w:hAnsi="Arial" w:cs="Arial"/>
          <w:szCs w:val="24"/>
        </w:rPr>
      </w:pPr>
    </w:p>
    <w:p w14:paraId="5022F7A2" w14:textId="77777777" w:rsidR="008C1FEE" w:rsidRPr="0028583E" w:rsidRDefault="008C1FEE" w:rsidP="008C1FEE">
      <w:pPr>
        <w:rPr>
          <w:rFonts w:ascii="Arial" w:hAnsi="Arial" w:cs="Arial"/>
          <w:szCs w:val="24"/>
          <w:u w:val="single"/>
        </w:rPr>
      </w:pPr>
      <w:r w:rsidRPr="0028583E">
        <w:rPr>
          <w:rFonts w:ascii="Arial" w:hAnsi="Arial" w:cs="Arial"/>
          <w:szCs w:val="24"/>
          <w:u w:val="single"/>
        </w:rPr>
        <w:t>Special Tuition Protection Component</w:t>
      </w:r>
    </w:p>
    <w:p w14:paraId="6882F16B" w14:textId="77777777" w:rsidR="008C1FEE" w:rsidRPr="0028583E" w:rsidRDefault="008C1FEE" w:rsidP="008C1FEE">
      <w:pPr>
        <w:rPr>
          <w:rFonts w:ascii="Arial" w:hAnsi="Arial" w:cs="Arial"/>
          <w:szCs w:val="24"/>
          <w:u w:val="single"/>
        </w:rPr>
      </w:pPr>
    </w:p>
    <w:p w14:paraId="02748179" w14:textId="32EC79A6" w:rsidR="008C1FEE" w:rsidRDefault="008C1FEE" w:rsidP="008C1FEE">
      <w:pPr>
        <w:rPr>
          <w:rFonts w:ascii="Arial" w:hAnsi="Arial" w:cs="Arial"/>
          <w:szCs w:val="24"/>
        </w:rPr>
      </w:pPr>
      <w:r w:rsidRPr="0028583E">
        <w:rPr>
          <w:rFonts w:ascii="Arial" w:hAnsi="Arial" w:cs="Arial"/>
          <w:szCs w:val="24"/>
        </w:rPr>
        <w:t xml:space="preserve">In considering whether the special tuition protection component of the TPS levy should apply in </w:t>
      </w:r>
      <w:r w:rsidR="00D22A21">
        <w:rPr>
          <w:rFonts w:ascii="Arial" w:hAnsi="Arial" w:cs="Arial"/>
          <w:szCs w:val="24"/>
        </w:rPr>
        <w:t>2022</w:t>
      </w:r>
      <w:r w:rsidRPr="0028583E">
        <w:rPr>
          <w:rFonts w:ascii="Arial" w:hAnsi="Arial" w:cs="Arial"/>
          <w:szCs w:val="24"/>
        </w:rPr>
        <w:t xml:space="preserve">, the </w:t>
      </w:r>
      <w:r>
        <w:rPr>
          <w:rFonts w:ascii="Arial" w:hAnsi="Arial" w:cs="Arial"/>
          <w:szCs w:val="24"/>
        </w:rPr>
        <w:t>Board</w:t>
      </w:r>
      <w:r w:rsidRPr="0028583E">
        <w:rPr>
          <w:rFonts w:ascii="Arial" w:hAnsi="Arial" w:cs="Arial"/>
          <w:szCs w:val="24"/>
        </w:rPr>
        <w:t xml:space="preserve"> has taken the view that this component should not be activated. </w:t>
      </w:r>
      <w:r w:rsidR="00385B06">
        <w:rPr>
          <w:rFonts w:ascii="Arial" w:hAnsi="Arial" w:cs="Arial"/>
          <w:szCs w:val="24"/>
        </w:rPr>
        <w:t xml:space="preserve"> </w:t>
      </w:r>
    </w:p>
    <w:p w14:paraId="0784743C" w14:textId="7F6BE24E" w:rsidR="00646B1C" w:rsidRDefault="00646B1C" w:rsidP="008C1FEE">
      <w:pPr>
        <w:rPr>
          <w:rFonts w:ascii="Arial" w:hAnsi="Arial" w:cs="Arial"/>
          <w:szCs w:val="24"/>
        </w:rPr>
      </w:pPr>
    </w:p>
    <w:p w14:paraId="0E01F5C3" w14:textId="37BDC333" w:rsidR="008C1FEE" w:rsidRDefault="008C1FEE" w:rsidP="008C1FEE">
      <w:pPr>
        <w:rPr>
          <w:rFonts w:ascii="Arial" w:hAnsi="Arial" w:cs="Arial"/>
          <w:szCs w:val="24"/>
        </w:rPr>
      </w:pPr>
      <w:r w:rsidRPr="0028583E">
        <w:rPr>
          <w:rFonts w:ascii="Arial" w:hAnsi="Arial" w:cs="Arial"/>
          <w:szCs w:val="24"/>
        </w:rPr>
        <w:t xml:space="preserve">Accordingly, the </w:t>
      </w:r>
      <w:r>
        <w:rPr>
          <w:rFonts w:ascii="Arial" w:hAnsi="Arial" w:cs="Arial"/>
          <w:szCs w:val="24"/>
        </w:rPr>
        <w:t>Board</w:t>
      </w:r>
      <w:r w:rsidRPr="0028583E">
        <w:rPr>
          <w:rFonts w:ascii="Arial" w:hAnsi="Arial" w:cs="Arial"/>
          <w:szCs w:val="24"/>
        </w:rPr>
        <w:t xml:space="preserve"> recommends that: </w:t>
      </w:r>
    </w:p>
    <w:p w14:paraId="7C3DFADF" w14:textId="77777777" w:rsidR="008C1FEE" w:rsidRPr="0028583E" w:rsidRDefault="008C1FEE" w:rsidP="008C1FEE">
      <w:pPr>
        <w:rPr>
          <w:rFonts w:ascii="Arial" w:hAnsi="Arial" w:cs="Arial"/>
          <w:szCs w:val="24"/>
        </w:rPr>
      </w:pPr>
    </w:p>
    <w:p w14:paraId="70CE28B3" w14:textId="536009B0" w:rsidR="008C1FEE" w:rsidRDefault="008C1FEE" w:rsidP="008C1FEE">
      <w:pPr>
        <w:pStyle w:val="ListParagraph"/>
        <w:numPr>
          <w:ilvl w:val="0"/>
          <w:numId w:val="3"/>
        </w:numPr>
        <w:contextualSpacing/>
        <w:rPr>
          <w:rFonts w:ascii="Arial" w:hAnsi="Arial" w:cs="Arial"/>
          <w:szCs w:val="24"/>
        </w:rPr>
      </w:pPr>
      <w:r w:rsidRPr="0028583E">
        <w:rPr>
          <w:rFonts w:ascii="Arial" w:hAnsi="Arial" w:cs="Arial"/>
          <w:szCs w:val="24"/>
        </w:rPr>
        <w:t xml:space="preserve">the specified percentage rate for the risk rated premium component of the TPS levy </w:t>
      </w:r>
      <w:r w:rsidR="00AE2D14">
        <w:rPr>
          <w:rFonts w:ascii="Arial" w:hAnsi="Arial" w:cs="Arial"/>
          <w:szCs w:val="24"/>
        </w:rPr>
        <w:t>be</w:t>
      </w:r>
      <w:r w:rsidRPr="0028583E">
        <w:rPr>
          <w:rFonts w:ascii="Arial" w:hAnsi="Arial" w:cs="Arial"/>
          <w:szCs w:val="24"/>
        </w:rPr>
        <w:t xml:space="preserve"> </w:t>
      </w:r>
      <w:r w:rsidR="00AE2D14">
        <w:rPr>
          <w:rFonts w:ascii="Arial" w:hAnsi="Arial" w:cs="Arial"/>
          <w:szCs w:val="24"/>
        </w:rPr>
        <w:t xml:space="preserve">set at </w:t>
      </w:r>
      <w:r w:rsidRPr="0028583E">
        <w:rPr>
          <w:rFonts w:ascii="Arial" w:hAnsi="Arial" w:cs="Arial"/>
          <w:szCs w:val="24"/>
        </w:rPr>
        <w:t>0.0</w:t>
      </w:r>
      <w:r w:rsidR="00646B1C">
        <w:rPr>
          <w:rFonts w:ascii="Arial" w:hAnsi="Arial" w:cs="Arial"/>
          <w:szCs w:val="24"/>
        </w:rPr>
        <w:t>4</w:t>
      </w:r>
      <w:r w:rsidRPr="0028583E">
        <w:rPr>
          <w:rFonts w:ascii="Arial" w:hAnsi="Arial" w:cs="Arial"/>
          <w:szCs w:val="24"/>
        </w:rPr>
        <w:t xml:space="preserve">% - section 9(3)(a), </w:t>
      </w:r>
      <w:r w:rsidRPr="0028583E">
        <w:rPr>
          <w:rFonts w:ascii="Arial" w:hAnsi="Arial" w:cs="Arial"/>
          <w:i/>
          <w:szCs w:val="24"/>
        </w:rPr>
        <w:t>Education Services for Overseas Students (TPS Levies) Act 2012</w:t>
      </w:r>
      <w:r w:rsidRPr="0028583E">
        <w:rPr>
          <w:rFonts w:ascii="Arial" w:hAnsi="Arial" w:cs="Arial"/>
          <w:szCs w:val="24"/>
        </w:rPr>
        <w:t>; and</w:t>
      </w:r>
    </w:p>
    <w:p w14:paraId="2FFC5430" w14:textId="77777777" w:rsidR="008C1FEE" w:rsidRDefault="008C1FEE" w:rsidP="008C1FEE">
      <w:pPr>
        <w:pStyle w:val="ListParagraph"/>
        <w:numPr>
          <w:ilvl w:val="0"/>
          <w:numId w:val="3"/>
        </w:numPr>
        <w:contextualSpacing/>
        <w:rPr>
          <w:rFonts w:ascii="Arial" w:hAnsi="Arial" w:cs="Arial"/>
          <w:szCs w:val="24"/>
        </w:rPr>
      </w:pPr>
      <w:r w:rsidRPr="0028583E">
        <w:rPr>
          <w:rFonts w:ascii="Arial" w:hAnsi="Arial" w:cs="Arial"/>
          <w:szCs w:val="24"/>
        </w:rPr>
        <w:t xml:space="preserve">the specified percentage rate for the special tuition protection component of the TPS levy be set at zero - section 10(2), </w:t>
      </w:r>
      <w:r w:rsidRPr="0028583E">
        <w:rPr>
          <w:rFonts w:ascii="Arial" w:hAnsi="Arial" w:cs="Arial"/>
          <w:i/>
          <w:szCs w:val="24"/>
        </w:rPr>
        <w:t>Education Services for Overseas Students (TPS Levies) Act 2012</w:t>
      </w:r>
      <w:r>
        <w:rPr>
          <w:rFonts w:ascii="Arial" w:hAnsi="Arial" w:cs="Arial"/>
          <w:szCs w:val="24"/>
        </w:rPr>
        <w:t>.</w:t>
      </w:r>
    </w:p>
    <w:p w14:paraId="772CC261" w14:textId="3DD6C5E0" w:rsidR="00294D99" w:rsidRDefault="00294D99" w:rsidP="008C1FEE">
      <w:pPr>
        <w:contextualSpacing/>
        <w:rPr>
          <w:rFonts w:ascii="Arial" w:hAnsi="Arial" w:cs="Arial"/>
          <w:szCs w:val="24"/>
        </w:rPr>
      </w:pPr>
    </w:p>
    <w:p w14:paraId="16601DFA" w14:textId="77777777" w:rsidR="00325DFC" w:rsidRDefault="00325DFC" w:rsidP="008C1FEE">
      <w:pPr>
        <w:contextualSpacing/>
        <w:rPr>
          <w:rFonts w:ascii="Arial" w:hAnsi="Arial" w:cs="Arial"/>
          <w:szCs w:val="24"/>
        </w:rPr>
      </w:pPr>
      <w:bookmarkStart w:id="0" w:name="_Hlk83808493"/>
    </w:p>
    <w:p w14:paraId="7371E475" w14:textId="58CB9D58" w:rsidR="00E67B82" w:rsidRDefault="00E67B82" w:rsidP="008C1FEE">
      <w:pPr>
        <w:contextualSpacing/>
        <w:rPr>
          <w:rFonts w:ascii="Arial" w:hAnsi="Arial" w:cs="Arial"/>
          <w:szCs w:val="24"/>
        </w:rPr>
      </w:pPr>
      <w:r>
        <w:rPr>
          <w:rFonts w:ascii="Arial" w:hAnsi="Arial" w:cs="Arial"/>
          <w:szCs w:val="24"/>
        </w:rPr>
        <w:lastRenderedPageBreak/>
        <w:t xml:space="preserve">Notwithstanding our advice, the Board recognises that you, in consultation with relevant ministers, may consider additional levy relief for international education providers in light of the impact of the pandemic.  </w:t>
      </w:r>
      <w:bookmarkEnd w:id="0"/>
      <w:r>
        <w:rPr>
          <w:rFonts w:ascii="Arial" w:hAnsi="Arial" w:cs="Arial"/>
          <w:szCs w:val="24"/>
        </w:rPr>
        <w:t>The Board recognises that any such relief, including not collecting the levy in 2022, would not imperil the OSTF.</w:t>
      </w:r>
    </w:p>
    <w:p w14:paraId="5EBD1E42" w14:textId="77777777" w:rsidR="00E67B82" w:rsidRDefault="00E67B82" w:rsidP="008C1FEE">
      <w:pPr>
        <w:contextualSpacing/>
        <w:rPr>
          <w:rFonts w:ascii="Arial" w:hAnsi="Arial" w:cs="Arial"/>
          <w:szCs w:val="24"/>
        </w:rPr>
      </w:pPr>
    </w:p>
    <w:p w14:paraId="2467AF50" w14:textId="77777777" w:rsidR="00D5149F" w:rsidRDefault="00D5149F" w:rsidP="008C1FEE">
      <w:pPr>
        <w:contextualSpacing/>
        <w:rPr>
          <w:rFonts w:ascii="Arial" w:hAnsi="Arial" w:cs="Arial"/>
          <w:szCs w:val="24"/>
        </w:rPr>
      </w:pPr>
    </w:p>
    <w:p w14:paraId="0B2A04CB" w14:textId="77777777" w:rsidR="008C1FEE" w:rsidRDefault="008C1FEE" w:rsidP="008C1FEE">
      <w:pPr>
        <w:contextualSpacing/>
        <w:rPr>
          <w:rFonts w:ascii="Arial" w:hAnsi="Arial" w:cs="Arial"/>
          <w:szCs w:val="24"/>
        </w:rPr>
      </w:pPr>
      <w:r>
        <w:rPr>
          <w:rFonts w:ascii="Arial" w:hAnsi="Arial" w:cs="Arial"/>
          <w:szCs w:val="24"/>
        </w:rPr>
        <w:t>Yours sincerely</w:t>
      </w:r>
    </w:p>
    <w:p w14:paraId="5E3F09CB" w14:textId="77777777" w:rsidR="008C1FEE" w:rsidRDefault="008C1FEE" w:rsidP="008C1FEE">
      <w:pPr>
        <w:contextualSpacing/>
        <w:rPr>
          <w:rFonts w:ascii="Arial" w:hAnsi="Arial" w:cs="Arial"/>
          <w:szCs w:val="24"/>
        </w:rPr>
      </w:pPr>
    </w:p>
    <w:p w14:paraId="3367AC4E" w14:textId="37F125FA" w:rsidR="008C1FEE" w:rsidRDefault="008C1FEE" w:rsidP="008C1FEE">
      <w:pPr>
        <w:contextualSpacing/>
        <w:rPr>
          <w:rFonts w:ascii="Arial" w:hAnsi="Arial" w:cs="Arial"/>
          <w:szCs w:val="24"/>
        </w:rPr>
      </w:pPr>
    </w:p>
    <w:p w14:paraId="394AB96B" w14:textId="38BD6661" w:rsidR="002701C9" w:rsidRDefault="002701C9" w:rsidP="008C1FEE">
      <w:pPr>
        <w:contextualSpacing/>
        <w:rPr>
          <w:rFonts w:ascii="Arial" w:hAnsi="Arial" w:cs="Arial"/>
          <w:szCs w:val="24"/>
        </w:rPr>
      </w:pPr>
    </w:p>
    <w:p w14:paraId="550D7AAB" w14:textId="77777777" w:rsidR="00D5149F" w:rsidRDefault="00D5149F" w:rsidP="008C1FEE">
      <w:pPr>
        <w:contextualSpacing/>
        <w:rPr>
          <w:rFonts w:ascii="Arial" w:hAnsi="Arial" w:cs="Arial"/>
          <w:szCs w:val="24"/>
        </w:rPr>
      </w:pPr>
    </w:p>
    <w:p w14:paraId="6A55DF97" w14:textId="77777777" w:rsidR="002701C9" w:rsidRDefault="002701C9" w:rsidP="008C1FEE">
      <w:pPr>
        <w:contextualSpacing/>
        <w:rPr>
          <w:rFonts w:ascii="Arial" w:hAnsi="Arial" w:cs="Arial"/>
          <w:szCs w:val="24"/>
        </w:rPr>
      </w:pPr>
    </w:p>
    <w:p w14:paraId="2B49F3F8" w14:textId="77777777" w:rsidR="008C1FEE" w:rsidRDefault="008C1FEE" w:rsidP="008C1FEE">
      <w:pPr>
        <w:contextualSpacing/>
        <w:rPr>
          <w:rFonts w:ascii="Arial" w:hAnsi="Arial" w:cs="Arial"/>
          <w:szCs w:val="24"/>
        </w:rPr>
      </w:pPr>
    </w:p>
    <w:p w14:paraId="4F213D72" w14:textId="77777777" w:rsidR="008C1FEE" w:rsidRDefault="008C1FEE" w:rsidP="008C1FEE">
      <w:pPr>
        <w:contextualSpacing/>
        <w:rPr>
          <w:rFonts w:ascii="Arial" w:hAnsi="Arial" w:cs="Arial"/>
          <w:szCs w:val="24"/>
        </w:rPr>
      </w:pPr>
      <w:r>
        <w:rPr>
          <w:rFonts w:ascii="Arial" w:hAnsi="Arial" w:cs="Arial"/>
          <w:szCs w:val="24"/>
        </w:rPr>
        <w:t>Helen Zimmerman</w:t>
      </w:r>
    </w:p>
    <w:p w14:paraId="493F1BC6" w14:textId="77777777" w:rsidR="008C1FEE" w:rsidRDefault="008C1FEE" w:rsidP="008C1FEE">
      <w:pPr>
        <w:contextualSpacing/>
        <w:rPr>
          <w:rFonts w:ascii="Arial" w:hAnsi="Arial" w:cs="Arial"/>
          <w:szCs w:val="24"/>
        </w:rPr>
      </w:pPr>
      <w:r>
        <w:rPr>
          <w:rFonts w:ascii="Arial" w:hAnsi="Arial" w:cs="Arial"/>
          <w:szCs w:val="24"/>
        </w:rPr>
        <w:t>Chair</w:t>
      </w:r>
    </w:p>
    <w:p w14:paraId="09B305C6" w14:textId="6B8ACBE8" w:rsidR="008C1FEE" w:rsidRDefault="008C1FEE" w:rsidP="00A26221">
      <w:pPr>
        <w:contextualSpacing/>
        <w:rPr>
          <w:rFonts w:ascii="Arial" w:hAnsi="Arial" w:cs="Arial"/>
          <w:szCs w:val="24"/>
        </w:rPr>
      </w:pPr>
      <w:r>
        <w:rPr>
          <w:rFonts w:ascii="Arial" w:hAnsi="Arial" w:cs="Arial"/>
          <w:szCs w:val="24"/>
        </w:rPr>
        <w:t>TPS Advisory Board</w:t>
      </w:r>
      <w:r>
        <w:rPr>
          <w:rFonts w:ascii="Arial" w:hAnsi="Arial" w:cs="Arial"/>
          <w:szCs w:val="24"/>
        </w:rPr>
        <w:br w:type="page"/>
      </w:r>
    </w:p>
    <w:p w14:paraId="33F13667" w14:textId="77777777" w:rsidR="008C1FEE" w:rsidRPr="00EC330E" w:rsidRDefault="008C1FEE" w:rsidP="008C1FEE">
      <w:pPr>
        <w:jc w:val="center"/>
        <w:rPr>
          <w:rFonts w:asciiTheme="minorHAnsi" w:hAnsiTheme="minorHAnsi" w:cstheme="minorHAnsi"/>
          <w:b/>
        </w:rPr>
      </w:pPr>
      <w:r w:rsidRPr="00EC330E">
        <w:rPr>
          <w:rFonts w:asciiTheme="minorHAnsi" w:hAnsiTheme="minorHAnsi" w:cstheme="minorHAnsi"/>
          <w:b/>
        </w:rPr>
        <w:lastRenderedPageBreak/>
        <w:t xml:space="preserve">Risk Factors and Weightings for the Risk Rated Premium Component </w:t>
      </w:r>
    </w:p>
    <w:p w14:paraId="47C0CD1B" w14:textId="5C168719" w:rsidR="008C1FEE" w:rsidRPr="00EC330E" w:rsidRDefault="008C1FEE" w:rsidP="008C1FEE">
      <w:pPr>
        <w:jc w:val="center"/>
        <w:rPr>
          <w:rFonts w:asciiTheme="minorHAnsi" w:hAnsiTheme="minorHAnsi" w:cstheme="minorHAnsi"/>
          <w:b/>
        </w:rPr>
      </w:pPr>
      <w:r>
        <w:rPr>
          <w:rFonts w:asciiTheme="minorHAnsi" w:hAnsiTheme="minorHAnsi" w:cstheme="minorHAnsi"/>
          <w:b/>
        </w:rPr>
        <w:t xml:space="preserve">for the TPS Levy in </w:t>
      </w:r>
      <w:r w:rsidR="00D22A21">
        <w:rPr>
          <w:rFonts w:asciiTheme="minorHAnsi" w:hAnsiTheme="minorHAnsi" w:cstheme="minorHAnsi"/>
          <w:b/>
        </w:rPr>
        <w:t>2022</w:t>
      </w:r>
    </w:p>
    <w:p w14:paraId="4A896DC8" w14:textId="77777777" w:rsidR="008C1FEE" w:rsidRPr="00EC330E" w:rsidRDefault="008C1FEE" w:rsidP="008C1FEE">
      <w:pPr>
        <w:jc w:val="center"/>
        <w:rPr>
          <w:rFonts w:asciiTheme="minorHAnsi" w:hAnsiTheme="minorHAnsi" w:cstheme="minorHAnsi"/>
          <w:b/>
        </w:rPr>
      </w:pPr>
    </w:p>
    <w:tbl>
      <w:tblPr>
        <w:tblW w:w="9782" w:type="dxa"/>
        <w:tblInd w:w="-176" w:type="dxa"/>
        <w:tblCellMar>
          <w:left w:w="0" w:type="dxa"/>
          <w:right w:w="0" w:type="dxa"/>
        </w:tblCellMar>
        <w:tblLook w:val="04A0" w:firstRow="1" w:lastRow="0" w:firstColumn="1" w:lastColumn="0" w:noHBand="0" w:noVBand="1"/>
      </w:tblPr>
      <w:tblGrid>
        <w:gridCol w:w="3820"/>
        <w:gridCol w:w="3694"/>
        <w:gridCol w:w="2268"/>
      </w:tblGrid>
      <w:tr w:rsidR="008C1FEE" w:rsidRPr="00EC330E" w14:paraId="32394EC2" w14:textId="77777777" w:rsidTr="00E277DF">
        <w:trPr>
          <w:trHeight w:val="261"/>
        </w:trPr>
        <w:tc>
          <w:tcPr>
            <w:tcW w:w="3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457DDB" w14:textId="77777777" w:rsidR="008C1FEE" w:rsidRPr="00EC330E" w:rsidRDefault="008C1FEE" w:rsidP="00E277DF">
            <w:pPr>
              <w:pStyle w:val="subsection"/>
              <w:ind w:left="0" w:firstLine="0"/>
              <w:rPr>
                <w:rFonts w:asciiTheme="minorHAnsi" w:hAnsiTheme="minorHAnsi" w:cstheme="minorHAnsi"/>
                <w:b/>
                <w:bCs/>
                <w:sz w:val="24"/>
                <w:szCs w:val="24"/>
              </w:rPr>
            </w:pPr>
            <w:r w:rsidRPr="00EC330E">
              <w:rPr>
                <w:rFonts w:asciiTheme="minorHAnsi" w:hAnsiTheme="minorHAnsi" w:cstheme="minorHAnsi"/>
                <w:b/>
                <w:bCs/>
                <w:sz w:val="24"/>
                <w:szCs w:val="24"/>
              </w:rPr>
              <w:t xml:space="preserve">Risk Factor </w:t>
            </w:r>
          </w:p>
        </w:tc>
        <w:tc>
          <w:tcPr>
            <w:tcW w:w="3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F9F920" w14:textId="77777777" w:rsidR="008C1FEE" w:rsidRPr="00EC330E" w:rsidRDefault="008C1FEE" w:rsidP="00E277DF">
            <w:pPr>
              <w:pStyle w:val="subsection"/>
              <w:ind w:left="0" w:firstLine="0"/>
              <w:rPr>
                <w:rFonts w:asciiTheme="minorHAnsi" w:hAnsiTheme="minorHAnsi" w:cstheme="minorHAnsi"/>
                <w:b/>
                <w:bCs/>
                <w:sz w:val="24"/>
                <w:szCs w:val="24"/>
              </w:rPr>
            </w:pPr>
            <w:r w:rsidRPr="00EC330E">
              <w:rPr>
                <w:rFonts w:asciiTheme="minorHAnsi" w:hAnsiTheme="minorHAnsi" w:cstheme="minorHAnsi"/>
                <w:b/>
                <w:bCs/>
                <w:sz w:val="24"/>
                <w:szCs w:val="24"/>
              </w:rPr>
              <w:t>Category</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D70DCE" w14:textId="77777777" w:rsidR="008C1FEE" w:rsidRPr="0028583E" w:rsidRDefault="008C1FEE" w:rsidP="00E277DF">
            <w:pPr>
              <w:pStyle w:val="subsection"/>
              <w:ind w:left="0" w:firstLine="0"/>
              <w:rPr>
                <w:rFonts w:asciiTheme="minorHAnsi" w:hAnsiTheme="minorHAnsi" w:cstheme="minorHAnsi"/>
                <w:b/>
                <w:bCs/>
                <w:sz w:val="24"/>
                <w:szCs w:val="24"/>
              </w:rPr>
            </w:pPr>
            <w:r w:rsidRPr="0028583E">
              <w:rPr>
                <w:rFonts w:asciiTheme="minorHAnsi" w:hAnsiTheme="minorHAnsi" w:cstheme="minorHAnsi"/>
                <w:b/>
                <w:bCs/>
                <w:sz w:val="24"/>
                <w:szCs w:val="24"/>
              </w:rPr>
              <w:t xml:space="preserve">Risk Factor Weight </w:t>
            </w:r>
          </w:p>
        </w:tc>
      </w:tr>
      <w:tr w:rsidR="008C1FEE" w:rsidRPr="00EC330E" w14:paraId="2FBFAA6B" w14:textId="77777777" w:rsidTr="00E277DF">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F47C9" w14:textId="77777777" w:rsidR="008C1FEE" w:rsidRPr="00EC330E" w:rsidRDefault="008C1FEE" w:rsidP="00E277DF">
            <w:pPr>
              <w:pStyle w:val="subsection"/>
              <w:ind w:left="0" w:firstLine="0"/>
              <w:rPr>
                <w:rFonts w:asciiTheme="minorHAnsi" w:hAnsiTheme="minorHAnsi" w:cstheme="minorHAnsi"/>
                <w:sz w:val="24"/>
                <w:szCs w:val="24"/>
              </w:rPr>
            </w:pPr>
            <w:r>
              <w:rPr>
                <w:rFonts w:asciiTheme="minorHAnsi" w:hAnsiTheme="minorHAnsi" w:cstheme="minorHAnsi"/>
                <w:sz w:val="24"/>
                <w:szCs w:val="24"/>
              </w:rPr>
              <w:t>Base risk</w:t>
            </w:r>
            <w:r w:rsidRPr="00EC330E">
              <w:rPr>
                <w:rFonts w:asciiTheme="minorHAnsi" w:hAnsiTheme="minorHAnsi" w:cstheme="minorHAnsi"/>
                <w:sz w:val="24"/>
                <w:szCs w:val="24"/>
              </w:rPr>
              <w:t xml:space="preserve"> </w:t>
            </w:r>
          </w:p>
        </w:tc>
        <w:tc>
          <w:tcPr>
            <w:tcW w:w="3694" w:type="dxa"/>
            <w:tcBorders>
              <w:top w:val="nil"/>
              <w:left w:val="nil"/>
              <w:bottom w:val="single" w:sz="8" w:space="0" w:color="auto"/>
              <w:right w:val="single" w:sz="8" w:space="0" w:color="auto"/>
            </w:tcBorders>
            <w:tcMar>
              <w:top w:w="0" w:type="dxa"/>
              <w:left w:w="108" w:type="dxa"/>
              <w:bottom w:w="0" w:type="dxa"/>
              <w:right w:w="108" w:type="dxa"/>
            </w:tcMar>
            <w:hideMark/>
          </w:tcPr>
          <w:p w14:paraId="22C1DCA9" w14:textId="77777777" w:rsidR="008C1FEE" w:rsidRPr="00EC330E" w:rsidRDefault="008C1FEE" w:rsidP="00E277DF">
            <w:pPr>
              <w:pStyle w:val="subsection"/>
              <w:ind w:left="0" w:firstLine="0"/>
              <w:rPr>
                <w:rFonts w:asciiTheme="minorHAnsi" w:hAnsiTheme="minorHAnsi" w:cstheme="minorHAnsi"/>
                <w:sz w:val="24"/>
                <w:szCs w:val="24"/>
              </w:rPr>
            </w:pPr>
            <w:r>
              <w:rPr>
                <w:rFonts w:asciiTheme="minorHAnsi" w:hAnsiTheme="minorHAnsi" w:cstheme="minorHAnsi"/>
                <w:sz w:val="24"/>
                <w:szCs w:val="24"/>
              </w:rPr>
              <w:t>All providers</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023B15CA" w14:textId="77777777" w:rsidR="008C1FEE" w:rsidRPr="0028583E" w:rsidRDefault="008C1FEE" w:rsidP="00E277DF">
            <w:pPr>
              <w:pStyle w:val="subsection"/>
              <w:ind w:left="0" w:firstLine="0"/>
              <w:jc w:val="center"/>
              <w:rPr>
                <w:rFonts w:asciiTheme="minorHAnsi" w:hAnsiTheme="minorHAnsi" w:cstheme="minorHAnsi"/>
                <w:sz w:val="24"/>
                <w:szCs w:val="24"/>
              </w:rPr>
            </w:pPr>
            <w:r w:rsidRPr="0028583E">
              <w:rPr>
                <w:rFonts w:asciiTheme="minorHAnsi" w:hAnsiTheme="minorHAnsi" w:cstheme="minorHAnsi"/>
                <w:sz w:val="24"/>
                <w:szCs w:val="24"/>
              </w:rPr>
              <w:t>1.0</w:t>
            </w:r>
          </w:p>
        </w:tc>
      </w:tr>
      <w:tr w:rsidR="008C1FEE" w:rsidRPr="00EC330E" w14:paraId="1FDB2CF0" w14:textId="77777777" w:rsidTr="00E277DF">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F9A203" w14:textId="77777777" w:rsidR="008C1FEE" w:rsidRPr="00EC330E" w:rsidRDefault="008C1FEE" w:rsidP="00E277DF">
            <w:pPr>
              <w:pStyle w:val="subsection"/>
              <w:ind w:left="0" w:firstLine="0"/>
              <w:rPr>
                <w:rFonts w:asciiTheme="minorHAnsi" w:hAnsiTheme="minorHAnsi" w:cstheme="minorHAnsi"/>
                <w:sz w:val="24"/>
                <w:szCs w:val="24"/>
              </w:rPr>
            </w:pPr>
            <w:r w:rsidRPr="00EC330E">
              <w:rPr>
                <w:rFonts w:asciiTheme="minorHAnsi" w:hAnsiTheme="minorHAnsi" w:cstheme="minorHAnsi"/>
                <w:sz w:val="24"/>
                <w:szCs w:val="24"/>
              </w:rPr>
              <w:t>Length of operation</w:t>
            </w:r>
          </w:p>
        </w:tc>
        <w:tc>
          <w:tcPr>
            <w:tcW w:w="3694" w:type="dxa"/>
            <w:tcBorders>
              <w:top w:val="nil"/>
              <w:left w:val="nil"/>
              <w:bottom w:val="single" w:sz="8" w:space="0" w:color="auto"/>
              <w:right w:val="single" w:sz="8" w:space="0" w:color="auto"/>
            </w:tcBorders>
            <w:tcMar>
              <w:top w:w="0" w:type="dxa"/>
              <w:left w:w="108" w:type="dxa"/>
              <w:bottom w:w="0" w:type="dxa"/>
              <w:right w:w="108" w:type="dxa"/>
            </w:tcMar>
            <w:hideMark/>
          </w:tcPr>
          <w:p w14:paraId="11C94773" w14:textId="77777777" w:rsidR="008C1FEE" w:rsidRPr="00EC330E" w:rsidRDefault="008C1FEE" w:rsidP="00E277DF">
            <w:pPr>
              <w:pStyle w:val="subsection"/>
              <w:ind w:left="0" w:firstLine="0"/>
              <w:rPr>
                <w:rFonts w:asciiTheme="minorHAnsi" w:eastAsiaTheme="minorHAnsi" w:hAnsiTheme="minorHAnsi" w:cstheme="minorHAnsi"/>
                <w:sz w:val="24"/>
                <w:szCs w:val="24"/>
              </w:rPr>
            </w:pPr>
            <w:r w:rsidRPr="00EC330E">
              <w:rPr>
                <w:rFonts w:asciiTheme="minorHAnsi" w:hAnsiTheme="minorHAnsi" w:cstheme="minorHAnsi"/>
                <w:sz w:val="24"/>
                <w:szCs w:val="24"/>
              </w:rPr>
              <w:t>Less than 1 year</w:t>
            </w:r>
          </w:p>
          <w:p w14:paraId="71C6D201" w14:textId="77777777" w:rsidR="008C1FEE" w:rsidRPr="00EC330E" w:rsidRDefault="008C1FEE" w:rsidP="00E277DF">
            <w:pPr>
              <w:pStyle w:val="subsection"/>
              <w:ind w:left="0" w:firstLine="0"/>
              <w:rPr>
                <w:rFonts w:asciiTheme="minorHAnsi" w:hAnsiTheme="minorHAnsi" w:cstheme="minorHAnsi"/>
                <w:sz w:val="24"/>
                <w:szCs w:val="24"/>
              </w:rPr>
            </w:pPr>
            <w:r w:rsidRPr="00EC330E">
              <w:rPr>
                <w:rFonts w:asciiTheme="minorHAnsi" w:hAnsiTheme="minorHAnsi" w:cstheme="minorHAnsi"/>
                <w:sz w:val="24"/>
                <w:szCs w:val="24"/>
              </w:rPr>
              <w:t>1 year to less than 2 years</w:t>
            </w:r>
          </w:p>
          <w:p w14:paraId="73735849" w14:textId="77777777" w:rsidR="008C1FEE" w:rsidRPr="00EC330E" w:rsidRDefault="008C1FEE" w:rsidP="00E277DF">
            <w:pPr>
              <w:pStyle w:val="subsection"/>
              <w:ind w:left="0" w:firstLine="0"/>
              <w:rPr>
                <w:rFonts w:asciiTheme="minorHAnsi" w:hAnsiTheme="minorHAnsi" w:cstheme="minorHAnsi"/>
                <w:sz w:val="24"/>
                <w:szCs w:val="24"/>
              </w:rPr>
            </w:pPr>
            <w:r w:rsidRPr="00EC330E">
              <w:rPr>
                <w:rFonts w:asciiTheme="minorHAnsi" w:hAnsiTheme="minorHAnsi" w:cstheme="minorHAnsi"/>
                <w:sz w:val="24"/>
                <w:szCs w:val="24"/>
              </w:rPr>
              <w:t>2 years to less than 3 years</w:t>
            </w:r>
          </w:p>
          <w:p w14:paraId="2B0EE653" w14:textId="77777777" w:rsidR="008C1FEE" w:rsidRPr="00EC330E" w:rsidRDefault="008C1FEE" w:rsidP="00E277DF">
            <w:pPr>
              <w:pStyle w:val="subsection"/>
              <w:ind w:left="0" w:firstLine="0"/>
              <w:rPr>
                <w:rFonts w:asciiTheme="minorHAnsi" w:hAnsiTheme="minorHAnsi" w:cstheme="minorHAnsi"/>
                <w:sz w:val="24"/>
                <w:szCs w:val="24"/>
              </w:rPr>
            </w:pPr>
            <w:r w:rsidRPr="00EC330E">
              <w:rPr>
                <w:rFonts w:asciiTheme="minorHAnsi" w:hAnsiTheme="minorHAnsi" w:cstheme="minorHAnsi"/>
                <w:sz w:val="24"/>
                <w:szCs w:val="24"/>
              </w:rPr>
              <w:t>3 years to less than 5 years</w:t>
            </w:r>
          </w:p>
          <w:p w14:paraId="75A6D717" w14:textId="77777777" w:rsidR="008C1FEE" w:rsidRPr="00EC330E" w:rsidRDefault="008C1FEE" w:rsidP="00E277DF">
            <w:pPr>
              <w:pStyle w:val="subsection"/>
              <w:ind w:left="0" w:firstLine="0"/>
              <w:rPr>
                <w:rFonts w:asciiTheme="minorHAnsi" w:hAnsiTheme="minorHAnsi" w:cstheme="minorHAnsi"/>
                <w:sz w:val="24"/>
                <w:szCs w:val="24"/>
              </w:rPr>
            </w:pPr>
            <w:r w:rsidRPr="00EC330E">
              <w:rPr>
                <w:rFonts w:asciiTheme="minorHAnsi" w:hAnsiTheme="minorHAnsi" w:cstheme="minorHAnsi"/>
                <w:sz w:val="24"/>
                <w:szCs w:val="24"/>
              </w:rPr>
              <w:t>5 years or more</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C967E80" w14:textId="77777777" w:rsidR="008C1FEE" w:rsidRPr="0028583E" w:rsidRDefault="008C1FEE" w:rsidP="00E277DF">
            <w:pPr>
              <w:pStyle w:val="subsection"/>
              <w:ind w:left="0" w:firstLine="0"/>
              <w:jc w:val="center"/>
              <w:rPr>
                <w:rFonts w:asciiTheme="minorHAnsi" w:eastAsiaTheme="minorHAnsi" w:hAnsiTheme="minorHAnsi" w:cstheme="minorHAnsi"/>
                <w:sz w:val="24"/>
                <w:szCs w:val="24"/>
              </w:rPr>
            </w:pPr>
            <w:r w:rsidRPr="0028583E">
              <w:rPr>
                <w:rFonts w:asciiTheme="minorHAnsi" w:hAnsiTheme="minorHAnsi" w:cstheme="minorHAnsi"/>
                <w:sz w:val="24"/>
                <w:szCs w:val="24"/>
              </w:rPr>
              <w:t>1.0</w:t>
            </w:r>
          </w:p>
          <w:p w14:paraId="547FB2C4" w14:textId="77777777" w:rsidR="008C1FEE" w:rsidRPr="0028583E" w:rsidRDefault="008C1FEE" w:rsidP="00E277DF">
            <w:pPr>
              <w:pStyle w:val="subsection"/>
              <w:ind w:left="0" w:firstLine="0"/>
              <w:jc w:val="center"/>
              <w:rPr>
                <w:rFonts w:asciiTheme="minorHAnsi" w:hAnsiTheme="minorHAnsi" w:cstheme="minorHAnsi"/>
                <w:sz w:val="24"/>
                <w:szCs w:val="24"/>
              </w:rPr>
            </w:pPr>
            <w:r w:rsidRPr="0028583E">
              <w:rPr>
                <w:rFonts w:asciiTheme="minorHAnsi" w:hAnsiTheme="minorHAnsi" w:cstheme="minorHAnsi"/>
                <w:sz w:val="24"/>
                <w:szCs w:val="24"/>
              </w:rPr>
              <w:t>0.5</w:t>
            </w:r>
          </w:p>
          <w:p w14:paraId="41F9E0DF" w14:textId="77777777" w:rsidR="008C1FEE" w:rsidRPr="0028583E" w:rsidRDefault="008C1FEE" w:rsidP="00E277DF">
            <w:pPr>
              <w:pStyle w:val="subsection"/>
              <w:ind w:left="0" w:firstLine="0"/>
              <w:jc w:val="center"/>
              <w:rPr>
                <w:rFonts w:asciiTheme="minorHAnsi" w:hAnsiTheme="minorHAnsi" w:cstheme="minorHAnsi"/>
                <w:sz w:val="24"/>
                <w:szCs w:val="24"/>
              </w:rPr>
            </w:pPr>
            <w:r w:rsidRPr="0028583E">
              <w:rPr>
                <w:rFonts w:asciiTheme="minorHAnsi" w:hAnsiTheme="minorHAnsi" w:cstheme="minorHAnsi"/>
                <w:sz w:val="24"/>
                <w:szCs w:val="24"/>
              </w:rPr>
              <w:t>0.0</w:t>
            </w:r>
          </w:p>
          <w:p w14:paraId="2A34926C" w14:textId="77777777" w:rsidR="008C1FEE" w:rsidRPr="0028583E" w:rsidRDefault="008C1FEE" w:rsidP="00E277DF">
            <w:pPr>
              <w:pStyle w:val="subsection"/>
              <w:ind w:left="0" w:firstLine="0"/>
              <w:jc w:val="center"/>
              <w:rPr>
                <w:rFonts w:asciiTheme="minorHAnsi" w:hAnsiTheme="minorHAnsi" w:cstheme="minorHAnsi"/>
                <w:sz w:val="24"/>
                <w:szCs w:val="24"/>
              </w:rPr>
            </w:pPr>
            <w:r w:rsidRPr="0028583E">
              <w:rPr>
                <w:rFonts w:asciiTheme="minorHAnsi" w:hAnsiTheme="minorHAnsi" w:cstheme="minorHAnsi"/>
                <w:sz w:val="24"/>
                <w:szCs w:val="24"/>
              </w:rPr>
              <w:t>0.0</w:t>
            </w:r>
          </w:p>
          <w:p w14:paraId="3DE1F0AF" w14:textId="77777777" w:rsidR="008C1FEE" w:rsidRPr="000C56E9" w:rsidRDefault="008C1FEE" w:rsidP="00E277DF">
            <w:pPr>
              <w:pStyle w:val="subsection"/>
              <w:ind w:left="0" w:firstLine="0"/>
              <w:jc w:val="center"/>
              <w:rPr>
                <w:rFonts w:asciiTheme="minorHAnsi" w:hAnsiTheme="minorHAnsi" w:cstheme="minorHAnsi"/>
                <w:sz w:val="24"/>
                <w:szCs w:val="24"/>
                <w:highlight w:val="yellow"/>
              </w:rPr>
            </w:pPr>
            <w:r w:rsidRPr="0028583E">
              <w:rPr>
                <w:rFonts w:asciiTheme="minorHAnsi" w:hAnsiTheme="minorHAnsi" w:cstheme="minorHAnsi"/>
                <w:sz w:val="24"/>
                <w:szCs w:val="24"/>
              </w:rPr>
              <w:t>0.0</w:t>
            </w:r>
          </w:p>
        </w:tc>
      </w:tr>
      <w:tr w:rsidR="008C1FEE" w:rsidRPr="00EC330E" w14:paraId="28053D8F" w14:textId="77777777" w:rsidTr="00E277DF">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57B1FA" w14:textId="77777777" w:rsidR="008C1FEE" w:rsidRPr="00EC330E" w:rsidRDefault="008C1FEE" w:rsidP="00E277DF">
            <w:pPr>
              <w:pStyle w:val="subsection"/>
              <w:ind w:left="0" w:firstLine="0"/>
              <w:rPr>
                <w:rFonts w:asciiTheme="minorHAnsi" w:hAnsiTheme="minorHAnsi" w:cstheme="minorHAnsi"/>
                <w:sz w:val="24"/>
                <w:szCs w:val="24"/>
              </w:rPr>
            </w:pPr>
            <w:r w:rsidRPr="00EC330E">
              <w:rPr>
                <w:rFonts w:asciiTheme="minorHAnsi" w:hAnsiTheme="minorHAnsi" w:cstheme="minorHAnsi"/>
                <w:sz w:val="24"/>
                <w:szCs w:val="24"/>
              </w:rPr>
              <w:t>Volatility in overseas student enrolments</w:t>
            </w:r>
          </w:p>
          <w:p w14:paraId="5D53A5E6" w14:textId="77777777" w:rsidR="008C1FEE" w:rsidRPr="00EC330E" w:rsidRDefault="008C1FEE" w:rsidP="00E277DF">
            <w:pPr>
              <w:pStyle w:val="subsection"/>
              <w:rPr>
                <w:rFonts w:asciiTheme="minorHAnsi" w:hAnsiTheme="minorHAnsi" w:cstheme="minorHAnsi"/>
                <w:sz w:val="24"/>
                <w:szCs w:val="24"/>
                <w:vertAlign w:val="superscript"/>
              </w:rPr>
            </w:pPr>
            <w:r w:rsidRPr="00EC330E">
              <w:rPr>
                <w:rFonts w:asciiTheme="minorHAnsi" w:hAnsiTheme="minorHAnsi" w:cstheme="minorHAnsi"/>
                <w:sz w:val="24"/>
                <w:szCs w:val="24"/>
              </w:rPr>
              <w:t xml:space="preserve">      (1) Growth in student enrolments</w:t>
            </w:r>
          </w:p>
          <w:p w14:paraId="6D105FD7" w14:textId="77777777" w:rsidR="008C1FEE" w:rsidRPr="00EC330E" w:rsidRDefault="008C1FEE" w:rsidP="00E277DF">
            <w:pPr>
              <w:pStyle w:val="subsection"/>
              <w:rPr>
                <w:rFonts w:asciiTheme="minorHAnsi" w:hAnsiTheme="minorHAnsi" w:cstheme="minorHAnsi"/>
                <w:sz w:val="24"/>
                <w:szCs w:val="24"/>
              </w:rPr>
            </w:pPr>
          </w:p>
          <w:p w14:paraId="4510CE48" w14:textId="77777777" w:rsidR="008C1FEE" w:rsidRPr="00EC330E" w:rsidRDefault="008C1FEE" w:rsidP="00E277DF">
            <w:pPr>
              <w:pStyle w:val="subsection"/>
              <w:rPr>
                <w:rFonts w:asciiTheme="minorHAnsi" w:hAnsiTheme="minorHAnsi" w:cstheme="minorHAnsi"/>
                <w:sz w:val="24"/>
                <w:szCs w:val="24"/>
              </w:rPr>
            </w:pPr>
            <w:r w:rsidRPr="00EC330E">
              <w:rPr>
                <w:rFonts w:asciiTheme="minorHAnsi" w:hAnsiTheme="minorHAnsi" w:cstheme="minorHAnsi"/>
                <w:sz w:val="24"/>
                <w:szCs w:val="24"/>
              </w:rPr>
              <w:t xml:space="preserve">                           OR     </w:t>
            </w:r>
          </w:p>
          <w:p w14:paraId="30C66F22" w14:textId="77777777" w:rsidR="008C1FEE" w:rsidRPr="00EC330E" w:rsidRDefault="008C1FEE" w:rsidP="00E277DF">
            <w:pPr>
              <w:pStyle w:val="subsection"/>
              <w:rPr>
                <w:rFonts w:asciiTheme="minorHAnsi" w:hAnsiTheme="minorHAnsi" w:cstheme="minorHAnsi"/>
                <w:sz w:val="24"/>
                <w:szCs w:val="24"/>
              </w:rPr>
            </w:pPr>
            <w:r w:rsidRPr="00EC330E">
              <w:rPr>
                <w:rFonts w:asciiTheme="minorHAnsi" w:hAnsiTheme="minorHAnsi" w:cstheme="minorHAnsi"/>
                <w:sz w:val="24"/>
                <w:szCs w:val="24"/>
              </w:rPr>
              <w:t xml:space="preserve">      </w:t>
            </w:r>
          </w:p>
          <w:p w14:paraId="47A23010" w14:textId="77777777" w:rsidR="008C1FEE" w:rsidRPr="00EC330E" w:rsidRDefault="008C1FEE" w:rsidP="00E277DF">
            <w:pPr>
              <w:pStyle w:val="subsection"/>
              <w:rPr>
                <w:rFonts w:asciiTheme="minorHAnsi" w:hAnsiTheme="minorHAnsi" w:cstheme="minorHAnsi"/>
                <w:sz w:val="24"/>
                <w:szCs w:val="24"/>
              </w:rPr>
            </w:pPr>
            <w:r w:rsidRPr="00EC330E">
              <w:rPr>
                <w:rFonts w:asciiTheme="minorHAnsi" w:hAnsiTheme="minorHAnsi" w:cstheme="minorHAnsi"/>
                <w:sz w:val="24"/>
                <w:szCs w:val="24"/>
              </w:rPr>
              <w:t xml:space="preserve">      (2) Decline in student enrolments</w:t>
            </w:r>
          </w:p>
          <w:p w14:paraId="48848989" w14:textId="735A0D39" w:rsidR="00124335" w:rsidRDefault="00124335" w:rsidP="00124335">
            <w:pPr>
              <w:pStyle w:val="subsection"/>
              <w:tabs>
                <w:tab w:val="clear" w:pos="1021"/>
              </w:tabs>
              <w:ind w:left="0" w:firstLine="0"/>
              <w:rPr>
                <w:rFonts w:asciiTheme="minorHAnsi" w:hAnsiTheme="minorHAnsi" w:cstheme="minorHAnsi"/>
                <w:i/>
                <w:iCs/>
                <w:sz w:val="24"/>
                <w:szCs w:val="24"/>
              </w:rPr>
            </w:pPr>
            <w:r>
              <w:rPr>
                <w:rFonts w:asciiTheme="minorHAnsi" w:hAnsiTheme="minorHAnsi" w:cstheme="minorHAnsi"/>
                <w:i/>
                <w:iCs/>
                <w:sz w:val="24"/>
                <w:szCs w:val="24"/>
              </w:rPr>
              <w:t xml:space="preserve">Note: risk factor weight </w:t>
            </w:r>
            <w:r w:rsidR="00D22A21">
              <w:rPr>
                <w:rFonts w:asciiTheme="minorHAnsi" w:hAnsiTheme="minorHAnsi" w:cstheme="minorHAnsi"/>
                <w:i/>
                <w:iCs/>
                <w:sz w:val="24"/>
                <w:szCs w:val="24"/>
              </w:rPr>
              <w:t>is</w:t>
            </w:r>
            <w:r>
              <w:rPr>
                <w:rFonts w:asciiTheme="minorHAnsi" w:hAnsiTheme="minorHAnsi" w:cstheme="minorHAnsi"/>
                <w:i/>
                <w:iCs/>
                <w:sz w:val="24"/>
                <w:szCs w:val="24"/>
              </w:rPr>
              <w:t xml:space="preserve"> discounted as follows:</w:t>
            </w:r>
          </w:p>
          <w:p w14:paraId="79B2D5B5" w14:textId="77777777" w:rsidR="00124335" w:rsidRDefault="00124335" w:rsidP="00124335">
            <w:pPr>
              <w:pStyle w:val="subsection"/>
              <w:numPr>
                <w:ilvl w:val="0"/>
                <w:numId w:val="6"/>
              </w:numPr>
              <w:rPr>
                <w:rFonts w:asciiTheme="minorHAnsi" w:hAnsiTheme="minorHAnsi" w:cstheme="minorHAnsi"/>
                <w:i/>
                <w:iCs/>
                <w:sz w:val="24"/>
                <w:szCs w:val="24"/>
              </w:rPr>
            </w:pPr>
            <w:r w:rsidRPr="00124335">
              <w:rPr>
                <w:rFonts w:asciiTheme="minorHAnsi" w:hAnsiTheme="minorHAnsi" w:cstheme="minorHAnsi"/>
                <w:i/>
                <w:iCs/>
                <w:sz w:val="24"/>
                <w:szCs w:val="24"/>
              </w:rPr>
              <w:t xml:space="preserve">75 percent to providers with a length of operation between 2 and 3 years; </w:t>
            </w:r>
          </w:p>
          <w:p w14:paraId="6D0628F4" w14:textId="77777777" w:rsidR="00124335" w:rsidRDefault="00124335" w:rsidP="00124335">
            <w:pPr>
              <w:pStyle w:val="subsection"/>
              <w:numPr>
                <w:ilvl w:val="0"/>
                <w:numId w:val="6"/>
              </w:numPr>
              <w:rPr>
                <w:rFonts w:asciiTheme="minorHAnsi" w:hAnsiTheme="minorHAnsi" w:cstheme="minorHAnsi"/>
                <w:i/>
                <w:iCs/>
                <w:sz w:val="24"/>
                <w:szCs w:val="24"/>
              </w:rPr>
            </w:pPr>
            <w:r w:rsidRPr="00124335">
              <w:rPr>
                <w:rFonts w:asciiTheme="minorHAnsi" w:hAnsiTheme="minorHAnsi" w:cstheme="minorHAnsi"/>
                <w:i/>
                <w:iCs/>
                <w:sz w:val="24"/>
                <w:szCs w:val="24"/>
              </w:rPr>
              <w:t xml:space="preserve">50 percent for those between 3 and 4 years; and </w:t>
            </w:r>
          </w:p>
          <w:p w14:paraId="6E42C788" w14:textId="77777777" w:rsidR="00124335" w:rsidRDefault="00124335" w:rsidP="00124335">
            <w:pPr>
              <w:pStyle w:val="subsection"/>
              <w:numPr>
                <w:ilvl w:val="0"/>
                <w:numId w:val="6"/>
              </w:numPr>
              <w:rPr>
                <w:rFonts w:asciiTheme="minorHAnsi" w:hAnsiTheme="minorHAnsi" w:cstheme="minorHAnsi"/>
                <w:i/>
                <w:iCs/>
                <w:sz w:val="24"/>
                <w:szCs w:val="24"/>
              </w:rPr>
            </w:pPr>
            <w:r w:rsidRPr="00124335">
              <w:rPr>
                <w:rFonts w:asciiTheme="minorHAnsi" w:hAnsiTheme="minorHAnsi" w:cstheme="minorHAnsi"/>
                <w:i/>
                <w:iCs/>
                <w:sz w:val="24"/>
                <w:szCs w:val="24"/>
              </w:rPr>
              <w:t>25 percent for those between 4 and 5 years</w:t>
            </w:r>
          </w:p>
          <w:p w14:paraId="341A9EF2" w14:textId="335368BC" w:rsidR="00124335" w:rsidRPr="00124335" w:rsidRDefault="00124335" w:rsidP="00124335">
            <w:pPr>
              <w:pStyle w:val="subsection"/>
              <w:ind w:left="0" w:firstLine="0"/>
              <w:rPr>
                <w:rFonts w:asciiTheme="minorHAnsi" w:hAnsiTheme="minorHAnsi" w:cstheme="minorHAnsi"/>
                <w:i/>
                <w:iCs/>
                <w:sz w:val="24"/>
                <w:szCs w:val="24"/>
              </w:rPr>
            </w:pPr>
            <w:r>
              <w:rPr>
                <w:rFonts w:asciiTheme="minorHAnsi" w:hAnsiTheme="minorHAnsi" w:cstheme="minorHAnsi"/>
                <w:i/>
                <w:iCs/>
                <w:sz w:val="24"/>
                <w:szCs w:val="24"/>
              </w:rPr>
              <w:t xml:space="preserve">Note: </w:t>
            </w:r>
            <w:r w:rsidR="00A26221">
              <w:rPr>
                <w:rFonts w:asciiTheme="minorHAnsi" w:hAnsiTheme="minorHAnsi" w:cstheme="minorHAnsi"/>
                <w:i/>
                <w:iCs/>
                <w:sz w:val="24"/>
                <w:szCs w:val="24"/>
              </w:rPr>
              <w:t xml:space="preserve">to be based on provider’s </w:t>
            </w:r>
            <w:r>
              <w:rPr>
                <w:rFonts w:asciiTheme="minorHAnsi" w:hAnsiTheme="minorHAnsi" w:cstheme="minorHAnsi"/>
                <w:i/>
                <w:iCs/>
                <w:sz w:val="24"/>
                <w:szCs w:val="24"/>
              </w:rPr>
              <w:t xml:space="preserve">annual average </w:t>
            </w:r>
            <w:r w:rsidR="00A26221">
              <w:rPr>
                <w:rFonts w:asciiTheme="minorHAnsi" w:hAnsiTheme="minorHAnsi" w:cstheme="minorHAnsi"/>
                <w:i/>
                <w:iCs/>
                <w:sz w:val="24"/>
                <w:szCs w:val="24"/>
              </w:rPr>
              <w:t xml:space="preserve">volatility </w:t>
            </w:r>
          </w:p>
        </w:tc>
        <w:tc>
          <w:tcPr>
            <w:tcW w:w="3694" w:type="dxa"/>
            <w:tcBorders>
              <w:top w:val="nil"/>
              <w:left w:val="nil"/>
              <w:bottom w:val="single" w:sz="8" w:space="0" w:color="auto"/>
              <w:right w:val="single" w:sz="8" w:space="0" w:color="auto"/>
            </w:tcBorders>
            <w:tcMar>
              <w:top w:w="0" w:type="dxa"/>
              <w:left w:w="108" w:type="dxa"/>
              <w:bottom w:w="0" w:type="dxa"/>
              <w:right w:w="108" w:type="dxa"/>
            </w:tcMar>
          </w:tcPr>
          <w:p w14:paraId="7C50682D" w14:textId="77777777" w:rsidR="008C1FEE" w:rsidRPr="00EC330E" w:rsidRDefault="008C1FEE" w:rsidP="00E277DF">
            <w:pPr>
              <w:pStyle w:val="subsection"/>
              <w:ind w:left="0" w:firstLine="0"/>
              <w:rPr>
                <w:rFonts w:asciiTheme="minorHAnsi" w:hAnsiTheme="minorHAnsi" w:cstheme="minorHAnsi"/>
                <w:sz w:val="24"/>
                <w:szCs w:val="24"/>
              </w:rPr>
            </w:pPr>
            <w:r>
              <w:rPr>
                <w:rFonts w:asciiTheme="minorHAnsi" w:hAnsiTheme="minorHAnsi" w:cstheme="minorHAnsi"/>
                <w:sz w:val="24"/>
                <w:szCs w:val="24"/>
              </w:rPr>
              <w:t>120% or more</w:t>
            </w:r>
          </w:p>
          <w:p w14:paraId="33B98461" w14:textId="77777777" w:rsidR="008C1FEE" w:rsidRDefault="008C1FEE" w:rsidP="00E277DF">
            <w:pPr>
              <w:pStyle w:val="subsection"/>
              <w:ind w:left="0" w:firstLine="0"/>
              <w:rPr>
                <w:rFonts w:asciiTheme="minorHAnsi" w:hAnsiTheme="minorHAnsi" w:cstheme="minorHAnsi"/>
                <w:sz w:val="24"/>
                <w:szCs w:val="24"/>
              </w:rPr>
            </w:pPr>
            <w:r>
              <w:rPr>
                <w:rFonts w:asciiTheme="minorHAnsi" w:hAnsiTheme="minorHAnsi" w:cstheme="minorHAnsi"/>
                <w:sz w:val="24"/>
                <w:szCs w:val="24"/>
              </w:rPr>
              <w:t>105% or more, but less than 120%</w:t>
            </w:r>
          </w:p>
          <w:p w14:paraId="6F1844CB" w14:textId="77777777" w:rsidR="008C1FEE" w:rsidRPr="00EC330E" w:rsidRDefault="008C1FEE" w:rsidP="00E277DF">
            <w:pPr>
              <w:pStyle w:val="subsection"/>
              <w:ind w:left="0" w:firstLine="0"/>
              <w:rPr>
                <w:rFonts w:asciiTheme="minorHAnsi" w:eastAsiaTheme="minorHAnsi" w:hAnsiTheme="minorHAnsi" w:cstheme="minorHAnsi"/>
                <w:sz w:val="24"/>
                <w:szCs w:val="24"/>
              </w:rPr>
            </w:pPr>
            <w:r>
              <w:rPr>
                <w:rFonts w:asciiTheme="minorHAnsi" w:hAnsiTheme="minorHAnsi" w:cstheme="minorHAnsi"/>
                <w:sz w:val="24"/>
                <w:szCs w:val="24"/>
              </w:rPr>
              <w:t>90% or more but less than 105%</w:t>
            </w:r>
          </w:p>
          <w:p w14:paraId="11140B7F" w14:textId="77777777" w:rsidR="008C1FEE" w:rsidRPr="00EC330E" w:rsidRDefault="008C1FEE" w:rsidP="00E277DF">
            <w:pPr>
              <w:pStyle w:val="subsection"/>
              <w:ind w:left="0" w:firstLine="0"/>
              <w:rPr>
                <w:rFonts w:asciiTheme="minorHAnsi" w:hAnsiTheme="minorHAnsi" w:cstheme="minorHAnsi"/>
                <w:sz w:val="24"/>
                <w:szCs w:val="24"/>
              </w:rPr>
            </w:pPr>
            <w:r>
              <w:rPr>
                <w:rFonts w:asciiTheme="minorHAnsi" w:hAnsiTheme="minorHAnsi" w:cstheme="minorHAnsi"/>
                <w:sz w:val="24"/>
                <w:szCs w:val="24"/>
              </w:rPr>
              <w:t>75% or more but less than 90%</w:t>
            </w:r>
          </w:p>
          <w:p w14:paraId="4909C268" w14:textId="77777777" w:rsidR="008C1FEE" w:rsidRPr="00EC330E" w:rsidRDefault="008C1FEE" w:rsidP="00E277DF">
            <w:pPr>
              <w:pStyle w:val="subsection"/>
              <w:ind w:left="0" w:firstLine="0"/>
              <w:rPr>
                <w:rFonts w:asciiTheme="minorHAnsi" w:hAnsiTheme="minorHAnsi" w:cstheme="minorHAnsi"/>
                <w:sz w:val="24"/>
                <w:szCs w:val="24"/>
              </w:rPr>
            </w:pPr>
            <w:r>
              <w:rPr>
                <w:rFonts w:asciiTheme="minorHAnsi" w:hAnsiTheme="minorHAnsi" w:cstheme="minorHAnsi"/>
                <w:sz w:val="24"/>
                <w:szCs w:val="24"/>
              </w:rPr>
              <w:t>60% or more but less than 75%</w:t>
            </w:r>
          </w:p>
          <w:p w14:paraId="1673DD43" w14:textId="77777777" w:rsidR="008C1FEE" w:rsidRDefault="008C1FEE" w:rsidP="00E277DF">
            <w:pPr>
              <w:pStyle w:val="subsection"/>
              <w:ind w:left="0" w:firstLine="0"/>
              <w:rPr>
                <w:rFonts w:asciiTheme="minorHAnsi" w:hAnsiTheme="minorHAnsi" w:cstheme="minorHAnsi"/>
                <w:sz w:val="24"/>
                <w:szCs w:val="24"/>
              </w:rPr>
            </w:pPr>
            <w:r>
              <w:rPr>
                <w:rFonts w:asciiTheme="minorHAnsi" w:hAnsiTheme="minorHAnsi" w:cstheme="minorHAnsi"/>
                <w:sz w:val="24"/>
                <w:szCs w:val="24"/>
              </w:rPr>
              <w:t>45% or more but less than 60%</w:t>
            </w:r>
          </w:p>
          <w:p w14:paraId="75FBFFC5" w14:textId="77777777" w:rsidR="008C1FEE" w:rsidRDefault="008C1FEE" w:rsidP="00E277DF">
            <w:pPr>
              <w:pStyle w:val="subsection"/>
              <w:ind w:left="0" w:firstLine="0"/>
              <w:rPr>
                <w:rFonts w:asciiTheme="minorHAnsi" w:hAnsiTheme="minorHAnsi" w:cstheme="minorHAnsi"/>
                <w:sz w:val="24"/>
                <w:szCs w:val="24"/>
              </w:rPr>
            </w:pPr>
            <w:r>
              <w:rPr>
                <w:rFonts w:asciiTheme="minorHAnsi" w:hAnsiTheme="minorHAnsi" w:cstheme="minorHAnsi"/>
                <w:sz w:val="24"/>
                <w:szCs w:val="24"/>
              </w:rPr>
              <w:t>30% or more but less than 45%</w:t>
            </w:r>
          </w:p>
          <w:p w14:paraId="5F901DC1" w14:textId="6749A558" w:rsidR="008C1FEE" w:rsidRDefault="008C1FEE" w:rsidP="00E277DF">
            <w:pPr>
              <w:pStyle w:val="subsection"/>
              <w:ind w:left="0" w:firstLine="0"/>
              <w:rPr>
                <w:rFonts w:asciiTheme="minorHAnsi" w:hAnsiTheme="minorHAnsi" w:cstheme="minorHAnsi"/>
                <w:sz w:val="24"/>
                <w:szCs w:val="24"/>
              </w:rPr>
            </w:pPr>
            <w:r>
              <w:rPr>
                <w:rFonts w:asciiTheme="minorHAnsi" w:hAnsiTheme="minorHAnsi" w:cstheme="minorHAnsi"/>
                <w:sz w:val="24"/>
                <w:szCs w:val="24"/>
              </w:rPr>
              <w:t>less than 30%</w:t>
            </w:r>
          </w:p>
          <w:p w14:paraId="4A312F4A" w14:textId="0F5903F4" w:rsidR="008C1FEE" w:rsidRPr="00EC330E" w:rsidRDefault="008C1FEE" w:rsidP="00E277DF">
            <w:pPr>
              <w:pStyle w:val="subsection"/>
              <w:ind w:left="0" w:firstLine="0"/>
              <w:rPr>
                <w:rFonts w:asciiTheme="minorHAnsi" w:hAnsiTheme="minorHAnsi" w:cstheme="minorHAnsi"/>
                <w:sz w:val="24"/>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BEFF423" w14:textId="77777777" w:rsidR="008C1FEE" w:rsidRPr="0028583E" w:rsidRDefault="008C1FEE" w:rsidP="00E277DF">
            <w:pPr>
              <w:pStyle w:val="subsection"/>
              <w:ind w:left="0" w:firstLine="0"/>
              <w:jc w:val="center"/>
              <w:rPr>
                <w:rFonts w:asciiTheme="minorHAnsi" w:hAnsiTheme="minorHAnsi" w:cstheme="minorHAnsi"/>
                <w:sz w:val="24"/>
                <w:szCs w:val="24"/>
              </w:rPr>
            </w:pPr>
            <w:r w:rsidRPr="0028583E">
              <w:rPr>
                <w:rFonts w:asciiTheme="minorHAnsi" w:hAnsiTheme="minorHAnsi" w:cstheme="minorHAnsi"/>
                <w:sz w:val="24"/>
                <w:szCs w:val="24"/>
              </w:rPr>
              <w:t>3.5</w:t>
            </w:r>
          </w:p>
          <w:p w14:paraId="1F75BCC8" w14:textId="77777777" w:rsidR="008C1FEE" w:rsidRPr="0028583E" w:rsidRDefault="008C1FEE" w:rsidP="00E277DF">
            <w:pPr>
              <w:pStyle w:val="subsection"/>
              <w:ind w:left="0" w:firstLine="0"/>
              <w:jc w:val="center"/>
              <w:rPr>
                <w:rFonts w:asciiTheme="minorHAnsi" w:eastAsiaTheme="minorHAnsi" w:hAnsiTheme="minorHAnsi" w:cstheme="minorHAnsi"/>
                <w:sz w:val="24"/>
                <w:szCs w:val="24"/>
              </w:rPr>
            </w:pPr>
            <w:r w:rsidRPr="0028583E">
              <w:rPr>
                <w:rFonts w:asciiTheme="minorHAnsi" w:hAnsiTheme="minorHAnsi" w:cstheme="minorHAnsi"/>
                <w:sz w:val="24"/>
                <w:szCs w:val="24"/>
              </w:rPr>
              <w:t>3.0</w:t>
            </w:r>
          </w:p>
          <w:p w14:paraId="02D804E0" w14:textId="77777777" w:rsidR="008C1FEE" w:rsidRPr="0028583E" w:rsidRDefault="008C1FEE" w:rsidP="00E277DF">
            <w:pPr>
              <w:pStyle w:val="subsection"/>
              <w:ind w:left="0" w:firstLine="0"/>
              <w:jc w:val="center"/>
              <w:rPr>
                <w:rFonts w:asciiTheme="minorHAnsi" w:hAnsiTheme="minorHAnsi" w:cstheme="minorHAnsi"/>
                <w:sz w:val="24"/>
                <w:szCs w:val="24"/>
              </w:rPr>
            </w:pPr>
            <w:r w:rsidRPr="0028583E">
              <w:rPr>
                <w:rFonts w:asciiTheme="minorHAnsi" w:hAnsiTheme="minorHAnsi" w:cstheme="minorHAnsi"/>
                <w:sz w:val="24"/>
                <w:szCs w:val="24"/>
              </w:rPr>
              <w:t>2.5</w:t>
            </w:r>
          </w:p>
          <w:p w14:paraId="343FAC0A" w14:textId="77777777" w:rsidR="008C1FEE" w:rsidRPr="0028583E" w:rsidRDefault="008C1FEE" w:rsidP="00E277DF">
            <w:pPr>
              <w:pStyle w:val="subsection"/>
              <w:ind w:left="0" w:firstLine="0"/>
              <w:jc w:val="center"/>
              <w:rPr>
                <w:rFonts w:asciiTheme="minorHAnsi" w:hAnsiTheme="minorHAnsi" w:cstheme="minorHAnsi"/>
                <w:sz w:val="24"/>
                <w:szCs w:val="24"/>
              </w:rPr>
            </w:pPr>
            <w:r w:rsidRPr="0028583E">
              <w:rPr>
                <w:rFonts w:asciiTheme="minorHAnsi" w:hAnsiTheme="minorHAnsi" w:cstheme="minorHAnsi"/>
                <w:sz w:val="24"/>
                <w:szCs w:val="24"/>
              </w:rPr>
              <w:t>1.8</w:t>
            </w:r>
          </w:p>
          <w:p w14:paraId="09B7CAFD" w14:textId="77777777" w:rsidR="008C1FEE" w:rsidRPr="0028583E" w:rsidRDefault="008C1FEE" w:rsidP="00E277DF">
            <w:pPr>
              <w:pStyle w:val="subsection"/>
              <w:ind w:left="0" w:firstLine="0"/>
              <w:jc w:val="center"/>
              <w:rPr>
                <w:rFonts w:asciiTheme="minorHAnsi" w:hAnsiTheme="minorHAnsi" w:cstheme="minorHAnsi"/>
                <w:sz w:val="24"/>
                <w:szCs w:val="24"/>
              </w:rPr>
            </w:pPr>
            <w:r w:rsidRPr="0028583E">
              <w:rPr>
                <w:rFonts w:asciiTheme="minorHAnsi" w:hAnsiTheme="minorHAnsi" w:cstheme="minorHAnsi"/>
                <w:sz w:val="24"/>
                <w:szCs w:val="24"/>
              </w:rPr>
              <w:t>1.2</w:t>
            </w:r>
          </w:p>
          <w:p w14:paraId="6AF2FDBC" w14:textId="77777777" w:rsidR="008C1FEE" w:rsidRPr="0028583E" w:rsidRDefault="008C1FEE" w:rsidP="00E277DF">
            <w:pPr>
              <w:pStyle w:val="subsection"/>
              <w:ind w:left="0" w:firstLine="0"/>
              <w:jc w:val="center"/>
              <w:rPr>
                <w:rFonts w:asciiTheme="minorHAnsi" w:hAnsiTheme="minorHAnsi" w:cstheme="minorHAnsi"/>
                <w:sz w:val="24"/>
                <w:szCs w:val="24"/>
              </w:rPr>
            </w:pPr>
            <w:r w:rsidRPr="0028583E">
              <w:rPr>
                <w:rFonts w:asciiTheme="minorHAnsi" w:hAnsiTheme="minorHAnsi" w:cstheme="minorHAnsi"/>
                <w:sz w:val="24"/>
                <w:szCs w:val="24"/>
              </w:rPr>
              <w:t>0.6</w:t>
            </w:r>
          </w:p>
          <w:p w14:paraId="06FD0D7C" w14:textId="77777777" w:rsidR="008C1FEE" w:rsidRPr="00415C64" w:rsidRDefault="008C1FEE" w:rsidP="00E277DF">
            <w:pPr>
              <w:pStyle w:val="subsection"/>
              <w:ind w:left="0" w:firstLine="0"/>
              <w:jc w:val="center"/>
              <w:rPr>
                <w:rFonts w:asciiTheme="minorHAnsi" w:hAnsiTheme="minorHAnsi" w:cstheme="minorHAnsi"/>
                <w:sz w:val="24"/>
                <w:szCs w:val="24"/>
              </w:rPr>
            </w:pPr>
            <w:r w:rsidRPr="00415C64">
              <w:rPr>
                <w:rFonts w:asciiTheme="minorHAnsi" w:hAnsiTheme="minorHAnsi" w:cstheme="minorHAnsi"/>
                <w:sz w:val="24"/>
                <w:szCs w:val="24"/>
              </w:rPr>
              <w:t>0.4</w:t>
            </w:r>
          </w:p>
          <w:p w14:paraId="34FB0F03" w14:textId="77777777" w:rsidR="008C1FEE" w:rsidRPr="00415C64" w:rsidRDefault="008C1FEE" w:rsidP="00E277DF">
            <w:pPr>
              <w:pStyle w:val="subsection"/>
              <w:ind w:left="0" w:firstLine="0"/>
              <w:jc w:val="center"/>
              <w:rPr>
                <w:rFonts w:asciiTheme="minorHAnsi" w:hAnsiTheme="minorHAnsi" w:cstheme="minorHAnsi"/>
                <w:sz w:val="24"/>
                <w:szCs w:val="24"/>
              </w:rPr>
            </w:pPr>
            <w:r w:rsidRPr="00415C64">
              <w:rPr>
                <w:rFonts w:asciiTheme="minorHAnsi" w:hAnsiTheme="minorHAnsi" w:cstheme="minorHAnsi"/>
                <w:sz w:val="24"/>
                <w:szCs w:val="24"/>
              </w:rPr>
              <w:t>0.0</w:t>
            </w:r>
          </w:p>
          <w:p w14:paraId="66C82A22" w14:textId="64F95917" w:rsidR="008C1FEE" w:rsidRPr="000C56E9" w:rsidRDefault="008C1FEE" w:rsidP="00E277DF">
            <w:pPr>
              <w:pStyle w:val="subsection"/>
              <w:ind w:left="0" w:firstLine="0"/>
              <w:jc w:val="center"/>
              <w:rPr>
                <w:rFonts w:asciiTheme="minorHAnsi" w:hAnsiTheme="minorHAnsi" w:cstheme="minorHAnsi"/>
                <w:sz w:val="24"/>
                <w:szCs w:val="24"/>
                <w:highlight w:val="yellow"/>
              </w:rPr>
            </w:pPr>
          </w:p>
        </w:tc>
      </w:tr>
      <w:tr w:rsidR="008C1FEE" w:rsidRPr="00EC330E" w14:paraId="759A058C" w14:textId="77777777" w:rsidTr="00E277DF">
        <w:trPr>
          <w:trHeight w:val="1714"/>
        </w:trPr>
        <w:tc>
          <w:tcPr>
            <w:tcW w:w="382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C175D4E" w14:textId="77777777" w:rsidR="008C1FEE" w:rsidRPr="00EC330E" w:rsidRDefault="008C1FEE" w:rsidP="00E277DF">
            <w:pPr>
              <w:pStyle w:val="subsection"/>
              <w:ind w:left="0" w:firstLine="0"/>
              <w:rPr>
                <w:rFonts w:asciiTheme="minorHAnsi" w:hAnsiTheme="minorHAnsi" w:cstheme="minorHAnsi"/>
                <w:sz w:val="24"/>
                <w:szCs w:val="24"/>
              </w:rPr>
            </w:pPr>
            <w:r w:rsidRPr="00EC330E">
              <w:rPr>
                <w:rFonts w:asciiTheme="minorHAnsi" w:hAnsiTheme="minorHAnsi" w:cstheme="minorHAnsi"/>
                <w:sz w:val="24"/>
                <w:szCs w:val="24"/>
              </w:rPr>
              <w:t xml:space="preserve">Maximum overseas source country concentration </w:t>
            </w:r>
          </w:p>
        </w:tc>
        <w:tc>
          <w:tcPr>
            <w:tcW w:w="3694" w:type="dxa"/>
            <w:tcBorders>
              <w:top w:val="nil"/>
              <w:left w:val="nil"/>
              <w:bottom w:val="single" w:sz="4" w:space="0" w:color="auto"/>
              <w:right w:val="single" w:sz="8" w:space="0" w:color="auto"/>
            </w:tcBorders>
            <w:tcMar>
              <w:top w:w="0" w:type="dxa"/>
              <w:left w:w="108" w:type="dxa"/>
              <w:bottom w:w="0" w:type="dxa"/>
              <w:right w:w="108" w:type="dxa"/>
            </w:tcMar>
            <w:hideMark/>
          </w:tcPr>
          <w:p w14:paraId="576368AE" w14:textId="77777777" w:rsidR="008C1FEE" w:rsidRPr="00EC330E" w:rsidRDefault="008C1FEE" w:rsidP="00E277DF">
            <w:pPr>
              <w:pStyle w:val="subsection"/>
              <w:ind w:left="0" w:firstLine="0"/>
              <w:rPr>
                <w:rFonts w:asciiTheme="minorHAnsi" w:eastAsiaTheme="minorHAnsi" w:hAnsiTheme="minorHAnsi" w:cstheme="minorHAnsi"/>
                <w:sz w:val="24"/>
                <w:szCs w:val="24"/>
              </w:rPr>
            </w:pPr>
            <w:r w:rsidRPr="00EC330E">
              <w:rPr>
                <w:rFonts w:asciiTheme="minorHAnsi" w:hAnsiTheme="minorHAnsi" w:cstheme="minorHAnsi"/>
                <w:sz w:val="24"/>
                <w:szCs w:val="24"/>
              </w:rPr>
              <w:t>80% or more</w:t>
            </w:r>
          </w:p>
          <w:p w14:paraId="1BB3B20E" w14:textId="77777777" w:rsidR="008C1FEE" w:rsidRPr="00EC330E" w:rsidRDefault="008C1FEE" w:rsidP="00E277DF">
            <w:pPr>
              <w:pStyle w:val="subsection"/>
              <w:ind w:left="0" w:firstLine="0"/>
              <w:rPr>
                <w:rFonts w:asciiTheme="minorHAnsi" w:hAnsiTheme="minorHAnsi" w:cstheme="minorHAnsi"/>
                <w:sz w:val="24"/>
                <w:szCs w:val="24"/>
              </w:rPr>
            </w:pPr>
            <w:r w:rsidRPr="00EC330E">
              <w:rPr>
                <w:rFonts w:asciiTheme="minorHAnsi" w:hAnsiTheme="minorHAnsi" w:cstheme="minorHAnsi"/>
                <w:sz w:val="24"/>
                <w:szCs w:val="24"/>
              </w:rPr>
              <w:t xml:space="preserve">50% to less than 80% </w:t>
            </w:r>
          </w:p>
          <w:p w14:paraId="57C28A91" w14:textId="77777777" w:rsidR="008C1FEE" w:rsidRPr="00EC330E" w:rsidRDefault="008C1FEE" w:rsidP="00E277DF">
            <w:pPr>
              <w:pStyle w:val="subsection"/>
              <w:ind w:left="0" w:firstLine="0"/>
              <w:rPr>
                <w:rFonts w:asciiTheme="minorHAnsi" w:hAnsiTheme="minorHAnsi" w:cstheme="minorHAnsi"/>
                <w:sz w:val="24"/>
                <w:szCs w:val="24"/>
              </w:rPr>
            </w:pPr>
            <w:r w:rsidRPr="00EC330E">
              <w:rPr>
                <w:rFonts w:asciiTheme="minorHAnsi" w:hAnsiTheme="minorHAnsi" w:cstheme="minorHAnsi"/>
                <w:sz w:val="24"/>
                <w:szCs w:val="24"/>
              </w:rPr>
              <w:t xml:space="preserve">25% to less than 50% </w:t>
            </w:r>
          </w:p>
          <w:p w14:paraId="5D4AC174" w14:textId="77777777" w:rsidR="008C1FEE" w:rsidRPr="00EC330E" w:rsidRDefault="008C1FEE" w:rsidP="00E277DF">
            <w:pPr>
              <w:pStyle w:val="subsection"/>
              <w:ind w:left="0" w:firstLine="0"/>
              <w:rPr>
                <w:rFonts w:asciiTheme="minorHAnsi" w:hAnsiTheme="minorHAnsi" w:cstheme="minorHAnsi"/>
                <w:sz w:val="24"/>
                <w:szCs w:val="24"/>
              </w:rPr>
            </w:pPr>
            <w:r w:rsidRPr="00EC330E">
              <w:rPr>
                <w:rFonts w:asciiTheme="minorHAnsi" w:hAnsiTheme="minorHAnsi" w:cstheme="minorHAnsi"/>
                <w:sz w:val="24"/>
                <w:szCs w:val="24"/>
              </w:rPr>
              <w:t xml:space="preserve">Less than 25% </w:t>
            </w:r>
          </w:p>
        </w:tc>
        <w:tc>
          <w:tcPr>
            <w:tcW w:w="2268" w:type="dxa"/>
            <w:tcBorders>
              <w:top w:val="nil"/>
              <w:left w:val="nil"/>
              <w:bottom w:val="single" w:sz="4" w:space="0" w:color="auto"/>
              <w:right w:val="single" w:sz="8" w:space="0" w:color="auto"/>
            </w:tcBorders>
            <w:tcMar>
              <w:top w:w="0" w:type="dxa"/>
              <w:left w:w="108" w:type="dxa"/>
              <w:bottom w:w="0" w:type="dxa"/>
              <w:right w:w="108" w:type="dxa"/>
            </w:tcMar>
            <w:hideMark/>
          </w:tcPr>
          <w:p w14:paraId="17EC64BF" w14:textId="77777777" w:rsidR="008C1FEE" w:rsidRPr="00415C64" w:rsidRDefault="008C1FEE" w:rsidP="00E277DF">
            <w:pPr>
              <w:pStyle w:val="subsection"/>
              <w:ind w:left="0" w:firstLine="0"/>
              <w:jc w:val="center"/>
              <w:rPr>
                <w:rFonts w:asciiTheme="minorHAnsi" w:eastAsiaTheme="minorHAnsi" w:hAnsiTheme="minorHAnsi" w:cstheme="minorHAnsi"/>
                <w:sz w:val="24"/>
                <w:szCs w:val="24"/>
              </w:rPr>
            </w:pPr>
            <w:r w:rsidRPr="00415C64">
              <w:rPr>
                <w:rFonts w:asciiTheme="minorHAnsi" w:hAnsiTheme="minorHAnsi" w:cstheme="minorHAnsi"/>
                <w:sz w:val="24"/>
                <w:szCs w:val="24"/>
              </w:rPr>
              <w:t>3.1</w:t>
            </w:r>
          </w:p>
          <w:p w14:paraId="62E1B28D" w14:textId="77777777" w:rsidR="008C1FEE" w:rsidRPr="00415C64" w:rsidRDefault="008C1FEE" w:rsidP="00E277DF">
            <w:pPr>
              <w:pStyle w:val="subsection"/>
              <w:ind w:left="0" w:firstLine="0"/>
              <w:jc w:val="center"/>
              <w:rPr>
                <w:rFonts w:asciiTheme="minorHAnsi" w:hAnsiTheme="minorHAnsi" w:cstheme="minorHAnsi"/>
                <w:sz w:val="24"/>
                <w:szCs w:val="24"/>
              </w:rPr>
            </w:pPr>
            <w:r w:rsidRPr="00415C64">
              <w:rPr>
                <w:rFonts w:asciiTheme="minorHAnsi" w:hAnsiTheme="minorHAnsi" w:cstheme="minorHAnsi"/>
                <w:sz w:val="24"/>
                <w:szCs w:val="24"/>
              </w:rPr>
              <w:t>0.7</w:t>
            </w:r>
          </w:p>
          <w:p w14:paraId="078BA9C9" w14:textId="77777777" w:rsidR="008C1FEE" w:rsidRPr="00415C64" w:rsidRDefault="008C1FEE" w:rsidP="00E277DF">
            <w:pPr>
              <w:pStyle w:val="subsection"/>
              <w:ind w:left="0" w:firstLine="0"/>
              <w:jc w:val="center"/>
              <w:rPr>
                <w:rFonts w:asciiTheme="minorHAnsi" w:hAnsiTheme="minorHAnsi" w:cstheme="minorHAnsi"/>
                <w:sz w:val="24"/>
                <w:szCs w:val="24"/>
              </w:rPr>
            </w:pPr>
            <w:r w:rsidRPr="00415C64">
              <w:rPr>
                <w:rFonts w:asciiTheme="minorHAnsi" w:hAnsiTheme="minorHAnsi" w:cstheme="minorHAnsi"/>
                <w:sz w:val="24"/>
                <w:szCs w:val="24"/>
              </w:rPr>
              <w:t>0.3</w:t>
            </w:r>
          </w:p>
          <w:p w14:paraId="13FD4057" w14:textId="77777777" w:rsidR="008C1FEE" w:rsidRPr="000C56E9" w:rsidRDefault="008C1FEE" w:rsidP="00E277DF">
            <w:pPr>
              <w:pStyle w:val="subsection"/>
              <w:ind w:left="0" w:firstLine="0"/>
              <w:jc w:val="center"/>
              <w:rPr>
                <w:rFonts w:asciiTheme="minorHAnsi" w:hAnsiTheme="minorHAnsi" w:cstheme="minorHAnsi"/>
                <w:sz w:val="24"/>
                <w:szCs w:val="24"/>
                <w:highlight w:val="yellow"/>
              </w:rPr>
            </w:pPr>
            <w:r w:rsidRPr="00415C64">
              <w:rPr>
                <w:rFonts w:asciiTheme="minorHAnsi" w:hAnsiTheme="minorHAnsi" w:cstheme="minorHAnsi"/>
                <w:sz w:val="24"/>
                <w:szCs w:val="24"/>
              </w:rPr>
              <w:t>0.0</w:t>
            </w:r>
          </w:p>
        </w:tc>
      </w:tr>
      <w:tr w:rsidR="008C1FEE" w:rsidRPr="00EC330E" w14:paraId="2F81BAA6" w14:textId="77777777" w:rsidTr="00E277DF">
        <w:trPr>
          <w:trHeight w:val="4380"/>
        </w:trPr>
        <w:tc>
          <w:tcPr>
            <w:tcW w:w="382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D3B1B0" w14:textId="77777777" w:rsidR="008C1FEE" w:rsidRPr="00EC330E" w:rsidRDefault="008C1FEE" w:rsidP="00E277DF">
            <w:pPr>
              <w:pStyle w:val="subsection"/>
              <w:ind w:left="0" w:firstLine="0"/>
              <w:rPr>
                <w:rFonts w:asciiTheme="minorHAnsi" w:eastAsiaTheme="minorHAnsi" w:hAnsiTheme="minorHAnsi" w:cstheme="minorHAnsi"/>
                <w:sz w:val="24"/>
                <w:szCs w:val="24"/>
              </w:rPr>
            </w:pPr>
            <w:r w:rsidRPr="00EC330E">
              <w:rPr>
                <w:rFonts w:asciiTheme="minorHAnsi" w:hAnsiTheme="minorHAnsi" w:cstheme="minorHAnsi"/>
                <w:sz w:val="24"/>
                <w:szCs w:val="24"/>
              </w:rPr>
              <w:lastRenderedPageBreak/>
              <w:t>Non-compliance history</w:t>
            </w:r>
          </w:p>
        </w:tc>
        <w:tc>
          <w:tcPr>
            <w:tcW w:w="36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548115" w14:textId="77777777" w:rsidR="008C1FEE" w:rsidRPr="00EC330E" w:rsidRDefault="008C1FEE" w:rsidP="00E277DF">
            <w:pPr>
              <w:pStyle w:val="subsection"/>
              <w:ind w:left="0" w:firstLine="0"/>
              <w:rPr>
                <w:rFonts w:asciiTheme="minorHAnsi" w:hAnsiTheme="minorHAnsi" w:cstheme="minorHAnsi"/>
                <w:sz w:val="24"/>
                <w:szCs w:val="24"/>
              </w:rPr>
            </w:pPr>
            <w:r w:rsidRPr="00EC330E">
              <w:rPr>
                <w:rFonts w:asciiTheme="minorHAnsi" w:hAnsiTheme="minorHAnsi" w:cstheme="minorHAnsi"/>
                <w:sz w:val="24"/>
                <w:szCs w:val="24"/>
              </w:rPr>
              <w:t>Either or both of the following apply:</w:t>
            </w:r>
          </w:p>
          <w:p w14:paraId="78E8DBCA" w14:textId="77777777" w:rsidR="008C1FEE" w:rsidRPr="00EC330E" w:rsidRDefault="008C1FEE" w:rsidP="008C1FEE">
            <w:pPr>
              <w:pStyle w:val="subsection"/>
              <w:numPr>
                <w:ilvl w:val="0"/>
                <w:numId w:val="5"/>
              </w:numPr>
              <w:rPr>
                <w:rFonts w:asciiTheme="minorHAnsi" w:hAnsiTheme="minorHAnsi" w:cstheme="minorHAnsi"/>
                <w:sz w:val="24"/>
                <w:szCs w:val="24"/>
              </w:rPr>
            </w:pPr>
            <w:r w:rsidRPr="00EC330E">
              <w:rPr>
                <w:rFonts w:asciiTheme="minorHAnsi" w:hAnsiTheme="minorHAnsi" w:cstheme="minorHAnsi"/>
                <w:sz w:val="24"/>
                <w:szCs w:val="24"/>
              </w:rPr>
              <w:t>There is a weighted late payment measure of 30 days or more;</w:t>
            </w:r>
          </w:p>
          <w:p w14:paraId="1844DA6F" w14:textId="77777777" w:rsidR="008C1FEE" w:rsidRPr="00EC330E" w:rsidRDefault="008C1FEE" w:rsidP="008C1FEE">
            <w:pPr>
              <w:pStyle w:val="subsection"/>
              <w:numPr>
                <w:ilvl w:val="0"/>
                <w:numId w:val="5"/>
              </w:numPr>
              <w:rPr>
                <w:rFonts w:asciiTheme="minorHAnsi" w:hAnsiTheme="minorHAnsi" w:cstheme="minorHAnsi"/>
                <w:sz w:val="24"/>
                <w:szCs w:val="24"/>
              </w:rPr>
            </w:pPr>
            <w:r w:rsidRPr="00EC330E">
              <w:rPr>
                <w:rFonts w:asciiTheme="minorHAnsi" w:hAnsiTheme="minorHAnsi" w:cstheme="minorHAnsi"/>
                <w:sz w:val="24"/>
                <w:szCs w:val="24"/>
              </w:rPr>
              <w:t xml:space="preserve">The provider has been sanctioned for non-compliance under Division 1 of Subdivision A of section 83 of the </w:t>
            </w:r>
            <w:r w:rsidRPr="00EC330E">
              <w:rPr>
                <w:rFonts w:asciiTheme="minorHAnsi" w:hAnsiTheme="minorHAnsi" w:cstheme="minorHAnsi"/>
                <w:i/>
                <w:sz w:val="24"/>
                <w:szCs w:val="24"/>
              </w:rPr>
              <w:t xml:space="preserve">Education Services for Overseas Students Act </w:t>
            </w:r>
            <w:r w:rsidRPr="00EC330E">
              <w:rPr>
                <w:rFonts w:asciiTheme="minorHAnsi" w:hAnsiTheme="minorHAnsi" w:cstheme="minorHAnsi"/>
                <w:sz w:val="24"/>
                <w:szCs w:val="24"/>
              </w:rPr>
              <w:t>in the last year.</w:t>
            </w:r>
          </w:p>
          <w:p w14:paraId="247C8627" w14:textId="77777777" w:rsidR="008C1FEE" w:rsidRPr="00EC330E" w:rsidRDefault="008C1FEE" w:rsidP="00E277DF">
            <w:pPr>
              <w:pStyle w:val="subsection"/>
              <w:ind w:left="0" w:firstLine="0"/>
              <w:rPr>
                <w:rFonts w:asciiTheme="minorHAnsi" w:hAnsiTheme="minorHAnsi" w:cstheme="minorHAnsi"/>
                <w:sz w:val="24"/>
                <w:szCs w:val="24"/>
              </w:rPr>
            </w:pPr>
            <w:r w:rsidRPr="00EC330E">
              <w:rPr>
                <w:rFonts w:asciiTheme="minorHAnsi" w:hAnsiTheme="minorHAnsi" w:cstheme="minorHAnsi"/>
                <w:sz w:val="24"/>
                <w:szCs w:val="24"/>
              </w:rPr>
              <w:t>There is a weighted late payment measure of less than 30 days but at least 15 days</w:t>
            </w:r>
          </w:p>
          <w:p w14:paraId="583357FD" w14:textId="77777777" w:rsidR="008C1FEE" w:rsidRPr="00EC330E" w:rsidRDefault="008C1FEE" w:rsidP="00E277DF">
            <w:pPr>
              <w:pStyle w:val="subsection"/>
              <w:ind w:left="0" w:firstLine="0"/>
              <w:rPr>
                <w:rFonts w:asciiTheme="minorHAnsi" w:hAnsiTheme="minorHAnsi" w:cstheme="minorHAnsi"/>
                <w:sz w:val="24"/>
                <w:szCs w:val="24"/>
              </w:rPr>
            </w:pPr>
            <w:r w:rsidRPr="00EC330E">
              <w:rPr>
                <w:rFonts w:asciiTheme="minorHAnsi" w:hAnsiTheme="minorHAnsi" w:cstheme="minorHAnsi"/>
                <w:sz w:val="24"/>
                <w:szCs w:val="24"/>
              </w:rPr>
              <w:t>There is a weighted late payment measure of less than 15 days but at least 1 day</w:t>
            </w:r>
          </w:p>
          <w:p w14:paraId="524444FB" w14:textId="3FF9D42C" w:rsidR="008C1FEE" w:rsidRDefault="008C1FEE" w:rsidP="00E277DF">
            <w:pPr>
              <w:pStyle w:val="subsection"/>
              <w:ind w:left="0" w:firstLine="0"/>
              <w:rPr>
                <w:rFonts w:asciiTheme="minorHAnsi" w:hAnsiTheme="minorHAnsi" w:cstheme="minorHAnsi"/>
                <w:sz w:val="24"/>
                <w:szCs w:val="24"/>
              </w:rPr>
            </w:pPr>
            <w:r w:rsidRPr="00EC330E">
              <w:rPr>
                <w:rFonts w:asciiTheme="minorHAnsi" w:hAnsiTheme="minorHAnsi" w:cstheme="minorHAnsi"/>
                <w:sz w:val="24"/>
                <w:szCs w:val="24"/>
              </w:rPr>
              <w:t>There is no weighted late payment measure (payment made on time).</w:t>
            </w:r>
          </w:p>
          <w:p w14:paraId="6E4D75E5" w14:textId="00DF2D20" w:rsidR="00A26221" w:rsidRPr="00582047" w:rsidRDefault="00582047" w:rsidP="00E277DF">
            <w:pPr>
              <w:pStyle w:val="subsection"/>
              <w:ind w:left="0" w:firstLine="0"/>
              <w:rPr>
                <w:rFonts w:asciiTheme="minorHAnsi" w:hAnsiTheme="minorHAnsi" w:cstheme="minorHAnsi"/>
                <w:b/>
                <w:bCs/>
                <w:sz w:val="24"/>
                <w:szCs w:val="24"/>
              </w:rPr>
            </w:pPr>
            <w:r w:rsidRPr="00582047">
              <w:rPr>
                <w:rFonts w:asciiTheme="minorHAnsi" w:hAnsiTheme="minorHAnsi" w:cstheme="minorHAnsi"/>
                <w:b/>
                <w:bCs/>
                <w:sz w:val="24"/>
                <w:szCs w:val="24"/>
              </w:rPr>
              <w:t>Plus</w:t>
            </w:r>
          </w:p>
          <w:p w14:paraId="50946776" w14:textId="2CBC79DE" w:rsidR="00A26221" w:rsidRPr="00A26221" w:rsidRDefault="00A26221" w:rsidP="00A26221">
            <w:pPr>
              <w:pStyle w:val="subsection"/>
              <w:tabs>
                <w:tab w:val="clear" w:pos="1021"/>
              </w:tabs>
              <w:ind w:left="0"/>
              <w:rPr>
                <w:rFonts w:asciiTheme="minorHAnsi" w:hAnsiTheme="minorHAnsi" w:cstheme="minorHAnsi"/>
                <w:sz w:val="24"/>
                <w:szCs w:val="24"/>
              </w:rPr>
            </w:pPr>
            <w:r w:rsidRPr="00A26221">
              <w:rPr>
                <w:rFonts w:asciiTheme="minorHAnsi" w:hAnsiTheme="minorHAnsi" w:cstheme="minorHAnsi"/>
                <w:sz w:val="24"/>
                <w:szCs w:val="24"/>
              </w:rPr>
              <w:tab/>
              <w:t>One or more conditions on</w:t>
            </w:r>
            <w:r>
              <w:rPr>
                <w:rFonts w:asciiTheme="minorHAnsi" w:hAnsiTheme="minorHAnsi" w:cstheme="minorHAnsi"/>
                <w:sz w:val="24"/>
                <w:szCs w:val="24"/>
              </w:rPr>
              <w:t xml:space="preserve"> r</w:t>
            </w:r>
            <w:r w:rsidRPr="00A26221">
              <w:rPr>
                <w:rFonts w:asciiTheme="minorHAnsi" w:hAnsiTheme="minorHAnsi" w:cstheme="minorHAnsi"/>
                <w:sz w:val="24"/>
                <w:szCs w:val="24"/>
              </w:rPr>
              <w:t>egistration imposed by a regulator</w:t>
            </w:r>
          </w:p>
          <w:p w14:paraId="44C36C3C" w14:textId="1AA17B09" w:rsidR="00A26221" w:rsidRPr="00EC330E" w:rsidRDefault="00A26221" w:rsidP="00A26221">
            <w:pPr>
              <w:pStyle w:val="subsection"/>
              <w:ind w:left="0" w:firstLine="0"/>
              <w:rPr>
                <w:rFonts w:asciiTheme="minorHAnsi" w:hAnsiTheme="minorHAnsi" w:cstheme="minorHAnsi"/>
                <w:sz w:val="24"/>
                <w:szCs w:val="24"/>
              </w:rPr>
            </w:pPr>
            <w:r w:rsidRPr="00A26221">
              <w:rPr>
                <w:rFonts w:asciiTheme="minorHAnsi" w:hAnsiTheme="minorHAnsi" w:cstheme="minorHAnsi"/>
                <w:sz w:val="24"/>
                <w:szCs w:val="24"/>
              </w:rPr>
              <w:tab/>
              <w:t>Regulator renewed registration for a shorter than maximum period</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722DF41" w14:textId="77777777" w:rsidR="00A26221" w:rsidRDefault="00A26221" w:rsidP="00E277DF">
            <w:pPr>
              <w:pStyle w:val="subsection"/>
              <w:spacing w:before="0"/>
              <w:ind w:left="0" w:firstLine="0"/>
              <w:jc w:val="center"/>
              <w:rPr>
                <w:rFonts w:asciiTheme="minorHAnsi" w:hAnsiTheme="minorHAnsi" w:cstheme="minorHAnsi"/>
                <w:sz w:val="24"/>
                <w:szCs w:val="24"/>
              </w:rPr>
            </w:pPr>
          </w:p>
          <w:p w14:paraId="56C125D0" w14:textId="77777777" w:rsidR="00A26221" w:rsidRDefault="00A26221" w:rsidP="00E277DF">
            <w:pPr>
              <w:pStyle w:val="subsection"/>
              <w:spacing w:before="0"/>
              <w:ind w:left="0" w:firstLine="0"/>
              <w:jc w:val="center"/>
              <w:rPr>
                <w:rFonts w:asciiTheme="minorHAnsi" w:hAnsiTheme="minorHAnsi" w:cstheme="minorHAnsi"/>
                <w:sz w:val="24"/>
                <w:szCs w:val="24"/>
              </w:rPr>
            </w:pPr>
          </w:p>
          <w:p w14:paraId="2687C2CD" w14:textId="77777777" w:rsidR="00A26221" w:rsidRDefault="00A26221" w:rsidP="00E277DF">
            <w:pPr>
              <w:pStyle w:val="subsection"/>
              <w:spacing w:before="0"/>
              <w:ind w:left="0" w:firstLine="0"/>
              <w:jc w:val="center"/>
              <w:rPr>
                <w:rFonts w:asciiTheme="minorHAnsi" w:hAnsiTheme="minorHAnsi" w:cstheme="minorHAnsi"/>
                <w:sz w:val="24"/>
                <w:szCs w:val="24"/>
              </w:rPr>
            </w:pPr>
          </w:p>
          <w:p w14:paraId="2A6A2ABC" w14:textId="77777777" w:rsidR="00A26221" w:rsidRDefault="00A26221" w:rsidP="00E277DF">
            <w:pPr>
              <w:pStyle w:val="subsection"/>
              <w:spacing w:before="0"/>
              <w:ind w:left="0" w:firstLine="0"/>
              <w:jc w:val="center"/>
              <w:rPr>
                <w:rFonts w:asciiTheme="minorHAnsi" w:hAnsiTheme="minorHAnsi" w:cstheme="minorHAnsi"/>
                <w:sz w:val="24"/>
                <w:szCs w:val="24"/>
              </w:rPr>
            </w:pPr>
          </w:p>
          <w:p w14:paraId="1428F92A" w14:textId="77777777" w:rsidR="00A26221" w:rsidRDefault="00A26221" w:rsidP="00E277DF">
            <w:pPr>
              <w:pStyle w:val="subsection"/>
              <w:spacing w:before="0"/>
              <w:ind w:left="0" w:firstLine="0"/>
              <w:jc w:val="center"/>
              <w:rPr>
                <w:rFonts w:asciiTheme="minorHAnsi" w:hAnsiTheme="minorHAnsi" w:cstheme="minorHAnsi"/>
                <w:sz w:val="24"/>
                <w:szCs w:val="24"/>
              </w:rPr>
            </w:pPr>
          </w:p>
          <w:p w14:paraId="21671B12" w14:textId="77777777" w:rsidR="00A26221" w:rsidRDefault="00A26221" w:rsidP="00E277DF">
            <w:pPr>
              <w:pStyle w:val="subsection"/>
              <w:spacing w:before="0"/>
              <w:ind w:left="0" w:firstLine="0"/>
              <w:jc w:val="center"/>
              <w:rPr>
                <w:rFonts w:asciiTheme="minorHAnsi" w:hAnsiTheme="minorHAnsi" w:cstheme="minorHAnsi"/>
                <w:sz w:val="24"/>
                <w:szCs w:val="24"/>
              </w:rPr>
            </w:pPr>
          </w:p>
          <w:p w14:paraId="643A64CC" w14:textId="0B863C10" w:rsidR="008C1FEE" w:rsidRPr="00415C64" w:rsidRDefault="008C1FEE" w:rsidP="00E277DF">
            <w:pPr>
              <w:pStyle w:val="subsection"/>
              <w:spacing w:before="0"/>
              <w:ind w:left="0" w:firstLine="0"/>
              <w:jc w:val="center"/>
              <w:rPr>
                <w:rFonts w:asciiTheme="minorHAnsi" w:hAnsiTheme="minorHAnsi" w:cstheme="minorHAnsi"/>
                <w:sz w:val="24"/>
                <w:szCs w:val="24"/>
              </w:rPr>
            </w:pPr>
            <w:r w:rsidRPr="00415C64">
              <w:rPr>
                <w:rFonts w:asciiTheme="minorHAnsi" w:hAnsiTheme="minorHAnsi" w:cstheme="minorHAnsi"/>
                <w:sz w:val="24"/>
                <w:szCs w:val="24"/>
              </w:rPr>
              <w:t>2.0</w:t>
            </w:r>
          </w:p>
          <w:p w14:paraId="56ECEEC8" w14:textId="77777777" w:rsidR="008C1FEE" w:rsidRPr="00415C64" w:rsidRDefault="008C1FEE" w:rsidP="00E277DF">
            <w:pPr>
              <w:pStyle w:val="subsection"/>
              <w:spacing w:before="0"/>
              <w:ind w:left="0" w:firstLine="0"/>
              <w:jc w:val="center"/>
              <w:rPr>
                <w:rFonts w:asciiTheme="minorHAnsi" w:hAnsiTheme="minorHAnsi" w:cstheme="minorHAnsi"/>
                <w:sz w:val="24"/>
                <w:szCs w:val="24"/>
              </w:rPr>
            </w:pPr>
          </w:p>
          <w:p w14:paraId="5A915E00" w14:textId="77777777" w:rsidR="008C1FEE" w:rsidRPr="00415C64" w:rsidRDefault="008C1FEE" w:rsidP="00E277DF">
            <w:pPr>
              <w:pStyle w:val="subsection"/>
              <w:spacing w:before="0"/>
              <w:ind w:left="0" w:firstLine="0"/>
              <w:jc w:val="center"/>
              <w:rPr>
                <w:rFonts w:asciiTheme="minorHAnsi" w:hAnsiTheme="minorHAnsi" w:cstheme="minorHAnsi"/>
                <w:sz w:val="24"/>
                <w:szCs w:val="24"/>
              </w:rPr>
            </w:pPr>
          </w:p>
          <w:p w14:paraId="15CFFCB2" w14:textId="77777777" w:rsidR="008C1FEE" w:rsidRPr="00415C64" w:rsidRDefault="008C1FEE" w:rsidP="00E277DF">
            <w:pPr>
              <w:pStyle w:val="subsection"/>
              <w:spacing w:before="0"/>
              <w:ind w:left="0" w:firstLine="0"/>
              <w:jc w:val="center"/>
              <w:rPr>
                <w:rFonts w:asciiTheme="minorHAnsi" w:hAnsiTheme="minorHAnsi" w:cstheme="minorHAnsi"/>
                <w:sz w:val="24"/>
                <w:szCs w:val="24"/>
              </w:rPr>
            </w:pPr>
          </w:p>
          <w:p w14:paraId="671DF235" w14:textId="77777777" w:rsidR="008C1FEE" w:rsidRPr="00415C64" w:rsidRDefault="008C1FEE" w:rsidP="00E277DF">
            <w:pPr>
              <w:pStyle w:val="subsection"/>
              <w:spacing w:before="0"/>
              <w:ind w:left="0" w:firstLine="0"/>
              <w:jc w:val="center"/>
              <w:rPr>
                <w:rFonts w:asciiTheme="minorHAnsi" w:hAnsiTheme="minorHAnsi" w:cstheme="minorHAnsi"/>
                <w:sz w:val="24"/>
                <w:szCs w:val="24"/>
              </w:rPr>
            </w:pPr>
          </w:p>
          <w:p w14:paraId="02E1C847" w14:textId="77777777" w:rsidR="008C1FEE" w:rsidRPr="00415C64" w:rsidRDefault="008C1FEE" w:rsidP="00E277DF">
            <w:pPr>
              <w:pStyle w:val="subsection"/>
              <w:spacing w:before="0"/>
              <w:ind w:left="0" w:firstLine="0"/>
              <w:jc w:val="center"/>
              <w:rPr>
                <w:rFonts w:asciiTheme="minorHAnsi" w:hAnsiTheme="minorHAnsi" w:cstheme="minorHAnsi"/>
                <w:sz w:val="24"/>
                <w:szCs w:val="24"/>
              </w:rPr>
            </w:pPr>
          </w:p>
          <w:p w14:paraId="2ACD0A49" w14:textId="77777777" w:rsidR="008C1FEE" w:rsidRPr="00415C64" w:rsidRDefault="008C1FEE" w:rsidP="00E277DF">
            <w:pPr>
              <w:pStyle w:val="subsection"/>
              <w:spacing w:before="0"/>
              <w:ind w:left="0" w:firstLine="0"/>
              <w:jc w:val="center"/>
              <w:rPr>
                <w:rFonts w:asciiTheme="minorHAnsi" w:hAnsiTheme="minorHAnsi" w:cstheme="minorHAnsi"/>
                <w:sz w:val="24"/>
                <w:szCs w:val="24"/>
              </w:rPr>
            </w:pPr>
          </w:p>
          <w:p w14:paraId="171058BC" w14:textId="77777777" w:rsidR="00D157FA" w:rsidRDefault="00D157FA" w:rsidP="00E277DF">
            <w:pPr>
              <w:pStyle w:val="subsection"/>
              <w:spacing w:before="0"/>
              <w:ind w:left="0" w:firstLine="0"/>
              <w:jc w:val="center"/>
              <w:rPr>
                <w:rFonts w:asciiTheme="minorHAnsi" w:hAnsiTheme="minorHAnsi" w:cstheme="minorHAnsi"/>
                <w:sz w:val="24"/>
                <w:szCs w:val="24"/>
              </w:rPr>
            </w:pPr>
          </w:p>
          <w:p w14:paraId="53C39F9B" w14:textId="77777777" w:rsidR="00A26221" w:rsidRDefault="00A26221" w:rsidP="00E277DF">
            <w:pPr>
              <w:pStyle w:val="subsection"/>
              <w:spacing w:before="0"/>
              <w:ind w:left="0" w:firstLine="0"/>
              <w:jc w:val="center"/>
              <w:rPr>
                <w:rFonts w:asciiTheme="minorHAnsi" w:hAnsiTheme="minorHAnsi" w:cstheme="minorHAnsi"/>
                <w:sz w:val="24"/>
                <w:szCs w:val="24"/>
              </w:rPr>
            </w:pPr>
          </w:p>
          <w:p w14:paraId="6928CFFA" w14:textId="4AD4761A" w:rsidR="008C1FEE" w:rsidRPr="00415C64" w:rsidRDefault="008C1FEE" w:rsidP="00E277DF">
            <w:pPr>
              <w:pStyle w:val="subsection"/>
              <w:spacing w:before="0"/>
              <w:ind w:left="0" w:firstLine="0"/>
              <w:jc w:val="center"/>
              <w:rPr>
                <w:rFonts w:asciiTheme="minorHAnsi" w:hAnsiTheme="minorHAnsi" w:cstheme="minorHAnsi"/>
                <w:sz w:val="24"/>
                <w:szCs w:val="24"/>
              </w:rPr>
            </w:pPr>
            <w:r w:rsidRPr="00415C64">
              <w:rPr>
                <w:rFonts w:asciiTheme="minorHAnsi" w:hAnsiTheme="minorHAnsi" w:cstheme="minorHAnsi"/>
                <w:sz w:val="24"/>
                <w:szCs w:val="24"/>
              </w:rPr>
              <w:t>0.9</w:t>
            </w:r>
          </w:p>
          <w:p w14:paraId="5DBFA60D" w14:textId="77777777" w:rsidR="008C1FEE" w:rsidRPr="00415C64" w:rsidRDefault="008C1FEE" w:rsidP="00E277DF">
            <w:pPr>
              <w:pStyle w:val="subsection"/>
              <w:spacing w:before="0"/>
              <w:ind w:left="0" w:firstLine="0"/>
              <w:jc w:val="center"/>
              <w:rPr>
                <w:rFonts w:asciiTheme="minorHAnsi" w:hAnsiTheme="minorHAnsi" w:cstheme="minorHAnsi"/>
                <w:sz w:val="24"/>
                <w:szCs w:val="24"/>
              </w:rPr>
            </w:pPr>
          </w:p>
          <w:p w14:paraId="1C5220B5" w14:textId="77777777" w:rsidR="008C1FEE" w:rsidRPr="00415C64" w:rsidRDefault="008C1FEE" w:rsidP="00E277DF">
            <w:pPr>
              <w:pStyle w:val="subsection"/>
              <w:spacing w:before="0"/>
              <w:ind w:left="0" w:firstLine="0"/>
              <w:jc w:val="center"/>
              <w:rPr>
                <w:rFonts w:asciiTheme="minorHAnsi" w:hAnsiTheme="minorHAnsi" w:cstheme="minorHAnsi"/>
                <w:sz w:val="24"/>
                <w:szCs w:val="24"/>
              </w:rPr>
            </w:pPr>
          </w:p>
          <w:p w14:paraId="15BD8D62" w14:textId="77777777" w:rsidR="008C1FEE" w:rsidRPr="00415C64" w:rsidRDefault="008C1FEE" w:rsidP="00E277DF">
            <w:pPr>
              <w:pStyle w:val="subsection"/>
              <w:spacing w:before="0"/>
              <w:ind w:left="0" w:firstLine="0"/>
              <w:jc w:val="center"/>
              <w:rPr>
                <w:rFonts w:asciiTheme="minorHAnsi" w:hAnsiTheme="minorHAnsi" w:cstheme="minorHAnsi"/>
                <w:sz w:val="24"/>
                <w:szCs w:val="24"/>
              </w:rPr>
            </w:pPr>
            <w:r w:rsidRPr="00415C64">
              <w:rPr>
                <w:rFonts w:asciiTheme="minorHAnsi" w:hAnsiTheme="minorHAnsi" w:cstheme="minorHAnsi"/>
                <w:sz w:val="24"/>
                <w:szCs w:val="24"/>
              </w:rPr>
              <w:t>0.7</w:t>
            </w:r>
          </w:p>
          <w:p w14:paraId="23E5A2F9" w14:textId="77777777" w:rsidR="008C1FEE" w:rsidRPr="00415C64" w:rsidRDefault="008C1FEE" w:rsidP="00E277DF">
            <w:pPr>
              <w:pStyle w:val="subsection"/>
              <w:spacing w:before="0"/>
              <w:ind w:left="0" w:firstLine="0"/>
              <w:jc w:val="center"/>
              <w:rPr>
                <w:rFonts w:asciiTheme="minorHAnsi" w:hAnsiTheme="minorHAnsi" w:cstheme="minorHAnsi"/>
                <w:sz w:val="24"/>
                <w:szCs w:val="24"/>
              </w:rPr>
            </w:pPr>
          </w:p>
          <w:p w14:paraId="3BA9F10A" w14:textId="77777777" w:rsidR="008C1FEE" w:rsidRPr="00415C64" w:rsidRDefault="008C1FEE" w:rsidP="00E277DF">
            <w:pPr>
              <w:pStyle w:val="subsection"/>
              <w:spacing w:before="0"/>
              <w:ind w:left="0" w:firstLine="0"/>
              <w:jc w:val="center"/>
              <w:rPr>
                <w:rFonts w:asciiTheme="minorHAnsi" w:hAnsiTheme="minorHAnsi" w:cstheme="minorHAnsi"/>
                <w:sz w:val="24"/>
                <w:szCs w:val="24"/>
              </w:rPr>
            </w:pPr>
          </w:p>
          <w:p w14:paraId="66A2A6D3" w14:textId="77777777" w:rsidR="008C1FEE" w:rsidRDefault="008C1FEE" w:rsidP="00E277DF">
            <w:pPr>
              <w:pStyle w:val="subsection"/>
              <w:spacing w:before="0"/>
              <w:ind w:left="0" w:firstLine="0"/>
              <w:jc w:val="center"/>
              <w:rPr>
                <w:rFonts w:asciiTheme="minorHAnsi" w:hAnsiTheme="minorHAnsi" w:cstheme="minorHAnsi"/>
                <w:sz w:val="24"/>
                <w:szCs w:val="24"/>
              </w:rPr>
            </w:pPr>
            <w:r w:rsidRPr="00415C64">
              <w:rPr>
                <w:rFonts w:asciiTheme="minorHAnsi" w:hAnsiTheme="minorHAnsi" w:cstheme="minorHAnsi"/>
                <w:sz w:val="24"/>
                <w:szCs w:val="24"/>
              </w:rPr>
              <w:t>0.0</w:t>
            </w:r>
          </w:p>
          <w:p w14:paraId="1B2E00DC" w14:textId="77777777" w:rsidR="00A26221" w:rsidRDefault="00A26221" w:rsidP="00E277DF">
            <w:pPr>
              <w:pStyle w:val="subsection"/>
              <w:spacing w:before="0"/>
              <w:ind w:left="0" w:firstLine="0"/>
              <w:jc w:val="center"/>
              <w:rPr>
                <w:rFonts w:asciiTheme="minorHAnsi" w:hAnsiTheme="minorHAnsi" w:cstheme="minorHAnsi"/>
                <w:sz w:val="24"/>
                <w:szCs w:val="24"/>
                <w:highlight w:val="yellow"/>
              </w:rPr>
            </w:pPr>
          </w:p>
          <w:p w14:paraId="41141C14" w14:textId="2CB0D132" w:rsidR="00A26221" w:rsidRDefault="00A26221" w:rsidP="00E277DF">
            <w:pPr>
              <w:pStyle w:val="subsection"/>
              <w:spacing w:before="0"/>
              <w:ind w:left="0" w:firstLine="0"/>
              <w:jc w:val="center"/>
              <w:rPr>
                <w:rFonts w:asciiTheme="minorHAnsi" w:hAnsiTheme="minorHAnsi" w:cstheme="minorHAnsi"/>
                <w:sz w:val="24"/>
                <w:szCs w:val="24"/>
                <w:highlight w:val="yellow"/>
              </w:rPr>
            </w:pPr>
          </w:p>
          <w:p w14:paraId="16564083" w14:textId="77777777" w:rsidR="00A26221" w:rsidRDefault="00A26221" w:rsidP="00E277DF">
            <w:pPr>
              <w:pStyle w:val="subsection"/>
              <w:spacing w:before="0"/>
              <w:ind w:left="0" w:firstLine="0"/>
              <w:jc w:val="center"/>
              <w:rPr>
                <w:rFonts w:asciiTheme="minorHAnsi" w:hAnsiTheme="minorHAnsi" w:cstheme="minorHAnsi"/>
                <w:sz w:val="24"/>
                <w:szCs w:val="24"/>
                <w:highlight w:val="yellow"/>
              </w:rPr>
            </w:pPr>
          </w:p>
          <w:p w14:paraId="1C8D905E" w14:textId="77777777" w:rsidR="00A26221" w:rsidRDefault="00A26221" w:rsidP="00E277DF">
            <w:pPr>
              <w:pStyle w:val="subsection"/>
              <w:spacing w:before="0"/>
              <w:ind w:left="0" w:firstLine="0"/>
              <w:jc w:val="center"/>
              <w:rPr>
                <w:rFonts w:asciiTheme="minorHAnsi" w:hAnsiTheme="minorHAnsi" w:cstheme="minorHAnsi"/>
                <w:sz w:val="24"/>
                <w:szCs w:val="24"/>
                <w:highlight w:val="yellow"/>
              </w:rPr>
            </w:pPr>
          </w:p>
          <w:p w14:paraId="7066A331" w14:textId="77777777" w:rsidR="00A26221" w:rsidRPr="002701C9" w:rsidRDefault="00A26221" w:rsidP="00E277DF">
            <w:pPr>
              <w:pStyle w:val="subsection"/>
              <w:spacing w:before="0"/>
              <w:ind w:left="0" w:firstLine="0"/>
              <w:jc w:val="center"/>
              <w:rPr>
                <w:rFonts w:asciiTheme="minorHAnsi" w:hAnsiTheme="minorHAnsi" w:cstheme="minorHAnsi"/>
                <w:sz w:val="24"/>
                <w:szCs w:val="24"/>
              </w:rPr>
            </w:pPr>
            <w:r w:rsidRPr="002701C9">
              <w:rPr>
                <w:rFonts w:asciiTheme="minorHAnsi" w:hAnsiTheme="minorHAnsi" w:cstheme="minorHAnsi"/>
                <w:sz w:val="24"/>
                <w:szCs w:val="24"/>
              </w:rPr>
              <w:t>1.0</w:t>
            </w:r>
          </w:p>
          <w:p w14:paraId="1B34421D" w14:textId="77777777" w:rsidR="00A26221" w:rsidRPr="002701C9" w:rsidRDefault="00A26221" w:rsidP="00E277DF">
            <w:pPr>
              <w:pStyle w:val="subsection"/>
              <w:spacing w:before="0"/>
              <w:ind w:left="0" w:firstLine="0"/>
              <w:jc w:val="center"/>
              <w:rPr>
                <w:rFonts w:asciiTheme="minorHAnsi" w:hAnsiTheme="minorHAnsi" w:cstheme="minorHAnsi"/>
                <w:sz w:val="24"/>
                <w:szCs w:val="24"/>
              </w:rPr>
            </w:pPr>
          </w:p>
          <w:p w14:paraId="2A186C9D" w14:textId="77777777" w:rsidR="00A26221" w:rsidRPr="002701C9" w:rsidRDefault="00A26221" w:rsidP="00E277DF">
            <w:pPr>
              <w:pStyle w:val="subsection"/>
              <w:spacing w:before="0"/>
              <w:ind w:left="0" w:firstLine="0"/>
              <w:jc w:val="center"/>
              <w:rPr>
                <w:rFonts w:asciiTheme="minorHAnsi" w:hAnsiTheme="minorHAnsi" w:cstheme="minorHAnsi"/>
                <w:sz w:val="24"/>
                <w:szCs w:val="24"/>
              </w:rPr>
            </w:pPr>
          </w:p>
          <w:p w14:paraId="0190EA86" w14:textId="7C5F931A" w:rsidR="00A26221" w:rsidRPr="000C56E9" w:rsidRDefault="00A26221" w:rsidP="00E277DF">
            <w:pPr>
              <w:pStyle w:val="subsection"/>
              <w:spacing w:before="0"/>
              <w:ind w:left="0" w:firstLine="0"/>
              <w:jc w:val="center"/>
              <w:rPr>
                <w:rFonts w:asciiTheme="minorHAnsi" w:hAnsiTheme="minorHAnsi" w:cstheme="minorHAnsi"/>
                <w:sz w:val="24"/>
                <w:szCs w:val="24"/>
                <w:highlight w:val="yellow"/>
              </w:rPr>
            </w:pPr>
            <w:r w:rsidRPr="002701C9">
              <w:rPr>
                <w:rFonts w:asciiTheme="minorHAnsi" w:hAnsiTheme="minorHAnsi" w:cstheme="minorHAnsi"/>
                <w:sz w:val="24"/>
                <w:szCs w:val="24"/>
              </w:rPr>
              <w:t>1.0</w:t>
            </w:r>
          </w:p>
        </w:tc>
      </w:tr>
    </w:tbl>
    <w:p w14:paraId="1EE22CFA" w14:textId="77777777" w:rsidR="008C1FEE" w:rsidRPr="008C1FEE" w:rsidRDefault="008C1FEE" w:rsidP="008C1FEE">
      <w:pPr>
        <w:contextualSpacing/>
        <w:rPr>
          <w:rFonts w:ascii="Arial" w:hAnsi="Arial" w:cs="Arial"/>
          <w:szCs w:val="24"/>
        </w:rPr>
      </w:pPr>
    </w:p>
    <w:sectPr w:rsidR="008C1FEE" w:rsidRPr="008C1FEE" w:rsidSect="00D157F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AFE15" w14:textId="77777777" w:rsidR="008C1FEE" w:rsidRDefault="008C1FEE" w:rsidP="008C1FEE">
      <w:r>
        <w:separator/>
      </w:r>
    </w:p>
  </w:endnote>
  <w:endnote w:type="continuationSeparator" w:id="0">
    <w:p w14:paraId="03278520" w14:textId="77777777" w:rsidR="008C1FEE" w:rsidRDefault="008C1FEE" w:rsidP="008C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54994" w14:textId="77777777" w:rsidR="007747EF" w:rsidRDefault="00774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272DA" w14:textId="77777777" w:rsidR="007747EF" w:rsidRDefault="007747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CDF63" w14:textId="77777777" w:rsidR="007747EF" w:rsidRDefault="00774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43A6A" w14:textId="77777777" w:rsidR="008C1FEE" w:rsidRDefault="008C1FEE" w:rsidP="008C1FEE">
      <w:r>
        <w:separator/>
      </w:r>
    </w:p>
  </w:footnote>
  <w:footnote w:type="continuationSeparator" w:id="0">
    <w:p w14:paraId="7DCACA39" w14:textId="77777777" w:rsidR="008C1FEE" w:rsidRDefault="008C1FEE" w:rsidP="008C1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9BC33" w14:textId="77777777" w:rsidR="007747EF" w:rsidRDefault="00774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1035C" w14:textId="2F13620D" w:rsidR="007747EF" w:rsidRDefault="007747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39D8D" w14:textId="21530DBB" w:rsidR="00270631" w:rsidRDefault="00D157FA">
    <w:pPr>
      <w:pStyle w:val="Header"/>
    </w:pPr>
    <w:r w:rsidRPr="00821168">
      <w:rPr>
        <w:noProof/>
        <w:lang w:eastAsia="en-AU"/>
      </w:rPr>
      <w:drawing>
        <wp:anchor distT="0" distB="0" distL="114300" distR="114300" simplePos="0" relativeHeight="251657216" behindDoc="0" locked="0" layoutInCell="1" allowOverlap="1" wp14:anchorId="272BD307" wp14:editId="574B70C2">
          <wp:simplePos x="0" y="0"/>
          <wp:positionH relativeFrom="column">
            <wp:posOffset>-885825</wp:posOffset>
          </wp:positionH>
          <wp:positionV relativeFrom="paragraph">
            <wp:posOffset>-429260</wp:posOffset>
          </wp:positionV>
          <wp:extent cx="7522754" cy="2232660"/>
          <wp:effectExtent l="0" t="0" r="2540" b="0"/>
          <wp:wrapNone/>
          <wp:docPr id="1" name="Picture 1" descr="Australian Government crest, Tuition Protection Service Advisory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13-0049 TPS Letterhead update (Tuition Protection Service)_dark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2754" cy="22326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096CDE"/>
    <w:multiLevelType w:val="hybridMultilevel"/>
    <w:tmpl w:val="836C4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48610A"/>
    <w:multiLevelType w:val="hybridMultilevel"/>
    <w:tmpl w:val="FC68C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187ADF"/>
    <w:multiLevelType w:val="hybridMultilevel"/>
    <w:tmpl w:val="32F09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FB37859"/>
    <w:multiLevelType w:val="hybridMultilevel"/>
    <w:tmpl w:val="8D7EA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FF7324D"/>
    <w:multiLevelType w:val="hybridMultilevel"/>
    <w:tmpl w:val="CC4AE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EE"/>
    <w:rsid w:val="000F0C81"/>
    <w:rsid w:val="00124335"/>
    <w:rsid w:val="001365E1"/>
    <w:rsid w:val="00143C75"/>
    <w:rsid w:val="002701C9"/>
    <w:rsid w:val="00270631"/>
    <w:rsid w:val="00294D99"/>
    <w:rsid w:val="00325DFC"/>
    <w:rsid w:val="00385B06"/>
    <w:rsid w:val="003D231F"/>
    <w:rsid w:val="0046575C"/>
    <w:rsid w:val="004A403A"/>
    <w:rsid w:val="00544E9A"/>
    <w:rsid w:val="00582047"/>
    <w:rsid w:val="00646B1C"/>
    <w:rsid w:val="006F42AD"/>
    <w:rsid w:val="00764812"/>
    <w:rsid w:val="007747EF"/>
    <w:rsid w:val="007772EC"/>
    <w:rsid w:val="007B3F6F"/>
    <w:rsid w:val="008225A6"/>
    <w:rsid w:val="008C1FEE"/>
    <w:rsid w:val="008C643E"/>
    <w:rsid w:val="009870EC"/>
    <w:rsid w:val="00A26221"/>
    <w:rsid w:val="00A36167"/>
    <w:rsid w:val="00AE2D14"/>
    <w:rsid w:val="00B16912"/>
    <w:rsid w:val="00CD4704"/>
    <w:rsid w:val="00D157FA"/>
    <w:rsid w:val="00D22A21"/>
    <w:rsid w:val="00D25669"/>
    <w:rsid w:val="00D5149F"/>
    <w:rsid w:val="00D924A4"/>
    <w:rsid w:val="00DA6989"/>
    <w:rsid w:val="00DB395A"/>
    <w:rsid w:val="00E55E72"/>
    <w:rsid w:val="00E67B82"/>
    <w:rsid w:val="00EA04CE"/>
    <w:rsid w:val="00F823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3E697"/>
  <w15:chartTrackingRefBased/>
  <w15:docId w15:val="{17F9517A-3F66-441C-92C0-21A4F262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List Paragraph2"/>
    <w:basedOn w:val="Normal"/>
    <w:link w:val="ListParagraphChar"/>
    <w:uiPriority w:val="34"/>
    <w:qFormat/>
    <w:rsid w:val="008C1FEE"/>
    <w:pPr>
      <w:ind w:left="567"/>
    </w:pPr>
  </w:style>
  <w:style w:type="character" w:customStyle="1" w:styleId="ListParagraphChar">
    <w:name w:val="List Paragraph Char"/>
    <w:aliases w:val="Recommendation Char,L Char,List Paragraph1 Char,List Paragraph11 Char,List Paragraph2 Char"/>
    <w:basedOn w:val="DefaultParagraphFont"/>
    <w:link w:val="ListParagraph"/>
    <w:uiPriority w:val="34"/>
    <w:locked/>
    <w:rsid w:val="008C1FEE"/>
    <w:rPr>
      <w:rFonts w:ascii="Times New Roman" w:eastAsia="Times New Roman" w:hAnsi="Times New Roman" w:cs="Times New Roman"/>
      <w:sz w:val="24"/>
      <w:szCs w:val="20"/>
    </w:rPr>
  </w:style>
  <w:style w:type="paragraph" w:customStyle="1" w:styleId="subsection">
    <w:name w:val="subsection"/>
    <w:aliases w:val="ss"/>
    <w:basedOn w:val="Normal"/>
    <w:link w:val="subsectionChar"/>
    <w:rsid w:val="008C1FEE"/>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8C1FEE"/>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8C1FEE"/>
    <w:pPr>
      <w:tabs>
        <w:tab w:val="center" w:pos="4513"/>
        <w:tab w:val="right" w:pos="9026"/>
      </w:tabs>
    </w:pPr>
  </w:style>
  <w:style w:type="character" w:customStyle="1" w:styleId="HeaderChar">
    <w:name w:val="Header Char"/>
    <w:basedOn w:val="DefaultParagraphFont"/>
    <w:link w:val="Header"/>
    <w:uiPriority w:val="99"/>
    <w:rsid w:val="008C1FE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1FEE"/>
    <w:pPr>
      <w:tabs>
        <w:tab w:val="center" w:pos="4513"/>
        <w:tab w:val="right" w:pos="9026"/>
      </w:tabs>
    </w:pPr>
  </w:style>
  <w:style w:type="character" w:customStyle="1" w:styleId="FooterChar">
    <w:name w:val="Footer Char"/>
    <w:basedOn w:val="DefaultParagraphFont"/>
    <w:link w:val="Footer"/>
    <w:uiPriority w:val="99"/>
    <w:rsid w:val="008C1FE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D4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70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F42AD"/>
    <w:rPr>
      <w:sz w:val="16"/>
      <w:szCs w:val="16"/>
    </w:rPr>
  </w:style>
  <w:style w:type="paragraph" w:styleId="CommentText">
    <w:name w:val="annotation text"/>
    <w:basedOn w:val="Normal"/>
    <w:link w:val="CommentTextChar"/>
    <w:uiPriority w:val="99"/>
    <w:semiHidden/>
    <w:unhideWhenUsed/>
    <w:rsid w:val="006F42AD"/>
    <w:rPr>
      <w:sz w:val="20"/>
    </w:rPr>
  </w:style>
  <w:style w:type="character" w:customStyle="1" w:styleId="CommentTextChar">
    <w:name w:val="Comment Text Char"/>
    <w:basedOn w:val="DefaultParagraphFont"/>
    <w:link w:val="CommentText"/>
    <w:uiPriority w:val="99"/>
    <w:semiHidden/>
    <w:rsid w:val="006F42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42AD"/>
    <w:rPr>
      <w:b/>
      <w:bCs/>
    </w:rPr>
  </w:style>
  <w:style w:type="character" w:customStyle="1" w:styleId="CommentSubjectChar">
    <w:name w:val="Comment Subject Char"/>
    <w:basedOn w:val="CommentTextChar"/>
    <w:link w:val="CommentSubject"/>
    <w:uiPriority w:val="99"/>
    <w:semiHidden/>
    <w:rsid w:val="006F42A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2DCF02-6212-4B79-8121-B23B7666B368}">
  <ds:schemaRefs>
    <ds:schemaRef ds:uri="http://schemas.microsoft.com/sharepoint/v3/contenttype/forms"/>
  </ds:schemaRefs>
</ds:datastoreItem>
</file>

<file path=customXml/itemProps2.xml><?xml version="1.0" encoding="utf-8"?>
<ds:datastoreItem xmlns:ds="http://schemas.openxmlformats.org/officeDocument/2006/customXml" ds:itemID="{7D560862-DBF6-4F39-B6B7-BD237F2D8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9BCEE4-A1B5-4DCF-906D-097ACDD4C3B0}">
  <ds:schemaRefs>
    <ds:schemaRef ds:uri="http://schemas.openxmlformats.org/officeDocument/2006/bibliography"/>
  </ds:schemaRefs>
</ds:datastoreItem>
</file>

<file path=customXml/itemProps4.xml><?xml version="1.0" encoding="utf-8"?>
<ds:datastoreItem xmlns:ds="http://schemas.openxmlformats.org/officeDocument/2006/customXml" ds:itemID="{B96C4052-1688-4B8A-85D9-1F2E0EE391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CANNOCK,Christian</dc:creator>
  <cp:keywords/>
  <dc:description/>
  <cp:lastModifiedBy>MANNIE,Ryan</cp:lastModifiedBy>
  <cp:revision>2</cp:revision>
  <cp:lastPrinted>2021-09-29T04:02:00Z</cp:lastPrinted>
  <dcterms:created xsi:type="dcterms:W3CDTF">2021-11-24T00:28:00Z</dcterms:created>
  <dcterms:modified xsi:type="dcterms:W3CDTF">2021-11-24T00:28:00Z</dcterms:modified>
</cp:coreProperties>
</file>