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28377" w14:textId="38C0270B" w:rsidR="004D306A" w:rsidRPr="005376CD" w:rsidRDefault="00896C08" w:rsidP="005376CD">
      <w:pPr>
        <w:pStyle w:val="TextIndent1"/>
        <w:ind w:left="0" w:firstLine="0"/>
        <w:rPr>
          <w:rFonts w:asciiTheme="majorHAnsi" w:eastAsiaTheme="minorHAnsi" w:hAnsiTheme="majorHAnsi" w:cstheme="majorHAnsi"/>
          <w:b/>
          <w:color w:val="FFFFFF" w:themeColor="background1"/>
          <w:sz w:val="56"/>
          <w:szCs w:val="56"/>
        </w:rPr>
      </w:pPr>
      <w:bookmarkStart w:id="0" w:name="_Toc20754969"/>
      <w:r w:rsidRPr="0051288C">
        <w:rPr>
          <w:noProof/>
          <w:lang w:eastAsia="en-AU"/>
        </w:rPr>
        <w:drawing>
          <wp:anchor distT="0" distB="0" distL="114300" distR="114300" simplePos="0" relativeHeight="251658248" behindDoc="1" locked="0" layoutInCell="1" allowOverlap="1" wp14:anchorId="16C1B354" wp14:editId="281B1E0F">
            <wp:simplePos x="0" y="0"/>
            <wp:positionH relativeFrom="page">
              <wp:posOffset>-8678</wp:posOffset>
            </wp:positionH>
            <wp:positionV relativeFrom="page">
              <wp:align>top</wp:align>
            </wp:positionV>
            <wp:extent cx="7560000" cy="10693741"/>
            <wp:effectExtent l="0" t="0" r="3175" b="0"/>
            <wp:wrapNone/>
            <wp:docPr id="27853" name="Picture 27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 name="Picture 2785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inorHAnsi" w:hAnsiTheme="majorHAnsi" w:cstheme="majorHAnsi"/>
            <w:b/>
            <w:sz w:val="56"/>
            <w:szCs w:val="56"/>
          </w:rPr>
          <w:id w:val="-1382318545"/>
          <w:docPartObj>
            <w:docPartGallery w:val="Cover Pages"/>
            <w:docPartUnique/>
          </w:docPartObj>
        </w:sdtPr>
        <w:sdtContent>
          <w:bookmarkStart w:id="1" w:name="_Hlk32324541"/>
          <w:sdt>
            <w:sdtPr>
              <w:rPr>
                <w:rFonts w:asciiTheme="majorHAnsi" w:eastAsiaTheme="minorHAnsi" w:hAnsiTheme="majorHAnsi" w:cstheme="majorHAnsi"/>
                <w:b/>
                <w:sz w:val="56"/>
                <w:szCs w:val="56"/>
              </w:rPr>
              <w:alias w:val="Title"/>
              <w:tag w:val=""/>
              <w:id w:val="954290450"/>
              <w:dataBinding w:prefixMappings="xmlns:ns0='http://purl.org/dc/elements/1.1/' xmlns:ns1='http://schemas.openxmlformats.org/package/2006/metadata/core-properties' " w:xpath="/ns1:coreProperties[1]/ns0:title[1]" w:storeItemID="{6C3C8BC8-F283-45AE-878A-BAB7291924A1}"/>
              <w:text/>
            </w:sdtPr>
            <w:sdtContent>
              <w:bookmarkStart w:id="2" w:name="_Hlk21706637"/>
              <w:r w:rsidR="001B6DD6" w:rsidRPr="00DC078B">
                <w:rPr>
                  <w:rFonts w:asciiTheme="majorHAnsi" w:eastAsiaTheme="minorHAnsi" w:hAnsiTheme="majorHAnsi" w:cstheme="majorHAnsi"/>
                  <w:b/>
                  <w:sz w:val="56"/>
                  <w:szCs w:val="56"/>
                </w:rPr>
                <w:t>UANP Review: Final Review Report</w:t>
              </w:r>
            </w:sdtContent>
          </w:sdt>
          <w:bookmarkEnd w:id="1"/>
          <w:bookmarkEnd w:id="2"/>
        </w:sdtContent>
      </w:sdt>
    </w:p>
    <w:p w14:paraId="4F4A465E" w14:textId="77777777" w:rsidR="004D306A" w:rsidRPr="00D21D65" w:rsidRDefault="00EB5E4A" w:rsidP="00D21D65">
      <w:pPr>
        <w:pStyle w:val="CoverPage-Client"/>
        <w:spacing w:before="240"/>
        <w:rPr>
          <w:rFonts w:cs="Segoe UI"/>
          <w:color w:val="00264D" w:themeColor="background2"/>
        </w:rPr>
      </w:pPr>
      <w:sdt>
        <w:sdtPr>
          <w:rPr>
            <w:rStyle w:val="CoverPage-ClientChar"/>
            <w:rFonts w:cs="Segoe UI"/>
            <w:color w:val="00264D" w:themeColor="background2"/>
            <w:szCs w:val="36"/>
          </w:rPr>
          <w:alias w:val="Subject"/>
          <w:tag w:val=""/>
          <w:id w:val="2019819806"/>
          <w:dataBinding w:prefixMappings="xmlns:ns0='http://purl.org/dc/elements/1.1/' xmlns:ns1='http://schemas.openxmlformats.org/package/2006/metadata/core-properties' " w:xpath="/ns1:coreProperties[1]/ns0:subject[1]" w:storeItemID="{6C3C8BC8-F283-45AE-878A-BAB7291924A1}"/>
          <w:text/>
        </w:sdtPr>
        <w:sdtContent>
          <w:r w:rsidR="0030442F" w:rsidRPr="00D21D65">
            <w:rPr>
              <w:rStyle w:val="CoverPage-ClientChar"/>
              <w:rFonts w:cs="Segoe UI"/>
              <w:color w:val="00264D" w:themeColor="background2"/>
              <w:szCs w:val="36"/>
            </w:rPr>
            <w:t>COAG Education Council</w:t>
          </w:r>
        </w:sdtContent>
      </w:sdt>
    </w:p>
    <w:p w14:paraId="311CEB66" w14:textId="77777777" w:rsidR="009D6937" w:rsidRDefault="00141ABF" w:rsidP="00D21D65">
      <w:pPr>
        <w:pStyle w:val="CoverPage-Date"/>
        <w:spacing w:before="120"/>
        <w:rPr>
          <w:rStyle w:val="CoverPage-DateChar"/>
          <w:rFonts w:cs="Segoe UI"/>
          <w:color w:val="auto"/>
          <w:sz w:val="20"/>
          <w:szCs w:val="20"/>
        </w:rPr>
      </w:pPr>
      <w:r w:rsidRPr="00DC078B">
        <w:rPr>
          <w:rStyle w:val="CoverPage-DateChar"/>
          <w:rFonts w:cs="Segoe UI"/>
          <w:color w:val="auto"/>
          <w:sz w:val="20"/>
          <w:szCs w:val="20"/>
        </w:rPr>
        <w:t xml:space="preserve">October 2020 (updated from </w:t>
      </w:r>
      <w:r w:rsidR="0083581D" w:rsidRPr="00DC078B">
        <w:rPr>
          <w:rStyle w:val="CoverPage-DateChar"/>
          <w:rFonts w:cs="Segoe UI"/>
          <w:color w:val="auto"/>
          <w:sz w:val="20"/>
          <w:szCs w:val="20"/>
        </w:rPr>
        <w:t>March 2020</w:t>
      </w:r>
      <w:r w:rsidRPr="00DC078B">
        <w:rPr>
          <w:rStyle w:val="CoverPage-DateChar"/>
          <w:rFonts w:cs="Segoe UI"/>
          <w:color w:val="auto"/>
          <w:sz w:val="20"/>
          <w:szCs w:val="20"/>
        </w:rPr>
        <w:t>)</w:t>
      </w:r>
    </w:p>
    <w:p w14:paraId="76D3AF95" w14:textId="0F605FD5" w:rsidR="00896C08" w:rsidRDefault="009D6937" w:rsidP="009D6937">
      <w:pPr>
        <w:spacing w:before="2400"/>
        <w:rPr>
          <w:rStyle w:val="CoverPage-DateChar"/>
          <w:rFonts w:eastAsiaTheme="minorHAnsi" w:cs="Segoe UI"/>
          <w:color w:val="FFFFFF" w:themeColor="background1"/>
          <w:sz w:val="20"/>
          <w:szCs w:val="20"/>
        </w:rPr>
      </w:pPr>
      <w:bookmarkStart w:id="3" w:name="_Ref24557052"/>
      <w:bookmarkEnd w:id="0"/>
      <w:bookmarkEnd w:id="3"/>
      <w:r>
        <w:rPr>
          <w:rStyle w:val="CoverPage-DateChar"/>
          <w:rFonts w:eastAsiaTheme="minorHAnsi" w:cs="Segoe UI"/>
          <w:color w:val="FFFFFF" w:themeColor="background1"/>
          <w:sz w:val="20"/>
          <w:szCs w:val="20"/>
        </w:rPr>
        <w:t>Nous 20 YEARS OF INFLUENCE</w:t>
      </w:r>
    </w:p>
    <w:p w14:paraId="2AFBDFEB" w14:textId="22A098A0" w:rsidR="00896C08" w:rsidRPr="00896C08" w:rsidRDefault="00896C08" w:rsidP="00896C08">
      <w:pPr>
        <w:sectPr w:rsidR="00896C08" w:rsidRPr="00896C08" w:rsidSect="009D6937">
          <w:headerReference w:type="default" r:id="rId13"/>
          <w:footerReference w:type="default" r:id="rId14"/>
          <w:headerReference w:type="first" r:id="rId15"/>
          <w:footerReference w:type="first" r:id="rId16"/>
          <w:pgSz w:w="11907" w:h="16839" w:code="9"/>
          <w:pgMar w:top="11544" w:right="1418" w:bottom="50" w:left="1559" w:header="737" w:footer="567" w:gutter="0"/>
          <w:pgNumType w:start="0"/>
          <w:cols w:space="720"/>
          <w:titlePg/>
          <w:docGrid w:linePitch="360"/>
        </w:sectPr>
      </w:pPr>
    </w:p>
    <w:p w14:paraId="1BCA0D65" w14:textId="1BE7596F" w:rsidR="00F5196C" w:rsidRPr="006C6932" w:rsidRDefault="00F5196C" w:rsidP="00F5196C">
      <w:pPr>
        <w:ind w:right="-1"/>
        <w:rPr>
          <w:rFonts w:ascii="Segoe UI Semibold" w:hAnsi="Segoe UI Semibold" w:cs="Segoe UI Semibold"/>
          <w:i/>
          <w:sz w:val="16"/>
          <w:szCs w:val="16"/>
        </w:rPr>
      </w:pPr>
      <w:bookmarkStart w:id="4" w:name="_Hlk31729264"/>
      <w:r w:rsidRPr="006C6932">
        <w:rPr>
          <w:rFonts w:ascii="Segoe UI Semibold" w:hAnsi="Segoe UI Semibold" w:cs="Segoe UI Semibold"/>
          <w:i/>
          <w:sz w:val="16"/>
          <w:szCs w:val="16"/>
        </w:rPr>
        <w:lastRenderedPageBreak/>
        <w:t>Disclaimer:</w:t>
      </w:r>
    </w:p>
    <w:p w14:paraId="3170990F" w14:textId="117097D6" w:rsidR="00F5196C" w:rsidRPr="00130FFF" w:rsidRDefault="00F5196C" w:rsidP="00F5196C">
      <w:pPr>
        <w:ind w:right="-1"/>
        <w:rPr>
          <w:i/>
          <w:sz w:val="16"/>
          <w:szCs w:val="16"/>
        </w:rPr>
      </w:pPr>
      <w:r w:rsidRPr="00130FFF">
        <w:rPr>
          <w:i/>
          <w:sz w:val="16"/>
          <w:szCs w:val="16"/>
        </w:rPr>
        <w:t>Nous Group (</w:t>
      </w:r>
      <w:r w:rsidRPr="00632660">
        <w:rPr>
          <w:i/>
          <w:sz w:val="16"/>
          <w:szCs w:val="16"/>
        </w:rPr>
        <w:t>Nous</w:t>
      </w:r>
      <w:r w:rsidRPr="00130FFF">
        <w:rPr>
          <w:i/>
          <w:sz w:val="16"/>
          <w:szCs w:val="16"/>
        </w:rPr>
        <w:t xml:space="preserve">) has prepared this report for the benefit of </w:t>
      </w:r>
      <w:r w:rsidR="002B290B">
        <w:rPr>
          <w:i/>
          <w:sz w:val="16"/>
          <w:szCs w:val="16"/>
        </w:rPr>
        <w:t>the Australian Government Department of Education</w:t>
      </w:r>
      <w:r w:rsidR="005016E9">
        <w:rPr>
          <w:i/>
          <w:sz w:val="16"/>
          <w:szCs w:val="16"/>
        </w:rPr>
        <w:t>, Skills</w:t>
      </w:r>
      <w:r w:rsidR="00B07081">
        <w:rPr>
          <w:i/>
          <w:sz w:val="16"/>
          <w:szCs w:val="16"/>
        </w:rPr>
        <w:t xml:space="preserve"> and </w:t>
      </w:r>
      <w:r w:rsidR="005016E9">
        <w:rPr>
          <w:i/>
          <w:sz w:val="16"/>
          <w:szCs w:val="16"/>
        </w:rPr>
        <w:t>Employment</w:t>
      </w:r>
      <w:r w:rsidR="007A7065">
        <w:rPr>
          <w:i/>
          <w:sz w:val="16"/>
          <w:szCs w:val="16"/>
        </w:rPr>
        <w:t xml:space="preserve"> (the Client)</w:t>
      </w:r>
      <w:r w:rsidR="002B290B">
        <w:rPr>
          <w:i/>
          <w:sz w:val="16"/>
          <w:szCs w:val="16"/>
        </w:rPr>
        <w:t>.</w:t>
      </w:r>
    </w:p>
    <w:p w14:paraId="5AA89389" w14:textId="77777777" w:rsidR="00F5196C" w:rsidRPr="000970F6" w:rsidRDefault="00F5196C" w:rsidP="00F5196C">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76613369" w14:textId="77777777" w:rsidR="00F5196C" w:rsidRDefault="00F5196C" w:rsidP="00F5196C">
      <w:pPr>
        <w:rPr>
          <w:i/>
          <w:sz w:val="16"/>
          <w:szCs w:val="16"/>
        </w:r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bookmarkEnd w:id="4"/>
      <w:r w:rsidRPr="000970F6">
        <w:rPr>
          <w:i/>
          <w:sz w:val="16"/>
          <w:szCs w:val="16"/>
        </w:rPr>
        <w:t>.</w:t>
      </w:r>
    </w:p>
    <w:p w14:paraId="7D28FBF8" w14:textId="77777777" w:rsidR="00EB5E4A" w:rsidRPr="00FD4AB1" w:rsidRDefault="00EB5E4A" w:rsidP="00EB5E4A">
      <w:pPr>
        <w:spacing w:before="480"/>
        <w:rPr>
          <w:color w:val="A5A5A5"/>
        </w:rPr>
      </w:pPr>
      <w:r w:rsidRPr="00DC078B">
        <w:t>© Nous Group</w:t>
      </w:r>
    </w:p>
    <w:p w14:paraId="2D6502DF" w14:textId="77777777" w:rsidR="00DF46CC" w:rsidRPr="00EB5E4A" w:rsidRDefault="00DF46CC" w:rsidP="00DF46CC">
      <w:pPr>
        <w:rPr>
          <w:sz w:val="16"/>
          <w:szCs w:val="16"/>
        </w:rPr>
        <w:sectPr w:rsidR="00DF46CC" w:rsidRPr="00EB5E4A" w:rsidSect="00EB5E4A">
          <w:headerReference w:type="default" r:id="rId17"/>
          <w:footerReference w:type="default" r:id="rId18"/>
          <w:pgSz w:w="11907" w:h="16839" w:code="9"/>
          <w:pgMar w:top="11624" w:right="1418" w:bottom="1276" w:left="1559" w:header="737" w:footer="720" w:gutter="0"/>
          <w:pgNumType w:start="1"/>
          <w:cols w:space="720"/>
          <w:docGrid w:linePitch="360"/>
        </w:sectPr>
      </w:pPr>
    </w:p>
    <w:sdt>
      <w:sdtPr>
        <w:rPr>
          <w:rFonts w:ascii="Segoe UI" w:eastAsiaTheme="minorHAnsi" w:hAnsi="Segoe UI" w:cstheme="minorBidi"/>
          <w:color w:val="auto"/>
          <w:sz w:val="19"/>
          <w:szCs w:val="22"/>
          <w:lang w:val="en-AU"/>
        </w:rPr>
        <w:id w:val="-551464760"/>
        <w:docPartObj>
          <w:docPartGallery w:val="Table of Contents"/>
          <w:docPartUnique/>
        </w:docPartObj>
      </w:sdtPr>
      <w:sdtEndPr>
        <w:rPr>
          <w:b/>
          <w:bCs/>
          <w:noProof/>
        </w:rPr>
      </w:sdtEndPr>
      <w:sdtContent>
        <w:p w14:paraId="01A6B39B" w14:textId="155EBF8F" w:rsidR="00F5196C" w:rsidRPr="003A7FC6" w:rsidRDefault="00F5196C" w:rsidP="00F5196C">
          <w:pPr>
            <w:pStyle w:val="TOCHeading"/>
            <w:spacing w:before="0" w:after="600"/>
            <w:rPr>
              <w:rFonts w:asciiTheme="minorHAnsi" w:hAnsiTheme="minorHAnsi" w:cstheme="minorHAnsi"/>
              <w:b/>
              <w:color w:val="00264D" w:themeColor="background2"/>
              <w:sz w:val="36"/>
              <w:szCs w:val="36"/>
            </w:rPr>
          </w:pPr>
          <w:r w:rsidRPr="003A7FC6">
            <w:rPr>
              <w:rFonts w:asciiTheme="minorHAnsi" w:hAnsiTheme="minorHAnsi" w:cstheme="minorHAnsi"/>
              <w:b/>
              <w:color w:val="00264D" w:themeColor="background2"/>
              <w:sz w:val="36"/>
              <w:szCs w:val="36"/>
            </w:rPr>
            <w:t>Contents</w:t>
          </w:r>
        </w:p>
        <w:p w14:paraId="4E10B566" w14:textId="42739722" w:rsidR="00141ABF" w:rsidRDefault="00F5196C">
          <w:pPr>
            <w:pStyle w:val="TOC1"/>
            <w:rPr>
              <w:rFonts w:asciiTheme="minorHAnsi" w:eastAsiaTheme="minorEastAsia" w:hAnsiTheme="minorHAnsi"/>
              <w:sz w:val="22"/>
              <w:lang w:val="en-AU" w:eastAsia="en-AU"/>
            </w:rPr>
          </w:pPr>
          <w:r>
            <w:fldChar w:fldCharType="begin"/>
          </w:r>
          <w:r>
            <w:instrText xml:space="preserve"> TOC \o "1-2" \h \z \u </w:instrText>
          </w:r>
          <w:r>
            <w:fldChar w:fldCharType="separate"/>
          </w:r>
          <w:hyperlink w:anchor="_Toc54597765" w:history="1">
            <w:r w:rsidR="00141ABF" w:rsidRPr="00141ABF">
              <w:rPr>
                <w:rStyle w:val="Hyperlink"/>
                <w:rFonts w:eastAsia="Times New Roman" w:cs="Times New Roman"/>
                <w:lang w:eastAsia="en-AU"/>
              </w:rPr>
              <w:t>UANP Review: Key points</w:t>
            </w:r>
            <w:r w:rsidR="00141ABF">
              <w:rPr>
                <w:webHidden/>
              </w:rPr>
              <w:tab/>
            </w:r>
            <w:r w:rsidR="00141ABF">
              <w:rPr>
                <w:webHidden/>
              </w:rPr>
              <w:fldChar w:fldCharType="begin"/>
            </w:r>
            <w:r w:rsidR="00141ABF">
              <w:rPr>
                <w:webHidden/>
              </w:rPr>
              <w:instrText xml:space="preserve"> PAGEREF _Toc54597765 \h </w:instrText>
            </w:r>
            <w:r w:rsidR="00141ABF">
              <w:rPr>
                <w:webHidden/>
              </w:rPr>
            </w:r>
            <w:r w:rsidR="00141ABF">
              <w:rPr>
                <w:webHidden/>
              </w:rPr>
              <w:fldChar w:fldCharType="separate"/>
            </w:r>
            <w:r w:rsidR="00B37785">
              <w:rPr>
                <w:webHidden/>
              </w:rPr>
              <w:t>1</w:t>
            </w:r>
            <w:r w:rsidR="00141ABF">
              <w:rPr>
                <w:webHidden/>
              </w:rPr>
              <w:fldChar w:fldCharType="end"/>
            </w:r>
          </w:hyperlink>
        </w:p>
        <w:p w14:paraId="720BEED5" w14:textId="501332D1" w:rsidR="00141ABF" w:rsidRDefault="00EB5E4A">
          <w:pPr>
            <w:pStyle w:val="TOC1"/>
            <w:rPr>
              <w:rFonts w:asciiTheme="minorHAnsi" w:eastAsiaTheme="minorEastAsia" w:hAnsiTheme="minorHAnsi"/>
              <w:sz w:val="22"/>
              <w:lang w:val="en-AU" w:eastAsia="en-AU"/>
            </w:rPr>
          </w:pPr>
          <w:hyperlink w:anchor="_Toc54597766" w:history="1">
            <w:r w:rsidR="00141ABF" w:rsidRPr="00653288">
              <w:rPr>
                <w:rStyle w:val="Hyperlink"/>
              </w:rPr>
              <w:t>Executive summary</w:t>
            </w:r>
            <w:r w:rsidR="00141ABF">
              <w:rPr>
                <w:webHidden/>
              </w:rPr>
              <w:tab/>
            </w:r>
            <w:r w:rsidR="00141ABF">
              <w:rPr>
                <w:webHidden/>
              </w:rPr>
              <w:fldChar w:fldCharType="begin"/>
            </w:r>
            <w:r w:rsidR="00141ABF">
              <w:rPr>
                <w:webHidden/>
              </w:rPr>
              <w:instrText xml:space="preserve"> PAGEREF _Toc54597766 \h </w:instrText>
            </w:r>
            <w:r w:rsidR="00141ABF">
              <w:rPr>
                <w:webHidden/>
              </w:rPr>
            </w:r>
            <w:r w:rsidR="00141ABF">
              <w:rPr>
                <w:webHidden/>
              </w:rPr>
              <w:fldChar w:fldCharType="separate"/>
            </w:r>
            <w:r w:rsidR="00B37785">
              <w:rPr>
                <w:webHidden/>
              </w:rPr>
              <w:t>2</w:t>
            </w:r>
            <w:r w:rsidR="00141ABF">
              <w:rPr>
                <w:webHidden/>
              </w:rPr>
              <w:fldChar w:fldCharType="end"/>
            </w:r>
          </w:hyperlink>
        </w:p>
        <w:p w14:paraId="4ED646FB" w14:textId="65096A0A" w:rsidR="00141ABF" w:rsidRDefault="00EB5E4A">
          <w:pPr>
            <w:pStyle w:val="TOC1"/>
            <w:rPr>
              <w:rFonts w:asciiTheme="minorHAnsi" w:eastAsiaTheme="minorEastAsia" w:hAnsiTheme="minorHAnsi"/>
              <w:sz w:val="22"/>
              <w:lang w:val="en-AU" w:eastAsia="en-AU"/>
            </w:rPr>
          </w:pPr>
          <w:hyperlink w:anchor="_Toc54597767" w:history="1">
            <w:r w:rsidR="00141ABF" w:rsidRPr="00653288">
              <w:rPr>
                <w:rStyle w:val="Hyperlink"/>
              </w:rPr>
              <w:t>1</w:t>
            </w:r>
            <w:r w:rsidR="00141ABF">
              <w:rPr>
                <w:rFonts w:asciiTheme="minorHAnsi" w:eastAsiaTheme="minorEastAsia" w:hAnsiTheme="minorHAnsi"/>
                <w:sz w:val="22"/>
                <w:lang w:val="en-AU" w:eastAsia="en-AU"/>
              </w:rPr>
              <w:tab/>
            </w:r>
            <w:r w:rsidR="00141ABF" w:rsidRPr="00653288">
              <w:rPr>
                <w:rStyle w:val="Hyperlink"/>
              </w:rPr>
              <w:t>Background and context to the Review</w:t>
            </w:r>
            <w:r w:rsidR="00141ABF">
              <w:rPr>
                <w:webHidden/>
              </w:rPr>
              <w:tab/>
            </w:r>
            <w:r w:rsidR="00141ABF">
              <w:rPr>
                <w:webHidden/>
              </w:rPr>
              <w:fldChar w:fldCharType="begin"/>
            </w:r>
            <w:r w:rsidR="00141ABF">
              <w:rPr>
                <w:webHidden/>
              </w:rPr>
              <w:instrText xml:space="preserve"> PAGEREF _Toc54597767 \h </w:instrText>
            </w:r>
            <w:r w:rsidR="00141ABF">
              <w:rPr>
                <w:webHidden/>
              </w:rPr>
            </w:r>
            <w:r w:rsidR="00141ABF">
              <w:rPr>
                <w:webHidden/>
              </w:rPr>
              <w:fldChar w:fldCharType="separate"/>
            </w:r>
            <w:r w:rsidR="00B37785">
              <w:rPr>
                <w:webHidden/>
              </w:rPr>
              <w:t>17</w:t>
            </w:r>
            <w:r w:rsidR="00141ABF">
              <w:rPr>
                <w:webHidden/>
              </w:rPr>
              <w:fldChar w:fldCharType="end"/>
            </w:r>
          </w:hyperlink>
        </w:p>
        <w:p w14:paraId="0D6DF0B7" w14:textId="736186E1" w:rsidR="00141ABF" w:rsidRDefault="00EB5E4A">
          <w:pPr>
            <w:pStyle w:val="TOC2"/>
            <w:rPr>
              <w:rFonts w:asciiTheme="minorHAnsi" w:eastAsiaTheme="minorEastAsia" w:hAnsiTheme="minorHAnsi"/>
              <w:noProof/>
              <w:sz w:val="22"/>
              <w:lang w:val="en-AU" w:eastAsia="en-AU"/>
            </w:rPr>
          </w:pPr>
          <w:hyperlink w:anchor="_Toc54597768" w:history="1">
            <w:r w:rsidR="00141ABF" w:rsidRPr="00653288">
              <w:rPr>
                <w:rStyle w:val="Hyperlink"/>
                <w:noProof/>
              </w:rPr>
              <w:t>1.1</w:t>
            </w:r>
            <w:r w:rsidR="00141ABF">
              <w:rPr>
                <w:rFonts w:asciiTheme="minorHAnsi" w:eastAsiaTheme="minorEastAsia" w:hAnsiTheme="minorHAnsi"/>
                <w:noProof/>
                <w:sz w:val="22"/>
                <w:lang w:val="en-AU" w:eastAsia="en-AU"/>
              </w:rPr>
              <w:tab/>
            </w:r>
            <w:r w:rsidR="00141ABF" w:rsidRPr="00653288">
              <w:rPr>
                <w:rStyle w:val="Hyperlink"/>
                <w:noProof/>
              </w:rPr>
              <w:t>Australian governments commissioned the Review to inform future directions for governments’ funding for preschool</w:t>
            </w:r>
            <w:r w:rsidR="00141ABF">
              <w:rPr>
                <w:noProof/>
                <w:webHidden/>
              </w:rPr>
              <w:tab/>
            </w:r>
            <w:r w:rsidR="00141ABF">
              <w:rPr>
                <w:noProof/>
                <w:webHidden/>
              </w:rPr>
              <w:fldChar w:fldCharType="begin"/>
            </w:r>
            <w:r w:rsidR="00141ABF">
              <w:rPr>
                <w:noProof/>
                <w:webHidden/>
              </w:rPr>
              <w:instrText xml:space="preserve"> PAGEREF _Toc54597768 \h </w:instrText>
            </w:r>
            <w:r w:rsidR="00141ABF">
              <w:rPr>
                <w:noProof/>
                <w:webHidden/>
              </w:rPr>
            </w:r>
            <w:r w:rsidR="00141ABF">
              <w:rPr>
                <w:noProof/>
                <w:webHidden/>
              </w:rPr>
              <w:fldChar w:fldCharType="separate"/>
            </w:r>
            <w:r w:rsidR="00B37785">
              <w:rPr>
                <w:noProof/>
                <w:webHidden/>
              </w:rPr>
              <w:t>17</w:t>
            </w:r>
            <w:r w:rsidR="00141ABF">
              <w:rPr>
                <w:noProof/>
                <w:webHidden/>
              </w:rPr>
              <w:fldChar w:fldCharType="end"/>
            </w:r>
          </w:hyperlink>
        </w:p>
        <w:p w14:paraId="4DB854AD" w14:textId="7824CAB7" w:rsidR="00141ABF" w:rsidRDefault="00EB5E4A">
          <w:pPr>
            <w:pStyle w:val="TOC2"/>
            <w:rPr>
              <w:rFonts w:asciiTheme="minorHAnsi" w:eastAsiaTheme="minorEastAsia" w:hAnsiTheme="minorHAnsi"/>
              <w:noProof/>
              <w:sz w:val="22"/>
              <w:lang w:val="en-AU" w:eastAsia="en-AU"/>
            </w:rPr>
          </w:pPr>
          <w:hyperlink w:anchor="_Toc54597769" w:history="1">
            <w:r w:rsidR="00141ABF" w:rsidRPr="00653288">
              <w:rPr>
                <w:rStyle w:val="Hyperlink"/>
                <w:noProof/>
              </w:rPr>
              <w:t>1.2</w:t>
            </w:r>
            <w:r w:rsidR="00141ABF">
              <w:rPr>
                <w:rFonts w:asciiTheme="minorHAnsi" w:eastAsiaTheme="minorEastAsia" w:hAnsiTheme="minorHAnsi"/>
                <w:noProof/>
                <w:sz w:val="22"/>
                <w:lang w:val="en-AU" w:eastAsia="en-AU"/>
              </w:rPr>
              <w:tab/>
            </w:r>
            <w:r w:rsidR="00141ABF" w:rsidRPr="00653288">
              <w:rPr>
                <w:rStyle w:val="Hyperlink"/>
                <w:noProof/>
              </w:rPr>
              <w:t>The UANP expresses Australian governments’ shared commitment to lifting participation in quality preschool</w:t>
            </w:r>
            <w:r w:rsidR="00141ABF">
              <w:rPr>
                <w:noProof/>
                <w:webHidden/>
              </w:rPr>
              <w:tab/>
            </w:r>
            <w:r w:rsidR="00141ABF">
              <w:rPr>
                <w:noProof/>
                <w:webHidden/>
              </w:rPr>
              <w:fldChar w:fldCharType="begin"/>
            </w:r>
            <w:r w:rsidR="00141ABF">
              <w:rPr>
                <w:noProof/>
                <w:webHidden/>
              </w:rPr>
              <w:instrText xml:space="preserve"> PAGEREF _Toc54597769 \h </w:instrText>
            </w:r>
            <w:r w:rsidR="00141ABF">
              <w:rPr>
                <w:noProof/>
                <w:webHidden/>
              </w:rPr>
            </w:r>
            <w:r w:rsidR="00141ABF">
              <w:rPr>
                <w:noProof/>
                <w:webHidden/>
              </w:rPr>
              <w:fldChar w:fldCharType="separate"/>
            </w:r>
            <w:r w:rsidR="00B37785">
              <w:rPr>
                <w:noProof/>
                <w:webHidden/>
              </w:rPr>
              <w:t>17</w:t>
            </w:r>
            <w:r w:rsidR="00141ABF">
              <w:rPr>
                <w:noProof/>
                <w:webHidden/>
              </w:rPr>
              <w:fldChar w:fldCharType="end"/>
            </w:r>
          </w:hyperlink>
        </w:p>
        <w:p w14:paraId="33955388" w14:textId="297908A3" w:rsidR="00141ABF" w:rsidRDefault="00EB5E4A">
          <w:pPr>
            <w:pStyle w:val="TOC2"/>
            <w:rPr>
              <w:rFonts w:asciiTheme="minorHAnsi" w:eastAsiaTheme="minorEastAsia" w:hAnsiTheme="minorHAnsi"/>
              <w:noProof/>
              <w:sz w:val="22"/>
              <w:lang w:val="en-AU" w:eastAsia="en-AU"/>
            </w:rPr>
          </w:pPr>
          <w:hyperlink w:anchor="_Toc54597770" w:history="1">
            <w:r w:rsidR="00141ABF" w:rsidRPr="00653288">
              <w:rPr>
                <w:rStyle w:val="Hyperlink"/>
                <w:noProof/>
              </w:rPr>
              <w:t>1.3</w:t>
            </w:r>
            <w:r w:rsidR="00141ABF">
              <w:rPr>
                <w:rFonts w:asciiTheme="minorHAnsi" w:eastAsiaTheme="minorEastAsia" w:hAnsiTheme="minorHAnsi"/>
                <w:noProof/>
                <w:sz w:val="22"/>
                <w:lang w:val="en-AU" w:eastAsia="en-AU"/>
              </w:rPr>
              <w:tab/>
            </w:r>
            <w:r w:rsidR="00141ABF" w:rsidRPr="00653288">
              <w:rPr>
                <w:rStyle w:val="Hyperlink"/>
                <w:noProof/>
              </w:rPr>
              <w:t>UANP policy objectives and funding arrangements have evolved since the first UANP in 2008</w:t>
            </w:r>
            <w:r w:rsidR="00141ABF">
              <w:rPr>
                <w:noProof/>
                <w:webHidden/>
              </w:rPr>
              <w:tab/>
            </w:r>
            <w:r w:rsidR="00141ABF">
              <w:rPr>
                <w:noProof/>
                <w:webHidden/>
              </w:rPr>
              <w:fldChar w:fldCharType="begin"/>
            </w:r>
            <w:r w:rsidR="00141ABF">
              <w:rPr>
                <w:noProof/>
                <w:webHidden/>
              </w:rPr>
              <w:instrText xml:space="preserve"> PAGEREF _Toc54597770 \h </w:instrText>
            </w:r>
            <w:r w:rsidR="00141ABF">
              <w:rPr>
                <w:noProof/>
                <w:webHidden/>
              </w:rPr>
            </w:r>
            <w:r w:rsidR="00141ABF">
              <w:rPr>
                <w:noProof/>
                <w:webHidden/>
              </w:rPr>
              <w:fldChar w:fldCharType="separate"/>
            </w:r>
            <w:r w:rsidR="00B37785">
              <w:rPr>
                <w:noProof/>
                <w:webHidden/>
              </w:rPr>
              <w:t>18</w:t>
            </w:r>
            <w:r w:rsidR="00141ABF">
              <w:rPr>
                <w:noProof/>
                <w:webHidden/>
              </w:rPr>
              <w:fldChar w:fldCharType="end"/>
            </w:r>
          </w:hyperlink>
        </w:p>
        <w:p w14:paraId="02B2445A" w14:textId="62132944" w:rsidR="00141ABF" w:rsidRDefault="00EB5E4A">
          <w:pPr>
            <w:pStyle w:val="TOC2"/>
            <w:rPr>
              <w:rFonts w:asciiTheme="minorHAnsi" w:eastAsiaTheme="minorEastAsia" w:hAnsiTheme="minorHAnsi"/>
              <w:noProof/>
              <w:sz w:val="22"/>
              <w:lang w:val="en-AU" w:eastAsia="en-AU"/>
            </w:rPr>
          </w:pPr>
          <w:hyperlink w:anchor="_Toc54597771" w:history="1">
            <w:r w:rsidR="00141ABF" w:rsidRPr="00653288">
              <w:rPr>
                <w:rStyle w:val="Hyperlink"/>
                <w:noProof/>
              </w:rPr>
              <w:t>1.4</w:t>
            </w:r>
            <w:r w:rsidR="00141ABF">
              <w:rPr>
                <w:rFonts w:asciiTheme="minorHAnsi" w:eastAsiaTheme="minorEastAsia" w:hAnsiTheme="minorHAnsi"/>
                <w:noProof/>
                <w:sz w:val="22"/>
                <w:lang w:val="en-AU" w:eastAsia="en-AU"/>
              </w:rPr>
              <w:tab/>
            </w:r>
            <w:r w:rsidR="00141ABF" w:rsidRPr="00653288">
              <w:rPr>
                <w:rStyle w:val="Hyperlink"/>
                <w:noProof/>
              </w:rPr>
              <w:t>The UANP has been implemented in conjunction with several related arrangements and initiatives</w:t>
            </w:r>
            <w:r w:rsidR="00141ABF">
              <w:rPr>
                <w:noProof/>
                <w:webHidden/>
              </w:rPr>
              <w:tab/>
            </w:r>
            <w:r w:rsidR="00141ABF">
              <w:rPr>
                <w:noProof/>
                <w:webHidden/>
              </w:rPr>
              <w:fldChar w:fldCharType="begin"/>
            </w:r>
            <w:r w:rsidR="00141ABF">
              <w:rPr>
                <w:noProof/>
                <w:webHidden/>
              </w:rPr>
              <w:instrText xml:space="preserve"> PAGEREF _Toc54597771 \h </w:instrText>
            </w:r>
            <w:r w:rsidR="00141ABF">
              <w:rPr>
                <w:noProof/>
                <w:webHidden/>
              </w:rPr>
            </w:r>
            <w:r w:rsidR="00141ABF">
              <w:rPr>
                <w:noProof/>
                <w:webHidden/>
              </w:rPr>
              <w:fldChar w:fldCharType="separate"/>
            </w:r>
            <w:r w:rsidR="00B37785">
              <w:rPr>
                <w:noProof/>
                <w:webHidden/>
              </w:rPr>
              <w:t>22</w:t>
            </w:r>
            <w:r w:rsidR="00141ABF">
              <w:rPr>
                <w:noProof/>
                <w:webHidden/>
              </w:rPr>
              <w:fldChar w:fldCharType="end"/>
            </w:r>
          </w:hyperlink>
        </w:p>
        <w:p w14:paraId="0BF4F02A" w14:textId="1E7434D4" w:rsidR="00141ABF" w:rsidRDefault="00EB5E4A">
          <w:pPr>
            <w:pStyle w:val="TOC2"/>
            <w:rPr>
              <w:rFonts w:asciiTheme="minorHAnsi" w:eastAsiaTheme="minorEastAsia" w:hAnsiTheme="minorHAnsi"/>
              <w:noProof/>
              <w:sz w:val="22"/>
              <w:lang w:val="en-AU" w:eastAsia="en-AU"/>
            </w:rPr>
          </w:pPr>
          <w:hyperlink w:anchor="_Toc54597772" w:history="1">
            <w:r w:rsidR="00141ABF" w:rsidRPr="00653288">
              <w:rPr>
                <w:rStyle w:val="Hyperlink"/>
                <w:noProof/>
              </w:rPr>
              <w:t>1.5</w:t>
            </w:r>
            <w:r w:rsidR="00141ABF">
              <w:rPr>
                <w:rFonts w:asciiTheme="minorHAnsi" w:eastAsiaTheme="minorEastAsia" w:hAnsiTheme="minorHAnsi"/>
                <w:noProof/>
                <w:sz w:val="22"/>
                <w:lang w:val="en-AU" w:eastAsia="en-AU"/>
              </w:rPr>
              <w:tab/>
            </w:r>
            <w:r w:rsidR="00141ABF" w:rsidRPr="00653288">
              <w:rPr>
                <w:rStyle w:val="Hyperlink"/>
                <w:noProof/>
              </w:rPr>
              <w:t>The Review’s approach is guided by its Terms of Reference and the available data</w:t>
            </w:r>
            <w:r w:rsidR="00141ABF">
              <w:rPr>
                <w:noProof/>
                <w:webHidden/>
              </w:rPr>
              <w:tab/>
            </w:r>
            <w:r w:rsidR="00141ABF">
              <w:rPr>
                <w:noProof/>
                <w:webHidden/>
              </w:rPr>
              <w:fldChar w:fldCharType="begin"/>
            </w:r>
            <w:r w:rsidR="00141ABF">
              <w:rPr>
                <w:noProof/>
                <w:webHidden/>
              </w:rPr>
              <w:instrText xml:space="preserve"> PAGEREF _Toc54597772 \h </w:instrText>
            </w:r>
            <w:r w:rsidR="00141ABF">
              <w:rPr>
                <w:noProof/>
                <w:webHidden/>
              </w:rPr>
            </w:r>
            <w:r w:rsidR="00141ABF">
              <w:rPr>
                <w:noProof/>
                <w:webHidden/>
              </w:rPr>
              <w:fldChar w:fldCharType="separate"/>
            </w:r>
            <w:r w:rsidR="00B37785">
              <w:rPr>
                <w:noProof/>
                <w:webHidden/>
              </w:rPr>
              <w:t>23</w:t>
            </w:r>
            <w:r w:rsidR="00141ABF">
              <w:rPr>
                <w:noProof/>
                <w:webHidden/>
              </w:rPr>
              <w:fldChar w:fldCharType="end"/>
            </w:r>
          </w:hyperlink>
        </w:p>
        <w:p w14:paraId="4EAE28F7" w14:textId="18558A4C" w:rsidR="00141ABF" w:rsidRDefault="00EB5E4A">
          <w:pPr>
            <w:pStyle w:val="TOC1"/>
            <w:rPr>
              <w:rFonts w:asciiTheme="minorHAnsi" w:eastAsiaTheme="minorEastAsia" w:hAnsiTheme="minorHAnsi"/>
              <w:sz w:val="22"/>
              <w:lang w:val="en-AU" w:eastAsia="en-AU"/>
            </w:rPr>
          </w:pPr>
          <w:hyperlink w:anchor="_Toc54597773" w:history="1">
            <w:r w:rsidR="00141ABF" w:rsidRPr="00653288">
              <w:rPr>
                <w:rStyle w:val="Hyperlink"/>
              </w:rPr>
              <w:t>2</w:t>
            </w:r>
            <w:r w:rsidR="00141ABF">
              <w:rPr>
                <w:rFonts w:asciiTheme="minorHAnsi" w:eastAsiaTheme="minorEastAsia" w:hAnsiTheme="minorHAnsi"/>
                <w:sz w:val="22"/>
                <w:lang w:val="en-AU" w:eastAsia="en-AU"/>
              </w:rPr>
              <w:tab/>
            </w:r>
            <w:r w:rsidR="00141ABF" w:rsidRPr="00653288">
              <w:rPr>
                <w:rStyle w:val="Hyperlink"/>
              </w:rPr>
              <w:t>The UANP is delivered in a variety of contexts across Australia</w:t>
            </w:r>
            <w:r w:rsidR="00141ABF">
              <w:rPr>
                <w:webHidden/>
              </w:rPr>
              <w:tab/>
            </w:r>
            <w:r w:rsidR="00141ABF">
              <w:rPr>
                <w:webHidden/>
              </w:rPr>
              <w:fldChar w:fldCharType="begin"/>
            </w:r>
            <w:r w:rsidR="00141ABF">
              <w:rPr>
                <w:webHidden/>
              </w:rPr>
              <w:instrText xml:space="preserve"> PAGEREF _Toc54597773 \h </w:instrText>
            </w:r>
            <w:r w:rsidR="00141ABF">
              <w:rPr>
                <w:webHidden/>
              </w:rPr>
            </w:r>
            <w:r w:rsidR="00141ABF">
              <w:rPr>
                <w:webHidden/>
              </w:rPr>
              <w:fldChar w:fldCharType="separate"/>
            </w:r>
            <w:r w:rsidR="00B37785">
              <w:rPr>
                <w:webHidden/>
              </w:rPr>
              <w:t>24</w:t>
            </w:r>
            <w:r w:rsidR="00141ABF">
              <w:rPr>
                <w:webHidden/>
              </w:rPr>
              <w:fldChar w:fldCharType="end"/>
            </w:r>
          </w:hyperlink>
        </w:p>
        <w:p w14:paraId="0A6674ED" w14:textId="3D5A1D45" w:rsidR="00141ABF" w:rsidRDefault="00EB5E4A">
          <w:pPr>
            <w:pStyle w:val="TOC2"/>
            <w:rPr>
              <w:rFonts w:asciiTheme="minorHAnsi" w:eastAsiaTheme="minorEastAsia" w:hAnsiTheme="minorHAnsi"/>
              <w:noProof/>
              <w:sz w:val="22"/>
              <w:lang w:val="en-AU" w:eastAsia="en-AU"/>
            </w:rPr>
          </w:pPr>
          <w:hyperlink w:anchor="_Toc54597774" w:history="1">
            <w:r w:rsidR="00141ABF" w:rsidRPr="00653288">
              <w:rPr>
                <w:rStyle w:val="Hyperlink"/>
                <w:noProof/>
              </w:rPr>
              <w:t>2.1</w:t>
            </w:r>
            <w:r w:rsidR="00141ABF">
              <w:rPr>
                <w:rFonts w:asciiTheme="minorHAnsi" w:eastAsiaTheme="minorEastAsia" w:hAnsiTheme="minorHAnsi"/>
                <w:noProof/>
                <w:sz w:val="22"/>
                <w:lang w:val="en-AU" w:eastAsia="en-AU"/>
              </w:rPr>
              <w:tab/>
            </w:r>
            <w:r w:rsidR="00141ABF" w:rsidRPr="00653288">
              <w:rPr>
                <w:rStyle w:val="Hyperlink"/>
                <w:noProof/>
              </w:rPr>
              <w:t>Preschool sits within a broader education and care system</w:t>
            </w:r>
            <w:r w:rsidR="00141ABF">
              <w:rPr>
                <w:noProof/>
                <w:webHidden/>
              </w:rPr>
              <w:tab/>
            </w:r>
            <w:r w:rsidR="00141ABF">
              <w:rPr>
                <w:noProof/>
                <w:webHidden/>
              </w:rPr>
              <w:fldChar w:fldCharType="begin"/>
            </w:r>
            <w:r w:rsidR="00141ABF">
              <w:rPr>
                <w:noProof/>
                <w:webHidden/>
              </w:rPr>
              <w:instrText xml:space="preserve"> PAGEREF _Toc54597774 \h </w:instrText>
            </w:r>
            <w:r w:rsidR="00141ABF">
              <w:rPr>
                <w:noProof/>
                <w:webHidden/>
              </w:rPr>
            </w:r>
            <w:r w:rsidR="00141ABF">
              <w:rPr>
                <w:noProof/>
                <w:webHidden/>
              </w:rPr>
              <w:fldChar w:fldCharType="separate"/>
            </w:r>
            <w:r w:rsidR="00B37785">
              <w:rPr>
                <w:noProof/>
                <w:webHidden/>
              </w:rPr>
              <w:t>24</w:t>
            </w:r>
            <w:r w:rsidR="00141ABF">
              <w:rPr>
                <w:noProof/>
                <w:webHidden/>
              </w:rPr>
              <w:fldChar w:fldCharType="end"/>
            </w:r>
          </w:hyperlink>
        </w:p>
        <w:p w14:paraId="17A04D31" w14:textId="38BAD867" w:rsidR="00141ABF" w:rsidRDefault="00EB5E4A">
          <w:pPr>
            <w:pStyle w:val="TOC2"/>
            <w:rPr>
              <w:rFonts w:asciiTheme="minorHAnsi" w:eastAsiaTheme="minorEastAsia" w:hAnsiTheme="minorHAnsi"/>
              <w:noProof/>
              <w:sz w:val="22"/>
              <w:lang w:val="en-AU" w:eastAsia="en-AU"/>
            </w:rPr>
          </w:pPr>
          <w:hyperlink w:anchor="_Toc54597775" w:history="1">
            <w:r w:rsidR="00141ABF" w:rsidRPr="00653288">
              <w:rPr>
                <w:rStyle w:val="Hyperlink"/>
                <w:noProof/>
              </w:rPr>
              <w:t>2.2</w:t>
            </w:r>
            <w:r w:rsidR="00141ABF">
              <w:rPr>
                <w:rFonts w:asciiTheme="minorHAnsi" w:eastAsiaTheme="minorEastAsia" w:hAnsiTheme="minorHAnsi"/>
                <w:noProof/>
                <w:sz w:val="22"/>
                <w:lang w:val="en-AU" w:eastAsia="en-AU"/>
              </w:rPr>
              <w:tab/>
            </w:r>
            <w:r w:rsidR="00141ABF" w:rsidRPr="00653288">
              <w:rPr>
                <w:rStyle w:val="Hyperlink"/>
                <w:noProof/>
              </w:rPr>
              <w:t>The UANP establishes a national preschool system with the flexibility to accommodate diverse service settings</w:t>
            </w:r>
            <w:r w:rsidR="00141ABF">
              <w:rPr>
                <w:noProof/>
                <w:webHidden/>
              </w:rPr>
              <w:tab/>
            </w:r>
            <w:r w:rsidR="00141ABF">
              <w:rPr>
                <w:noProof/>
                <w:webHidden/>
              </w:rPr>
              <w:fldChar w:fldCharType="begin"/>
            </w:r>
            <w:r w:rsidR="00141ABF">
              <w:rPr>
                <w:noProof/>
                <w:webHidden/>
              </w:rPr>
              <w:instrText xml:space="preserve"> PAGEREF _Toc54597775 \h </w:instrText>
            </w:r>
            <w:r w:rsidR="00141ABF">
              <w:rPr>
                <w:noProof/>
                <w:webHidden/>
              </w:rPr>
            </w:r>
            <w:r w:rsidR="00141ABF">
              <w:rPr>
                <w:noProof/>
                <w:webHidden/>
              </w:rPr>
              <w:fldChar w:fldCharType="separate"/>
            </w:r>
            <w:r w:rsidR="00B37785">
              <w:rPr>
                <w:noProof/>
                <w:webHidden/>
              </w:rPr>
              <w:t>25</w:t>
            </w:r>
            <w:r w:rsidR="00141ABF">
              <w:rPr>
                <w:noProof/>
                <w:webHidden/>
              </w:rPr>
              <w:fldChar w:fldCharType="end"/>
            </w:r>
          </w:hyperlink>
        </w:p>
        <w:p w14:paraId="7BBE00E7" w14:textId="4C4A880B" w:rsidR="00141ABF" w:rsidRDefault="00EB5E4A">
          <w:pPr>
            <w:pStyle w:val="TOC2"/>
            <w:rPr>
              <w:rFonts w:asciiTheme="minorHAnsi" w:eastAsiaTheme="minorEastAsia" w:hAnsiTheme="minorHAnsi"/>
              <w:noProof/>
              <w:sz w:val="22"/>
              <w:lang w:val="en-AU" w:eastAsia="en-AU"/>
            </w:rPr>
          </w:pPr>
          <w:hyperlink w:anchor="_Toc54597776" w:history="1">
            <w:r w:rsidR="00141ABF" w:rsidRPr="00653288">
              <w:rPr>
                <w:rStyle w:val="Hyperlink"/>
                <w:noProof/>
              </w:rPr>
              <w:t>2.3</w:t>
            </w:r>
            <w:r w:rsidR="00141ABF">
              <w:rPr>
                <w:rFonts w:asciiTheme="minorHAnsi" w:eastAsiaTheme="minorEastAsia" w:hAnsiTheme="minorHAnsi"/>
                <w:noProof/>
                <w:sz w:val="22"/>
                <w:lang w:val="en-AU" w:eastAsia="en-AU"/>
              </w:rPr>
              <w:tab/>
            </w:r>
            <w:r w:rsidR="00141ABF" w:rsidRPr="00653288">
              <w:rPr>
                <w:rStyle w:val="Hyperlink"/>
                <w:noProof/>
              </w:rPr>
              <w:t>States and Territories decide how preschool is funded and delivered based on local context</w:t>
            </w:r>
            <w:r w:rsidR="00141ABF">
              <w:rPr>
                <w:noProof/>
                <w:webHidden/>
              </w:rPr>
              <w:tab/>
            </w:r>
            <w:r w:rsidR="00141ABF">
              <w:rPr>
                <w:noProof/>
                <w:webHidden/>
              </w:rPr>
              <w:fldChar w:fldCharType="begin"/>
            </w:r>
            <w:r w:rsidR="00141ABF">
              <w:rPr>
                <w:noProof/>
                <w:webHidden/>
              </w:rPr>
              <w:instrText xml:space="preserve"> PAGEREF _Toc54597776 \h </w:instrText>
            </w:r>
            <w:r w:rsidR="00141ABF">
              <w:rPr>
                <w:noProof/>
                <w:webHidden/>
              </w:rPr>
            </w:r>
            <w:r w:rsidR="00141ABF">
              <w:rPr>
                <w:noProof/>
                <w:webHidden/>
              </w:rPr>
              <w:fldChar w:fldCharType="separate"/>
            </w:r>
            <w:r w:rsidR="00B37785">
              <w:rPr>
                <w:noProof/>
                <w:webHidden/>
              </w:rPr>
              <w:t>26</w:t>
            </w:r>
            <w:r w:rsidR="00141ABF">
              <w:rPr>
                <w:noProof/>
                <w:webHidden/>
              </w:rPr>
              <w:fldChar w:fldCharType="end"/>
            </w:r>
          </w:hyperlink>
        </w:p>
        <w:p w14:paraId="43358F49" w14:textId="7C404283" w:rsidR="00141ABF" w:rsidRDefault="00EB5E4A">
          <w:pPr>
            <w:pStyle w:val="TOC2"/>
            <w:rPr>
              <w:rFonts w:asciiTheme="minorHAnsi" w:eastAsiaTheme="minorEastAsia" w:hAnsiTheme="minorHAnsi"/>
              <w:noProof/>
              <w:sz w:val="22"/>
              <w:lang w:val="en-AU" w:eastAsia="en-AU"/>
            </w:rPr>
          </w:pPr>
          <w:hyperlink w:anchor="_Toc54597777" w:history="1">
            <w:r w:rsidR="00141ABF" w:rsidRPr="00653288">
              <w:rPr>
                <w:rStyle w:val="Hyperlink"/>
                <w:noProof/>
              </w:rPr>
              <w:t>2.4</w:t>
            </w:r>
            <w:r w:rsidR="00141ABF">
              <w:rPr>
                <w:rFonts w:asciiTheme="minorHAnsi" w:eastAsiaTheme="minorEastAsia" w:hAnsiTheme="minorHAnsi"/>
                <w:noProof/>
                <w:sz w:val="22"/>
                <w:lang w:val="en-AU" w:eastAsia="en-AU"/>
              </w:rPr>
              <w:tab/>
            </w:r>
            <w:r w:rsidR="00141ABF" w:rsidRPr="00653288">
              <w:rPr>
                <w:rStyle w:val="Hyperlink"/>
                <w:noProof/>
              </w:rPr>
              <w:t>Universal access has been successfully implemented through a variety of funding and delivery approaches</w:t>
            </w:r>
            <w:r w:rsidR="00141ABF">
              <w:rPr>
                <w:noProof/>
                <w:webHidden/>
              </w:rPr>
              <w:tab/>
            </w:r>
            <w:r w:rsidR="00141ABF">
              <w:rPr>
                <w:noProof/>
                <w:webHidden/>
              </w:rPr>
              <w:fldChar w:fldCharType="begin"/>
            </w:r>
            <w:r w:rsidR="00141ABF">
              <w:rPr>
                <w:noProof/>
                <w:webHidden/>
              </w:rPr>
              <w:instrText xml:space="preserve"> PAGEREF _Toc54597777 \h </w:instrText>
            </w:r>
            <w:r w:rsidR="00141ABF">
              <w:rPr>
                <w:noProof/>
                <w:webHidden/>
              </w:rPr>
            </w:r>
            <w:r w:rsidR="00141ABF">
              <w:rPr>
                <w:noProof/>
                <w:webHidden/>
              </w:rPr>
              <w:fldChar w:fldCharType="separate"/>
            </w:r>
            <w:r w:rsidR="00B37785">
              <w:rPr>
                <w:noProof/>
                <w:webHidden/>
              </w:rPr>
              <w:t>27</w:t>
            </w:r>
            <w:r w:rsidR="00141ABF">
              <w:rPr>
                <w:noProof/>
                <w:webHidden/>
              </w:rPr>
              <w:fldChar w:fldCharType="end"/>
            </w:r>
          </w:hyperlink>
        </w:p>
        <w:p w14:paraId="78C6B69D" w14:textId="0BB4C583" w:rsidR="00141ABF" w:rsidRDefault="00EB5E4A">
          <w:pPr>
            <w:pStyle w:val="TOC2"/>
            <w:rPr>
              <w:rFonts w:asciiTheme="minorHAnsi" w:eastAsiaTheme="minorEastAsia" w:hAnsiTheme="minorHAnsi"/>
              <w:noProof/>
              <w:sz w:val="22"/>
              <w:lang w:val="en-AU" w:eastAsia="en-AU"/>
            </w:rPr>
          </w:pPr>
          <w:hyperlink w:anchor="_Toc54597778" w:history="1">
            <w:r w:rsidR="00141ABF" w:rsidRPr="00653288">
              <w:rPr>
                <w:rStyle w:val="Hyperlink"/>
                <w:noProof/>
              </w:rPr>
              <w:t>2.5</w:t>
            </w:r>
            <w:r w:rsidR="00141ABF">
              <w:rPr>
                <w:rFonts w:asciiTheme="minorHAnsi" w:eastAsiaTheme="minorEastAsia" w:hAnsiTheme="minorHAnsi"/>
                <w:noProof/>
                <w:sz w:val="22"/>
                <w:lang w:val="en-AU" w:eastAsia="en-AU"/>
              </w:rPr>
              <w:tab/>
            </w:r>
            <w:r w:rsidR="00141ABF" w:rsidRPr="00653288">
              <w:rPr>
                <w:rStyle w:val="Hyperlink"/>
                <w:noProof/>
              </w:rPr>
              <w:t>Preschool provision and UANP implementation varies across Australia</w:t>
            </w:r>
            <w:r w:rsidR="00141ABF">
              <w:rPr>
                <w:noProof/>
                <w:webHidden/>
              </w:rPr>
              <w:tab/>
            </w:r>
            <w:r w:rsidR="00141ABF">
              <w:rPr>
                <w:noProof/>
                <w:webHidden/>
              </w:rPr>
              <w:fldChar w:fldCharType="begin"/>
            </w:r>
            <w:r w:rsidR="00141ABF">
              <w:rPr>
                <w:noProof/>
                <w:webHidden/>
              </w:rPr>
              <w:instrText xml:space="preserve"> PAGEREF _Toc54597778 \h </w:instrText>
            </w:r>
            <w:r w:rsidR="00141ABF">
              <w:rPr>
                <w:noProof/>
                <w:webHidden/>
              </w:rPr>
            </w:r>
            <w:r w:rsidR="00141ABF">
              <w:rPr>
                <w:noProof/>
                <w:webHidden/>
              </w:rPr>
              <w:fldChar w:fldCharType="separate"/>
            </w:r>
            <w:r w:rsidR="00B37785">
              <w:rPr>
                <w:noProof/>
                <w:webHidden/>
              </w:rPr>
              <w:t>31</w:t>
            </w:r>
            <w:r w:rsidR="00141ABF">
              <w:rPr>
                <w:noProof/>
                <w:webHidden/>
              </w:rPr>
              <w:fldChar w:fldCharType="end"/>
            </w:r>
          </w:hyperlink>
        </w:p>
        <w:p w14:paraId="7A588FBB" w14:textId="65EB3367" w:rsidR="00141ABF" w:rsidRDefault="00EB5E4A">
          <w:pPr>
            <w:pStyle w:val="TOC1"/>
            <w:rPr>
              <w:rFonts w:asciiTheme="minorHAnsi" w:eastAsiaTheme="minorEastAsia" w:hAnsiTheme="minorHAnsi"/>
              <w:sz w:val="22"/>
              <w:lang w:val="en-AU" w:eastAsia="en-AU"/>
            </w:rPr>
          </w:pPr>
          <w:hyperlink w:anchor="_Toc54597779" w:history="1">
            <w:r w:rsidR="00141ABF" w:rsidRPr="00653288">
              <w:rPr>
                <w:rStyle w:val="Hyperlink"/>
              </w:rPr>
              <w:t>3</w:t>
            </w:r>
            <w:r w:rsidR="00141ABF">
              <w:rPr>
                <w:rFonts w:asciiTheme="minorHAnsi" w:eastAsiaTheme="minorEastAsia" w:hAnsiTheme="minorHAnsi"/>
                <w:sz w:val="22"/>
                <w:lang w:val="en-AU" w:eastAsia="en-AU"/>
              </w:rPr>
              <w:tab/>
            </w:r>
            <w:r w:rsidR="00141ABF" w:rsidRPr="00653288">
              <w:rPr>
                <w:rStyle w:val="Hyperlink"/>
              </w:rPr>
              <w:t>There has been significant progress in achieving the UANP’s objectives, outcomes and outputs</w:t>
            </w:r>
            <w:r w:rsidR="00141ABF">
              <w:rPr>
                <w:webHidden/>
              </w:rPr>
              <w:tab/>
            </w:r>
            <w:r w:rsidR="00141ABF">
              <w:rPr>
                <w:webHidden/>
              </w:rPr>
              <w:fldChar w:fldCharType="begin"/>
            </w:r>
            <w:r w:rsidR="00141ABF">
              <w:rPr>
                <w:webHidden/>
              </w:rPr>
              <w:instrText xml:space="preserve"> PAGEREF _Toc54597779 \h </w:instrText>
            </w:r>
            <w:r w:rsidR="00141ABF">
              <w:rPr>
                <w:webHidden/>
              </w:rPr>
            </w:r>
            <w:r w:rsidR="00141ABF">
              <w:rPr>
                <w:webHidden/>
              </w:rPr>
              <w:fldChar w:fldCharType="separate"/>
            </w:r>
            <w:r w:rsidR="00B37785">
              <w:rPr>
                <w:webHidden/>
              </w:rPr>
              <w:t>48</w:t>
            </w:r>
            <w:r w:rsidR="00141ABF">
              <w:rPr>
                <w:webHidden/>
              </w:rPr>
              <w:fldChar w:fldCharType="end"/>
            </w:r>
          </w:hyperlink>
        </w:p>
        <w:p w14:paraId="328EEBF3" w14:textId="62763841" w:rsidR="00141ABF" w:rsidRDefault="00EB5E4A">
          <w:pPr>
            <w:pStyle w:val="TOC2"/>
            <w:rPr>
              <w:rFonts w:asciiTheme="minorHAnsi" w:eastAsiaTheme="minorEastAsia" w:hAnsiTheme="minorHAnsi"/>
              <w:noProof/>
              <w:sz w:val="22"/>
              <w:lang w:val="en-AU" w:eastAsia="en-AU"/>
            </w:rPr>
          </w:pPr>
          <w:hyperlink w:anchor="_Toc54597780" w:history="1">
            <w:r w:rsidR="00141ABF" w:rsidRPr="00653288">
              <w:rPr>
                <w:rStyle w:val="Hyperlink"/>
                <w:noProof/>
              </w:rPr>
              <w:t>3.1</w:t>
            </w:r>
            <w:r w:rsidR="00141ABF">
              <w:rPr>
                <w:rFonts w:asciiTheme="minorHAnsi" w:eastAsiaTheme="minorEastAsia" w:hAnsiTheme="minorHAnsi"/>
                <w:noProof/>
                <w:sz w:val="22"/>
                <w:lang w:val="en-AU" w:eastAsia="en-AU"/>
              </w:rPr>
              <w:tab/>
            </w:r>
            <w:r w:rsidR="00141ABF" w:rsidRPr="00653288">
              <w:rPr>
                <w:rStyle w:val="Hyperlink"/>
                <w:noProof/>
              </w:rPr>
              <w:t>The UANP has met ambitious targets for access to, and participation in, preschool</w:t>
            </w:r>
            <w:r w:rsidR="00141ABF">
              <w:rPr>
                <w:noProof/>
                <w:webHidden/>
              </w:rPr>
              <w:tab/>
            </w:r>
            <w:r w:rsidR="00141ABF">
              <w:rPr>
                <w:noProof/>
                <w:webHidden/>
              </w:rPr>
              <w:fldChar w:fldCharType="begin"/>
            </w:r>
            <w:r w:rsidR="00141ABF">
              <w:rPr>
                <w:noProof/>
                <w:webHidden/>
              </w:rPr>
              <w:instrText xml:space="preserve"> PAGEREF _Toc54597780 \h </w:instrText>
            </w:r>
            <w:r w:rsidR="00141ABF">
              <w:rPr>
                <w:noProof/>
                <w:webHidden/>
              </w:rPr>
            </w:r>
            <w:r w:rsidR="00141ABF">
              <w:rPr>
                <w:noProof/>
                <w:webHidden/>
              </w:rPr>
              <w:fldChar w:fldCharType="separate"/>
            </w:r>
            <w:r w:rsidR="00B37785">
              <w:rPr>
                <w:noProof/>
                <w:webHidden/>
              </w:rPr>
              <w:t>48</w:t>
            </w:r>
            <w:r w:rsidR="00141ABF">
              <w:rPr>
                <w:noProof/>
                <w:webHidden/>
              </w:rPr>
              <w:fldChar w:fldCharType="end"/>
            </w:r>
          </w:hyperlink>
        </w:p>
        <w:p w14:paraId="2FFE9C39" w14:textId="2C87D410" w:rsidR="00141ABF" w:rsidRDefault="00EB5E4A">
          <w:pPr>
            <w:pStyle w:val="TOC2"/>
            <w:rPr>
              <w:rFonts w:asciiTheme="minorHAnsi" w:eastAsiaTheme="minorEastAsia" w:hAnsiTheme="minorHAnsi"/>
              <w:noProof/>
              <w:sz w:val="22"/>
              <w:lang w:val="en-AU" w:eastAsia="en-AU"/>
            </w:rPr>
          </w:pPr>
          <w:hyperlink w:anchor="_Toc54597781" w:history="1">
            <w:r w:rsidR="00141ABF" w:rsidRPr="00653288">
              <w:rPr>
                <w:rStyle w:val="Hyperlink"/>
                <w:noProof/>
              </w:rPr>
              <w:t>3.2</w:t>
            </w:r>
            <w:r w:rsidR="00141ABF">
              <w:rPr>
                <w:rFonts w:asciiTheme="minorHAnsi" w:eastAsiaTheme="minorEastAsia" w:hAnsiTheme="minorHAnsi"/>
                <w:noProof/>
                <w:sz w:val="22"/>
                <w:lang w:val="en-AU" w:eastAsia="en-AU"/>
              </w:rPr>
              <w:tab/>
            </w:r>
            <w:r w:rsidR="00141ABF" w:rsidRPr="00653288">
              <w:rPr>
                <w:rStyle w:val="Hyperlink"/>
                <w:noProof/>
              </w:rPr>
              <w:t>Participation of Indigenous children and vulnerable/disadvantaged children has improved</w:t>
            </w:r>
            <w:r w:rsidR="00141ABF">
              <w:rPr>
                <w:noProof/>
                <w:webHidden/>
              </w:rPr>
              <w:tab/>
            </w:r>
            <w:r w:rsidR="00141ABF">
              <w:rPr>
                <w:noProof/>
                <w:webHidden/>
              </w:rPr>
              <w:fldChar w:fldCharType="begin"/>
            </w:r>
            <w:r w:rsidR="00141ABF">
              <w:rPr>
                <w:noProof/>
                <w:webHidden/>
              </w:rPr>
              <w:instrText xml:space="preserve"> PAGEREF _Toc54597781 \h </w:instrText>
            </w:r>
            <w:r w:rsidR="00141ABF">
              <w:rPr>
                <w:noProof/>
                <w:webHidden/>
              </w:rPr>
            </w:r>
            <w:r w:rsidR="00141ABF">
              <w:rPr>
                <w:noProof/>
                <w:webHidden/>
              </w:rPr>
              <w:fldChar w:fldCharType="separate"/>
            </w:r>
            <w:r w:rsidR="00B37785">
              <w:rPr>
                <w:noProof/>
                <w:webHidden/>
              </w:rPr>
              <w:t>50</w:t>
            </w:r>
            <w:r w:rsidR="00141ABF">
              <w:rPr>
                <w:noProof/>
                <w:webHidden/>
              </w:rPr>
              <w:fldChar w:fldCharType="end"/>
            </w:r>
          </w:hyperlink>
        </w:p>
        <w:p w14:paraId="55BC1378" w14:textId="19D4D624" w:rsidR="00141ABF" w:rsidRDefault="00EB5E4A">
          <w:pPr>
            <w:pStyle w:val="TOC2"/>
            <w:rPr>
              <w:rFonts w:asciiTheme="minorHAnsi" w:eastAsiaTheme="minorEastAsia" w:hAnsiTheme="minorHAnsi"/>
              <w:noProof/>
              <w:sz w:val="22"/>
              <w:lang w:val="en-AU" w:eastAsia="en-AU"/>
            </w:rPr>
          </w:pPr>
          <w:hyperlink w:anchor="_Toc54597782" w:history="1">
            <w:r w:rsidR="00141ABF" w:rsidRPr="00653288">
              <w:rPr>
                <w:rStyle w:val="Hyperlink"/>
                <w:noProof/>
              </w:rPr>
              <w:t>3.3</w:t>
            </w:r>
            <w:r w:rsidR="00141ABF">
              <w:rPr>
                <w:rFonts w:asciiTheme="minorHAnsi" w:eastAsiaTheme="minorEastAsia" w:hAnsiTheme="minorHAnsi"/>
                <w:noProof/>
                <w:sz w:val="22"/>
                <w:lang w:val="en-AU" w:eastAsia="en-AU"/>
              </w:rPr>
              <w:tab/>
            </w:r>
            <w:r w:rsidR="00141ABF" w:rsidRPr="00653288">
              <w:rPr>
                <w:rStyle w:val="Hyperlink"/>
                <w:noProof/>
              </w:rPr>
              <w:t>The UANP has contributed to an uplift in quality, though more work remains to be done</w:t>
            </w:r>
            <w:r w:rsidR="00141ABF">
              <w:rPr>
                <w:noProof/>
                <w:webHidden/>
              </w:rPr>
              <w:tab/>
            </w:r>
            <w:r w:rsidR="00141ABF">
              <w:rPr>
                <w:noProof/>
                <w:webHidden/>
              </w:rPr>
              <w:fldChar w:fldCharType="begin"/>
            </w:r>
            <w:r w:rsidR="00141ABF">
              <w:rPr>
                <w:noProof/>
                <w:webHidden/>
              </w:rPr>
              <w:instrText xml:space="preserve"> PAGEREF _Toc54597782 \h </w:instrText>
            </w:r>
            <w:r w:rsidR="00141ABF">
              <w:rPr>
                <w:noProof/>
                <w:webHidden/>
              </w:rPr>
            </w:r>
            <w:r w:rsidR="00141ABF">
              <w:rPr>
                <w:noProof/>
                <w:webHidden/>
              </w:rPr>
              <w:fldChar w:fldCharType="separate"/>
            </w:r>
            <w:r w:rsidR="00B37785">
              <w:rPr>
                <w:noProof/>
                <w:webHidden/>
              </w:rPr>
              <w:t>55</w:t>
            </w:r>
            <w:r w:rsidR="00141ABF">
              <w:rPr>
                <w:noProof/>
                <w:webHidden/>
              </w:rPr>
              <w:fldChar w:fldCharType="end"/>
            </w:r>
          </w:hyperlink>
        </w:p>
        <w:p w14:paraId="2B43B77D" w14:textId="35A0C8C6" w:rsidR="00141ABF" w:rsidRDefault="00EB5E4A">
          <w:pPr>
            <w:pStyle w:val="TOC2"/>
            <w:rPr>
              <w:rFonts w:asciiTheme="minorHAnsi" w:eastAsiaTheme="minorEastAsia" w:hAnsiTheme="minorHAnsi"/>
              <w:noProof/>
              <w:sz w:val="22"/>
              <w:lang w:val="en-AU" w:eastAsia="en-AU"/>
            </w:rPr>
          </w:pPr>
          <w:hyperlink w:anchor="_Toc54597783" w:history="1">
            <w:r w:rsidR="00141ABF" w:rsidRPr="00653288">
              <w:rPr>
                <w:rStyle w:val="Hyperlink"/>
                <w:noProof/>
              </w:rPr>
              <w:t>3.4</w:t>
            </w:r>
            <w:r w:rsidR="00141ABF">
              <w:rPr>
                <w:rFonts w:asciiTheme="minorHAnsi" w:eastAsiaTheme="minorEastAsia" w:hAnsiTheme="minorHAnsi"/>
                <w:noProof/>
                <w:sz w:val="22"/>
                <w:lang w:val="en-AU" w:eastAsia="en-AU"/>
              </w:rPr>
              <w:tab/>
            </w:r>
            <w:r w:rsidR="00141ABF" w:rsidRPr="00653288">
              <w:rPr>
                <w:rStyle w:val="Hyperlink"/>
                <w:noProof/>
              </w:rPr>
              <w:t>The UANP has increased the availability of free and low-fee preschool, though indirect costs can pose a barrier for some</w:t>
            </w:r>
            <w:r w:rsidR="00141ABF">
              <w:rPr>
                <w:noProof/>
                <w:webHidden/>
              </w:rPr>
              <w:tab/>
            </w:r>
            <w:r w:rsidR="00141ABF">
              <w:rPr>
                <w:noProof/>
                <w:webHidden/>
              </w:rPr>
              <w:fldChar w:fldCharType="begin"/>
            </w:r>
            <w:r w:rsidR="00141ABF">
              <w:rPr>
                <w:noProof/>
                <w:webHidden/>
              </w:rPr>
              <w:instrText xml:space="preserve"> PAGEREF _Toc54597783 \h </w:instrText>
            </w:r>
            <w:r w:rsidR="00141ABF">
              <w:rPr>
                <w:noProof/>
                <w:webHidden/>
              </w:rPr>
            </w:r>
            <w:r w:rsidR="00141ABF">
              <w:rPr>
                <w:noProof/>
                <w:webHidden/>
              </w:rPr>
              <w:fldChar w:fldCharType="separate"/>
            </w:r>
            <w:r w:rsidR="00B37785">
              <w:rPr>
                <w:noProof/>
                <w:webHidden/>
              </w:rPr>
              <w:t>59</w:t>
            </w:r>
            <w:r w:rsidR="00141ABF">
              <w:rPr>
                <w:noProof/>
                <w:webHidden/>
              </w:rPr>
              <w:fldChar w:fldCharType="end"/>
            </w:r>
          </w:hyperlink>
        </w:p>
        <w:p w14:paraId="5FE30888" w14:textId="50007315" w:rsidR="00141ABF" w:rsidRDefault="00EB5E4A">
          <w:pPr>
            <w:pStyle w:val="TOC2"/>
            <w:rPr>
              <w:rFonts w:asciiTheme="minorHAnsi" w:eastAsiaTheme="minorEastAsia" w:hAnsiTheme="minorHAnsi"/>
              <w:noProof/>
              <w:sz w:val="22"/>
              <w:lang w:val="en-AU" w:eastAsia="en-AU"/>
            </w:rPr>
          </w:pPr>
          <w:hyperlink w:anchor="_Toc54597784" w:history="1">
            <w:r w:rsidR="00141ABF" w:rsidRPr="00653288">
              <w:rPr>
                <w:rStyle w:val="Hyperlink"/>
                <w:noProof/>
              </w:rPr>
              <w:t>3.5</w:t>
            </w:r>
            <w:r w:rsidR="00141ABF">
              <w:rPr>
                <w:rFonts w:asciiTheme="minorHAnsi" w:eastAsiaTheme="minorEastAsia" w:hAnsiTheme="minorHAnsi"/>
                <w:noProof/>
                <w:sz w:val="22"/>
                <w:lang w:val="en-AU" w:eastAsia="en-AU"/>
              </w:rPr>
              <w:tab/>
            </w:r>
            <w:r w:rsidR="00141ABF" w:rsidRPr="00653288">
              <w:rPr>
                <w:rStyle w:val="Hyperlink"/>
                <w:noProof/>
              </w:rPr>
              <w:t>Most parents can access a preschool provider that meets their needs, but funding may not align with their preferences</w:t>
            </w:r>
            <w:r w:rsidR="00141ABF">
              <w:rPr>
                <w:noProof/>
                <w:webHidden/>
              </w:rPr>
              <w:tab/>
            </w:r>
            <w:r w:rsidR="00141ABF">
              <w:rPr>
                <w:noProof/>
                <w:webHidden/>
              </w:rPr>
              <w:fldChar w:fldCharType="begin"/>
            </w:r>
            <w:r w:rsidR="00141ABF">
              <w:rPr>
                <w:noProof/>
                <w:webHidden/>
              </w:rPr>
              <w:instrText xml:space="preserve"> PAGEREF _Toc54597784 \h </w:instrText>
            </w:r>
            <w:r w:rsidR="00141ABF">
              <w:rPr>
                <w:noProof/>
                <w:webHidden/>
              </w:rPr>
            </w:r>
            <w:r w:rsidR="00141ABF">
              <w:rPr>
                <w:noProof/>
                <w:webHidden/>
              </w:rPr>
              <w:fldChar w:fldCharType="separate"/>
            </w:r>
            <w:r w:rsidR="00B37785">
              <w:rPr>
                <w:noProof/>
                <w:webHidden/>
              </w:rPr>
              <w:t>60</w:t>
            </w:r>
            <w:r w:rsidR="00141ABF">
              <w:rPr>
                <w:noProof/>
                <w:webHidden/>
              </w:rPr>
              <w:fldChar w:fldCharType="end"/>
            </w:r>
          </w:hyperlink>
        </w:p>
        <w:p w14:paraId="23CB263F" w14:textId="440F23FD" w:rsidR="00141ABF" w:rsidRDefault="00EB5E4A">
          <w:pPr>
            <w:pStyle w:val="TOC1"/>
            <w:rPr>
              <w:rFonts w:asciiTheme="minorHAnsi" w:eastAsiaTheme="minorEastAsia" w:hAnsiTheme="minorHAnsi"/>
              <w:sz w:val="22"/>
              <w:lang w:val="en-AU" w:eastAsia="en-AU"/>
            </w:rPr>
          </w:pPr>
          <w:hyperlink w:anchor="_Toc54597785" w:history="1">
            <w:r w:rsidR="00141ABF" w:rsidRPr="00653288">
              <w:rPr>
                <w:rStyle w:val="Hyperlink"/>
              </w:rPr>
              <w:t>4</w:t>
            </w:r>
            <w:r w:rsidR="00141ABF">
              <w:rPr>
                <w:rFonts w:asciiTheme="minorHAnsi" w:eastAsiaTheme="minorEastAsia" w:hAnsiTheme="minorHAnsi"/>
                <w:sz w:val="22"/>
                <w:lang w:val="en-AU" w:eastAsia="en-AU"/>
              </w:rPr>
              <w:tab/>
            </w:r>
            <w:r w:rsidR="00141ABF" w:rsidRPr="00653288">
              <w:rPr>
                <w:rStyle w:val="Hyperlink"/>
              </w:rPr>
              <w:t>There are opportunities to improve UANP indicators, targets and measurement</w:t>
            </w:r>
            <w:r w:rsidR="00141ABF">
              <w:rPr>
                <w:webHidden/>
              </w:rPr>
              <w:tab/>
            </w:r>
            <w:r w:rsidR="00141ABF">
              <w:rPr>
                <w:webHidden/>
              </w:rPr>
              <w:fldChar w:fldCharType="begin"/>
            </w:r>
            <w:r w:rsidR="00141ABF">
              <w:rPr>
                <w:webHidden/>
              </w:rPr>
              <w:instrText xml:space="preserve"> PAGEREF _Toc54597785 \h </w:instrText>
            </w:r>
            <w:r w:rsidR="00141ABF">
              <w:rPr>
                <w:webHidden/>
              </w:rPr>
            </w:r>
            <w:r w:rsidR="00141ABF">
              <w:rPr>
                <w:webHidden/>
              </w:rPr>
              <w:fldChar w:fldCharType="separate"/>
            </w:r>
            <w:r w:rsidR="00B37785">
              <w:rPr>
                <w:webHidden/>
              </w:rPr>
              <w:t>64</w:t>
            </w:r>
            <w:r w:rsidR="00141ABF">
              <w:rPr>
                <w:webHidden/>
              </w:rPr>
              <w:fldChar w:fldCharType="end"/>
            </w:r>
          </w:hyperlink>
        </w:p>
        <w:p w14:paraId="4386F463" w14:textId="3D464071" w:rsidR="00141ABF" w:rsidRDefault="00EB5E4A">
          <w:pPr>
            <w:pStyle w:val="TOC2"/>
            <w:rPr>
              <w:rFonts w:asciiTheme="minorHAnsi" w:eastAsiaTheme="minorEastAsia" w:hAnsiTheme="minorHAnsi"/>
              <w:noProof/>
              <w:sz w:val="22"/>
              <w:lang w:val="en-AU" w:eastAsia="en-AU"/>
            </w:rPr>
          </w:pPr>
          <w:hyperlink w:anchor="_Toc54597786" w:history="1">
            <w:r w:rsidR="00141ABF" w:rsidRPr="00653288">
              <w:rPr>
                <w:rStyle w:val="Hyperlink"/>
                <w:noProof/>
              </w:rPr>
              <w:t>4.1</w:t>
            </w:r>
            <w:r w:rsidR="00141ABF">
              <w:rPr>
                <w:rFonts w:asciiTheme="minorHAnsi" w:eastAsiaTheme="minorEastAsia" w:hAnsiTheme="minorHAnsi"/>
                <w:noProof/>
                <w:sz w:val="22"/>
                <w:lang w:val="en-AU" w:eastAsia="en-AU"/>
              </w:rPr>
              <w:tab/>
            </w:r>
            <w:r w:rsidR="00141ABF" w:rsidRPr="00653288">
              <w:rPr>
                <w:rStyle w:val="Hyperlink"/>
                <w:noProof/>
              </w:rPr>
              <w:t>The UANP’s performance framework has served it well, but there is room for improvement</w:t>
            </w:r>
            <w:r w:rsidR="00141ABF">
              <w:rPr>
                <w:noProof/>
                <w:webHidden/>
              </w:rPr>
              <w:tab/>
            </w:r>
            <w:r w:rsidR="00141ABF">
              <w:rPr>
                <w:noProof/>
                <w:webHidden/>
              </w:rPr>
              <w:fldChar w:fldCharType="begin"/>
            </w:r>
            <w:r w:rsidR="00141ABF">
              <w:rPr>
                <w:noProof/>
                <w:webHidden/>
              </w:rPr>
              <w:instrText xml:space="preserve"> PAGEREF _Toc54597786 \h </w:instrText>
            </w:r>
            <w:r w:rsidR="00141ABF">
              <w:rPr>
                <w:noProof/>
                <w:webHidden/>
              </w:rPr>
            </w:r>
            <w:r w:rsidR="00141ABF">
              <w:rPr>
                <w:noProof/>
                <w:webHidden/>
              </w:rPr>
              <w:fldChar w:fldCharType="separate"/>
            </w:r>
            <w:r w:rsidR="00B37785">
              <w:rPr>
                <w:noProof/>
                <w:webHidden/>
              </w:rPr>
              <w:t>64</w:t>
            </w:r>
            <w:r w:rsidR="00141ABF">
              <w:rPr>
                <w:noProof/>
                <w:webHidden/>
              </w:rPr>
              <w:fldChar w:fldCharType="end"/>
            </w:r>
          </w:hyperlink>
        </w:p>
        <w:p w14:paraId="2B5A47F7" w14:textId="1AB9DD43" w:rsidR="00141ABF" w:rsidRDefault="00EB5E4A">
          <w:pPr>
            <w:pStyle w:val="TOC2"/>
            <w:rPr>
              <w:rFonts w:asciiTheme="minorHAnsi" w:eastAsiaTheme="minorEastAsia" w:hAnsiTheme="minorHAnsi"/>
              <w:noProof/>
              <w:sz w:val="22"/>
              <w:lang w:val="en-AU" w:eastAsia="en-AU"/>
            </w:rPr>
          </w:pPr>
          <w:hyperlink w:anchor="_Toc54597787" w:history="1">
            <w:r w:rsidR="00141ABF" w:rsidRPr="00653288">
              <w:rPr>
                <w:rStyle w:val="Hyperlink"/>
                <w:noProof/>
              </w:rPr>
              <w:t>4.2</w:t>
            </w:r>
            <w:r w:rsidR="00141ABF">
              <w:rPr>
                <w:rFonts w:asciiTheme="minorHAnsi" w:eastAsiaTheme="minorEastAsia" w:hAnsiTheme="minorHAnsi"/>
                <w:noProof/>
                <w:sz w:val="22"/>
                <w:lang w:val="en-AU" w:eastAsia="en-AU"/>
              </w:rPr>
              <w:tab/>
            </w:r>
            <w:r w:rsidR="00141ABF" w:rsidRPr="00653288">
              <w:rPr>
                <w:rStyle w:val="Hyperlink"/>
                <w:noProof/>
              </w:rPr>
              <w:t>The UANP’s quality, enrolment and attendance measures raise several challenges</w:t>
            </w:r>
            <w:r w:rsidR="00141ABF">
              <w:rPr>
                <w:noProof/>
                <w:webHidden/>
              </w:rPr>
              <w:tab/>
            </w:r>
            <w:r w:rsidR="00141ABF">
              <w:rPr>
                <w:noProof/>
                <w:webHidden/>
              </w:rPr>
              <w:fldChar w:fldCharType="begin"/>
            </w:r>
            <w:r w:rsidR="00141ABF">
              <w:rPr>
                <w:noProof/>
                <w:webHidden/>
              </w:rPr>
              <w:instrText xml:space="preserve"> PAGEREF _Toc54597787 \h </w:instrText>
            </w:r>
            <w:r w:rsidR="00141ABF">
              <w:rPr>
                <w:noProof/>
                <w:webHidden/>
              </w:rPr>
            </w:r>
            <w:r w:rsidR="00141ABF">
              <w:rPr>
                <w:noProof/>
                <w:webHidden/>
              </w:rPr>
              <w:fldChar w:fldCharType="separate"/>
            </w:r>
            <w:r w:rsidR="00B37785">
              <w:rPr>
                <w:noProof/>
                <w:webHidden/>
              </w:rPr>
              <w:t>66</w:t>
            </w:r>
            <w:r w:rsidR="00141ABF">
              <w:rPr>
                <w:noProof/>
                <w:webHidden/>
              </w:rPr>
              <w:fldChar w:fldCharType="end"/>
            </w:r>
          </w:hyperlink>
        </w:p>
        <w:p w14:paraId="4187ABF1" w14:textId="696C1368" w:rsidR="00141ABF" w:rsidRDefault="00EB5E4A">
          <w:pPr>
            <w:pStyle w:val="TOC2"/>
            <w:rPr>
              <w:rFonts w:asciiTheme="minorHAnsi" w:eastAsiaTheme="minorEastAsia" w:hAnsiTheme="minorHAnsi"/>
              <w:noProof/>
              <w:sz w:val="22"/>
              <w:lang w:val="en-AU" w:eastAsia="en-AU"/>
            </w:rPr>
          </w:pPr>
          <w:hyperlink w:anchor="_Toc54597788" w:history="1">
            <w:r w:rsidR="00141ABF" w:rsidRPr="00653288">
              <w:rPr>
                <w:rStyle w:val="Hyperlink"/>
                <w:noProof/>
              </w:rPr>
              <w:t>4.3</w:t>
            </w:r>
            <w:r w:rsidR="00141ABF">
              <w:rPr>
                <w:rFonts w:asciiTheme="minorHAnsi" w:eastAsiaTheme="minorEastAsia" w:hAnsiTheme="minorHAnsi"/>
                <w:noProof/>
                <w:sz w:val="22"/>
                <w:lang w:val="en-AU" w:eastAsia="en-AU"/>
              </w:rPr>
              <w:tab/>
            </w:r>
            <w:r w:rsidR="00141ABF" w:rsidRPr="00653288">
              <w:rPr>
                <w:rStyle w:val="Hyperlink"/>
                <w:noProof/>
              </w:rPr>
              <w:t>There is a threshold issue about whether benchmarks are set at the appropriate levels</w:t>
            </w:r>
            <w:r w:rsidR="00141ABF">
              <w:rPr>
                <w:noProof/>
                <w:webHidden/>
              </w:rPr>
              <w:tab/>
            </w:r>
            <w:r w:rsidR="00141ABF">
              <w:rPr>
                <w:noProof/>
                <w:webHidden/>
              </w:rPr>
              <w:fldChar w:fldCharType="begin"/>
            </w:r>
            <w:r w:rsidR="00141ABF">
              <w:rPr>
                <w:noProof/>
                <w:webHidden/>
              </w:rPr>
              <w:instrText xml:space="preserve"> PAGEREF _Toc54597788 \h </w:instrText>
            </w:r>
            <w:r w:rsidR="00141ABF">
              <w:rPr>
                <w:noProof/>
                <w:webHidden/>
              </w:rPr>
            </w:r>
            <w:r w:rsidR="00141ABF">
              <w:rPr>
                <w:noProof/>
                <w:webHidden/>
              </w:rPr>
              <w:fldChar w:fldCharType="separate"/>
            </w:r>
            <w:r w:rsidR="00B37785">
              <w:rPr>
                <w:noProof/>
                <w:webHidden/>
              </w:rPr>
              <w:t>71</w:t>
            </w:r>
            <w:r w:rsidR="00141ABF">
              <w:rPr>
                <w:noProof/>
                <w:webHidden/>
              </w:rPr>
              <w:fldChar w:fldCharType="end"/>
            </w:r>
          </w:hyperlink>
        </w:p>
        <w:p w14:paraId="0CDC14E5" w14:textId="6CA942D7" w:rsidR="00141ABF" w:rsidRDefault="00EB5E4A">
          <w:pPr>
            <w:pStyle w:val="TOC2"/>
            <w:rPr>
              <w:rFonts w:asciiTheme="minorHAnsi" w:eastAsiaTheme="minorEastAsia" w:hAnsiTheme="minorHAnsi"/>
              <w:noProof/>
              <w:sz w:val="22"/>
              <w:lang w:val="en-AU" w:eastAsia="en-AU"/>
            </w:rPr>
          </w:pPr>
          <w:hyperlink w:anchor="_Toc54597789" w:history="1">
            <w:r w:rsidR="00141ABF" w:rsidRPr="00653288">
              <w:rPr>
                <w:rStyle w:val="Hyperlink"/>
                <w:noProof/>
              </w:rPr>
              <w:t>4.4</w:t>
            </w:r>
            <w:r w:rsidR="00141ABF">
              <w:rPr>
                <w:rFonts w:asciiTheme="minorHAnsi" w:eastAsiaTheme="minorEastAsia" w:hAnsiTheme="minorHAnsi"/>
                <w:noProof/>
                <w:sz w:val="22"/>
                <w:lang w:val="en-AU" w:eastAsia="en-AU"/>
              </w:rPr>
              <w:tab/>
            </w:r>
            <w:r w:rsidR="00141ABF" w:rsidRPr="00653288">
              <w:rPr>
                <w:rStyle w:val="Hyperlink"/>
                <w:noProof/>
              </w:rPr>
              <w:t>States and Territories are concerned that data limitations are compromising their own planning and funding decisions</w:t>
            </w:r>
            <w:r w:rsidR="00141ABF">
              <w:rPr>
                <w:noProof/>
                <w:webHidden/>
              </w:rPr>
              <w:tab/>
            </w:r>
            <w:r w:rsidR="00141ABF">
              <w:rPr>
                <w:noProof/>
                <w:webHidden/>
              </w:rPr>
              <w:fldChar w:fldCharType="begin"/>
            </w:r>
            <w:r w:rsidR="00141ABF">
              <w:rPr>
                <w:noProof/>
                <w:webHidden/>
              </w:rPr>
              <w:instrText xml:space="preserve"> PAGEREF _Toc54597789 \h </w:instrText>
            </w:r>
            <w:r w:rsidR="00141ABF">
              <w:rPr>
                <w:noProof/>
                <w:webHidden/>
              </w:rPr>
            </w:r>
            <w:r w:rsidR="00141ABF">
              <w:rPr>
                <w:noProof/>
                <w:webHidden/>
              </w:rPr>
              <w:fldChar w:fldCharType="separate"/>
            </w:r>
            <w:r w:rsidR="00B37785">
              <w:rPr>
                <w:noProof/>
                <w:webHidden/>
              </w:rPr>
              <w:t>71</w:t>
            </w:r>
            <w:r w:rsidR="00141ABF">
              <w:rPr>
                <w:noProof/>
                <w:webHidden/>
              </w:rPr>
              <w:fldChar w:fldCharType="end"/>
            </w:r>
          </w:hyperlink>
        </w:p>
        <w:p w14:paraId="721A4E95" w14:textId="3501D79F" w:rsidR="00141ABF" w:rsidRDefault="00EB5E4A">
          <w:pPr>
            <w:pStyle w:val="TOC1"/>
            <w:rPr>
              <w:rFonts w:asciiTheme="minorHAnsi" w:eastAsiaTheme="minorEastAsia" w:hAnsiTheme="minorHAnsi"/>
              <w:sz w:val="22"/>
              <w:lang w:val="en-AU" w:eastAsia="en-AU"/>
            </w:rPr>
          </w:pPr>
          <w:hyperlink w:anchor="_Toc54597790" w:history="1">
            <w:r w:rsidR="00141ABF" w:rsidRPr="00653288">
              <w:rPr>
                <w:rStyle w:val="Hyperlink"/>
              </w:rPr>
              <w:t>5</w:t>
            </w:r>
            <w:r w:rsidR="00141ABF">
              <w:rPr>
                <w:rFonts w:asciiTheme="minorHAnsi" w:eastAsiaTheme="minorEastAsia" w:hAnsiTheme="minorHAnsi"/>
                <w:sz w:val="22"/>
                <w:lang w:val="en-AU" w:eastAsia="en-AU"/>
              </w:rPr>
              <w:tab/>
            </w:r>
            <w:r w:rsidR="00141ABF" w:rsidRPr="00653288">
              <w:rPr>
                <w:rStyle w:val="Hyperlink"/>
              </w:rPr>
              <w:t>Funding arrangements have been effective and efficient, but may no longer be fit-for-purpose</w:t>
            </w:r>
            <w:r w:rsidR="00141ABF">
              <w:rPr>
                <w:webHidden/>
              </w:rPr>
              <w:tab/>
            </w:r>
            <w:r w:rsidR="00141ABF">
              <w:rPr>
                <w:webHidden/>
              </w:rPr>
              <w:fldChar w:fldCharType="begin"/>
            </w:r>
            <w:r w:rsidR="00141ABF">
              <w:rPr>
                <w:webHidden/>
              </w:rPr>
              <w:instrText xml:space="preserve"> PAGEREF _Toc54597790 \h </w:instrText>
            </w:r>
            <w:r w:rsidR="00141ABF">
              <w:rPr>
                <w:webHidden/>
              </w:rPr>
            </w:r>
            <w:r w:rsidR="00141ABF">
              <w:rPr>
                <w:webHidden/>
              </w:rPr>
              <w:fldChar w:fldCharType="separate"/>
            </w:r>
            <w:r w:rsidR="00B37785">
              <w:rPr>
                <w:webHidden/>
              </w:rPr>
              <w:t>73</w:t>
            </w:r>
            <w:r w:rsidR="00141ABF">
              <w:rPr>
                <w:webHidden/>
              </w:rPr>
              <w:fldChar w:fldCharType="end"/>
            </w:r>
          </w:hyperlink>
        </w:p>
        <w:p w14:paraId="7645AF93" w14:textId="4940D0EC" w:rsidR="00141ABF" w:rsidRDefault="00EB5E4A">
          <w:pPr>
            <w:pStyle w:val="TOC2"/>
            <w:rPr>
              <w:rFonts w:asciiTheme="minorHAnsi" w:eastAsiaTheme="minorEastAsia" w:hAnsiTheme="minorHAnsi"/>
              <w:noProof/>
              <w:sz w:val="22"/>
              <w:lang w:val="en-AU" w:eastAsia="en-AU"/>
            </w:rPr>
          </w:pPr>
          <w:hyperlink w:anchor="_Toc54597791" w:history="1">
            <w:r w:rsidR="00141ABF" w:rsidRPr="00653288">
              <w:rPr>
                <w:rStyle w:val="Hyperlink"/>
                <w:noProof/>
              </w:rPr>
              <w:t>5.1</w:t>
            </w:r>
            <w:r w:rsidR="00141ABF">
              <w:rPr>
                <w:rFonts w:asciiTheme="minorHAnsi" w:eastAsiaTheme="minorEastAsia" w:hAnsiTheme="minorHAnsi"/>
                <w:noProof/>
                <w:sz w:val="22"/>
                <w:lang w:val="en-AU" w:eastAsia="en-AU"/>
              </w:rPr>
              <w:tab/>
            </w:r>
            <w:r w:rsidR="00141ABF" w:rsidRPr="00653288">
              <w:rPr>
                <w:rStyle w:val="Hyperlink"/>
                <w:noProof/>
              </w:rPr>
              <w:t>Efficient and effective arrangements provide sufficient resources while creating the right incentives for governments</w:t>
            </w:r>
            <w:r w:rsidR="00141ABF">
              <w:rPr>
                <w:noProof/>
                <w:webHidden/>
              </w:rPr>
              <w:tab/>
            </w:r>
            <w:r w:rsidR="00141ABF">
              <w:rPr>
                <w:noProof/>
                <w:webHidden/>
              </w:rPr>
              <w:fldChar w:fldCharType="begin"/>
            </w:r>
            <w:r w:rsidR="00141ABF">
              <w:rPr>
                <w:noProof/>
                <w:webHidden/>
              </w:rPr>
              <w:instrText xml:space="preserve"> PAGEREF _Toc54597791 \h </w:instrText>
            </w:r>
            <w:r w:rsidR="00141ABF">
              <w:rPr>
                <w:noProof/>
                <w:webHidden/>
              </w:rPr>
            </w:r>
            <w:r w:rsidR="00141ABF">
              <w:rPr>
                <w:noProof/>
                <w:webHidden/>
              </w:rPr>
              <w:fldChar w:fldCharType="separate"/>
            </w:r>
            <w:r w:rsidR="00B37785">
              <w:rPr>
                <w:noProof/>
                <w:webHidden/>
              </w:rPr>
              <w:t>73</w:t>
            </w:r>
            <w:r w:rsidR="00141ABF">
              <w:rPr>
                <w:noProof/>
                <w:webHidden/>
              </w:rPr>
              <w:fldChar w:fldCharType="end"/>
            </w:r>
          </w:hyperlink>
        </w:p>
        <w:p w14:paraId="6A6D8792" w14:textId="3312EF41" w:rsidR="00141ABF" w:rsidRDefault="00EB5E4A">
          <w:pPr>
            <w:pStyle w:val="TOC2"/>
            <w:rPr>
              <w:rFonts w:asciiTheme="minorHAnsi" w:eastAsiaTheme="minorEastAsia" w:hAnsiTheme="minorHAnsi"/>
              <w:noProof/>
              <w:sz w:val="22"/>
              <w:lang w:val="en-AU" w:eastAsia="en-AU"/>
            </w:rPr>
          </w:pPr>
          <w:hyperlink w:anchor="_Toc54597792" w:history="1">
            <w:r w:rsidR="00141ABF" w:rsidRPr="00653288">
              <w:rPr>
                <w:rStyle w:val="Hyperlink"/>
                <w:noProof/>
              </w:rPr>
              <w:t>5.2</w:t>
            </w:r>
            <w:r w:rsidR="00141ABF">
              <w:rPr>
                <w:rFonts w:asciiTheme="minorHAnsi" w:eastAsiaTheme="minorEastAsia" w:hAnsiTheme="minorHAnsi"/>
                <w:noProof/>
                <w:sz w:val="22"/>
                <w:lang w:val="en-AU" w:eastAsia="en-AU"/>
              </w:rPr>
              <w:tab/>
            </w:r>
            <w:r w:rsidR="00141ABF" w:rsidRPr="00653288">
              <w:rPr>
                <w:rStyle w:val="Hyperlink"/>
                <w:noProof/>
              </w:rPr>
              <w:t>UANP funding has been effective in achieving the agreed outcomes, with some room for improvement</w:t>
            </w:r>
            <w:r w:rsidR="00141ABF">
              <w:rPr>
                <w:noProof/>
                <w:webHidden/>
              </w:rPr>
              <w:tab/>
            </w:r>
            <w:r w:rsidR="00141ABF">
              <w:rPr>
                <w:noProof/>
                <w:webHidden/>
              </w:rPr>
              <w:fldChar w:fldCharType="begin"/>
            </w:r>
            <w:r w:rsidR="00141ABF">
              <w:rPr>
                <w:noProof/>
                <w:webHidden/>
              </w:rPr>
              <w:instrText xml:space="preserve"> PAGEREF _Toc54597792 \h </w:instrText>
            </w:r>
            <w:r w:rsidR="00141ABF">
              <w:rPr>
                <w:noProof/>
                <w:webHidden/>
              </w:rPr>
            </w:r>
            <w:r w:rsidR="00141ABF">
              <w:rPr>
                <w:noProof/>
                <w:webHidden/>
              </w:rPr>
              <w:fldChar w:fldCharType="separate"/>
            </w:r>
            <w:r w:rsidR="00B37785">
              <w:rPr>
                <w:noProof/>
                <w:webHidden/>
              </w:rPr>
              <w:t>74</w:t>
            </w:r>
            <w:r w:rsidR="00141ABF">
              <w:rPr>
                <w:noProof/>
                <w:webHidden/>
              </w:rPr>
              <w:fldChar w:fldCharType="end"/>
            </w:r>
          </w:hyperlink>
        </w:p>
        <w:p w14:paraId="06F6DEE8" w14:textId="304A6A1E" w:rsidR="00141ABF" w:rsidRDefault="00EB5E4A">
          <w:pPr>
            <w:pStyle w:val="TOC2"/>
            <w:rPr>
              <w:rFonts w:asciiTheme="minorHAnsi" w:eastAsiaTheme="minorEastAsia" w:hAnsiTheme="minorHAnsi"/>
              <w:noProof/>
              <w:sz w:val="22"/>
              <w:lang w:val="en-AU" w:eastAsia="en-AU"/>
            </w:rPr>
          </w:pPr>
          <w:hyperlink w:anchor="_Toc54597793" w:history="1">
            <w:r w:rsidR="00141ABF" w:rsidRPr="00653288">
              <w:rPr>
                <w:rStyle w:val="Hyperlink"/>
                <w:noProof/>
              </w:rPr>
              <w:t>5.3</w:t>
            </w:r>
            <w:r w:rsidR="00141ABF">
              <w:rPr>
                <w:rFonts w:asciiTheme="minorHAnsi" w:eastAsiaTheme="minorEastAsia" w:hAnsiTheme="minorHAnsi"/>
                <w:noProof/>
                <w:sz w:val="22"/>
                <w:lang w:val="en-AU" w:eastAsia="en-AU"/>
              </w:rPr>
              <w:tab/>
            </w:r>
            <w:r w:rsidR="00141ABF" w:rsidRPr="00653288">
              <w:rPr>
                <w:rStyle w:val="Hyperlink"/>
                <w:noProof/>
              </w:rPr>
              <w:t>UANP funding arrangements are efficient, but longer-term arrangements would enable better planning</w:t>
            </w:r>
            <w:r w:rsidR="00141ABF">
              <w:rPr>
                <w:noProof/>
                <w:webHidden/>
              </w:rPr>
              <w:tab/>
            </w:r>
            <w:r w:rsidR="00141ABF">
              <w:rPr>
                <w:noProof/>
                <w:webHidden/>
              </w:rPr>
              <w:fldChar w:fldCharType="begin"/>
            </w:r>
            <w:r w:rsidR="00141ABF">
              <w:rPr>
                <w:noProof/>
                <w:webHidden/>
              </w:rPr>
              <w:instrText xml:space="preserve"> PAGEREF _Toc54597793 \h </w:instrText>
            </w:r>
            <w:r w:rsidR="00141ABF">
              <w:rPr>
                <w:noProof/>
                <w:webHidden/>
              </w:rPr>
            </w:r>
            <w:r w:rsidR="00141ABF">
              <w:rPr>
                <w:noProof/>
                <w:webHidden/>
              </w:rPr>
              <w:fldChar w:fldCharType="separate"/>
            </w:r>
            <w:r w:rsidR="00B37785">
              <w:rPr>
                <w:noProof/>
                <w:webHidden/>
              </w:rPr>
              <w:t>78</w:t>
            </w:r>
            <w:r w:rsidR="00141ABF">
              <w:rPr>
                <w:noProof/>
                <w:webHidden/>
              </w:rPr>
              <w:fldChar w:fldCharType="end"/>
            </w:r>
          </w:hyperlink>
        </w:p>
        <w:p w14:paraId="47D22F37" w14:textId="73609FE6" w:rsidR="00141ABF" w:rsidRDefault="00EB5E4A">
          <w:pPr>
            <w:pStyle w:val="TOC1"/>
            <w:rPr>
              <w:rFonts w:asciiTheme="minorHAnsi" w:eastAsiaTheme="minorEastAsia" w:hAnsiTheme="minorHAnsi"/>
              <w:sz w:val="22"/>
              <w:lang w:val="en-AU" w:eastAsia="en-AU"/>
            </w:rPr>
          </w:pPr>
          <w:hyperlink w:anchor="_Toc54597794" w:history="1">
            <w:r w:rsidR="00141ABF" w:rsidRPr="00653288">
              <w:rPr>
                <w:rStyle w:val="Hyperlink"/>
              </w:rPr>
              <w:t>6</w:t>
            </w:r>
            <w:r w:rsidR="00141ABF">
              <w:rPr>
                <w:rFonts w:asciiTheme="minorHAnsi" w:eastAsiaTheme="minorEastAsia" w:hAnsiTheme="minorHAnsi"/>
                <w:sz w:val="22"/>
                <w:lang w:val="en-AU" w:eastAsia="en-AU"/>
              </w:rPr>
              <w:tab/>
            </w:r>
            <w:r w:rsidR="00141ABF" w:rsidRPr="00653288">
              <w:rPr>
                <w:rStyle w:val="Hyperlink"/>
              </w:rPr>
              <w:t>Considerations for future preschool policy settings</w:t>
            </w:r>
            <w:r w:rsidR="00141ABF">
              <w:rPr>
                <w:webHidden/>
              </w:rPr>
              <w:tab/>
            </w:r>
            <w:r w:rsidR="00141ABF">
              <w:rPr>
                <w:webHidden/>
              </w:rPr>
              <w:fldChar w:fldCharType="begin"/>
            </w:r>
            <w:r w:rsidR="00141ABF">
              <w:rPr>
                <w:webHidden/>
              </w:rPr>
              <w:instrText xml:space="preserve"> PAGEREF _Toc54597794 \h </w:instrText>
            </w:r>
            <w:r w:rsidR="00141ABF">
              <w:rPr>
                <w:webHidden/>
              </w:rPr>
            </w:r>
            <w:r w:rsidR="00141ABF">
              <w:rPr>
                <w:webHidden/>
              </w:rPr>
              <w:fldChar w:fldCharType="separate"/>
            </w:r>
            <w:r w:rsidR="00B37785">
              <w:rPr>
                <w:webHidden/>
              </w:rPr>
              <w:t>83</w:t>
            </w:r>
            <w:r w:rsidR="00141ABF">
              <w:rPr>
                <w:webHidden/>
              </w:rPr>
              <w:fldChar w:fldCharType="end"/>
            </w:r>
          </w:hyperlink>
        </w:p>
        <w:p w14:paraId="656A2F03" w14:textId="13F5FA5D" w:rsidR="00141ABF" w:rsidRDefault="00EB5E4A">
          <w:pPr>
            <w:pStyle w:val="TOC2"/>
            <w:rPr>
              <w:rFonts w:asciiTheme="minorHAnsi" w:eastAsiaTheme="minorEastAsia" w:hAnsiTheme="minorHAnsi"/>
              <w:noProof/>
              <w:sz w:val="22"/>
              <w:lang w:val="en-AU" w:eastAsia="en-AU"/>
            </w:rPr>
          </w:pPr>
          <w:hyperlink w:anchor="_Toc54597795" w:history="1">
            <w:r w:rsidR="00141ABF" w:rsidRPr="00653288">
              <w:rPr>
                <w:rStyle w:val="Hyperlink"/>
                <w:noProof/>
              </w:rPr>
              <w:t>6.1</w:t>
            </w:r>
            <w:r w:rsidR="00141ABF">
              <w:rPr>
                <w:rFonts w:asciiTheme="minorHAnsi" w:eastAsiaTheme="minorEastAsia" w:hAnsiTheme="minorHAnsi"/>
                <w:noProof/>
                <w:sz w:val="22"/>
                <w:lang w:val="en-AU" w:eastAsia="en-AU"/>
              </w:rPr>
              <w:tab/>
            </w:r>
            <w:r w:rsidR="00141ABF" w:rsidRPr="00653288">
              <w:rPr>
                <w:rStyle w:val="Hyperlink"/>
                <w:noProof/>
              </w:rPr>
              <w:t>Governments should build on the UANP’s success to drive further reform</w:t>
            </w:r>
            <w:r w:rsidR="00141ABF">
              <w:rPr>
                <w:noProof/>
                <w:webHidden/>
              </w:rPr>
              <w:tab/>
            </w:r>
            <w:r w:rsidR="00141ABF">
              <w:rPr>
                <w:noProof/>
                <w:webHidden/>
              </w:rPr>
              <w:fldChar w:fldCharType="begin"/>
            </w:r>
            <w:r w:rsidR="00141ABF">
              <w:rPr>
                <w:noProof/>
                <w:webHidden/>
              </w:rPr>
              <w:instrText xml:space="preserve"> PAGEREF _Toc54597795 \h </w:instrText>
            </w:r>
            <w:r w:rsidR="00141ABF">
              <w:rPr>
                <w:noProof/>
                <w:webHidden/>
              </w:rPr>
            </w:r>
            <w:r w:rsidR="00141ABF">
              <w:rPr>
                <w:noProof/>
                <w:webHidden/>
              </w:rPr>
              <w:fldChar w:fldCharType="separate"/>
            </w:r>
            <w:r w:rsidR="00B37785">
              <w:rPr>
                <w:noProof/>
                <w:webHidden/>
              </w:rPr>
              <w:t>83</w:t>
            </w:r>
            <w:r w:rsidR="00141ABF">
              <w:rPr>
                <w:noProof/>
                <w:webHidden/>
              </w:rPr>
              <w:fldChar w:fldCharType="end"/>
            </w:r>
          </w:hyperlink>
        </w:p>
        <w:p w14:paraId="359A84B8" w14:textId="372754CB" w:rsidR="00141ABF" w:rsidRDefault="00EB5E4A">
          <w:pPr>
            <w:pStyle w:val="TOC2"/>
            <w:rPr>
              <w:rFonts w:asciiTheme="minorHAnsi" w:eastAsiaTheme="minorEastAsia" w:hAnsiTheme="minorHAnsi"/>
              <w:noProof/>
              <w:sz w:val="22"/>
              <w:lang w:val="en-AU" w:eastAsia="en-AU"/>
            </w:rPr>
          </w:pPr>
          <w:hyperlink w:anchor="_Toc54597796" w:history="1">
            <w:r w:rsidR="00141ABF" w:rsidRPr="00653288">
              <w:rPr>
                <w:rStyle w:val="Hyperlink"/>
                <w:noProof/>
              </w:rPr>
              <w:t>6.2</w:t>
            </w:r>
            <w:r w:rsidR="00141ABF">
              <w:rPr>
                <w:rFonts w:asciiTheme="minorHAnsi" w:eastAsiaTheme="minorEastAsia" w:hAnsiTheme="minorHAnsi"/>
                <w:noProof/>
                <w:sz w:val="22"/>
                <w:lang w:val="en-AU" w:eastAsia="en-AU"/>
              </w:rPr>
              <w:tab/>
            </w:r>
            <w:r w:rsidR="00141ABF" w:rsidRPr="00653288">
              <w:rPr>
                <w:rStyle w:val="Hyperlink"/>
                <w:noProof/>
              </w:rPr>
              <w:t>The next phase of a national approach should redouble efforts to target children most in need</w:t>
            </w:r>
            <w:r w:rsidR="00141ABF">
              <w:rPr>
                <w:noProof/>
                <w:webHidden/>
              </w:rPr>
              <w:tab/>
            </w:r>
            <w:r w:rsidR="00141ABF">
              <w:rPr>
                <w:noProof/>
                <w:webHidden/>
              </w:rPr>
              <w:fldChar w:fldCharType="begin"/>
            </w:r>
            <w:r w:rsidR="00141ABF">
              <w:rPr>
                <w:noProof/>
                <w:webHidden/>
              </w:rPr>
              <w:instrText xml:space="preserve"> PAGEREF _Toc54597796 \h </w:instrText>
            </w:r>
            <w:r w:rsidR="00141ABF">
              <w:rPr>
                <w:noProof/>
                <w:webHidden/>
              </w:rPr>
            </w:r>
            <w:r w:rsidR="00141ABF">
              <w:rPr>
                <w:noProof/>
                <w:webHidden/>
              </w:rPr>
              <w:fldChar w:fldCharType="separate"/>
            </w:r>
            <w:r w:rsidR="00B37785">
              <w:rPr>
                <w:noProof/>
                <w:webHidden/>
              </w:rPr>
              <w:t>89</w:t>
            </w:r>
            <w:r w:rsidR="00141ABF">
              <w:rPr>
                <w:noProof/>
                <w:webHidden/>
              </w:rPr>
              <w:fldChar w:fldCharType="end"/>
            </w:r>
          </w:hyperlink>
        </w:p>
        <w:p w14:paraId="03E25FA3" w14:textId="66944CF8" w:rsidR="00141ABF" w:rsidRDefault="00EB5E4A">
          <w:pPr>
            <w:pStyle w:val="TOC2"/>
            <w:rPr>
              <w:rFonts w:asciiTheme="minorHAnsi" w:eastAsiaTheme="minorEastAsia" w:hAnsiTheme="minorHAnsi"/>
              <w:noProof/>
              <w:sz w:val="22"/>
              <w:lang w:val="en-AU" w:eastAsia="en-AU"/>
            </w:rPr>
          </w:pPr>
          <w:hyperlink w:anchor="_Toc54597797" w:history="1">
            <w:r w:rsidR="00141ABF" w:rsidRPr="00653288">
              <w:rPr>
                <w:rStyle w:val="Hyperlink"/>
                <w:noProof/>
              </w:rPr>
              <w:t>6.3</w:t>
            </w:r>
            <w:r w:rsidR="00141ABF">
              <w:rPr>
                <w:rFonts w:asciiTheme="minorHAnsi" w:eastAsiaTheme="minorEastAsia" w:hAnsiTheme="minorHAnsi"/>
                <w:noProof/>
                <w:sz w:val="22"/>
                <w:lang w:val="en-AU" w:eastAsia="en-AU"/>
              </w:rPr>
              <w:tab/>
            </w:r>
            <w:r w:rsidR="00141ABF" w:rsidRPr="00653288">
              <w:rPr>
                <w:rStyle w:val="Hyperlink"/>
                <w:noProof/>
              </w:rPr>
              <w:t>Future arrangements need to drive improvements in performance indicators, reporting and data sharing</w:t>
            </w:r>
            <w:r w:rsidR="00141ABF">
              <w:rPr>
                <w:noProof/>
                <w:webHidden/>
              </w:rPr>
              <w:tab/>
            </w:r>
            <w:r w:rsidR="00141ABF">
              <w:rPr>
                <w:noProof/>
                <w:webHidden/>
              </w:rPr>
              <w:fldChar w:fldCharType="begin"/>
            </w:r>
            <w:r w:rsidR="00141ABF">
              <w:rPr>
                <w:noProof/>
                <w:webHidden/>
              </w:rPr>
              <w:instrText xml:space="preserve"> PAGEREF _Toc54597797 \h </w:instrText>
            </w:r>
            <w:r w:rsidR="00141ABF">
              <w:rPr>
                <w:noProof/>
                <w:webHidden/>
              </w:rPr>
            </w:r>
            <w:r w:rsidR="00141ABF">
              <w:rPr>
                <w:noProof/>
                <w:webHidden/>
              </w:rPr>
              <w:fldChar w:fldCharType="separate"/>
            </w:r>
            <w:r w:rsidR="00B37785">
              <w:rPr>
                <w:noProof/>
                <w:webHidden/>
              </w:rPr>
              <w:t>97</w:t>
            </w:r>
            <w:r w:rsidR="00141ABF">
              <w:rPr>
                <w:noProof/>
                <w:webHidden/>
              </w:rPr>
              <w:fldChar w:fldCharType="end"/>
            </w:r>
          </w:hyperlink>
        </w:p>
        <w:p w14:paraId="1E7BAD0F" w14:textId="23D7DFCF" w:rsidR="00141ABF" w:rsidRDefault="00EB5E4A">
          <w:pPr>
            <w:pStyle w:val="TOC2"/>
            <w:rPr>
              <w:rFonts w:asciiTheme="minorHAnsi" w:eastAsiaTheme="minorEastAsia" w:hAnsiTheme="minorHAnsi"/>
              <w:noProof/>
              <w:sz w:val="22"/>
              <w:lang w:val="en-AU" w:eastAsia="en-AU"/>
            </w:rPr>
          </w:pPr>
          <w:hyperlink w:anchor="_Toc54597798" w:history="1">
            <w:r w:rsidR="00141ABF" w:rsidRPr="00653288">
              <w:rPr>
                <w:rStyle w:val="Hyperlink"/>
                <w:noProof/>
              </w:rPr>
              <w:t>6.4</w:t>
            </w:r>
            <w:r w:rsidR="00141ABF">
              <w:rPr>
                <w:rFonts w:asciiTheme="minorHAnsi" w:eastAsiaTheme="minorEastAsia" w:hAnsiTheme="minorHAnsi"/>
                <w:noProof/>
                <w:sz w:val="22"/>
                <w:lang w:val="en-AU" w:eastAsia="en-AU"/>
              </w:rPr>
              <w:tab/>
            </w:r>
            <w:r w:rsidR="00141ABF" w:rsidRPr="00653288">
              <w:rPr>
                <w:rStyle w:val="Hyperlink"/>
                <w:noProof/>
              </w:rPr>
              <w:t>Governments should strive to remove distortions in the preschool ‘ecosystem’ that impede progress</w:t>
            </w:r>
            <w:r w:rsidR="00141ABF">
              <w:rPr>
                <w:noProof/>
                <w:webHidden/>
              </w:rPr>
              <w:tab/>
            </w:r>
            <w:r w:rsidR="00141ABF">
              <w:rPr>
                <w:noProof/>
                <w:webHidden/>
              </w:rPr>
              <w:fldChar w:fldCharType="begin"/>
            </w:r>
            <w:r w:rsidR="00141ABF">
              <w:rPr>
                <w:noProof/>
                <w:webHidden/>
              </w:rPr>
              <w:instrText xml:space="preserve"> PAGEREF _Toc54597798 \h </w:instrText>
            </w:r>
            <w:r w:rsidR="00141ABF">
              <w:rPr>
                <w:noProof/>
                <w:webHidden/>
              </w:rPr>
            </w:r>
            <w:r w:rsidR="00141ABF">
              <w:rPr>
                <w:noProof/>
                <w:webHidden/>
              </w:rPr>
              <w:fldChar w:fldCharType="separate"/>
            </w:r>
            <w:r w:rsidR="00B37785">
              <w:rPr>
                <w:noProof/>
                <w:webHidden/>
              </w:rPr>
              <w:t>103</w:t>
            </w:r>
            <w:r w:rsidR="00141ABF">
              <w:rPr>
                <w:noProof/>
                <w:webHidden/>
              </w:rPr>
              <w:fldChar w:fldCharType="end"/>
            </w:r>
          </w:hyperlink>
        </w:p>
        <w:p w14:paraId="09AADECF" w14:textId="5DFADC30" w:rsidR="00141ABF" w:rsidRDefault="00EB5E4A">
          <w:pPr>
            <w:pStyle w:val="TOC1"/>
            <w:rPr>
              <w:rFonts w:asciiTheme="minorHAnsi" w:eastAsiaTheme="minorEastAsia" w:hAnsiTheme="minorHAnsi"/>
              <w:sz w:val="22"/>
              <w:lang w:val="en-AU" w:eastAsia="en-AU"/>
            </w:rPr>
          </w:pPr>
          <w:hyperlink w:anchor="_Toc54597799" w:history="1">
            <w:r w:rsidR="00141ABF" w:rsidRPr="00653288">
              <w:rPr>
                <w:rStyle w:val="Hyperlink"/>
              </w:rPr>
              <w:t>Appendix A</w:t>
            </w:r>
            <w:r w:rsidR="00141ABF">
              <w:rPr>
                <w:rFonts w:asciiTheme="minorHAnsi" w:eastAsiaTheme="minorEastAsia" w:hAnsiTheme="minorHAnsi"/>
                <w:sz w:val="22"/>
                <w:lang w:val="en-AU" w:eastAsia="en-AU"/>
              </w:rPr>
              <w:tab/>
            </w:r>
            <w:r w:rsidR="00141ABF" w:rsidRPr="00653288">
              <w:rPr>
                <w:rStyle w:val="Hyperlink"/>
              </w:rPr>
              <w:t>Review Terms of Reference</w:t>
            </w:r>
            <w:r w:rsidR="00141ABF">
              <w:rPr>
                <w:webHidden/>
              </w:rPr>
              <w:tab/>
            </w:r>
            <w:r w:rsidR="00141ABF">
              <w:rPr>
                <w:webHidden/>
              </w:rPr>
              <w:fldChar w:fldCharType="begin"/>
            </w:r>
            <w:r w:rsidR="00141ABF">
              <w:rPr>
                <w:webHidden/>
              </w:rPr>
              <w:instrText xml:space="preserve"> PAGEREF _Toc54597799 \h </w:instrText>
            </w:r>
            <w:r w:rsidR="00141ABF">
              <w:rPr>
                <w:webHidden/>
              </w:rPr>
            </w:r>
            <w:r w:rsidR="00141ABF">
              <w:rPr>
                <w:webHidden/>
              </w:rPr>
              <w:fldChar w:fldCharType="separate"/>
            </w:r>
            <w:r w:rsidR="00B37785">
              <w:rPr>
                <w:webHidden/>
              </w:rPr>
              <w:t>106</w:t>
            </w:r>
            <w:r w:rsidR="00141ABF">
              <w:rPr>
                <w:webHidden/>
              </w:rPr>
              <w:fldChar w:fldCharType="end"/>
            </w:r>
          </w:hyperlink>
        </w:p>
        <w:p w14:paraId="7B32742D" w14:textId="10CE0927" w:rsidR="00141ABF" w:rsidRDefault="00EB5E4A">
          <w:pPr>
            <w:pStyle w:val="TOC1"/>
            <w:rPr>
              <w:rFonts w:asciiTheme="minorHAnsi" w:eastAsiaTheme="minorEastAsia" w:hAnsiTheme="minorHAnsi"/>
              <w:sz w:val="22"/>
              <w:lang w:val="en-AU" w:eastAsia="en-AU"/>
            </w:rPr>
          </w:pPr>
          <w:hyperlink w:anchor="_Toc54597800" w:history="1">
            <w:r w:rsidR="00141ABF" w:rsidRPr="00653288">
              <w:rPr>
                <w:rStyle w:val="Hyperlink"/>
              </w:rPr>
              <w:t>Appendix B</w:t>
            </w:r>
            <w:r w:rsidR="00141ABF">
              <w:rPr>
                <w:rFonts w:asciiTheme="minorHAnsi" w:eastAsiaTheme="minorEastAsia" w:hAnsiTheme="minorHAnsi"/>
                <w:sz w:val="22"/>
                <w:lang w:val="en-AU" w:eastAsia="en-AU"/>
              </w:rPr>
              <w:tab/>
            </w:r>
            <w:r w:rsidR="00141ABF" w:rsidRPr="00653288">
              <w:rPr>
                <w:rStyle w:val="Hyperlink"/>
              </w:rPr>
              <w:t>Acronyms</w:t>
            </w:r>
            <w:r w:rsidR="00141ABF">
              <w:rPr>
                <w:webHidden/>
              </w:rPr>
              <w:tab/>
            </w:r>
            <w:r w:rsidR="00141ABF">
              <w:rPr>
                <w:webHidden/>
              </w:rPr>
              <w:fldChar w:fldCharType="begin"/>
            </w:r>
            <w:r w:rsidR="00141ABF">
              <w:rPr>
                <w:webHidden/>
              </w:rPr>
              <w:instrText xml:space="preserve"> PAGEREF _Toc54597800 \h </w:instrText>
            </w:r>
            <w:r w:rsidR="00141ABF">
              <w:rPr>
                <w:webHidden/>
              </w:rPr>
            </w:r>
            <w:r w:rsidR="00141ABF">
              <w:rPr>
                <w:webHidden/>
              </w:rPr>
              <w:fldChar w:fldCharType="separate"/>
            </w:r>
            <w:r w:rsidR="00B37785">
              <w:rPr>
                <w:webHidden/>
              </w:rPr>
              <w:t>110</w:t>
            </w:r>
            <w:r w:rsidR="00141ABF">
              <w:rPr>
                <w:webHidden/>
              </w:rPr>
              <w:fldChar w:fldCharType="end"/>
            </w:r>
          </w:hyperlink>
        </w:p>
        <w:p w14:paraId="599FDF67" w14:textId="38DC855F" w:rsidR="00141ABF" w:rsidRDefault="00EB5E4A">
          <w:pPr>
            <w:pStyle w:val="TOC1"/>
            <w:rPr>
              <w:rFonts w:asciiTheme="minorHAnsi" w:eastAsiaTheme="minorEastAsia" w:hAnsiTheme="minorHAnsi"/>
              <w:sz w:val="22"/>
              <w:lang w:val="en-AU" w:eastAsia="en-AU"/>
            </w:rPr>
          </w:pPr>
          <w:hyperlink w:anchor="_Toc54597801" w:history="1">
            <w:r w:rsidR="00141ABF" w:rsidRPr="00653288">
              <w:rPr>
                <w:rStyle w:val="Hyperlink"/>
              </w:rPr>
              <w:t>Appendix C</w:t>
            </w:r>
            <w:r w:rsidR="00141ABF">
              <w:rPr>
                <w:rFonts w:asciiTheme="minorHAnsi" w:eastAsiaTheme="minorEastAsia" w:hAnsiTheme="minorHAnsi"/>
                <w:sz w:val="22"/>
                <w:lang w:val="en-AU" w:eastAsia="en-AU"/>
              </w:rPr>
              <w:tab/>
            </w:r>
            <w:r w:rsidR="00141ABF" w:rsidRPr="00653288">
              <w:rPr>
                <w:rStyle w:val="Hyperlink"/>
              </w:rPr>
              <w:t>Glossary</w:t>
            </w:r>
            <w:r w:rsidR="00141ABF">
              <w:rPr>
                <w:webHidden/>
              </w:rPr>
              <w:tab/>
            </w:r>
            <w:r w:rsidR="00141ABF">
              <w:rPr>
                <w:webHidden/>
              </w:rPr>
              <w:fldChar w:fldCharType="begin"/>
            </w:r>
            <w:r w:rsidR="00141ABF">
              <w:rPr>
                <w:webHidden/>
              </w:rPr>
              <w:instrText xml:space="preserve"> PAGEREF _Toc54597801 \h </w:instrText>
            </w:r>
            <w:r w:rsidR="00141ABF">
              <w:rPr>
                <w:webHidden/>
              </w:rPr>
            </w:r>
            <w:r w:rsidR="00141ABF">
              <w:rPr>
                <w:webHidden/>
              </w:rPr>
              <w:fldChar w:fldCharType="separate"/>
            </w:r>
            <w:r w:rsidR="00B37785">
              <w:rPr>
                <w:webHidden/>
              </w:rPr>
              <w:t>113</w:t>
            </w:r>
            <w:r w:rsidR="00141ABF">
              <w:rPr>
                <w:webHidden/>
              </w:rPr>
              <w:fldChar w:fldCharType="end"/>
            </w:r>
          </w:hyperlink>
        </w:p>
        <w:p w14:paraId="654A5266" w14:textId="24BC19B3" w:rsidR="00141ABF" w:rsidRDefault="00EB5E4A">
          <w:pPr>
            <w:pStyle w:val="TOC1"/>
            <w:rPr>
              <w:rFonts w:asciiTheme="minorHAnsi" w:eastAsiaTheme="minorEastAsia" w:hAnsiTheme="minorHAnsi"/>
              <w:sz w:val="22"/>
              <w:lang w:val="en-AU" w:eastAsia="en-AU"/>
            </w:rPr>
          </w:pPr>
          <w:hyperlink w:anchor="_Toc54597802" w:history="1">
            <w:r w:rsidR="00141ABF" w:rsidRPr="00653288">
              <w:rPr>
                <w:rStyle w:val="Hyperlink"/>
              </w:rPr>
              <w:t>Appendix D</w:t>
            </w:r>
            <w:r w:rsidR="00141ABF">
              <w:rPr>
                <w:rFonts w:asciiTheme="minorHAnsi" w:eastAsiaTheme="minorEastAsia" w:hAnsiTheme="minorHAnsi"/>
                <w:sz w:val="22"/>
                <w:lang w:val="en-AU" w:eastAsia="en-AU"/>
              </w:rPr>
              <w:tab/>
            </w:r>
            <w:r w:rsidR="00141ABF" w:rsidRPr="00653288">
              <w:rPr>
                <w:rStyle w:val="Hyperlink"/>
              </w:rPr>
              <w:t>UANP performance framework</w:t>
            </w:r>
            <w:r w:rsidR="00141ABF">
              <w:rPr>
                <w:webHidden/>
              </w:rPr>
              <w:tab/>
            </w:r>
            <w:r w:rsidR="00141ABF">
              <w:rPr>
                <w:webHidden/>
              </w:rPr>
              <w:fldChar w:fldCharType="begin"/>
            </w:r>
            <w:r w:rsidR="00141ABF">
              <w:rPr>
                <w:webHidden/>
              </w:rPr>
              <w:instrText xml:space="preserve"> PAGEREF _Toc54597802 \h </w:instrText>
            </w:r>
            <w:r w:rsidR="00141ABF">
              <w:rPr>
                <w:webHidden/>
              </w:rPr>
            </w:r>
            <w:r w:rsidR="00141ABF">
              <w:rPr>
                <w:webHidden/>
              </w:rPr>
              <w:fldChar w:fldCharType="separate"/>
            </w:r>
            <w:r w:rsidR="00B37785">
              <w:rPr>
                <w:webHidden/>
              </w:rPr>
              <w:t>114</w:t>
            </w:r>
            <w:r w:rsidR="00141ABF">
              <w:rPr>
                <w:webHidden/>
              </w:rPr>
              <w:fldChar w:fldCharType="end"/>
            </w:r>
          </w:hyperlink>
        </w:p>
        <w:p w14:paraId="6F48070B" w14:textId="385E3DAB" w:rsidR="00141ABF" w:rsidRDefault="00EB5E4A">
          <w:pPr>
            <w:pStyle w:val="TOC1"/>
            <w:rPr>
              <w:rFonts w:asciiTheme="minorHAnsi" w:eastAsiaTheme="minorEastAsia" w:hAnsiTheme="minorHAnsi"/>
              <w:sz w:val="22"/>
              <w:lang w:val="en-AU" w:eastAsia="en-AU"/>
            </w:rPr>
          </w:pPr>
          <w:hyperlink w:anchor="_Toc54597803" w:history="1">
            <w:r w:rsidR="00141ABF" w:rsidRPr="00653288">
              <w:rPr>
                <w:rStyle w:val="Hyperlink"/>
              </w:rPr>
              <w:t>Appendix E</w:t>
            </w:r>
            <w:r w:rsidR="00141ABF">
              <w:rPr>
                <w:rFonts w:asciiTheme="minorHAnsi" w:eastAsiaTheme="minorEastAsia" w:hAnsiTheme="minorHAnsi"/>
                <w:sz w:val="22"/>
                <w:lang w:val="en-AU" w:eastAsia="en-AU"/>
              </w:rPr>
              <w:tab/>
            </w:r>
            <w:r w:rsidR="00141ABF" w:rsidRPr="00653288">
              <w:rPr>
                <w:rStyle w:val="Hyperlink"/>
              </w:rPr>
              <w:t>Evolution of the UANP and its predecessor agreements</w:t>
            </w:r>
            <w:r w:rsidR="00141ABF">
              <w:rPr>
                <w:webHidden/>
              </w:rPr>
              <w:tab/>
            </w:r>
            <w:r w:rsidR="00141ABF">
              <w:rPr>
                <w:webHidden/>
              </w:rPr>
              <w:fldChar w:fldCharType="begin"/>
            </w:r>
            <w:r w:rsidR="00141ABF">
              <w:rPr>
                <w:webHidden/>
              </w:rPr>
              <w:instrText xml:space="preserve"> PAGEREF _Toc54597803 \h </w:instrText>
            </w:r>
            <w:r w:rsidR="00141ABF">
              <w:rPr>
                <w:webHidden/>
              </w:rPr>
            </w:r>
            <w:r w:rsidR="00141ABF">
              <w:rPr>
                <w:webHidden/>
              </w:rPr>
              <w:fldChar w:fldCharType="separate"/>
            </w:r>
            <w:r w:rsidR="00B37785">
              <w:rPr>
                <w:webHidden/>
              </w:rPr>
              <w:t>115</w:t>
            </w:r>
            <w:r w:rsidR="00141ABF">
              <w:rPr>
                <w:webHidden/>
              </w:rPr>
              <w:fldChar w:fldCharType="end"/>
            </w:r>
          </w:hyperlink>
        </w:p>
        <w:p w14:paraId="394311BB" w14:textId="03C164B8" w:rsidR="00141ABF" w:rsidRDefault="00EB5E4A">
          <w:pPr>
            <w:pStyle w:val="TOC1"/>
            <w:rPr>
              <w:rFonts w:asciiTheme="minorHAnsi" w:eastAsiaTheme="minorEastAsia" w:hAnsiTheme="minorHAnsi"/>
              <w:sz w:val="22"/>
              <w:lang w:val="en-AU" w:eastAsia="en-AU"/>
            </w:rPr>
          </w:pPr>
          <w:hyperlink w:anchor="_Toc54597804" w:history="1">
            <w:r w:rsidR="00141ABF" w:rsidRPr="00653288">
              <w:rPr>
                <w:rStyle w:val="Hyperlink"/>
              </w:rPr>
              <w:t>Appendix F</w:t>
            </w:r>
            <w:r w:rsidR="00141ABF">
              <w:rPr>
                <w:rFonts w:asciiTheme="minorHAnsi" w:eastAsiaTheme="minorEastAsia" w:hAnsiTheme="minorHAnsi"/>
                <w:sz w:val="22"/>
                <w:lang w:val="en-AU" w:eastAsia="en-AU"/>
              </w:rPr>
              <w:tab/>
            </w:r>
            <w:r w:rsidR="00141ABF" w:rsidRPr="00653288">
              <w:rPr>
                <w:rStyle w:val="Hyperlink"/>
              </w:rPr>
              <w:t>Figure 1 sources and notes</w:t>
            </w:r>
            <w:r w:rsidR="00141ABF">
              <w:rPr>
                <w:webHidden/>
              </w:rPr>
              <w:tab/>
            </w:r>
            <w:r w:rsidR="00141ABF">
              <w:rPr>
                <w:webHidden/>
              </w:rPr>
              <w:fldChar w:fldCharType="begin"/>
            </w:r>
            <w:r w:rsidR="00141ABF">
              <w:rPr>
                <w:webHidden/>
              </w:rPr>
              <w:instrText xml:space="preserve"> PAGEREF _Toc54597804 \h </w:instrText>
            </w:r>
            <w:r w:rsidR="00141ABF">
              <w:rPr>
                <w:webHidden/>
              </w:rPr>
            </w:r>
            <w:r w:rsidR="00141ABF">
              <w:rPr>
                <w:webHidden/>
              </w:rPr>
              <w:fldChar w:fldCharType="separate"/>
            </w:r>
            <w:r w:rsidR="00B37785">
              <w:rPr>
                <w:webHidden/>
              </w:rPr>
              <w:t>117</w:t>
            </w:r>
            <w:r w:rsidR="00141ABF">
              <w:rPr>
                <w:webHidden/>
              </w:rPr>
              <w:fldChar w:fldCharType="end"/>
            </w:r>
          </w:hyperlink>
        </w:p>
        <w:p w14:paraId="5D0BF997" w14:textId="48A78F03" w:rsidR="00141ABF" w:rsidRDefault="00EB5E4A">
          <w:pPr>
            <w:pStyle w:val="TOC1"/>
            <w:rPr>
              <w:rFonts w:asciiTheme="minorHAnsi" w:eastAsiaTheme="minorEastAsia" w:hAnsiTheme="minorHAnsi"/>
              <w:sz w:val="22"/>
              <w:lang w:val="en-AU" w:eastAsia="en-AU"/>
            </w:rPr>
          </w:pPr>
          <w:hyperlink w:anchor="_Toc54597805" w:history="1">
            <w:r w:rsidR="00141ABF" w:rsidRPr="00653288">
              <w:rPr>
                <w:rStyle w:val="Hyperlink"/>
              </w:rPr>
              <w:t>Appendix G</w:t>
            </w:r>
            <w:r w:rsidR="00141ABF">
              <w:rPr>
                <w:rFonts w:asciiTheme="minorHAnsi" w:eastAsiaTheme="minorEastAsia" w:hAnsiTheme="minorHAnsi"/>
                <w:sz w:val="22"/>
                <w:lang w:val="en-AU" w:eastAsia="en-AU"/>
              </w:rPr>
              <w:tab/>
            </w:r>
            <w:r w:rsidR="00141ABF" w:rsidRPr="00653288">
              <w:rPr>
                <w:rStyle w:val="Hyperlink"/>
              </w:rPr>
              <w:t>The Review’s calculation of funding estimates</w:t>
            </w:r>
            <w:r w:rsidR="00141ABF">
              <w:rPr>
                <w:webHidden/>
              </w:rPr>
              <w:tab/>
            </w:r>
            <w:r w:rsidR="00141ABF">
              <w:rPr>
                <w:webHidden/>
              </w:rPr>
              <w:fldChar w:fldCharType="begin"/>
            </w:r>
            <w:r w:rsidR="00141ABF">
              <w:rPr>
                <w:webHidden/>
              </w:rPr>
              <w:instrText xml:space="preserve"> PAGEREF _Toc54597805 \h </w:instrText>
            </w:r>
            <w:r w:rsidR="00141ABF">
              <w:rPr>
                <w:webHidden/>
              </w:rPr>
            </w:r>
            <w:r w:rsidR="00141ABF">
              <w:rPr>
                <w:webHidden/>
              </w:rPr>
              <w:fldChar w:fldCharType="separate"/>
            </w:r>
            <w:r w:rsidR="00B37785">
              <w:rPr>
                <w:webHidden/>
              </w:rPr>
              <w:t>119</w:t>
            </w:r>
            <w:r w:rsidR="00141ABF">
              <w:rPr>
                <w:webHidden/>
              </w:rPr>
              <w:fldChar w:fldCharType="end"/>
            </w:r>
          </w:hyperlink>
        </w:p>
        <w:p w14:paraId="2F72FAB6" w14:textId="5B078CC4" w:rsidR="00141ABF" w:rsidRDefault="00EB5E4A">
          <w:pPr>
            <w:pStyle w:val="TOC1"/>
            <w:rPr>
              <w:rFonts w:asciiTheme="minorHAnsi" w:eastAsiaTheme="minorEastAsia" w:hAnsiTheme="minorHAnsi"/>
              <w:sz w:val="22"/>
              <w:lang w:val="en-AU" w:eastAsia="en-AU"/>
            </w:rPr>
          </w:pPr>
          <w:hyperlink w:anchor="_Toc54597806" w:history="1">
            <w:r w:rsidR="00141ABF" w:rsidRPr="00653288">
              <w:rPr>
                <w:rStyle w:val="Hyperlink"/>
              </w:rPr>
              <w:t>Appendix H</w:t>
            </w:r>
            <w:r w:rsidR="00141ABF">
              <w:rPr>
                <w:rFonts w:asciiTheme="minorHAnsi" w:eastAsiaTheme="minorEastAsia" w:hAnsiTheme="minorHAnsi"/>
                <w:sz w:val="22"/>
                <w:lang w:val="en-AU" w:eastAsia="en-AU"/>
              </w:rPr>
              <w:tab/>
            </w:r>
            <w:r w:rsidR="00141ABF" w:rsidRPr="00653288">
              <w:rPr>
                <w:rStyle w:val="Hyperlink"/>
              </w:rPr>
              <w:t>Consultation participants</w:t>
            </w:r>
            <w:r w:rsidR="00141ABF">
              <w:rPr>
                <w:webHidden/>
              </w:rPr>
              <w:tab/>
            </w:r>
            <w:r w:rsidR="00141ABF">
              <w:rPr>
                <w:webHidden/>
              </w:rPr>
              <w:fldChar w:fldCharType="begin"/>
            </w:r>
            <w:r w:rsidR="00141ABF">
              <w:rPr>
                <w:webHidden/>
              </w:rPr>
              <w:instrText xml:space="preserve"> PAGEREF _Toc54597806 \h </w:instrText>
            </w:r>
            <w:r w:rsidR="00141ABF">
              <w:rPr>
                <w:webHidden/>
              </w:rPr>
            </w:r>
            <w:r w:rsidR="00141ABF">
              <w:rPr>
                <w:webHidden/>
              </w:rPr>
              <w:fldChar w:fldCharType="separate"/>
            </w:r>
            <w:r w:rsidR="00B37785">
              <w:rPr>
                <w:webHidden/>
              </w:rPr>
              <w:t>124</w:t>
            </w:r>
            <w:r w:rsidR="00141ABF">
              <w:rPr>
                <w:webHidden/>
              </w:rPr>
              <w:fldChar w:fldCharType="end"/>
            </w:r>
          </w:hyperlink>
        </w:p>
        <w:p w14:paraId="200A9199" w14:textId="03B190E8" w:rsidR="00F5196C" w:rsidRDefault="00F5196C" w:rsidP="00F5196C">
          <w:pPr>
            <w:tabs>
              <w:tab w:val="right" w:leader="dot" w:pos="8647"/>
            </w:tabs>
            <w:ind w:right="283"/>
            <w:rPr>
              <w:b/>
              <w:bCs/>
              <w:noProof/>
            </w:rPr>
          </w:pPr>
          <w:r>
            <w:rPr>
              <w:noProof/>
              <w:lang w:val="en-US"/>
            </w:rPr>
            <w:fldChar w:fldCharType="end"/>
          </w:r>
        </w:p>
      </w:sdtContent>
    </w:sdt>
    <w:p w14:paraId="50804D3C" w14:textId="77777777" w:rsidR="003E1A1C" w:rsidRDefault="003E1A1C" w:rsidP="008966D5">
      <w:pPr>
        <w:tabs>
          <w:tab w:val="right" w:leader="dot" w:pos="8647"/>
        </w:tabs>
        <w:ind w:right="283"/>
      </w:pPr>
    </w:p>
    <w:p w14:paraId="5125F63E" w14:textId="77777777" w:rsidR="002D60F1" w:rsidRDefault="002D60F1" w:rsidP="006F6D07">
      <w:pPr>
        <w:pStyle w:val="Heading1"/>
        <w:numPr>
          <w:ilvl w:val="0"/>
          <w:numId w:val="0"/>
        </w:numPr>
        <w:sectPr w:rsidR="002D60F1" w:rsidSect="007C5688">
          <w:headerReference w:type="default" r:id="rId19"/>
          <w:headerReference w:type="first" r:id="rId20"/>
          <w:pgSz w:w="11907" w:h="16839" w:code="9"/>
          <w:pgMar w:top="1418" w:right="1418" w:bottom="1701" w:left="1559" w:header="720" w:footer="720" w:gutter="0"/>
          <w:pgNumType w:fmt="lowerRoman"/>
          <w:cols w:space="720"/>
          <w:titlePg/>
          <w:docGrid w:linePitch="360"/>
        </w:sectPr>
      </w:pPr>
      <w:bookmarkStart w:id="5" w:name="_Toc20488625"/>
      <w:bookmarkStart w:id="6" w:name="_Toc20754971"/>
      <w:bookmarkStart w:id="7" w:name="_Toc20759109"/>
      <w:bookmarkStart w:id="8" w:name="_Toc20904940"/>
      <w:bookmarkStart w:id="9" w:name="_Toc21691802"/>
      <w:bookmarkStart w:id="10" w:name="_Toc22303177"/>
      <w:bookmarkStart w:id="11" w:name="_Toc22722848"/>
    </w:p>
    <w:p w14:paraId="5A464059" w14:textId="2A740562" w:rsidR="002D60F1" w:rsidRPr="002D60F1" w:rsidRDefault="005376CD" w:rsidP="002D60F1">
      <w:pPr>
        <w:keepNext/>
        <w:pageBreakBefore/>
        <w:spacing w:after="360" w:line="560" w:lineRule="exact"/>
        <w:outlineLvl w:val="0"/>
        <w:rPr>
          <w:rFonts w:eastAsia="Times New Roman" w:cs="Times New Roman"/>
          <w:b/>
          <w:color w:val="00264D"/>
          <w:sz w:val="36"/>
          <w:szCs w:val="19"/>
          <w:lang w:eastAsia="en-AU"/>
        </w:rPr>
      </w:pPr>
      <w:bookmarkStart w:id="12" w:name="_Toc54597765"/>
      <w:r>
        <w:rPr>
          <w:rFonts w:eastAsia="Times New Roman" w:cs="Times New Roman"/>
          <w:b/>
          <w:color w:val="00264D"/>
          <w:sz w:val="36"/>
          <w:szCs w:val="19"/>
          <w:lang w:eastAsia="en-AU"/>
        </w:rPr>
        <w:lastRenderedPageBreak/>
        <w:t xml:space="preserve">UANP </w:t>
      </w:r>
      <w:r w:rsidR="002D60F1" w:rsidRPr="002D60F1">
        <w:rPr>
          <w:rFonts w:eastAsia="Times New Roman" w:cs="Times New Roman"/>
          <w:b/>
          <w:color w:val="00264D"/>
          <w:sz w:val="36"/>
          <w:szCs w:val="19"/>
          <w:lang w:eastAsia="en-AU"/>
        </w:rPr>
        <w:t>Review: Key points</w:t>
      </w:r>
      <w:bookmarkEnd w:id="12"/>
      <w:r w:rsidR="00DF46CC">
        <w:rPr>
          <w:noProof/>
          <w:lang w:eastAsia="en-AU"/>
        </w:rPr>
        <mc:AlternateContent>
          <mc:Choice Requires="wpg">
            <w:drawing>
              <wp:anchor distT="0" distB="0" distL="114300" distR="114300" simplePos="0" relativeHeight="251660307" behindDoc="1" locked="0" layoutInCell="1" allowOverlap="1" wp14:anchorId="3FFF52E0" wp14:editId="3CA34611">
                <wp:simplePos x="826135" y="629920"/>
                <wp:positionH relativeFrom="page">
                  <wp:align>left</wp:align>
                </wp:positionH>
                <wp:positionV relativeFrom="page">
                  <wp:align>top</wp:align>
                </wp:positionV>
                <wp:extent cx="7560000" cy="1026000"/>
                <wp:effectExtent l="0" t="0" r="3175" b="3175"/>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26000"/>
                          <a:chOff x="0" y="0"/>
                          <a:chExt cx="7559675" cy="1061859"/>
                        </a:xfrm>
                      </wpg:grpSpPr>
                      <pic:pic xmlns:pic="http://schemas.openxmlformats.org/drawingml/2006/picture">
                        <pic:nvPicPr>
                          <pic:cNvPr id="63" name="Picture 63" descr="Nous Group header border"/>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675" cy="114935"/>
                          </a:xfrm>
                          <a:prstGeom prst="rect">
                            <a:avLst/>
                          </a:prstGeom>
                          <a:noFill/>
                          <a:ln>
                            <a:noFill/>
                          </a:ln>
                          <a:effectLst/>
                        </pic:spPr>
                      </pic:pic>
                      <wps:wsp>
                        <wps:cNvPr id="44" name="Rectangle 44" descr="Nous Group header border"/>
                        <wps:cNvSpPr/>
                        <wps:spPr>
                          <a:xfrm>
                            <a:off x="0" y="111319"/>
                            <a:ext cx="7559675" cy="95054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50829" id="Group 65" o:spid="_x0000_s1026" alt="&quot;&quot;" style="position:absolute;margin-left:0;margin-top:0;width:595.3pt;height:80.8pt;z-index:-251656173;mso-position-horizontal:left;mso-position-horizontal-relative:page;mso-position-vertical:top;mso-position-vertical-relative:page;mso-width-relative:margin;mso-height-relative:margin" coordsize="75596,10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alt="Nous Group header border" style="position:absolute;width:75596;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">
                  <v:imagedata r:id="rId22" o:title="Nous Group header border"/>
                  <o:lock v:ext="edit" aspectratio="f"/>
                </v:shape>
                <v:rect id="Rectangle 44" o:spid="_x0000_s1028" alt="Nous Group header border" style="position:absolute;top:1113;width:75596;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" fillcolor="#e6e6e1 [3208]" stroked="f" strokeweight="2pt"/>
                <w10:wrap anchorx="page" anchory="page"/>
              </v:group>
            </w:pict>
          </mc:Fallback>
        </mc:AlternateContent>
      </w:r>
    </w:p>
    <w:p w14:paraId="541F8C55" w14:textId="14C6B210"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inorHAnsi" w:eastAsia="Times New Roman" w:hAnsiTheme="minorHAnsi" w:cstheme="minorHAnsi"/>
          <w:sz w:val="20"/>
          <w:szCs w:val="20"/>
          <w:lang w:eastAsia="en-AU"/>
        </w:rPr>
        <w:t xml:space="preserve">Nous was engaged on behalf of the COAG Education Council to conduct an independent review of the Universal Access National Partnership (UANP). Funding under this agreement expires at the end of 2020. The Review was overseen by officials from all governments and informed by extensive </w:t>
      </w:r>
      <w:r w:rsidR="00F72C6E" w:rsidRPr="002D60F1">
        <w:rPr>
          <w:rFonts w:asciiTheme="minorHAnsi" w:eastAsia="Times New Roman" w:hAnsiTheme="minorHAnsi" w:cstheme="minorHAnsi"/>
          <w:sz w:val="20"/>
          <w:szCs w:val="20"/>
          <w:lang w:eastAsia="en-AU"/>
        </w:rPr>
        <w:t xml:space="preserve">sector </w:t>
      </w:r>
      <w:r w:rsidRPr="002D60F1">
        <w:rPr>
          <w:rFonts w:asciiTheme="minorHAnsi" w:eastAsia="Times New Roman" w:hAnsiTheme="minorHAnsi" w:cstheme="minorHAnsi"/>
          <w:sz w:val="20"/>
          <w:szCs w:val="20"/>
          <w:lang w:eastAsia="en-AU"/>
        </w:rPr>
        <w:t>consultation.</w:t>
      </w:r>
    </w:p>
    <w:p w14:paraId="59578D04" w14:textId="4D1ABC27"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ajorHAnsi" w:eastAsia="Times New Roman" w:hAnsiTheme="majorHAnsi" w:cstheme="majorHAnsi"/>
          <w:sz w:val="20"/>
          <w:szCs w:val="20"/>
          <w:lang w:eastAsia="en-AU"/>
        </w:rPr>
        <w:t>The UANP is considered a major success across the sector. As intended, it has precipitated a significant increase in participation in quality preschool (kindergarten) by children in the year before full-time school</w:t>
      </w:r>
      <w:r w:rsidRPr="002D60F1">
        <w:rPr>
          <w:rFonts w:asciiTheme="minorHAnsi" w:eastAsia="Times New Roman" w:hAnsiTheme="minorHAnsi" w:cstheme="minorHAnsi"/>
          <w:sz w:val="20"/>
          <w:szCs w:val="20"/>
          <w:lang w:eastAsia="en-AU"/>
        </w:rPr>
        <w:t xml:space="preserve"> (YBFS): more children are enrolled, and the proportion enrolled for the target of 600 hours has increased from 12 per cent in 2008 to 96 per cent in 2018. This reflects </w:t>
      </w:r>
      <w:r w:rsidR="00E2315B">
        <w:rPr>
          <w:rFonts w:asciiTheme="minorHAnsi" w:eastAsia="Times New Roman" w:hAnsiTheme="minorHAnsi" w:cstheme="minorHAnsi"/>
          <w:sz w:val="20"/>
          <w:szCs w:val="20"/>
          <w:lang w:eastAsia="en-AU"/>
        </w:rPr>
        <w:t xml:space="preserve">growth </w:t>
      </w:r>
      <w:r w:rsidRPr="002D60F1">
        <w:rPr>
          <w:rFonts w:asciiTheme="minorHAnsi" w:eastAsia="Times New Roman" w:hAnsiTheme="minorHAnsi" w:cstheme="minorHAnsi"/>
          <w:sz w:val="20"/>
          <w:szCs w:val="20"/>
          <w:lang w:eastAsia="en-AU"/>
        </w:rPr>
        <w:t xml:space="preserve">in service capacity and </w:t>
      </w:r>
      <w:r w:rsidR="00E2315B">
        <w:rPr>
          <w:rFonts w:asciiTheme="minorHAnsi" w:eastAsia="Times New Roman" w:hAnsiTheme="minorHAnsi" w:cstheme="minorHAnsi"/>
          <w:sz w:val="20"/>
          <w:szCs w:val="20"/>
          <w:lang w:eastAsia="en-AU"/>
        </w:rPr>
        <w:t>in</w:t>
      </w:r>
      <w:r w:rsidR="00E2315B" w:rsidRPr="002D60F1">
        <w:rPr>
          <w:rFonts w:asciiTheme="minorHAnsi" w:eastAsia="Times New Roman" w:hAnsiTheme="minorHAnsi" w:cstheme="minorHAnsi"/>
          <w:sz w:val="20"/>
          <w:szCs w:val="20"/>
          <w:lang w:eastAsia="en-AU"/>
        </w:rPr>
        <w:t xml:space="preserve"> </w:t>
      </w:r>
      <w:r w:rsidRPr="002D60F1">
        <w:rPr>
          <w:rFonts w:asciiTheme="minorHAnsi" w:eastAsia="Times New Roman" w:hAnsiTheme="minorHAnsi" w:cstheme="minorHAnsi"/>
          <w:sz w:val="20"/>
          <w:szCs w:val="20"/>
          <w:lang w:eastAsia="en-AU"/>
        </w:rPr>
        <w:t>community awareness of the importance of preschool (which remains voluntary in</w:t>
      </w:r>
      <w:r w:rsidR="00E2315B">
        <w:rPr>
          <w:rFonts w:asciiTheme="minorHAnsi" w:eastAsia="Times New Roman" w:hAnsiTheme="minorHAnsi" w:cstheme="minorHAnsi"/>
          <w:sz w:val="20"/>
          <w:szCs w:val="20"/>
          <w:lang w:eastAsia="en-AU"/>
        </w:rPr>
        <w:t xml:space="preserve"> Australia</w:t>
      </w:r>
      <w:r w:rsidRPr="002D60F1">
        <w:rPr>
          <w:rFonts w:asciiTheme="minorHAnsi" w:eastAsia="Times New Roman" w:hAnsiTheme="minorHAnsi" w:cstheme="minorHAnsi"/>
          <w:sz w:val="20"/>
          <w:szCs w:val="20"/>
          <w:lang w:eastAsia="en-AU"/>
        </w:rPr>
        <w:t>).</w:t>
      </w:r>
    </w:p>
    <w:p w14:paraId="0EC9C120" w14:textId="16EAD0A5" w:rsidR="002D60F1" w:rsidRPr="002D60F1" w:rsidRDefault="002D60F1" w:rsidP="002D60F1">
      <w:pPr>
        <w:suppressAutoHyphens/>
        <w:spacing w:after="200"/>
        <w:rPr>
          <w:rFonts w:asciiTheme="minorHAnsi" w:eastAsia="Times New Roman" w:hAnsiTheme="minorHAnsi" w:cstheme="minorHAnsi"/>
          <w:sz w:val="20"/>
          <w:szCs w:val="20"/>
          <w:lang w:eastAsia="en-AU"/>
        </w:rPr>
      </w:pPr>
      <w:bookmarkStart w:id="13" w:name="_Hlk31907084"/>
      <w:r w:rsidRPr="002D60F1">
        <w:rPr>
          <w:rFonts w:asciiTheme="majorHAnsi" w:eastAsia="Times New Roman" w:hAnsiTheme="majorHAnsi" w:cstheme="majorHAnsi"/>
          <w:sz w:val="20"/>
          <w:szCs w:val="20"/>
          <w:lang w:eastAsia="en-AU"/>
        </w:rPr>
        <w:t xml:space="preserve">Despite significant gains, some children are still missing out. Indigenous children and vulnerable and disadvantaged children </w:t>
      </w:r>
      <w:bookmarkEnd w:id="13"/>
      <w:r w:rsidRPr="002D60F1">
        <w:rPr>
          <w:rFonts w:asciiTheme="majorHAnsi" w:eastAsia="Times New Roman" w:hAnsiTheme="majorHAnsi" w:cstheme="majorHAnsi"/>
          <w:sz w:val="20"/>
          <w:szCs w:val="20"/>
          <w:lang w:eastAsia="en-AU"/>
        </w:rPr>
        <w:t>are overrepresented in this group.</w:t>
      </w:r>
      <w:r w:rsidR="002177CF">
        <w:rPr>
          <w:rFonts w:asciiTheme="majorHAnsi" w:eastAsia="Times New Roman" w:hAnsiTheme="majorHAnsi" w:cstheme="majorHAnsi"/>
          <w:sz w:val="20"/>
          <w:szCs w:val="20"/>
          <w:lang w:eastAsia="en-AU"/>
        </w:rPr>
        <w:t xml:space="preserve"> </w:t>
      </w:r>
      <w:r w:rsidR="00EA1001" w:rsidRPr="00EA1001">
        <w:rPr>
          <w:rFonts w:asciiTheme="minorHAnsi" w:eastAsia="Times New Roman" w:hAnsiTheme="minorHAnsi" w:cstheme="minorHAnsi"/>
          <w:sz w:val="20"/>
          <w:szCs w:val="20"/>
          <w:lang w:eastAsia="en-AU"/>
        </w:rPr>
        <w:t>R</w:t>
      </w:r>
      <w:r w:rsidR="00EE3C04" w:rsidRPr="00EA1001">
        <w:rPr>
          <w:rFonts w:asciiTheme="minorHAnsi" w:eastAsia="Times New Roman" w:hAnsiTheme="minorHAnsi" w:cstheme="minorHAnsi"/>
          <w:sz w:val="20"/>
          <w:szCs w:val="20"/>
          <w:lang w:eastAsia="en-AU"/>
        </w:rPr>
        <w:t>e</w:t>
      </w:r>
      <w:r w:rsidR="00EE3C04">
        <w:rPr>
          <w:rFonts w:asciiTheme="minorHAnsi" w:eastAsia="Times New Roman" w:hAnsiTheme="minorHAnsi" w:cstheme="minorHAnsi"/>
          <w:sz w:val="20"/>
          <w:szCs w:val="20"/>
          <w:lang w:eastAsia="en-AU"/>
        </w:rPr>
        <w:t>ported</w:t>
      </w:r>
      <w:r w:rsidR="002177CF">
        <w:rPr>
          <w:rFonts w:asciiTheme="minorHAnsi" w:eastAsia="Times New Roman" w:hAnsiTheme="minorHAnsi" w:cstheme="minorHAnsi"/>
          <w:sz w:val="20"/>
          <w:szCs w:val="20"/>
          <w:lang w:eastAsia="en-AU"/>
        </w:rPr>
        <w:t xml:space="preserve"> </w:t>
      </w:r>
      <w:r w:rsidR="00A57992">
        <w:rPr>
          <w:rFonts w:asciiTheme="minorHAnsi" w:eastAsia="Times New Roman" w:hAnsiTheme="minorHAnsi" w:cstheme="minorHAnsi"/>
          <w:sz w:val="20"/>
          <w:szCs w:val="20"/>
          <w:lang w:eastAsia="en-AU"/>
        </w:rPr>
        <w:t>b</w:t>
      </w:r>
      <w:r w:rsidRPr="002D60F1">
        <w:rPr>
          <w:rFonts w:asciiTheme="minorHAnsi" w:eastAsia="Times New Roman" w:hAnsiTheme="minorHAnsi" w:cstheme="minorHAnsi"/>
          <w:sz w:val="20"/>
          <w:szCs w:val="20"/>
          <w:lang w:eastAsia="en-AU"/>
        </w:rPr>
        <w:t xml:space="preserve">arriers to participation </w:t>
      </w:r>
      <w:r w:rsidR="002177CF">
        <w:rPr>
          <w:rFonts w:asciiTheme="minorHAnsi" w:eastAsia="Times New Roman" w:hAnsiTheme="minorHAnsi" w:cstheme="minorHAnsi"/>
          <w:sz w:val="20"/>
          <w:szCs w:val="20"/>
          <w:lang w:eastAsia="en-AU"/>
        </w:rPr>
        <w:t>include</w:t>
      </w:r>
      <w:r w:rsidR="002177CF" w:rsidRPr="002D60F1">
        <w:rPr>
          <w:rFonts w:asciiTheme="minorHAnsi" w:eastAsia="Times New Roman" w:hAnsiTheme="minorHAnsi" w:cstheme="minorHAnsi"/>
          <w:sz w:val="20"/>
          <w:szCs w:val="20"/>
          <w:lang w:eastAsia="en-AU"/>
        </w:rPr>
        <w:t xml:space="preserve"> </w:t>
      </w:r>
      <w:r w:rsidRPr="002D60F1">
        <w:rPr>
          <w:rFonts w:asciiTheme="minorHAnsi" w:eastAsia="Times New Roman" w:hAnsiTheme="minorHAnsi" w:cstheme="minorHAnsi"/>
          <w:sz w:val="20"/>
          <w:szCs w:val="20"/>
          <w:lang w:eastAsia="en-AU"/>
        </w:rPr>
        <w:t>transport costs</w:t>
      </w:r>
      <w:r w:rsidR="002177CF">
        <w:rPr>
          <w:rFonts w:asciiTheme="minorHAnsi" w:eastAsia="Times New Roman" w:hAnsiTheme="minorHAnsi" w:cstheme="minorHAnsi"/>
          <w:sz w:val="20"/>
          <w:szCs w:val="20"/>
          <w:lang w:eastAsia="en-AU"/>
        </w:rPr>
        <w:t xml:space="preserve">, </w:t>
      </w:r>
      <w:r w:rsidRPr="002D60F1">
        <w:rPr>
          <w:rFonts w:asciiTheme="minorHAnsi" w:eastAsia="Times New Roman" w:hAnsiTheme="minorHAnsi" w:cstheme="minorHAnsi"/>
          <w:sz w:val="20"/>
          <w:szCs w:val="20"/>
          <w:lang w:eastAsia="en-AU"/>
        </w:rPr>
        <w:t xml:space="preserve">a lack of </w:t>
      </w:r>
      <w:r w:rsidRPr="002D60F1" w:rsidDel="00F2522C">
        <w:rPr>
          <w:rFonts w:asciiTheme="minorHAnsi" w:eastAsia="Times New Roman" w:hAnsiTheme="minorHAnsi" w:cstheme="minorHAnsi"/>
          <w:sz w:val="20"/>
          <w:szCs w:val="20"/>
          <w:lang w:eastAsia="en-AU"/>
        </w:rPr>
        <w:t xml:space="preserve">wraparound </w:t>
      </w:r>
      <w:r w:rsidRPr="002D60F1">
        <w:rPr>
          <w:rFonts w:asciiTheme="minorHAnsi" w:eastAsia="Times New Roman" w:hAnsiTheme="minorHAnsi" w:cstheme="minorHAnsi"/>
          <w:sz w:val="20"/>
          <w:szCs w:val="20"/>
          <w:lang w:eastAsia="en-AU"/>
        </w:rPr>
        <w:t>care</w:t>
      </w:r>
      <w:r w:rsidR="00F2522C">
        <w:rPr>
          <w:rFonts w:asciiTheme="minorHAnsi" w:eastAsia="Times New Roman" w:hAnsiTheme="minorHAnsi" w:cstheme="minorHAnsi"/>
          <w:sz w:val="20"/>
          <w:szCs w:val="20"/>
          <w:lang w:eastAsia="en-AU"/>
        </w:rPr>
        <w:t>, and factors related to the child’s home environment</w:t>
      </w:r>
      <w:r w:rsidRPr="002D60F1">
        <w:rPr>
          <w:rFonts w:asciiTheme="minorHAnsi" w:eastAsia="Times New Roman" w:hAnsiTheme="minorHAnsi" w:cstheme="minorHAnsi"/>
          <w:sz w:val="20"/>
          <w:szCs w:val="20"/>
          <w:lang w:eastAsia="en-AU"/>
        </w:rPr>
        <w:t>.</w:t>
      </w:r>
      <w:r w:rsidR="009A37EB">
        <w:rPr>
          <w:rFonts w:asciiTheme="minorHAnsi" w:eastAsia="Times New Roman" w:hAnsiTheme="minorHAnsi" w:cstheme="minorHAnsi"/>
          <w:sz w:val="20"/>
          <w:szCs w:val="20"/>
          <w:lang w:eastAsia="en-AU"/>
        </w:rPr>
        <w:t xml:space="preserve"> </w:t>
      </w:r>
      <w:r w:rsidR="00EE3C04" w:rsidRPr="00EE3C04">
        <w:rPr>
          <w:rFonts w:asciiTheme="minorHAnsi" w:eastAsia="Times New Roman" w:hAnsiTheme="minorHAnsi" w:cstheme="minorHAnsi"/>
          <w:sz w:val="20"/>
          <w:szCs w:val="20"/>
          <w:lang w:eastAsia="en-AU"/>
        </w:rPr>
        <w:t xml:space="preserve">It is not possible to infer from out-of-pocket costs </w:t>
      </w:r>
      <w:r w:rsidR="00EA1001">
        <w:rPr>
          <w:rFonts w:asciiTheme="minorHAnsi" w:eastAsia="Times New Roman" w:hAnsiTheme="minorHAnsi" w:cstheme="minorHAnsi"/>
          <w:sz w:val="20"/>
          <w:szCs w:val="20"/>
          <w:lang w:eastAsia="en-AU"/>
        </w:rPr>
        <w:t>the degree of</w:t>
      </w:r>
      <w:r w:rsidR="00EE3C04" w:rsidRPr="00EE3C04">
        <w:rPr>
          <w:rFonts w:asciiTheme="minorHAnsi" w:eastAsia="Times New Roman" w:hAnsiTheme="minorHAnsi" w:cstheme="minorHAnsi"/>
          <w:sz w:val="20"/>
          <w:szCs w:val="20"/>
          <w:lang w:eastAsia="en-AU"/>
        </w:rPr>
        <w:t xml:space="preserve"> preschool affordab</w:t>
      </w:r>
      <w:r w:rsidR="00EA1001">
        <w:rPr>
          <w:rFonts w:asciiTheme="minorHAnsi" w:eastAsia="Times New Roman" w:hAnsiTheme="minorHAnsi" w:cstheme="minorHAnsi"/>
          <w:sz w:val="20"/>
          <w:szCs w:val="20"/>
          <w:lang w:eastAsia="en-AU"/>
        </w:rPr>
        <w:t>ility</w:t>
      </w:r>
      <w:r w:rsidR="00EE3C04" w:rsidRPr="00EE3C04">
        <w:rPr>
          <w:rFonts w:asciiTheme="minorHAnsi" w:eastAsia="Times New Roman" w:hAnsiTheme="minorHAnsi" w:cstheme="minorHAnsi"/>
          <w:sz w:val="20"/>
          <w:szCs w:val="20"/>
          <w:lang w:eastAsia="en-AU"/>
        </w:rPr>
        <w:t>,</w:t>
      </w:r>
      <w:r w:rsidR="00EA1001">
        <w:rPr>
          <w:rFonts w:asciiTheme="minorHAnsi" w:eastAsia="Times New Roman" w:hAnsiTheme="minorHAnsi" w:cstheme="minorHAnsi"/>
          <w:sz w:val="20"/>
          <w:szCs w:val="20"/>
          <w:lang w:eastAsia="en-AU"/>
        </w:rPr>
        <w:t xml:space="preserve"> but</w:t>
      </w:r>
      <w:r w:rsidR="00EE3C04" w:rsidRPr="00EE3C04">
        <w:rPr>
          <w:rFonts w:asciiTheme="minorHAnsi" w:eastAsia="Times New Roman" w:hAnsiTheme="minorHAnsi" w:cstheme="minorHAnsi"/>
          <w:sz w:val="20"/>
          <w:szCs w:val="20"/>
          <w:lang w:eastAsia="en-AU"/>
        </w:rPr>
        <w:t xml:space="preserve"> the availability of targeted fee relief in all jurisdictions</w:t>
      </w:r>
      <w:r w:rsidR="003E52E4">
        <w:rPr>
          <w:rFonts w:asciiTheme="minorHAnsi" w:eastAsia="Times New Roman" w:hAnsiTheme="minorHAnsi" w:cstheme="minorHAnsi"/>
          <w:sz w:val="20"/>
          <w:szCs w:val="20"/>
          <w:lang w:eastAsia="en-AU"/>
        </w:rPr>
        <w:t>,</w:t>
      </w:r>
      <w:r w:rsidR="00EA1001" w:rsidRPr="00EA1001">
        <w:rPr>
          <w:rFonts w:asciiTheme="minorHAnsi" w:eastAsia="Times New Roman" w:hAnsiTheme="minorHAnsi" w:cstheme="minorHAnsi"/>
          <w:sz w:val="20"/>
          <w:szCs w:val="20"/>
          <w:lang w:eastAsia="en-AU"/>
        </w:rPr>
        <w:t xml:space="preserve"> high levels of enrolment and stakeholder feedback suggest that provider fees are not prohibitive for most families</w:t>
      </w:r>
      <w:r w:rsidR="00EA1001">
        <w:rPr>
          <w:rFonts w:asciiTheme="minorHAnsi" w:eastAsia="Times New Roman" w:hAnsiTheme="minorHAnsi" w:cstheme="minorHAnsi"/>
          <w:sz w:val="20"/>
          <w:szCs w:val="20"/>
          <w:lang w:eastAsia="en-AU"/>
        </w:rPr>
        <w:t xml:space="preserve"> seeking access.</w:t>
      </w:r>
    </w:p>
    <w:p w14:paraId="6D02A6F7" w14:textId="49530536"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ajorHAnsi" w:eastAsia="Times New Roman" w:hAnsiTheme="majorHAnsi" w:cstheme="majorHAnsi"/>
          <w:sz w:val="20"/>
          <w:szCs w:val="20"/>
          <w:lang w:eastAsia="en-AU"/>
        </w:rPr>
        <w:t>The UANP has established a national system, while preserving State and Territory autonomy to meet local needs.</w:t>
      </w:r>
      <w:r w:rsidRPr="002D60F1">
        <w:rPr>
          <w:rFonts w:asciiTheme="minorHAnsi" w:eastAsia="Times New Roman" w:hAnsiTheme="minorHAnsi" w:cstheme="minorHAnsi"/>
          <w:sz w:val="20"/>
          <w:szCs w:val="20"/>
          <w:lang w:eastAsia="en-AU"/>
        </w:rPr>
        <w:t xml:space="preserve"> The mix of services </w:t>
      </w:r>
      <w:r w:rsidR="00E2315B">
        <w:rPr>
          <w:rFonts w:asciiTheme="minorHAnsi" w:eastAsia="Times New Roman" w:hAnsiTheme="minorHAnsi" w:cstheme="minorHAnsi"/>
          <w:sz w:val="20"/>
          <w:szCs w:val="20"/>
          <w:lang w:eastAsia="en-AU"/>
        </w:rPr>
        <w:t xml:space="preserve">– </w:t>
      </w:r>
      <w:r w:rsidRPr="002D60F1">
        <w:rPr>
          <w:rFonts w:asciiTheme="minorHAnsi" w:eastAsia="Times New Roman" w:hAnsiTheme="minorHAnsi" w:cstheme="minorHAnsi"/>
          <w:sz w:val="20"/>
          <w:szCs w:val="20"/>
          <w:lang w:eastAsia="en-AU"/>
        </w:rPr>
        <w:t xml:space="preserve">centre-based day care (CBDC), standalone and </w:t>
      </w:r>
      <w:r w:rsidR="008D6B9E">
        <w:rPr>
          <w:rFonts w:asciiTheme="minorHAnsi" w:eastAsia="Times New Roman" w:hAnsiTheme="minorHAnsi" w:cstheme="minorHAnsi"/>
          <w:sz w:val="20"/>
          <w:szCs w:val="20"/>
          <w:lang w:eastAsia="en-AU"/>
        </w:rPr>
        <w:t xml:space="preserve">school-based </w:t>
      </w:r>
      <w:r w:rsidRPr="002D60F1">
        <w:rPr>
          <w:rFonts w:asciiTheme="minorHAnsi" w:eastAsia="Times New Roman" w:hAnsiTheme="minorHAnsi" w:cstheme="minorHAnsi"/>
          <w:sz w:val="20"/>
          <w:szCs w:val="20"/>
          <w:lang w:eastAsia="en-AU"/>
        </w:rPr>
        <w:t xml:space="preserve">preschools </w:t>
      </w:r>
      <w:r w:rsidR="00E2315B">
        <w:rPr>
          <w:rFonts w:asciiTheme="minorHAnsi" w:eastAsia="Times New Roman" w:hAnsiTheme="minorHAnsi" w:cstheme="minorHAnsi"/>
          <w:sz w:val="20"/>
          <w:szCs w:val="20"/>
          <w:lang w:eastAsia="en-AU"/>
        </w:rPr>
        <w:t xml:space="preserve">– </w:t>
      </w:r>
      <w:r w:rsidRPr="002D60F1">
        <w:rPr>
          <w:rFonts w:asciiTheme="minorHAnsi" w:eastAsia="Times New Roman" w:hAnsiTheme="minorHAnsi" w:cstheme="minorHAnsi"/>
          <w:sz w:val="20"/>
          <w:szCs w:val="20"/>
          <w:lang w:eastAsia="en-AU"/>
        </w:rPr>
        <w:t>and the allocation of funding between them, differs significantly across jurisdictions. This reflects local circumstances</w:t>
      </w:r>
      <w:r w:rsidR="00A3074E">
        <w:rPr>
          <w:rFonts w:asciiTheme="minorHAnsi" w:eastAsia="Times New Roman" w:hAnsiTheme="minorHAnsi" w:cstheme="minorHAnsi"/>
          <w:sz w:val="20"/>
          <w:szCs w:val="20"/>
          <w:lang w:eastAsia="en-AU"/>
        </w:rPr>
        <w:t>, historic infrastructure investment</w:t>
      </w:r>
      <w:r w:rsidRPr="002D60F1">
        <w:rPr>
          <w:rFonts w:asciiTheme="minorHAnsi" w:eastAsia="Times New Roman" w:hAnsiTheme="minorHAnsi" w:cstheme="minorHAnsi"/>
          <w:sz w:val="20"/>
          <w:szCs w:val="20"/>
          <w:lang w:eastAsia="en-AU"/>
        </w:rPr>
        <w:t xml:space="preserve"> and different p</w:t>
      </w:r>
      <w:r w:rsidR="00EA1001">
        <w:rPr>
          <w:rFonts w:asciiTheme="minorHAnsi" w:eastAsia="Times New Roman" w:hAnsiTheme="minorHAnsi" w:cstheme="minorHAnsi"/>
          <w:sz w:val="20"/>
          <w:szCs w:val="20"/>
          <w:lang w:eastAsia="en-AU"/>
        </w:rPr>
        <w:t xml:space="preserve">athways to achieving </w:t>
      </w:r>
      <w:r w:rsidRPr="002D60F1">
        <w:rPr>
          <w:rFonts w:asciiTheme="minorHAnsi" w:eastAsia="Times New Roman" w:hAnsiTheme="minorHAnsi" w:cstheme="minorHAnsi"/>
          <w:sz w:val="20"/>
          <w:szCs w:val="20"/>
          <w:lang w:eastAsia="en-AU"/>
        </w:rPr>
        <w:t xml:space="preserve">universal access. </w:t>
      </w:r>
    </w:p>
    <w:p w14:paraId="19CC305E" w14:textId="282B5D31"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ajorHAnsi" w:eastAsia="Times New Roman" w:hAnsiTheme="majorHAnsi" w:cstheme="majorHAnsi"/>
          <w:sz w:val="20"/>
          <w:szCs w:val="20"/>
          <w:lang w:eastAsia="en-AU"/>
        </w:rPr>
        <w:t>Preschool delivered by some CBDC providers attracts two streams of Australian Government funding</w:t>
      </w:r>
      <w:r w:rsidRPr="002D60F1">
        <w:rPr>
          <w:rFonts w:asciiTheme="minorHAnsi" w:eastAsia="Times New Roman" w:hAnsiTheme="minorHAnsi" w:cstheme="minorHAnsi"/>
          <w:sz w:val="20"/>
          <w:szCs w:val="20"/>
          <w:lang w:eastAsia="en-AU"/>
        </w:rPr>
        <w:t xml:space="preserve"> – the Child Care Subsidy (CCS) and the UANP. While the CCS may indirectly subsidise preschool provision by contributing to some overhead costs, the Review finds that </w:t>
      </w:r>
      <w:r w:rsidR="002270AE">
        <w:rPr>
          <w:rFonts w:asciiTheme="minorHAnsi" w:eastAsia="Times New Roman" w:hAnsiTheme="minorHAnsi" w:cstheme="minorHAnsi"/>
          <w:sz w:val="20"/>
          <w:szCs w:val="20"/>
          <w:lang w:eastAsia="en-AU"/>
        </w:rPr>
        <w:t xml:space="preserve">there does not appear to be a substantive overlap as </w:t>
      </w:r>
      <w:r w:rsidRPr="002D60F1">
        <w:rPr>
          <w:rFonts w:asciiTheme="minorHAnsi" w:eastAsia="Times New Roman" w:hAnsiTheme="minorHAnsi" w:cstheme="minorHAnsi"/>
          <w:sz w:val="20"/>
          <w:szCs w:val="20"/>
          <w:lang w:eastAsia="en-AU"/>
        </w:rPr>
        <w:t>the two funding streams serve different and distinct purposes</w:t>
      </w:r>
      <w:r w:rsidR="00033668">
        <w:rPr>
          <w:rFonts w:asciiTheme="minorHAnsi" w:eastAsia="Times New Roman" w:hAnsiTheme="minorHAnsi" w:cstheme="minorHAnsi"/>
          <w:sz w:val="20"/>
          <w:szCs w:val="20"/>
          <w:lang w:eastAsia="en-AU"/>
        </w:rPr>
        <w:t>.</w:t>
      </w:r>
      <w:r w:rsidR="00751043">
        <w:rPr>
          <w:rFonts w:asciiTheme="minorHAnsi" w:eastAsia="Times New Roman" w:hAnsiTheme="minorHAnsi" w:cstheme="minorHAnsi"/>
          <w:sz w:val="20"/>
          <w:szCs w:val="20"/>
          <w:lang w:eastAsia="en-AU"/>
        </w:rPr>
        <w:t xml:space="preserve"> </w:t>
      </w:r>
      <w:bookmarkStart w:id="14" w:name="_Hlk35963049"/>
      <w:r w:rsidR="00033668">
        <w:rPr>
          <w:rFonts w:asciiTheme="minorHAnsi" w:eastAsia="Times New Roman" w:hAnsiTheme="minorHAnsi" w:cstheme="minorHAnsi"/>
          <w:sz w:val="20"/>
          <w:szCs w:val="20"/>
          <w:lang w:eastAsia="en-AU"/>
        </w:rPr>
        <w:t>N</w:t>
      </w:r>
      <w:r w:rsidR="00751043">
        <w:rPr>
          <w:rFonts w:asciiTheme="minorHAnsi" w:eastAsia="Times New Roman" w:hAnsiTheme="minorHAnsi" w:cstheme="minorHAnsi"/>
          <w:sz w:val="20"/>
          <w:szCs w:val="20"/>
          <w:lang w:eastAsia="en-AU"/>
        </w:rPr>
        <w:t xml:space="preserve">ot all jurisdictions </w:t>
      </w:r>
      <w:r w:rsidR="00201729">
        <w:rPr>
          <w:rFonts w:asciiTheme="minorHAnsi" w:eastAsia="Times New Roman" w:hAnsiTheme="minorHAnsi" w:cstheme="minorHAnsi"/>
          <w:sz w:val="20"/>
          <w:szCs w:val="20"/>
          <w:lang w:eastAsia="en-AU"/>
        </w:rPr>
        <w:t xml:space="preserve">share the </w:t>
      </w:r>
      <w:r w:rsidR="00C229D2">
        <w:rPr>
          <w:rFonts w:asciiTheme="minorHAnsi" w:eastAsia="Times New Roman" w:hAnsiTheme="minorHAnsi" w:cstheme="minorHAnsi"/>
          <w:sz w:val="20"/>
          <w:szCs w:val="20"/>
          <w:lang w:eastAsia="en-AU"/>
        </w:rPr>
        <w:t>Review’s views on this issue</w:t>
      </w:r>
      <w:r w:rsidR="00751043">
        <w:rPr>
          <w:rFonts w:asciiTheme="minorHAnsi" w:eastAsia="Times New Roman" w:hAnsiTheme="minorHAnsi" w:cstheme="minorHAnsi"/>
          <w:sz w:val="20"/>
          <w:szCs w:val="20"/>
          <w:lang w:eastAsia="en-AU"/>
        </w:rPr>
        <w:t>.</w:t>
      </w:r>
    </w:p>
    <w:bookmarkEnd w:id="14"/>
    <w:p w14:paraId="49684982" w14:textId="77777777"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ajorHAnsi" w:eastAsia="Times New Roman" w:hAnsiTheme="majorHAnsi" w:cstheme="majorHAnsi"/>
          <w:sz w:val="20"/>
          <w:szCs w:val="20"/>
          <w:lang w:eastAsia="en-AU"/>
        </w:rPr>
        <w:t>Australian Government funding and national coordination should continue.</w:t>
      </w:r>
      <w:r w:rsidRPr="002D60F1">
        <w:rPr>
          <w:rFonts w:asciiTheme="minorHAnsi" w:eastAsia="Times New Roman" w:hAnsiTheme="minorHAnsi" w:cstheme="minorHAnsi"/>
          <w:sz w:val="20"/>
          <w:szCs w:val="20"/>
          <w:lang w:eastAsia="en-AU"/>
        </w:rPr>
        <w:t xml:space="preserve"> There is strong evidence that quality preschool improves educational and other developmental outcomes. A decrease in funding would reduce preschool participation and could adversely affect workforce participation.</w:t>
      </w:r>
    </w:p>
    <w:p w14:paraId="40D8E561" w14:textId="366FD0F3" w:rsidR="002D60F1" w:rsidRPr="002D60F1" w:rsidRDefault="002D60F1" w:rsidP="002D60F1">
      <w:pPr>
        <w:suppressAutoHyphens/>
        <w:spacing w:after="200"/>
        <w:rPr>
          <w:rFonts w:asciiTheme="minorHAnsi" w:eastAsia="Times New Roman" w:hAnsiTheme="minorHAnsi" w:cstheme="minorHAnsi"/>
          <w:sz w:val="20"/>
          <w:szCs w:val="20"/>
          <w:lang w:eastAsia="en-AU"/>
        </w:rPr>
      </w:pPr>
      <w:r w:rsidRPr="002D60F1">
        <w:rPr>
          <w:rFonts w:asciiTheme="majorHAnsi" w:eastAsia="Times New Roman" w:hAnsiTheme="majorHAnsi" w:cstheme="majorHAnsi"/>
          <w:sz w:val="20"/>
          <w:szCs w:val="20"/>
          <w:lang w:eastAsia="en-AU"/>
        </w:rPr>
        <w:t>Governments should enter into a new five-year National Partnership</w:t>
      </w:r>
      <w:r w:rsidR="008D6B9E">
        <w:rPr>
          <w:rFonts w:asciiTheme="majorHAnsi" w:eastAsia="Times New Roman" w:hAnsiTheme="majorHAnsi" w:cstheme="majorHAnsi"/>
          <w:sz w:val="20"/>
          <w:szCs w:val="20"/>
          <w:lang w:eastAsia="en-AU"/>
        </w:rPr>
        <w:t xml:space="preserve"> from 2021 to 2025</w:t>
      </w:r>
      <w:r w:rsidRPr="002D60F1">
        <w:rPr>
          <w:rFonts w:asciiTheme="majorHAnsi" w:eastAsia="Times New Roman" w:hAnsiTheme="majorHAnsi" w:cstheme="majorHAnsi"/>
          <w:sz w:val="20"/>
          <w:szCs w:val="20"/>
          <w:lang w:eastAsia="en-AU"/>
        </w:rPr>
        <w:t>, and transition to a National Agreement</w:t>
      </w:r>
      <w:r w:rsidR="008D6B9E">
        <w:rPr>
          <w:rFonts w:asciiTheme="majorHAnsi" w:eastAsia="Times New Roman" w:hAnsiTheme="majorHAnsi" w:cstheme="majorHAnsi"/>
          <w:sz w:val="20"/>
          <w:szCs w:val="20"/>
          <w:lang w:eastAsia="en-AU"/>
        </w:rPr>
        <w:t xml:space="preserve"> from 2026 onwards</w:t>
      </w:r>
      <w:r w:rsidRPr="002D60F1">
        <w:rPr>
          <w:rFonts w:asciiTheme="majorHAnsi" w:eastAsia="Times New Roman" w:hAnsiTheme="majorHAnsi" w:cstheme="majorHAnsi"/>
          <w:sz w:val="20"/>
          <w:szCs w:val="20"/>
          <w:lang w:eastAsia="en-AU"/>
        </w:rPr>
        <w:t xml:space="preserve">. A minority of funding under the new </w:t>
      </w:r>
      <w:r w:rsidR="00E2315B">
        <w:rPr>
          <w:rFonts w:asciiTheme="majorHAnsi" w:eastAsia="Times New Roman" w:hAnsiTheme="majorHAnsi" w:cstheme="majorHAnsi"/>
          <w:sz w:val="20"/>
          <w:szCs w:val="20"/>
          <w:lang w:eastAsia="en-AU"/>
        </w:rPr>
        <w:t>National Partnership</w:t>
      </w:r>
      <w:r w:rsidR="00E2315B" w:rsidRPr="002D60F1">
        <w:rPr>
          <w:rFonts w:asciiTheme="majorHAnsi" w:eastAsia="Times New Roman" w:hAnsiTheme="majorHAnsi" w:cstheme="majorHAnsi"/>
          <w:sz w:val="20"/>
          <w:szCs w:val="20"/>
          <w:lang w:eastAsia="en-AU"/>
        </w:rPr>
        <w:t xml:space="preserve"> </w:t>
      </w:r>
      <w:r w:rsidRPr="002D60F1">
        <w:rPr>
          <w:rFonts w:asciiTheme="majorHAnsi" w:eastAsia="Times New Roman" w:hAnsiTheme="majorHAnsi" w:cstheme="majorHAnsi"/>
          <w:sz w:val="20"/>
          <w:szCs w:val="20"/>
          <w:lang w:eastAsia="en-AU"/>
        </w:rPr>
        <w:t>should be performance</w:t>
      </w:r>
      <w:r w:rsidRPr="002D60F1">
        <w:rPr>
          <w:rFonts w:asciiTheme="majorHAnsi" w:eastAsia="Times New Roman" w:hAnsiTheme="majorHAnsi" w:cstheme="majorHAnsi"/>
          <w:sz w:val="20"/>
          <w:szCs w:val="20"/>
          <w:lang w:eastAsia="en-AU"/>
        </w:rPr>
        <w:noBreakHyphen/>
        <w:t>based.</w:t>
      </w:r>
      <w:r w:rsidRPr="002D60F1">
        <w:rPr>
          <w:rFonts w:asciiTheme="minorHAnsi" w:eastAsia="Times New Roman" w:hAnsiTheme="minorHAnsi" w:cstheme="minorHAnsi"/>
          <w:sz w:val="20"/>
          <w:szCs w:val="20"/>
          <w:lang w:eastAsia="en-AU"/>
        </w:rPr>
        <w:t xml:space="preserve"> The uncertainty associated with short-term agreements and performance-based payments has compromised the ability to plan and invest for the long term. </w:t>
      </w:r>
    </w:p>
    <w:p w14:paraId="5BE49C51" w14:textId="628B9B79" w:rsidR="002D60F1" w:rsidRPr="002D60F1" w:rsidRDefault="002D60F1" w:rsidP="002D60F1">
      <w:pPr>
        <w:spacing w:after="200"/>
        <w:rPr>
          <w:rFonts w:asciiTheme="minorHAnsi" w:hAnsiTheme="minorHAnsi" w:cstheme="minorHAnsi"/>
          <w:sz w:val="20"/>
          <w:szCs w:val="24"/>
        </w:rPr>
      </w:pPr>
      <w:r w:rsidRPr="002D60F1">
        <w:rPr>
          <w:rFonts w:asciiTheme="majorHAnsi" w:hAnsiTheme="majorHAnsi" w:cstheme="majorHAnsi"/>
          <w:sz w:val="20"/>
          <w:szCs w:val="24"/>
        </w:rPr>
        <w:t xml:space="preserve">Funding flexibility should be </w:t>
      </w:r>
      <w:proofErr w:type="gramStart"/>
      <w:r w:rsidRPr="002D60F1">
        <w:rPr>
          <w:rFonts w:asciiTheme="majorHAnsi" w:hAnsiTheme="majorHAnsi" w:cstheme="majorHAnsi"/>
          <w:sz w:val="20"/>
          <w:szCs w:val="24"/>
        </w:rPr>
        <w:t>retained;</w:t>
      </w:r>
      <w:proofErr w:type="gramEnd"/>
      <w:r w:rsidRPr="002D60F1">
        <w:rPr>
          <w:rFonts w:asciiTheme="majorHAnsi" w:hAnsiTheme="majorHAnsi" w:cstheme="majorHAnsi"/>
          <w:sz w:val="20"/>
          <w:szCs w:val="24"/>
        </w:rPr>
        <w:t xml:space="preserve"> but variation in State and Territory investment warrants further consideration.</w:t>
      </w:r>
      <w:r w:rsidRPr="002D60F1">
        <w:rPr>
          <w:rFonts w:asciiTheme="minorHAnsi" w:hAnsiTheme="minorHAnsi" w:cstheme="minorHAnsi"/>
          <w:sz w:val="20"/>
          <w:szCs w:val="24"/>
        </w:rPr>
        <w:t xml:space="preserve"> </w:t>
      </w:r>
      <w:r w:rsidR="00F2522C">
        <w:rPr>
          <w:rFonts w:asciiTheme="minorHAnsi" w:hAnsiTheme="minorHAnsi" w:cstheme="minorHAnsi"/>
          <w:sz w:val="20"/>
          <w:szCs w:val="24"/>
        </w:rPr>
        <w:t>Although data is not directly comparable, j</w:t>
      </w:r>
      <w:r w:rsidR="00F2522C" w:rsidRPr="002D60F1">
        <w:rPr>
          <w:rFonts w:asciiTheme="minorHAnsi" w:hAnsiTheme="minorHAnsi" w:cstheme="minorHAnsi"/>
          <w:sz w:val="20"/>
          <w:szCs w:val="24"/>
        </w:rPr>
        <w:t xml:space="preserve">urisdictions </w:t>
      </w:r>
      <w:r w:rsidRPr="002D60F1">
        <w:rPr>
          <w:rFonts w:asciiTheme="minorHAnsi" w:hAnsiTheme="minorHAnsi" w:cstheme="minorHAnsi"/>
          <w:sz w:val="20"/>
          <w:szCs w:val="24"/>
        </w:rPr>
        <w:t xml:space="preserve">with a higher prevalence of CBDC enrolments </w:t>
      </w:r>
      <w:r w:rsidR="00F2522C">
        <w:rPr>
          <w:rFonts w:asciiTheme="minorHAnsi" w:hAnsiTheme="minorHAnsi" w:cstheme="minorHAnsi"/>
          <w:sz w:val="20"/>
          <w:szCs w:val="24"/>
        </w:rPr>
        <w:t xml:space="preserve">appear to </w:t>
      </w:r>
      <w:r w:rsidRPr="002D60F1">
        <w:rPr>
          <w:rFonts w:asciiTheme="minorHAnsi" w:hAnsiTheme="minorHAnsi" w:cstheme="minorHAnsi"/>
          <w:sz w:val="20"/>
          <w:szCs w:val="24"/>
        </w:rPr>
        <w:t>invest less</w:t>
      </w:r>
      <w:r w:rsidR="00EA1001">
        <w:rPr>
          <w:rFonts w:asciiTheme="minorHAnsi" w:hAnsiTheme="minorHAnsi" w:cstheme="minorHAnsi"/>
          <w:sz w:val="20"/>
          <w:szCs w:val="24"/>
        </w:rPr>
        <w:t xml:space="preserve"> in YBFS preschool</w:t>
      </w:r>
      <w:r w:rsidRPr="002D60F1">
        <w:rPr>
          <w:rFonts w:asciiTheme="minorHAnsi" w:hAnsiTheme="minorHAnsi" w:cstheme="minorHAnsi"/>
          <w:sz w:val="20"/>
          <w:szCs w:val="24"/>
        </w:rPr>
        <w:t xml:space="preserve">. </w:t>
      </w:r>
      <w:r w:rsidR="0032638B">
        <w:rPr>
          <w:rFonts w:asciiTheme="minorHAnsi" w:hAnsiTheme="minorHAnsi" w:cstheme="minorHAnsi"/>
          <w:sz w:val="20"/>
          <w:szCs w:val="24"/>
        </w:rPr>
        <w:t>I</w:t>
      </w:r>
      <w:r w:rsidRPr="002D60F1">
        <w:rPr>
          <w:rFonts w:asciiTheme="minorHAnsi" w:hAnsiTheme="minorHAnsi" w:cstheme="minorHAnsi"/>
          <w:sz w:val="20"/>
          <w:szCs w:val="24"/>
        </w:rPr>
        <w:t xml:space="preserve">t is not possible </w:t>
      </w:r>
      <w:r w:rsidR="0032638B">
        <w:rPr>
          <w:rFonts w:asciiTheme="minorHAnsi" w:hAnsiTheme="minorHAnsi" w:cstheme="minorHAnsi"/>
          <w:sz w:val="20"/>
          <w:szCs w:val="24"/>
        </w:rPr>
        <w:t xml:space="preserve">with current data </w:t>
      </w:r>
      <w:r w:rsidRPr="002D60F1">
        <w:rPr>
          <w:rFonts w:asciiTheme="minorHAnsi" w:hAnsiTheme="minorHAnsi" w:cstheme="minorHAnsi"/>
          <w:sz w:val="20"/>
          <w:szCs w:val="24"/>
        </w:rPr>
        <w:t xml:space="preserve">to verify whether this is because they operate more efficiently, face lower costs, rely more heavily on other funding sources, or achieve relatively poorer outcomes. Governments should consider how to </w:t>
      </w:r>
      <w:r w:rsidR="0003682C">
        <w:rPr>
          <w:rFonts w:asciiTheme="minorHAnsi" w:hAnsiTheme="minorHAnsi" w:cstheme="minorHAnsi"/>
          <w:sz w:val="20"/>
          <w:szCs w:val="24"/>
        </w:rPr>
        <w:t>achieve</w:t>
      </w:r>
      <w:r w:rsidR="0003682C" w:rsidRPr="002D60F1">
        <w:rPr>
          <w:rFonts w:asciiTheme="minorHAnsi" w:hAnsiTheme="minorHAnsi" w:cstheme="minorHAnsi"/>
          <w:sz w:val="20"/>
          <w:szCs w:val="24"/>
        </w:rPr>
        <w:t xml:space="preserve"> </w:t>
      </w:r>
      <w:r w:rsidRPr="002D60F1">
        <w:rPr>
          <w:rFonts w:asciiTheme="minorHAnsi" w:hAnsiTheme="minorHAnsi" w:cstheme="minorHAnsi"/>
          <w:sz w:val="20"/>
          <w:szCs w:val="24"/>
        </w:rPr>
        <w:t xml:space="preserve">more equitable levels of investment going forward. </w:t>
      </w:r>
      <w:r w:rsidR="00E2315B">
        <w:rPr>
          <w:rFonts w:asciiTheme="minorHAnsi" w:hAnsiTheme="minorHAnsi" w:cstheme="minorHAnsi"/>
          <w:sz w:val="20"/>
          <w:szCs w:val="24"/>
        </w:rPr>
        <w:t>This work starts with</w:t>
      </w:r>
      <w:r w:rsidRPr="002D60F1">
        <w:rPr>
          <w:rFonts w:asciiTheme="minorHAnsi" w:hAnsiTheme="minorHAnsi" w:cstheme="minorHAnsi"/>
          <w:sz w:val="20"/>
          <w:szCs w:val="24"/>
        </w:rPr>
        <w:t xml:space="preserve"> improving funding transparency</w:t>
      </w:r>
      <w:r w:rsidR="00EA1001">
        <w:rPr>
          <w:rFonts w:asciiTheme="minorHAnsi" w:hAnsiTheme="minorHAnsi" w:cstheme="minorHAnsi"/>
          <w:sz w:val="20"/>
          <w:szCs w:val="24"/>
        </w:rPr>
        <w:t xml:space="preserve">, including with respect to </w:t>
      </w:r>
      <w:r w:rsidR="0032638B">
        <w:rPr>
          <w:rFonts w:asciiTheme="minorHAnsi" w:hAnsiTheme="minorHAnsi" w:cstheme="minorHAnsi"/>
          <w:sz w:val="20"/>
          <w:szCs w:val="24"/>
        </w:rPr>
        <w:t xml:space="preserve">jurisdictions’ </w:t>
      </w:r>
      <w:r w:rsidR="00EA1001">
        <w:rPr>
          <w:rFonts w:asciiTheme="minorHAnsi" w:hAnsiTheme="minorHAnsi" w:cstheme="minorHAnsi"/>
          <w:sz w:val="20"/>
          <w:szCs w:val="24"/>
        </w:rPr>
        <w:t>investment in preschool-related initiatives,</w:t>
      </w:r>
      <w:r w:rsidRPr="002D60F1">
        <w:rPr>
          <w:rFonts w:asciiTheme="minorHAnsi" w:hAnsiTheme="minorHAnsi" w:cstheme="minorHAnsi"/>
          <w:sz w:val="20"/>
          <w:szCs w:val="24"/>
        </w:rPr>
        <w:t xml:space="preserve"> and understanding </w:t>
      </w:r>
      <w:r w:rsidR="0032638B">
        <w:rPr>
          <w:rFonts w:asciiTheme="minorHAnsi" w:hAnsiTheme="minorHAnsi" w:cstheme="minorHAnsi"/>
          <w:sz w:val="20"/>
          <w:szCs w:val="24"/>
        </w:rPr>
        <w:t>varying</w:t>
      </w:r>
      <w:r w:rsidR="00EA1001">
        <w:rPr>
          <w:rFonts w:asciiTheme="minorHAnsi" w:hAnsiTheme="minorHAnsi" w:cstheme="minorHAnsi"/>
          <w:sz w:val="20"/>
          <w:szCs w:val="24"/>
        </w:rPr>
        <w:t xml:space="preserve"> </w:t>
      </w:r>
      <w:r w:rsidRPr="002D60F1">
        <w:rPr>
          <w:rFonts w:asciiTheme="minorHAnsi" w:hAnsiTheme="minorHAnsi" w:cstheme="minorHAnsi"/>
          <w:sz w:val="20"/>
          <w:szCs w:val="24"/>
        </w:rPr>
        <w:t>cost drivers.</w:t>
      </w:r>
    </w:p>
    <w:p w14:paraId="6C4DC6B6" w14:textId="705DFF2E" w:rsidR="002D60F1" w:rsidRPr="002D60F1" w:rsidRDefault="002D60F1" w:rsidP="002D60F1">
      <w:pPr>
        <w:rPr>
          <w:sz w:val="20"/>
          <w:szCs w:val="24"/>
        </w:rPr>
      </w:pPr>
      <w:r w:rsidRPr="002D60F1">
        <w:rPr>
          <w:rFonts w:asciiTheme="majorHAnsi" w:hAnsiTheme="majorHAnsi" w:cstheme="majorHAnsi"/>
          <w:sz w:val="20"/>
          <w:szCs w:val="24"/>
        </w:rPr>
        <w:t xml:space="preserve">Over the next five years, governments should resolve outstanding issues and prepare for more enduring funding arrangements from </w:t>
      </w:r>
      <w:r w:rsidR="00726DA6" w:rsidRPr="002D60F1">
        <w:rPr>
          <w:rFonts w:asciiTheme="majorHAnsi" w:hAnsiTheme="majorHAnsi" w:cstheme="majorHAnsi"/>
          <w:sz w:val="20"/>
          <w:szCs w:val="24"/>
        </w:rPr>
        <w:t>202</w:t>
      </w:r>
      <w:r w:rsidR="00726DA6">
        <w:rPr>
          <w:rFonts w:asciiTheme="majorHAnsi" w:hAnsiTheme="majorHAnsi" w:cstheme="majorHAnsi"/>
          <w:sz w:val="20"/>
          <w:szCs w:val="24"/>
        </w:rPr>
        <w:t>6</w:t>
      </w:r>
      <w:r w:rsidRPr="002D60F1">
        <w:rPr>
          <w:rFonts w:asciiTheme="majorHAnsi" w:hAnsiTheme="majorHAnsi" w:cstheme="majorHAnsi"/>
          <w:sz w:val="20"/>
          <w:szCs w:val="24"/>
        </w:rPr>
        <w:t>.</w:t>
      </w:r>
      <w:r w:rsidRPr="002D60F1">
        <w:rPr>
          <w:rFonts w:asciiTheme="minorHAnsi" w:hAnsiTheme="minorHAnsi" w:cstheme="minorHAnsi"/>
          <w:sz w:val="20"/>
          <w:szCs w:val="24"/>
        </w:rPr>
        <w:t xml:space="preserve"> Key priorities include lifting attendance and quality, developing robust measures of attendance and child development outcomes, modelling the efficient </w:t>
      </w:r>
      <w:r w:rsidR="002177CF">
        <w:rPr>
          <w:rFonts w:asciiTheme="minorHAnsi" w:hAnsiTheme="minorHAnsi" w:cstheme="minorHAnsi"/>
          <w:sz w:val="20"/>
          <w:szCs w:val="24"/>
        </w:rPr>
        <w:t>cost</w:t>
      </w:r>
      <w:r w:rsidR="004F58C8">
        <w:rPr>
          <w:rFonts w:asciiTheme="minorHAnsi" w:hAnsiTheme="minorHAnsi" w:cstheme="minorHAnsi"/>
          <w:sz w:val="20"/>
          <w:szCs w:val="24"/>
        </w:rPr>
        <w:t xml:space="preserve"> </w:t>
      </w:r>
      <w:r w:rsidRPr="002D60F1">
        <w:rPr>
          <w:rFonts w:asciiTheme="minorHAnsi" w:hAnsiTheme="minorHAnsi" w:cstheme="minorHAnsi"/>
          <w:sz w:val="20"/>
          <w:szCs w:val="24"/>
        </w:rPr>
        <w:t>of preschool provision in different settings and contexts, and addressing looming workforce shortages.</w:t>
      </w:r>
    </w:p>
    <w:p w14:paraId="7C5522CF" w14:textId="77777777" w:rsidR="00D2536C" w:rsidRDefault="00D2536C" w:rsidP="002D60F1">
      <w:pPr>
        <w:sectPr w:rsidR="00D2536C" w:rsidSect="00A52C41">
          <w:headerReference w:type="first" r:id="rId23"/>
          <w:footerReference w:type="first" r:id="rId24"/>
          <w:pgSz w:w="11907" w:h="16839" w:code="9"/>
          <w:pgMar w:top="737" w:right="1247" w:bottom="1304" w:left="1304" w:header="720" w:footer="720" w:gutter="0"/>
          <w:pgNumType w:start="1"/>
          <w:cols w:space="720"/>
          <w:titlePg/>
          <w:docGrid w:linePitch="360"/>
        </w:sectPr>
      </w:pPr>
    </w:p>
    <w:p w14:paraId="69255A3B" w14:textId="120F4794" w:rsidR="00105F99" w:rsidRDefault="00105F99" w:rsidP="006F6D07">
      <w:pPr>
        <w:pStyle w:val="Heading1"/>
        <w:numPr>
          <w:ilvl w:val="0"/>
          <w:numId w:val="0"/>
        </w:numPr>
      </w:pPr>
      <w:bookmarkStart w:id="15" w:name="_Toc24559576"/>
      <w:bookmarkStart w:id="16" w:name="_Toc54597766"/>
      <w:r w:rsidRPr="00812137">
        <w:lastRenderedPageBreak/>
        <w:t>Executive summary</w:t>
      </w:r>
      <w:bookmarkEnd w:id="5"/>
      <w:bookmarkEnd w:id="6"/>
      <w:bookmarkEnd w:id="7"/>
      <w:bookmarkEnd w:id="8"/>
      <w:bookmarkEnd w:id="9"/>
      <w:bookmarkEnd w:id="10"/>
      <w:bookmarkEnd w:id="11"/>
      <w:bookmarkEnd w:id="15"/>
      <w:bookmarkEnd w:id="16"/>
    </w:p>
    <w:p w14:paraId="59036D29" w14:textId="56DA1B96" w:rsidR="004A0AB5" w:rsidRPr="003C4F1F" w:rsidRDefault="00466B00" w:rsidP="003C4F1F">
      <w:bookmarkStart w:id="17" w:name="_Toc20488626"/>
      <w:bookmarkStart w:id="18" w:name="_Toc20754972"/>
      <w:bookmarkStart w:id="19" w:name="_Toc20759110"/>
      <w:bookmarkStart w:id="20" w:name="_Toc20904941"/>
      <w:r w:rsidRPr="003C4F1F">
        <w:t>The Universal Access National Partnership (UANP</w:t>
      </w:r>
      <w:r w:rsidR="0030515F" w:rsidRPr="003C4F1F">
        <w:t xml:space="preserve"> or the Agreement</w:t>
      </w:r>
      <w:r w:rsidRPr="003C4F1F">
        <w:t xml:space="preserve">) reflects a national commitment to ensure that all </w:t>
      </w:r>
      <w:r w:rsidR="00E93643" w:rsidRPr="003C4F1F">
        <w:t xml:space="preserve">Australian </w:t>
      </w:r>
      <w:r w:rsidRPr="003C4F1F">
        <w:t>children in the year before full-time school (YBFS) can benefit from affordable, quality preschool</w:t>
      </w:r>
      <w:r w:rsidR="007118CD" w:rsidRPr="003C4F1F">
        <w:t>.</w:t>
      </w:r>
      <w:r w:rsidRPr="003C4F1F">
        <w:t xml:space="preserve"> </w:t>
      </w:r>
      <w:r w:rsidR="0030515F" w:rsidRPr="003C4F1F">
        <w:t>Under federal arrangements</w:t>
      </w:r>
      <w:r w:rsidR="000A5AB8" w:rsidRPr="003C4F1F">
        <w:t xml:space="preserve">, States and Territories are responsible for the provision of preschool. The UANP </w:t>
      </w:r>
      <w:r w:rsidR="0030515F" w:rsidRPr="003C4F1F">
        <w:t xml:space="preserve">enables </w:t>
      </w:r>
      <w:r w:rsidRPr="003C4F1F">
        <w:t xml:space="preserve">the Australian Government </w:t>
      </w:r>
      <w:r w:rsidRPr="003C4F1F" w:rsidDel="000A5AB8">
        <w:t xml:space="preserve">to </w:t>
      </w:r>
      <w:r w:rsidR="00BA7A5E">
        <w:t>contribute</w:t>
      </w:r>
      <w:r w:rsidR="0030515F" w:rsidRPr="003C4F1F">
        <w:t xml:space="preserve"> funding towards </w:t>
      </w:r>
      <w:r w:rsidR="000A5AB8" w:rsidRPr="003C4F1F">
        <w:t xml:space="preserve">meeting </w:t>
      </w:r>
      <w:r w:rsidRPr="003C4F1F">
        <w:t>the costs of delivering a</w:t>
      </w:r>
      <w:r w:rsidR="009266BB" w:rsidRPr="003C4F1F">
        <w:t>t least</w:t>
      </w:r>
      <w:r w:rsidRPr="003C4F1F">
        <w:t xml:space="preserve"> 600 hours </w:t>
      </w:r>
      <w:r w:rsidR="00E93643" w:rsidRPr="003C4F1F">
        <w:t xml:space="preserve">of preschool </w:t>
      </w:r>
      <w:r w:rsidRPr="003C4F1F">
        <w:t>for all children</w:t>
      </w:r>
      <w:r w:rsidR="00E93643" w:rsidRPr="003C4F1F">
        <w:t>,</w:t>
      </w:r>
      <w:r w:rsidRPr="003C4F1F">
        <w:t xml:space="preserve"> regardless of location, personal circumstances, or the delivery model. </w:t>
      </w:r>
      <w:r w:rsidR="0030515F" w:rsidRPr="003C4F1F">
        <w:t xml:space="preserve">The Agreement also provides a performance framework for assessing progress and serves as the basis for implementation plans outlining agreed approaches within each State and Territory to pursuing UANP objectives and outcomes. </w:t>
      </w:r>
    </w:p>
    <w:p w14:paraId="737FB507" w14:textId="77777777" w:rsidR="004A0AB5" w:rsidRPr="003C4F1F" w:rsidRDefault="004A0AB5" w:rsidP="003C4F1F">
      <w:r w:rsidRPr="003C4F1F">
        <w:t xml:space="preserve">With the </w:t>
      </w:r>
      <w:r w:rsidR="0030515F" w:rsidRPr="003C4F1F">
        <w:t>current</w:t>
      </w:r>
      <w:r w:rsidRPr="003C4F1F">
        <w:t xml:space="preserve"> UANP due to expire at the end of 2020, Education Ministers commissioned this Review to provide comprehensive, evidence-based advice on the extent to which the</w:t>
      </w:r>
      <w:r w:rsidR="0030515F" w:rsidRPr="003C4F1F">
        <w:t xml:space="preserve"> Agreement’s </w:t>
      </w:r>
      <w:r w:rsidRPr="003C4F1F">
        <w:t>objectives are being met and what future funding and policy arrangements could be put in place to maintain and build upon the benefits already achieved. Nous Group (Nous) was engaged to conduct the Review.</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643D39" w14:paraId="44FB2E5A" w14:textId="77777777" w:rsidTr="00A806ED">
        <w:tc>
          <w:tcPr>
            <w:tcW w:w="7285" w:type="dxa"/>
          </w:tcPr>
          <w:p w14:paraId="0550C668" w14:textId="7CFA7E8F" w:rsidR="00242843" w:rsidRPr="009266F0" w:rsidRDefault="0030515F" w:rsidP="00473831">
            <w:pPr>
              <w:pStyle w:val="longformcalloutnumber"/>
              <w:widowControl w:val="0"/>
              <w:numPr>
                <w:ilvl w:val="0"/>
                <w:numId w:val="0"/>
              </w:numPr>
              <w:spacing w:before="0"/>
            </w:pPr>
            <w:r w:rsidRPr="009C6BB8">
              <w:rPr>
                <w:rFonts w:ascii="Segoe UI Semibold" w:eastAsia="Times New Roman" w:hAnsi="Segoe UI Semibold" w:cs="Times New Roman"/>
                <w:sz w:val="20"/>
                <w:szCs w:val="20"/>
              </w:rPr>
              <w:t>Note to the reader:</w:t>
            </w:r>
            <w:r w:rsidR="006C56EE" w:rsidRPr="009C6BB8">
              <w:rPr>
                <w:rFonts w:ascii="Segoe UI Semibold" w:eastAsia="Times New Roman" w:hAnsi="Segoe UI Semibold" w:cs="Times New Roman"/>
                <w:sz w:val="20"/>
                <w:szCs w:val="20"/>
              </w:rPr>
              <w:t xml:space="preserve"> </w:t>
            </w:r>
            <w:r w:rsidR="002D250F">
              <w:rPr>
                <w:rFonts w:ascii="Segoe UI Semibold" w:eastAsia="Times New Roman" w:hAnsi="Segoe UI Semibold" w:cs="Times New Roman"/>
                <w:sz w:val="22"/>
                <w:szCs w:val="22"/>
              </w:rPr>
              <w:t>‘</w:t>
            </w:r>
            <w:r w:rsidR="00123D43">
              <w:t>Preschool</w:t>
            </w:r>
            <w:r w:rsidR="002D250F">
              <w:t>’ refers to</w:t>
            </w:r>
            <w:r w:rsidR="00ED38ED">
              <w:t xml:space="preserve"> </w:t>
            </w:r>
            <w:bookmarkStart w:id="21" w:name="_Hlk31983694"/>
            <w:r w:rsidR="00ED38ED">
              <w:t xml:space="preserve">structured, play-based early childhood education delivered </w:t>
            </w:r>
            <w:r w:rsidR="00E93643">
              <w:t xml:space="preserve">by a qualified early childhood teacher </w:t>
            </w:r>
            <w:r w:rsidR="00E0699F">
              <w:t>(ECT)</w:t>
            </w:r>
            <w:r w:rsidR="002D250F">
              <w:t>,</w:t>
            </w:r>
            <w:r w:rsidR="00E0699F">
              <w:t xml:space="preserve"> </w:t>
            </w:r>
            <w:r w:rsidR="00242843" w:rsidRPr="00242843">
              <w:t xml:space="preserve">in accordance with the Early Years </w:t>
            </w:r>
            <w:r w:rsidR="00A763E6">
              <w:t xml:space="preserve">Learning </w:t>
            </w:r>
            <w:r w:rsidR="00242843" w:rsidRPr="00242843">
              <w:t xml:space="preserve">Framework and the National Quality </w:t>
            </w:r>
            <w:r w:rsidR="00A963FF">
              <w:t>Standard</w:t>
            </w:r>
            <w:r w:rsidR="00C72D79">
              <w:t>,</w:t>
            </w:r>
            <w:r w:rsidR="00242843" w:rsidRPr="00242843">
              <w:t xml:space="preserve"> </w:t>
            </w:r>
            <w:r w:rsidR="00ED38ED" w:rsidRPr="001C1D60">
              <w:t xml:space="preserve">to children in the </w:t>
            </w:r>
            <w:r w:rsidR="00492747">
              <w:t>YBFS</w:t>
            </w:r>
            <w:bookmarkEnd w:id="21"/>
            <w:r w:rsidR="00ED38ED">
              <w:t>.</w:t>
            </w:r>
            <w:r w:rsidR="00643D39" w:rsidRPr="001B4F9D">
              <w:t xml:space="preserve"> </w:t>
            </w:r>
            <w:r w:rsidR="00A963FF">
              <w:t>P</w:t>
            </w:r>
            <w:r w:rsidR="00B91D74" w:rsidRPr="00242843">
              <w:t xml:space="preserve">reschool </w:t>
            </w:r>
            <w:r w:rsidR="00A963FF">
              <w:t xml:space="preserve">attendance </w:t>
            </w:r>
            <w:r w:rsidR="00B91D74" w:rsidRPr="00242843">
              <w:t>is not compulsory.</w:t>
            </w:r>
            <w:r w:rsidR="002D250F">
              <w:t xml:space="preserve"> </w:t>
            </w:r>
            <w:r w:rsidR="00643D39">
              <w:t>S</w:t>
            </w:r>
            <w:r w:rsidR="00643D39" w:rsidRPr="001B4F9D">
              <w:t xml:space="preserve">tates and </w:t>
            </w:r>
            <w:r w:rsidR="00643D39">
              <w:t>T</w:t>
            </w:r>
            <w:r w:rsidR="00643D39" w:rsidRPr="001B4F9D">
              <w:t>erritories, local government, no</w:t>
            </w:r>
            <w:r w:rsidR="00643D39">
              <w:t>t</w:t>
            </w:r>
            <w:r w:rsidR="00643D39" w:rsidRPr="001B4F9D">
              <w:t>-for-profit organisations and</w:t>
            </w:r>
            <w:r w:rsidR="00643D39">
              <w:t>/or</w:t>
            </w:r>
            <w:r w:rsidR="00643D39" w:rsidRPr="001B4F9D">
              <w:t xml:space="preserve"> private operators</w:t>
            </w:r>
            <w:r w:rsidR="00643D39">
              <w:t xml:space="preserve"> </w:t>
            </w:r>
            <w:r w:rsidR="009266BB">
              <w:t>deliver preschool programs</w:t>
            </w:r>
            <w:r w:rsidR="00643D39">
              <w:t xml:space="preserve"> in a variety of </w:t>
            </w:r>
            <w:r w:rsidR="00643D39" w:rsidRPr="001B4F9D">
              <w:t>settings</w:t>
            </w:r>
            <w:r w:rsidR="00E93643">
              <w:t>, including</w:t>
            </w:r>
            <w:r w:rsidR="00643D39">
              <w:t xml:space="preserve"> s</w:t>
            </w:r>
            <w:r w:rsidR="00643D39" w:rsidRPr="00952E50">
              <w:t>chool</w:t>
            </w:r>
            <w:r w:rsidR="00643D39">
              <w:t xml:space="preserve">-based programs </w:t>
            </w:r>
            <w:r w:rsidR="00643D39" w:rsidRPr="00952E50">
              <w:t>(</w:t>
            </w:r>
            <w:r w:rsidR="00643D39">
              <w:t>g</w:t>
            </w:r>
            <w:r w:rsidR="00643D39" w:rsidRPr="00952E50">
              <w:t>overnment and non-government)</w:t>
            </w:r>
            <w:r w:rsidR="00643D39">
              <w:t xml:space="preserve">, </w:t>
            </w:r>
            <w:r w:rsidR="00BC0C44">
              <w:t>standalone</w:t>
            </w:r>
            <w:r w:rsidR="00643D39" w:rsidRPr="00952E50">
              <w:t xml:space="preserve"> </w:t>
            </w:r>
            <w:r w:rsidR="00643D39">
              <w:t xml:space="preserve">facilities and </w:t>
            </w:r>
            <w:r w:rsidR="00E93643">
              <w:t xml:space="preserve">in </w:t>
            </w:r>
            <w:r w:rsidR="00643D39">
              <w:t xml:space="preserve">centre-based day care </w:t>
            </w:r>
            <w:r w:rsidR="00B76DCE">
              <w:t>(CBDC)</w:t>
            </w:r>
            <w:r w:rsidR="00643D39">
              <w:t>. The terms used for these programs vary across the country</w:t>
            </w:r>
            <w:r w:rsidR="009266BB">
              <w:t>;</w:t>
            </w:r>
            <w:r w:rsidR="00ED38ED">
              <w:t xml:space="preserve"> for</w:t>
            </w:r>
            <w:r w:rsidR="00643D39">
              <w:t xml:space="preserve"> simplicity we use the term</w:t>
            </w:r>
            <w:r w:rsidR="00643D39" w:rsidRPr="001F2C7E">
              <w:t xml:space="preserve"> </w:t>
            </w:r>
            <w:r w:rsidR="00643D39">
              <w:t>‘</w:t>
            </w:r>
            <w:r w:rsidR="00643D39" w:rsidRPr="001F2C7E">
              <w:t>preschool</w:t>
            </w:r>
            <w:r w:rsidR="00643D39">
              <w:t>’ throughout this report</w:t>
            </w:r>
            <w:r w:rsidR="009266F0">
              <w:t>.</w:t>
            </w:r>
            <w:r w:rsidR="00ED38ED">
              <w:rPr>
                <w:rStyle w:val="FootnoteReference"/>
              </w:rPr>
              <w:footnoteReference w:id="2"/>
            </w:r>
          </w:p>
        </w:tc>
      </w:tr>
    </w:tbl>
    <w:p w14:paraId="732DFEAB" w14:textId="77777777" w:rsidR="00877782" w:rsidRDefault="00877782" w:rsidP="00555985">
      <w:pPr>
        <w:spacing w:after="0"/>
      </w:pPr>
      <w:bookmarkStart w:id="22" w:name="_Hlk24051390"/>
    </w:p>
    <w:bookmarkEnd w:id="22"/>
    <w:p w14:paraId="468FED5E" w14:textId="4AA44C42" w:rsidR="00D021EB" w:rsidDel="00877782" w:rsidRDefault="004A0AB5" w:rsidP="00C57905">
      <w:pPr>
        <w:pStyle w:val="Listnumbered"/>
        <w:ind w:left="0" w:firstLine="0"/>
      </w:pPr>
      <w:r>
        <w:t>T</w:t>
      </w:r>
      <w:r w:rsidR="00FB7910" w:rsidRPr="00336A24">
        <w:t xml:space="preserve">he Review finds that </w:t>
      </w:r>
      <w:r w:rsidR="007E3B3F">
        <w:t>Australian</w:t>
      </w:r>
      <w:r w:rsidR="007E3B3F" w:rsidDel="00B91D74">
        <w:t xml:space="preserve"> </w:t>
      </w:r>
      <w:r w:rsidR="00B91D74">
        <w:t>governments</w:t>
      </w:r>
      <w:r w:rsidR="00E2723D">
        <w:t>,</w:t>
      </w:r>
      <w:r w:rsidR="00E2723D" w:rsidRPr="00E2723D">
        <w:t xml:space="preserve"> through the UANP</w:t>
      </w:r>
      <w:r w:rsidR="00E2723D">
        <w:t>,</w:t>
      </w:r>
      <w:r w:rsidR="007E3B3F">
        <w:t xml:space="preserve"> have </w:t>
      </w:r>
      <w:r w:rsidR="00A963FF">
        <w:t>large</w:t>
      </w:r>
      <w:r w:rsidR="00E2723D">
        <w:t>ly</w:t>
      </w:r>
      <w:r w:rsidR="00A963FF">
        <w:t xml:space="preserve"> </w:t>
      </w:r>
      <w:r w:rsidR="007E3B3F">
        <w:t xml:space="preserve">achieved </w:t>
      </w:r>
      <w:r w:rsidR="00A963FF">
        <w:t>the</w:t>
      </w:r>
      <w:r w:rsidR="007E3B3F">
        <w:t xml:space="preserve"> goal</w:t>
      </w:r>
      <w:r w:rsidR="00FB7910" w:rsidRPr="00336A24">
        <w:t xml:space="preserve"> of providing universal access to 600 hours of quality</w:t>
      </w:r>
      <w:r w:rsidR="003B5CD2">
        <w:t xml:space="preserve">, affordable </w:t>
      </w:r>
      <w:r w:rsidR="00FB7910" w:rsidRPr="00336A24">
        <w:t xml:space="preserve">preschool in the YBFS. </w:t>
      </w:r>
      <w:r w:rsidR="00E2723D">
        <w:t>A previous</w:t>
      </w:r>
      <w:r w:rsidR="00FB7910" w:rsidRPr="00F5262B">
        <w:t xml:space="preserve"> review of the UANP </w:t>
      </w:r>
      <w:r w:rsidR="00E2723D">
        <w:t xml:space="preserve">(conducted </w:t>
      </w:r>
      <w:r w:rsidR="00FB7910" w:rsidRPr="00F5262B">
        <w:t>in 2014</w:t>
      </w:r>
      <w:r w:rsidR="00E2723D">
        <w:t>)</w:t>
      </w:r>
      <w:r w:rsidR="00FB7910" w:rsidRPr="00F5262B">
        <w:t xml:space="preserve"> found </w:t>
      </w:r>
      <w:r w:rsidR="00E2723D">
        <w:t xml:space="preserve">that </w:t>
      </w:r>
      <w:r w:rsidR="00FB7910" w:rsidRPr="00F5262B">
        <w:t xml:space="preserve">the investment </w:t>
      </w:r>
      <w:r w:rsidR="00E2723D">
        <w:t xml:space="preserve">to that point had had </w:t>
      </w:r>
      <w:r w:rsidR="00E2723D" w:rsidRPr="00E2723D">
        <w:t xml:space="preserve">a clear </w:t>
      </w:r>
      <w:r w:rsidR="00FB7910" w:rsidRPr="00F5262B">
        <w:t xml:space="preserve">and </w:t>
      </w:r>
      <w:r w:rsidR="00E2723D" w:rsidRPr="00E2723D">
        <w:t>positive impact</w:t>
      </w:r>
      <w:r w:rsidR="00FB7910" w:rsidRPr="00F5262B">
        <w:t>.</w:t>
      </w:r>
      <w:r w:rsidR="00FB7910" w:rsidRPr="007A1976">
        <w:rPr>
          <w:rStyle w:val="FootnoteReference"/>
        </w:rPr>
        <w:footnoteReference w:id="3"/>
      </w:r>
      <w:r w:rsidR="00FB7910">
        <w:t xml:space="preserve"> </w:t>
      </w:r>
      <w:r w:rsidR="00E2723D">
        <w:t>It noted that t</w:t>
      </w:r>
      <w:r w:rsidR="00FB7910" w:rsidRPr="007A1976">
        <w:t xml:space="preserve">he capacity of the system to deliver the 600 hours </w:t>
      </w:r>
      <w:r w:rsidR="00E2723D">
        <w:t xml:space="preserve">had </w:t>
      </w:r>
      <w:r w:rsidR="00FB7910" w:rsidRPr="007A1976">
        <w:t xml:space="preserve">increased, </w:t>
      </w:r>
      <w:r w:rsidR="00FB7910">
        <w:t xml:space="preserve">and </w:t>
      </w:r>
      <w:r w:rsidR="00FB7910" w:rsidRPr="007A1976">
        <w:t xml:space="preserve">community expectations about preschool </w:t>
      </w:r>
      <w:r w:rsidR="00FB7910">
        <w:t xml:space="preserve">participation </w:t>
      </w:r>
      <w:r w:rsidR="001D6491">
        <w:t xml:space="preserve">had </w:t>
      </w:r>
      <w:r w:rsidR="00FB7910" w:rsidRPr="007A1976">
        <w:t>beg</w:t>
      </w:r>
      <w:r w:rsidR="001D6491">
        <w:t>u</w:t>
      </w:r>
      <w:r w:rsidR="00FB7910" w:rsidRPr="007A1976">
        <w:t>n to change</w:t>
      </w:r>
      <w:r w:rsidR="00FB7910">
        <w:t xml:space="preserve">. </w:t>
      </w:r>
      <w:r w:rsidR="00E2723D">
        <w:t>This Review, which covers</w:t>
      </w:r>
      <w:r w:rsidR="00FB7910" w:rsidRPr="00336A24">
        <w:t xml:space="preserve"> the period 2014 to 2019</w:t>
      </w:r>
      <w:r w:rsidR="00AC2504">
        <w:t xml:space="preserve">, </w:t>
      </w:r>
      <w:r w:rsidR="00FB7910" w:rsidRPr="00336A24">
        <w:t>find</w:t>
      </w:r>
      <w:r w:rsidR="00AC2504">
        <w:t>s</w:t>
      </w:r>
      <w:r w:rsidR="00FB7910" w:rsidRPr="00336A24">
        <w:t xml:space="preserve"> </w:t>
      </w:r>
      <w:r w:rsidR="00E2723D">
        <w:t xml:space="preserve">that </w:t>
      </w:r>
      <w:r w:rsidR="00FB7910" w:rsidRPr="00336A24">
        <w:t xml:space="preserve">further </w:t>
      </w:r>
      <w:r w:rsidR="00E2723D">
        <w:t xml:space="preserve">significant </w:t>
      </w:r>
      <w:r w:rsidR="00FB7910" w:rsidRPr="00336A24">
        <w:t xml:space="preserve">progress </w:t>
      </w:r>
      <w:r w:rsidR="00E2723D">
        <w:t>has been made –</w:t>
      </w:r>
      <w:r w:rsidR="00FB7910" w:rsidRPr="00336A24">
        <w:t xml:space="preserve"> not only in terms of the UANP’s </w:t>
      </w:r>
      <w:r w:rsidR="00FC42C6">
        <w:t>p</w:t>
      </w:r>
      <w:r w:rsidR="00BD5115">
        <w:t xml:space="preserve">erformance </w:t>
      </w:r>
      <w:r w:rsidR="00FC42C6">
        <w:t>i</w:t>
      </w:r>
      <w:r w:rsidR="00BD5115">
        <w:t>ndicator</w:t>
      </w:r>
      <w:r w:rsidR="00FB7910" w:rsidRPr="00336A24">
        <w:t xml:space="preserve">s, but </w:t>
      </w:r>
      <w:r w:rsidR="00FB7910">
        <w:t xml:space="preserve">also </w:t>
      </w:r>
      <w:r w:rsidR="00FB7910" w:rsidRPr="00336A24">
        <w:t xml:space="preserve">with respect to improving national data and building workforce capability. </w:t>
      </w:r>
    </w:p>
    <w:p w14:paraId="6EA66CA2" w14:textId="77777777" w:rsidR="001C06CE" w:rsidRDefault="001C06CE" w:rsidP="00DA2A71">
      <w:r>
        <w:t xml:space="preserve">The 600 hours per year requirement is accepted as a minimum and parental expectations have adjusted to this new norm. This </w:t>
      </w:r>
      <w:r w:rsidR="00FF4950">
        <w:t>is</w:t>
      </w:r>
      <w:r w:rsidRPr="001C06CE">
        <w:t xml:space="preserve"> a significant policy achievement and a testament to highly effective intergovernmental cooperation</w:t>
      </w:r>
      <w:r w:rsidR="001D6491">
        <w:t>.</w:t>
      </w:r>
    </w:p>
    <w:p w14:paraId="01A2702D" w14:textId="1C0E6D4D" w:rsidR="004A0AB5" w:rsidRDefault="001D6491" w:rsidP="00555985">
      <w:r>
        <w:t xml:space="preserve">Australian Government funding </w:t>
      </w:r>
      <w:r w:rsidR="004A0AB5">
        <w:t xml:space="preserve">provided under the UANP during the period covered by this Review increased from $368 million in 2014-15 to $426 million in 2017-18. </w:t>
      </w:r>
      <w:r w:rsidR="00E86885">
        <w:t>Meanwhile</w:t>
      </w:r>
      <w:r w:rsidR="004A0AB5">
        <w:t xml:space="preserve">, </w:t>
      </w:r>
      <w:r w:rsidR="004A0AB5" w:rsidRPr="00336A24">
        <w:t xml:space="preserve">States and Territories </w:t>
      </w:r>
      <w:r w:rsidR="004A0AB5">
        <w:t>continued to invest in</w:t>
      </w:r>
      <w:r w:rsidR="004A0AB5" w:rsidRPr="00336A24">
        <w:t xml:space="preserve"> </w:t>
      </w:r>
      <w:r w:rsidR="004A0AB5">
        <w:t xml:space="preserve">the </w:t>
      </w:r>
      <w:r w:rsidR="004A0AB5" w:rsidRPr="00336A24">
        <w:t xml:space="preserve">achievement and maintenance of outcomes. </w:t>
      </w:r>
      <w:r w:rsidR="004A0AB5">
        <w:t xml:space="preserve">State and Territory spending on preschool </w:t>
      </w:r>
      <w:r w:rsidR="00FF4950">
        <w:t xml:space="preserve">in the YBFS </w:t>
      </w:r>
      <w:r w:rsidR="004A0AB5">
        <w:t xml:space="preserve">grew from $922 </w:t>
      </w:r>
      <w:r w:rsidR="00FF4950">
        <w:t>m</w:t>
      </w:r>
      <w:r w:rsidR="004A0AB5">
        <w:t>illion in 2014-15 to $1.1 billion in 2017-18.</w:t>
      </w:r>
      <w:r w:rsidR="004A0AB5">
        <w:rPr>
          <w:rStyle w:val="FootnoteReference"/>
        </w:rPr>
        <w:footnoteReference w:id="4"/>
      </w:r>
    </w:p>
    <w:p w14:paraId="19536C4B" w14:textId="7083D6F8" w:rsidR="004A0AB5" w:rsidRPr="004A0AB5" w:rsidRDefault="004A0AB5" w:rsidP="004A0AB5">
      <w:r>
        <w:t>The evidentiary basis for th</w:t>
      </w:r>
      <w:r w:rsidR="00E86885">
        <w:t>ese</w:t>
      </w:r>
      <w:r>
        <w:t xml:space="preserve"> investment</w:t>
      </w:r>
      <w:r w:rsidR="00E86885">
        <w:t>s</w:t>
      </w:r>
      <w:r>
        <w:t xml:space="preserve"> is strong. </w:t>
      </w:r>
      <w:r w:rsidR="00E86885">
        <w:t>Q</w:t>
      </w:r>
      <w:r w:rsidRPr="004A0AB5">
        <w:t>uality preschool makes a significant</w:t>
      </w:r>
      <w:r w:rsidR="002D250F">
        <w:t xml:space="preserve">, </w:t>
      </w:r>
      <w:r w:rsidRPr="004A0AB5">
        <w:t xml:space="preserve">long-term difference to educational and other developmental outcomes. While all children benefit, increasing participation among those who are Indigenous or experiencing vulnerability or disadvantage is shown to </w:t>
      </w:r>
      <w:r w:rsidRPr="004A0AB5">
        <w:lastRenderedPageBreak/>
        <w:t xml:space="preserve">deliver a relatively greater return (as long as quality standards are met). </w:t>
      </w:r>
      <w:r w:rsidR="00E86885">
        <w:t xml:space="preserve">There are benefits </w:t>
      </w:r>
      <w:r w:rsidR="002D250F">
        <w:t xml:space="preserve">to government, too: </w:t>
      </w:r>
      <w:r w:rsidR="003540B3">
        <w:t xml:space="preserve">a </w:t>
      </w:r>
      <w:r w:rsidRPr="004A0AB5">
        <w:t>recent economic analysis</w:t>
      </w:r>
      <w:r w:rsidRPr="004A0AB5">
        <w:rPr>
          <w:vertAlign w:val="superscript"/>
        </w:rPr>
        <w:footnoteReference w:id="5"/>
      </w:r>
      <w:r w:rsidRPr="004A0AB5">
        <w:t xml:space="preserve"> </w:t>
      </w:r>
      <w:r w:rsidR="00E86885">
        <w:t xml:space="preserve">showed </w:t>
      </w:r>
      <w:r w:rsidR="003540B3">
        <w:t xml:space="preserve">that </w:t>
      </w:r>
      <w:r w:rsidR="00E86885">
        <w:t>the UANP contribut</w:t>
      </w:r>
      <w:r w:rsidR="003540B3">
        <w:t>es</w:t>
      </w:r>
      <w:r w:rsidR="00E86885">
        <w:t xml:space="preserve"> to </w:t>
      </w:r>
      <w:r w:rsidRPr="004A0AB5">
        <w:t>increased workforce participation</w:t>
      </w:r>
      <w:r w:rsidR="00E86885">
        <w:t xml:space="preserve"> and </w:t>
      </w:r>
      <w:r w:rsidRPr="004A0AB5">
        <w:t>tax revenue</w:t>
      </w:r>
      <w:r w:rsidR="00E86885">
        <w:t>s,</w:t>
      </w:r>
      <w:r w:rsidRPr="004A0AB5">
        <w:t xml:space="preserve"> and </w:t>
      </w:r>
      <w:r w:rsidR="00E86885">
        <w:t>reduce</w:t>
      </w:r>
      <w:r w:rsidR="001D6491">
        <w:t>s</w:t>
      </w:r>
      <w:r w:rsidR="00E86885">
        <w:t xml:space="preserve"> pressure on </w:t>
      </w:r>
      <w:r w:rsidRPr="004A0AB5">
        <w:t xml:space="preserve">education, </w:t>
      </w:r>
      <w:proofErr w:type="gramStart"/>
      <w:r w:rsidRPr="004A0AB5">
        <w:t>health</w:t>
      </w:r>
      <w:proofErr w:type="gramEnd"/>
      <w:r w:rsidRPr="004A0AB5">
        <w:t xml:space="preserve"> and justice budgets. </w:t>
      </w:r>
    </w:p>
    <w:p w14:paraId="102C0A8F" w14:textId="77777777" w:rsidR="004A0AB5" w:rsidRPr="004A0AB5" w:rsidRDefault="004A0AB5" w:rsidP="004A0AB5">
      <w:r w:rsidRPr="004A0AB5">
        <w:t xml:space="preserve">Successive governments at </w:t>
      </w:r>
      <w:r w:rsidR="001D6491">
        <w:t xml:space="preserve">all </w:t>
      </w:r>
      <w:r w:rsidRPr="004A0AB5">
        <w:t xml:space="preserve">levels have </w:t>
      </w:r>
      <w:r w:rsidR="00E86885">
        <w:t xml:space="preserve">therefore </w:t>
      </w:r>
      <w:r w:rsidRPr="004A0AB5">
        <w:t xml:space="preserve">re-affirmed their support for </w:t>
      </w:r>
      <w:r w:rsidR="003540B3">
        <w:t xml:space="preserve">public funding of </w:t>
      </w:r>
      <w:r w:rsidRPr="004A0AB5">
        <w:t>preschool. This commitment was reflected in COAG’s agreement, in December 2018, to the Early Learning Reform Principles</w:t>
      </w:r>
      <w:r w:rsidR="003540B3">
        <w:t>,</w:t>
      </w:r>
      <w:r w:rsidRPr="004A0AB5">
        <w:rPr>
          <w:vertAlign w:val="superscript"/>
        </w:rPr>
        <w:footnoteReference w:id="6"/>
      </w:r>
      <w:r w:rsidRPr="004A0AB5">
        <w:t xml:space="preserve"> </w:t>
      </w:r>
      <w:r w:rsidR="003540B3">
        <w:t>which</w:t>
      </w:r>
      <w:r w:rsidRPr="004A0AB5">
        <w:t xml:space="preserve"> are intended to guide </w:t>
      </w:r>
      <w:r w:rsidR="001D6491">
        <w:t xml:space="preserve">national </w:t>
      </w:r>
      <w:r w:rsidRPr="004A0AB5">
        <w:t xml:space="preserve">efforts to support and enhance children's learning from birth </w:t>
      </w:r>
      <w:r w:rsidR="003540B3">
        <w:t>t</w:t>
      </w:r>
      <w:r w:rsidRPr="004A0AB5">
        <w:t>o five years of age, as well as their transition to full-time school.</w:t>
      </w:r>
    </w:p>
    <w:p w14:paraId="36083F9F" w14:textId="489852C0" w:rsidR="006E5B1D" w:rsidRDefault="00555985" w:rsidP="006E5B1D">
      <w:pPr>
        <w:pStyle w:val="Caption"/>
        <w:rPr>
          <w:vertAlign w:val="superscript"/>
        </w:rPr>
      </w:pPr>
      <w:bookmarkStart w:id="23" w:name="_Ref31278705"/>
      <w:r w:rsidRPr="00555985">
        <w:t xml:space="preserve">Figure </w:t>
      </w:r>
      <w:r w:rsidRPr="00555985">
        <w:fldChar w:fldCharType="begin"/>
      </w:r>
      <w:r w:rsidRPr="00555985">
        <w:instrText xml:space="preserve"> SEQ Figure \* ARABIC </w:instrText>
      </w:r>
      <w:r w:rsidRPr="00555985">
        <w:fldChar w:fldCharType="separate"/>
      </w:r>
      <w:r w:rsidR="00B37785">
        <w:rPr>
          <w:noProof/>
        </w:rPr>
        <w:t>1</w:t>
      </w:r>
      <w:r w:rsidRPr="00555985">
        <w:fldChar w:fldCharType="end"/>
      </w:r>
      <w:bookmarkEnd w:id="23"/>
      <w:r w:rsidRPr="00555985">
        <w:t xml:space="preserve"> | Highlights of the UANP’s impact since 2013</w:t>
      </w:r>
      <w:r w:rsidR="00872D13">
        <w:rPr>
          <w:rStyle w:val="FootnoteReference"/>
        </w:rPr>
        <w:footnoteReference w:id="7"/>
      </w:r>
    </w:p>
    <w:p w14:paraId="6A6C74C8" w14:textId="77777777" w:rsidR="00730280" w:rsidRPr="00730280" w:rsidRDefault="00B2045E" w:rsidP="00730280">
      <w:r>
        <w:rPr>
          <w:noProof/>
          <w:lang w:eastAsia="en-AU"/>
        </w:rPr>
        <w:drawing>
          <wp:inline distT="0" distB="0" distL="0" distR="0" wp14:anchorId="25AD461E" wp14:editId="705C8890">
            <wp:extent cx="5670000" cy="5673583"/>
            <wp:effectExtent l="0" t="0" r="6985" b="3810"/>
            <wp:docPr id="35" name="Picture 35" descr="The UANP has increased preschool participation, through universal access has not yet been achieved for all children.&#10;In 2018 total children enrolled was 342719, enrolled for 600 + hours 95%, Indigenous children enrolled, 93%, vulnerable and disadvantaged children enrolled 85%. In 2013 304929 children were enrolled, 82% enrolled for 600+ hours, 88% Indigenous children enrolled, 80% vulnerable and disadvantaged children enrolled. In 2008 199672 children were enrolled, 12% enrolled for 600+ hours, 88% Indigenous children enrolled, 80% vulnerable and disadvantaged children enrolled. &#10;There are now more qualified early childhood teachers (ECTs) and preschools with a qualified ECT. Qualified ECTs 9507 in 2013, 11414 in 2016. Services with a qualified ECT was 91.7% in 2013 and 99.4% in 2018. &#10;90% of parents/carer survey respondents said preschool meets their families needs. &#10;Preschool teacher &quot;In our community there is access to a number of high quality preschool programs that work together in an alliance helping on another to offer care for families in need&quot;.&#10;Parent &quot;(My state) has a fantastic variety of preschool programs that are affordable, available to every family at minimal cost and they provide a quality play based curriculum&quot;. &#10;The UANP has encouraged incresed government investment. The UANP has provided additinal funding on top of significant state and territory investment. In Financial year 2009-10 total of 878m, $89 m through UANP, $775 m state and territories. In financial year 2021-13 $1.27b. $491m UANP, $793m state and territories. In financial year 2017-18, $1.53b, $426m UANP, $1.1b states and territories.&#10;Preschool contributes to better developmental outcomes, especially for disadvantaged children. &#10;Percentage vulnerable on one or more developmental domain in the AEDC. For those who attended preschool from advantaged communities 15% were vulnerable compared to 24% of those who did not attend preschool. For disadvantaged communities, 29% who attended preschool were developmentally vulnerable, compared to 39% of those who did not.&#10;The number of preschool providers has grown, as has the proportion meeting or exceeding quality standards. Graph over timing showing the number of providers providing preschool programs and meeting or exceeding quali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UANP has increased preschool participation, through universal access has not yet been achieved for all children.&#10;In 2018 total children enrolled was 342719, enrolled for 600 + hours 95%, Indigenous children enrolled, 93%, vulnerable and disadvantaged children enrolled 85%. In 2013 304929 children were enrolled, 82% enrolled for 600+ hours, 88% Indigenous children enrolled, 80% vulnerable and disadvantaged children enrolled. In 2008 199672 children were enrolled, 12% enrolled for 600+ hours, 88% Indigenous children enrolled, 80% vulnerable and disadvantaged children enrolled. &#10;There are now more qualified early childhood teachers (ECTs) and preschools with a qualified ECT. Qualified ECTs 9507 in 2013, 11414 in 2016. Services with a qualified ECT was 91.7% in 2013 and 99.4% in 2018. &#10;90% of parents/carer survey respondents said preschool meets their families needs. &#10;Preschool teacher &quot;In our community there is access to a number of high quality preschool programs that work together in an alliance helping on another to offer care for families in need&quot;.&#10;Parent &quot;(My state) has a fantastic variety of preschool programs that are affordable, available to every family at minimal cost and they provide a quality play based curriculum&quot;. &#10;The UANP has encouraged incresed government investment. The UANP has provided additinal funding on top of significant state and territory investment. In Financial year 2009-10 total of 878m, $89 m through UANP, $775 m state and territories. In financial year 2021-13 $1.27b. $491m UANP, $793m state and territories. In financial year 2017-18, $1.53b, $426m UANP, $1.1b states and territories.&#10;Preschool contributes to better developmental outcomes, especially for disadvantaged children. &#10;Percentage vulnerable on one or more developmental domain in the AEDC. For those who attended preschool from advantaged communities 15% were vulnerable compared to 24% of those who did not attend preschool. For disadvantaged communities, 29% who attended preschool were developmentally vulnerable, compared to 39% of those who did not.&#10;The number of preschool providers has grown, as has the proportion meeting or exceeding quality standards. Graph over timing showing the number of providers providing preschool programs and meeting or exceeding quality standard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000" cy="5673583"/>
                    </a:xfrm>
                    <a:prstGeom prst="rect">
                      <a:avLst/>
                    </a:prstGeom>
                  </pic:spPr>
                </pic:pic>
              </a:graphicData>
            </a:graphic>
          </wp:inline>
        </w:drawing>
      </w:r>
      <w:r w:rsidR="00D42623" w:rsidRPr="00D42623">
        <w:t xml:space="preserve"> </w:t>
      </w:r>
    </w:p>
    <w:p w14:paraId="7FF6D3DE" w14:textId="77777777" w:rsidR="009C6BB8" w:rsidRDefault="009C6BB8" w:rsidP="00877782">
      <w:pPr>
        <w:pStyle w:val="Listnumbered"/>
        <w:ind w:left="0" w:firstLine="0"/>
        <w:rPr>
          <w:rFonts w:ascii="Segoe UI Semibold" w:eastAsia="Times New Roman" w:hAnsi="Segoe UI Semibold" w:cs="Times New Roman"/>
          <w:color w:val="00264D" w:themeColor="background2"/>
          <w:sz w:val="22"/>
          <w:lang w:eastAsia="en-AU"/>
        </w:rPr>
      </w:pPr>
    </w:p>
    <w:p w14:paraId="5DC91836" w14:textId="611F11B2" w:rsidR="00877782" w:rsidRDefault="00850CE9" w:rsidP="00877782">
      <w:pPr>
        <w:pStyle w:val="Listnumbered"/>
        <w:ind w:left="0" w:firstLine="0"/>
      </w:pPr>
      <w:r w:rsidRPr="00FF4950">
        <w:rPr>
          <w:rFonts w:ascii="Segoe UI Semibold" w:eastAsia="Times New Roman" w:hAnsi="Segoe UI Semibold" w:cs="Times New Roman"/>
          <w:color w:val="00264D" w:themeColor="background2"/>
          <w:sz w:val="22"/>
          <w:lang w:eastAsia="en-AU"/>
        </w:rPr>
        <w:t>The Review</w:t>
      </w:r>
      <w:r w:rsidR="00492747">
        <w:rPr>
          <w:rFonts w:ascii="Segoe UI Semibold" w:eastAsia="Times New Roman" w:hAnsi="Segoe UI Semibold" w:cs="Times New Roman"/>
          <w:color w:val="00264D" w:themeColor="background2"/>
          <w:sz w:val="22"/>
          <w:lang w:eastAsia="en-AU"/>
        </w:rPr>
        <w:t xml:space="preserve">’s </w:t>
      </w:r>
      <w:r w:rsidRPr="00FF4950">
        <w:rPr>
          <w:rFonts w:ascii="Segoe UI Semibold" w:eastAsia="Times New Roman" w:hAnsi="Segoe UI Semibold" w:cs="Times New Roman"/>
          <w:color w:val="00264D" w:themeColor="background2"/>
          <w:sz w:val="22"/>
          <w:lang w:eastAsia="en-AU"/>
        </w:rPr>
        <w:t xml:space="preserve">Terms of Reference </w:t>
      </w:r>
      <w:r w:rsidR="00492747">
        <w:rPr>
          <w:rFonts w:ascii="Segoe UI Semibold" w:eastAsia="Times New Roman" w:hAnsi="Segoe UI Semibold" w:cs="Times New Roman"/>
          <w:color w:val="00264D" w:themeColor="background2"/>
          <w:sz w:val="22"/>
          <w:lang w:eastAsia="en-AU"/>
        </w:rPr>
        <w:t>and methodology</w:t>
      </w:r>
      <w:r w:rsidRPr="00FF4950">
        <w:rPr>
          <w:rFonts w:ascii="Segoe UI Semibold" w:eastAsia="Times New Roman" w:hAnsi="Segoe UI Semibold" w:cs="Times New Roman"/>
          <w:color w:val="00264D" w:themeColor="background2"/>
          <w:sz w:val="22"/>
          <w:lang w:eastAsia="en-AU"/>
        </w:rPr>
        <w:t xml:space="preserve"> </w:t>
      </w:r>
    </w:p>
    <w:p w14:paraId="06B2BD9E" w14:textId="4BCD3732" w:rsidR="001C06CE" w:rsidRDefault="001C06CE" w:rsidP="001C06CE">
      <w:r>
        <w:lastRenderedPageBreak/>
        <w:t>The Review’s Terms of Reference (</w:t>
      </w:r>
      <w:proofErr w:type="spellStart"/>
      <w:r>
        <w:t>ToR</w:t>
      </w:r>
      <w:proofErr w:type="spellEnd"/>
      <w:r>
        <w:t xml:space="preserve">) (see </w:t>
      </w:r>
      <w:r>
        <w:fldChar w:fldCharType="begin"/>
      </w:r>
      <w:r>
        <w:instrText xml:space="preserve"> REF _Ref24558211 \n \h </w:instrText>
      </w:r>
      <w:r>
        <w:fldChar w:fldCharType="separate"/>
      </w:r>
      <w:r w:rsidR="00B37785">
        <w:t>Appendix A</w:t>
      </w:r>
      <w:r>
        <w:fldChar w:fldCharType="end"/>
      </w:r>
      <w:r>
        <w:t>) call for findings on:</w:t>
      </w:r>
    </w:p>
    <w:p w14:paraId="1220FC64" w14:textId="3B2AF5AB" w:rsidR="001C06CE" w:rsidRPr="00123D43" w:rsidRDefault="001C06CE" w:rsidP="001C06CE">
      <w:pPr>
        <w:pStyle w:val="Listnumbered"/>
        <w:numPr>
          <w:ilvl w:val="0"/>
          <w:numId w:val="20"/>
        </w:numPr>
      </w:pPr>
      <w:r w:rsidRPr="00123D43">
        <w:t>The extent to which the UANP policy objectives, outcomes and outputs have been achieved</w:t>
      </w:r>
      <w:r w:rsidR="00850CE9">
        <w:t xml:space="preserve"> (addressed in </w:t>
      </w:r>
      <w:r w:rsidR="00715510">
        <w:t>Chapter</w:t>
      </w:r>
      <w:r w:rsidR="00850CE9">
        <w:t xml:space="preserve"> 3 of this report)</w:t>
      </w:r>
      <w:r w:rsidR="009C6BB8">
        <w:t>.</w:t>
      </w:r>
    </w:p>
    <w:p w14:paraId="167F3F54" w14:textId="7A1F6B12" w:rsidR="001C06CE" w:rsidRPr="00123D43" w:rsidRDefault="001C06CE" w:rsidP="001C06CE">
      <w:pPr>
        <w:pStyle w:val="Listnumbered"/>
        <w:numPr>
          <w:ilvl w:val="0"/>
          <w:numId w:val="20"/>
        </w:numPr>
      </w:pPr>
      <w:r w:rsidRPr="00123D43">
        <w:t xml:space="preserve">The appropriateness of </w:t>
      </w:r>
      <w:r>
        <w:t>the</w:t>
      </w:r>
      <w:r w:rsidRPr="00123D43">
        <w:t xml:space="preserve"> </w:t>
      </w:r>
      <w:r>
        <w:t>funding instrument, including the</w:t>
      </w:r>
      <w:r w:rsidRPr="00123D43">
        <w:t xml:space="preserve"> </w:t>
      </w:r>
      <w:r>
        <w:t>performance indicator</w:t>
      </w:r>
      <w:r w:rsidRPr="00123D43">
        <w:t>s, benchmarks and targets and the methodologies and data used to measure them</w:t>
      </w:r>
      <w:r w:rsidR="00850CE9">
        <w:t xml:space="preserve"> (see </w:t>
      </w:r>
      <w:r w:rsidR="00715510">
        <w:t>Chapter</w:t>
      </w:r>
      <w:r w:rsidR="00850CE9">
        <w:t xml:space="preserve"> 4)</w:t>
      </w:r>
      <w:r w:rsidR="009C6BB8">
        <w:t>.</w:t>
      </w:r>
    </w:p>
    <w:p w14:paraId="2AAD396E" w14:textId="225B9C75" w:rsidR="001C06CE" w:rsidRPr="00123D43" w:rsidRDefault="001C06CE" w:rsidP="001C06CE">
      <w:pPr>
        <w:pStyle w:val="Listnumbered"/>
        <w:numPr>
          <w:ilvl w:val="0"/>
          <w:numId w:val="20"/>
        </w:numPr>
      </w:pPr>
      <w:r w:rsidRPr="00123D43">
        <w:t>The efficiency</w:t>
      </w:r>
      <w:r>
        <w:t>,</w:t>
      </w:r>
      <w:r w:rsidRPr="00123D43">
        <w:t xml:space="preserve"> </w:t>
      </w:r>
      <w:proofErr w:type="gramStart"/>
      <w:r w:rsidRPr="00123D43">
        <w:t>effectiveness</w:t>
      </w:r>
      <w:proofErr w:type="gramEnd"/>
      <w:r w:rsidRPr="00123D43">
        <w:t xml:space="preserve"> </w:t>
      </w:r>
      <w:r>
        <w:t xml:space="preserve">and equity </w:t>
      </w:r>
      <w:r w:rsidRPr="00123D43">
        <w:t>of current UANP funding arrangements</w:t>
      </w:r>
      <w:r w:rsidR="00850CE9">
        <w:t xml:space="preserve"> (see </w:t>
      </w:r>
      <w:r w:rsidR="00715510">
        <w:t>Chapter</w:t>
      </w:r>
      <w:r w:rsidR="00850CE9">
        <w:t xml:space="preserve"> 5)</w:t>
      </w:r>
      <w:r w:rsidR="009C6BB8">
        <w:t>.</w:t>
      </w:r>
    </w:p>
    <w:p w14:paraId="5281087A" w14:textId="2F8E055A" w:rsidR="001C06CE" w:rsidRPr="00123D43" w:rsidRDefault="001C06CE" w:rsidP="001C06CE">
      <w:pPr>
        <w:pStyle w:val="Listnumbered"/>
        <w:numPr>
          <w:ilvl w:val="0"/>
          <w:numId w:val="20"/>
        </w:numPr>
      </w:pPr>
      <w:r w:rsidRPr="00123D43">
        <w:t>How the preschool system currently operates across jurisdictions and settings, including contextual factors and how collective investment supports the delivery of quality early childhood education programs for children in the YBFS</w:t>
      </w:r>
      <w:r w:rsidR="00850CE9">
        <w:t xml:space="preserve"> (see </w:t>
      </w:r>
      <w:r w:rsidR="00715510">
        <w:t>Chapter</w:t>
      </w:r>
      <w:r w:rsidR="00850CE9">
        <w:t xml:space="preserve"> 2)</w:t>
      </w:r>
      <w:r w:rsidR="009C6BB8">
        <w:t>.</w:t>
      </w:r>
    </w:p>
    <w:p w14:paraId="3B2F1027" w14:textId="77777777" w:rsidR="001C06CE" w:rsidRPr="00123D43" w:rsidRDefault="001C06CE" w:rsidP="001C06CE">
      <w:pPr>
        <w:pStyle w:val="Listnumbered"/>
        <w:numPr>
          <w:ilvl w:val="0"/>
          <w:numId w:val="20"/>
        </w:numPr>
      </w:pPr>
      <w:r>
        <w:t>Future policy settings for children in the YBFS</w:t>
      </w:r>
      <w:r w:rsidR="00850CE9">
        <w:t xml:space="preserve"> (see </w:t>
      </w:r>
      <w:r w:rsidR="00715510">
        <w:t>Chapter</w:t>
      </w:r>
      <w:r w:rsidR="00850CE9">
        <w:t xml:space="preserve"> 6).</w:t>
      </w:r>
    </w:p>
    <w:p w14:paraId="178B8E39" w14:textId="22BD7FDB" w:rsidR="001C06CE" w:rsidRDefault="001C06CE" w:rsidP="001C06CE">
      <w:r>
        <w:t xml:space="preserve">The Review commenced in August 2019 and involved extensive engagement with all jurisdictions and key sector representatives nationally and in each </w:t>
      </w:r>
      <w:r w:rsidDel="00843B23">
        <w:t>s</w:t>
      </w:r>
      <w:r>
        <w:t xml:space="preserve">tate and territory. Information was also provided through </w:t>
      </w:r>
      <w:r w:rsidRPr="003841A6">
        <w:t>55</w:t>
      </w:r>
      <w:r>
        <w:t xml:space="preserve"> written submissions and 1120 responses to an online survey. In addition, Nous studied UANP-related documentation, conducted </w:t>
      </w:r>
      <w:r w:rsidR="00280F1D">
        <w:t xml:space="preserve">desktop </w:t>
      </w:r>
      <w:r>
        <w:t xml:space="preserve">research, and analysed public </w:t>
      </w:r>
      <w:r w:rsidR="00C9731A">
        <w:t xml:space="preserve">and government-supplied </w:t>
      </w:r>
      <w:r>
        <w:t>data.</w:t>
      </w:r>
    </w:p>
    <w:p w14:paraId="5FDBE351" w14:textId="5A8B044E" w:rsidR="00334099" w:rsidRPr="00EC2C42" w:rsidRDefault="00860F51" w:rsidP="00466B00">
      <w:r w:rsidRPr="00860F51">
        <w:rPr>
          <w:rFonts w:ascii="Segoe UI Semibold" w:eastAsia="Times New Roman" w:hAnsi="Segoe UI Semibold" w:cs="Times New Roman"/>
          <w:color w:val="00264D" w:themeColor="background2"/>
          <w:sz w:val="22"/>
          <w:lang w:eastAsia="en-AU"/>
        </w:rPr>
        <w:t>Non-renewal or a reduction of the Australian Government’s preschool contributions would have significant consequences, including for access and quality</w:t>
      </w:r>
    </w:p>
    <w:p w14:paraId="2431617B" w14:textId="08613A1D" w:rsidR="00ED5621" w:rsidRDefault="00E6423F" w:rsidP="001935EF">
      <w:r>
        <w:t xml:space="preserve">The key message to emerge from our analysis and engagement is that while progress has been significant, there is </w:t>
      </w:r>
      <w:r w:rsidR="00E55996">
        <w:t>a</w:t>
      </w:r>
      <w:r>
        <w:t xml:space="preserve"> need to maintain investment. </w:t>
      </w:r>
      <w:r w:rsidR="00ED5621">
        <w:t xml:space="preserve">A reduction in funding would </w:t>
      </w:r>
      <w:r w:rsidR="00D41250">
        <w:t>adversely affect</w:t>
      </w:r>
      <w:r w:rsidR="00ED5621">
        <w:t xml:space="preserve"> preschool provision and participation, as well as workforce participation. There would be serious consequences for children, parents, the sector and its workforce, and other government programs. </w:t>
      </w:r>
    </w:p>
    <w:p w14:paraId="1575629C" w14:textId="430DEDAA" w:rsidR="00F527CE" w:rsidRDefault="008D0906" w:rsidP="00DD2340">
      <w:r>
        <w:t xml:space="preserve">The potential short- and long-term consequences of a withdrawal or significant diminution in Australian Government preschool funding are outlined in </w:t>
      </w:r>
      <w:r>
        <w:fldChar w:fldCharType="begin"/>
      </w:r>
      <w:r>
        <w:instrText xml:space="preserve"> REF _Ref24576828 \h </w:instrText>
      </w:r>
      <w:r>
        <w:fldChar w:fldCharType="separate"/>
      </w:r>
      <w:r w:rsidR="00B37785">
        <w:t xml:space="preserve">Figure </w:t>
      </w:r>
      <w:r w:rsidR="00B37785">
        <w:rPr>
          <w:noProof/>
        </w:rPr>
        <w:t>2</w:t>
      </w:r>
      <w:r>
        <w:fldChar w:fldCharType="end"/>
      </w:r>
      <w:r w:rsidR="00ED5621">
        <w:t xml:space="preserve">. </w:t>
      </w:r>
    </w:p>
    <w:p w14:paraId="5354B39E" w14:textId="0B16F069" w:rsidR="00B76790" w:rsidRDefault="00B76790" w:rsidP="001935EF">
      <w:pPr>
        <w:pStyle w:val="Caption"/>
      </w:pPr>
      <w:bookmarkStart w:id="24" w:name="_Ref24576828"/>
      <w:r>
        <w:t xml:space="preserve">Figure </w:t>
      </w:r>
      <w:r>
        <w:fldChar w:fldCharType="begin"/>
      </w:r>
      <w:r>
        <w:instrText xml:space="preserve"> SEQ Figure \* ARABIC </w:instrText>
      </w:r>
      <w:r>
        <w:fldChar w:fldCharType="separate"/>
      </w:r>
      <w:r w:rsidR="00B37785">
        <w:rPr>
          <w:noProof/>
        </w:rPr>
        <w:t>2</w:t>
      </w:r>
      <w:r>
        <w:fldChar w:fldCharType="end"/>
      </w:r>
      <w:bookmarkEnd w:id="24"/>
      <w:r>
        <w:t xml:space="preserve"> | </w:t>
      </w:r>
      <w:r w:rsidR="001D6491">
        <w:t>P</w:t>
      </w:r>
      <w:r w:rsidRPr="00B76790">
        <w:t>otential consequences of the Australian Government not renewing preschool funding</w:t>
      </w:r>
    </w:p>
    <w:p w14:paraId="737B9008" w14:textId="77777777" w:rsidR="00C26F80" w:rsidRDefault="008F7577" w:rsidP="009D3624">
      <w:pPr>
        <w:pStyle w:val="ListParagraph"/>
        <w:numPr>
          <w:ilvl w:val="0"/>
          <w:numId w:val="42"/>
        </w:numPr>
      </w:pPr>
      <w:r w:rsidRPr="008F7577">
        <w:rPr>
          <w:noProof/>
          <w:lang w:eastAsia="en-AU"/>
        </w:rPr>
        <w:drawing>
          <wp:inline distT="0" distB="0" distL="0" distR="0" wp14:anchorId="7C9B94CC" wp14:editId="3C9AA0E3">
            <wp:extent cx="5670550" cy="3263900"/>
            <wp:effectExtent l="0" t="0" r="6350" b="0"/>
            <wp:docPr id="3" name="Picture 3" descr="The immediate consequences would likely include some or all of the following:&#10;- a weakening of national leadership and stepping away from a unified set of agreed national objectives, and a de-prioritisation of a widely-accepted agenda for early intervention.&#10;- a reduction in hours offered to children, including a potential reversion to 'baseline' provision of hours in some jurisdictions.&#10;- lower preschool participation, particularly in disadvantaged communities and rural and remote areas.&#10;- Close/reduced access to government and NFP services, leading to increased use of CBDC programs and increased CCS payments.&#10;- Reduced quality and/or increased fees in CBDC-based programs as services seek to compensate for loss of government subsidy towards the cost of an ECT and staff meet NQF requirements.&#10;- Inability of providers in some settings and areas to engage and retain qualified ECTs because of being unable to match conditions in other settings.&#10;- closure of services that are struggling with financial viability.&#10;- job losses due to reductions in hours offered and/or service closure.&#10;&#10;The longer term consequences may include:&#10;- declines in school education outcomes, with consequences for employment, labour productivity and competitiveness.&#10;- decline in other indicators of economic and social development, with consequences for social mobility, citizen engagement, equity and the burden on welfare and justice systems.&#10;- Reduced parental workforce participation, with impacts on skills supply and economic prosperity.&#10;- discontinuation of work to advance the evidence base.&#10;- significant weakening of national preschool policy development and coordination.&#10;- a misalignment with broader trends across the OECD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mmediate consequences would likely include some or all of the following:&#10;- a weakening of national leadership and stepping away from a unified set of agreed national objectives, and a de-prioritisation of a widely-accepted agenda for early intervention.&#10;- a reduction in hours offered to children, including a potential reversion to 'baseline' provision of hours in some jurisdictions.&#10;- lower preschool participation, particularly in disadvantaged communities and rural and remote areas.&#10;- Close/reduced access to government and NFP services, leading to increased use of CBDC programs and increased CCS payments.&#10;- Reduced quality and/or increased fees in CBDC-based programs as services seek to compensate for loss of government subsidy towards the cost of an ECT and staff meet NQF requirements.&#10;- Inability of providers in some settings and areas to engage and retain qualified ECTs because of being unable to match conditions in other settings.&#10;- closure of services that are struggling with financial viability.&#10;- job losses due to reductions in hours offered and/or service closure.&#10;&#10;The longer term consequences may include:&#10;- declines in school education outcomes, with consequences for employment, labour productivity and competitiveness.&#10;- decline in other indicators of economic and social development, with consequences for social mobility, citizen engagement, equity and the burden on welfare and justice systems.&#10;- Reduced parental workforce participation, with impacts on skills supply and economic prosperity.&#10;- discontinuation of work to advance the evidence base.&#10;- significant weakening of national preschool policy development and coordination.&#10;- a misalignment with broader trends across the OECD in this 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0" cy="3263900"/>
                    </a:xfrm>
                    <a:prstGeom prst="rect">
                      <a:avLst/>
                    </a:prstGeom>
                    <a:noFill/>
                    <a:ln>
                      <a:noFill/>
                    </a:ln>
                  </pic:spPr>
                </pic:pic>
              </a:graphicData>
            </a:graphic>
          </wp:inline>
        </w:drawing>
      </w:r>
      <w:r w:rsidRPr="008F7577" w:rsidDel="008F7577">
        <w:t xml:space="preserve"> </w:t>
      </w:r>
    </w:p>
    <w:p w14:paraId="665188BA" w14:textId="7D7AF56D" w:rsidR="00DD2340" w:rsidRDefault="00DD2340" w:rsidP="00DD2340">
      <w:r>
        <w:lastRenderedPageBreak/>
        <w:t xml:space="preserve">The actual impact would depend on the extent to which States and Territories increase funding to meet the shortfall and, subsequently, the effect of any </w:t>
      </w:r>
      <w:r w:rsidR="00E55996">
        <w:t>reduction in</w:t>
      </w:r>
      <w:r>
        <w:t xml:space="preserve"> public funding on preschool participation. There would also likely be consequences associated with a decline in national leadership and cooperation. </w:t>
      </w:r>
    </w:p>
    <w:p w14:paraId="60F7314B" w14:textId="6621FC16" w:rsidR="00DD2340" w:rsidRDefault="00DD2340" w:rsidP="00DD2340">
      <w:pPr>
        <w:rPr>
          <w:lang w:eastAsia="en-AU"/>
        </w:rPr>
      </w:pPr>
      <w:r>
        <w:t xml:space="preserve">The Review has not modelled the impact of any specific change to Australian Government funding. Some States and Territories suggested that, if funding ceased, they would revert to pre-UANP levels of provision. While fiscal constraints and competing priorities may prevent some States and Territories from significantly increasing their investment, the </w:t>
      </w:r>
      <w:r>
        <w:rPr>
          <w:lang w:eastAsia="en-AU"/>
        </w:rPr>
        <w:t>UANP has normalised preschool participation and governments would likely face public pressure to maintain universal access.</w:t>
      </w:r>
      <w:r w:rsidRPr="001935EF">
        <w:t xml:space="preserve"> </w:t>
      </w:r>
    </w:p>
    <w:p w14:paraId="0908F377" w14:textId="77777777" w:rsidR="004A2504" w:rsidRPr="00EC2C42" w:rsidRDefault="004A2504" w:rsidP="004A2504">
      <w:r w:rsidRPr="00334099">
        <w:rPr>
          <w:rFonts w:ascii="Segoe UI Semibold" w:eastAsia="Times New Roman" w:hAnsi="Segoe UI Semibold" w:cs="Times New Roman"/>
          <w:color w:val="00264D" w:themeColor="background2"/>
          <w:sz w:val="22"/>
          <w:lang w:eastAsia="en-AU"/>
        </w:rPr>
        <w:t>The Review’s overarching finding is that</w:t>
      </w:r>
      <w:r>
        <w:rPr>
          <w:rFonts w:ascii="Segoe UI Semibold" w:eastAsia="Times New Roman" w:hAnsi="Segoe UI Semibold" w:cs="Times New Roman"/>
          <w:color w:val="00264D" w:themeColor="background2"/>
          <w:sz w:val="22"/>
          <w:lang w:eastAsia="en-AU"/>
        </w:rPr>
        <w:t xml:space="preserve"> </w:t>
      </w:r>
      <w:r w:rsidRPr="00334099">
        <w:rPr>
          <w:rFonts w:ascii="Segoe UI Semibold" w:eastAsia="Times New Roman" w:hAnsi="Segoe UI Semibold" w:cs="Times New Roman"/>
          <w:color w:val="00264D" w:themeColor="background2"/>
          <w:sz w:val="22"/>
          <w:lang w:eastAsia="en-AU"/>
        </w:rPr>
        <w:t>funding should continue</w:t>
      </w:r>
      <w:r>
        <w:rPr>
          <w:rFonts w:ascii="Segoe UI Semibold" w:eastAsia="Times New Roman" w:hAnsi="Segoe UI Semibold" w:cs="Times New Roman"/>
          <w:color w:val="00264D" w:themeColor="background2"/>
          <w:sz w:val="22"/>
          <w:lang w:eastAsia="en-AU"/>
        </w:rPr>
        <w:t xml:space="preserve"> under a new 5-year National Partnership, transitioning ultimately to a National Agreement</w:t>
      </w:r>
    </w:p>
    <w:p w14:paraId="062AEF67" w14:textId="6398A0AC" w:rsidR="00DD2340" w:rsidRDefault="00DD2340" w:rsidP="00DD2340">
      <w:r>
        <w:t xml:space="preserve">Notwithstanding strong momentum towards improving the reach and impact of preschool in the YBFS, further reform is required </w:t>
      </w:r>
      <w:r w:rsidR="00E55996">
        <w:t>to deliver</w:t>
      </w:r>
      <w:r>
        <w:t xml:space="preserve"> technical improvements in data capture and measurement, as well as advancements in engagement with more vulnerable and disadvantaged cohorts. </w:t>
      </w:r>
    </w:p>
    <w:p w14:paraId="382EFE23" w14:textId="76AD8AF2" w:rsidR="00DD2340" w:rsidRDefault="00DD2340" w:rsidP="00DD2340">
      <w:r>
        <w:t>Th</w:t>
      </w:r>
      <w:r w:rsidR="00E55996">
        <w:t>is has</w:t>
      </w:r>
      <w:r>
        <w:t xml:space="preserve"> implications for the form </w:t>
      </w:r>
      <w:r w:rsidR="00E55996">
        <w:t>and content o</w:t>
      </w:r>
      <w:r w:rsidR="000C27FF">
        <w:t>f</w:t>
      </w:r>
      <w:r w:rsidR="00E55996">
        <w:t xml:space="preserve"> any future agreement</w:t>
      </w:r>
      <w:r>
        <w:t xml:space="preserve">. National policy coordination should continue to be underpinned by national funding arrangements. Funding uncertainty has reportedly hampered innovation and should be addressed through more enduring funding agreements and a smaller proportion of </w:t>
      </w:r>
      <w:r w:rsidDel="00744FDF">
        <w:t>performance</w:t>
      </w:r>
      <w:r>
        <w:t>-based funding.</w:t>
      </w:r>
    </w:p>
    <w:p w14:paraId="7DD855A2" w14:textId="72C494D5" w:rsidR="00E352CD" w:rsidRDefault="00D37500" w:rsidP="001935EF">
      <w:r>
        <w:t>In this context, t</w:t>
      </w:r>
      <w:r w:rsidR="008617A3">
        <w:t>here is a</w:t>
      </w:r>
      <w:r w:rsidR="00E352CD">
        <w:t xml:space="preserve"> strong</w:t>
      </w:r>
      <w:r w:rsidR="008617A3">
        <w:t xml:space="preserve"> case for a future National Agreement, linked to </w:t>
      </w:r>
      <w:r w:rsidR="004766F0">
        <w:t xml:space="preserve">a </w:t>
      </w:r>
      <w:r w:rsidR="00705F7A">
        <w:t xml:space="preserve">Specific </w:t>
      </w:r>
      <w:r w:rsidR="008617A3">
        <w:t xml:space="preserve">Purpose Payment </w:t>
      </w:r>
      <w:r w:rsidR="00826795">
        <w:t>and</w:t>
      </w:r>
      <w:r w:rsidR="004D67CC">
        <w:t xml:space="preserve">/or </w:t>
      </w:r>
      <w:r w:rsidR="00826795">
        <w:t>possibly</w:t>
      </w:r>
      <w:r>
        <w:t xml:space="preserve"> a legislative mechanism. </w:t>
      </w:r>
      <w:r w:rsidR="00705F7A">
        <w:t xml:space="preserve">While a </w:t>
      </w:r>
      <w:r w:rsidR="00705F7A" w:rsidRPr="00EC69C4">
        <w:t>National Partnership is most practicable in the short term</w:t>
      </w:r>
      <w:r w:rsidR="00705F7A">
        <w:t xml:space="preserve">, </w:t>
      </w:r>
      <w:r w:rsidR="00DD2340">
        <w:t>g</w:t>
      </w:r>
      <w:r w:rsidR="00E352CD">
        <w:t xml:space="preserve">overnments should commit </w:t>
      </w:r>
      <w:r w:rsidR="00705F7A">
        <w:t>now</w:t>
      </w:r>
      <w:r w:rsidR="00705F7A" w:rsidRPr="00004EC5">
        <w:t xml:space="preserve"> to move towards a National Agreement</w:t>
      </w:r>
      <w:r w:rsidR="00705F7A">
        <w:t xml:space="preserve">. This commitment would </w:t>
      </w:r>
      <w:r w:rsidR="00E352CD">
        <w:t xml:space="preserve">provide a mandate for the necessary preparatory work and </w:t>
      </w:r>
      <w:r w:rsidR="00E55996">
        <w:t>clearly signal</w:t>
      </w:r>
      <w:r w:rsidR="00E352CD">
        <w:t xml:space="preserve"> ongoing investment. </w:t>
      </w:r>
    </w:p>
    <w:p w14:paraId="6F5A2EA5" w14:textId="2D287190" w:rsidR="00435E3E" w:rsidRDefault="005B72CE" w:rsidP="00466B00">
      <w:r>
        <w:t>T</w:t>
      </w:r>
      <w:r w:rsidR="008617A3">
        <w:t xml:space="preserve">he </w:t>
      </w:r>
      <w:r w:rsidR="00826795">
        <w:t xml:space="preserve">Review finds that </w:t>
      </w:r>
      <w:r w:rsidR="00E352CD">
        <w:t>the</w:t>
      </w:r>
      <w:r w:rsidR="00826795">
        <w:t xml:space="preserve"> </w:t>
      </w:r>
      <w:r w:rsidR="00EB493A">
        <w:t xml:space="preserve">immediate </w:t>
      </w:r>
      <w:r w:rsidR="008617A3">
        <w:t xml:space="preserve">successor </w:t>
      </w:r>
      <w:r w:rsidR="00E83DF9">
        <w:t xml:space="preserve">agreement </w:t>
      </w:r>
      <w:r w:rsidR="008617A3">
        <w:t xml:space="preserve">to the </w:t>
      </w:r>
      <w:r w:rsidR="00826795">
        <w:t xml:space="preserve">current </w:t>
      </w:r>
      <w:r w:rsidR="008617A3">
        <w:t xml:space="preserve">UANP </w:t>
      </w:r>
      <w:r w:rsidR="008D6B9E">
        <w:t>(</w:t>
      </w:r>
      <w:r w:rsidR="00E83DF9">
        <w:t xml:space="preserve">i.e. </w:t>
      </w:r>
      <w:r w:rsidR="008D6B9E">
        <w:t xml:space="preserve">from 2021) </w:t>
      </w:r>
      <w:r w:rsidR="008617A3">
        <w:t>should</w:t>
      </w:r>
      <w:r w:rsidR="00D37500">
        <w:t xml:space="preserve"> </w:t>
      </w:r>
      <w:r w:rsidR="00826795">
        <w:t xml:space="preserve">be a National Partnership </w:t>
      </w:r>
      <w:r w:rsidR="00D37500">
        <w:t xml:space="preserve">of </w:t>
      </w:r>
      <w:r w:rsidR="00826795">
        <w:t>five</w:t>
      </w:r>
      <w:r w:rsidR="008617A3">
        <w:t xml:space="preserve"> years’ duration.</w:t>
      </w:r>
      <w:r w:rsidR="00826795">
        <w:t xml:space="preserve"> </w:t>
      </w:r>
      <w:r w:rsidR="00E352CD">
        <w:t>T</w:t>
      </w:r>
      <w:r w:rsidR="00826795">
        <w:t xml:space="preserve">his </w:t>
      </w:r>
      <w:r w:rsidR="00DD2340">
        <w:t>would</w:t>
      </w:r>
      <w:r w:rsidR="00826795">
        <w:t xml:space="preserve"> allow development of outcome measures that </w:t>
      </w:r>
      <w:r w:rsidR="006E35A7">
        <w:t>are appropriate to a more enduring</w:t>
      </w:r>
      <w:r w:rsidR="00346D3D">
        <w:t>, subsequent</w:t>
      </w:r>
      <w:r w:rsidR="006E35A7">
        <w:t xml:space="preserve"> </w:t>
      </w:r>
      <w:r w:rsidR="00826795">
        <w:t>National Agreement</w:t>
      </w:r>
      <w:r w:rsidR="00492747">
        <w:t xml:space="preserve"> – measures that would ensure effective transparency and accountability</w:t>
      </w:r>
      <w:r w:rsidR="006E35A7">
        <w:t>.</w:t>
      </w:r>
      <w:r w:rsidR="00E352CD">
        <w:t xml:space="preserve"> It would also enable work to be done </w:t>
      </w:r>
      <w:r w:rsidR="008E2EDF">
        <w:t xml:space="preserve">to </w:t>
      </w:r>
      <w:r w:rsidR="00823AE5">
        <w:t xml:space="preserve">model the efficient cost of delivering preschool </w:t>
      </w:r>
      <w:r w:rsidR="008E2EDF">
        <w:t xml:space="preserve">in different service settings and jurisdictional contexts, and to develop </w:t>
      </w:r>
      <w:r w:rsidR="00E352CD">
        <w:t xml:space="preserve">a methodology to compare State and Territory investment in YBFS preschool. </w:t>
      </w:r>
      <w:r w:rsidR="008E2EDF">
        <w:t>This would provide a much stronger foundation for designing future funding models.</w:t>
      </w:r>
    </w:p>
    <w:p w14:paraId="71BC6773" w14:textId="77777777" w:rsidR="008617A3" w:rsidRDefault="00826795" w:rsidP="00466B00">
      <w:r>
        <w:t>A</w:t>
      </w:r>
      <w:r w:rsidR="00346D3D">
        <w:t>s with the current UANP, the Review finds that a successor</w:t>
      </w:r>
      <w:r>
        <w:t xml:space="preserve"> National Partnership </w:t>
      </w:r>
      <w:r w:rsidR="008617A3">
        <w:t xml:space="preserve">should </w:t>
      </w:r>
      <w:r>
        <w:t>include performance</w:t>
      </w:r>
      <w:r w:rsidDel="00FD5FB8">
        <w:t>-</w:t>
      </w:r>
      <w:r>
        <w:t>based funding</w:t>
      </w:r>
      <w:r w:rsidR="006E35A7">
        <w:t xml:space="preserve">. </w:t>
      </w:r>
      <w:r w:rsidR="00346D3D">
        <w:t>However, i</w:t>
      </w:r>
      <w:r>
        <w:t>n recognition</w:t>
      </w:r>
      <w:r w:rsidR="008617A3">
        <w:t xml:space="preserve"> of </w:t>
      </w:r>
      <w:r>
        <w:t>achievements</w:t>
      </w:r>
      <w:r w:rsidR="008617A3">
        <w:t xml:space="preserve"> to </w:t>
      </w:r>
      <w:r>
        <w:t>date and current momentum</w:t>
      </w:r>
      <w:r w:rsidR="00346D3D">
        <w:t xml:space="preserve"> around YBFS preschool</w:t>
      </w:r>
      <w:r>
        <w:t xml:space="preserve">, and </w:t>
      </w:r>
      <w:r w:rsidR="006E35A7">
        <w:t>to address concerns about funding uncertainty</w:t>
      </w:r>
      <w:r w:rsidR="008617A3">
        <w:t xml:space="preserve">, a relatively larger portion of the funding </w:t>
      </w:r>
      <w:r w:rsidR="006E35A7">
        <w:t>(more than half)</w:t>
      </w:r>
      <w:r w:rsidR="008617A3">
        <w:t xml:space="preserve"> should be provided to support ongoing </w:t>
      </w:r>
      <w:r w:rsidR="00346D3D">
        <w:t>provision</w:t>
      </w:r>
      <w:r w:rsidR="008617A3">
        <w:t xml:space="preserve"> of the </w:t>
      </w:r>
      <w:r w:rsidR="00346D3D">
        <w:t xml:space="preserve">full </w:t>
      </w:r>
      <w:r w:rsidR="008617A3">
        <w:t>600 hours</w:t>
      </w:r>
      <w:r w:rsidR="00346D3D">
        <w:t>. While there would be an expectation of ongoing service improvement</w:t>
      </w:r>
      <w:r w:rsidR="008E2EDF">
        <w:t xml:space="preserve">, </w:t>
      </w:r>
      <w:r w:rsidR="00346D3D">
        <w:t>in line with requirements under a National Partnership</w:t>
      </w:r>
      <w:r w:rsidR="008E2EDF">
        <w:t xml:space="preserve">, </w:t>
      </w:r>
      <w:r w:rsidR="00346D3D">
        <w:t>the Review does not find a compelling reason for this component of the funding to be</w:t>
      </w:r>
      <w:r w:rsidR="00574BD7">
        <w:t xml:space="preserve"> </w:t>
      </w:r>
      <w:r w:rsidR="00346D3D">
        <w:t>conditional on</w:t>
      </w:r>
      <w:r w:rsidR="00045608">
        <w:t xml:space="preserve"> the</w:t>
      </w:r>
      <w:r w:rsidR="00346D3D">
        <w:t xml:space="preserve"> achievement of specific targets. </w:t>
      </w:r>
      <w:r w:rsidR="002D3722">
        <w:t>For the balance of the funding, c</w:t>
      </w:r>
      <w:r w:rsidR="008617A3">
        <w:t xml:space="preserve">onsistent with jurisdictional flexibility in implementing the UANP, there should be scope to negotiate targeted areas of reform </w:t>
      </w:r>
      <w:r w:rsidR="002D3722">
        <w:t xml:space="preserve">that would be subject to </w:t>
      </w:r>
      <w:r w:rsidR="006E35A7">
        <w:t>performance</w:t>
      </w:r>
      <w:r w:rsidR="006E35A7" w:rsidDel="00FD5FB8">
        <w:t>-</w:t>
      </w:r>
      <w:r w:rsidR="006E35A7">
        <w:t xml:space="preserve">based </w:t>
      </w:r>
      <w:r w:rsidR="002D3722">
        <w:t>payment</w:t>
      </w:r>
      <w:r w:rsidR="008617A3">
        <w:t>.</w:t>
      </w:r>
    </w:p>
    <w:p w14:paraId="54611385" w14:textId="77777777" w:rsidR="00860F51" w:rsidRPr="00EC2C42" w:rsidRDefault="00860F51" w:rsidP="00860F51">
      <w:r>
        <w:rPr>
          <w:rFonts w:ascii="Segoe UI Semibold" w:eastAsia="Times New Roman" w:hAnsi="Segoe UI Semibold" w:cs="Times New Roman"/>
          <w:color w:val="00264D" w:themeColor="background2"/>
          <w:sz w:val="22"/>
          <w:lang w:eastAsia="en-AU"/>
        </w:rPr>
        <w:t>Successor funding agreements must continue to navigate a series of contested issues</w:t>
      </w:r>
    </w:p>
    <w:p w14:paraId="63D99C30" w14:textId="77777777" w:rsidR="00E6423F" w:rsidRDefault="00435E3E" w:rsidP="00466B00">
      <w:r>
        <w:t xml:space="preserve">In terms of </w:t>
      </w:r>
      <w:r w:rsidR="002D3722">
        <w:t>other</w:t>
      </w:r>
      <w:r>
        <w:t xml:space="preserve"> areas of </w:t>
      </w:r>
      <w:r w:rsidR="005B72CE">
        <w:t xml:space="preserve">reform </w:t>
      </w:r>
      <w:r>
        <w:t>focus for governments, key issues to tackle include</w:t>
      </w:r>
      <w:r w:rsidR="005B72CE">
        <w:t xml:space="preserve"> improving the measure of attendance and striving for higher rates particularly among Indigenous children and those experiencing vulnerability and disadvantage. W</w:t>
      </w:r>
      <w:r>
        <w:t>orkforce supply (on which work ha</w:t>
      </w:r>
      <w:r w:rsidR="00574BD7">
        <w:t>s</w:t>
      </w:r>
      <w:r>
        <w:t xml:space="preserve"> already begun) </w:t>
      </w:r>
      <w:r w:rsidR="005B72CE">
        <w:t xml:space="preserve">also warrants ongoing attention. </w:t>
      </w:r>
    </w:p>
    <w:p w14:paraId="2E49CF8E" w14:textId="29C65FAD" w:rsidR="007F4B50" w:rsidRDefault="005B72CE" w:rsidP="00466B00">
      <w:r>
        <w:t>The</w:t>
      </w:r>
      <w:r w:rsidR="00435E3E">
        <w:t xml:space="preserve"> </w:t>
      </w:r>
      <w:r w:rsidR="00334099">
        <w:t>Review notes that th</w:t>
      </w:r>
      <w:r>
        <w:t xml:space="preserve">e interaction between UANP and CCS funding </w:t>
      </w:r>
      <w:r w:rsidR="007071F2">
        <w:t xml:space="preserve">is </w:t>
      </w:r>
      <w:r w:rsidR="002D3722">
        <w:t xml:space="preserve">contentious, fuelled by a recommendation of the Productivity Commission </w:t>
      </w:r>
      <w:r w:rsidR="0077162E">
        <w:rPr>
          <w:rFonts w:asciiTheme="minorHAnsi" w:hAnsiTheme="minorHAnsi"/>
        </w:rPr>
        <w:t xml:space="preserve">that States and Territories </w:t>
      </w:r>
      <w:r w:rsidR="002A5E42">
        <w:rPr>
          <w:rFonts w:asciiTheme="minorHAnsi" w:hAnsiTheme="minorHAnsi"/>
        </w:rPr>
        <w:t xml:space="preserve">be required </w:t>
      </w:r>
      <w:r w:rsidR="0077162E">
        <w:rPr>
          <w:rFonts w:asciiTheme="minorHAnsi" w:hAnsiTheme="minorHAnsi"/>
        </w:rPr>
        <w:t xml:space="preserve">to direct </w:t>
      </w:r>
      <w:r w:rsidR="002A5E42">
        <w:rPr>
          <w:rFonts w:asciiTheme="minorHAnsi" w:hAnsiTheme="minorHAnsi"/>
        </w:rPr>
        <w:t>UANP funding</w:t>
      </w:r>
      <w:r w:rsidR="0077162E">
        <w:rPr>
          <w:rFonts w:asciiTheme="minorHAnsi" w:hAnsiTheme="minorHAnsi"/>
        </w:rPr>
        <w:t xml:space="preserve"> to the </w:t>
      </w:r>
      <w:r w:rsidR="0077162E">
        <w:t>service nominated by the family</w:t>
      </w:r>
      <w:r w:rsidR="002A5E42">
        <w:t xml:space="preserve">, </w:t>
      </w:r>
      <w:r w:rsidR="0077162E">
        <w:t>regardless of setting</w:t>
      </w:r>
      <w:r w:rsidR="002A5E42">
        <w:t>, with</w:t>
      </w:r>
      <w:r w:rsidR="0077162E">
        <w:t xml:space="preserve"> child care subsidies </w:t>
      </w:r>
      <w:r w:rsidR="002A5E42">
        <w:t xml:space="preserve">to be </w:t>
      </w:r>
      <w:r w:rsidR="002A5E42">
        <w:lastRenderedPageBreak/>
        <w:t>reduced by</w:t>
      </w:r>
      <w:r w:rsidR="0077162E">
        <w:t xml:space="preserve"> </w:t>
      </w:r>
      <w:r w:rsidR="002A5E42">
        <w:t>an equivalent amount</w:t>
      </w:r>
      <w:r w:rsidR="0077162E">
        <w:t xml:space="preserve">. </w:t>
      </w:r>
      <w:r w:rsidR="00334099">
        <w:t xml:space="preserve">The </w:t>
      </w:r>
      <w:r w:rsidR="007F4B50">
        <w:t>underpinning</w:t>
      </w:r>
      <w:r w:rsidR="00334099">
        <w:t xml:space="preserve"> argument is that, by subsidising child care </w:t>
      </w:r>
      <w:r w:rsidR="00045608">
        <w:t>for</w:t>
      </w:r>
      <w:r w:rsidR="00334099">
        <w:t xml:space="preserve"> children in the YBFS, the Australian Government is already underwriting preschool provision in those settings. The Review </w:t>
      </w:r>
      <w:r w:rsidR="00954679">
        <w:t>has</w:t>
      </w:r>
      <w:r w:rsidR="00334099">
        <w:t xml:space="preserve"> not </w:t>
      </w:r>
      <w:r w:rsidR="00954679">
        <w:t xml:space="preserve">found </w:t>
      </w:r>
      <w:r w:rsidR="002F08D6">
        <w:t xml:space="preserve">clear </w:t>
      </w:r>
      <w:r w:rsidR="00954679">
        <w:t xml:space="preserve">evidence to support </w:t>
      </w:r>
      <w:r w:rsidR="00A619D0">
        <w:t>(</w:t>
      </w:r>
      <w:r w:rsidR="0062471B">
        <w:t xml:space="preserve">or </w:t>
      </w:r>
      <w:r w:rsidR="00A619D0">
        <w:t xml:space="preserve">indeed definitively </w:t>
      </w:r>
      <w:r w:rsidR="0062471B">
        <w:t>refute</w:t>
      </w:r>
      <w:r w:rsidR="00A619D0">
        <w:t>)</w:t>
      </w:r>
      <w:r w:rsidR="0062471B">
        <w:t xml:space="preserve"> </w:t>
      </w:r>
      <w:r w:rsidR="00045608">
        <w:t xml:space="preserve">the </w:t>
      </w:r>
      <w:r w:rsidR="00954679">
        <w:t>contention</w:t>
      </w:r>
      <w:r w:rsidR="00334099">
        <w:t xml:space="preserve"> that the dual sources of funding (UANP and </w:t>
      </w:r>
      <w:r w:rsidR="00045608">
        <w:t>CCS</w:t>
      </w:r>
      <w:r w:rsidR="00334099">
        <w:t>) overlap at the service level</w:t>
      </w:r>
      <w:r w:rsidR="00D77BE2">
        <w:t xml:space="preserve">. </w:t>
      </w:r>
      <w:r w:rsidR="00A619D0">
        <w:t>We would note, h</w:t>
      </w:r>
      <w:r w:rsidR="000F48D6">
        <w:t xml:space="preserve">owever, </w:t>
      </w:r>
      <w:r w:rsidR="00A619D0">
        <w:t xml:space="preserve">that </w:t>
      </w:r>
      <w:r w:rsidR="000F48D6">
        <w:t>e</w:t>
      </w:r>
      <w:r w:rsidR="00334099">
        <w:t>ach is used for a distinct and separate purpose</w:t>
      </w:r>
      <w:r w:rsidR="00AE7910">
        <w:t xml:space="preserve"> and</w:t>
      </w:r>
      <w:r w:rsidR="00334099">
        <w:t xml:space="preserve"> this </w:t>
      </w:r>
      <w:r w:rsidR="00AE7910">
        <w:t xml:space="preserve">is reflected in State/Territory requirements on providers on how the UANP funds will be used. </w:t>
      </w:r>
    </w:p>
    <w:p w14:paraId="4C1BE332" w14:textId="49F04C3B" w:rsidR="0078381F" w:rsidRDefault="00954679" w:rsidP="00466B00">
      <w:r>
        <w:t>The</w:t>
      </w:r>
      <w:r w:rsidR="007071F2">
        <w:t xml:space="preserve">re is a </w:t>
      </w:r>
      <w:r w:rsidR="007F4B50">
        <w:t xml:space="preserve">related question of ‘funding equity’ </w:t>
      </w:r>
      <w:r w:rsidR="00DA37AB">
        <w:t xml:space="preserve">between </w:t>
      </w:r>
      <w:r w:rsidR="00F4132D">
        <w:t>jurisdictions</w:t>
      </w:r>
      <w:r w:rsidR="00DA37AB">
        <w:t xml:space="preserve"> </w:t>
      </w:r>
      <w:r w:rsidR="00A70C21">
        <w:t xml:space="preserve">– defined </w:t>
      </w:r>
      <w:r w:rsidR="007071F2">
        <w:t xml:space="preserve">both </w:t>
      </w:r>
      <w:r w:rsidR="007F4B50">
        <w:t xml:space="preserve">in terms of </w:t>
      </w:r>
      <w:r w:rsidR="002F08D6">
        <w:t xml:space="preserve">whether </w:t>
      </w:r>
      <w:r w:rsidR="00D77BE2">
        <w:t xml:space="preserve">certain </w:t>
      </w:r>
      <w:r w:rsidR="00AE7910">
        <w:t>S</w:t>
      </w:r>
      <w:r w:rsidR="007F4B50">
        <w:t xml:space="preserve">tates and </w:t>
      </w:r>
      <w:r w:rsidR="00AE7910">
        <w:t>T</w:t>
      </w:r>
      <w:r w:rsidR="007F4B50">
        <w:t xml:space="preserve">erritories are </w:t>
      </w:r>
      <w:r w:rsidR="002F08D6">
        <w:t>meeting an appropriate share of costs</w:t>
      </w:r>
      <w:r w:rsidR="007071F2">
        <w:t xml:space="preserve"> </w:t>
      </w:r>
      <w:r w:rsidR="00D77BE2">
        <w:t xml:space="preserve">of preschool </w:t>
      </w:r>
      <w:r w:rsidR="007071F2">
        <w:t xml:space="preserve">and whether </w:t>
      </w:r>
      <w:r w:rsidR="00D77BE2">
        <w:t>others are ‘missing out’ on a funding source because there is much more limited use of CBDC-based preschool.</w:t>
      </w:r>
      <w:r w:rsidR="002F08D6">
        <w:t xml:space="preserve"> </w:t>
      </w:r>
      <w:r w:rsidR="00AE7910">
        <w:t xml:space="preserve">On </w:t>
      </w:r>
      <w:r w:rsidR="00A70C21">
        <w:t>this</w:t>
      </w:r>
      <w:r w:rsidR="00AE7910">
        <w:t xml:space="preserve">, the Review finds that </w:t>
      </w:r>
      <w:r w:rsidR="007071F2">
        <w:t>there are clear indications of a</w:t>
      </w:r>
      <w:r w:rsidR="00D77BE2">
        <w:t xml:space="preserve">n </w:t>
      </w:r>
      <w:r w:rsidR="007071F2">
        <w:t>alignment between relatively low levels of investment in those jurisdic</w:t>
      </w:r>
      <w:r w:rsidR="00D77BE2">
        <w:t>ti</w:t>
      </w:r>
      <w:r w:rsidR="007071F2">
        <w:t xml:space="preserve">ons that rely more heavily on CBDC-based preschool </w:t>
      </w:r>
      <w:r w:rsidR="00D77BE2">
        <w:t xml:space="preserve">compared with those where school-based </w:t>
      </w:r>
      <w:r w:rsidR="00144614">
        <w:t xml:space="preserve">and standalone preschool </w:t>
      </w:r>
      <w:r w:rsidR="00D77BE2">
        <w:t>provision is more dominant.</w:t>
      </w:r>
    </w:p>
    <w:p w14:paraId="2B311438" w14:textId="467C3A9D" w:rsidR="00AE7910" w:rsidRDefault="0078381F" w:rsidP="00466B00">
      <w:r>
        <w:t>That said,</w:t>
      </w:r>
      <w:r w:rsidR="00DE4E05">
        <w:t xml:space="preserve"> t</w:t>
      </w:r>
      <w:r w:rsidR="00A70C21">
        <w:t>he</w:t>
      </w:r>
      <w:r w:rsidR="00607231">
        <w:t xml:space="preserve"> lack of </w:t>
      </w:r>
      <w:r w:rsidR="00A70C21">
        <w:t>information about the cost</w:t>
      </w:r>
      <w:r w:rsidR="00607231">
        <w:t>s</w:t>
      </w:r>
      <w:r w:rsidR="00A70C21">
        <w:t xml:space="preserve"> of delivering preschool in </w:t>
      </w:r>
      <w:r w:rsidR="007071F2">
        <w:t xml:space="preserve">different settings and </w:t>
      </w:r>
      <w:r w:rsidR="00A70C21">
        <w:t>jurisdiction</w:t>
      </w:r>
      <w:r w:rsidR="007071F2">
        <w:t>al contexts</w:t>
      </w:r>
      <w:r w:rsidR="00607231">
        <w:t>,</w:t>
      </w:r>
      <w:r w:rsidR="00A70C21">
        <w:t xml:space="preserve"> and </w:t>
      </w:r>
      <w:r w:rsidR="00607231">
        <w:t>the limited transparency on</w:t>
      </w:r>
      <w:r w:rsidR="00A70C21">
        <w:t xml:space="preserve"> actual State and Territory expenditure</w:t>
      </w:r>
      <w:r w:rsidR="00607231">
        <w:t>,</w:t>
      </w:r>
      <w:r w:rsidR="00A70C21">
        <w:t xml:space="preserve"> </w:t>
      </w:r>
      <w:r w:rsidR="00607231">
        <w:t xml:space="preserve">makes it difficult </w:t>
      </w:r>
      <w:r w:rsidR="00A70C21">
        <w:t>to interpret the reasons for relatively low level of investments where they occur. Moreover, as</w:t>
      </w:r>
      <w:r w:rsidR="002E40CA">
        <w:t xml:space="preserve"> the system is founded on the principle of subsidiarity and jurisdictional flexibility to achieve the UANP objectives and outcomes in the most efficient, effective and appropriate way</w:t>
      </w:r>
      <w:r w:rsidR="00A70C21">
        <w:t xml:space="preserve">, it </w:t>
      </w:r>
      <w:r w:rsidR="00607231">
        <w:t xml:space="preserve">is not reasonable to expect uniformity in the balance of funding sources across all </w:t>
      </w:r>
      <w:r w:rsidR="00E34ABE">
        <w:t>S</w:t>
      </w:r>
      <w:r w:rsidR="00607231">
        <w:t xml:space="preserve">tates and </w:t>
      </w:r>
      <w:r w:rsidR="00E34ABE">
        <w:t>T</w:t>
      </w:r>
      <w:r w:rsidR="00607231">
        <w:t>erritories</w:t>
      </w:r>
      <w:r w:rsidR="002E40CA">
        <w:t xml:space="preserve">. </w:t>
      </w:r>
      <w:r w:rsidR="00237B47">
        <w:t>T</w:t>
      </w:r>
      <w:r w:rsidR="002E40CA">
        <w:t>he Review</w:t>
      </w:r>
      <w:r w:rsidR="00607231">
        <w:t xml:space="preserve"> nevertheless</w:t>
      </w:r>
      <w:r w:rsidR="002E40CA">
        <w:t xml:space="preserve"> </w:t>
      </w:r>
      <w:r w:rsidR="00F44D8A">
        <w:t>considers</w:t>
      </w:r>
      <w:r w:rsidR="00607231">
        <w:t xml:space="preserve"> the degree of </w:t>
      </w:r>
      <w:r w:rsidR="00F44D8A">
        <w:t xml:space="preserve">apparent </w:t>
      </w:r>
      <w:r w:rsidR="00607231">
        <w:t>variation among State</w:t>
      </w:r>
      <w:r w:rsidR="00144614">
        <w:t>s</w:t>
      </w:r>
      <w:r w:rsidR="00607231">
        <w:t xml:space="preserve"> and Territor</w:t>
      </w:r>
      <w:r w:rsidR="00311BBC">
        <w:t xml:space="preserve">ies </w:t>
      </w:r>
      <w:r w:rsidR="00CC39F6">
        <w:t>warrants further consideration</w:t>
      </w:r>
      <w:r w:rsidR="00311BBC">
        <w:t xml:space="preserve">. To this end, </w:t>
      </w:r>
      <w:r>
        <w:t>it</w:t>
      </w:r>
      <w:r w:rsidR="00311BBC">
        <w:t xml:space="preserve"> recommend</w:t>
      </w:r>
      <w:r>
        <w:t xml:space="preserve">s </w:t>
      </w:r>
      <w:r w:rsidR="00311BBC">
        <w:t>that work be done to develop a</w:t>
      </w:r>
      <w:r w:rsidR="002E40CA">
        <w:t xml:space="preserve"> fair comparable measurement </w:t>
      </w:r>
      <w:r w:rsidR="00311BBC">
        <w:t xml:space="preserve">of jurisdictional funding </w:t>
      </w:r>
      <w:r w:rsidR="002E40CA">
        <w:t xml:space="preserve">and </w:t>
      </w:r>
      <w:r w:rsidR="00311BBC">
        <w:t xml:space="preserve">an estimate of the </w:t>
      </w:r>
      <w:r w:rsidR="002E40CA">
        <w:t>efficient cost</w:t>
      </w:r>
      <w:r w:rsidR="00311BBC">
        <w:t xml:space="preserve"> of delivering preschool in different contexts and service settings</w:t>
      </w:r>
      <w:r w:rsidR="002E40CA">
        <w:t xml:space="preserve">. </w:t>
      </w:r>
    </w:p>
    <w:p w14:paraId="2815D03A" w14:textId="6282E3E1" w:rsidR="002E40CA" w:rsidRDefault="00216C35" w:rsidP="00466B00">
      <w:r>
        <w:t xml:space="preserve">Issues such as these </w:t>
      </w:r>
      <w:r w:rsidR="00311BBC">
        <w:t xml:space="preserve">highlight </w:t>
      </w:r>
      <w:r>
        <w:t>the fact that, notwithstanding the strong coordination on policy and regulation, preschool as a system i</w:t>
      </w:r>
      <w:r w:rsidR="00311BBC">
        <w:t xml:space="preserve">n Australia is </w:t>
      </w:r>
      <w:r>
        <w:t>not integrated. It is a manifestation of choices that reflect legacy policy decisions and systems, and community preferences</w:t>
      </w:r>
      <w:r w:rsidR="00943F2A">
        <w:t xml:space="preserve"> for </w:t>
      </w:r>
      <w:r w:rsidR="000945F9">
        <w:t>preschool</w:t>
      </w:r>
      <w:r>
        <w:t>. This diversity has been a strength, but it has also led to a degree of rigidity in that States and Territories are, in many ways, locked into their prevailing delivery models. The question is whether this is a problem. On the face of it, it is not, for the collective effort and investment has delivered, in a relatively short timeframe, impressive results in terms of delivering universal access to 600 hours of quality preschool in the YBFS. Most jurisdictions would argue, with good supporting evidence, that their systems are</w:t>
      </w:r>
      <w:r w:rsidR="004D67CC">
        <w:t xml:space="preserve"> effective</w:t>
      </w:r>
      <w:r>
        <w:t>, and that they are accountable to their own constituents</w:t>
      </w:r>
      <w:r w:rsidDel="00237B47">
        <w:t xml:space="preserve"> if that proves not to be the case</w:t>
      </w:r>
      <w:r>
        <w:t xml:space="preserve">. </w:t>
      </w:r>
      <w:r w:rsidR="00D3307D">
        <w:t xml:space="preserve">This is not to suggest, however, that </w:t>
      </w:r>
      <w:r w:rsidR="00BD5754">
        <w:t>these systems</w:t>
      </w:r>
      <w:r w:rsidR="00D3307D">
        <w:t xml:space="preserve"> cannot evolve. </w:t>
      </w:r>
      <w:r w:rsidR="00D3307D" w:rsidDel="00237B47">
        <w:t>Over time, it would be beneficial to continue to look at the strengths of other jurisdictions’ approaches and remain responsive</w:t>
      </w:r>
      <w:r w:rsidR="0078381F">
        <w:t xml:space="preserve"> and adaptive</w:t>
      </w:r>
      <w:r w:rsidR="00D3307D" w:rsidDel="00237B47">
        <w:t xml:space="preserve"> to the expressed needs of the communities being served. </w:t>
      </w:r>
    </w:p>
    <w:p w14:paraId="67E1FA50" w14:textId="77777777" w:rsidR="00877782" w:rsidRPr="009719BE" w:rsidRDefault="002E40CA" w:rsidP="00E6423F">
      <w:r>
        <w:t xml:space="preserve">Below we summarise </w:t>
      </w:r>
      <w:r w:rsidR="00877782">
        <w:t>f</w:t>
      </w:r>
      <w:r w:rsidR="00877782" w:rsidRPr="00336A24">
        <w:t>indings by the relevant Term of Reference (</w:t>
      </w:r>
      <w:proofErr w:type="spellStart"/>
      <w:r w:rsidR="00877782" w:rsidRPr="00336A24">
        <w:t>ToR</w:t>
      </w:r>
      <w:proofErr w:type="spellEnd"/>
      <w:r w:rsidR="00877782" w:rsidRPr="00336A24">
        <w:t xml:space="preserve">) in the order in which they are addressed in the body of the report. </w:t>
      </w:r>
    </w:p>
    <w:p w14:paraId="634CC692" w14:textId="77777777" w:rsidR="00466B00" w:rsidRDefault="00D352FE" w:rsidP="008817D4">
      <w:pPr>
        <w:pStyle w:val="Heading4"/>
      </w:pPr>
      <w:proofErr w:type="spellStart"/>
      <w:r>
        <w:t>ToR</w:t>
      </w:r>
      <w:proofErr w:type="spellEnd"/>
      <w:r>
        <w:t xml:space="preserve"> 1: </w:t>
      </w:r>
      <w:r w:rsidR="00B861D1">
        <w:t xml:space="preserve">Findings on the extent to which </w:t>
      </w:r>
      <w:r w:rsidR="00466B00">
        <w:t xml:space="preserve">UANP </w:t>
      </w:r>
      <w:r w:rsidR="00B861D1">
        <w:t>policy objectives, outcomes and outputs have been achieved</w:t>
      </w:r>
    </w:p>
    <w:p w14:paraId="136AC461" w14:textId="77777777" w:rsidR="00466B00" w:rsidRPr="00047A42" w:rsidRDefault="00466B00" w:rsidP="00466B00">
      <w:r>
        <w:t xml:space="preserve">The first </w:t>
      </w:r>
      <w:r w:rsidR="00237B47">
        <w:t xml:space="preserve">predecessor to the </w:t>
      </w:r>
      <w:r w:rsidR="0073489D">
        <w:t>UANP</w:t>
      </w:r>
      <w:r>
        <w:t xml:space="preserve"> was introduced in 2008 and set an ambition to significantly increase </w:t>
      </w:r>
      <w:r w:rsidR="00237B47">
        <w:t xml:space="preserve">preschool </w:t>
      </w:r>
      <w:r>
        <w:t xml:space="preserve">participation in the YBFS in terms of both the number of children enrolled and the minimum </w:t>
      </w:r>
      <w:r w:rsidR="008D0D8C">
        <w:t>hours</w:t>
      </w:r>
      <w:r>
        <w:t xml:space="preserve"> they would receive. </w:t>
      </w:r>
      <w:r w:rsidR="00A4260F">
        <w:t>P</w:t>
      </w:r>
      <w:r w:rsidR="00CD4AFD">
        <w:t>arallel</w:t>
      </w:r>
      <w:r w:rsidR="00CD4AFD" w:rsidDel="00A4260F">
        <w:t xml:space="preserve"> </w:t>
      </w:r>
      <w:r w:rsidR="00CD4AFD">
        <w:t xml:space="preserve">work to </w:t>
      </w:r>
      <w:r w:rsidR="0073489D">
        <w:t>progress</w:t>
      </w:r>
      <w:r w:rsidR="0073489D" w:rsidRPr="00047A42">
        <w:t xml:space="preserve"> </w:t>
      </w:r>
      <w:r w:rsidRPr="00047A42">
        <w:t xml:space="preserve">a </w:t>
      </w:r>
      <w:r>
        <w:t>N</w:t>
      </w:r>
      <w:r w:rsidRPr="00047A42">
        <w:t xml:space="preserve">ational </w:t>
      </w:r>
      <w:r>
        <w:t>Q</w:t>
      </w:r>
      <w:r w:rsidRPr="00047A42">
        <w:t xml:space="preserve">uality </w:t>
      </w:r>
      <w:r w:rsidR="0073489D">
        <w:t>Agenda</w:t>
      </w:r>
      <w:r>
        <w:t xml:space="preserve"> </w:t>
      </w:r>
      <w:r w:rsidR="009719BE">
        <w:t>sought</w:t>
      </w:r>
      <w:r w:rsidR="00917DD0">
        <w:t xml:space="preserve"> to lift quality </w:t>
      </w:r>
      <w:r>
        <w:t xml:space="preserve">for </w:t>
      </w:r>
      <w:r w:rsidR="00CD4AFD">
        <w:t>approved</w:t>
      </w:r>
      <w:r>
        <w:t xml:space="preserve"> education and care</w:t>
      </w:r>
      <w:r w:rsidR="00CD4AFD">
        <w:t xml:space="preserve"> services</w:t>
      </w:r>
      <w:r w:rsidR="00917DD0">
        <w:t>, including preschool</w:t>
      </w:r>
      <w:r w:rsidRPr="00047A42">
        <w:t>.</w:t>
      </w:r>
    </w:p>
    <w:p w14:paraId="01FC81F4" w14:textId="77777777" w:rsidR="00466B00" w:rsidRDefault="00466B00" w:rsidP="005B5C8E">
      <w:pPr>
        <w:tabs>
          <w:tab w:val="left" w:pos="4536"/>
        </w:tabs>
      </w:pPr>
      <w:r>
        <w:t xml:space="preserve">The </w:t>
      </w:r>
      <w:r w:rsidR="0073489D">
        <w:t>UANP</w:t>
      </w:r>
      <w:r w:rsidRPr="00A02BCA">
        <w:t xml:space="preserve"> </w:t>
      </w:r>
      <w:r w:rsidR="0058481D">
        <w:t>has been</w:t>
      </w:r>
      <w:r w:rsidR="0058481D" w:rsidRPr="00A02BCA">
        <w:t xml:space="preserve"> </w:t>
      </w:r>
      <w:r w:rsidRPr="00A02BCA">
        <w:t xml:space="preserve">renewed and extended several times. </w:t>
      </w:r>
      <w:r>
        <w:t xml:space="preserve">Early objectives centred on </w:t>
      </w:r>
      <w:r w:rsidR="007A1976">
        <w:t>providing universal access to</w:t>
      </w:r>
      <w:r>
        <w:t xml:space="preserve"> quality preschool. Over time as enrolments rose, </w:t>
      </w:r>
      <w:r w:rsidR="007A1976">
        <w:t xml:space="preserve">greater focus was given to ensuring universal access to </w:t>
      </w:r>
      <w:r>
        <w:t xml:space="preserve">at </w:t>
      </w:r>
      <w:r w:rsidR="007A1976">
        <w:t>least</w:t>
      </w:r>
      <w:r>
        <w:t xml:space="preserve"> 600 hours per year</w:t>
      </w:r>
      <w:r w:rsidR="00F53E8C">
        <w:t xml:space="preserve">, including by addressing system capacity and affordability, </w:t>
      </w:r>
      <w:r>
        <w:t xml:space="preserve">and improving participation particularly by vulnerable and disadvantaged cohorts and Indigenous children. </w:t>
      </w:r>
    </w:p>
    <w:p w14:paraId="4F121068" w14:textId="7938AEDD" w:rsidR="0078381F" w:rsidRDefault="00081B7C" w:rsidP="00A02BCA">
      <w:pPr>
        <w:pStyle w:val="Bullet"/>
      </w:pPr>
      <w:r>
        <w:lastRenderedPageBreak/>
        <w:t xml:space="preserve">UANP funding has delivered a universal system of preschool </w:t>
      </w:r>
      <w:r w:rsidR="00515CAB">
        <w:t xml:space="preserve">at the minimum standard of </w:t>
      </w:r>
      <w:r w:rsidR="008D0D8C">
        <w:t>hours</w:t>
      </w:r>
      <w:r w:rsidR="00515CAB">
        <w:t xml:space="preserve"> (noting that </w:t>
      </w:r>
      <w:r w:rsidR="00ED38ED">
        <w:t>before the UANP</w:t>
      </w:r>
      <w:r w:rsidR="0073489D">
        <w:t>, many</w:t>
      </w:r>
      <w:r w:rsidR="00515CAB">
        <w:t xml:space="preserve"> </w:t>
      </w:r>
      <w:r w:rsidR="00CD4AFD">
        <w:t>States and Territories</w:t>
      </w:r>
      <w:r w:rsidR="00515CAB">
        <w:t xml:space="preserve"> </w:t>
      </w:r>
      <w:r w:rsidR="00F53E8C">
        <w:t xml:space="preserve">were </w:t>
      </w:r>
      <w:r w:rsidR="00515CAB">
        <w:t>provid</w:t>
      </w:r>
      <w:r w:rsidR="00F53E8C">
        <w:t xml:space="preserve">ing </w:t>
      </w:r>
      <w:r w:rsidR="00CD4AFD">
        <w:t xml:space="preserve">universal </w:t>
      </w:r>
      <w:r w:rsidR="00515CAB">
        <w:t xml:space="preserve">preschool for fewer hours) </w:t>
      </w:r>
      <w:r w:rsidR="0078381F">
        <w:t>which</w:t>
      </w:r>
      <w:r>
        <w:t xml:space="preserve"> has proved accessible to most children. </w:t>
      </w:r>
      <w:r w:rsidR="0058481D">
        <w:t>The increase in participation witnessed over the past decade is remarkable, particularly given that preschool participation remains voluntary</w:t>
      </w:r>
      <w:r w:rsidR="00B07946">
        <w:t>, and s</w:t>
      </w:r>
      <w:r w:rsidR="0078381F">
        <w:t xml:space="preserve">ignificant benefits have been realised for children and families. </w:t>
      </w:r>
      <w:r w:rsidR="00B07946">
        <w:t xml:space="preserve">The Review </w:t>
      </w:r>
      <w:r w:rsidR="0078381F">
        <w:t xml:space="preserve">affirms the value of </w:t>
      </w:r>
      <w:r w:rsidR="0078381F" w:rsidRPr="006C10C7">
        <w:t>the policy objective</w:t>
      </w:r>
      <w:r w:rsidR="0078381F">
        <w:t>s and collective commitments of</w:t>
      </w:r>
      <w:r w:rsidR="0078381F" w:rsidRPr="006C10C7">
        <w:t xml:space="preserve"> governmen</w:t>
      </w:r>
      <w:r w:rsidR="0078381F">
        <w:t>ts to th</w:t>
      </w:r>
      <w:r w:rsidR="00B07946">
        <w:t xml:space="preserve">is </w:t>
      </w:r>
      <w:r w:rsidR="0078381F">
        <w:t>agenda</w:t>
      </w:r>
      <w:r w:rsidR="00B07946">
        <w:t xml:space="preserve">, which </w:t>
      </w:r>
      <w:r w:rsidR="0078381F">
        <w:t>includes maintaining flexibility to pursue reforms in a way that best suits local contexts and</w:t>
      </w:r>
      <w:r w:rsidR="00B07946">
        <w:t xml:space="preserve"> ensuring </w:t>
      </w:r>
      <w:r w:rsidR="0078381F">
        <w:t xml:space="preserve">a continuing role for the Australian Government in policy leadership and </w:t>
      </w:r>
      <w:r w:rsidR="0078381F" w:rsidDel="002272A1">
        <w:t>funding</w:t>
      </w:r>
      <w:r w:rsidR="00B07946">
        <w:t>.</w:t>
      </w:r>
    </w:p>
    <w:p w14:paraId="030C4A6B" w14:textId="77777777" w:rsidR="00081B7C" w:rsidRDefault="00C26F80" w:rsidP="00A02BCA">
      <w:pPr>
        <w:pStyle w:val="Bullet"/>
      </w:pPr>
      <w:r>
        <w:t>C</w:t>
      </w:r>
      <w:r w:rsidR="00081B7C">
        <w:t>hallenges remain</w:t>
      </w:r>
      <w:r w:rsidR="00B07946">
        <w:t xml:space="preserve"> that will require ongoing attention and investment. These include </w:t>
      </w:r>
      <w:r>
        <w:t xml:space="preserve">lifting </w:t>
      </w:r>
      <w:r w:rsidR="0073489D">
        <w:t>attendance</w:t>
      </w:r>
      <w:r>
        <w:t xml:space="preserve">, including among </w:t>
      </w:r>
      <w:r w:rsidR="00081B7C">
        <w:t>Indigenous children and those who are experiencing vulnerability and disadvantage</w:t>
      </w:r>
      <w:r w:rsidR="001753FD" w:rsidDel="001753FD">
        <w:t>.</w:t>
      </w:r>
    </w:p>
    <w:p w14:paraId="098F8CD1" w14:textId="77777777" w:rsidR="00466B00" w:rsidRPr="00081B7C" w:rsidRDefault="00AB071D" w:rsidP="008817D4">
      <w:pPr>
        <w:pStyle w:val="Heading4"/>
      </w:pPr>
      <w:proofErr w:type="spellStart"/>
      <w:r>
        <w:t>ToR</w:t>
      </w:r>
      <w:proofErr w:type="spellEnd"/>
      <w:r>
        <w:t xml:space="preserve"> 4: </w:t>
      </w:r>
      <w:r w:rsidR="00F06D22">
        <w:t xml:space="preserve">Findings on how </w:t>
      </w:r>
      <w:r w:rsidR="00E62664">
        <w:t xml:space="preserve">the preschool system operates and how the </w:t>
      </w:r>
      <w:r w:rsidR="00466B00" w:rsidRPr="00081B7C">
        <w:t xml:space="preserve">UANP </w:t>
      </w:r>
      <w:r w:rsidR="00E62664">
        <w:t xml:space="preserve">is </w:t>
      </w:r>
      <w:r w:rsidR="00E62664" w:rsidRPr="00081B7C">
        <w:t>implemen</w:t>
      </w:r>
      <w:r w:rsidR="00E62664">
        <w:t>ted</w:t>
      </w:r>
      <w:r w:rsidR="00F06D22">
        <w:t xml:space="preserve"> across different </w:t>
      </w:r>
      <w:r w:rsidR="00466B00">
        <w:t>jurisdiction</w:t>
      </w:r>
      <w:r w:rsidR="00F06D22">
        <w:t>s and settings</w:t>
      </w:r>
      <w:r w:rsidR="00E62664">
        <w:t xml:space="preserve"> </w:t>
      </w:r>
    </w:p>
    <w:p w14:paraId="6319EC44" w14:textId="77777777" w:rsidR="00CC06C0" w:rsidRDefault="00440EA2" w:rsidP="00466B00">
      <w:pPr>
        <w:pStyle w:val="Bullet"/>
      </w:pPr>
      <w:r>
        <w:t>T</w:t>
      </w:r>
      <w:r w:rsidR="00466B00">
        <w:t>he</w:t>
      </w:r>
      <w:r w:rsidR="00A21BC6">
        <w:t xml:space="preserve"> abovementioned</w:t>
      </w:r>
      <w:r w:rsidR="00466B00">
        <w:t xml:space="preserve"> </w:t>
      </w:r>
      <w:r>
        <w:t xml:space="preserve">achievements </w:t>
      </w:r>
      <w:r w:rsidR="00466B00">
        <w:t xml:space="preserve">would not have been possible without </w:t>
      </w:r>
      <w:bookmarkStart w:id="25" w:name="_Hlk24053200"/>
      <w:r w:rsidR="00466B00">
        <w:t>a concerted effort by all jurisdictions and timely responses by key stakeholders</w:t>
      </w:r>
      <w:bookmarkEnd w:id="25"/>
      <w:r w:rsidR="00466B00">
        <w:t xml:space="preserve">. </w:t>
      </w:r>
      <w:r w:rsidR="00C51276">
        <w:t xml:space="preserve">There are strong evidence-based national frameworks </w:t>
      </w:r>
      <w:r w:rsidR="00A21BC6">
        <w:t xml:space="preserve">underpinning the </w:t>
      </w:r>
      <w:r w:rsidR="001910C6">
        <w:t xml:space="preserve">national </w:t>
      </w:r>
      <w:r w:rsidR="00A21BC6">
        <w:t>system</w:t>
      </w:r>
      <w:r w:rsidR="001910C6">
        <w:t>. These</w:t>
      </w:r>
      <w:r w:rsidR="00C51276">
        <w:t xml:space="preserve"> ensure broadly consistent learning experiences, even though p</w:t>
      </w:r>
      <w:r w:rsidR="00466B00">
        <w:t xml:space="preserve">reschool </w:t>
      </w:r>
      <w:r w:rsidR="00296A03">
        <w:t>program</w:t>
      </w:r>
      <w:r w:rsidR="00C51276">
        <w:t>s</w:t>
      </w:r>
      <w:r w:rsidR="00296A03">
        <w:t xml:space="preserve"> </w:t>
      </w:r>
      <w:r w:rsidR="00C51276">
        <w:t>are</w:t>
      </w:r>
      <w:r w:rsidR="00296A03">
        <w:t xml:space="preserve"> delivered in a variety of different settings and by different organisations.</w:t>
      </w:r>
    </w:p>
    <w:p w14:paraId="7489E254" w14:textId="4FB3A932" w:rsidR="005C15DD" w:rsidRDefault="009E328C" w:rsidP="005C15DD">
      <w:pPr>
        <w:pStyle w:val="Bullet"/>
      </w:pPr>
      <w:r>
        <w:t>The</w:t>
      </w:r>
      <w:r w:rsidR="00F16BB3" w:rsidRPr="00F16BB3">
        <w:t xml:space="preserve"> </w:t>
      </w:r>
      <w:r w:rsidR="001910C6">
        <w:t xml:space="preserve">dominant </w:t>
      </w:r>
      <w:r w:rsidR="00F16BB3" w:rsidRPr="00F16BB3">
        <w:t xml:space="preserve">delivery model in </w:t>
      </w:r>
      <w:r>
        <w:t>some</w:t>
      </w:r>
      <w:r w:rsidR="00F16BB3" w:rsidRPr="00F16BB3">
        <w:t xml:space="preserve"> </w:t>
      </w:r>
      <w:r w:rsidR="00E34ABE">
        <w:t>S</w:t>
      </w:r>
      <w:r w:rsidR="00CD4AFD">
        <w:t xml:space="preserve">tates and </w:t>
      </w:r>
      <w:r w:rsidR="00E34ABE">
        <w:t>T</w:t>
      </w:r>
      <w:r w:rsidR="00CD4AFD">
        <w:t>erritories</w:t>
      </w:r>
      <w:r w:rsidR="00F16BB3" w:rsidRPr="00F16BB3">
        <w:t xml:space="preserve"> </w:t>
      </w:r>
      <w:r>
        <w:t>is</w:t>
      </w:r>
      <w:r w:rsidR="00F16BB3" w:rsidRPr="00F16BB3">
        <w:t xml:space="preserve"> school-based</w:t>
      </w:r>
      <w:r>
        <w:t xml:space="preserve"> preschool</w:t>
      </w:r>
      <w:r w:rsidR="00F16BB3" w:rsidRPr="00F16BB3">
        <w:t xml:space="preserve">, supporting smooth integration with and </w:t>
      </w:r>
      <w:r w:rsidR="00E2251B">
        <w:t xml:space="preserve">seamless </w:t>
      </w:r>
      <w:r w:rsidR="00F16BB3" w:rsidRPr="00F16BB3">
        <w:t xml:space="preserve">transition to </w:t>
      </w:r>
      <w:r w:rsidR="00E2251B">
        <w:t>full</w:t>
      </w:r>
      <w:r w:rsidR="00F5235D">
        <w:t>-</w:t>
      </w:r>
      <w:r w:rsidR="00E2251B">
        <w:t>time</w:t>
      </w:r>
      <w:r w:rsidR="00F16BB3" w:rsidRPr="00F16BB3">
        <w:t xml:space="preserve"> </w:t>
      </w:r>
      <w:r w:rsidR="00E2251B">
        <w:t>schooling</w:t>
      </w:r>
      <w:r>
        <w:t xml:space="preserve">. Others have a more mixed market with a greater reliance on </w:t>
      </w:r>
      <w:r w:rsidR="00BC0C44">
        <w:t>standalone</w:t>
      </w:r>
      <w:r w:rsidR="0056409D" w:rsidRPr="00952E50">
        <w:t xml:space="preserve"> </w:t>
      </w:r>
      <w:r>
        <w:t>services</w:t>
      </w:r>
      <w:r w:rsidR="00FE2E5C">
        <w:t xml:space="preserve"> </w:t>
      </w:r>
      <w:r w:rsidR="001910C6">
        <w:t>which</w:t>
      </w:r>
      <w:r w:rsidR="00FE2E5C">
        <w:t xml:space="preserve">, </w:t>
      </w:r>
      <w:r>
        <w:t>like school-based preschools</w:t>
      </w:r>
      <w:r w:rsidR="00FE2E5C">
        <w:t>,</w:t>
      </w:r>
      <w:r>
        <w:t xml:space="preserve"> can interact with </w:t>
      </w:r>
      <w:r w:rsidR="00C96681">
        <w:t xml:space="preserve">related </w:t>
      </w:r>
      <w:r>
        <w:t>care services, and</w:t>
      </w:r>
      <w:r w:rsidR="00F16BB3" w:rsidRPr="00F16BB3">
        <w:t xml:space="preserve"> CBDC </w:t>
      </w:r>
      <w:r>
        <w:t xml:space="preserve">preschools </w:t>
      </w:r>
      <w:r w:rsidR="001910C6">
        <w:t xml:space="preserve">which </w:t>
      </w:r>
      <w:r w:rsidR="00F16BB3" w:rsidRPr="00F16BB3">
        <w:t xml:space="preserve">enable a seamless </w:t>
      </w:r>
      <w:r w:rsidR="00DF0E4E">
        <w:t>integration with</w:t>
      </w:r>
      <w:r w:rsidR="00F16BB3" w:rsidRPr="00F16BB3">
        <w:t xml:space="preserve"> child</w:t>
      </w:r>
      <w:r w:rsidR="00AD1EA3">
        <w:t xml:space="preserve"> </w:t>
      </w:r>
      <w:r w:rsidR="00F16BB3" w:rsidRPr="00F16BB3">
        <w:t>care</w:t>
      </w:r>
      <w:r>
        <w:t xml:space="preserve">. </w:t>
      </w:r>
    </w:p>
    <w:p w14:paraId="68BCA82D" w14:textId="645E5569" w:rsidR="009719BE" w:rsidRDefault="00E2251B" w:rsidP="00466B00">
      <w:pPr>
        <w:pStyle w:val="Bullet"/>
      </w:pPr>
      <w:r>
        <w:t>Jurisdictions’ i</w:t>
      </w:r>
      <w:r w:rsidR="00466B00">
        <w:t>mplementation of the UANP and its predecessor agreements necessarily var</w:t>
      </w:r>
      <w:r w:rsidR="00123FCC">
        <w:t>ied</w:t>
      </w:r>
      <w:r w:rsidR="00466B00">
        <w:t xml:space="preserve"> according to the pre-existing market conditions</w:t>
      </w:r>
      <w:r w:rsidR="00E34ABE">
        <w:t xml:space="preserve"> </w:t>
      </w:r>
      <w:r w:rsidR="00466B00">
        <w:t xml:space="preserve">– </w:t>
      </w:r>
      <w:r>
        <w:t>that is,</w:t>
      </w:r>
      <w:r w:rsidR="00466B00">
        <w:t xml:space="preserve"> the relative availability, </w:t>
      </w:r>
      <w:proofErr w:type="gramStart"/>
      <w:r w:rsidR="00466B00" w:rsidRPr="000C4B31">
        <w:t>maturity</w:t>
      </w:r>
      <w:proofErr w:type="gramEnd"/>
      <w:r w:rsidR="00466B00" w:rsidRPr="000C4B31">
        <w:t xml:space="preserve"> </w:t>
      </w:r>
      <w:r w:rsidR="00466B00">
        <w:t xml:space="preserve">and quality of preschool (as variously defined locally) in 2008. </w:t>
      </w:r>
      <w:r w:rsidR="004B3198">
        <w:t>Some</w:t>
      </w:r>
      <w:r w:rsidR="004F4B93">
        <w:t xml:space="preserve"> </w:t>
      </w:r>
      <w:r w:rsidR="00CD4AFD">
        <w:t>States and Territories</w:t>
      </w:r>
      <w:r w:rsidR="00466B00">
        <w:t xml:space="preserve"> were already offering 11 or 12 hours of preschool a week, for example. But even where </w:t>
      </w:r>
      <w:r>
        <w:t xml:space="preserve">universal </w:t>
      </w:r>
      <w:r w:rsidR="00466B00">
        <w:t xml:space="preserve">preschool was offered (typically in school settings), </w:t>
      </w:r>
      <w:r w:rsidR="00FA67CB">
        <w:t>no jurisdictions provided</w:t>
      </w:r>
      <w:r w:rsidR="00466B00">
        <w:t xml:space="preserve"> 600 hours a year.</w:t>
      </w:r>
    </w:p>
    <w:p w14:paraId="288CA356" w14:textId="77777777" w:rsidR="00466B00" w:rsidRDefault="00466B00" w:rsidP="00466B00">
      <w:pPr>
        <w:pStyle w:val="Bullet"/>
      </w:pPr>
      <w:r>
        <w:t xml:space="preserve">Similarly, while CBDC was well-established in many parts of the country, the availability of structured </w:t>
      </w:r>
      <w:r w:rsidR="00914CCF">
        <w:t>preschool</w:t>
      </w:r>
      <w:r>
        <w:t xml:space="preserve"> programs in such settings for children in the YBFS was limited, and their quality was inconsistent. The UANP, alongside the introduction of </w:t>
      </w:r>
      <w:r w:rsidR="00E2251B">
        <w:t xml:space="preserve">National Quality </w:t>
      </w:r>
      <w:r w:rsidR="00C01A24">
        <w:t xml:space="preserve">Framework </w:t>
      </w:r>
      <w:r w:rsidR="00E2251B">
        <w:t>(</w:t>
      </w:r>
      <w:r w:rsidR="00C01A24">
        <w:t>NQF</w:t>
      </w:r>
      <w:r w:rsidR="00E2251B">
        <w:t>) for education and care services</w:t>
      </w:r>
      <w:r>
        <w:t xml:space="preserve"> </w:t>
      </w:r>
      <w:r w:rsidR="0073489D">
        <w:t xml:space="preserve">(including preschool) </w:t>
      </w:r>
      <w:r>
        <w:t xml:space="preserve">brought all </w:t>
      </w:r>
      <w:r w:rsidR="00EE1BB8">
        <w:t>S</w:t>
      </w:r>
      <w:r w:rsidR="00CD4AFD">
        <w:t xml:space="preserve">tates and </w:t>
      </w:r>
      <w:r w:rsidR="00EE1BB8">
        <w:t>T</w:t>
      </w:r>
      <w:r w:rsidR="00CD4AFD">
        <w:t>erritories</w:t>
      </w:r>
      <w:r>
        <w:t xml:space="preserve"> up to the same minimum standard in terms </w:t>
      </w:r>
      <w:r w:rsidR="009719BE">
        <w:t xml:space="preserve">of </w:t>
      </w:r>
      <w:r>
        <w:t xml:space="preserve">universal access, </w:t>
      </w:r>
      <w:proofErr w:type="gramStart"/>
      <w:r w:rsidR="00105E9A">
        <w:t>hours</w:t>
      </w:r>
      <w:proofErr w:type="gramEnd"/>
      <w:r>
        <w:t xml:space="preserve"> and quality.</w:t>
      </w:r>
    </w:p>
    <w:p w14:paraId="3662DDAE" w14:textId="725831DB" w:rsidR="00466B00" w:rsidRDefault="00466B00" w:rsidP="00466B00">
      <w:pPr>
        <w:pStyle w:val="Bullet"/>
      </w:pPr>
      <w:bookmarkStart w:id="26" w:name="_Hlk23611686"/>
      <w:r>
        <w:t>In addition to the prevailing market conditions</w:t>
      </w:r>
      <w:r w:rsidR="00E2251B">
        <w:t xml:space="preserve"> and legacy factors</w:t>
      </w:r>
      <w:r>
        <w:t xml:space="preserve">, implementation of the UANP in different </w:t>
      </w:r>
      <w:r w:rsidR="00E34ABE">
        <w:t>S</w:t>
      </w:r>
      <w:r>
        <w:t xml:space="preserve">tates and </w:t>
      </w:r>
      <w:r w:rsidR="00E34ABE">
        <w:t>T</w:t>
      </w:r>
      <w:r>
        <w:t>erritories has been heavily influenced by local geography and demography</w:t>
      </w:r>
      <w:r w:rsidR="008410D6">
        <w:t>, as well as community preferences</w:t>
      </w:r>
      <w:r>
        <w:t xml:space="preserve">. </w:t>
      </w:r>
      <w:r w:rsidR="00A70D38">
        <w:t xml:space="preserve">Provision in regional and remote areas </w:t>
      </w:r>
      <w:r>
        <w:t xml:space="preserve">has been particularly problematic given the </w:t>
      </w:r>
      <w:r w:rsidR="00BB5227">
        <w:t xml:space="preserve">difficulties in </w:t>
      </w:r>
      <w:r w:rsidR="008410D6">
        <w:t>achieving efficient scale and</w:t>
      </w:r>
      <w:r w:rsidR="00BB5227">
        <w:t xml:space="preserve"> attracting and </w:t>
      </w:r>
      <w:r w:rsidR="00E2251B">
        <w:t>retaining</w:t>
      </w:r>
      <w:r w:rsidR="00BB5227">
        <w:t xml:space="preserve"> qualified work</w:t>
      </w:r>
      <w:r w:rsidR="008410D6">
        <w:t>ers</w:t>
      </w:r>
      <w:r w:rsidR="00BB5227">
        <w:t>.</w:t>
      </w:r>
      <w:r>
        <w:t xml:space="preserve"> Such issues can be compounded by barriers to participation such as a lack of suitable transport</w:t>
      </w:r>
      <w:r w:rsidR="00AA30F1">
        <w:t xml:space="preserve"> or cultural competency</w:t>
      </w:r>
      <w:r>
        <w:t xml:space="preserve">. </w:t>
      </w:r>
    </w:p>
    <w:bookmarkEnd w:id="26"/>
    <w:p w14:paraId="09DF21F9" w14:textId="77777777" w:rsidR="003841A6" w:rsidRDefault="00B737F7" w:rsidP="003841A6">
      <w:pPr>
        <w:pStyle w:val="Bullet"/>
      </w:pPr>
      <w:r>
        <w:t>T</w:t>
      </w:r>
      <w:r w:rsidR="0035746B">
        <w:t xml:space="preserve">he Review finds that the increase in participation in preschool among </w:t>
      </w:r>
      <w:r w:rsidR="001F149A">
        <w:t>target cohorts</w:t>
      </w:r>
      <w:r w:rsidR="0035746B">
        <w:t xml:space="preserve">, and the extension of services offering 600 hours or more into remote areas, has been significant. </w:t>
      </w:r>
      <w:r w:rsidR="007660E5">
        <w:t>Yet t</w:t>
      </w:r>
      <w:r w:rsidR="0035746B">
        <w:t>here is more work to be done here</w:t>
      </w:r>
      <w:r w:rsidR="007660E5">
        <w:t>. T</w:t>
      </w:r>
      <w:r w:rsidR="0035746B">
        <w:t xml:space="preserve">his involves reaching children and parents earlier through other </w:t>
      </w:r>
      <w:r w:rsidR="001F149A">
        <w:t xml:space="preserve">tailored </w:t>
      </w:r>
      <w:r w:rsidR="0035746B">
        <w:t xml:space="preserve">programs, </w:t>
      </w:r>
      <w:proofErr w:type="gramStart"/>
      <w:r w:rsidR="0035746B">
        <w:t>services</w:t>
      </w:r>
      <w:proofErr w:type="gramEnd"/>
      <w:r w:rsidR="0035746B">
        <w:t xml:space="preserve"> and collaborative learning opportunities. It also involves continuing attention to </w:t>
      </w:r>
      <w:r w:rsidR="00123FCC">
        <w:t xml:space="preserve">improving service </w:t>
      </w:r>
      <w:r w:rsidR="0035746B">
        <w:t>quality.</w:t>
      </w:r>
    </w:p>
    <w:p w14:paraId="5027050E" w14:textId="77777777" w:rsidR="00397052" w:rsidRDefault="00397052" w:rsidP="003841A6">
      <w:pPr>
        <w:pStyle w:val="Heading4"/>
      </w:pPr>
      <w:bookmarkStart w:id="27" w:name="_Hlk33542640"/>
      <w:proofErr w:type="spellStart"/>
      <w:r>
        <w:t>ToR</w:t>
      </w:r>
      <w:proofErr w:type="spellEnd"/>
      <w:r>
        <w:t xml:space="preserve"> 2: Findings on the </w:t>
      </w:r>
      <w:r w:rsidR="00FC42C6">
        <w:t>p</w:t>
      </w:r>
      <w:r w:rsidR="00BD5115">
        <w:t xml:space="preserve">erformance </w:t>
      </w:r>
      <w:r w:rsidR="00FC42C6">
        <w:t>i</w:t>
      </w:r>
      <w:r w:rsidR="00BD5115">
        <w:t>ndicator</w:t>
      </w:r>
      <w:r>
        <w:t xml:space="preserve">s, benchmarks, </w:t>
      </w:r>
      <w:proofErr w:type="gramStart"/>
      <w:r>
        <w:t>data</w:t>
      </w:r>
      <w:proofErr w:type="gramEnd"/>
      <w:r>
        <w:t xml:space="preserve"> and associated methodologies</w:t>
      </w:r>
    </w:p>
    <w:p w14:paraId="5EF2C0CD" w14:textId="77777777" w:rsidR="00EA62F5" w:rsidRDefault="00397052" w:rsidP="00397052">
      <w:bookmarkStart w:id="28" w:name="_Hlk24053331"/>
      <w:bookmarkEnd w:id="27"/>
      <w:r w:rsidRPr="00894C3A">
        <w:t xml:space="preserve">Significant </w:t>
      </w:r>
      <w:r w:rsidR="00FF0394" w:rsidRPr="002177CF">
        <w:t>progress</w:t>
      </w:r>
      <w:r w:rsidRPr="002177CF">
        <w:t xml:space="preserve"> </w:t>
      </w:r>
      <w:r w:rsidR="00123FCC" w:rsidRPr="002177CF">
        <w:t>has</w:t>
      </w:r>
      <w:r w:rsidRPr="002177CF">
        <w:t xml:space="preserve"> been made to develop preschool data collections and improve measurement of performance</w:t>
      </w:r>
      <w:r w:rsidR="00DB549E" w:rsidRPr="002177CF">
        <w:t xml:space="preserve">, but </w:t>
      </w:r>
      <w:r w:rsidRPr="002177CF">
        <w:t>some issues remain</w:t>
      </w:r>
      <w:bookmarkEnd w:id="28"/>
      <w:r w:rsidRPr="002177CF">
        <w:t xml:space="preserve">. </w:t>
      </w:r>
    </w:p>
    <w:p w14:paraId="1E967B84" w14:textId="15E074EF" w:rsidR="00650BA4" w:rsidRPr="003841A6" w:rsidRDefault="00DF0E4E" w:rsidP="00397052">
      <w:r w:rsidRPr="00DF0E4E">
        <w:lastRenderedPageBreak/>
        <w:t xml:space="preserve">The Review finds that a more reliable, accurate and nationally comparable measure of attendance needs to be developed, preferably one </w:t>
      </w:r>
      <w:r w:rsidR="004764A2">
        <w:t xml:space="preserve">that </w:t>
      </w:r>
      <w:r w:rsidR="004764A2" w:rsidRPr="004764A2">
        <w:t xml:space="preserve">allows </w:t>
      </w:r>
      <w:r w:rsidR="004764A2">
        <w:t xml:space="preserve">governments and providers to </w:t>
      </w:r>
      <w:r w:rsidR="004764A2" w:rsidRPr="004764A2">
        <w:t xml:space="preserve">collectively understand </w:t>
      </w:r>
      <w:r w:rsidR="004764A2">
        <w:t>the</w:t>
      </w:r>
      <w:r w:rsidR="004764A2" w:rsidRPr="004764A2">
        <w:t xml:space="preserve"> reasons for attendance gaps</w:t>
      </w:r>
      <w:r w:rsidR="009D4963">
        <w:t xml:space="preserve">, reflects the </w:t>
      </w:r>
      <w:r w:rsidR="009D4963" w:rsidRPr="009D4963">
        <w:t>context of a voluntary system</w:t>
      </w:r>
      <w:r w:rsidR="003E261E">
        <w:t>,</w:t>
      </w:r>
      <w:r w:rsidR="009D4963" w:rsidRPr="009D4963">
        <w:t xml:space="preserve"> and is tied to </w:t>
      </w:r>
      <w:r w:rsidR="003A4EC4">
        <w:t>quality</w:t>
      </w:r>
      <w:r w:rsidR="009D4963" w:rsidRPr="009D4963">
        <w:t xml:space="preserve"> delivery by a</w:t>
      </w:r>
      <w:r w:rsidR="003A6F7B">
        <w:t xml:space="preserve"> qualified</w:t>
      </w:r>
      <w:r w:rsidR="009D4963" w:rsidRPr="009D4963">
        <w:t xml:space="preserve"> </w:t>
      </w:r>
      <w:r w:rsidR="003A4EC4">
        <w:t>ECT</w:t>
      </w:r>
      <w:r w:rsidRPr="00DF0E4E">
        <w:t xml:space="preserve">. </w:t>
      </w:r>
      <w:r w:rsidR="009D4963">
        <w:t>T</w:t>
      </w:r>
      <w:r w:rsidR="003841A6" w:rsidRPr="63949AE2">
        <w:rPr>
          <w:rFonts w:asciiTheme="minorHAnsi" w:hAnsiTheme="minorHAnsi"/>
        </w:rPr>
        <w:t>he</w:t>
      </w:r>
      <w:r w:rsidR="003841A6" w:rsidRPr="4E25D2DC">
        <w:rPr>
          <w:rFonts w:asciiTheme="minorHAnsi" w:hAnsiTheme="minorHAnsi"/>
        </w:rPr>
        <w:t xml:space="preserve"> current methodology and data for measuring attendance produce misleading results</w:t>
      </w:r>
      <w:r w:rsidR="009D4963" w:rsidRPr="4E25D2DC">
        <w:rPr>
          <w:rFonts w:asciiTheme="minorHAnsi" w:hAnsiTheme="minorHAnsi"/>
        </w:rPr>
        <w:t>,</w:t>
      </w:r>
      <w:r w:rsidR="003841A6">
        <w:t xml:space="preserve"> </w:t>
      </w:r>
      <w:r w:rsidR="0006674D" w:rsidRPr="4E25D2DC">
        <w:rPr>
          <w:rFonts w:asciiTheme="minorHAnsi" w:hAnsiTheme="minorHAnsi"/>
        </w:rPr>
        <w:t>as t</w:t>
      </w:r>
      <w:r w:rsidR="00103DF5" w:rsidRPr="4E25D2DC">
        <w:rPr>
          <w:rFonts w:asciiTheme="minorHAnsi" w:hAnsiTheme="minorHAnsi"/>
        </w:rPr>
        <w:t>he U</w:t>
      </w:r>
      <w:r w:rsidR="00AC246A" w:rsidRPr="4E25D2DC">
        <w:rPr>
          <w:rFonts w:asciiTheme="minorHAnsi" w:hAnsiTheme="minorHAnsi"/>
        </w:rPr>
        <w:t>AN</w:t>
      </w:r>
      <w:r w:rsidR="00103DF5" w:rsidRPr="4E25D2DC">
        <w:rPr>
          <w:rFonts w:asciiTheme="minorHAnsi" w:hAnsiTheme="minorHAnsi"/>
        </w:rPr>
        <w:t xml:space="preserve">P relies on reports of the proportion of attendance in preschool programs </w:t>
      </w:r>
      <w:r w:rsidR="0073489D" w:rsidRPr="4E25D2DC">
        <w:rPr>
          <w:rFonts w:asciiTheme="minorHAnsi" w:hAnsiTheme="minorHAnsi"/>
        </w:rPr>
        <w:t xml:space="preserve">delivered by a teacher </w:t>
      </w:r>
      <w:r w:rsidR="00103DF5" w:rsidRPr="4E25D2DC">
        <w:rPr>
          <w:rFonts w:asciiTheme="minorHAnsi" w:hAnsiTheme="minorHAnsi"/>
        </w:rPr>
        <w:t xml:space="preserve">for at least </w:t>
      </w:r>
      <w:r w:rsidR="005A017B" w:rsidRPr="4E25D2DC">
        <w:rPr>
          <w:rFonts w:asciiTheme="minorHAnsi" w:hAnsiTheme="minorHAnsi"/>
        </w:rPr>
        <w:t>one</w:t>
      </w:r>
      <w:r w:rsidR="00103DF5" w:rsidRPr="4E25D2DC">
        <w:rPr>
          <w:rFonts w:asciiTheme="minorHAnsi" w:hAnsiTheme="minorHAnsi"/>
        </w:rPr>
        <w:t xml:space="preserve"> hour during a </w:t>
      </w:r>
      <w:r w:rsidR="00C61F09" w:rsidRPr="4E25D2DC">
        <w:rPr>
          <w:rFonts w:asciiTheme="minorHAnsi" w:hAnsiTheme="minorHAnsi"/>
        </w:rPr>
        <w:t xml:space="preserve">single </w:t>
      </w:r>
      <w:r w:rsidR="00103DF5" w:rsidRPr="4E25D2DC">
        <w:rPr>
          <w:rFonts w:asciiTheme="minorHAnsi" w:hAnsiTheme="minorHAnsi"/>
        </w:rPr>
        <w:t>reference week</w:t>
      </w:r>
      <w:r w:rsidR="009C2FD1" w:rsidRPr="4E25D2DC">
        <w:rPr>
          <w:rFonts w:asciiTheme="minorHAnsi" w:hAnsiTheme="minorHAnsi"/>
        </w:rPr>
        <w:t xml:space="preserve"> in August</w:t>
      </w:r>
      <w:r w:rsidR="00103DF5" w:rsidRPr="4E25D2DC">
        <w:rPr>
          <w:rFonts w:asciiTheme="minorHAnsi" w:hAnsiTheme="minorHAnsi"/>
        </w:rPr>
        <w:t xml:space="preserve">, which is subject to seasonal illness </w:t>
      </w:r>
      <w:r w:rsidR="00103DF5" w:rsidRPr="63949AE2">
        <w:rPr>
          <w:rFonts w:asciiTheme="minorHAnsi" w:hAnsiTheme="minorHAnsi"/>
        </w:rPr>
        <w:t>and</w:t>
      </w:r>
      <w:r w:rsidR="00103DF5" w:rsidRPr="4E25D2DC">
        <w:rPr>
          <w:rFonts w:asciiTheme="minorHAnsi" w:hAnsiTheme="minorHAnsi"/>
        </w:rPr>
        <w:t xml:space="preserve"> access issues.</w:t>
      </w:r>
      <w:r w:rsidR="00103DF5" w:rsidRPr="003841A6">
        <w:t xml:space="preserve"> </w:t>
      </w:r>
      <w:bookmarkStart w:id="29" w:name="_Hlk24038717"/>
      <w:r w:rsidR="002A5E42">
        <w:t xml:space="preserve">Attendance targets are agreed as part of each jurisdictions’ Implementation Plan; however, </w:t>
      </w:r>
      <w:r w:rsidR="003E261E">
        <w:t>t</w:t>
      </w:r>
      <w:r w:rsidR="003E261E" w:rsidRPr="003E261E">
        <w:t xml:space="preserve">he UANP references a </w:t>
      </w:r>
      <w:r w:rsidR="002A5E42">
        <w:t>long-term aspiration for 90 per cent of enrolled children to attend the full 600 hours per year (that is, a 100 per cent attendance</w:t>
      </w:r>
      <w:r w:rsidR="00A454CA">
        <w:t xml:space="preserve"> rate</w:t>
      </w:r>
      <w:r w:rsidR="002A5E42">
        <w:t xml:space="preserve">). This represents </w:t>
      </w:r>
      <w:r w:rsidR="003E261E" w:rsidRPr="003E261E">
        <w:t xml:space="preserve">a higher attendance rate than in the compulsory full-time school systems. While </w:t>
      </w:r>
      <w:r w:rsidR="00A454CA">
        <w:t>attendance targets</w:t>
      </w:r>
      <w:r w:rsidR="003E261E" w:rsidRPr="003E261E">
        <w:t xml:space="preserve"> </w:t>
      </w:r>
      <w:r w:rsidR="00A454CA">
        <w:t>are</w:t>
      </w:r>
      <w:r w:rsidR="00A454CA" w:rsidRPr="003E261E">
        <w:t xml:space="preserve"> </w:t>
      </w:r>
      <w:r w:rsidR="003E261E" w:rsidRPr="003E261E">
        <w:t xml:space="preserve">not tied to funding, it is nevertheless used as a </w:t>
      </w:r>
      <w:r w:rsidR="00FC42C6">
        <w:t>p</w:t>
      </w:r>
      <w:r w:rsidR="003E261E" w:rsidRPr="003E261E">
        <w:t xml:space="preserve">erformance </w:t>
      </w:r>
      <w:r w:rsidR="00FC42C6">
        <w:t>i</w:t>
      </w:r>
      <w:r w:rsidR="003E261E" w:rsidRPr="003E261E">
        <w:t>ndicator.</w:t>
      </w:r>
      <w:bookmarkEnd w:id="29"/>
    </w:p>
    <w:p w14:paraId="0E0D336C" w14:textId="59CA3847" w:rsidR="00397052" w:rsidRDefault="0091567D" w:rsidP="00397052">
      <w:r>
        <w:t>The Review finds also that consideration should be given to developing an appropriate set of outcome measures, noting that they</w:t>
      </w:r>
      <w:r w:rsidRPr="003E261E">
        <w:t xml:space="preserve"> might need to be tailored to each jurisdiction’s priorities and context</w:t>
      </w:r>
      <w:r>
        <w:t>. A</w:t>
      </w:r>
      <w:r w:rsidR="00397052">
        <w:t xml:space="preserve"> stronger focus on </w:t>
      </w:r>
      <w:r w:rsidR="007E0980">
        <w:t>longer-term</w:t>
      </w:r>
      <w:r w:rsidR="00397052">
        <w:t xml:space="preserve"> </w:t>
      </w:r>
      <w:r w:rsidR="00261694">
        <w:t xml:space="preserve">child </w:t>
      </w:r>
      <w:r w:rsidR="00397052">
        <w:t xml:space="preserve">outcomes </w:t>
      </w:r>
      <w:r w:rsidR="00261694">
        <w:t>(</w:t>
      </w:r>
      <w:r w:rsidR="00AB721D">
        <w:t>in addition to</w:t>
      </w:r>
      <w:r w:rsidR="007E0980">
        <w:t xml:space="preserve"> </w:t>
      </w:r>
      <w:r w:rsidR="00397052">
        <w:t>enrolment and attendance</w:t>
      </w:r>
      <w:r w:rsidR="00261694">
        <w:t>)</w:t>
      </w:r>
      <w:r w:rsidR="00397052">
        <w:t xml:space="preserve"> would </w:t>
      </w:r>
      <w:r w:rsidR="003E261E">
        <w:t xml:space="preserve">further </w:t>
      </w:r>
      <w:r w:rsidR="00397052">
        <w:t>galvani</w:t>
      </w:r>
      <w:r w:rsidR="00DB549E">
        <w:t>s</w:t>
      </w:r>
      <w:r w:rsidR="00397052">
        <w:t>e resources and effort</w:t>
      </w:r>
      <w:r w:rsidR="003E261E">
        <w:t xml:space="preserve"> to maximise the benefits of universal access</w:t>
      </w:r>
      <w:r w:rsidR="00397052">
        <w:t xml:space="preserve">. </w:t>
      </w:r>
      <w:r w:rsidR="003E261E">
        <w:t xml:space="preserve">At present, the only available </w:t>
      </w:r>
      <w:r w:rsidR="00C01A24">
        <w:t xml:space="preserve">national </w:t>
      </w:r>
      <w:r w:rsidR="003E261E">
        <w:t>outcome measure is t</w:t>
      </w:r>
      <w:r w:rsidR="00397052">
        <w:t>he Australian Early Development Census</w:t>
      </w:r>
      <w:r w:rsidR="00F11D70">
        <w:t xml:space="preserve">, </w:t>
      </w:r>
      <w:r w:rsidR="003E261E">
        <w:t>which provides a population-level view on</w:t>
      </w:r>
      <w:r w:rsidR="00F11D70">
        <w:t xml:space="preserve"> educational and child development outcomes</w:t>
      </w:r>
      <w:r w:rsidR="00397052">
        <w:t xml:space="preserve">. </w:t>
      </w:r>
      <w:r w:rsidR="003E261E">
        <w:t xml:space="preserve">This is a valuable reference but does not provide a </w:t>
      </w:r>
      <w:r w:rsidR="00BC2208">
        <w:t>child</w:t>
      </w:r>
      <w:r w:rsidR="003E261E">
        <w:t>-level view of the impact of YBFS preschoo</w:t>
      </w:r>
      <w:r w:rsidR="00280F1D">
        <w:t>l</w:t>
      </w:r>
      <w:r w:rsidR="003E261E">
        <w:t xml:space="preserve"> </w:t>
      </w:r>
      <w:r w:rsidR="00280F1D">
        <w:t>and is only collected every three years, which would hinder timely monitoring</w:t>
      </w:r>
      <w:r w:rsidR="003E261E">
        <w:t xml:space="preserve">. </w:t>
      </w:r>
    </w:p>
    <w:p w14:paraId="2B7A801E" w14:textId="77777777" w:rsidR="001F149A" w:rsidRDefault="004E707C" w:rsidP="001F149A">
      <w:r>
        <w:t xml:space="preserve">A </w:t>
      </w:r>
      <w:r w:rsidR="002E63DE" w:rsidRPr="002E63DE">
        <w:t>high proportion (70 per cent) of Australian Government payments</w:t>
      </w:r>
      <w:r w:rsidR="004B3198">
        <w:t xml:space="preserve"> under the UANP</w:t>
      </w:r>
      <w:r w:rsidR="002E63DE" w:rsidRPr="002E63DE">
        <w:t xml:space="preserve"> </w:t>
      </w:r>
      <w:r w:rsidR="00262090">
        <w:t>are</w:t>
      </w:r>
      <w:r w:rsidR="00262090" w:rsidRPr="002E63DE">
        <w:t xml:space="preserve"> </w:t>
      </w:r>
      <w:r w:rsidR="002E63DE" w:rsidRPr="002E63DE">
        <w:t>tied to performance</w:t>
      </w:r>
      <w:r w:rsidR="001F149A">
        <w:t xml:space="preserve"> against </w:t>
      </w:r>
      <w:r w:rsidR="00522704" w:rsidRPr="4E25D2DC">
        <w:rPr>
          <w:rFonts w:asciiTheme="minorHAnsi" w:hAnsiTheme="minorHAnsi"/>
        </w:rPr>
        <w:t>enrolment targets</w:t>
      </w:r>
      <w:r w:rsidR="001F149A">
        <w:rPr>
          <w:rFonts w:asciiTheme="minorHAnsi" w:hAnsiTheme="minorHAnsi"/>
        </w:rPr>
        <w:t xml:space="preserve">, which </w:t>
      </w:r>
      <w:r w:rsidR="001F149A">
        <w:t>has been an issue in terms of the uncertainty it introduces.</w:t>
      </w:r>
      <w:r w:rsidR="006B5AE8">
        <w:t xml:space="preserve"> </w:t>
      </w:r>
      <w:r w:rsidR="001F149A">
        <w:t xml:space="preserve">This is partly </w:t>
      </w:r>
      <w:r w:rsidR="001F149A">
        <w:rPr>
          <w:rFonts w:asciiTheme="minorHAnsi" w:hAnsiTheme="minorHAnsi"/>
        </w:rPr>
        <w:t xml:space="preserve">mitigated by tiered performance payments: </w:t>
      </w:r>
      <w:proofErr w:type="gramStart"/>
      <w:r w:rsidR="001F149A">
        <w:rPr>
          <w:rFonts w:asciiTheme="minorHAnsi" w:hAnsiTheme="minorHAnsi"/>
        </w:rPr>
        <w:t>the</w:t>
      </w:r>
      <w:proofErr w:type="gramEnd"/>
      <w:r w:rsidR="001F149A">
        <w:rPr>
          <w:rFonts w:asciiTheme="minorHAnsi" w:hAnsiTheme="minorHAnsi"/>
        </w:rPr>
        <w:t xml:space="preserve"> Tier 1 performance benchmark for full payment is set at</w:t>
      </w:r>
      <w:r w:rsidR="001F149A" w:rsidRPr="4E25D2DC">
        <w:rPr>
          <w:rFonts w:asciiTheme="minorHAnsi" w:hAnsiTheme="minorHAnsi"/>
        </w:rPr>
        <w:t xml:space="preserve"> 95 per cent</w:t>
      </w:r>
      <w:r w:rsidR="001F149A">
        <w:rPr>
          <w:rFonts w:asciiTheme="minorHAnsi" w:hAnsiTheme="minorHAnsi"/>
        </w:rPr>
        <w:t xml:space="preserve">, but States and Territories receive a partial payment where they maintain achievement from the previous year. </w:t>
      </w:r>
      <w:r w:rsidR="005658AA">
        <w:t xml:space="preserve">Jurisdictions argue, nevertheless, that </w:t>
      </w:r>
      <w:r w:rsidR="001F149A">
        <w:t xml:space="preserve">the uncertainty </w:t>
      </w:r>
      <w:r w:rsidR="005658AA">
        <w:t xml:space="preserve">about whether and when full payment will be received has a dampening effect on innovation and on the willingness of Treasuries to commit </w:t>
      </w:r>
      <w:r w:rsidR="001F149A">
        <w:t xml:space="preserve">resources long-term. </w:t>
      </w:r>
    </w:p>
    <w:p w14:paraId="1591B620" w14:textId="77777777" w:rsidR="008026DA" w:rsidRDefault="004E707C" w:rsidP="004E707C">
      <w:r>
        <w:t xml:space="preserve">The Review finds that </w:t>
      </w:r>
      <w:r w:rsidR="004548D8" w:rsidDel="00B73FD6">
        <w:t>performance</w:t>
      </w:r>
      <w:r w:rsidR="00113139">
        <w:t>-</w:t>
      </w:r>
      <w:r w:rsidR="00FD5FB8">
        <w:t>based</w:t>
      </w:r>
      <w:r>
        <w:t xml:space="preserve"> funding </w:t>
      </w:r>
      <w:r w:rsidR="00672777">
        <w:t>appears to have been</w:t>
      </w:r>
      <w:r>
        <w:t xml:space="preserve"> useful in the past to trigger </w:t>
      </w:r>
      <w:r w:rsidR="00672777">
        <w:t xml:space="preserve">new </w:t>
      </w:r>
      <w:r w:rsidR="005658AA">
        <w:t xml:space="preserve">reform effort </w:t>
      </w:r>
      <w:r>
        <w:t xml:space="preserve">and investment by </w:t>
      </w:r>
      <w:r w:rsidR="002E63DE">
        <w:t>States and Territories</w:t>
      </w:r>
      <w:r>
        <w:t xml:space="preserve">. However, </w:t>
      </w:r>
      <w:r w:rsidDel="005658AA">
        <w:t xml:space="preserve">there is </w:t>
      </w:r>
      <w:r w:rsidR="00672777" w:rsidDel="005658AA">
        <w:t xml:space="preserve">a </w:t>
      </w:r>
      <w:r w:rsidR="008026DA">
        <w:t>weaker argument for providing a financial incentive to deliver universal access when markets are well-established and there is strong policy momentum in all jurisdictions.</w:t>
      </w:r>
      <w:r w:rsidR="005658AA">
        <w:t xml:space="preserve"> </w:t>
      </w:r>
    </w:p>
    <w:p w14:paraId="12049815" w14:textId="77777777" w:rsidR="004E707C" w:rsidRPr="00EC7AAB" w:rsidRDefault="00C273F3" w:rsidP="00600904">
      <w:r>
        <w:t>T</w:t>
      </w:r>
      <w:r w:rsidR="00180D91">
        <w:t>o be clear: t</w:t>
      </w:r>
      <w:r>
        <w:t xml:space="preserve">he Review sees a continuing role for </w:t>
      </w:r>
      <w:r w:rsidR="004548D8">
        <w:t xml:space="preserve">performance </w:t>
      </w:r>
      <w:r>
        <w:t xml:space="preserve">payments in any new agreement, </w:t>
      </w:r>
      <w:r w:rsidR="00672777">
        <w:t xml:space="preserve">with any reward component sensibly focused on new reforms related to </w:t>
      </w:r>
      <w:r w:rsidR="005658AA">
        <w:t xml:space="preserve">both </w:t>
      </w:r>
      <w:r w:rsidR="00672777">
        <w:t>extending provision to those harder-to-reach cohorts and communities</w:t>
      </w:r>
      <w:r w:rsidR="005658AA">
        <w:t>,</w:t>
      </w:r>
      <w:r w:rsidR="00123FCC">
        <w:t xml:space="preserve"> and lifting the quality of the related preschool </w:t>
      </w:r>
      <w:r w:rsidR="00AB721D">
        <w:t>programs</w:t>
      </w:r>
      <w:r w:rsidR="00672777">
        <w:t xml:space="preserve">. </w:t>
      </w:r>
      <w:r>
        <w:t xml:space="preserve">But it finds that the </w:t>
      </w:r>
      <w:r w:rsidR="004548D8">
        <w:t xml:space="preserve">performance </w:t>
      </w:r>
      <w:r>
        <w:t>component should comprise a minority of the Australian Government’s payments.</w:t>
      </w:r>
      <w:r w:rsidR="004548D8">
        <w:t xml:space="preserve"> </w:t>
      </w:r>
    </w:p>
    <w:p w14:paraId="554B28C8" w14:textId="77777777" w:rsidR="00397052" w:rsidRPr="008817D4" w:rsidRDefault="00397052" w:rsidP="00397052">
      <w:pPr>
        <w:pStyle w:val="Heading4"/>
      </w:pPr>
      <w:bookmarkStart w:id="30" w:name="_Hlk23491744"/>
      <w:proofErr w:type="spellStart"/>
      <w:r>
        <w:t>ToR</w:t>
      </w:r>
      <w:proofErr w:type="spellEnd"/>
      <w:r>
        <w:t xml:space="preserve"> 3: </w:t>
      </w:r>
      <w:r w:rsidRPr="008817D4">
        <w:t xml:space="preserve">Findings on the </w:t>
      </w:r>
      <w:r>
        <w:t xml:space="preserve">efficiency and effectiveness of </w:t>
      </w:r>
      <w:r w:rsidRPr="008817D4">
        <w:t xml:space="preserve">funding </w:t>
      </w:r>
      <w:r>
        <w:t>arrangements</w:t>
      </w:r>
    </w:p>
    <w:p w14:paraId="3F68619D" w14:textId="77777777" w:rsidR="00B374D5" w:rsidRDefault="00B374D5" w:rsidP="00FB74B2">
      <w:r>
        <w:t xml:space="preserve">The Review </w:t>
      </w:r>
      <w:r w:rsidR="00123FCC">
        <w:t>wa</w:t>
      </w:r>
      <w:r>
        <w:t xml:space="preserve">s tasked with examining the efficiency and effectiveness of the funding arrangements underpinning the UANP, with specific regard to: </w:t>
      </w:r>
      <w:r w:rsidRPr="00105D6A">
        <w:t xml:space="preserve">the </w:t>
      </w:r>
      <w:r w:rsidR="000C168C">
        <w:t xml:space="preserve">adequacy and equity of </w:t>
      </w:r>
      <w:r w:rsidRPr="00105D6A">
        <w:t xml:space="preserve">Australian Government </w:t>
      </w:r>
      <w:r w:rsidR="000C168C">
        <w:t>funding</w:t>
      </w:r>
      <w:r w:rsidRPr="00105D6A">
        <w:t xml:space="preserve">; the </w:t>
      </w:r>
      <w:r w:rsidR="000C168C">
        <w:t xml:space="preserve">appropriateness of the </w:t>
      </w:r>
      <w:r w:rsidRPr="00105D6A">
        <w:t>methodology for allocating funding</w:t>
      </w:r>
      <w:r w:rsidR="000C168C">
        <w:t>, and</w:t>
      </w:r>
      <w:r w:rsidRPr="00105D6A">
        <w:t xml:space="preserve"> the terms on which funding is provided</w:t>
      </w:r>
      <w:r w:rsidR="000C168C">
        <w:t xml:space="preserve"> (including with respect to </w:t>
      </w:r>
      <w:r w:rsidR="000C168C" w:rsidDel="00941968">
        <w:t>performance</w:t>
      </w:r>
      <w:r w:rsidR="00941968">
        <w:t>-based</w:t>
      </w:r>
      <w:r w:rsidR="000C168C">
        <w:t xml:space="preserve"> payments, transparency and accountability, and funding certainty)</w:t>
      </w:r>
      <w:r w:rsidRPr="00105D6A">
        <w:t>; and the National Partnership mechanism.</w:t>
      </w:r>
    </w:p>
    <w:p w14:paraId="22759F86" w14:textId="1CD06EF2" w:rsidR="00B374D5" w:rsidRDefault="00B374D5" w:rsidP="00B374D5">
      <w:pPr>
        <w:pStyle w:val="Bullet"/>
        <w:rPr>
          <w:rFonts w:asciiTheme="minorHAnsi" w:hAnsiTheme="minorHAnsi" w:cstheme="minorBidi"/>
        </w:rPr>
      </w:pPr>
      <w:r>
        <w:t xml:space="preserve">Having regard to the </w:t>
      </w:r>
      <w:r w:rsidR="00BF7682">
        <w:t>I</w:t>
      </w:r>
      <w:r w:rsidR="00BF7682" w:rsidRPr="00BF7682">
        <w:t xml:space="preserve">ntergovernmental Agreement on Federal Financial Relations (IGAFFR) </w:t>
      </w:r>
      <w:r>
        <w:t xml:space="preserve">and feedback from governments on the implementation of the UANP, the Review considers that </w:t>
      </w:r>
      <w:r w:rsidRPr="0C5679B2">
        <w:rPr>
          <w:rFonts w:asciiTheme="minorHAnsi" w:hAnsiTheme="minorHAnsi" w:cstheme="minorBidi"/>
        </w:rPr>
        <w:t>effective</w:t>
      </w:r>
      <w:r w:rsidR="00A912EB" w:rsidRPr="0C5679B2">
        <w:rPr>
          <w:rFonts w:asciiTheme="minorHAnsi" w:hAnsiTheme="minorHAnsi" w:cstheme="minorBidi"/>
        </w:rPr>
        <w:t xml:space="preserve"> and efficient</w:t>
      </w:r>
      <w:r>
        <w:t xml:space="preserve"> funding arrangements are those that</w:t>
      </w:r>
      <w:r w:rsidR="00A912EB">
        <w:t xml:space="preserve"> have the features set out in</w:t>
      </w:r>
      <w:r w:rsidR="008861DA">
        <w:t xml:space="preserve"> </w:t>
      </w:r>
      <w:r w:rsidR="008861DA">
        <w:fldChar w:fldCharType="begin"/>
      </w:r>
      <w:r w:rsidR="008861DA">
        <w:instrText xml:space="preserve"> REF _Ref23485831 \h </w:instrText>
      </w:r>
      <w:r w:rsidR="008861DA">
        <w:fldChar w:fldCharType="separate"/>
      </w:r>
      <w:r w:rsidR="00B37785">
        <w:t xml:space="preserve">Figure </w:t>
      </w:r>
      <w:r w:rsidR="00B37785">
        <w:rPr>
          <w:noProof/>
        </w:rPr>
        <w:t>3</w:t>
      </w:r>
      <w:r w:rsidR="008861DA">
        <w:fldChar w:fldCharType="end"/>
      </w:r>
      <w:r w:rsidR="00A912EB">
        <w:t xml:space="preserve">. </w:t>
      </w:r>
      <w:r w:rsidR="00483500" w:rsidRPr="0C5679B2">
        <w:rPr>
          <w:rFonts w:asciiTheme="minorHAnsi" w:hAnsiTheme="minorHAnsi" w:cstheme="minorBidi"/>
        </w:rPr>
        <w:t xml:space="preserve">Findings on each of these considerations is discussed briefly in turn. </w:t>
      </w:r>
      <w:r w:rsidR="0091567D">
        <w:rPr>
          <w:rFonts w:asciiTheme="minorHAnsi" w:hAnsiTheme="minorHAnsi" w:cstheme="minorBidi"/>
        </w:rPr>
        <w:t>Implications for</w:t>
      </w:r>
      <w:r w:rsidR="00483500" w:rsidRPr="0C5679B2">
        <w:rPr>
          <w:rFonts w:asciiTheme="minorHAnsi" w:hAnsiTheme="minorHAnsi" w:cstheme="minorBidi"/>
        </w:rPr>
        <w:t xml:space="preserve"> future policy settings are discussed under ToR5.</w:t>
      </w:r>
    </w:p>
    <w:p w14:paraId="1575A934" w14:textId="77777777" w:rsidR="00123FCC" w:rsidRDefault="00B71E03" w:rsidP="00B71E03">
      <w:pPr>
        <w:pStyle w:val="Bullet"/>
      </w:pPr>
      <w:r>
        <w:t xml:space="preserve">It is important to note </w:t>
      </w:r>
      <w:r w:rsidR="00AD77E2">
        <w:t>here the different uses of the term ‘equity’ in the UANP context. T</w:t>
      </w:r>
      <w:r w:rsidRPr="00B71E03">
        <w:t xml:space="preserve">he Review sees equity as a consideration within the criteria for effectiveness, with the focus being on the outcomes for </w:t>
      </w:r>
      <w:r w:rsidRPr="00B71E03">
        <w:lastRenderedPageBreak/>
        <w:t xml:space="preserve">children. </w:t>
      </w:r>
      <w:r w:rsidR="00AD77E2">
        <w:t>E</w:t>
      </w:r>
      <w:r w:rsidRPr="00B71E03">
        <w:t xml:space="preserve">quity </w:t>
      </w:r>
      <w:r w:rsidR="00AD77E2">
        <w:t xml:space="preserve">is also viewed in terms of the equitable distribution of funding by the Australian Government to </w:t>
      </w:r>
      <w:r w:rsidRPr="00B71E03">
        <w:t>States and Territories</w:t>
      </w:r>
      <w:r w:rsidR="00AD77E2">
        <w:t xml:space="preserve">, currently done </w:t>
      </w:r>
      <w:r w:rsidRPr="00B71E03">
        <w:t>on a per capita basis</w:t>
      </w:r>
      <w:r w:rsidR="00AD77E2">
        <w:t xml:space="preserve">. Relevant to this consideration is </w:t>
      </w:r>
      <w:r w:rsidRPr="00B71E03">
        <w:t xml:space="preserve">whether there is a ‘double subsidy’ associated with the provision of </w:t>
      </w:r>
      <w:r w:rsidR="00AD77E2">
        <w:t xml:space="preserve">both </w:t>
      </w:r>
      <w:r w:rsidRPr="00B71E03">
        <w:t xml:space="preserve">UANP funding and </w:t>
      </w:r>
      <w:r w:rsidR="00AD77E2">
        <w:t>the</w:t>
      </w:r>
      <w:r w:rsidR="0091567D">
        <w:t xml:space="preserve"> </w:t>
      </w:r>
      <w:r w:rsidR="00AD77E2">
        <w:t xml:space="preserve">CCS </w:t>
      </w:r>
      <w:r w:rsidRPr="00B71E03">
        <w:t xml:space="preserve">to CBDC providers </w:t>
      </w:r>
      <w:r w:rsidR="0091567D">
        <w:t>that</w:t>
      </w:r>
      <w:r w:rsidR="0091567D" w:rsidRPr="00B71E03">
        <w:t xml:space="preserve"> </w:t>
      </w:r>
      <w:r w:rsidRPr="00B71E03">
        <w:t>also deliver preschool</w:t>
      </w:r>
      <w:r w:rsidR="00941968">
        <w:t xml:space="preserve"> (as discussed above)</w:t>
      </w:r>
      <w:r w:rsidR="00AD77E2">
        <w:t xml:space="preserve">. The Review considers these issues in the context of </w:t>
      </w:r>
      <w:r w:rsidRPr="00B71E03">
        <w:t>both effectiveness</w:t>
      </w:r>
      <w:r w:rsidR="00AD77E2">
        <w:t xml:space="preserve"> </w:t>
      </w:r>
      <w:r w:rsidR="00B612B4">
        <w:t>(</w:t>
      </w:r>
      <w:r w:rsidR="00AD77E2">
        <w:t>is there sufficient funding being provided to achieve the outcomes</w:t>
      </w:r>
      <w:r w:rsidR="00B612B4">
        <w:t>?)</w:t>
      </w:r>
      <w:r w:rsidRPr="00B71E03">
        <w:t xml:space="preserve"> and efficiency</w:t>
      </w:r>
      <w:r w:rsidR="00AD77E2">
        <w:t xml:space="preserve"> </w:t>
      </w:r>
      <w:r w:rsidR="00B612B4">
        <w:t>(</w:t>
      </w:r>
      <w:r w:rsidR="00AD77E2">
        <w:t>are there duplicated funding streams</w:t>
      </w:r>
      <w:r w:rsidR="00B612B4">
        <w:t>?)</w:t>
      </w:r>
      <w:r w:rsidR="00AD77E2">
        <w:t xml:space="preserve">. </w:t>
      </w:r>
    </w:p>
    <w:p w14:paraId="5DE8FB58" w14:textId="77777777" w:rsidR="00B71E03" w:rsidRPr="00B71E03" w:rsidRDefault="00AD77E2" w:rsidP="00B71E03">
      <w:pPr>
        <w:pStyle w:val="Bullet"/>
      </w:pPr>
      <w:r>
        <w:t xml:space="preserve">A further </w:t>
      </w:r>
      <w:r w:rsidR="002A5438">
        <w:t xml:space="preserve">related </w:t>
      </w:r>
      <w:r>
        <w:t xml:space="preserve">question </w:t>
      </w:r>
      <w:r w:rsidR="00941968">
        <w:t xml:space="preserve">concerns ‘funding equity’ among the jurisdictions. </w:t>
      </w:r>
      <w:r w:rsidR="00B612B4">
        <w:t xml:space="preserve">This </w:t>
      </w:r>
      <w:r w:rsidR="00941968">
        <w:t xml:space="preserve">was touched on above and </w:t>
      </w:r>
      <w:r w:rsidR="00B612B4">
        <w:t>is discussed</w:t>
      </w:r>
      <w:r>
        <w:t xml:space="preserve"> </w:t>
      </w:r>
      <w:r w:rsidR="00941968">
        <w:t xml:space="preserve">further </w:t>
      </w:r>
      <w:r w:rsidR="00B612B4">
        <w:t>here in terms of the extent to which the UANP promotes appropriate levels of investment</w:t>
      </w:r>
      <w:r>
        <w:t>.</w:t>
      </w:r>
    </w:p>
    <w:p w14:paraId="4DFF356F" w14:textId="47E73948" w:rsidR="00A912EB" w:rsidRDefault="00A912EB" w:rsidP="00A434B9">
      <w:pPr>
        <w:pStyle w:val="Caption"/>
      </w:pPr>
      <w:bookmarkStart w:id="31" w:name="_Ref23485831"/>
      <w:r>
        <w:t xml:space="preserve">Figure </w:t>
      </w:r>
      <w:r w:rsidR="00B76790">
        <w:rPr>
          <w:bCs w:val="0"/>
        </w:rPr>
        <w:fldChar w:fldCharType="begin"/>
      </w:r>
      <w:r w:rsidR="00B76790">
        <w:instrText xml:space="preserve"> SEQ Figure \* ARABIC </w:instrText>
      </w:r>
      <w:r w:rsidR="00B76790">
        <w:rPr>
          <w:bCs w:val="0"/>
        </w:rPr>
        <w:fldChar w:fldCharType="separate"/>
      </w:r>
      <w:r w:rsidR="00B37785">
        <w:rPr>
          <w:noProof/>
        </w:rPr>
        <w:t>3</w:t>
      </w:r>
      <w:r w:rsidR="00B76790">
        <w:rPr>
          <w:bCs w:val="0"/>
        </w:rPr>
        <w:fldChar w:fldCharType="end"/>
      </w:r>
      <w:bookmarkEnd w:id="31"/>
      <w:r>
        <w:t xml:space="preserve"> | How the Review defines effectiveness</w:t>
      </w:r>
      <w:r w:rsidR="009C2B2B">
        <w:t xml:space="preserve"> and </w:t>
      </w:r>
      <w:r>
        <w:t xml:space="preserve">efficiency in the context of funding </w:t>
      </w:r>
    </w:p>
    <w:p w14:paraId="52B1D4B1" w14:textId="77777777" w:rsidR="00576866" w:rsidRDefault="00576866" w:rsidP="00E35CE0">
      <w:r w:rsidRPr="00576866">
        <w:rPr>
          <w:noProof/>
          <w:lang w:eastAsia="en-AU"/>
        </w:rPr>
        <w:drawing>
          <wp:inline distT="0" distB="0" distL="0" distR="0" wp14:anchorId="47B81334" wp14:editId="70071240">
            <wp:extent cx="5670550" cy="2400935"/>
            <wp:effectExtent l="0" t="0" r="6350" b="0"/>
            <wp:docPr id="2" name="Picture 2" descr="Effective&#10;1. Provides sufficient resources for the realisation of the agreed outcomes&#10;2. Incentivises and mobilises collective effort towards agreed outcome&#10;3. Supports delivery of services that meet the needs and preferences of families and communities while promoting continuous improvement&#10;4. Strives for equitable outcomes by ensuring that children in all circumstances have the same level of access to a similar quality service that meets their needs.&#10;&#10;Efficient&#10;1. leverages existing assets and capabilities&#10;2. Promotes sufficient competition to keep downward pressure on prices&#10;3. provides accountability for public expenditure while minimising administrative cost&#10;4. Ensures enough certainty to enable long term planning and innovation&#10;5. Avoids duplication or overlap of funding by two or more layers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ffective&#10;1. Provides sufficient resources for the realisation of the agreed outcomes&#10;2. Incentivises and mobilises collective effort towards agreed outcome&#10;3. Supports delivery of services that meet the needs and preferences of families and communities while promoting continuous improvement&#10;4. Strives for equitable outcomes by ensuring that children in all circumstances have the same level of access to a similar quality service that meets their needs.&#10;&#10;Efficient&#10;1. leverages existing assets and capabilities&#10;2. Promotes sufficient competition to keep downward pressure on prices&#10;3. provides accountability for public expenditure while minimising administrative cost&#10;4. Ensures enough certainty to enable long term planning and innovation&#10;5. Avoids duplication or overlap of funding by two or more layers of govern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550" cy="2400935"/>
                    </a:xfrm>
                    <a:prstGeom prst="rect">
                      <a:avLst/>
                    </a:prstGeom>
                    <a:noFill/>
                    <a:ln>
                      <a:noFill/>
                    </a:ln>
                  </pic:spPr>
                </pic:pic>
              </a:graphicData>
            </a:graphic>
          </wp:inline>
        </w:drawing>
      </w:r>
    </w:p>
    <w:p w14:paraId="0B395D53" w14:textId="77777777" w:rsidR="00B82E7E" w:rsidRPr="00D37354" w:rsidRDefault="00B82E7E" w:rsidP="00D37354">
      <w:pPr>
        <w:pStyle w:val="Heading5"/>
      </w:pPr>
      <w:r w:rsidRPr="00D37354">
        <w:t>Effectiveness: the UANP funding arrangement has been effective in achieving the agreed outcomes</w:t>
      </w:r>
      <w:r w:rsidR="005C1BFC" w:rsidRPr="00D37354">
        <w:t>, with some room for improvement</w:t>
      </w:r>
    </w:p>
    <w:p w14:paraId="32BDF685" w14:textId="77777777" w:rsidR="00B374D5" w:rsidRPr="00924003" w:rsidRDefault="00B82E7E" w:rsidP="00B76790">
      <w:r w:rsidRPr="0C5679B2">
        <w:rPr>
          <w:rFonts w:asciiTheme="majorHAnsi" w:hAnsiTheme="majorHAnsi" w:cstheme="majorBidi"/>
        </w:rPr>
        <w:t>Sufficiency of funding:</w:t>
      </w:r>
      <w:r w:rsidRPr="0C5679B2">
        <w:t xml:space="preserve"> </w:t>
      </w:r>
      <w:r w:rsidR="00B374D5" w:rsidRPr="0C5679B2">
        <w:t>Preschool provision remains a State and Territory responsibility. The Australian Government makes a discretionary contribution ($449.5 million in 2020) via the UANP; it does not purport to meet a specific proportion of the cost of achieving universal access. The adequacy of Australian Government funding must therefore be considered in the context of whether it supports sufficient collective investment</w:t>
      </w:r>
      <w:r w:rsidR="008D3660" w:rsidRPr="0C5679B2">
        <w:t>, including by establishing incentives for States and Territories</w:t>
      </w:r>
      <w:r w:rsidR="00B374D5" w:rsidRPr="0C5679B2">
        <w:t>.</w:t>
      </w:r>
      <w:r w:rsidR="003942B4" w:rsidRPr="0C5679B2">
        <w:t xml:space="preserve"> </w:t>
      </w:r>
      <w:r w:rsidR="00B374D5" w:rsidRPr="0C5679B2">
        <w:t xml:space="preserve">The achievement of the agreed outcomes is evidence that governments’ collective investment has been sufficient. As intended, the UANP has precipitated universal access to 600 hours of quality, affordable preschool in the YBFS. On this basis, the Review deems the Australian Government contribution to have been adequate. </w:t>
      </w:r>
    </w:p>
    <w:p w14:paraId="3CA71D17" w14:textId="77777777" w:rsidR="00B82E7E" w:rsidRPr="00B82E7E" w:rsidRDefault="00B82E7E" w:rsidP="00B76790">
      <w:r w:rsidRPr="0C5679B2">
        <w:rPr>
          <w:rFonts w:asciiTheme="majorHAnsi" w:hAnsiTheme="majorHAnsi" w:cstheme="majorBidi"/>
        </w:rPr>
        <w:t>Incentivi</w:t>
      </w:r>
      <w:r w:rsidR="00D81628" w:rsidRPr="0C5679B2">
        <w:rPr>
          <w:rFonts w:asciiTheme="majorHAnsi" w:hAnsiTheme="majorHAnsi" w:cstheme="majorBidi"/>
        </w:rPr>
        <w:t>s</w:t>
      </w:r>
      <w:r w:rsidRPr="0C5679B2">
        <w:rPr>
          <w:rFonts w:asciiTheme="majorHAnsi" w:hAnsiTheme="majorHAnsi" w:cstheme="majorBidi"/>
        </w:rPr>
        <w:t>es and mobili</w:t>
      </w:r>
      <w:r w:rsidR="00D81628" w:rsidRPr="0C5679B2">
        <w:rPr>
          <w:rFonts w:asciiTheme="majorHAnsi" w:hAnsiTheme="majorHAnsi" w:cstheme="majorBidi"/>
        </w:rPr>
        <w:t>s</w:t>
      </w:r>
      <w:r w:rsidRPr="0C5679B2">
        <w:rPr>
          <w:rFonts w:asciiTheme="majorHAnsi" w:hAnsiTheme="majorHAnsi" w:cstheme="majorBidi"/>
        </w:rPr>
        <w:t xml:space="preserve">es collective </w:t>
      </w:r>
      <w:r w:rsidR="00A70D38">
        <w:rPr>
          <w:rFonts w:asciiTheme="majorHAnsi" w:hAnsiTheme="majorHAnsi" w:cstheme="majorBidi"/>
        </w:rPr>
        <w:t>effort towards the achievement of agreed outcomes</w:t>
      </w:r>
      <w:r w:rsidR="003B7833" w:rsidRPr="0C5679B2">
        <w:t>:</w:t>
      </w:r>
      <w:r w:rsidRPr="0C5679B2">
        <w:t xml:space="preserve"> </w:t>
      </w:r>
      <w:r w:rsidR="000E42CB" w:rsidRPr="0C5679B2">
        <w:t>The UANP performance framework is designed to create incentives for</w:t>
      </w:r>
      <w:r w:rsidR="004E7F75" w:rsidRPr="0C5679B2">
        <w:t xml:space="preserve"> States and Territories</w:t>
      </w:r>
      <w:r w:rsidR="000E42CB" w:rsidRPr="0C5679B2">
        <w:t xml:space="preserve"> to </w:t>
      </w:r>
      <w:r w:rsidR="004E7F75" w:rsidRPr="0C5679B2">
        <w:t>deliver universal access</w:t>
      </w:r>
      <w:r w:rsidR="000E42CB" w:rsidRPr="0C5679B2">
        <w:t>. There is no specific funding obligation on jurisdictions</w:t>
      </w:r>
      <w:r w:rsidR="00B71A67" w:rsidRPr="0C5679B2">
        <w:t>, so States and Territories benefit from implementing reforms efficiently.</w:t>
      </w:r>
      <w:r w:rsidR="000E42CB" w:rsidRPr="0C5679B2">
        <w:t xml:space="preserve"> </w:t>
      </w:r>
      <w:r w:rsidRPr="0C5679B2">
        <w:t xml:space="preserve">Some governments </w:t>
      </w:r>
      <w:r w:rsidR="000B5A27" w:rsidRPr="0C5679B2">
        <w:t>argue</w:t>
      </w:r>
      <w:r w:rsidRPr="0C5679B2">
        <w:t xml:space="preserve"> that the interaction between </w:t>
      </w:r>
      <w:r w:rsidR="00B612B4" w:rsidRPr="0C5679B2">
        <w:t>CCS</w:t>
      </w:r>
      <w:r w:rsidRPr="0C5679B2">
        <w:t xml:space="preserve"> and the UANP </w:t>
      </w:r>
      <w:r w:rsidR="004E7F75" w:rsidRPr="0C5679B2">
        <w:t>enables some States and Territories to meet UANP targets with minimal co-investment</w:t>
      </w:r>
      <w:r w:rsidRPr="0C5679B2">
        <w:t xml:space="preserve">. Jurisdictions with a higher prevalence of preschool enrolments in CBDC, it is argued, are under less pressure to co-invest in </w:t>
      </w:r>
      <w:r w:rsidR="007C06CC" w:rsidRPr="0C5679B2">
        <w:t xml:space="preserve">children in </w:t>
      </w:r>
      <w:r w:rsidRPr="0C5679B2">
        <w:t>the YBFS. (It should be noted that they may invest reasonably heavily in related program</w:t>
      </w:r>
      <w:r w:rsidR="008861DA" w:rsidRPr="0C5679B2">
        <w:t>s</w:t>
      </w:r>
      <w:r w:rsidRPr="0C5679B2">
        <w:t>.)</w:t>
      </w:r>
      <w:r w:rsidR="00A912EB" w:rsidRPr="0C5679B2">
        <w:t xml:space="preserve"> </w:t>
      </w:r>
      <w:r w:rsidRPr="0C5679B2">
        <w:t xml:space="preserve">Conversely, States and Territories that have historically supported preschool provision in schools or </w:t>
      </w:r>
      <w:r w:rsidR="00BC0C44">
        <w:t>standalone</w:t>
      </w:r>
      <w:r w:rsidRPr="00952E50">
        <w:t xml:space="preserve"> </w:t>
      </w:r>
      <w:r w:rsidRPr="0C5679B2">
        <w:t>preschool services tend to commit relatively more of their own funding</w:t>
      </w:r>
      <w:r w:rsidR="00B612B4" w:rsidRPr="0C5679B2">
        <w:t xml:space="preserve"> to YBFS preschool (and may also support related programs)</w:t>
      </w:r>
      <w:r w:rsidRPr="0C5679B2">
        <w:t xml:space="preserve">. </w:t>
      </w:r>
    </w:p>
    <w:p w14:paraId="7213CDD9" w14:textId="77777777" w:rsidR="00AB6FD6" w:rsidRDefault="00B82E7E" w:rsidP="00B76790">
      <w:r w:rsidRPr="0C5679B2">
        <w:t>The Review finds</w:t>
      </w:r>
      <w:r w:rsidR="00CB48B5" w:rsidRPr="0C5679B2">
        <w:t xml:space="preserve"> </w:t>
      </w:r>
      <w:r w:rsidR="00D42787" w:rsidRPr="0C5679B2">
        <w:t xml:space="preserve">that, </w:t>
      </w:r>
      <w:r w:rsidR="00113139" w:rsidRPr="0C5679B2">
        <w:t>based on</w:t>
      </w:r>
      <w:r w:rsidR="00D42787" w:rsidRPr="0C5679B2">
        <w:t xml:space="preserve"> the information available to us (and acknowledging that contributions can be counted differently and are not always comparable), there appear</w:t>
      </w:r>
      <w:r w:rsidR="00FB4D05">
        <w:t>s</w:t>
      </w:r>
      <w:r w:rsidR="00D42787" w:rsidRPr="0C5679B2">
        <w:t xml:space="preserve"> to be </w:t>
      </w:r>
      <w:r w:rsidRPr="0C5679B2">
        <w:t xml:space="preserve">significant variation in State </w:t>
      </w:r>
      <w:r w:rsidRPr="0C5679B2">
        <w:lastRenderedPageBreak/>
        <w:t>and Territory funding for preschool</w:t>
      </w:r>
      <w:r w:rsidR="00FD3A1D" w:rsidRPr="0C5679B2">
        <w:t xml:space="preserve">. </w:t>
      </w:r>
      <w:r w:rsidR="00B34BA9">
        <w:t>This</w:t>
      </w:r>
      <w:r w:rsidRPr="0C5679B2" w:rsidDel="00FD3A1D">
        <w:t xml:space="preserve"> </w:t>
      </w:r>
      <w:r w:rsidRPr="0C5679B2">
        <w:t>may indicate that the UANP funding arrangements have failed to fully mobilise potential co-investment</w:t>
      </w:r>
      <w:r w:rsidR="00CB48B5" w:rsidRPr="0C5679B2">
        <w:t xml:space="preserve"> in </w:t>
      </w:r>
      <w:r w:rsidR="00583A35" w:rsidRPr="0C5679B2">
        <w:t>all</w:t>
      </w:r>
      <w:r w:rsidR="00CB48B5" w:rsidRPr="0C5679B2">
        <w:t xml:space="preserve"> cases</w:t>
      </w:r>
      <w:r w:rsidRPr="0C5679B2">
        <w:t xml:space="preserve">. </w:t>
      </w:r>
      <w:r w:rsidR="00A70D38">
        <w:t>However, i</w:t>
      </w:r>
      <w:r w:rsidRPr="0C5679B2">
        <w:t xml:space="preserve">t is not possible to determine whether the </w:t>
      </w:r>
      <w:r w:rsidR="00D42787" w:rsidRPr="0C5679B2">
        <w:t xml:space="preserve">apparent </w:t>
      </w:r>
      <w:r w:rsidRPr="0C5679B2">
        <w:t xml:space="preserve">relatively low level of funding </w:t>
      </w:r>
      <w:r w:rsidR="002A5438">
        <w:t xml:space="preserve">by </w:t>
      </w:r>
      <w:r w:rsidR="00AB1306">
        <w:t xml:space="preserve">some </w:t>
      </w:r>
      <w:r w:rsidR="002A5438" w:rsidDel="00FB4D05">
        <w:t xml:space="preserve">State and Territory </w:t>
      </w:r>
      <w:r w:rsidR="002A5438">
        <w:t xml:space="preserve">governments </w:t>
      </w:r>
      <w:r w:rsidRPr="0C5679B2">
        <w:t xml:space="preserve">is attributable to </w:t>
      </w:r>
      <w:r w:rsidR="00FD3A1D" w:rsidRPr="0C5679B2">
        <w:t xml:space="preserve">favourable cost drivers; </w:t>
      </w:r>
      <w:r w:rsidRPr="0C5679B2">
        <w:t>efficiencies in program and service delivery</w:t>
      </w:r>
      <w:r w:rsidR="00CB48B5" w:rsidRPr="0C5679B2">
        <w:t>;</w:t>
      </w:r>
      <w:r w:rsidR="00CB48B5" w:rsidRPr="0C5679B2" w:rsidDel="00FD3A1D">
        <w:t xml:space="preserve"> </w:t>
      </w:r>
      <w:r w:rsidR="00FD3A1D" w:rsidRPr="0C5679B2">
        <w:t xml:space="preserve">the </w:t>
      </w:r>
      <w:r w:rsidR="001A30FD" w:rsidRPr="007774E3">
        <w:t>leveraging</w:t>
      </w:r>
      <w:r w:rsidR="00FD3A1D" w:rsidRPr="0C5679B2">
        <w:t xml:space="preserve"> of alternative sources of funding; </w:t>
      </w:r>
      <w:r w:rsidR="001F13E8">
        <w:t>and/</w:t>
      </w:r>
      <w:r w:rsidRPr="0C5679B2">
        <w:t>or</w:t>
      </w:r>
      <w:r w:rsidR="00CB48B5" w:rsidRPr="0C5679B2">
        <w:t xml:space="preserve"> differing </w:t>
      </w:r>
      <w:r w:rsidR="00FB4D05">
        <w:t>outcomes</w:t>
      </w:r>
      <w:r w:rsidR="00CB48B5" w:rsidRPr="0C5679B2">
        <w:t xml:space="preserve">. </w:t>
      </w:r>
    </w:p>
    <w:p w14:paraId="7CCCFD82" w14:textId="77777777" w:rsidR="00EC7A9C" w:rsidRDefault="00CB48B5" w:rsidP="00B76790">
      <w:r w:rsidRPr="0C5679B2">
        <w:rPr>
          <w:rFonts w:asciiTheme="majorHAnsi" w:hAnsiTheme="majorHAnsi" w:cstheme="majorBidi"/>
        </w:rPr>
        <w:t xml:space="preserve">Supports </w:t>
      </w:r>
      <w:r w:rsidR="0091120E" w:rsidRPr="0C5679B2">
        <w:rPr>
          <w:rFonts w:asciiTheme="majorHAnsi" w:hAnsiTheme="majorHAnsi" w:cstheme="majorBidi"/>
        </w:rPr>
        <w:t>delivery of</w:t>
      </w:r>
      <w:r w:rsidR="005C1BFC" w:rsidRPr="0C5679B2">
        <w:rPr>
          <w:rFonts w:asciiTheme="majorHAnsi" w:hAnsiTheme="majorHAnsi" w:cstheme="majorBidi"/>
        </w:rPr>
        <w:t xml:space="preserve"> services that meet community needs</w:t>
      </w:r>
      <w:r w:rsidRPr="0C5679B2">
        <w:rPr>
          <w:rFonts w:asciiTheme="majorHAnsi" w:hAnsiTheme="majorHAnsi" w:cstheme="majorBidi"/>
        </w:rPr>
        <w:t>:</w:t>
      </w:r>
      <w:r w:rsidRPr="0C5679B2">
        <w:t xml:space="preserve"> </w:t>
      </w:r>
      <w:r w:rsidR="00EC7A9C" w:rsidRPr="0C5679B2">
        <w:t>Australian Government funding under the UANP is offered on the same terms to all States and Territories. It is allocated on the basis of a per</w:t>
      </w:r>
      <w:r w:rsidR="00AA23A2">
        <w:rPr>
          <w:rFonts w:cstheme="minorHAnsi"/>
        </w:rPr>
        <w:noBreakHyphen/>
      </w:r>
      <w:r w:rsidR="00EC7A9C" w:rsidRPr="0C5679B2">
        <w:t xml:space="preserve">child amount ($1,292 for 2020) for projected enrolments. </w:t>
      </w:r>
      <w:r w:rsidR="0094217C">
        <w:t>T</w:t>
      </w:r>
      <w:r w:rsidR="00EC7A9C" w:rsidRPr="0C5679B2">
        <w:t>he Review finds that the ability to use UANP funding in way</w:t>
      </w:r>
      <w:r w:rsidR="00FD3A1D" w:rsidRPr="0C5679B2">
        <w:t>s</w:t>
      </w:r>
      <w:r w:rsidR="00EC7A9C" w:rsidRPr="0C5679B2">
        <w:t xml:space="preserve"> that suit</w:t>
      </w:r>
      <w:r w:rsidR="003B7833">
        <w:t>s</w:t>
      </w:r>
      <w:r w:rsidR="00EC7A9C" w:rsidRPr="0C5679B2">
        <w:t xml:space="preserve"> the local context has ensured that investment largely aligns with need. </w:t>
      </w:r>
      <w:r w:rsidR="00382701">
        <w:t xml:space="preserve">However, </w:t>
      </w:r>
      <w:r w:rsidR="00382701" w:rsidRPr="00D47BBD">
        <w:t>the lack of funding certainty</w:t>
      </w:r>
      <w:r w:rsidR="001F13E8">
        <w:t xml:space="preserve"> </w:t>
      </w:r>
      <w:r w:rsidR="000C7990">
        <w:t>associated with</w:t>
      </w:r>
      <w:r w:rsidR="00382701" w:rsidRPr="00D47BBD">
        <w:t xml:space="preserve"> </w:t>
      </w:r>
      <w:r w:rsidR="007E041B">
        <w:t xml:space="preserve">short-term agreements </w:t>
      </w:r>
      <w:r w:rsidR="00382701">
        <w:t>has been</w:t>
      </w:r>
      <w:r w:rsidR="00382701" w:rsidRPr="00D47BBD">
        <w:t xml:space="preserve"> a constraint on </w:t>
      </w:r>
      <w:r w:rsidR="007E041B">
        <w:t>realising potential gains</w:t>
      </w:r>
      <w:r w:rsidR="00382701" w:rsidRPr="00D47BBD">
        <w:t xml:space="preserve">. </w:t>
      </w:r>
    </w:p>
    <w:p w14:paraId="5F2651D8" w14:textId="77777777" w:rsidR="00271C85" w:rsidRDefault="003128A0" w:rsidP="00B76790">
      <w:r w:rsidRPr="4E25D2DC">
        <w:t>UANP funding</w:t>
      </w:r>
      <w:r w:rsidR="00D42787" w:rsidRPr="4E25D2DC">
        <w:t xml:space="preserve"> distribution</w:t>
      </w:r>
      <w:r w:rsidRPr="4E25D2DC">
        <w:t xml:space="preserve"> </w:t>
      </w:r>
      <w:r w:rsidR="00D42787" w:rsidRPr="4E25D2DC">
        <w:t xml:space="preserve">by the Australian Government </w:t>
      </w:r>
      <w:r w:rsidRPr="4E25D2DC">
        <w:t xml:space="preserve">does not </w:t>
      </w:r>
      <w:r w:rsidR="00D42787" w:rsidRPr="4E25D2DC">
        <w:t>consider</w:t>
      </w:r>
      <w:r w:rsidDel="00D42787">
        <w:rPr>
          <w:rFonts w:cstheme="minorHAnsi"/>
        </w:rPr>
        <w:t xml:space="preserve"> </w:t>
      </w:r>
      <w:r w:rsidR="009F651F" w:rsidRPr="4E25D2DC">
        <w:t>the cost of achieving the agreed outcomes in each jurisdiction</w:t>
      </w:r>
      <w:r w:rsidR="00F657C1" w:rsidRPr="4E25D2DC">
        <w:t xml:space="preserve">. </w:t>
      </w:r>
      <w:r w:rsidR="007E041B">
        <w:t>S</w:t>
      </w:r>
      <w:r w:rsidR="009F651F" w:rsidRPr="4E25D2DC">
        <w:t>tructural cost drivers</w:t>
      </w:r>
      <w:r w:rsidR="000C7990">
        <w:t xml:space="preserve">, including those </w:t>
      </w:r>
      <w:r w:rsidRPr="4E25D2DC">
        <w:t>related to geography and demography</w:t>
      </w:r>
      <w:r w:rsidR="000C7990">
        <w:t>,</w:t>
      </w:r>
      <w:r w:rsidR="00F657C1" w:rsidRPr="4E25D2DC">
        <w:t xml:space="preserve"> are not taken into account</w:t>
      </w:r>
      <w:r w:rsidR="009F651F" w:rsidRPr="4E25D2DC">
        <w:t xml:space="preserve">. </w:t>
      </w:r>
      <w:r w:rsidRPr="4E25D2DC">
        <w:t xml:space="preserve">The Review does not see these </w:t>
      </w:r>
      <w:r w:rsidR="00D42787" w:rsidRPr="4E25D2DC">
        <w:t xml:space="preserve">necessarily </w:t>
      </w:r>
      <w:r w:rsidRPr="4E25D2DC">
        <w:t xml:space="preserve">as an impediment to effectiveness given that the outcomes have </w:t>
      </w:r>
      <w:r w:rsidR="00F657C1" w:rsidRPr="4E25D2DC">
        <w:t xml:space="preserve">broadly </w:t>
      </w:r>
      <w:r w:rsidRPr="4E25D2DC">
        <w:t xml:space="preserve">been achieved. Moreover, we would note there are other mechanisms </w:t>
      </w:r>
      <w:r w:rsidR="00F657C1" w:rsidRPr="4E25D2DC">
        <w:t>(</w:t>
      </w:r>
      <w:r w:rsidR="00497832">
        <w:t>t</w:t>
      </w:r>
      <w:r w:rsidR="00F657C1" w:rsidRPr="4E25D2DC">
        <w:t xml:space="preserve">he Grants Commission process) designed </w:t>
      </w:r>
      <w:r w:rsidRPr="4E25D2DC">
        <w:t>to compensate for those cost differentials</w:t>
      </w:r>
      <w:r w:rsidR="003B7833">
        <w:t xml:space="preserve">, albeit there is a lag involved and </w:t>
      </w:r>
      <w:r w:rsidR="000C7990">
        <w:t xml:space="preserve">some </w:t>
      </w:r>
      <w:r w:rsidR="003B7833">
        <w:t>jurisdictions argue that the additional costs are not fully offset</w:t>
      </w:r>
      <w:r w:rsidRPr="4E25D2DC">
        <w:t xml:space="preserve">. </w:t>
      </w:r>
    </w:p>
    <w:p w14:paraId="5C1EC1C7" w14:textId="62F14C1D" w:rsidR="009F651F" w:rsidRDefault="00D42787" w:rsidP="00B76790">
      <w:r w:rsidRPr="4E25D2DC">
        <w:t xml:space="preserve">Some States and Territories call for a ‘needs-based’ </w:t>
      </w:r>
      <w:r w:rsidR="008F5F89">
        <w:t xml:space="preserve">funding </w:t>
      </w:r>
      <w:r w:rsidRPr="4E25D2DC">
        <w:t xml:space="preserve">formula. This may be </w:t>
      </w:r>
      <w:r w:rsidR="00B72E9C" w:rsidRPr="4E25D2DC">
        <w:t>something to explore</w:t>
      </w:r>
      <w:r w:rsidR="00CE1509">
        <w:t xml:space="preserve"> once the efficient cost of preschool has been modelled.</w:t>
      </w:r>
      <w:r w:rsidR="008308F5">
        <w:t xml:space="preserve"> </w:t>
      </w:r>
      <w:r w:rsidR="00CE1509">
        <w:rPr>
          <w:rFonts w:eastAsia="Times New Roman"/>
          <w:lang w:eastAsia="en-AU"/>
        </w:rPr>
        <w:t>Q</w:t>
      </w:r>
      <w:r w:rsidR="00CE1509" w:rsidRPr="005B469E">
        <w:rPr>
          <w:rFonts w:eastAsia="Times New Roman"/>
          <w:lang w:eastAsia="en-AU"/>
        </w:rPr>
        <w:t>uantify</w:t>
      </w:r>
      <w:r w:rsidR="00CE1509">
        <w:rPr>
          <w:rFonts w:eastAsia="Times New Roman"/>
          <w:lang w:eastAsia="en-AU"/>
        </w:rPr>
        <w:t>ing</w:t>
      </w:r>
      <w:r w:rsidR="00CE1509" w:rsidRPr="005B469E">
        <w:rPr>
          <w:rFonts w:eastAsia="Times New Roman"/>
          <w:lang w:eastAsia="en-AU"/>
        </w:rPr>
        <w:t xml:space="preserve"> the impact of different child and service characteristics on the cost of </w:t>
      </w:r>
      <w:r w:rsidR="00CE1509">
        <w:rPr>
          <w:rFonts w:eastAsia="Times New Roman"/>
          <w:lang w:eastAsia="en-AU"/>
        </w:rPr>
        <w:t xml:space="preserve">preschool </w:t>
      </w:r>
      <w:r w:rsidR="00CE1509" w:rsidRPr="005B469E">
        <w:rPr>
          <w:rFonts w:eastAsia="Times New Roman"/>
          <w:lang w:eastAsia="en-AU"/>
        </w:rPr>
        <w:t>provision</w:t>
      </w:r>
      <w:r w:rsidR="00CE1509">
        <w:t xml:space="preserve"> </w:t>
      </w:r>
      <w:r w:rsidR="008308F5">
        <w:t>would be a necessary first step</w:t>
      </w:r>
      <w:r w:rsidR="00CE1509">
        <w:t xml:space="preserve"> in aligning funding with need</w:t>
      </w:r>
      <w:r w:rsidR="008308F5">
        <w:t>.</w:t>
      </w:r>
      <w:r w:rsidR="00A63A93">
        <w:t xml:space="preserve"> </w:t>
      </w:r>
      <w:r w:rsidR="008F5F89">
        <w:t xml:space="preserve">There may </w:t>
      </w:r>
      <w:r w:rsidR="00CE1509">
        <w:t>also</w:t>
      </w:r>
      <w:r w:rsidR="008F5F89">
        <w:t xml:space="preserve"> be</w:t>
      </w:r>
      <w:r w:rsidR="003128A0" w:rsidRPr="4E25D2DC">
        <w:t xml:space="preserve"> grounds for future targeted investments to support children who have been harder to engage, in part due to some of those geographic or demographic characteristics</w:t>
      </w:r>
      <w:r w:rsidR="006739DE">
        <w:t>,</w:t>
      </w:r>
      <w:r w:rsidR="008F5F89">
        <w:t xml:space="preserve"> b</w:t>
      </w:r>
      <w:r w:rsidR="00271C85" w:rsidRPr="4E25D2DC">
        <w:t>ut the Review sees such investment as being reform-driven rather than cost-driven.</w:t>
      </w:r>
    </w:p>
    <w:p w14:paraId="22FCE83B" w14:textId="77777777" w:rsidR="00DA567E" w:rsidRPr="00DA567E" w:rsidRDefault="00DA567E" w:rsidP="00B76790">
      <w:pPr>
        <w:pStyle w:val="Bullet"/>
        <w:rPr>
          <w:rFonts w:asciiTheme="minorHAnsi" w:hAnsiTheme="minorHAnsi" w:cstheme="minorBidi"/>
        </w:rPr>
      </w:pPr>
      <w:bookmarkStart w:id="32" w:name="_Hlk33534981"/>
      <w:r w:rsidRPr="0C5679B2">
        <w:rPr>
          <w:rFonts w:asciiTheme="majorHAnsi" w:hAnsiTheme="majorHAnsi" w:cstheme="majorBidi"/>
        </w:rPr>
        <w:t>Promotes equitable outcomes for all children</w:t>
      </w:r>
      <w:r w:rsidRPr="0C5679B2">
        <w:rPr>
          <w:rFonts w:asciiTheme="minorHAnsi" w:hAnsiTheme="minorHAnsi" w:cstheme="minorBidi"/>
        </w:rPr>
        <w:t xml:space="preserve">: </w:t>
      </w:r>
      <w:r w:rsidR="00147767" w:rsidRPr="0C5679B2">
        <w:rPr>
          <w:rFonts w:asciiTheme="minorHAnsi" w:hAnsiTheme="minorHAnsi" w:cstheme="minorBidi"/>
        </w:rPr>
        <w:t>The</w:t>
      </w:r>
      <w:r w:rsidRPr="0C5679B2">
        <w:rPr>
          <w:rFonts w:asciiTheme="minorHAnsi" w:hAnsiTheme="minorHAnsi" w:cstheme="minorBidi"/>
        </w:rPr>
        <w:t xml:space="preserve"> Review finds that some children face </w:t>
      </w:r>
      <w:r w:rsidR="00586FB6" w:rsidRPr="0C5679B2">
        <w:rPr>
          <w:rFonts w:asciiTheme="minorHAnsi" w:hAnsiTheme="minorHAnsi" w:cstheme="minorBidi"/>
        </w:rPr>
        <w:t xml:space="preserve">significant </w:t>
      </w:r>
      <w:r w:rsidRPr="0C5679B2">
        <w:rPr>
          <w:rFonts w:asciiTheme="minorHAnsi" w:hAnsiTheme="minorHAnsi" w:cstheme="minorBidi"/>
        </w:rPr>
        <w:t>barriers to</w:t>
      </w:r>
      <w:r w:rsidR="00586FB6" w:rsidRPr="0C5679B2">
        <w:rPr>
          <w:rFonts w:asciiTheme="minorHAnsi" w:hAnsiTheme="minorHAnsi" w:cstheme="minorBidi"/>
        </w:rPr>
        <w:t xml:space="preserve"> </w:t>
      </w:r>
      <w:r w:rsidR="008F5F89">
        <w:rPr>
          <w:rFonts w:asciiTheme="minorHAnsi" w:hAnsiTheme="minorHAnsi" w:cstheme="minorBidi"/>
        </w:rPr>
        <w:t>participating in</w:t>
      </w:r>
      <w:r w:rsidRPr="00B76790">
        <w:t xml:space="preserve"> 600 hours of </w:t>
      </w:r>
      <w:r w:rsidR="00586FB6" w:rsidRPr="00B76790">
        <w:t xml:space="preserve">preschool in the </w:t>
      </w:r>
      <w:r w:rsidRPr="00B76790">
        <w:t xml:space="preserve">YBFS. </w:t>
      </w:r>
      <w:r w:rsidR="00586FB6" w:rsidRPr="00B76790">
        <w:t xml:space="preserve">This includes some children who are not captured by the target cohorts in the UANP. Barriers </w:t>
      </w:r>
      <w:r w:rsidRPr="00B76790">
        <w:t xml:space="preserve">are typically not </w:t>
      </w:r>
      <w:r w:rsidR="00586FB6" w:rsidRPr="00B76790">
        <w:t xml:space="preserve">related to </w:t>
      </w:r>
      <w:r w:rsidRPr="00B76790">
        <w:t>fee</w:t>
      </w:r>
      <w:r w:rsidR="00586FB6" w:rsidRPr="00B76790">
        <w:t>s</w:t>
      </w:r>
      <w:r w:rsidRPr="00B76790">
        <w:t xml:space="preserve">, as States and Territories </w:t>
      </w:r>
      <w:r w:rsidR="00586FB6" w:rsidRPr="00B76790">
        <w:t xml:space="preserve">provide free or </w:t>
      </w:r>
      <w:r w:rsidRPr="00B76790">
        <w:t>subsidise</w:t>
      </w:r>
      <w:r w:rsidR="00586FB6" w:rsidRPr="00B76790">
        <w:t>d</w:t>
      </w:r>
      <w:r w:rsidRPr="00B76790">
        <w:t xml:space="preserve"> </w:t>
      </w:r>
      <w:r w:rsidR="00586FB6" w:rsidRPr="00B76790">
        <w:t>services for</w:t>
      </w:r>
      <w:r w:rsidRPr="00B76790">
        <w:t xml:space="preserve"> those who are in financial need. </w:t>
      </w:r>
      <w:r w:rsidR="00586FB6" w:rsidRPr="00B76790">
        <w:t>Barriers may</w:t>
      </w:r>
      <w:r w:rsidRPr="00B76790">
        <w:t xml:space="preserve"> be logistical, meaning transport is an issue, or there might be language barriers</w:t>
      </w:r>
      <w:r w:rsidR="00586FB6" w:rsidRPr="00B76790">
        <w:t xml:space="preserve"> or barriers associated with meeting additional</w:t>
      </w:r>
      <w:r w:rsidR="00586FB6" w:rsidRPr="0C5679B2">
        <w:rPr>
          <w:rFonts w:asciiTheme="minorHAnsi" w:hAnsiTheme="minorHAnsi" w:cstheme="minorBidi"/>
        </w:rPr>
        <w:t xml:space="preserve"> needs</w:t>
      </w:r>
      <w:r w:rsidRPr="0C5679B2">
        <w:rPr>
          <w:rFonts w:asciiTheme="minorHAnsi" w:hAnsiTheme="minorHAnsi" w:cstheme="minorBidi"/>
        </w:rPr>
        <w:t xml:space="preserve">. </w:t>
      </w:r>
      <w:r w:rsidR="00F43480" w:rsidRPr="0C5679B2">
        <w:rPr>
          <w:rFonts w:asciiTheme="minorHAnsi" w:hAnsiTheme="minorHAnsi" w:cstheme="minorBidi"/>
        </w:rPr>
        <w:t xml:space="preserve">Quality, as well as access, can be inequitable. </w:t>
      </w:r>
      <w:r w:rsidR="00FA486E">
        <w:t>Services operating in regional and remote locations are more likely to find it difficult to attract and retain experienced ECTs which may negatively impact on quality outcomes for children.</w:t>
      </w:r>
    </w:p>
    <w:bookmarkEnd w:id="32"/>
    <w:p w14:paraId="5B65D95A" w14:textId="77777777" w:rsidR="00B82E7E" w:rsidRDefault="00CB48B5" w:rsidP="00B374D5">
      <w:pPr>
        <w:pStyle w:val="Heading5"/>
      </w:pPr>
      <w:r>
        <w:t>Efficiency:</w:t>
      </w:r>
      <w:r w:rsidR="00FE0B2A">
        <w:t xml:space="preserve"> UANP funding is used efficiently, but would benefit from greater certainty to inform planning decisions</w:t>
      </w:r>
    </w:p>
    <w:p w14:paraId="6D503B31" w14:textId="142DC83C" w:rsidR="00B34BA9" w:rsidRPr="00B34BA9" w:rsidRDefault="00CB48B5" w:rsidP="00B34BA9">
      <w:pPr>
        <w:rPr>
          <w:rFonts w:asciiTheme="minorHAnsi" w:hAnsiTheme="minorHAnsi"/>
        </w:rPr>
      </w:pPr>
      <w:r w:rsidRPr="0C5679B2">
        <w:rPr>
          <w:rFonts w:asciiTheme="majorHAnsi" w:hAnsiTheme="majorHAnsi" w:cstheme="majorBidi"/>
        </w:rPr>
        <w:t>Leverage</w:t>
      </w:r>
      <w:r w:rsidR="0091120E" w:rsidRPr="0C5679B2">
        <w:rPr>
          <w:rFonts w:asciiTheme="majorHAnsi" w:hAnsiTheme="majorHAnsi" w:cstheme="majorBidi"/>
        </w:rPr>
        <w:t>s</w:t>
      </w:r>
      <w:r w:rsidR="00073BE7" w:rsidRPr="0C5679B2">
        <w:rPr>
          <w:rFonts w:asciiTheme="majorHAnsi" w:hAnsiTheme="majorHAnsi" w:cstheme="majorBidi"/>
        </w:rPr>
        <w:t xml:space="preserve"> existing assets</w:t>
      </w:r>
      <w:r>
        <w:t xml:space="preserve">: </w:t>
      </w:r>
      <w:r w:rsidR="00EE1BB8">
        <w:t>The</w:t>
      </w:r>
      <w:r w:rsidRPr="00CB48B5">
        <w:t xml:space="preserve"> Review finds that the capacity for States and Territories to leverage existing services (whether schooling or CBDC) does not render current arrangements inefficient.</w:t>
      </w:r>
      <w:r w:rsidR="00B34BA9">
        <w:t xml:space="preserve"> </w:t>
      </w:r>
      <w:r w:rsidR="001E6C3A">
        <w:t xml:space="preserve">Relying on CBDC providers to deliver preschool programs may be </w:t>
      </w:r>
      <w:r w:rsidR="00073BE7">
        <w:t xml:space="preserve">an efficient response </w:t>
      </w:r>
      <w:r w:rsidR="009C0C69">
        <w:t>in some jurisdictions</w:t>
      </w:r>
      <w:r w:rsidR="00073BE7" w:rsidRPr="0C5679B2">
        <w:rPr>
          <w:rFonts w:asciiTheme="minorHAnsi" w:hAnsiTheme="minorHAnsi"/>
        </w:rPr>
        <w:t xml:space="preserve">. </w:t>
      </w:r>
      <w:r w:rsidR="00B34BA9" w:rsidRPr="00B34BA9">
        <w:rPr>
          <w:rFonts w:asciiTheme="minorHAnsi" w:hAnsiTheme="minorHAnsi"/>
        </w:rPr>
        <w:t xml:space="preserve">Similarly, leveraging school infrastructure, particularly in thin markets, </w:t>
      </w:r>
      <w:r w:rsidR="008F5F89">
        <w:rPr>
          <w:rFonts w:asciiTheme="minorHAnsi" w:hAnsiTheme="minorHAnsi"/>
        </w:rPr>
        <w:t>may represent</w:t>
      </w:r>
      <w:r w:rsidR="008F5F89" w:rsidRPr="00B34BA9">
        <w:rPr>
          <w:rFonts w:asciiTheme="minorHAnsi" w:hAnsiTheme="minorHAnsi"/>
        </w:rPr>
        <w:t xml:space="preserve"> </w:t>
      </w:r>
      <w:r w:rsidR="00B34BA9" w:rsidRPr="00B34BA9">
        <w:rPr>
          <w:rFonts w:asciiTheme="minorHAnsi" w:hAnsiTheme="minorHAnsi"/>
        </w:rPr>
        <w:t>an efficient way to extend preschool to as many children as possible.</w:t>
      </w:r>
      <w:r w:rsidR="00B34BA9">
        <w:rPr>
          <w:rFonts w:asciiTheme="minorHAnsi" w:hAnsiTheme="minorHAnsi"/>
        </w:rPr>
        <w:t xml:space="preserve"> </w:t>
      </w:r>
      <w:r w:rsidR="00B34BA9" w:rsidRPr="00B34BA9">
        <w:rPr>
          <w:rFonts w:asciiTheme="minorHAnsi" w:hAnsiTheme="minorHAnsi"/>
        </w:rPr>
        <w:t>Moreover, the UANP was expressly designed to allow each State and Territory to decide how funding is deployed within their respective jurisdictions. This principle could not be applied if the policy decisions of States and Territories were to influence the amount of Australian Government funding available to them under the agreement</w:t>
      </w:r>
      <w:r w:rsidR="00AD2811">
        <w:rPr>
          <w:rFonts w:asciiTheme="minorHAnsi" w:hAnsiTheme="minorHAnsi"/>
        </w:rPr>
        <w:t>.</w:t>
      </w:r>
    </w:p>
    <w:p w14:paraId="39FBBD6A" w14:textId="5CF90138" w:rsidR="00B374D5" w:rsidRPr="009F651F" w:rsidRDefault="00073BE7" w:rsidP="00B76790">
      <w:pPr>
        <w:rPr>
          <w:rFonts w:asciiTheme="minorHAnsi" w:hAnsiTheme="minorHAnsi"/>
        </w:rPr>
      </w:pPr>
      <w:r w:rsidRPr="0C5679B2">
        <w:rPr>
          <w:rFonts w:asciiTheme="majorHAnsi" w:hAnsiTheme="majorHAnsi" w:cstheme="majorBidi"/>
        </w:rPr>
        <w:t>Promote</w:t>
      </w:r>
      <w:r w:rsidR="0091120E" w:rsidRPr="0C5679B2">
        <w:rPr>
          <w:rFonts w:asciiTheme="majorHAnsi" w:hAnsiTheme="majorHAnsi" w:cstheme="majorBidi"/>
        </w:rPr>
        <w:t>s</w:t>
      </w:r>
      <w:r w:rsidRPr="0C5679B2">
        <w:rPr>
          <w:rFonts w:asciiTheme="majorHAnsi" w:hAnsiTheme="majorHAnsi" w:cstheme="majorBidi"/>
        </w:rPr>
        <w:t xml:space="preserve"> delivery at low cost</w:t>
      </w:r>
      <w:r w:rsidR="00D67398">
        <w:rPr>
          <w:rFonts w:asciiTheme="majorHAnsi" w:hAnsiTheme="majorHAnsi" w:cstheme="majorBidi"/>
        </w:rPr>
        <w:t xml:space="preserve"> to families</w:t>
      </w:r>
      <w:r w:rsidRPr="0C5679B2">
        <w:rPr>
          <w:rFonts w:asciiTheme="minorHAnsi" w:hAnsiTheme="minorHAnsi"/>
        </w:rPr>
        <w:t xml:space="preserve">: </w:t>
      </w:r>
      <w:r w:rsidR="00EE1BB8" w:rsidRPr="0C5679B2">
        <w:rPr>
          <w:rFonts w:asciiTheme="minorHAnsi" w:hAnsiTheme="minorHAnsi"/>
        </w:rPr>
        <w:t>The</w:t>
      </w:r>
      <w:r w:rsidR="009F651F" w:rsidRPr="0C5679B2">
        <w:rPr>
          <w:rFonts w:asciiTheme="minorHAnsi" w:hAnsiTheme="minorHAnsi"/>
        </w:rPr>
        <w:t xml:space="preserve"> Review finds that</w:t>
      </w:r>
      <w:r w:rsidR="00B34BA9">
        <w:rPr>
          <w:rFonts w:asciiTheme="minorHAnsi" w:hAnsiTheme="minorHAnsi"/>
        </w:rPr>
        <w:t xml:space="preserve"> some</w:t>
      </w:r>
      <w:r w:rsidR="009F651F" w:rsidRPr="0C5679B2">
        <w:rPr>
          <w:rFonts w:asciiTheme="minorHAnsi" w:hAnsiTheme="minorHAnsi"/>
        </w:rPr>
        <w:t xml:space="preserve"> </w:t>
      </w:r>
      <w:r w:rsidR="003708F3" w:rsidRPr="0C5679B2">
        <w:rPr>
          <w:rFonts w:asciiTheme="minorHAnsi" w:hAnsiTheme="minorHAnsi"/>
        </w:rPr>
        <w:t xml:space="preserve">downward pressure on price </w:t>
      </w:r>
      <w:r w:rsidR="00C11D35">
        <w:rPr>
          <w:rFonts w:asciiTheme="minorHAnsi" w:hAnsiTheme="minorHAnsi"/>
        </w:rPr>
        <w:t>(where fees are charged)</w:t>
      </w:r>
      <w:r w:rsidR="003708F3" w:rsidRPr="0C5679B2">
        <w:rPr>
          <w:rFonts w:asciiTheme="minorHAnsi" w:hAnsiTheme="minorHAnsi"/>
        </w:rPr>
        <w:t xml:space="preserve"> </w:t>
      </w:r>
      <w:r w:rsidR="00E0033D">
        <w:rPr>
          <w:rFonts w:asciiTheme="minorHAnsi" w:hAnsiTheme="minorHAnsi"/>
        </w:rPr>
        <w:t>appears to have been</w:t>
      </w:r>
      <w:r w:rsidR="003708F3" w:rsidRPr="0C5679B2">
        <w:rPr>
          <w:rFonts w:asciiTheme="minorHAnsi" w:hAnsiTheme="minorHAnsi"/>
        </w:rPr>
        <w:t xml:space="preserve"> maintained through the availability of options for most parents in most situations. While some markets are more diverse than others, parents (other than those </w:t>
      </w:r>
      <w:r w:rsidR="007E0980" w:rsidRPr="0C5679B2">
        <w:rPr>
          <w:rFonts w:asciiTheme="minorHAnsi" w:hAnsiTheme="minorHAnsi"/>
        </w:rPr>
        <w:t>i</w:t>
      </w:r>
      <w:r w:rsidR="00E73847" w:rsidRPr="0C5679B2">
        <w:rPr>
          <w:rFonts w:asciiTheme="minorHAnsi" w:hAnsiTheme="minorHAnsi"/>
        </w:rPr>
        <w:t>n</w:t>
      </w:r>
      <w:r w:rsidR="003708F3" w:rsidRPr="0C5679B2">
        <w:rPr>
          <w:rFonts w:asciiTheme="minorHAnsi" w:hAnsiTheme="minorHAnsi"/>
        </w:rPr>
        <w:t xml:space="preserve"> small and remote communities) typically can choose between more than one provider</w:t>
      </w:r>
      <w:r w:rsidR="00A63A93">
        <w:rPr>
          <w:rFonts w:asciiTheme="minorHAnsi" w:hAnsiTheme="minorHAnsi"/>
        </w:rPr>
        <w:t>, if not more than one service type</w:t>
      </w:r>
      <w:r w:rsidR="003708F3" w:rsidRPr="0C5679B2">
        <w:rPr>
          <w:rFonts w:asciiTheme="minorHAnsi" w:hAnsiTheme="minorHAnsi"/>
        </w:rPr>
        <w:t xml:space="preserve">. For-profit providers must compete against large not-for-profit providers, with anecdotal </w:t>
      </w:r>
      <w:r w:rsidR="003708F3" w:rsidRPr="0C5679B2">
        <w:rPr>
          <w:rFonts w:asciiTheme="minorHAnsi" w:hAnsiTheme="minorHAnsi"/>
        </w:rPr>
        <w:lastRenderedPageBreak/>
        <w:t>evidence suggesting there is some</w:t>
      </w:r>
      <w:r w:rsidR="006739DE">
        <w:rPr>
          <w:rFonts w:asciiTheme="minorHAnsi" w:hAnsiTheme="minorHAnsi"/>
        </w:rPr>
        <w:t xml:space="preserve"> internal</w:t>
      </w:r>
      <w:r w:rsidR="003708F3" w:rsidRPr="0C5679B2">
        <w:rPr>
          <w:rFonts w:asciiTheme="minorHAnsi" w:hAnsiTheme="minorHAnsi"/>
        </w:rPr>
        <w:t xml:space="preserve"> cross-subsidisation </w:t>
      </w:r>
      <w:r w:rsidR="006739DE">
        <w:rPr>
          <w:rFonts w:asciiTheme="minorHAnsi" w:hAnsiTheme="minorHAnsi"/>
        </w:rPr>
        <w:t>among preschool providers across their networks. (For example, we</w:t>
      </w:r>
      <w:r w:rsidR="00DA567E" w:rsidRPr="0C5679B2">
        <w:rPr>
          <w:rFonts w:asciiTheme="minorHAnsi" w:hAnsiTheme="minorHAnsi"/>
        </w:rPr>
        <w:t xml:space="preserve"> were told</w:t>
      </w:r>
      <w:r w:rsidR="006739DE">
        <w:rPr>
          <w:rFonts w:asciiTheme="minorHAnsi" w:hAnsiTheme="minorHAnsi"/>
        </w:rPr>
        <w:t xml:space="preserve"> </w:t>
      </w:r>
      <w:r w:rsidR="00DA567E" w:rsidRPr="0C5679B2">
        <w:rPr>
          <w:rFonts w:asciiTheme="minorHAnsi" w:hAnsiTheme="minorHAnsi"/>
        </w:rPr>
        <w:t>that f</w:t>
      </w:r>
      <w:r w:rsidR="003708F3" w:rsidRPr="0C5679B2">
        <w:rPr>
          <w:rFonts w:asciiTheme="minorHAnsi" w:hAnsiTheme="minorHAnsi"/>
        </w:rPr>
        <w:t xml:space="preserve">ee-charging school providers </w:t>
      </w:r>
      <w:r w:rsidR="006739DE">
        <w:rPr>
          <w:rFonts w:asciiTheme="minorHAnsi" w:hAnsiTheme="minorHAnsi"/>
        </w:rPr>
        <w:t>sometimes</w:t>
      </w:r>
      <w:r w:rsidR="006739DE" w:rsidRPr="0C5679B2">
        <w:rPr>
          <w:rFonts w:asciiTheme="minorHAnsi" w:hAnsiTheme="minorHAnsi"/>
        </w:rPr>
        <w:t xml:space="preserve"> </w:t>
      </w:r>
      <w:r w:rsidR="003708F3" w:rsidRPr="0C5679B2">
        <w:rPr>
          <w:rFonts w:asciiTheme="minorHAnsi" w:hAnsiTheme="minorHAnsi"/>
        </w:rPr>
        <w:t>cross-subsidise those in more marginally viable areas</w:t>
      </w:r>
      <w:r w:rsidR="006739DE">
        <w:rPr>
          <w:rFonts w:asciiTheme="minorHAnsi" w:hAnsiTheme="minorHAnsi"/>
        </w:rPr>
        <w:t>.)</w:t>
      </w:r>
      <w:r w:rsidR="00840DDC">
        <w:rPr>
          <w:rFonts w:asciiTheme="minorHAnsi" w:hAnsiTheme="minorHAnsi"/>
        </w:rPr>
        <w:t xml:space="preserve"> </w:t>
      </w:r>
      <w:r w:rsidR="003708F3" w:rsidRPr="0C5679B2">
        <w:rPr>
          <w:rFonts w:asciiTheme="minorHAnsi" w:hAnsiTheme="minorHAnsi"/>
        </w:rPr>
        <w:t xml:space="preserve">Such </w:t>
      </w:r>
      <w:r w:rsidR="00EC7A9C" w:rsidRPr="0C5679B2">
        <w:rPr>
          <w:rFonts w:asciiTheme="minorHAnsi" w:hAnsiTheme="minorHAnsi"/>
        </w:rPr>
        <w:t>examples</w:t>
      </w:r>
      <w:r w:rsidR="003708F3" w:rsidRPr="0C5679B2">
        <w:rPr>
          <w:rFonts w:asciiTheme="minorHAnsi" w:hAnsiTheme="minorHAnsi"/>
        </w:rPr>
        <w:t xml:space="preserve"> suggest there is </w:t>
      </w:r>
      <w:r w:rsidR="00EC7A9C" w:rsidRPr="0C5679B2">
        <w:rPr>
          <w:rFonts w:asciiTheme="minorHAnsi" w:hAnsiTheme="minorHAnsi"/>
        </w:rPr>
        <w:t xml:space="preserve">little or </w:t>
      </w:r>
      <w:r w:rsidR="003708F3" w:rsidRPr="0C5679B2">
        <w:rPr>
          <w:rFonts w:asciiTheme="minorHAnsi" w:hAnsiTheme="minorHAnsi"/>
        </w:rPr>
        <w:t xml:space="preserve">no </w:t>
      </w:r>
      <w:r w:rsidR="00A63A93">
        <w:rPr>
          <w:rFonts w:asciiTheme="minorHAnsi" w:hAnsiTheme="minorHAnsi"/>
        </w:rPr>
        <w:t xml:space="preserve">exploitation of the funding arrangements for </w:t>
      </w:r>
      <w:r w:rsidR="00B34BA9">
        <w:rPr>
          <w:rFonts w:asciiTheme="minorHAnsi" w:hAnsiTheme="minorHAnsi"/>
        </w:rPr>
        <w:t xml:space="preserve">unreasonable levels of </w:t>
      </w:r>
      <w:r w:rsidR="00A63A93">
        <w:rPr>
          <w:rFonts w:asciiTheme="minorHAnsi" w:hAnsiTheme="minorHAnsi"/>
        </w:rPr>
        <w:t>commercial benefit</w:t>
      </w:r>
      <w:r w:rsidR="00840DDC">
        <w:rPr>
          <w:rFonts w:asciiTheme="minorHAnsi" w:hAnsiTheme="minorHAnsi"/>
        </w:rPr>
        <w:t xml:space="preserve">. The </w:t>
      </w:r>
      <w:r w:rsidR="003708F3" w:rsidRPr="0C5679B2">
        <w:rPr>
          <w:rFonts w:asciiTheme="minorHAnsi" w:hAnsiTheme="minorHAnsi"/>
        </w:rPr>
        <w:t xml:space="preserve">UANP </w:t>
      </w:r>
      <w:r w:rsidR="00EC7A9C" w:rsidRPr="0C5679B2">
        <w:rPr>
          <w:rFonts w:asciiTheme="minorHAnsi" w:hAnsiTheme="minorHAnsi"/>
        </w:rPr>
        <w:t xml:space="preserve">supports this efficient use of funding </w:t>
      </w:r>
      <w:r w:rsidR="003708F3" w:rsidRPr="0C5679B2">
        <w:rPr>
          <w:rFonts w:asciiTheme="minorHAnsi" w:hAnsiTheme="minorHAnsi"/>
        </w:rPr>
        <w:t xml:space="preserve">by </w:t>
      </w:r>
      <w:r w:rsidR="00A24E9F">
        <w:rPr>
          <w:rFonts w:asciiTheme="minorHAnsi" w:hAnsiTheme="minorHAnsi"/>
        </w:rPr>
        <w:t>promoting</w:t>
      </w:r>
      <w:r w:rsidR="003708F3" w:rsidRPr="0C5679B2">
        <w:rPr>
          <w:rFonts w:asciiTheme="minorHAnsi" w:hAnsiTheme="minorHAnsi"/>
        </w:rPr>
        <w:t xml:space="preserve"> flexible delivery</w:t>
      </w:r>
      <w:r w:rsidR="00A24E9F">
        <w:rPr>
          <w:rFonts w:asciiTheme="minorHAnsi" w:hAnsiTheme="minorHAnsi"/>
        </w:rPr>
        <w:t xml:space="preserve"> that</w:t>
      </w:r>
      <w:r w:rsidR="00840DDC">
        <w:rPr>
          <w:rFonts w:asciiTheme="minorHAnsi" w:hAnsiTheme="minorHAnsi"/>
        </w:rPr>
        <w:t xml:space="preserve"> </w:t>
      </w:r>
      <w:r w:rsidR="00A24E9F">
        <w:rPr>
          <w:rFonts w:asciiTheme="minorHAnsi" w:hAnsiTheme="minorHAnsi"/>
        </w:rPr>
        <w:t>allows</w:t>
      </w:r>
      <w:r w:rsidR="00840DDC">
        <w:rPr>
          <w:rFonts w:asciiTheme="minorHAnsi" w:hAnsiTheme="minorHAnsi"/>
        </w:rPr>
        <w:t xml:space="preserve"> </w:t>
      </w:r>
      <w:r w:rsidR="00A24E9F">
        <w:rPr>
          <w:rFonts w:asciiTheme="minorHAnsi" w:hAnsiTheme="minorHAnsi"/>
        </w:rPr>
        <w:t xml:space="preserve">for a range of models and provider types to be present </w:t>
      </w:r>
      <w:r w:rsidR="00EC7A9C" w:rsidRPr="0C5679B2">
        <w:rPr>
          <w:rFonts w:asciiTheme="minorHAnsi" w:hAnsiTheme="minorHAnsi"/>
        </w:rPr>
        <w:t xml:space="preserve">in </w:t>
      </w:r>
      <w:r w:rsidR="00A24E9F">
        <w:rPr>
          <w:rFonts w:asciiTheme="minorHAnsi" w:hAnsiTheme="minorHAnsi"/>
        </w:rPr>
        <w:t>each jurisdiction’s</w:t>
      </w:r>
      <w:r w:rsidR="00A24E9F" w:rsidRPr="0C5679B2">
        <w:rPr>
          <w:rFonts w:asciiTheme="minorHAnsi" w:hAnsiTheme="minorHAnsi"/>
        </w:rPr>
        <w:t xml:space="preserve"> </w:t>
      </w:r>
      <w:r w:rsidR="00EC7A9C" w:rsidRPr="0C5679B2">
        <w:rPr>
          <w:rFonts w:asciiTheme="minorHAnsi" w:hAnsiTheme="minorHAnsi"/>
        </w:rPr>
        <w:t>market</w:t>
      </w:r>
      <w:r w:rsidR="00B34BA9">
        <w:rPr>
          <w:rFonts w:asciiTheme="minorHAnsi" w:hAnsiTheme="minorHAnsi"/>
        </w:rPr>
        <w:t>. The Review sees this as a strength</w:t>
      </w:r>
      <w:r w:rsidR="00A63A93">
        <w:rPr>
          <w:rFonts w:asciiTheme="minorHAnsi" w:hAnsiTheme="minorHAnsi"/>
        </w:rPr>
        <w:t>.</w:t>
      </w:r>
      <w:r w:rsidR="003708F3" w:rsidRPr="0C5679B2">
        <w:rPr>
          <w:rFonts w:asciiTheme="minorHAnsi" w:hAnsiTheme="minorHAnsi"/>
        </w:rPr>
        <w:t xml:space="preserve"> </w:t>
      </w:r>
    </w:p>
    <w:p w14:paraId="099E53AB" w14:textId="77777777" w:rsidR="009F651F" w:rsidRDefault="009F651F" w:rsidP="00B76790">
      <w:pPr>
        <w:rPr>
          <w:rFonts w:asciiTheme="minorHAnsi" w:hAnsiTheme="minorHAnsi"/>
        </w:rPr>
      </w:pPr>
      <w:r w:rsidRPr="0C5679B2">
        <w:rPr>
          <w:rFonts w:asciiTheme="majorHAnsi" w:hAnsiTheme="majorHAnsi" w:cstheme="majorBidi"/>
        </w:rPr>
        <w:t>Minimises administrative burden</w:t>
      </w:r>
      <w:r w:rsidR="00443CB1">
        <w:rPr>
          <w:rFonts w:asciiTheme="majorHAnsi" w:hAnsiTheme="majorHAnsi" w:cstheme="majorBidi"/>
        </w:rPr>
        <w:t xml:space="preserve"> to providers</w:t>
      </w:r>
      <w:r w:rsidRPr="0C5679B2">
        <w:rPr>
          <w:rFonts w:asciiTheme="minorHAnsi" w:hAnsiTheme="minorHAnsi"/>
        </w:rPr>
        <w:t xml:space="preserve">: </w:t>
      </w:r>
      <w:r w:rsidR="00EE1BB8" w:rsidRPr="0C5679B2">
        <w:rPr>
          <w:rFonts w:asciiTheme="minorHAnsi" w:hAnsiTheme="minorHAnsi"/>
        </w:rPr>
        <w:t>The</w:t>
      </w:r>
      <w:r w:rsidRPr="0C5679B2">
        <w:rPr>
          <w:rFonts w:asciiTheme="minorHAnsi" w:hAnsiTheme="minorHAnsi"/>
        </w:rPr>
        <w:t xml:space="preserve"> Review finds that the reporting burden on providers related to compliance with UANP and associated requirements </w:t>
      </w:r>
      <w:r w:rsidR="00D53435" w:rsidRPr="0C5679B2">
        <w:rPr>
          <w:rFonts w:asciiTheme="minorHAnsi" w:hAnsiTheme="minorHAnsi"/>
        </w:rPr>
        <w:t>does</w:t>
      </w:r>
      <w:r w:rsidRPr="0C5679B2">
        <w:rPr>
          <w:rFonts w:asciiTheme="minorHAnsi" w:hAnsiTheme="minorHAnsi"/>
        </w:rPr>
        <w:t xml:space="preserve"> not </w:t>
      </w:r>
      <w:r w:rsidR="00D53435" w:rsidRPr="0C5679B2">
        <w:rPr>
          <w:rFonts w:asciiTheme="minorHAnsi" w:hAnsiTheme="minorHAnsi"/>
        </w:rPr>
        <w:t xml:space="preserve">appear to be </w:t>
      </w:r>
      <w:r w:rsidRPr="0C5679B2">
        <w:rPr>
          <w:rFonts w:asciiTheme="minorHAnsi" w:hAnsiTheme="minorHAnsi"/>
        </w:rPr>
        <w:t xml:space="preserve">a </w:t>
      </w:r>
      <w:r w:rsidR="00A63A93">
        <w:rPr>
          <w:rFonts w:asciiTheme="minorHAnsi" w:hAnsiTheme="minorHAnsi"/>
        </w:rPr>
        <w:t xml:space="preserve">significant </w:t>
      </w:r>
      <w:r w:rsidRPr="0C5679B2">
        <w:rPr>
          <w:rFonts w:asciiTheme="minorHAnsi" w:hAnsiTheme="minorHAnsi"/>
        </w:rPr>
        <w:t>point of contention.</w:t>
      </w:r>
      <w:r w:rsidR="000B5A27" w:rsidRPr="000B5A27">
        <w:t xml:space="preserve"> </w:t>
      </w:r>
    </w:p>
    <w:p w14:paraId="19FC7787" w14:textId="77777777" w:rsidR="009F651F" w:rsidRDefault="009F651F" w:rsidP="00B76790">
      <w:pPr>
        <w:rPr>
          <w:rFonts w:asciiTheme="minorHAnsi" w:hAnsiTheme="minorHAnsi"/>
        </w:rPr>
      </w:pPr>
      <w:r w:rsidRPr="0C5679B2">
        <w:rPr>
          <w:rFonts w:asciiTheme="majorHAnsi" w:hAnsiTheme="majorHAnsi" w:cstheme="majorBidi"/>
        </w:rPr>
        <w:t>Ensures certainty for long-term planning</w:t>
      </w:r>
      <w:r w:rsidRPr="0C5679B2">
        <w:rPr>
          <w:rFonts w:asciiTheme="minorHAnsi" w:hAnsiTheme="minorHAnsi"/>
        </w:rPr>
        <w:t xml:space="preserve">: </w:t>
      </w:r>
      <w:r w:rsidR="00EE1BB8" w:rsidRPr="0C5679B2">
        <w:rPr>
          <w:rFonts w:asciiTheme="minorHAnsi" w:hAnsiTheme="minorHAnsi"/>
        </w:rPr>
        <w:t>The</w:t>
      </w:r>
      <w:r w:rsidRPr="0C5679B2">
        <w:rPr>
          <w:rFonts w:asciiTheme="minorHAnsi" w:hAnsiTheme="minorHAnsi"/>
        </w:rPr>
        <w:t xml:space="preserve"> </w:t>
      </w:r>
      <w:r w:rsidR="000B5A27" w:rsidRPr="0C5679B2">
        <w:rPr>
          <w:rFonts w:asciiTheme="minorHAnsi" w:hAnsiTheme="minorHAnsi"/>
        </w:rPr>
        <w:t xml:space="preserve">UANP has been renewed or extended six times, with the more recent extensions being of a short duration. </w:t>
      </w:r>
      <w:r w:rsidR="00EE1BB8" w:rsidRPr="0C5679B2">
        <w:rPr>
          <w:rFonts w:asciiTheme="minorHAnsi" w:hAnsiTheme="minorHAnsi"/>
        </w:rPr>
        <w:t>The</w:t>
      </w:r>
      <w:r w:rsidRPr="0C5679B2">
        <w:rPr>
          <w:rFonts w:asciiTheme="minorHAnsi" w:hAnsiTheme="minorHAnsi"/>
        </w:rPr>
        <w:t xml:space="preserve"> Review finds that the short-term nature of the UANP has had a debilitating effect on the sector. It has led to cautious decision-making about investment in programs and in </w:t>
      </w:r>
      <w:r w:rsidRPr="0C5679B2" w:rsidDel="00113139">
        <w:rPr>
          <w:rFonts w:asciiTheme="minorHAnsi" w:hAnsiTheme="minorHAnsi"/>
        </w:rPr>
        <w:t>staff</w:t>
      </w:r>
      <w:r w:rsidR="00113139" w:rsidRPr="0C5679B2">
        <w:rPr>
          <w:rFonts w:asciiTheme="minorHAnsi" w:hAnsiTheme="minorHAnsi"/>
        </w:rPr>
        <w:t xml:space="preserve"> and</w:t>
      </w:r>
      <w:r w:rsidRPr="0C5679B2">
        <w:rPr>
          <w:rFonts w:asciiTheme="minorHAnsi" w:hAnsiTheme="minorHAnsi"/>
        </w:rPr>
        <w:t xml:space="preserve"> has compromised the ability to plan effectively. </w:t>
      </w:r>
      <w:r w:rsidR="00FE0B2A" w:rsidRPr="0C5679B2">
        <w:rPr>
          <w:rFonts w:asciiTheme="minorHAnsi" w:hAnsiTheme="minorHAnsi"/>
        </w:rPr>
        <w:t>This means, for example, good staff cannot be retained, due to an inability to promise them</w:t>
      </w:r>
      <w:r w:rsidR="00FE0B2A" w:rsidRPr="0C5679B2" w:rsidDel="00FD3A1D">
        <w:rPr>
          <w:rFonts w:asciiTheme="minorHAnsi" w:hAnsiTheme="minorHAnsi"/>
        </w:rPr>
        <w:t xml:space="preserve"> </w:t>
      </w:r>
      <w:r w:rsidR="00FE0B2A" w:rsidRPr="0C5679B2">
        <w:rPr>
          <w:rFonts w:asciiTheme="minorHAnsi" w:hAnsiTheme="minorHAnsi"/>
        </w:rPr>
        <w:t>longer term</w:t>
      </w:r>
      <w:r w:rsidR="00FD3A1D" w:rsidRPr="0C5679B2">
        <w:rPr>
          <w:rFonts w:asciiTheme="minorHAnsi" w:hAnsiTheme="minorHAnsi"/>
        </w:rPr>
        <w:t xml:space="preserve"> employment</w:t>
      </w:r>
      <w:r w:rsidR="00FE0B2A" w:rsidRPr="0C5679B2">
        <w:rPr>
          <w:rFonts w:asciiTheme="minorHAnsi" w:hAnsiTheme="minorHAnsi"/>
        </w:rPr>
        <w:t>, which in turn leads to higher turnover</w:t>
      </w:r>
      <w:r w:rsidR="00770909">
        <w:rPr>
          <w:rFonts w:asciiTheme="minorHAnsi" w:hAnsiTheme="minorHAnsi"/>
        </w:rPr>
        <w:t xml:space="preserve"> and associated administrative inefficiencies.</w:t>
      </w:r>
    </w:p>
    <w:p w14:paraId="0582368F" w14:textId="4BA26AF9" w:rsidR="00770909" w:rsidRDefault="009F651F" w:rsidP="00B76790">
      <w:bookmarkStart w:id="33" w:name="_Hlk24040344"/>
      <w:r w:rsidRPr="0C5679B2">
        <w:rPr>
          <w:rFonts w:asciiTheme="majorHAnsi" w:hAnsiTheme="majorHAnsi" w:cstheme="majorBidi"/>
        </w:rPr>
        <w:t>Avoids duplication or overlap of funding sources</w:t>
      </w:r>
      <w:r w:rsidRPr="0C5679B2">
        <w:t>: The Review does not support the claim that some preschool enrolments benefit from a ‘double subsidy’</w:t>
      </w:r>
      <w:r w:rsidR="00FD3A1D" w:rsidRPr="0C5679B2">
        <w:t xml:space="preserve"> at a service level</w:t>
      </w:r>
      <w:r w:rsidRPr="0C5679B2">
        <w:t xml:space="preserve">. Although </w:t>
      </w:r>
      <w:r w:rsidR="008F5F89">
        <w:t>CCS</w:t>
      </w:r>
      <w:r w:rsidRPr="0C5679B2">
        <w:t xml:space="preserve"> and UANP funding can accrue to the same preschool-aged child in CBDC</w:t>
      </w:r>
      <w:r w:rsidR="00E0033D">
        <w:t xml:space="preserve"> there is insufficient data to support the contention of a significant overlap. Resolving this would require access to detailed financial records held by the providers. </w:t>
      </w:r>
      <w:r w:rsidR="00E0033D" w:rsidDel="00D87D47">
        <w:t>What is clear to the Review is that the</w:t>
      </w:r>
      <w:r w:rsidRPr="0C5679B2" w:rsidDel="00D87D47">
        <w:t xml:space="preserve"> two funding streams </w:t>
      </w:r>
      <w:r w:rsidR="00FD3A1D" w:rsidRPr="0C5679B2" w:rsidDel="00D87D47">
        <w:t xml:space="preserve">have </w:t>
      </w:r>
      <w:r w:rsidRPr="0C5679B2" w:rsidDel="00D87D47">
        <w:t>different p</w:t>
      </w:r>
      <w:r w:rsidR="00FD3A1D" w:rsidRPr="0C5679B2" w:rsidDel="00D87D47">
        <w:t>olicy intents</w:t>
      </w:r>
      <w:r w:rsidR="00E0033D" w:rsidDel="00D87D47">
        <w:t xml:space="preserve"> and appear to serve distinct purposes</w:t>
      </w:r>
      <w:r w:rsidRPr="0C5679B2" w:rsidDel="00D87D47">
        <w:t xml:space="preserve">. </w:t>
      </w:r>
      <w:bookmarkStart w:id="34" w:name="_Hlk24084484"/>
    </w:p>
    <w:p w14:paraId="6F73CE7C" w14:textId="03C43626" w:rsidR="009F651F" w:rsidRDefault="00A24E9F" w:rsidP="00B76790">
      <w:r>
        <w:t>While it is reasonable to speculate that there would be some costs of delivering child</w:t>
      </w:r>
      <w:r w:rsidR="008601BE">
        <w:t xml:space="preserve"> </w:t>
      </w:r>
      <w:r>
        <w:t xml:space="preserve">care that indirectly support preschool provision, </w:t>
      </w:r>
      <w:r w:rsidR="009F651F" w:rsidRPr="0C5679B2">
        <w:t>CBDC providers and sector representatives assert that funding provided under the UANP is exclusively applied to the delivery of preschool – typically to engage a</w:t>
      </w:r>
      <w:r w:rsidR="007E3A5E">
        <w:t xml:space="preserve"> qualified</w:t>
      </w:r>
      <w:r w:rsidR="009F651F" w:rsidRPr="0C5679B2">
        <w:t xml:space="preserve"> ECT</w:t>
      </w:r>
      <w:r w:rsidR="00EC7A9C" w:rsidRPr="0C5679B2">
        <w:t xml:space="preserve"> and preschool-specific resources</w:t>
      </w:r>
      <w:r w:rsidR="009F651F" w:rsidRPr="0C5679B2">
        <w:t xml:space="preserve">. </w:t>
      </w:r>
      <w:r w:rsidR="00E0699F">
        <w:t>Moreover</w:t>
      </w:r>
      <w:r w:rsidR="001A30CA" w:rsidRPr="0C5679B2">
        <w:t xml:space="preserve">, several States and Territories </w:t>
      </w:r>
      <w:r w:rsidR="00E0699F">
        <w:t xml:space="preserve">explicitly </w:t>
      </w:r>
      <w:r w:rsidR="001A30CA" w:rsidRPr="0C5679B2">
        <w:t xml:space="preserve">prohibit cross-subsidisation of child care as a condition of funding. </w:t>
      </w:r>
      <w:bookmarkStart w:id="35" w:name="_Hlk35963083"/>
      <w:bookmarkEnd w:id="34"/>
    </w:p>
    <w:p w14:paraId="195DFD4A" w14:textId="48D0CBAD" w:rsidR="00201729" w:rsidRDefault="00F96698" w:rsidP="00B76790">
      <w:r>
        <w:t>S</w:t>
      </w:r>
      <w:r w:rsidR="00201729">
        <w:t>ome jurisdictions do not share</w:t>
      </w:r>
      <w:r w:rsidR="00C229D2">
        <w:t xml:space="preserve"> the Review’s views on this issue.</w:t>
      </w:r>
      <w:bookmarkEnd w:id="35"/>
    </w:p>
    <w:bookmarkEnd w:id="30"/>
    <w:bookmarkEnd w:id="33"/>
    <w:p w14:paraId="48C55046" w14:textId="77777777" w:rsidR="00466B00" w:rsidRDefault="001F6B30" w:rsidP="008817D4">
      <w:pPr>
        <w:pStyle w:val="Heading4"/>
      </w:pPr>
      <w:proofErr w:type="spellStart"/>
      <w:r>
        <w:t>ToR</w:t>
      </w:r>
      <w:proofErr w:type="spellEnd"/>
      <w:r>
        <w:t xml:space="preserve"> 5: Findings to inform </w:t>
      </w:r>
      <w:r w:rsidR="00E62664">
        <w:t>future policy settings</w:t>
      </w:r>
      <w:r w:rsidR="00466B00">
        <w:t xml:space="preserve"> </w:t>
      </w:r>
    </w:p>
    <w:p w14:paraId="3BDE11B2" w14:textId="77777777" w:rsidR="00B37785" w:rsidRDefault="00634D19" w:rsidP="00A24E9F">
      <w:bookmarkStart w:id="36" w:name="_Hlk23153941"/>
      <w:r>
        <w:t xml:space="preserve">The foregoing analysis </w:t>
      </w:r>
      <w:r w:rsidR="00BB0DB4">
        <w:t>informs the Review’s findings with respect to</w:t>
      </w:r>
      <w:r w:rsidR="00497832">
        <w:t xml:space="preserve"> potential future policy priorities and agreement structures to replace the current UANP.</w:t>
      </w:r>
      <w:r>
        <w:t xml:space="preserve"> </w:t>
      </w:r>
      <w:r w:rsidR="0026464B">
        <w:fldChar w:fldCharType="begin"/>
      </w:r>
      <w:r w:rsidR="0026464B">
        <w:instrText xml:space="preserve"> REF _Ref24052039 \h </w:instrText>
      </w:r>
      <w:r w:rsidR="0026464B">
        <w:fldChar w:fldCharType="separate"/>
      </w:r>
      <w:r w:rsidR="00B37785">
        <w:t xml:space="preserve">It highlights key components of what might form a reform agenda for the period 2021 to 2025, and the period from 2026 and beyond. </w:t>
      </w:r>
    </w:p>
    <w:p w14:paraId="5159C0C4" w14:textId="77777777" w:rsidR="00B37785" w:rsidRDefault="00B37785" w:rsidP="00A24E9F">
      <w:r>
        <w:t>The first period (2021-25) assumes the introduction of a new successor National Partnership to the current UANP. This agreement would be of, we suggest, five years duration in order to provide greater funding certainty, address a range of important data and measurement issues, and explore both the development of an ‘efficient cost’ model for preschool and a methodology for consistently measuring State and Territory investment. There is also a need to address workforce supply issues (on which</w:t>
      </w:r>
      <w:r w:rsidRPr="008A2185">
        <w:t xml:space="preserve"> </w:t>
      </w:r>
      <w:r>
        <w:t xml:space="preserve">work has already begun) and, as noted above, pursue targeted reforms directed at those cohorts not fully accessing preschool at the appropriate level of quality or for enough hours. </w:t>
      </w:r>
    </w:p>
    <w:p w14:paraId="7B44F6A4" w14:textId="77777777" w:rsidR="00B37785" w:rsidRDefault="00B37785" w:rsidP="00A24E9F">
      <w:r>
        <w:t xml:space="preserve">Conceptually, the Review sees this five-year window as the period for resolving a range of outstanding issues while laying the foundation for a more enduring set of funding arrangements from 2026 onwards that would be underpinned by a National Agreement and/or possibly legislation. </w:t>
      </w:r>
    </w:p>
    <w:p w14:paraId="54A5768E" w14:textId="4840F929" w:rsidR="00A24E9F" w:rsidRDefault="00B37785" w:rsidP="00A24E9F">
      <w:r>
        <w:t xml:space="preserve">Figure </w:t>
      </w:r>
      <w:r>
        <w:rPr>
          <w:noProof/>
        </w:rPr>
        <w:t>4</w:t>
      </w:r>
      <w:r w:rsidR="0026464B">
        <w:fldChar w:fldCharType="end"/>
      </w:r>
      <w:r w:rsidR="0026464B">
        <w:t xml:space="preserve"> </w:t>
      </w:r>
      <w:r w:rsidR="00CA579F">
        <w:t xml:space="preserve">below </w:t>
      </w:r>
      <w:bookmarkStart w:id="37" w:name="_Hlk32246877"/>
      <w:r w:rsidR="00A24E9F">
        <w:t xml:space="preserve">summarises </w:t>
      </w:r>
      <w:r w:rsidR="0026464B" w:rsidRPr="0C5679B2">
        <w:rPr>
          <w:rFonts w:asciiTheme="minorHAnsi" w:hAnsiTheme="minorHAnsi"/>
        </w:rPr>
        <w:t xml:space="preserve">how governments’ focus has shifted since the establishment </w:t>
      </w:r>
      <w:r w:rsidR="0026464B">
        <w:rPr>
          <w:rFonts w:asciiTheme="minorHAnsi" w:hAnsiTheme="minorHAnsi"/>
        </w:rPr>
        <w:t xml:space="preserve">of </w:t>
      </w:r>
      <w:r w:rsidR="0026464B" w:rsidRPr="0C5679B2">
        <w:rPr>
          <w:rFonts w:asciiTheme="minorHAnsi" w:hAnsiTheme="minorHAnsi"/>
        </w:rPr>
        <w:t>the first predecessor to the UANP, and</w:t>
      </w:r>
      <w:r w:rsidR="00497832">
        <w:rPr>
          <w:rFonts w:asciiTheme="minorHAnsi" w:hAnsiTheme="minorHAnsi"/>
        </w:rPr>
        <w:t xml:space="preserve"> how the agenda might evolve</w:t>
      </w:r>
      <w:bookmarkEnd w:id="37"/>
      <w:r w:rsidR="00497832">
        <w:rPr>
          <w:rFonts w:asciiTheme="minorHAnsi" w:hAnsiTheme="minorHAnsi"/>
        </w:rPr>
        <w:t>.</w:t>
      </w:r>
      <w:r w:rsidR="0026464B" w:rsidRPr="0C5679B2">
        <w:rPr>
          <w:rFonts w:asciiTheme="minorHAnsi" w:hAnsiTheme="minorHAnsi"/>
        </w:rPr>
        <w:t xml:space="preserve"> </w:t>
      </w:r>
      <w:bookmarkStart w:id="38" w:name="_Hlk32246906"/>
      <w:bookmarkStart w:id="39" w:name="_Ref24052039"/>
      <w:r w:rsidR="00A24E9F">
        <w:t xml:space="preserve">It highlights key components of what might form a reform agenda for the period </w:t>
      </w:r>
      <w:r w:rsidR="00726DA6">
        <w:t xml:space="preserve">2021 </w:t>
      </w:r>
      <w:r w:rsidR="00A24E9F">
        <w:t xml:space="preserve">to </w:t>
      </w:r>
      <w:r w:rsidR="00726DA6">
        <w:t>2025</w:t>
      </w:r>
      <w:r w:rsidR="00A24E9F">
        <w:t xml:space="preserve">, and the period from </w:t>
      </w:r>
      <w:r w:rsidR="00726DA6">
        <w:t xml:space="preserve">2026 </w:t>
      </w:r>
      <w:r w:rsidR="00A24E9F">
        <w:t xml:space="preserve">and beyond. </w:t>
      </w:r>
      <w:bookmarkEnd w:id="38"/>
    </w:p>
    <w:p w14:paraId="6AC1F95A" w14:textId="1A8203F1" w:rsidR="00A24E9F" w:rsidRDefault="00A24E9F" w:rsidP="00A24E9F">
      <w:r>
        <w:lastRenderedPageBreak/>
        <w:t>The first period (</w:t>
      </w:r>
      <w:r w:rsidR="00726DA6">
        <w:t>2021</w:t>
      </w:r>
      <w:r>
        <w:t>-</w:t>
      </w:r>
      <w:r w:rsidR="00726DA6">
        <w:t>25</w:t>
      </w:r>
      <w:r>
        <w:t>) assumes the introduction of a new successor National Partnership to the current UANP. This agreement would be of, we suggest, five years duration in order to provide greater funding certainty, address a range of important data and measurement issues, and explore both the development of an ‘efficient cost’ model for preschool and a methodology for consistently measuring State and Territory investment. There is also a need to address workforce supply issues (on which</w:t>
      </w:r>
      <w:r w:rsidRPr="008A2185">
        <w:t xml:space="preserve"> </w:t>
      </w:r>
      <w:r>
        <w:t xml:space="preserve">work has already begun) and, as noted above, pursue targeted reforms directed at those cohorts not fully accessing preschool at the appropriate level of quality or for enough hours. </w:t>
      </w:r>
    </w:p>
    <w:p w14:paraId="2E87F4BF" w14:textId="56526449" w:rsidR="00A24E9F" w:rsidRDefault="00A24E9F" w:rsidP="00A24E9F">
      <w:r>
        <w:t xml:space="preserve">Conceptually, the Review sees this five-year window as the period for resolving a range of outstanding issues while laying the foundation for a more enduring set of funding arrangements </w:t>
      </w:r>
      <w:r w:rsidR="0002644E">
        <w:t xml:space="preserve">from 2026 onwards </w:t>
      </w:r>
      <w:r>
        <w:t xml:space="preserve">that would be underpinned by a National Agreement and/or possibly legislation. </w:t>
      </w:r>
    </w:p>
    <w:p w14:paraId="1336004F" w14:textId="6E4A6696" w:rsidR="004C74B6" w:rsidRDefault="004C74B6" w:rsidP="004C74B6">
      <w:pPr>
        <w:pStyle w:val="Caption"/>
      </w:pPr>
      <w:r>
        <w:t xml:space="preserve">Figure </w:t>
      </w:r>
      <w:r w:rsidR="00B76790">
        <w:fldChar w:fldCharType="begin"/>
      </w:r>
      <w:r w:rsidR="00B76790">
        <w:instrText xml:space="preserve"> SEQ Figure \* ARABIC </w:instrText>
      </w:r>
      <w:r w:rsidR="00B76790">
        <w:fldChar w:fldCharType="separate"/>
      </w:r>
      <w:r w:rsidR="00B37785">
        <w:rPr>
          <w:noProof/>
        </w:rPr>
        <w:t>4</w:t>
      </w:r>
      <w:r w:rsidR="00B76790">
        <w:fldChar w:fldCharType="end"/>
      </w:r>
      <w:bookmarkEnd w:id="39"/>
      <w:r>
        <w:t xml:space="preserve"> | </w:t>
      </w:r>
      <w:r w:rsidR="0026464B" w:rsidRPr="0026464B">
        <w:t>The evolution of governments’ areas of focus, and potential future priorities</w:t>
      </w:r>
    </w:p>
    <w:p w14:paraId="19B68CCD" w14:textId="08DDE555" w:rsidR="004C74B6" w:rsidRPr="004C74B6" w:rsidRDefault="00726DA6" w:rsidP="004C74B6">
      <w:r w:rsidRPr="00726DA6">
        <w:rPr>
          <w:noProof/>
          <w:lang w:eastAsia="en-AU"/>
        </w:rPr>
        <w:drawing>
          <wp:inline distT="0" distB="0" distL="0" distR="0" wp14:anchorId="1A391F89" wp14:editId="6D835BBC">
            <wp:extent cx="5670550" cy="3261910"/>
            <wp:effectExtent l="0" t="0" r="6350" b="0"/>
            <wp:docPr id="9" name="Picture 9" descr="Implementing a national approach&#10;2008-13 establish&#10;- develop national policy approach&#10;- change community expectations&#10;- increase universal access to 600+ hours&#10;- assess against quality standards&#10;- support sector development&#10;&#10;2014-20 develop&#10;- improve data collection&#10;- lift participation, including among target cohorts&#10;-develop the workforce&#10;-expand complementary programs&#10;&#10;Maximising impact and cost-effectiveness&#10;2021-25 refine&#10;- develop outcomes measure&#10;-improve attendance data&#10;- continue to improve quality&#10;- lift participation especially among vulnerable, disadvantaged, CALD and remote children&#10;- improve workforce supply&#10;- develop an understanding of the efficient cost of delivery &#10;2026+ embed&#10;- move to a National Agreement and/or legislation that enables ongoing funding&#10;-adopt a new funding allocation formula informed by an understanding of 'efficient cost' in different settings and jurisdictional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plementing a national approach&#10;2008-13 establish&#10;- develop national policy approach&#10;- change community expectations&#10;- increase universal access to 600+ hours&#10;- assess against quality standards&#10;- support sector development&#10;&#10;2014-20 develop&#10;- improve data collection&#10;- lift participation, including among target cohorts&#10;-develop the workforce&#10;-expand complementary programs&#10;&#10;Maximising impact and cost-effectiveness&#10;2021-25 refine&#10;- develop outcomes measure&#10;-improve attendance data&#10;- continue to improve quality&#10;- lift participation especially among vulnerable, disadvantaged, CALD and remote children&#10;- improve workforce supply&#10;- develop an understanding of the efficient cost of delivery &#10;2026+ embed&#10;- move to a National Agreement and/or legislation that enables ongoing funding&#10;-adopt a new funding allocation formula informed by an understanding of 'efficient cost' in different settings and jurisdictional contex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550" cy="3261910"/>
                    </a:xfrm>
                    <a:prstGeom prst="rect">
                      <a:avLst/>
                    </a:prstGeom>
                    <a:noFill/>
                    <a:ln>
                      <a:noFill/>
                    </a:ln>
                  </pic:spPr>
                </pic:pic>
              </a:graphicData>
            </a:graphic>
          </wp:inline>
        </w:drawing>
      </w:r>
    </w:p>
    <w:p w14:paraId="0B444D7F" w14:textId="5EAF014E" w:rsidR="00437185" w:rsidRDefault="00437185" w:rsidP="00437185">
      <w:r>
        <w:t xml:space="preserve">The </w:t>
      </w:r>
      <w:r w:rsidR="00BF0FD8">
        <w:t>main</w:t>
      </w:r>
      <w:r>
        <w:t xml:space="preserve"> rationale for moving to a National Agreement</w:t>
      </w:r>
      <w:r w:rsidR="00A24E9F">
        <w:t xml:space="preserve"> in the period from </w:t>
      </w:r>
      <w:r w:rsidR="00726DA6">
        <w:t xml:space="preserve">2026 </w:t>
      </w:r>
      <w:r>
        <w:t xml:space="preserve">is to ensure </w:t>
      </w:r>
      <w:r w:rsidR="004D67CC">
        <w:t>continuing</w:t>
      </w:r>
      <w:r>
        <w:t xml:space="preserve"> funding for what is now a set of national service delivery arrangements. </w:t>
      </w:r>
      <w:r w:rsidR="00BF0FD8">
        <w:t xml:space="preserve">While there will be ongoing need for service delivery improvement and the pursuit of </w:t>
      </w:r>
      <w:proofErr w:type="gramStart"/>
      <w:r w:rsidR="00BF0FD8">
        <w:t>nationally-agreed</w:t>
      </w:r>
      <w:proofErr w:type="gramEnd"/>
      <w:r w:rsidR="00BF0FD8">
        <w:t xml:space="preserve"> outcomes, the system will have matured to the extent that a time-limited National Partnership would no longer be appropriate. The Review notes that –</w:t>
      </w:r>
      <w:r w:rsidR="004D67CC">
        <w:t xml:space="preserve"> </w:t>
      </w:r>
      <w:r w:rsidR="00BF0FD8">
        <w:t>assuming the necessary preparatory work on improved outcomes</w:t>
      </w:r>
      <w:r w:rsidR="004D67CC">
        <w:t>,</w:t>
      </w:r>
      <w:r w:rsidR="00BF0FD8">
        <w:t xml:space="preserve"> quality and attendance measures is done</w:t>
      </w:r>
      <w:r w:rsidR="004D67CC">
        <w:t xml:space="preserve">; </w:t>
      </w:r>
      <w:r w:rsidR="00BF0FD8">
        <w:t>that efficient costs have been modelled</w:t>
      </w:r>
      <w:r w:rsidR="004D67CC">
        <w:t>;</w:t>
      </w:r>
      <w:r w:rsidR="00BF0FD8">
        <w:t xml:space="preserve"> and there is an agreed approach to counting State and Territory investment – a new funding allocation formula could be introduced from this point forward. Such an outcome should resolve the residual issues about funding equity and create the conditions for an even more cost-effective system to deliver the outcomes expressed in the UANP and in the Early Learning Reform Principles as they relate to YBFS preschool.</w:t>
      </w:r>
    </w:p>
    <w:p w14:paraId="565DBD61" w14:textId="77777777" w:rsidR="00BF0FD8" w:rsidRDefault="00BF0FD8" w:rsidP="00BF0FD8">
      <w:pPr>
        <w:pStyle w:val="Heading4"/>
      </w:pPr>
      <w:r>
        <w:t xml:space="preserve">List of </w:t>
      </w:r>
      <w:r w:rsidR="00AB721D">
        <w:t>k</w:t>
      </w:r>
      <w:r w:rsidR="00EA3DAC">
        <w:t xml:space="preserve">ey </w:t>
      </w:r>
      <w:r w:rsidR="00AB721D">
        <w:t>f</w:t>
      </w:r>
      <w:r>
        <w:t>indings</w:t>
      </w:r>
    </w:p>
    <w:p w14:paraId="65370D93" w14:textId="15032792" w:rsidR="000A2B10" w:rsidRDefault="00863135" w:rsidP="00261694">
      <w:bookmarkStart w:id="40" w:name="_Hlk30492699"/>
      <w:r w:rsidRPr="00863135">
        <w:t xml:space="preserve">The Review makes 36 key findings, which are listed in Table 1 against each of the Review’s Terms of Reference (rather than where they are positioned in the report). Key findings relating to </w:t>
      </w:r>
      <w:proofErr w:type="spellStart"/>
      <w:r w:rsidRPr="00863135">
        <w:t>ToR</w:t>
      </w:r>
      <w:proofErr w:type="spellEnd"/>
      <w:r w:rsidRPr="00863135">
        <w:t xml:space="preserve"> 1 to 4 </w:t>
      </w:r>
      <w:r w:rsidR="00715510">
        <w:t>relate to</w:t>
      </w:r>
      <w:r w:rsidRPr="00863135">
        <w:t xml:space="preserve"> the UANP’s current </w:t>
      </w:r>
      <w:r w:rsidR="00715510">
        <w:t>operation and impact</w:t>
      </w:r>
      <w:r w:rsidRPr="00863135">
        <w:t xml:space="preserve">, while key findings under </w:t>
      </w:r>
      <w:proofErr w:type="spellStart"/>
      <w:r w:rsidRPr="00863135">
        <w:t>ToR</w:t>
      </w:r>
      <w:proofErr w:type="spellEnd"/>
      <w:r w:rsidRPr="00863135">
        <w:t xml:space="preserve"> 5 consider the continuing role for the Australian Government, the form of any successor agreement</w:t>
      </w:r>
      <w:r w:rsidR="00EB493A">
        <w:t>s</w:t>
      </w:r>
      <w:r w:rsidRPr="00863135">
        <w:t xml:space="preserve"> and its key elements (including the performance framework and measures) and broader policy directions. </w:t>
      </w:r>
    </w:p>
    <w:p w14:paraId="0C10AA5B" w14:textId="1C137ED0" w:rsidR="00620AF0" w:rsidRDefault="00863135" w:rsidP="00261694">
      <w:r w:rsidRPr="00863135">
        <w:lastRenderedPageBreak/>
        <w:t xml:space="preserve">The Review believes that while </w:t>
      </w:r>
      <w:r w:rsidR="00113139" w:rsidRPr="00863135">
        <w:t>most of</w:t>
      </w:r>
      <w:r w:rsidRPr="00863135">
        <w:t xml:space="preserve"> the key findings under </w:t>
      </w:r>
      <w:proofErr w:type="spellStart"/>
      <w:r w:rsidRPr="00863135">
        <w:t>ToR</w:t>
      </w:r>
      <w:proofErr w:type="spellEnd"/>
      <w:r w:rsidRPr="00863135">
        <w:t xml:space="preserve"> 5 </w:t>
      </w:r>
      <w:r w:rsidR="00AF6763">
        <w:t>would</w:t>
      </w:r>
      <w:r w:rsidR="00AF6763" w:rsidRPr="00863135">
        <w:t xml:space="preserve"> </w:t>
      </w:r>
      <w:r w:rsidRPr="00863135">
        <w:t xml:space="preserve">be </w:t>
      </w:r>
      <w:r w:rsidR="00AF6763">
        <w:t>better</w:t>
      </w:r>
      <w:r w:rsidR="00AF6763" w:rsidRPr="00863135">
        <w:t xml:space="preserve"> </w:t>
      </w:r>
      <w:r w:rsidRPr="00863135">
        <w:t xml:space="preserve">pursued in successor arrangements to the UANP, several </w:t>
      </w:r>
      <w:r w:rsidR="00AF6763">
        <w:t>c</w:t>
      </w:r>
      <w:r w:rsidRPr="00863135">
        <w:t xml:space="preserve">ould be </w:t>
      </w:r>
      <w:r w:rsidR="00AF6763">
        <w:t>progressed</w:t>
      </w:r>
      <w:r w:rsidRPr="00863135">
        <w:t xml:space="preserve"> by governments individually or collectively under broadly agreed policy directions and in line with the Early Learning Reform Principles.</w:t>
      </w:r>
    </w:p>
    <w:p w14:paraId="770872BE" w14:textId="5FA7E865" w:rsidR="002362C8" w:rsidRDefault="002362C8" w:rsidP="002362C8">
      <w:bookmarkStart w:id="41" w:name="_Hlk35963106"/>
      <w:r>
        <w:t xml:space="preserve">Reflecting the diversity of preschool delivery models and policy approaches across Australia, </w:t>
      </w:r>
      <w:r w:rsidRPr="00C824BD">
        <w:t xml:space="preserve">Tasmania </w:t>
      </w:r>
      <w:r>
        <w:t>and Western Australia do</w:t>
      </w:r>
      <w:r w:rsidRPr="00C824BD">
        <w:t xml:space="preserve"> not share some of the views put forward by the </w:t>
      </w:r>
      <w:r w:rsidR="003742AD">
        <w:t>Review</w:t>
      </w:r>
      <w:r w:rsidRPr="00C824BD">
        <w:t xml:space="preserve">, particularly </w:t>
      </w:r>
      <w:r>
        <w:t xml:space="preserve">Key </w:t>
      </w:r>
      <w:r w:rsidRPr="00C824BD">
        <w:t>Findings 9, 10 and 24</w:t>
      </w:r>
      <w:r>
        <w:t xml:space="preserve">. While the Review respects these concerns, we remain satisfied that our views derive from the best available qualitative and quantitative data and application of conceptual logic. The fundamental challenge is improving the evidence base, and the Review has made several key findings on this. </w:t>
      </w:r>
    </w:p>
    <w:tbl>
      <w:tblPr>
        <w:tblStyle w:val="TableGrid"/>
        <w:tblW w:w="5000" w:type="pct"/>
        <w:tblCellMar>
          <w:top w:w="43" w:type="dxa"/>
          <w:bottom w:w="43" w:type="dxa"/>
        </w:tblCellMar>
        <w:tblLook w:val="0620" w:firstRow="1" w:lastRow="0" w:firstColumn="0" w:lastColumn="0" w:noHBand="1" w:noVBand="1"/>
      </w:tblPr>
      <w:tblGrid>
        <w:gridCol w:w="993"/>
        <w:gridCol w:w="6945"/>
        <w:gridCol w:w="992"/>
      </w:tblGrid>
      <w:tr w:rsidR="00181265" w:rsidRPr="00236BE0" w14:paraId="1D7DB915" w14:textId="77777777" w:rsidTr="00181265">
        <w:trPr>
          <w:cnfStyle w:val="100000000000" w:firstRow="1" w:lastRow="0" w:firstColumn="0" w:lastColumn="0" w:oddVBand="0" w:evenVBand="0" w:oddHBand="0" w:evenHBand="0" w:firstRowFirstColumn="0" w:firstRowLastColumn="0" w:lastRowFirstColumn="0" w:lastRowLastColumn="0"/>
        </w:trPr>
        <w:tc>
          <w:tcPr>
            <w:tcW w:w="993" w:type="dxa"/>
            <w:tcBorders>
              <w:top w:val="single" w:sz="24" w:space="0" w:color="25B3E0" w:themeColor="accent6"/>
            </w:tcBorders>
            <w:shd w:val="clear" w:color="auto" w:fill="auto"/>
          </w:tcPr>
          <w:p w14:paraId="4D11CC2B" w14:textId="77777777" w:rsidR="00181265" w:rsidRDefault="00181265" w:rsidP="00F61FEA">
            <w:pPr>
              <w:rPr>
                <w:rFonts w:ascii="Segoe UI Semibold" w:hAnsi="Segoe UI Semibold" w:cs="Segoe UI Semibold"/>
                <w:color w:val="FFFFFF" w:themeColor="background1"/>
                <w:sz w:val="22"/>
              </w:rPr>
            </w:pPr>
          </w:p>
        </w:tc>
        <w:tc>
          <w:tcPr>
            <w:tcW w:w="6945" w:type="dxa"/>
            <w:tcBorders>
              <w:top w:val="single" w:sz="24" w:space="0" w:color="25B3E0" w:themeColor="accent6"/>
            </w:tcBorders>
            <w:shd w:val="clear" w:color="auto" w:fill="auto"/>
          </w:tcPr>
          <w:p w14:paraId="3ED27A44" w14:textId="7B3213CC" w:rsidR="00181265" w:rsidRPr="00F61FEA" w:rsidRDefault="00181265" w:rsidP="00F61FEA">
            <w:pPr>
              <w:rPr>
                <w:rFonts w:ascii="Segoe UI Semibold" w:hAnsi="Segoe UI Semibold" w:cs="Segoe UI Semibold"/>
                <w:color w:val="FFFFFF" w:themeColor="background1"/>
                <w:sz w:val="22"/>
              </w:rPr>
            </w:pPr>
            <w:bookmarkStart w:id="42" w:name="_Ref24558735"/>
            <w:r w:rsidRPr="008534E2">
              <w:t xml:space="preserve">Table </w:t>
            </w:r>
            <w:r>
              <w:fldChar w:fldCharType="begin"/>
            </w:r>
            <w:r>
              <w:instrText xml:space="preserve"> SEQ Table \* ARABIC </w:instrText>
            </w:r>
            <w:r>
              <w:fldChar w:fldCharType="separate"/>
            </w:r>
            <w:r>
              <w:rPr>
                <w:noProof/>
              </w:rPr>
              <w:t>1</w:t>
            </w:r>
            <w:r>
              <w:fldChar w:fldCharType="end"/>
            </w:r>
            <w:bookmarkEnd w:id="42"/>
            <w:r w:rsidRPr="008534E2">
              <w:t xml:space="preserve"> | The Review's key findings</w:t>
            </w:r>
          </w:p>
        </w:tc>
        <w:tc>
          <w:tcPr>
            <w:tcW w:w="992" w:type="dxa"/>
            <w:tcBorders>
              <w:top w:val="single" w:sz="24" w:space="0" w:color="25B3E0" w:themeColor="accent6"/>
            </w:tcBorders>
            <w:shd w:val="clear" w:color="auto" w:fill="auto"/>
          </w:tcPr>
          <w:p w14:paraId="2BA96B14" w14:textId="77777777" w:rsidR="00181265" w:rsidRPr="00F61FEA" w:rsidRDefault="00181265" w:rsidP="00F61FEA">
            <w:pPr>
              <w:rPr>
                <w:rFonts w:ascii="Segoe UI Semibold" w:hAnsi="Segoe UI Semibold" w:cs="Segoe UI Semibold"/>
                <w:color w:val="FFFFFF" w:themeColor="background1"/>
                <w:sz w:val="22"/>
              </w:rPr>
            </w:pPr>
          </w:p>
        </w:tc>
      </w:tr>
      <w:bookmarkEnd w:id="40"/>
      <w:bookmarkEnd w:id="41"/>
      <w:tr w:rsidR="00F61FEA" w:rsidRPr="00236BE0" w14:paraId="116240E8" w14:textId="77777777" w:rsidTr="00F75C40">
        <w:tc>
          <w:tcPr>
            <w:tcW w:w="993" w:type="dxa"/>
            <w:tcBorders>
              <w:top w:val="single" w:sz="24" w:space="0" w:color="25B3E0" w:themeColor="accent6"/>
            </w:tcBorders>
            <w:shd w:val="clear" w:color="auto" w:fill="00264D" w:themeFill="background2"/>
          </w:tcPr>
          <w:p w14:paraId="6FC60DB9" w14:textId="77777777" w:rsidR="00F61FEA" w:rsidRPr="00F61FEA" w:rsidRDefault="00553D03" w:rsidP="00F61FEA">
            <w:pPr>
              <w:rPr>
                <w:rFonts w:ascii="Segoe UI Semibold" w:hAnsi="Segoe UI Semibold" w:cs="Segoe UI Semibold"/>
                <w:color w:val="FFFFFF" w:themeColor="background1"/>
                <w:sz w:val="22"/>
              </w:rPr>
            </w:pPr>
            <w:r>
              <w:rPr>
                <w:rFonts w:ascii="Segoe UI Semibold" w:hAnsi="Segoe UI Semibold" w:cs="Segoe UI Semibold"/>
                <w:color w:val="FFFFFF" w:themeColor="background1"/>
                <w:sz w:val="22"/>
              </w:rPr>
              <w:t>Number</w:t>
            </w:r>
          </w:p>
        </w:tc>
        <w:tc>
          <w:tcPr>
            <w:tcW w:w="6945" w:type="dxa"/>
            <w:tcBorders>
              <w:top w:val="single" w:sz="24" w:space="0" w:color="25B3E0" w:themeColor="accent6"/>
            </w:tcBorders>
            <w:shd w:val="clear" w:color="auto" w:fill="00264D" w:themeFill="background2"/>
          </w:tcPr>
          <w:p w14:paraId="1C095929" w14:textId="77777777" w:rsidR="00F61FEA" w:rsidRPr="00F61FEA" w:rsidRDefault="00F61FEA" w:rsidP="00F61FEA">
            <w:pPr>
              <w:rPr>
                <w:rFonts w:ascii="Segoe UI Semibold" w:hAnsi="Segoe UI Semibold" w:cs="Segoe UI Semibold"/>
                <w:color w:val="FFFFFF" w:themeColor="background1"/>
                <w:sz w:val="22"/>
              </w:rPr>
            </w:pPr>
            <w:r w:rsidRPr="00F61FEA">
              <w:rPr>
                <w:rFonts w:ascii="Segoe UI Semibold" w:hAnsi="Segoe UI Semibold" w:cs="Segoe UI Semibold"/>
                <w:color w:val="FFFFFF" w:themeColor="background1"/>
                <w:sz w:val="22"/>
              </w:rPr>
              <w:t>Key finding</w:t>
            </w:r>
          </w:p>
        </w:tc>
        <w:tc>
          <w:tcPr>
            <w:tcW w:w="992" w:type="dxa"/>
            <w:tcBorders>
              <w:top w:val="single" w:sz="24" w:space="0" w:color="25B3E0" w:themeColor="accent6"/>
            </w:tcBorders>
            <w:shd w:val="clear" w:color="auto" w:fill="00264D" w:themeFill="background2"/>
          </w:tcPr>
          <w:p w14:paraId="2DAE438D" w14:textId="77777777" w:rsidR="00F61FEA" w:rsidRPr="00F61FEA" w:rsidRDefault="00F61FEA" w:rsidP="00F61FEA">
            <w:pPr>
              <w:rPr>
                <w:rFonts w:ascii="Segoe UI Semibold" w:hAnsi="Segoe UI Semibold" w:cs="Segoe UI Semibold"/>
                <w:color w:val="FFFFFF" w:themeColor="background1"/>
                <w:sz w:val="22"/>
              </w:rPr>
            </w:pPr>
            <w:r w:rsidRPr="00F61FEA">
              <w:rPr>
                <w:rFonts w:ascii="Segoe UI Semibold" w:hAnsi="Segoe UI Semibold" w:cs="Segoe UI Semibold"/>
                <w:color w:val="FFFFFF" w:themeColor="background1"/>
                <w:sz w:val="22"/>
              </w:rPr>
              <w:t>Report chapter</w:t>
            </w:r>
          </w:p>
        </w:tc>
      </w:tr>
      <w:tr w:rsidR="00181265" w:rsidRPr="00236BE0" w14:paraId="688874D7" w14:textId="77777777" w:rsidTr="00EB5E4A">
        <w:tc>
          <w:tcPr>
            <w:tcW w:w="993" w:type="dxa"/>
            <w:tcBorders>
              <w:top w:val="single" w:sz="24" w:space="0" w:color="25B3E0" w:themeColor="accent6"/>
            </w:tcBorders>
            <w:shd w:val="clear" w:color="auto" w:fill="D9D9D9" w:themeFill="background1" w:themeFillShade="D9"/>
          </w:tcPr>
          <w:p w14:paraId="627BFE54" w14:textId="77777777" w:rsidR="00181265" w:rsidRDefault="00181265" w:rsidP="00F61FEA">
            <w:pPr>
              <w:rPr>
                <w:rFonts w:ascii="Segoe UI Semibold" w:hAnsi="Segoe UI Semibold" w:cs="Segoe UI Semibold"/>
                <w:color w:val="FFFFFF" w:themeColor="background1"/>
                <w:sz w:val="22"/>
              </w:rPr>
            </w:pPr>
          </w:p>
        </w:tc>
        <w:tc>
          <w:tcPr>
            <w:tcW w:w="6945" w:type="dxa"/>
            <w:tcBorders>
              <w:top w:val="single" w:sz="24" w:space="0" w:color="25B3E0" w:themeColor="accent6"/>
            </w:tcBorders>
            <w:shd w:val="clear" w:color="auto" w:fill="D9D9D9" w:themeFill="background1" w:themeFillShade="D9"/>
          </w:tcPr>
          <w:p w14:paraId="49D8DA52" w14:textId="20F88A72" w:rsidR="00181265" w:rsidRPr="00F61FEA" w:rsidRDefault="00181265" w:rsidP="00F61FEA">
            <w:pPr>
              <w:rPr>
                <w:rFonts w:ascii="Segoe UI Semibold" w:hAnsi="Segoe UI Semibold" w:cs="Segoe UI Semibold"/>
                <w:color w:val="FFFFFF" w:themeColor="background1"/>
                <w:sz w:val="22"/>
              </w:rPr>
            </w:pPr>
            <w:proofErr w:type="spellStart"/>
            <w:r w:rsidRPr="00F61FEA">
              <w:rPr>
                <w:rFonts w:cs="Segoe UI Semibold"/>
              </w:rPr>
              <w:t>ToR</w:t>
            </w:r>
            <w:proofErr w:type="spellEnd"/>
            <w:r w:rsidRPr="00F61FEA">
              <w:rPr>
                <w:rFonts w:cs="Segoe UI Semibold"/>
              </w:rPr>
              <w:t xml:space="preserve"> 1</w:t>
            </w:r>
            <w:r>
              <w:rPr>
                <w:rFonts w:cs="Segoe UI Semibold"/>
              </w:rPr>
              <w:t xml:space="preserve">: </w:t>
            </w:r>
            <w:r w:rsidRPr="004E0582">
              <w:rPr>
                <w:rFonts w:cs="Segoe UI Semibold"/>
              </w:rPr>
              <w:t>The extent to which the UANP policy objectives, outcomes and outputs have been achieved</w:t>
            </w:r>
          </w:p>
        </w:tc>
        <w:tc>
          <w:tcPr>
            <w:tcW w:w="992" w:type="dxa"/>
            <w:tcBorders>
              <w:top w:val="single" w:sz="24" w:space="0" w:color="25B3E0" w:themeColor="accent6"/>
            </w:tcBorders>
            <w:shd w:val="clear" w:color="auto" w:fill="D9D9D9" w:themeFill="background1" w:themeFillShade="D9"/>
          </w:tcPr>
          <w:p w14:paraId="1F3C54A8" w14:textId="77777777" w:rsidR="00181265" w:rsidRPr="00F61FEA" w:rsidRDefault="00181265" w:rsidP="00F61FEA">
            <w:pPr>
              <w:rPr>
                <w:rFonts w:ascii="Segoe UI Semibold" w:hAnsi="Segoe UI Semibold" w:cs="Segoe UI Semibold"/>
                <w:color w:val="FFFFFF" w:themeColor="background1"/>
                <w:sz w:val="22"/>
              </w:rPr>
            </w:pPr>
          </w:p>
        </w:tc>
      </w:tr>
      <w:tr w:rsidR="00F61FEA" w:rsidRPr="00EC69C4" w14:paraId="4E7F255C" w14:textId="77777777" w:rsidTr="00F75C40">
        <w:trPr>
          <w:cantSplit/>
        </w:trPr>
        <w:tc>
          <w:tcPr>
            <w:tcW w:w="993" w:type="dxa"/>
          </w:tcPr>
          <w:p w14:paraId="6D21977A"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w:t>
            </w:r>
          </w:p>
        </w:tc>
        <w:tc>
          <w:tcPr>
            <w:tcW w:w="6945" w:type="dxa"/>
            <w:vAlign w:val="top"/>
          </w:tcPr>
          <w:p w14:paraId="3CBD21E0" w14:textId="77777777" w:rsidR="00F61FEA" w:rsidRPr="00EC69C4" w:rsidRDefault="00C120A3" w:rsidP="00F61FEA">
            <w:pPr>
              <w:pStyle w:val="Listnumbered"/>
              <w:spacing w:after="0"/>
              <w:ind w:left="0" w:firstLine="0"/>
            </w:pPr>
            <w:r w:rsidRPr="00C120A3">
              <w:t>The UANP has, since 2014, continued to build on the foundation of predecessor agreements to improve participation in affordable, quality preschool for children in the YBFS. This is a significant national accomplishment</w:t>
            </w:r>
            <w:r w:rsidR="00F61FEA" w:rsidRPr="00EC69C4">
              <w:t>.</w:t>
            </w:r>
          </w:p>
        </w:tc>
        <w:tc>
          <w:tcPr>
            <w:tcW w:w="992" w:type="dxa"/>
          </w:tcPr>
          <w:p w14:paraId="3EC96046" w14:textId="77777777" w:rsidR="00F61FEA" w:rsidRPr="00EC69C4" w:rsidRDefault="00F61FEA" w:rsidP="00F61FEA">
            <w:pPr>
              <w:jc w:val="center"/>
            </w:pPr>
            <w:r>
              <w:t>3</w:t>
            </w:r>
          </w:p>
        </w:tc>
      </w:tr>
      <w:tr w:rsidR="00F61FEA" w:rsidRPr="00EC69C4" w14:paraId="3869DF95" w14:textId="77777777" w:rsidTr="00F75C40">
        <w:trPr>
          <w:cantSplit/>
        </w:trPr>
        <w:tc>
          <w:tcPr>
            <w:tcW w:w="993" w:type="dxa"/>
          </w:tcPr>
          <w:p w14:paraId="7EC922A5"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2</w:t>
            </w:r>
          </w:p>
        </w:tc>
        <w:tc>
          <w:tcPr>
            <w:tcW w:w="6945" w:type="dxa"/>
            <w:vAlign w:val="top"/>
          </w:tcPr>
          <w:p w14:paraId="0543072F" w14:textId="77777777" w:rsidR="00F61FEA" w:rsidRPr="00EC69C4" w:rsidRDefault="00265B99" w:rsidP="00F61FEA">
            <w:pPr>
              <w:pStyle w:val="Listnumbered"/>
              <w:spacing w:after="0"/>
              <w:ind w:left="0" w:firstLine="0"/>
            </w:pPr>
            <w:r>
              <w:t>Success</w:t>
            </w:r>
            <w:r w:rsidR="00F61FEA" w:rsidRPr="00EC69C4">
              <w:t xml:space="preserve"> under the UANP reflect</w:t>
            </w:r>
            <w:r>
              <w:t>s</w:t>
            </w:r>
            <w:r w:rsidR="00F61FEA" w:rsidRPr="00EC69C4">
              <w:t xml:space="preserve"> the continuing effort and commitment of all jurisdictions and the preschool sector. There is strong momentum to build on achievements</w:t>
            </w:r>
            <w:r w:rsidR="00B60F56">
              <w:t xml:space="preserve"> to date</w:t>
            </w:r>
            <w:r w:rsidR="00F61FEA" w:rsidRPr="00EC69C4">
              <w:t>.</w:t>
            </w:r>
          </w:p>
        </w:tc>
        <w:tc>
          <w:tcPr>
            <w:tcW w:w="992" w:type="dxa"/>
          </w:tcPr>
          <w:p w14:paraId="777757A2" w14:textId="77777777" w:rsidR="00F61FEA" w:rsidRPr="00EC69C4" w:rsidRDefault="00F61FEA" w:rsidP="00F61FEA">
            <w:pPr>
              <w:jc w:val="center"/>
            </w:pPr>
            <w:r>
              <w:t>3</w:t>
            </w:r>
          </w:p>
        </w:tc>
      </w:tr>
      <w:tr w:rsidR="00F61FEA" w:rsidRPr="00EC69C4" w14:paraId="0D565B5C" w14:textId="77777777" w:rsidTr="00F75C40">
        <w:trPr>
          <w:cantSplit/>
        </w:trPr>
        <w:tc>
          <w:tcPr>
            <w:tcW w:w="993" w:type="dxa"/>
          </w:tcPr>
          <w:p w14:paraId="50B3292D"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3</w:t>
            </w:r>
          </w:p>
        </w:tc>
        <w:tc>
          <w:tcPr>
            <w:tcW w:w="6945" w:type="dxa"/>
            <w:vAlign w:val="top"/>
          </w:tcPr>
          <w:p w14:paraId="043F7938" w14:textId="77777777" w:rsidR="00F61FEA" w:rsidRPr="00EC69C4" w:rsidRDefault="00FC74BE" w:rsidP="00F61FEA">
            <w:pPr>
              <w:pStyle w:val="Listnumbered"/>
              <w:spacing w:after="0"/>
              <w:ind w:left="0" w:firstLine="0"/>
            </w:pPr>
            <w:r w:rsidRPr="00FC74BE">
              <w:t>While the objectives of the UANP have broadly been realised, participation by target cohorts is not yet at the desired levels</w:t>
            </w:r>
            <w:r w:rsidR="00F61FEA" w:rsidRPr="00EC69C4">
              <w:t xml:space="preserve">. </w:t>
            </w:r>
          </w:p>
        </w:tc>
        <w:tc>
          <w:tcPr>
            <w:tcW w:w="992" w:type="dxa"/>
          </w:tcPr>
          <w:p w14:paraId="121A12F7" w14:textId="77777777" w:rsidR="00F61FEA" w:rsidRPr="00EC69C4" w:rsidRDefault="00F61FEA" w:rsidP="00F61FEA">
            <w:pPr>
              <w:jc w:val="center"/>
            </w:pPr>
            <w:r>
              <w:t>3</w:t>
            </w:r>
          </w:p>
        </w:tc>
      </w:tr>
      <w:tr w:rsidR="00F61FEA" w:rsidRPr="00EC69C4" w14:paraId="7A6179BF" w14:textId="77777777" w:rsidTr="00F75C40">
        <w:trPr>
          <w:cantSplit/>
        </w:trPr>
        <w:tc>
          <w:tcPr>
            <w:tcW w:w="993" w:type="dxa"/>
          </w:tcPr>
          <w:p w14:paraId="44FB92CB"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4</w:t>
            </w:r>
          </w:p>
        </w:tc>
        <w:tc>
          <w:tcPr>
            <w:tcW w:w="6945" w:type="dxa"/>
            <w:vAlign w:val="top"/>
          </w:tcPr>
          <w:p w14:paraId="023B3C55" w14:textId="77777777" w:rsidR="00F61FEA" w:rsidRPr="00EC69C4" w:rsidRDefault="00F61FEA" w:rsidP="00F61FEA">
            <w:pPr>
              <w:pStyle w:val="Listnumbered"/>
              <w:spacing w:after="0"/>
              <w:ind w:left="0" w:firstLine="0"/>
            </w:pPr>
            <w:r w:rsidRPr="00EC69C4">
              <w:t>The</w:t>
            </w:r>
            <w:r w:rsidR="00B60F56">
              <w:t xml:space="preserve"> </w:t>
            </w:r>
            <w:r w:rsidR="00B60F56" w:rsidRPr="00B60F56">
              <w:t>UANP has contributed to an uplift in preschool quality, though more work remains. Workforce challenges present a particular risk to the ongoing provision of universal access at the appropriate levels of quality</w:t>
            </w:r>
            <w:r w:rsidR="00B60F56">
              <w:t>.</w:t>
            </w:r>
          </w:p>
        </w:tc>
        <w:tc>
          <w:tcPr>
            <w:tcW w:w="992" w:type="dxa"/>
          </w:tcPr>
          <w:p w14:paraId="35864067" w14:textId="77777777" w:rsidR="00F61FEA" w:rsidRPr="00EC69C4" w:rsidRDefault="00F61FEA" w:rsidP="00F61FEA">
            <w:pPr>
              <w:jc w:val="center"/>
            </w:pPr>
            <w:r>
              <w:t>3</w:t>
            </w:r>
          </w:p>
        </w:tc>
      </w:tr>
      <w:tr w:rsidR="007E2C02" w:rsidRPr="00EC69C4" w14:paraId="1926FEC6" w14:textId="77777777" w:rsidTr="007E2C02">
        <w:trPr>
          <w:cantSplit/>
        </w:trPr>
        <w:tc>
          <w:tcPr>
            <w:tcW w:w="993" w:type="dxa"/>
            <w:shd w:val="clear" w:color="auto" w:fill="D9D9D9" w:themeFill="background1" w:themeFillShade="D9"/>
          </w:tcPr>
          <w:p w14:paraId="30E5CC80" w14:textId="77777777" w:rsidR="007E2C02" w:rsidRPr="00F61FEA" w:rsidRDefault="007E2C02" w:rsidP="00F61FEA">
            <w:pPr>
              <w:jc w:val="center"/>
              <w:rPr>
                <w:rFonts w:ascii="Segoe UI Semibold" w:hAnsi="Segoe UI Semibold" w:cs="Segoe UI Semibold"/>
                <w:color w:val="25B3E0" w:themeColor="accent6"/>
                <w:sz w:val="22"/>
              </w:rPr>
            </w:pPr>
          </w:p>
        </w:tc>
        <w:tc>
          <w:tcPr>
            <w:tcW w:w="6945" w:type="dxa"/>
            <w:shd w:val="clear" w:color="auto" w:fill="D9D9D9" w:themeFill="background1" w:themeFillShade="D9"/>
            <w:vAlign w:val="top"/>
          </w:tcPr>
          <w:p w14:paraId="7AE31799" w14:textId="0808A6E8" w:rsidR="007E2C02" w:rsidRPr="00EC69C4" w:rsidRDefault="007E2C02" w:rsidP="00F61FEA">
            <w:pPr>
              <w:pStyle w:val="Listnumbered"/>
              <w:spacing w:after="0"/>
              <w:ind w:left="0" w:firstLine="0"/>
            </w:pPr>
            <w:proofErr w:type="spellStart"/>
            <w:r w:rsidRPr="00F61FEA">
              <w:rPr>
                <w:rFonts w:ascii="Segoe UI Semibold" w:hAnsi="Segoe UI Semibold" w:cs="Segoe UI Semibold"/>
                <w:color w:val="00264D" w:themeColor="background2"/>
                <w:sz w:val="22"/>
              </w:rPr>
              <w:t>ToR</w:t>
            </w:r>
            <w:proofErr w:type="spellEnd"/>
            <w:r w:rsidRPr="00F61FEA">
              <w:rPr>
                <w:rFonts w:ascii="Segoe UI Semibold" w:hAnsi="Segoe UI Semibold" w:cs="Segoe UI Semibold"/>
                <w:color w:val="00264D" w:themeColor="background2"/>
                <w:sz w:val="22"/>
              </w:rPr>
              <w:t xml:space="preserve"> 2</w:t>
            </w:r>
            <w:r>
              <w:rPr>
                <w:rFonts w:ascii="Segoe UI Semibold" w:hAnsi="Segoe UI Semibold" w:cs="Segoe UI Semibold"/>
                <w:color w:val="00264D" w:themeColor="background2"/>
                <w:sz w:val="22"/>
              </w:rPr>
              <w:t xml:space="preserve">: </w:t>
            </w:r>
            <w:r w:rsidRPr="004E0582">
              <w:rPr>
                <w:rFonts w:ascii="Segoe UI Semibold" w:hAnsi="Segoe UI Semibold" w:cs="Segoe UI Semibold"/>
                <w:color w:val="00264D" w:themeColor="background2"/>
                <w:sz w:val="22"/>
              </w:rPr>
              <w:t xml:space="preserve">The appropriateness of the </w:t>
            </w:r>
            <w:r>
              <w:rPr>
                <w:rFonts w:ascii="Segoe UI Semibold" w:hAnsi="Segoe UI Semibold" w:cs="Segoe UI Semibold"/>
                <w:color w:val="00264D" w:themeColor="background2"/>
                <w:sz w:val="22"/>
              </w:rPr>
              <w:t xml:space="preserve">UANP </w:t>
            </w:r>
            <w:r w:rsidRPr="004E0582">
              <w:rPr>
                <w:rFonts w:ascii="Segoe UI Semibold" w:hAnsi="Segoe UI Semibold" w:cs="Segoe UI Semibold"/>
                <w:color w:val="00264D" w:themeColor="background2"/>
                <w:sz w:val="22"/>
              </w:rPr>
              <w:t>funding instrument</w:t>
            </w:r>
          </w:p>
        </w:tc>
        <w:tc>
          <w:tcPr>
            <w:tcW w:w="992" w:type="dxa"/>
            <w:shd w:val="clear" w:color="auto" w:fill="D9D9D9" w:themeFill="background1" w:themeFillShade="D9"/>
          </w:tcPr>
          <w:p w14:paraId="750D4543" w14:textId="77777777" w:rsidR="007E2C02" w:rsidRDefault="007E2C02" w:rsidP="00F61FEA">
            <w:pPr>
              <w:jc w:val="center"/>
            </w:pPr>
          </w:p>
        </w:tc>
      </w:tr>
      <w:tr w:rsidR="00F61FEA" w:rsidRPr="00EC69C4" w14:paraId="2FE69060" w14:textId="77777777" w:rsidTr="00F75C40">
        <w:trPr>
          <w:cantSplit/>
        </w:trPr>
        <w:tc>
          <w:tcPr>
            <w:tcW w:w="993" w:type="dxa"/>
          </w:tcPr>
          <w:p w14:paraId="3671C861"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5</w:t>
            </w:r>
          </w:p>
        </w:tc>
        <w:tc>
          <w:tcPr>
            <w:tcW w:w="6945" w:type="dxa"/>
            <w:vAlign w:val="top"/>
          </w:tcPr>
          <w:p w14:paraId="46210BE7" w14:textId="77777777" w:rsidR="00F61FEA" w:rsidRPr="00EC69C4" w:rsidRDefault="00FC74BE" w:rsidP="00F61FEA">
            <w:pPr>
              <w:pStyle w:val="Listnumbered"/>
              <w:spacing w:after="0"/>
              <w:ind w:left="0" w:firstLine="0"/>
            </w:pPr>
            <w:r w:rsidRPr="00FC74BE">
              <w:t xml:space="preserve">The UANP’s </w:t>
            </w:r>
            <w:r w:rsidR="00FC42C6">
              <w:t>p</w:t>
            </w:r>
            <w:r w:rsidRPr="00FC74BE">
              <w:t xml:space="preserve">erformance </w:t>
            </w:r>
            <w:r w:rsidR="00FC42C6">
              <w:t>i</w:t>
            </w:r>
            <w:r w:rsidRPr="00FC74BE">
              <w:t>ndicators are relevant, if lacking any outcome measures</w:t>
            </w:r>
            <w:r w:rsidR="00F61FEA" w:rsidRPr="00EC69C4">
              <w:t>.</w:t>
            </w:r>
          </w:p>
        </w:tc>
        <w:tc>
          <w:tcPr>
            <w:tcW w:w="992" w:type="dxa"/>
          </w:tcPr>
          <w:p w14:paraId="7CD26E83" w14:textId="77777777" w:rsidR="00F61FEA" w:rsidRPr="00EC69C4" w:rsidRDefault="00F61FEA" w:rsidP="00F61FEA">
            <w:pPr>
              <w:jc w:val="center"/>
            </w:pPr>
            <w:r>
              <w:t>4</w:t>
            </w:r>
          </w:p>
        </w:tc>
      </w:tr>
      <w:tr w:rsidR="00F61FEA" w:rsidRPr="00EC69C4" w14:paraId="59559EE6" w14:textId="77777777" w:rsidTr="00F75C40">
        <w:trPr>
          <w:cantSplit/>
        </w:trPr>
        <w:tc>
          <w:tcPr>
            <w:tcW w:w="993" w:type="dxa"/>
          </w:tcPr>
          <w:p w14:paraId="3B3D8539"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6</w:t>
            </w:r>
          </w:p>
        </w:tc>
        <w:tc>
          <w:tcPr>
            <w:tcW w:w="6945" w:type="dxa"/>
            <w:vAlign w:val="top"/>
          </w:tcPr>
          <w:p w14:paraId="422CA716" w14:textId="77777777" w:rsidR="00F61FEA" w:rsidRPr="00EC69C4" w:rsidRDefault="00F61FEA" w:rsidP="00F61FEA">
            <w:pPr>
              <w:pStyle w:val="Listnumbered"/>
              <w:spacing w:after="0"/>
              <w:ind w:left="0" w:firstLine="0"/>
            </w:pPr>
            <w:r w:rsidRPr="00EC69C4">
              <w:t>The current approach to attendance data collection and measurement is problematic and the UANP’s reported levels of attendance are unreliable.</w:t>
            </w:r>
          </w:p>
        </w:tc>
        <w:tc>
          <w:tcPr>
            <w:tcW w:w="992" w:type="dxa"/>
          </w:tcPr>
          <w:p w14:paraId="4612C67E" w14:textId="77777777" w:rsidR="00F61FEA" w:rsidRPr="00EC69C4" w:rsidRDefault="00F61FEA" w:rsidP="00F61FEA">
            <w:pPr>
              <w:jc w:val="center"/>
            </w:pPr>
            <w:r>
              <w:t>4</w:t>
            </w:r>
          </w:p>
        </w:tc>
      </w:tr>
      <w:tr w:rsidR="00F61FEA" w:rsidRPr="00EC69C4" w14:paraId="0CC9A51C" w14:textId="77777777" w:rsidTr="00F75C40">
        <w:trPr>
          <w:cantSplit/>
        </w:trPr>
        <w:tc>
          <w:tcPr>
            <w:tcW w:w="993" w:type="dxa"/>
          </w:tcPr>
          <w:p w14:paraId="44BDB033"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7</w:t>
            </w:r>
          </w:p>
        </w:tc>
        <w:tc>
          <w:tcPr>
            <w:tcW w:w="6945" w:type="dxa"/>
            <w:vAlign w:val="top"/>
          </w:tcPr>
          <w:p w14:paraId="3C1D7BC7" w14:textId="77777777" w:rsidR="00F61FEA" w:rsidRPr="00EC69C4" w:rsidRDefault="00F61FEA" w:rsidP="00F61FEA">
            <w:pPr>
              <w:pStyle w:val="Listnumbered"/>
              <w:spacing w:after="0"/>
              <w:ind w:left="0" w:firstLine="0"/>
            </w:pPr>
            <w:r w:rsidRPr="00EC69C4">
              <w:t>Major strides have been made to develop preschool data collections and improve measurement of performance, but there are a range of issues yet to be resolved.</w:t>
            </w:r>
          </w:p>
        </w:tc>
        <w:tc>
          <w:tcPr>
            <w:tcW w:w="992" w:type="dxa"/>
          </w:tcPr>
          <w:p w14:paraId="522266AC" w14:textId="77777777" w:rsidR="00F61FEA" w:rsidRPr="00EC69C4" w:rsidRDefault="00F61FEA" w:rsidP="00F61FEA">
            <w:pPr>
              <w:jc w:val="center"/>
            </w:pPr>
            <w:r>
              <w:t>4</w:t>
            </w:r>
          </w:p>
        </w:tc>
      </w:tr>
      <w:tr w:rsidR="007E2C02" w:rsidRPr="00EC69C4" w14:paraId="7AF3CE9D" w14:textId="77777777" w:rsidTr="007E2C02">
        <w:trPr>
          <w:cantSplit/>
        </w:trPr>
        <w:tc>
          <w:tcPr>
            <w:tcW w:w="993" w:type="dxa"/>
            <w:shd w:val="clear" w:color="auto" w:fill="D9D9D9" w:themeFill="background1" w:themeFillShade="D9"/>
          </w:tcPr>
          <w:p w14:paraId="66EA5966" w14:textId="77777777" w:rsidR="007E2C02" w:rsidRPr="00F61FEA" w:rsidRDefault="007E2C02" w:rsidP="00F61FEA">
            <w:pPr>
              <w:jc w:val="center"/>
              <w:rPr>
                <w:rFonts w:ascii="Segoe UI Semibold" w:hAnsi="Segoe UI Semibold" w:cs="Segoe UI Semibold"/>
                <w:color w:val="25B3E0" w:themeColor="accent6"/>
                <w:sz w:val="22"/>
              </w:rPr>
            </w:pPr>
          </w:p>
        </w:tc>
        <w:tc>
          <w:tcPr>
            <w:tcW w:w="6945" w:type="dxa"/>
            <w:shd w:val="clear" w:color="auto" w:fill="D9D9D9" w:themeFill="background1" w:themeFillShade="D9"/>
            <w:vAlign w:val="top"/>
          </w:tcPr>
          <w:p w14:paraId="47747EC9" w14:textId="764A4DB9" w:rsidR="007E2C02" w:rsidRPr="00EC69C4" w:rsidRDefault="007E2C02" w:rsidP="00F61FEA">
            <w:pPr>
              <w:pStyle w:val="Listnumbered"/>
              <w:spacing w:after="0"/>
              <w:ind w:left="0" w:firstLine="0"/>
            </w:pPr>
            <w:proofErr w:type="spellStart"/>
            <w:r w:rsidRPr="00F61FEA">
              <w:rPr>
                <w:rFonts w:ascii="Segoe UI Semibold" w:hAnsi="Segoe UI Semibold" w:cs="Segoe UI Semibold"/>
                <w:color w:val="00264D" w:themeColor="background2"/>
                <w:sz w:val="22"/>
              </w:rPr>
              <w:t>ToR</w:t>
            </w:r>
            <w:proofErr w:type="spellEnd"/>
            <w:r w:rsidRPr="00F61FEA">
              <w:rPr>
                <w:rFonts w:ascii="Segoe UI Semibold" w:hAnsi="Segoe UI Semibold" w:cs="Segoe UI Semibold"/>
                <w:color w:val="00264D" w:themeColor="background2"/>
                <w:sz w:val="22"/>
              </w:rPr>
              <w:t xml:space="preserve"> 3</w:t>
            </w:r>
            <w:r>
              <w:rPr>
                <w:rFonts w:ascii="Segoe UI Semibold" w:hAnsi="Segoe UI Semibold" w:cs="Segoe UI Semibold"/>
                <w:color w:val="00264D" w:themeColor="background2"/>
                <w:sz w:val="22"/>
              </w:rPr>
              <w:t xml:space="preserve">: </w:t>
            </w:r>
            <w:r w:rsidRPr="004E0582">
              <w:rPr>
                <w:rFonts w:ascii="Segoe UI Semibold" w:hAnsi="Segoe UI Semibold" w:cs="Segoe UI Semibold"/>
                <w:color w:val="00264D" w:themeColor="background2"/>
                <w:sz w:val="22"/>
              </w:rPr>
              <w:t xml:space="preserve">The efficiency, </w:t>
            </w:r>
            <w:proofErr w:type="gramStart"/>
            <w:r w:rsidRPr="004E0582">
              <w:rPr>
                <w:rFonts w:ascii="Segoe UI Semibold" w:hAnsi="Segoe UI Semibold" w:cs="Segoe UI Semibold"/>
                <w:color w:val="00264D" w:themeColor="background2"/>
                <w:sz w:val="22"/>
              </w:rPr>
              <w:t>effectiveness</w:t>
            </w:r>
            <w:proofErr w:type="gramEnd"/>
            <w:r w:rsidRPr="004E0582">
              <w:rPr>
                <w:rFonts w:ascii="Segoe UI Semibold" w:hAnsi="Segoe UI Semibold" w:cs="Segoe UI Semibold"/>
                <w:color w:val="00264D" w:themeColor="background2"/>
                <w:sz w:val="22"/>
              </w:rPr>
              <w:t xml:space="preserve"> and equity of current UANP funding arrangements</w:t>
            </w:r>
          </w:p>
        </w:tc>
        <w:tc>
          <w:tcPr>
            <w:tcW w:w="992" w:type="dxa"/>
            <w:shd w:val="clear" w:color="auto" w:fill="D9D9D9" w:themeFill="background1" w:themeFillShade="D9"/>
          </w:tcPr>
          <w:p w14:paraId="5B30D1F7" w14:textId="77777777" w:rsidR="007E2C02" w:rsidRDefault="007E2C02" w:rsidP="00F61FEA">
            <w:pPr>
              <w:jc w:val="center"/>
            </w:pPr>
          </w:p>
        </w:tc>
      </w:tr>
      <w:tr w:rsidR="00F61FEA" w:rsidRPr="00EC69C4" w14:paraId="0A8B51E1" w14:textId="77777777" w:rsidTr="00F75C40">
        <w:trPr>
          <w:cantSplit/>
        </w:trPr>
        <w:tc>
          <w:tcPr>
            <w:tcW w:w="993" w:type="dxa"/>
          </w:tcPr>
          <w:p w14:paraId="42B78B26"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8</w:t>
            </w:r>
          </w:p>
        </w:tc>
        <w:tc>
          <w:tcPr>
            <w:tcW w:w="6945" w:type="dxa"/>
            <w:vAlign w:val="top"/>
          </w:tcPr>
          <w:p w14:paraId="1662063A" w14:textId="77777777" w:rsidR="00F61FEA" w:rsidRPr="00EC69C4" w:rsidRDefault="00FC74BE" w:rsidP="00F61FEA">
            <w:pPr>
              <w:pStyle w:val="Listnumbered"/>
              <w:spacing w:after="0"/>
              <w:ind w:left="0" w:firstLine="0"/>
            </w:pPr>
            <w:r w:rsidRPr="00FC74BE">
              <w:t>UANP funding arrangements have been effective in achieving the agreed outcomes, with some room for improvement</w:t>
            </w:r>
            <w:r w:rsidR="00F61FEA" w:rsidRPr="00EC69C4">
              <w:t>.</w:t>
            </w:r>
          </w:p>
        </w:tc>
        <w:tc>
          <w:tcPr>
            <w:tcW w:w="992" w:type="dxa"/>
          </w:tcPr>
          <w:p w14:paraId="4995953E" w14:textId="77777777" w:rsidR="00F61FEA" w:rsidRPr="00EC69C4" w:rsidRDefault="00F61FEA" w:rsidP="00F61FEA">
            <w:pPr>
              <w:jc w:val="center"/>
            </w:pPr>
            <w:r>
              <w:t>5</w:t>
            </w:r>
          </w:p>
        </w:tc>
      </w:tr>
      <w:tr w:rsidR="00F61FEA" w:rsidRPr="00EC69C4" w14:paraId="29FCD953" w14:textId="77777777" w:rsidTr="00F75C40">
        <w:trPr>
          <w:cantSplit/>
        </w:trPr>
        <w:tc>
          <w:tcPr>
            <w:tcW w:w="993" w:type="dxa"/>
          </w:tcPr>
          <w:p w14:paraId="1DD0DCDD" w14:textId="77777777" w:rsidR="00F61FEA" w:rsidRPr="00F61FEA" w:rsidRDefault="00F61FEA" w:rsidP="00F61FEA">
            <w:pPr>
              <w:jc w:val="center"/>
              <w:rPr>
                <w:rFonts w:ascii="Segoe UI Semibold" w:hAnsi="Segoe UI Semibold" w:cs="Segoe UI Semibold"/>
                <w:color w:val="25B3E0" w:themeColor="accent6"/>
                <w:sz w:val="22"/>
              </w:rPr>
            </w:pPr>
            <w:bookmarkStart w:id="43" w:name="_Hlk35956378"/>
            <w:r w:rsidRPr="00DC078B">
              <w:rPr>
                <w:rFonts w:ascii="Segoe UI Semibold" w:hAnsi="Segoe UI Semibold" w:cs="Segoe UI Semibold"/>
                <w:sz w:val="22"/>
              </w:rPr>
              <w:t>9</w:t>
            </w:r>
          </w:p>
        </w:tc>
        <w:tc>
          <w:tcPr>
            <w:tcW w:w="6945" w:type="dxa"/>
            <w:vAlign w:val="top"/>
          </w:tcPr>
          <w:p w14:paraId="70B5BFA2" w14:textId="77777777" w:rsidR="00F61FEA" w:rsidRPr="00EC69C4" w:rsidRDefault="00F61FEA" w:rsidP="00F61FEA">
            <w:pPr>
              <w:pStyle w:val="Listnumbered"/>
              <w:spacing w:after="0"/>
              <w:ind w:left="0" w:firstLine="0"/>
            </w:pPr>
            <w:r w:rsidRPr="00EC69C4">
              <w:t>The Review does not support the claim that some preschool enrolments benefit from a ‘double subsidy’ at a service level. While child care subsidies and UANP funding can accrue to the same preschool-aged child in CBDC, these two funding streams have different policy intents</w:t>
            </w:r>
            <w:r w:rsidR="00113139" w:rsidRPr="000A2B10" w:rsidDel="00BB0DB4">
              <w:t>.</w:t>
            </w:r>
          </w:p>
        </w:tc>
        <w:tc>
          <w:tcPr>
            <w:tcW w:w="992" w:type="dxa"/>
          </w:tcPr>
          <w:p w14:paraId="07859048" w14:textId="77777777" w:rsidR="00F61FEA" w:rsidRPr="00EC69C4" w:rsidRDefault="00F61FEA" w:rsidP="00F61FEA">
            <w:pPr>
              <w:jc w:val="center"/>
            </w:pPr>
            <w:r>
              <w:t>5</w:t>
            </w:r>
          </w:p>
        </w:tc>
      </w:tr>
      <w:tr w:rsidR="002265F7" w:rsidRPr="00EC69C4" w14:paraId="5DB79B84" w14:textId="77777777" w:rsidTr="00F75C40">
        <w:trPr>
          <w:cantSplit/>
        </w:trPr>
        <w:tc>
          <w:tcPr>
            <w:tcW w:w="993" w:type="dxa"/>
          </w:tcPr>
          <w:p w14:paraId="6429FD59" w14:textId="77777777" w:rsidR="002265F7" w:rsidRPr="00F61FEA" w:rsidRDefault="002265F7"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lastRenderedPageBreak/>
              <w:t>10</w:t>
            </w:r>
          </w:p>
        </w:tc>
        <w:tc>
          <w:tcPr>
            <w:tcW w:w="6945" w:type="dxa"/>
            <w:vAlign w:val="top"/>
          </w:tcPr>
          <w:p w14:paraId="39E92203" w14:textId="08E66D10" w:rsidR="002265F7" w:rsidRPr="00EC69C4" w:rsidRDefault="00FC74BE" w:rsidP="00F61FEA">
            <w:pPr>
              <w:pStyle w:val="Listnumbered"/>
              <w:spacing w:after="0"/>
              <w:ind w:left="0" w:firstLine="0"/>
            </w:pPr>
            <w:r w:rsidRPr="00FC74BE">
              <w:t xml:space="preserve">The Review does not accept that jurisdictions that attract relatively high amounts of </w:t>
            </w:r>
            <w:r w:rsidR="00BB0DB4">
              <w:t>CCS</w:t>
            </w:r>
            <w:r w:rsidRPr="00FC74BE">
              <w:t xml:space="preserve"> are ‘double dipping’. Funding flexibility contributes to the efficiency of current arrangements and is an accepted feature of the UANP. The apparent variation in the relative amount of State and Territory investment warrants further analysis</w:t>
            </w:r>
            <w:r w:rsidR="008C32C2">
              <w:t>, however</w:t>
            </w:r>
            <w:r w:rsidR="003B4880">
              <w:t>.</w:t>
            </w:r>
          </w:p>
        </w:tc>
        <w:tc>
          <w:tcPr>
            <w:tcW w:w="992" w:type="dxa"/>
          </w:tcPr>
          <w:p w14:paraId="3FCAAF65" w14:textId="77777777" w:rsidR="002265F7" w:rsidRDefault="00F01447" w:rsidP="00F61FEA">
            <w:pPr>
              <w:jc w:val="center"/>
            </w:pPr>
            <w:r>
              <w:t>5</w:t>
            </w:r>
          </w:p>
        </w:tc>
      </w:tr>
      <w:tr w:rsidR="007E2C02" w:rsidRPr="00EC69C4" w14:paraId="54B73D41" w14:textId="77777777" w:rsidTr="007E2C02">
        <w:trPr>
          <w:cantSplit/>
        </w:trPr>
        <w:tc>
          <w:tcPr>
            <w:tcW w:w="993" w:type="dxa"/>
            <w:shd w:val="clear" w:color="auto" w:fill="D9D9D9" w:themeFill="background1" w:themeFillShade="D9"/>
          </w:tcPr>
          <w:p w14:paraId="7B09163B" w14:textId="77777777" w:rsidR="007E2C02" w:rsidRDefault="007E2C02" w:rsidP="00F61FEA">
            <w:pPr>
              <w:jc w:val="center"/>
              <w:rPr>
                <w:rFonts w:ascii="Segoe UI Semibold" w:hAnsi="Segoe UI Semibold" w:cs="Segoe UI Semibold"/>
                <w:color w:val="25B3E0" w:themeColor="accent6"/>
                <w:sz w:val="22"/>
              </w:rPr>
            </w:pPr>
          </w:p>
        </w:tc>
        <w:tc>
          <w:tcPr>
            <w:tcW w:w="6945" w:type="dxa"/>
            <w:shd w:val="clear" w:color="auto" w:fill="D9D9D9" w:themeFill="background1" w:themeFillShade="D9"/>
            <w:vAlign w:val="top"/>
          </w:tcPr>
          <w:p w14:paraId="26A6CFCB" w14:textId="14B5B9DD" w:rsidR="007E2C02" w:rsidRPr="00FC74BE" w:rsidRDefault="007E2C02" w:rsidP="00F61FEA">
            <w:pPr>
              <w:pStyle w:val="Listnumbered"/>
              <w:spacing w:after="0"/>
              <w:ind w:left="0" w:firstLine="0"/>
            </w:pPr>
            <w:proofErr w:type="spellStart"/>
            <w:r w:rsidRPr="00F61FEA">
              <w:rPr>
                <w:rFonts w:ascii="Segoe UI Semibold" w:hAnsi="Segoe UI Semibold" w:cs="Segoe UI Semibold"/>
                <w:color w:val="00264D" w:themeColor="background2"/>
                <w:sz w:val="22"/>
              </w:rPr>
              <w:t>ToR</w:t>
            </w:r>
            <w:proofErr w:type="spellEnd"/>
            <w:r w:rsidRPr="00F61FEA">
              <w:rPr>
                <w:rFonts w:ascii="Segoe UI Semibold" w:hAnsi="Segoe UI Semibold" w:cs="Segoe UI Semibold"/>
                <w:color w:val="00264D" w:themeColor="background2"/>
                <w:sz w:val="22"/>
              </w:rPr>
              <w:t xml:space="preserve"> 4</w:t>
            </w:r>
            <w:r>
              <w:rPr>
                <w:rFonts w:ascii="Segoe UI Semibold" w:hAnsi="Segoe UI Semibold" w:cs="Segoe UI Semibold"/>
                <w:color w:val="00264D" w:themeColor="background2"/>
                <w:sz w:val="22"/>
              </w:rPr>
              <w:t xml:space="preserve">: </w:t>
            </w:r>
            <w:r w:rsidRPr="004E0582">
              <w:rPr>
                <w:rFonts w:ascii="Segoe UI Semibold" w:hAnsi="Segoe UI Semibold" w:cs="Segoe UI Semibold"/>
                <w:color w:val="00264D" w:themeColor="background2"/>
                <w:sz w:val="22"/>
              </w:rPr>
              <w:t>The context in which the UANP operates</w:t>
            </w:r>
          </w:p>
        </w:tc>
        <w:tc>
          <w:tcPr>
            <w:tcW w:w="992" w:type="dxa"/>
            <w:shd w:val="clear" w:color="auto" w:fill="D9D9D9" w:themeFill="background1" w:themeFillShade="D9"/>
          </w:tcPr>
          <w:p w14:paraId="687E6A0C" w14:textId="77777777" w:rsidR="007E2C02" w:rsidRDefault="007E2C02" w:rsidP="00F61FEA">
            <w:pPr>
              <w:jc w:val="center"/>
            </w:pPr>
          </w:p>
        </w:tc>
      </w:tr>
      <w:bookmarkEnd w:id="43"/>
      <w:tr w:rsidR="00F61FEA" w:rsidRPr="00EC69C4" w14:paraId="2515FF43" w14:textId="77777777" w:rsidTr="00F75C40">
        <w:trPr>
          <w:cantSplit/>
        </w:trPr>
        <w:tc>
          <w:tcPr>
            <w:tcW w:w="993" w:type="dxa"/>
          </w:tcPr>
          <w:p w14:paraId="1776CFC5"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w:t>
            </w:r>
            <w:r w:rsidR="002265F7" w:rsidRPr="00DC078B">
              <w:rPr>
                <w:rFonts w:ascii="Segoe UI Semibold" w:hAnsi="Segoe UI Semibold" w:cs="Segoe UI Semibold"/>
                <w:sz w:val="22"/>
              </w:rPr>
              <w:t>1</w:t>
            </w:r>
          </w:p>
        </w:tc>
        <w:tc>
          <w:tcPr>
            <w:tcW w:w="6945" w:type="dxa"/>
            <w:vAlign w:val="top"/>
          </w:tcPr>
          <w:p w14:paraId="440D86F1" w14:textId="6F39A56C" w:rsidR="00F61FEA" w:rsidRPr="00EC69C4" w:rsidRDefault="00C120A3" w:rsidP="00F61FEA">
            <w:pPr>
              <w:pStyle w:val="Listnumbered"/>
              <w:spacing w:after="0"/>
              <w:ind w:left="0" w:firstLine="0"/>
            </w:pPr>
            <w:r w:rsidRPr="00C120A3">
              <w:t>A key strength of the UANP has been the flexibility it provides for States and Territories to direct funding in a way that best meets local conditions and priorities, while still ensuring that its terms are being met</w:t>
            </w:r>
            <w:r w:rsidR="00F61FEA" w:rsidRPr="00EC69C4">
              <w:t>.</w:t>
            </w:r>
            <w:r w:rsidR="000A2B10">
              <w:t xml:space="preserve"> Such flexibility involves a trade-off between national consistency in service and funding models.</w:t>
            </w:r>
          </w:p>
        </w:tc>
        <w:tc>
          <w:tcPr>
            <w:tcW w:w="992" w:type="dxa"/>
          </w:tcPr>
          <w:p w14:paraId="55FEA53D" w14:textId="77777777" w:rsidR="00F61FEA" w:rsidRPr="00EC69C4" w:rsidRDefault="00F61FEA" w:rsidP="00F61FEA">
            <w:pPr>
              <w:jc w:val="center"/>
            </w:pPr>
            <w:r>
              <w:t>2</w:t>
            </w:r>
          </w:p>
        </w:tc>
      </w:tr>
      <w:tr w:rsidR="00F61FEA" w:rsidRPr="00EC69C4" w14:paraId="38BBFCD8" w14:textId="77777777" w:rsidTr="00F75C40">
        <w:trPr>
          <w:cantSplit/>
        </w:trPr>
        <w:tc>
          <w:tcPr>
            <w:tcW w:w="993" w:type="dxa"/>
          </w:tcPr>
          <w:p w14:paraId="57EE689B"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w:t>
            </w:r>
            <w:r w:rsidR="002265F7" w:rsidRPr="00DC078B">
              <w:rPr>
                <w:rFonts w:ascii="Segoe UI Semibold" w:hAnsi="Segoe UI Semibold" w:cs="Segoe UI Semibold"/>
                <w:sz w:val="22"/>
              </w:rPr>
              <w:t>2</w:t>
            </w:r>
          </w:p>
        </w:tc>
        <w:tc>
          <w:tcPr>
            <w:tcW w:w="6945" w:type="dxa"/>
            <w:vAlign w:val="top"/>
          </w:tcPr>
          <w:p w14:paraId="702FF625" w14:textId="1E88B1B5" w:rsidR="00F61FEA" w:rsidRPr="00EC69C4" w:rsidRDefault="00FC74BE" w:rsidP="00F61FEA">
            <w:pPr>
              <w:pStyle w:val="Listnumbered"/>
              <w:spacing w:after="0"/>
              <w:ind w:left="0" w:firstLine="0"/>
            </w:pPr>
            <w:r w:rsidRPr="00FC74BE">
              <w:t xml:space="preserve">The Australian Government’s funding contribution delivered via the UANP </w:t>
            </w:r>
            <w:r w:rsidR="00A34243">
              <w:t>contributes to</w:t>
            </w:r>
            <w:r w:rsidR="00F11A73" w:rsidRPr="00FC74BE">
              <w:t xml:space="preserve"> </w:t>
            </w:r>
            <w:r w:rsidRPr="00FC74BE">
              <w:t>State and Territory preschool investment, which is significant, if uneven</w:t>
            </w:r>
            <w:r w:rsidR="00F61FEA" w:rsidRPr="00EC69C4">
              <w:t>.</w:t>
            </w:r>
          </w:p>
        </w:tc>
        <w:tc>
          <w:tcPr>
            <w:tcW w:w="992" w:type="dxa"/>
          </w:tcPr>
          <w:p w14:paraId="7B02E299" w14:textId="77777777" w:rsidR="00F61FEA" w:rsidRPr="00EC69C4" w:rsidRDefault="00F61FEA" w:rsidP="00F61FEA">
            <w:pPr>
              <w:jc w:val="center"/>
            </w:pPr>
            <w:r>
              <w:t>2</w:t>
            </w:r>
          </w:p>
        </w:tc>
      </w:tr>
      <w:tr w:rsidR="007E2C02" w:rsidRPr="00EC69C4" w14:paraId="1816BDE1" w14:textId="77777777" w:rsidTr="007E2C02">
        <w:trPr>
          <w:cantSplit/>
        </w:trPr>
        <w:tc>
          <w:tcPr>
            <w:tcW w:w="993" w:type="dxa"/>
            <w:shd w:val="clear" w:color="auto" w:fill="D9D9D9" w:themeFill="background1" w:themeFillShade="D9"/>
          </w:tcPr>
          <w:p w14:paraId="23D951B1" w14:textId="77777777" w:rsidR="007E2C02" w:rsidRPr="00F61FEA" w:rsidRDefault="007E2C02" w:rsidP="00F61FEA">
            <w:pPr>
              <w:jc w:val="center"/>
              <w:rPr>
                <w:rFonts w:ascii="Segoe UI Semibold" w:hAnsi="Segoe UI Semibold" w:cs="Segoe UI Semibold"/>
                <w:color w:val="25B3E0" w:themeColor="accent6"/>
                <w:sz w:val="22"/>
              </w:rPr>
            </w:pPr>
          </w:p>
        </w:tc>
        <w:tc>
          <w:tcPr>
            <w:tcW w:w="6945" w:type="dxa"/>
            <w:shd w:val="clear" w:color="auto" w:fill="D9D9D9" w:themeFill="background1" w:themeFillShade="D9"/>
            <w:vAlign w:val="top"/>
          </w:tcPr>
          <w:p w14:paraId="631FAF2B" w14:textId="3B7F0C33" w:rsidR="007E2C02" w:rsidRPr="00FC74BE" w:rsidRDefault="007E2C02" w:rsidP="00F61FEA">
            <w:pPr>
              <w:pStyle w:val="Listnumbered"/>
              <w:spacing w:after="0"/>
              <w:ind w:left="0" w:firstLine="0"/>
            </w:pPr>
            <w:proofErr w:type="spellStart"/>
            <w:r w:rsidRPr="007E2C02">
              <w:rPr>
                <w:rFonts w:ascii="Segoe UI Semibold" w:hAnsi="Segoe UI Semibold" w:cs="Segoe UI Semibold"/>
                <w:color w:val="00264D" w:themeColor="background2"/>
                <w:sz w:val="22"/>
              </w:rPr>
              <w:t>ToR</w:t>
            </w:r>
            <w:proofErr w:type="spellEnd"/>
            <w:r w:rsidRPr="007E2C02">
              <w:rPr>
                <w:rFonts w:ascii="Segoe UI Semibold" w:hAnsi="Segoe UI Semibold" w:cs="Segoe UI Semibold"/>
                <w:color w:val="00264D" w:themeColor="background2"/>
                <w:sz w:val="22"/>
              </w:rPr>
              <w:t xml:space="preserve"> 5: Future policy settings for children in the YBFS</w:t>
            </w:r>
          </w:p>
        </w:tc>
        <w:tc>
          <w:tcPr>
            <w:tcW w:w="992" w:type="dxa"/>
            <w:shd w:val="clear" w:color="auto" w:fill="D9D9D9" w:themeFill="background1" w:themeFillShade="D9"/>
          </w:tcPr>
          <w:p w14:paraId="518FE37B" w14:textId="77777777" w:rsidR="007E2C02" w:rsidRDefault="007E2C02" w:rsidP="00F61FEA">
            <w:pPr>
              <w:jc w:val="center"/>
            </w:pPr>
          </w:p>
        </w:tc>
      </w:tr>
      <w:tr w:rsidR="00F61FEA" w:rsidRPr="00EC69C4" w14:paraId="4967F946" w14:textId="77777777" w:rsidTr="00F75C40">
        <w:trPr>
          <w:cantSplit/>
        </w:trPr>
        <w:tc>
          <w:tcPr>
            <w:tcW w:w="993" w:type="dxa"/>
          </w:tcPr>
          <w:p w14:paraId="0A2A0521" w14:textId="77777777" w:rsidR="00F61FEA" w:rsidRPr="00F61FEA" w:rsidRDefault="00F61FEA" w:rsidP="00F61FEA">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w:t>
            </w:r>
            <w:r w:rsidR="002265F7" w:rsidRPr="00DC078B">
              <w:rPr>
                <w:rFonts w:ascii="Segoe UI Semibold" w:hAnsi="Segoe UI Semibold" w:cs="Segoe UI Semibold"/>
                <w:sz w:val="22"/>
              </w:rPr>
              <w:t>3</w:t>
            </w:r>
          </w:p>
        </w:tc>
        <w:tc>
          <w:tcPr>
            <w:tcW w:w="6945" w:type="dxa"/>
            <w:vAlign w:val="top"/>
          </w:tcPr>
          <w:p w14:paraId="0913751E" w14:textId="77777777" w:rsidR="00F61FEA" w:rsidRPr="00EC69C4" w:rsidRDefault="00F61FEA" w:rsidP="00F61FEA">
            <w:pPr>
              <w:pStyle w:val="Listnumbered"/>
              <w:spacing w:after="0"/>
              <w:ind w:left="0" w:firstLine="0"/>
            </w:pPr>
            <w:r w:rsidRPr="00EC69C4">
              <w:t>The collective achievement of governments in delivering universal access to quality preschool in the YBFS has been significant, and the return on this investment is starting to become apparent in children’s further developmental and educational progress.</w:t>
            </w:r>
          </w:p>
        </w:tc>
        <w:tc>
          <w:tcPr>
            <w:tcW w:w="992" w:type="dxa"/>
          </w:tcPr>
          <w:p w14:paraId="4A80C73B" w14:textId="77777777" w:rsidR="00F61FEA" w:rsidRPr="00EC69C4" w:rsidRDefault="00F61FEA" w:rsidP="00F61FEA">
            <w:pPr>
              <w:jc w:val="center"/>
            </w:pPr>
            <w:r>
              <w:t>6</w:t>
            </w:r>
          </w:p>
        </w:tc>
      </w:tr>
      <w:tr w:rsidR="00D74014" w:rsidRPr="00EC69C4" w14:paraId="1757C717" w14:textId="77777777" w:rsidTr="00F75C40">
        <w:trPr>
          <w:cantSplit/>
        </w:trPr>
        <w:tc>
          <w:tcPr>
            <w:tcW w:w="993" w:type="dxa"/>
          </w:tcPr>
          <w:p w14:paraId="34D2E047" w14:textId="77777777" w:rsidR="00D74014" w:rsidRPr="00F61FEA" w:rsidRDefault="00D74014" w:rsidP="00D74014">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14</w:t>
            </w:r>
          </w:p>
        </w:tc>
        <w:tc>
          <w:tcPr>
            <w:tcW w:w="6945" w:type="dxa"/>
            <w:vAlign w:val="top"/>
          </w:tcPr>
          <w:p w14:paraId="18F2C236" w14:textId="77777777" w:rsidR="00D74014" w:rsidRPr="00EC69C4" w:rsidRDefault="00D74014" w:rsidP="00D74014">
            <w:pPr>
              <w:pStyle w:val="Listnumbered"/>
              <w:spacing w:after="0"/>
              <w:ind w:left="0" w:firstLine="0"/>
            </w:pPr>
            <w:r w:rsidRPr="00EC69C4">
              <w:t>The Early Learning Reform Principles should be a guiding light for future preschool policy developments and a key reference for prioritising future reforms and funding commitments.</w:t>
            </w:r>
          </w:p>
        </w:tc>
        <w:tc>
          <w:tcPr>
            <w:tcW w:w="992" w:type="dxa"/>
            <w:vAlign w:val="top"/>
          </w:tcPr>
          <w:p w14:paraId="341150DC" w14:textId="77777777" w:rsidR="00D74014" w:rsidRPr="002C297B" w:rsidRDefault="00D74014" w:rsidP="00D74014">
            <w:pPr>
              <w:jc w:val="center"/>
            </w:pPr>
            <w:r w:rsidRPr="002C297B">
              <w:t>6</w:t>
            </w:r>
          </w:p>
        </w:tc>
      </w:tr>
      <w:tr w:rsidR="00D74014" w:rsidRPr="00EC69C4" w14:paraId="351D9489" w14:textId="77777777" w:rsidTr="00F75C40">
        <w:trPr>
          <w:cantSplit/>
        </w:trPr>
        <w:tc>
          <w:tcPr>
            <w:tcW w:w="993" w:type="dxa"/>
          </w:tcPr>
          <w:p w14:paraId="1D7D758E" w14:textId="77777777" w:rsidR="00D74014" w:rsidRPr="00F61FEA" w:rsidRDefault="00D74014" w:rsidP="00D74014">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15</w:t>
            </w:r>
          </w:p>
        </w:tc>
        <w:tc>
          <w:tcPr>
            <w:tcW w:w="6945" w:type="dxa"/>
            <w:vAlign w:val="top"/>
          </w:tcPr>
          <w:p w14:paraId="711384E7" w14:textId="0B2F0D42" w:rsidR="00FD4EB4" w:rsidRPr="00EC69C4" w:rsidRDefault="00D74014" w:rsidP="00D74014">
            <w:pPr>
              <w:pStyle w:val="Listnumbered"/>
              <w:spacing w:after="0"/>
              <w:ind w:left="0" w:firstLine="0"/>
            </w:pPr>
            <w:bookmarkStart w:id="44" w:name="_Hlk32329541"/>
            <w:r w:rsidRPr="00EC69C4">
              <w:t>To build on progress</w:t>
            </w:r>
            <w:r w:rsidR="004453AB">
              <w:t xml:space="preserve">, meet the needs </w:t>
            </w:r>
            <w:r w:rsidR="004453AB" w:rsidRPr="004453AB">
              <w:t>of parents and communities</w:t>
            </w:r>
            <w:r w:rsidR="00C74603">
              <w:t xml:space="preserve">, </w:t>
            </w:r>
            <w:r w:rsidRPr="00EC69C4">
              <w:t>and avoid risks to universal access</w:t>
            </w:r>
            <w:r w:rsidR="004453AB">
              <w:t xml:space="preserve"> and</w:t>
            </w:r>
            <w:r w:rsidR="004453AB" w:rsidRPr="00EC69C4">
              <w:t xml:space="preserve"> </w:t>
            </w:r>
            <w:r w:rsidRPr="00EC69C4">
              <w:t xml:space="preserve">quality, governments should maintain </w:t>
            </w:r>
            <w:r w:rsidR="0073102D">
              <w:t xml:space="preserve">their commitment to </w:t>
            </w:r>
            <w:r w:rsidR="00427AA7">
              <w:t xml:space="preserve">funding </w:t>
            </w:r>
            <w:r w:rsidRPr="00EC69C4">
              <w:t>universal preschool in the YBFS</w:t>
            </w:r>
            <w:bookmarkEnd w:id="44"/>
            <w:r w:rsidRPr="00EC69C4">
              <w:t>.</w:t>
            </w:r>
          </w:p>
        </w:tc>
        <w:tc>
          <w:tcPr>
            <w:tcW w:w="992" w:type="dxa"/>
            <w:vAlign w:val="top"/>
          </w:tcPr>
          <w:p w14:paraId="14DE743A" w14:textId="77777777" w:rsidR="00D74014" w:rsidRPr="002C297B" w:rsidRDefault="00D74014" w:rsidP="00D74014">
            <w:pPr>
              <w:jc w:val="center"/>
            </w:pPr>
            <w:r w:rsidRPr="002C297B">
              <w:t>6</w:t>
            </w:r>
          </w:p>
        </w:tc>
      </w:tr>
      <w:tr w:rsidR="00D74014" w:rsidRPr="00EC69C4" w14:paraId="7B67B808" w14:textId="77777777" w:rsidTr="00F75C40">
        <w:trPr>
          <w:cantSplit/>
        </w:trPr>
        <w:tc>
          <w:tcPr>
            <w:tcW w:w="993" w:type="dxa"/>
          </w:tcPr>
          <w:p w14:paraId="4AD81FD7" w14:textId="77777777" w:rsidR="00D74014" w:rsidRPr="00F61FEA" w:rsidRDefault="00D74014" w:rsidP="00D74014">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16</w:t>
            </w:r>
          </w:p>
        </w:tc>
        <w:tc>
          <w:tcPr>
            <w:tcW w:w="6945" w:type="dxa"/>
            <w:vAlign w:val="top"/>
          </w:tcPr>
          <w:p w14:paraId="604A4D4D" w14:textId="4243045A" w:rsidR="00D74014" w:rsidRPr="00EC69C4" w:rsidRDefault="00D74014" w:rsidP="00D74014">
            <w:pPr>
              <w:pStyle w:val="Listnumbered"/>
              <w:spacing w:after="0"/>
              <w:ind w:left="0" w:firstLine="0"/>
            </w:pPr>
            <w:r w:rsidRPr="00EC69C4">
              <w:t xml:space="preserve">Any </w:t>
            </w:r>
            <w:r w:rsidR="00280F1D">
              <w:t>reduction</w:t>
            </w:r>
            <w:r w:rsidR="00280F1D" w:rsidRPr="00EC69C4">
              <w:t xml:space="preserve"> </w:t>
            </w:r>
            <w:r w:rsidRPr="00EC69C4">
              <w:t xml:space="preserve">in Australian Government funding </w:t>
            </w:r>
            <w:r>
              <w:t>for</w:t>
            </w:r>
            <w:r w:rsidRPr="00EC69C4">
              <w:t xml:space="preserve"> YBFS preschool would trigger immediate and longer-term consequences. If changes were to be considered, the impacts, including on </w:t>
            </w:r>
            <w:r>
              <w:t xml:space="preserve">fees and </w:t>
            </w:r>
            <w:r w:rsidRPr="00EC69C4">
              <w:t xml:space="preserve">the </w:t>
            </w:r>
            <w:r w:rsidR="00BB0DB4">
              <w:t>CCS</w:t>
            </w:r>
            <w:r w:rsidRPr="00EC69C4">
              <w:t xml:space="preserve">, should be modelled. </w:t>
            </w:r>
          </w:p>
        </w:tc>
        <w:tc>
          <w:tcPr>
            <w:tcW w:w="992" w:type="dxa"/>
            <w:vAlign w:val="top"/>
          </w:tcPr>
          <w:p w14:paraId="1D8466C8" w14:textId="77777777" w:rsidR="00D74014" w:rsidRPr="002C297B" w:rsidRDefault="00D74014" w:rsidP="00D74014">
            <w:pPr>
              <w:jc w:val="center"/>
            </w:pPr>
            <w:r w:rsidRPr="002C297B">
              <w:t>6</w:t>
            </w:r>
          </w:p>
        </w:tc>
      </w:tr>
      <w:tr w:rsidR="00D74014" w:rsidRPr="00EC69C4" w14:paraId="441C37E8" w14:textId="77777777" w:rsidTr="00F75C40">
        <w:trPr>
          <w:cantSplit/>
        </w:trPr>
        <w:tc>
          <w:tcPr>
            <w:tcW w:w="993" w:type="dxa"/>
          </w:tcPr>
          <w:p w14:paraId="550BFFA5" w14:textId="77777777" w:rsidR="00D74014" w:rsidRPr="00F61FEA" w:rsidRDefault="00D74014" w:rsidP="00D74014">
            <w:pPr>
              <w:jc w:val="center"/>
              <w:rPr>
                <w:rFonts w:ascii="Segoe UI Semibold" w:hAnsi="Segoe UI Semibold" w:cs="Segoe UI Semibold"/>
                <w:color w:val="25B3E0" w:themeColor="accent6"/>
                <w:sz w:val="22"/>
              </w:rPr>
            </w:pPr>
            <w:r w:rsidRPr="00DC078B">
              <w:rPr>
                <w:rFonts w:ascii="Segoe UI Semibold" w:hAnsi="Segoe UI Semibold" w:cs="Segoe UI Semibold"/>
                <w:sz w:val="22"/>
              </w:rPr>
              <w:t>17</w:t>
            </w:r>
          </w:p>
        </w:tc>
        <w:tc>
          <w:tcPr>
            <w:tcW w:w="6945" w:type="dxa"/>
            <w:vAlign w:val="top"/>
          </w:tcPr>
          <w:p w14:paraId="485B36C8" w14:textId="4380EB94" w:rsidR="00D74014" w:rsidRPr="00EC69C4" w:rsidRDefault="00D74014" w:rsidP="00D74014">
            <w:pPr>
              <w:pStyle w:val="Listnumbered"/>
              <w:spacing w:after="0"/>
              <w:ind w:left="0" w:firstLine="0"/>
            </w:pPr>
            <w:r w:rsidRPr="00713657">
              <w:t xml:space="preserve">The next phase of universal access to quality YBFS preschool represents a significant new era of </w:t>
            </w:r>
            <w:r>
              <w:t>development</w:t>
            </w:r>
            <w:r w:rsidRPr="00713657">
              <w:t xml:space="preserve">, to follow the previous phases of establishment and </w:t>
            </w:r>
            <w:r w:rsidR="008B2373">
              <w:t>development</w:t>
            </w:r>
            <w:r w:rsidRPr="00EC69C4">
              <w:t>.</w:t>
            </w:r>
            <w:r w:rsidRPr="006C03A5">
              <w:rPr>
                <w:rFonts w:ascii="Calibri Light" w:hAnsi="Calibri Light" w:cs="Calibri Light"/>
                <w:color w:val="FFFFFF"/>
                <w:lang w:val="en-US"/>
              </w:rPr>
              <w:t xml:space="preserve"> </w:t>
            </w:r>
            <w:r w:rsidRPr="006C03A5">
              <w:rPr>
                <w:lang w:val="en-US"/>
              </w:rPr>
              <w:t xml:space="preserve">In general </w:t>
            </w:r>
            <w:r>
              <w:rPr>
                <w:lang w:val="en-US"/>
              </w:rPr>
              <w:t>S</w:t>
            </w:r>
            <w:r w:rsidRPr="006C03A5">
              <w:rPr>
                <w:lang w:val="en-US"/>
              </w:rPr>
              <w:t xml:space="preserve">tates and </w:t>
            </w:r>
            <w:r>
              <w:rPr>
                <w:lang w:val="en-US"/>
              </w:rPr>
              <w:t>T</w:t>
            </w:r>
            <w:r w:rsidRPr="006C03A5">
              <w:rPr>
                <w:lang w:val="en-US"/>
              </w:rPr>
              <w:t>erritories need to continue to design their own sectors and systems for preschool provision but also to actively share experiences and each consider how their systems might improve for children and families.</w:t>
            </w:r>
            <w:r w:rsidR="00280F12">
              <w:rPr>
                <w:lang w:val="en-US"/>
              </w:rPr>
              <w:t xml:space="preserve"> </w:t>
            </w:r>
            <w:r w:rsidR="00280F12" w:rsidRPr="00280F12">
              <w:rPr>
                <w:lang w:val="en-US"/>
              </w:rPr>
              <w:t>This should continue to be facilitated through national policy coordination with leadership by the Australian Government.</w:t>
            </w:r>
          </w:p>
        </w:tc>
        <w:tc>
          <w:tcPr>
            <w:tcW w:w="992" w:type="dxa"/>
            <w:vAlign w:val="top"/>
          </w:tcPr>
          <w:p w14:paraId="6E516853" w14:textId="77777777" w:rsidR="00D74014" w:rsidRPr="00EC69C4" w:rsidRDefault="00D74014" w:rsidP="00D74014">
            <w:pPr>
              <w:jc w:val="center"/>
            </w:pPr>
            <w:r w:rsidRPr="002C297B">
              <w:t>6</w:t>
            </w:r>
          </w:p>
        </w:tc>
      </w:tr>
      <w:tr w:rsidR="00D74014" w:rsidRPr="00EC69C4" w14:paraId="327231FB" w14:textId="77777777" w:rsidTr="00F75C40">
        <w:trPr>
          <w:cantSplit/>
        </w:trPr>
        <w:tc>
          <w:tcPr>
            <w:tcW w:w="993" w:type="dxa"/>
          </w:tcPr>
          <w:p w14:paraId="09998D96"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18</w:t>
            </w:r>
          </w:p>
        </w:tc>
        <w:tc>
          <w:tcPr>
            <w:tcW w:w="6945" w:type="dxa"/>
            <w:vAlign w:val="top"/>
          </w:tcPr>
          <w:p w14:paraId="62D95FD9" w14:textId="77777777" w:rsidR="00A434B9" w:rsidRPr="00EC69C4" w:rsidRDefault="00D74014" w:rsidP="00D74014">
            <w:pPr>
              <w:pStyle w:val="Listnumbered"/>
              <w:spacing w:after="0"/>
              <w:ind w:left="0" w:firstLine="0"/>
            </w:pPr>
            <w:r w:rsidRPr="00FC74BE">
              <w:t xml:space="preserve">Efforts must continue to improve participation by all children. Successor arrangements to the UANP should include reforms that extend beyond access and availability of services to focus on facilitating attendance and improving program quality where needed. </w:t>
            </w:r>
            <w:bookmarkStart w:id="45" w:name="_Hlk25574973"/>
            <w:r w:rsidRPr="00FC74BE">
              <w:t xml:space="preserve">Governments should continue to focus particularly on Indigenous </w:t>
            </w:r>
            <w:r w:rsidR="00BB0DB4">
              <w:t xml:space="preserve">children </w:t>
            </w:r>
            <w:r w:rsidRPr="00FC74BE">
              <w:t>and children experiencing vulnerability and disadvantage, as these target cohorts have lower enrolment rates and much to gain from quality preschool</w:t>
            </w:r>
            <w:r w:rsidRPr="00EC69C4">
              <w:t xml:space="preserve">. </w:t>
            </w:r>
            <w:bookmarkEnd w:id="45"/>
          </w:p>
        </w:tc>
        <w:tc>
          <w:tcPr>
            <w:tcW w:w="992" w:type="dxa"/>
            <w:vAlign w:val="top"/>
          </w:tcPr>
          <w:p w14:paraId="483EF60D" w14:textId="77777777" w:rsidR="00D74014" w:rsidRPr="00EC69C4" w:rsidRDefault="00D74014" w:rsidP="00D74014">
            <w:pPr>
              <w:jc w:val="center"/>
            </w:pPr>
            <w:r w:rsidRPr="002C297B">
              <w:t>6</w:t>
            </w:r>
          </w:p>
        </w:tc>
      </w:tr>
      <w:tr w:rsidR="00D74014" w:rsidRPr="00EC69C4" w14:paraId="68DC47DD" w14:textId="77777777" w:rsidTr="00F75C40">
        <w:trPr>
          <w:cantSplit/>
        </w:trPr>
        <w:tc>
          <w:tcPr>
            <w:tcW w:w="993" w:type="dxa"/>
          </w:tcPr>
          <w:p w14:paraId="61F43B2E"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lastRenderedPageBreak/>
              <w:t>19</w:t>
            </w:r>
          </w:p>
        </w:tc>
        <w:tc>
          <w:tcPr>
            <w:tcW w:w="6945" w:type="dxa"/>
            <w:vAlign w:val="top"/>
          </w:tcPr>
          <w:p w14:paraId="718F3B1C" w14:textId="77777777" w:rsidR="00D74014" w:rsidRPr="00EC69C4" w:rsidRDefault="00D74014" w:rsidP="00D74014">
            <w:pPr>
              <w:pStyle w:val="Listnumbered"/>
              <w:spacing w:after="0"/>
              <w:ind w:left="0" w:firstLine="0"/>
            </w:pPr>
            <w:r w:rsidRPr="00EC69C4">
              <w:t xml:space="preserve">Governments should </w:t>
            </w:r>
            <w:r>
              <w:t>increase</w:t>
            </w:r>
            <w:r w:rsidRPr="00EC69C4">
              <w:t xml:space="preserve"> focus on: children living in rural and remote areas; those with disabilities and developmental delay; and those from culturally and linguistically diverse backgrounds. This might be expressed through jurisdictional-specific reform commitments, noting that care must be taken in setting targets until robust measures are in place.</w:t>
            </w:r>
          </w:p>
        </w:tc>
        <w:tc>
          <w:tcPr>
            <w:tcW w:w="992" w:type="dxa"/>
            <w:vAlign w:val="top"/>
          </w:tcPr>
          <w:p w14:paraId="1EDB947D" w14:textId="77777777" w:rsidR="00D74014" w:rsidRPr="00EC69C4" w:rsidRDefault="00D74014" w:rsidP="00D74014">
            <w:pPr>
              <w:jc w:val="center"/>
            </w:pPr>
            <w:r w:rsidRPr="002C297B">
              <w:t>6</w:t>
            </w:r>
          </w:p>
        </w:tc>
      </w:tr>
      <w:tr w:rsidR="00D74014" w:rsidRPr="00EC69C4" w14:paraId="2A5EBE58" w14:textId="77777777" w:rsidTr="00F75C40">
        <w:trPr>
          <w:cantSplit/>
        </w:trPr>
        <w:tc>
          <w:tcPr>
            <w:tcW w:w="993" w:type="dxa"/>
          </w:tcPr>
          <w:p w14:paraId="65BDDBEC"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20</w:t>
            </w:r>
          </w:p>
        </w:tc>
        <w:tc>
          <w:tcPr>
            <w:tcW w:w="6945" w:type="dxa"/>
            <w:vAlign w:val="top"/>
          </w:tcPr>
          <w:p w14:paraId="3FAAE97E" w14:textId="77777777" w:rsidR="00D74014" w:rsidRPr="00EC69C4" w:rsidRDefault="00D74014" w:rsidP="00D74014">
            <w:pPr>
              <w:pStyle w:val="Listnumbered"/>
              <w:spacing w:after="0"/>
              <w:ind w:left="0" w:firstLine="0"/>
            </w:pPr>
            <w:r w:rsidRPr="006C03A5">
              <w:t xml:space="preserve">Governments should develop better understanding of quality drivers in the range of YBFS preschool services and develop specific strategies to lift quality in geographic, </w:t>
            </w:r>
            <w:proofErr w:type="gramStart"/>
            <w:r w:rsidRPr="006C03A5">
              <w:t>sectoral</w:t>
            </w:r>
            <w:proofErr w:type="gramEnd"/>
            <w:r w:rsidRPr="006C03A5">
              <w:t xml:space="preserve"> or socio-economic environments where it is, on average, more likely to lag</w:t>
            </w:r>
            <w:r>
              <w:t>.</w:t>
            </w:r>
          </w:p>
        </w:tc>
        <w:tc>
          <w:tcPr>
            <w:tcW w:w="992" w:type="dxa"/>
            <w:vAlign w:val="top"/>
          </w:tcPr>
          <w:p w14:paraId="1ACC4AD0" w14:textId="77777777" w:rsidR="00D74014" w:rsidRPr="002C297B" w:rsidRDefault="00D74014" w:rsidP="00D74014">
            <w:pPr>
              <w:jc w:val="center"/>
            </w:pPr>
            <w:r>
              <w:t>6</w:t>
            </w:r>
          </w:p>
        </w:tc>
      </w:tr>
      <w:tr w:rsidR="00D74014" w:rsidRPr="00EC69C4" w14:paraId="7EFCA493" w14:textId="77777777" w:rsidTr="00F75C40">
        <w:trPr>
          <w:cantSplit/>
        </w:trPr>
        <w:tc>
          <w:tcPr>
            <w:tcW w:w="993" w:type="dxa"/>
          </w:tcPr>
          <w:p w14:paraId="0FB8F2F7"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21</w:t>
            </w:r>
          </w:p>
        </w:tc>
        <w:tc>
          <w:tcPr>
            <w:tcW w:w="6945" w:type="dxa"/>
            <w:vAlign w:val="top"/>
          </w:tcPr>
          <w:p w14:paraId="454D9BA9" w14:textId="115077A4" w:rsidR="00D74014" w:rsidRPr="00EC69C4" w:rsidRDefault="00D74014" w:rsidP="00D74014">
            <w:pPr>
              <w:spacing w:after="0"/>
            </w:pPr>
            <w:r w:rsidRPr="00004EC5">
              <w:t xml:space="preserve">Governments should agree in-principle to move towards a National Agreement pertaining to preschool in the YBFS, potentially underpinned by legislation. The commitment should be for a new set of arrangements to be in effect from </w:t>
            </w:r>
            <w:r w:rsidR="00726DA6" w:rsidRPr="00004EC5">
              <w:t>202</w:t>
            </w:r>
            <w:r w:rsidR="00726DA6">
              <w:t>6</w:t>
            </w:r>
            <w:r w:rsidR="00726DA6" w:rsidRPr="00004EC5">
              <w:t xml:space="preserve"> </w:t>
            </w:r>
            <w:r w:rsidRPr="00004EC5">
              <w:t>at the latest.</w:t>
            </w:r>
          </w:p>
        </w:tc>
        <w:tc>
          <w:tcPr>
            <w:tcW w:w="992" w:type="dxa"/>
            <w:vAlign w:val="top"/>
          </w:tcPr>
          <w:p w14:paraId="4D59897F" w14:textId="77777777" w:rsidR="00D74014" w:rsidRPr="00EC69C4" w:rsidRDefault="00D74014" w:rsidP="00D74014">
            <w:pPr>
              <w:jc w:val="center"/>
            </w:pPr>
            <w:r w:rsidRPr="002C297B">
              <w:t>6</w:t>
            </w:r>
          </w:p>
        </w:tc>
      </w:tr>
      <w:tr w:rsidR="00D74014" w:rsidRPr="00EC69C4" w14:paraId="48791EC6" w14:textId="77777777" w:rsidTr="00F75C40">
        <w:trPr>
          <w:cantSplit/>
        </w:trPr>
        <w:tc>
          <w:tcPr>
            <w:tcW w:w="993" w:type="dxa"/>
          </w:tcPr>
          <w:p w14:paraId="3D429AA2"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22</w:t>
            </w:r>
          </w:p>
        </w:tc>
        <w:tc>
          <w:tcPr>
            <w:tcW w:w="6945" w:type="dxa"/>
            <w:vAlign w:val="top"/>
          </w:tcPr>
          <w:p w14:paraId="3F32FCD0" w14:textId="570A984E" w:rsidR="00D74014" w:rsidRPr="00EC69C4" w:rsidRDefault="00D74014" w:rsidP="00D74014">
            <w:pPr>
              <w:spacing w:after="0"/>
            </w:pPr>
            <w:r w:rsidRPr="00EC69C4">
              <w:t xml:space="preserve">A National Partnership is the most practicable form of agreement to replace the current UANP in the short term. A new National Partnership agreement should be of five years’ duration in order to work through a range of proposed reform priorities and lay the foundation for new, more enduring funding arrangements from </w:t>
            </w:r>
            <w:r w:rsidR="00726DA6" w:rsidRPr="00EC69C4">
              <w:t>202</w:t>
            </w:r>
            <w:r w:rsidR="00726DA6">
              <w:t>6</w:t>
            </w:r>
            <w:r w:rsidRPr="00EC69C4">
              <w:t>.</w:t>
            </w:r>
          </w:p>
        </w:tc>
        <w:tc>
          <w:tcPr>
            <w:tcW w:w="992" w:type="dxa"/>
            <w:vAlign w:val="top"/>
          </w:tcPr>
          <w:p w14:paraId="221987BD" w14:textId="77777777" w:rsidR="00D74014" w:rsidRPr="00EC69C4" w:rsidRDefault="00D74014" w:rsidP="00D74014">
            <w:pPr>
              <w:jc w:val="center"/>
            </w:pPr>
            <w:r w:rsidRPr="002C297B">
              <w:t>6</w:t>
            </w:r>
          </w:p>
        </w:tc>
      </w:tr>
      <w:tr w:rsidR="00D74014" w:rsidRPr="00EC69C4" w14:paraId="35497E95" w14:textId="77777777" w:rsidTr="00F75C40">
        <w:trPr>
          <w:cantSplit/>
        </w:trPr>
        <w:tc>
          <w:tcPr>
            <w:tcW w:w="993" w:type="dxa"/>
          </w:tcPr>
          <w:p w14:paraId="699E65D9"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23</w:t>
            </w:r>
          </w:p>
        </w:tc>
        <w:tc>
          <w:tcPr>
            <w:tcW w:w="6945" w:type="dxa"/>
            <w:vAlign w:val="top"/>
          </w:tcPr>
          <w:p w14:paraId="7CB62074" w14:textId="4C81DE59" w:rsidR="00D74014" w:rsidRPr="00EC69C4" w:rsidRDefault="00D74014" w:rsidP="00D74014">
            <w:pPr>
              <w:spacing w:after="0"/>
            </w:pPr>
            <w:r w:rsidRPr="009C1F56">
              <w:t>To further promote innovation that is associated with higher levels of funding certainty, and in recognition of the clearly stated commitments by all governments to the early childhood education agenda, funding that is contingent on performance should constitute a minority of the Australian Government contribution under successor agreement</w:t>
            </w:r>
            <w:r w:rsidR="00EB493A">
              <w:t>s</w:t>
            </w:r>
            <w:r w:rsidRPr="009C1F56">
              <w:t xml:space="preserve"> to the UANP.</w:t>
            </w:r>
          </w:p>
        </w:tc>
        <w:tc>
          <w:tcPr>
            <w:tcW w:w="992" w:type="dxa"/>
            <w:vAlign w:val="top"/>
          </w:tcPr>
          <w:p w14:paraId="7207EE2F" w14:textId="77777777" w:rsidR="00D74014" w:rsidRPr="002C297B" w:rsidRDefault="00D74014" w:rsidP="00D74014">
            <w:pPr>
              <w:jc w:val="center"/>
            </w:pPr>
            <w:r w:rsidRPr="009C1F56">
              <w:t>6</w:t>
            </w:r>
          </w:p>
        </w:tc>
      </w:tr>
      <w:tr w:rsidR="00D74014" w:rsidRPr="00EC69C4" w14:paraId="3D687195" w14:textId="77777777" w:rsidTr="00F75C40">
        <w:trPr>
          <w:cantSplit/>
        </w:trPr>
        <w:tc>
          <w:tcPr>
            <w:tcW w:w="993" w:type="dxa"/>
          </w:tcPr>
          <w:p w14:paraId="5F89D732" w14:textId="7DE3D2A0" w:rsidR="00D74014" w:rsidRPr="00DC078B" w:rsidRDefault="00D74014" w:rsidP="00D74014">
            <w:pPr>
              <w:jc w:val="center"/>
              <w:rPr>
                <w:rFonts w:ascii="Segoe UI Semibold" w:hAnsi="Segoe UI Semibold" w:cs="Segoe UI Semibold"/>
                <w:sz w:val="22"/>
              </w:rPr>
            </w:pPr>
            <w:bookmarkStart w:id="46" w:name="_Hlk35956389"/>
            <w:r w:rsidRPr="00DC078B">
              <w:rPr>
                <w:rFonts w:ascii="Segoe UI Semibold" w:hAnsi="Segoe UI Semibold" w:cs="Segoe UI Semibold"/>
                <w:sz w:val="22"/>
              </w:rPr>
              <w:t>24</w:t>
            </w:r>
          </w:p>
        </w:tc>
        <w:tc>
          <w:tcPr>
            <w:tcW w:w="6945" w:type="dxa"/>
            <w:vAlign w:val="top"/>
          </w:tcPr>
          <w:p w14:paraId="4611746D" w14:textId="024217D3" w:rsidR="000113DF" w:rsidRPr="00EC69C4" w:rsidRDefault="0075324D" w:rsidP="00D74014">
            <w:pPr>
              <w:spacing w:after="0"/>
            </w:pPr>
            <w:r w:rsidRPr="009C1F56">
              <w:t xml:space="preserve">All </w:t>
            </w:r>
            <w:r w:rsidR="00D74014" w:rsidRPr="009C1F56">
              <w:t xml:space="preserve">States and Territories make significant investments in preschool, but some jurisdictions make relatively larger investments. </w:t>
            </w:r>
            <w:r w:rsidR="000F4B63">
              <w:t xml:space="preserve">Governments should explore ways to incentivise greater levels of co-investment from 2021, and </w:t>
            </w:r>
            <w:r w:rsidR="008C32C2">
              <w:t xml:space="preserve">incorporate measures </w:t>
            </w:r>
            <w:r w:rsidR="00E83DF9">
              <w:t xml:space="preserve">into bilateral implementation plans </w:t>
            </w:r>
            <w:r w:rsidR="000E7906">
              <w:t xml:space="preserve">that </w:t>
            </w:r>
            <w:r w:rsidR="008C32C2">
              <w:t>promote</w:t>
            </w:r>
            <w:r w:rsidR="00D74014" w:rsidRPr="009C1F56">
              <w:t xml:space="preserve"> </w:t>
            </w:r>
            <w:r w:rsidR="000A2B10">
              <w:t xml:space="preserve">more equitable </w:t>
            </w:r>
            <w:r w:rsidR="00D74014">
              <w:t xml:space="preserve">levels of </w:t>
            </w:r>
            <w:r w:rsidR="00D74014" w:rsidRPr="009C1F56">
              <w:t xml:space="preserve">State and Territory </w:t>
            </w:r>
            <w:r w:rsidR="00CE41F4">
              <w:t>funding contributions to preschool</w:t>
            </w:r>
            <w:r w:rsidR="007555AA">
              <w:t xml:space="preserve">, recognising </w:t>
            </w:r>
            <w:r w:rsidR="00CE41F4">
              <w:t xml:space="preserve">the </w:t>
            </w:r>
            <w:r w:rsidR="007555AA" w:rsidRPr="00FC74BE">
              <w:t xml:space="preserve">different </w:t>
            </w:r>
            <w:r w:rsidR="00390587">
              <w:t xml:space="preserve">service </w:t>
            </w:r>
            <w:r w:rsidR="007555AA" w:rsidRPr="00FC74BE">
              <w:t>settings</w:t>
            </w:r>
            <w:r w:rsidR="00E915A2">
              <w:t xml:space="preserve"> </w:t>
            </w:r>
            <w:r w:rsidR="000E7906">
              <w:t>in each jurisdiction</w:t>
            </w:r>
            <w:r w:rsidR="00E83DF9">
              <w:t>. These measures should</w:t>
            </w:r>
            <w:r w:rsidR="0073102D">
              <w:t xml:space="preserve"> </w:t>
            </w:r>
            <w:r w:rsidR="00E83DF9">
              <w:t xml:space="preserve">be </w:t>
            </w:r>
            <w:r w:rsidR="0073102D">
              <w:t>informed by a</w:t>
            </w:r>
            <w:r w:rsidR="000A4891">
              <w:t xml:space="preserve"> more detailed</w:t>
            </w:r>
            <w:r w:rsidR="0073102D">
              <w:t xml:space="preserve"> understanding of </w:t>
            </w:r>
            <w:r w:rsidR="000A4891">
              <w:t xml:space="preserve">efficient and </w:t>
            </w:r>
            <w:r w:rsidR="008C32C2">
              <w:t>effective delivery</w:t>
            </w:r>
            <w:r w:rsidR="00D74014" w:rsidRPr="009C1F56">
              <w:t>.</w:t>
            </w:r>
            <w:r w:rsidR="000F4B63">
              <w:t xml:space="preserve"> </w:t>
            </w:r>
          </w:p>
        </w:tc>
        <w:tc>
          <w:tcPr>
            <w:tcW w:w="992" w:type="dxa"/>
            <w:vAlign w:val="top"/>
          </w:tcPr>
          <w:p w14:paraId="26AC5C94" w14:textId="77777777" w:rsidR="00D74014" w:rsidRPr="00EC69C4" w:rsidRDefault="00D74014" w:rsidP="00D74014">
            <w:pPr>
              <w:jc w:val="center"/>
            </w:pPr>
            <w:r w:rsidRPr="002C297B">
              <w:t>6</w:t>
            </w:r>
          </w:p>
        </w:tc>
      </w:tr>
      <w:bookmarkEnd w:id="46"/>
      <w:tr w:rsidR="00D74014" w:rsidRPr="00EC69C4" w14:paraId="5F0D1605" w14:textId="77777777" w:rsidTr="00F75C40">
        <w:trPr>
          <w:cantSplit/>
        </w:trPr>
        <w:tc>
          <w:tcPr>
            <w:tcW w:w="993" w:type="dxa"/>
          </w:tcPr>
          <w:p w14:paraId="6ADA3678"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25</w:t>
            </w:r>
          </w:p>
        </w:tc>
        <w:tc>
          <w:tcPr>
            <w:tcW w:w="6945" w:type="dxa"/>
            <w:vAlign w:val="top"/>
          </w:tcPr>
          <w:p w14:paraId="50689586" w14:textId="1D8BCA67" w:rsidR="00D74014" w:rsidRPr="00EC69C4" w:rsidRDefault="00FA425F" w:rsidP="00D74014">
            <w:pPr>
              <w:spacing w:after="0"/>
            </w:pPr>
            <w:r>
              <w:t>G</w:t>
            </w:r>
            <w:r w:rsidR="00D74014" w:rsidRPr="00FC74BE">
              <w:t xml:space="preserve">overnments should </w:t>
            </w:r>
            <w:r w:rsidR="003C59A3">
              <w:t xml:space="preserve">consider the </w:t>
            </w:r>
            <w:r w:rsidR="00D74014" w:rsidRPr="00FC74BE">
              <w:t>develop</w:t>
            </w:r>
            <w:r w:rsidR="003C59A3">
              <w:t xml:space="preserve">ment of </w:t>
            </w:r>
            <w:r w:rsidR="00D74014" w:rsidRPr="00FC74BE">
              <w:t>a model that would indicate the efficient cost of preschool delivery in different settings</w:t>
            </w:r>
            <w:bookmarkStart w:id="47" w:name="_Hlk33461561"/>
            <w:r w:rsidR="00D74014" w:rsidRPr="00FC74BE">
              <w:t xml:space="preserve"> and jurisdictional contexts</w:t>
            </w:r>
            <w:bookmarkEnd w:id="47"/>
            <w:r w:rsidR="00D74014" w:rsidRPr="00FC74BE">
              <w:t>. This will be a complex exercise requiring dedicated resources</w:t>
            </w:r>
            <w:r w:rsidR="00D74014">
              <w:t>.</w:t>
            </w:r>
          </w:p>
        </w:tc>
        <w:tc>
          <w:tcPr>
            <w:tcW w:w="992" w:type="dxa"/>
            <w:vAlign w:val="top"/>
          </w:tcPr>
          <w:p w14:paraId="573D204D" w14:textId="77777777" w:rsidR="00D74014" w:rsidRPr="00EC69C4" w:rsidRDefault="00D74014" w:rsidP="00D74014">
            <w:pPr>
              <w:jc w:val="center"/>
            </w:pPr>
            <w:r w:rsidRPr="002C297B">
              <w:t>6</w:t>
            </w:r>
          </w:p>
        </w:tc>
      </w:tr>
      <w:tr w:rsidR="00D74014" w:rsidRPr="00EC69C4" w14:paraId="23298A2E" w14:textId="77777777" w:rsidTr="00F75C40">
        <w:trPr>
          <w:cantSplit/>
        </w:trPr>
        <w:tc>
          <w:tcPr>
            <w:tcW w:w="993" w:type="dxa"/>
          </w:tcPr>
          <w:p w14:paraId="141294D0" w14:textId="69E578F4"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26</w:t>
            </w:r>
          </w:p>
        </w:tc>
        <w:tc>
          <w:tcPr>
            <w:tcW w:w="6945" w:type="dxa"/>
            <w:vAlign w:val="top"/>
          </w:tcPr>
          <w:p w14:paraId="27E39E9F" w14:textId="080DADA9" w:rsidR="00D74014" w:rsidRPr="00EC69C4" w:rsidRDefault="00D74014" w:rsidP="00D74014">
            <w:pPr>
              <w:spacing w:after="0"/>
            </w:pPr>
            <w:r w:rsidRPr="009C1F56">
              <w:t>Governments should develop an agreed approach to counting relevant jurisdictional contributions to YBFS preschool to inform future compar</w:t>
            </w:r>
            <w:r w:rsidR="00603433">
              <w:t xml:space="preserve">ative analysis. This should take </w:t>
            </w:r>
            <w:r w:rsidR="005D5BF7">
              <w:t>effect</w:t>
            </w:r>
            <w:r w:rsidR="00603433">
              <w:t xml:space="preserve"> in time to inform the negotiation of a National Agreement (or similar enduring funding agreement) to take effect from </w:t>
            </w:r>
            <w:r w:rsidR="005D5BF7">
              <w:t>2026</w:t>
            </w:r>
            <w:r w:rsidR="00603433">
              <w:t>.</w:t>
            </w:r>
          </w:p>
        </w:tc>
        <w:tc>
          <w:tcPr>
            <w:tcW w:w="992" w:type="dxa"/>
            <w:vAlign w:val="top"/>
          </w:tcPr>
          <w:p w14:paraId="6248EFEF" w14:textId="77777777" w:rsidR="00D74014" w:rsidRPr="00EC69C4" w:rsidRDefault="00D74014" w:rsidP="00D74014">
            <w:pPr>
              <w:jc w:val="center"/>
            </w:pPr>
            <w:r w:rsidRPr="002C297B">
              <w:t>6</w:t>
            </w:r>
          </w:p>
        </w:tc>
      </w:tr>
      <w:tr w:rsidR="00D74014" w:rsidRPr="00EC69C4" w14:paraId="53EFCB1C" w14:textId="77777777" w:rsidTr="00F75C40">
        <w:trPr>
          <w:cantSplit/>
        </w:trPr>
        <w:tc>
          <w:tcPr>
            <w:tcW w:w="993" w:type="dxa"/>
          </w:tcPr>
          <w:p w14:paraId="0BA6BED6"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27</w:t>
            </w:r>
          </w:p>
        </w:tc>
        <w:tc>
          <w:tcPr>
            <w:tcW w:w="6945" w:type="dxa"/>
            <w:vAlign w:val="top"/>
          </w:tcPr>
          <w:p w14:paraId="16F3CD18" w14:textId="7F7C84A3" w:rsidR="00D74014" w:rsidRPr="00EC69C4" w:rsidRDefault="00D74014" w:rsidP="00D74014">
            <w:pPr>
              <w:spacing w:after="0"/>
            </w:pPr>
            <w:r w:rsidRPr="00017CCB">
              <w:t xml:space="preserve">The current funding allocation methodology based on four and </w:t>
            </w:r>
            <w:proofErr w:type="gramStart"/>
            <w:r w:rsidRPr="00017CCB">
              <w:t>five year old</w:t>
            </w:r>
            <w:proofErr w:type="gramEnd"/>
            <w:r w:rsidRPr="00017CCB">
              <w:t xml:space="preserve"> </w:t>
            </w:r>
            <w:r w:rsidR="007A0ABF" w:rsidRPr="007A0ABF">
              <w:t>enrolments</w:t>
            </w:r>
            <w:r w:rsidRPr="00017CCB">
              <w:t xml:space="preserve"> figures is not fit-for-purpose. </w:t>
            </w:r>
            <w:r w:rsidR="007A0ABF" w:rsidRPr="007A0ABF">
              <w:t xml:space="preserve">Future arrangements should consider an allocation methodology that uses an improved measure of enrolment, initially through the use of the </w:t>
            </w:r>
            <w:proofErr w:type="gramStart"/>
            <w:r w:rsidR="007A0ABF" w:rsidRPr="007A0ABF">
              <w:t>state-specific</w:t>
            </w:r>
            <w:proofErr w:type="gramEnd"/>
            <w:r w:rsidR="007A0ABF" w:rsidRPr="007A0ABF">
              <w:t xml:space="preserve"> YBFS measure</w:t>
            </w:r>
            <w:r>
              <w:t>.</w:t>
            </w:r>
          </w:p>
        </w:tc>
        <w:tc>
          <w:tcPr>
            <w:tcW w:w="992" w:type="dxa"/>
            <w:vAlign w:val="top"/>
          </w:tcPr>
          <w:p w14:paraId="220FD1C9" w14:textId="77777777" w:rsidR="00D74014" w:rsidRPr="00EC69C4" w:rsidRDefault="00D74014" w:rsidP="00D74014">
            <w:pPr>
              <w:jc w:val="center"/>
            </w:pPr>
            <w:r w:rsidRPr="002C297B">
              <w:t>6</w:t>
            </w:r>
          </w:p>
        </w:tc>
      </w:tr>
      <w:tr w:rsidR="00D74014" w:rsidRPr="00EC69C4" w14:paraId="37DE2494" w14:textId="77777777" w:rsidTr="00F75C40">
        <w:trPr>
          <w:cantSplit/>
        </w:trPr>
        <w:tc>
          <w:tcPr>
            <w:tcW w:w="993" w:type="dxa"/>
          </w:tcPr>
          <w:p w14:paraId="314FC8C4"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28</w:t>
            </w:r>
          </w:p>
        </w:tc>
        <w:tc>
          <w:tcPr>
            <w:tcW w:w="6945" w:type="dxa"/>
            <w:vAlign w:val="top"/>
          </w:tcPr>
          <w:p w14:paraId="5CD5C7A4" w14:textId="0FCBD276" w:rsidR="00D74014" w:rsidRPr="00EC69C4" w:rsidRDefault="00D74014" w:rsidP="00D74014">
            <w:pPr>
              <w:spacing w:after="0"/>
            </w:pPr>
            <w:r w:rsidRPr="00EC69C4">
              <w:t>Negotiations towards any successor agreement</w:t>
            </w:r>
            <w:r w:rsidR="00603433">
              <w:t xml:space="preserve">s introduced from 2021 </w:t>
            </w:r>
            <w:r w:rsidRPr="00EC69C4">
              <w:t>should consider a more accurate methodology for measuring enrolment rates for preschool in the YBFS.</w:t>
            </w:r>
          </w:p>
        </w:tc>
        <w:tc>
          <w:tcPr>
            <w:tcW w:w="992" w:type="dxa"/>
            <w:vAlign w:val="top"/>
          </w:tcPr>
          <w:p w14:paraId="1058C083" w14:textId="77777777" w:rsidR="00D74014" w:rsidRPr="00236BE0" w:rsidRDefault="00D74014" w:rsidP="00D74014">
            <w:pPr>
              <w:jc w:val="center"/>
            </w:pPr>
            <w:r w:rsidRPr="002C297B">
              <w:t>6</w:t>
            </w:r>
          </w:p>
        </w:tc>
      </w:tr>
      <w:tr w:rsidR="00D74014" w:rsidRPr="00EC69C4" w14:paraId="35CB7DF6" w14:textId="77777777" w:rsidTr="00F75C40">
        <w:trPr>
          <w:cantSplit/>
        </w:trPr>
        <w:tc>
          <w:tcPr>
            <w:tcW w:w="993" w:type="dxa"/>
          </w:tcPr>
          <w:p w14:paraId="602E0413"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lastRenderedPageBreak/>
              <w:t>29</w:t>
            </w:r>
          </w:p>
        </w:tc>
        <w:tc>
          <w:tcPr>
            <w:tcW w:w="6945" w:type="dxa"/>
            <w:vAlign w:val="top"/>
          </w:tcPr>
          <w:p w14:paraId="605F4396" w14:textId="77777777" w:rsidR="00D74014" w:rsidRPr="00EC69C4" w:rsidRDefault="00D74014" w:rsidP="00D74014">
            <w:pPr>
              <w:spacing w:after="0"/>
            </w:pPr>
            <w:r w:rsidRPr="00EC69C4">
              <w:t>Current measures of attendance are not suitable for performance reporting or funding decisions. Governments should invest in accurately and reliably measuring and reporting a nationally consistent measure of preschool attendance.</w:t>
            </w:r>
          </w:p>
        </w:tc>
        <w:tc>
          <w:tcPr>
            <w:tcW w:w="992" w:type="dxa"/>
            <w:vAlign w:val="top"/>
          </w:tcPr>
          <w:p w14:paraId="41B0C6E8" w14:textId="77777777" w:rsidR="00D74014" w:rsidRPr="00236BE0" w:rsidRDefault="00D74014" w:rsidP="00D74014">
            <w:pPr>
              <w:jc w:val="center"/>
            </w:pPr>
            <w:r w:rsidRPr="002C297B">
              <w:t>6</w:t>
            </w:r>
          </w:p>
        </w:tc>
      </w:tr>
      <w:tr w:rsidR="00D74014" w:rsidRPr="00EC69C4" w14:paraId="07832C45" w14:textId="77777777" w:rsidTr="00F75C40">
        <w:trPr>
          <w:cantSplit/>
        </w:trPr>
        <w:tc>
          <w:tcPr>
            <w:tcW w:w="993" w:type="dxa"/>
          </w:tcPr>
          <w:p w14:paraId="5AAC0B60"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30</w:t>
            </w:r>
          </w:p>
        </w:tc>
        <w:tc>
          <w:tcPr>
            <w:tcW w:w="6945" w:type="dxa"/>
            <w:vAlign w:val="top"/>
          </w:tcPr>
          <w:p w14:paraId="153D46E2" w14:textId="5E933233" w:rsidR="00D74014" w:rsidRPr="00EC69C4" w:rsidRDefault="00D74014" w:rsidP="00D74014">
            <w:pPr>
              <w:spacing w:after="0"/>
            </w:pPr>
            <w:r w:rsidRPr="00EC69C4">
              <w:t xml:space="preserve">The UANP’s current attendance target is unrealistically high. </w:t>
            </w:r>
            <w:r w:rsidR="00603433">
              <w:t>S</w:t>
            </w:r>
            <w:r w:rsidRPr="00EC69C4">
              <w:t>uccessor agreement</w:t>
            </w:r>
            <w:r w:rsidR="00603433">
              <w:t>s</w:t>
            </w:r>
            <w:r w:rsidRPr="00EC69C4">
              <w:t xml:space="preserve"> </w:t>
            </w:r>
            <w:r w:rsidR="00603433">
              <w:t>introduced from 2021 should</w:t>
            </w:r>
            <w:r w:rsidRPr="00EC69C4">
              <w:t xml:space="preserve"> </w:t>
            </w:r>
            <w:r w:rsidR="00603433">
              <w:t>include a</w:t>
            </w:r>
            <w:r w:rsidRPr="00EC69C4">
              <w:t xml:space="preserve"> more realistic target that is tied at the child-level to actual delivery by an </w:t>
            </w:r>
            <w:r w:rsidR="005A4885">
              <w:t>ECT</w:t>
            </w:r>
            <w:r w:rsidRPr="00EC69C4">
              <w:t>, account</w:t>
            </w:r>
            <w:r>
              <w:t>s</w:t>
            </w:r>
            <w:r w:rsidRPr="00EC69C4">
              <w:t xml:space="preserve"> for the reasons for absences and recognise the non-compulsory nature of preschool programs.</w:t>
            </w:r>
          </w:p>
        </w:tc>
        <w:tc>
          <w:tcPr>
            <w:tcW w:w="992" w:type="dxa"/>
            <w:vAlign w:val="top"/>
          </w:tcPr>
          <w:p w14:paraId="6AD4F9E1" w14:textId="77777777" w:rsidR="00D74014" w:rsidRPr="00236BE0" w:rsidRDefault="00D74014" w:rsidP="00D74014">
            <w:pPr>
              <w:jc w:val="center"/>
            </w:pPr>
            <w:r w:rsidRPr="002C297B">
              <w:t>6</w:t>
            </w:r>
          </w:p>
        </w:tc>
      </w:tr>
      <w:tr w:rsidR="00D74014" w:rsidRPr="00EC69C4" w14:paraId="0312049E" w14:textId="77777777" w:rsidTr="00F75C40">
        <w:trPr>
          <w:cantSplit/>
        </w:trPr>
        <w:tc>
          <w:tcPr>
            <w:tcW w:w="993" w:type="dxa"/>
          </w:tcPr>
          <w:p w14:paraId="4E460C89"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31</w:t>
            </w:r>
          </w:p>
        </w:tc>
        <w:tc>
          <w:tcPr>
            <w:tcW w:w="6945" w:type="dxa"/>
            <w:vAlign w:val="top"/>
          </w:tcPr>
          <w:p w14:paraId="705BC9D2" w14:textId="4FF9B960" w:rsidR="00D74014" w:rsidRPr="00EC69C4" w:rsidRDefault="00D74014" w:rsidP="00D74014">
            <w:pPr>
              <w:spacing w:after="0"/>
            </w:pPr>
            <w:r w:rsidRPr="00EC69C4">
              <w:t>Negotiations towards any</w:t>
            </w:r>
            <w:r w:rsidR="00EB493A">
              <w:t xml:space="preserve"> enduring funding</w:t>
            </w:r>
            <w:r w:rsidRPr="00EC69C4">
              <w:t xml:space="preserve"> agreement</w:t>
            </w:r>
            <w:r w:rsidR="00EB493A">
              <w:t xml:space="preserve"> from 2026 onwards</w:t>
            </w:r>
            <w:r w:rsidRPr="00EC69C4">
              <w:t xml:space="preserve"> should consider the value and feasibility of child-focused outcomes measures. These negotiations should also consider whether AEDC results should be included as a </w:t>
            </w:r>
            <w:r>
              <w:t>p</w:t>
            </w:r>
            <w:r w:rsidRPr="00EC69C4">
              <w:t xml:space="preserve">erformance </w:t>
            </w:r>
            <w:r>
              <w:t>i</w:t>
            </w:r>
            <w:r w:rsidRPr="00EC69C4">
              <w:t>ndicator, though this should not be tied to funding.</w:t>
            </w:r>
          </w:p>
        </w:tc>
        <w:tc>
          <w:tcPr>
            <w:tcW w:w="992" w:type="dxa"/>
            <w:vAlign w:val="top"/>
          </w:tcPr>
          <w:p w14:paraId="0C5A6644" w14:textId="77777777" w:rsidR="00D74014" w:rsidRPr="00236BE0" w:rsidRDefault="00D74014" w:rsidP="00D74014">
            <w:pPr>
              <w:jc w:val="center"/>
            </w:pPr>
            <w:r w:rsidRPr="002C297B">
              <w:t>6</w:t>
            </w:r>
          </w:p>
        </w:tc>
      </w:tr>
      <w:tr w:rsidR="00D74014" w:rsidRPr="00EC69C4" w14:paraId="692CF552" w14:textId="77777777" w:rsidTr="00F75C40">
        <w:trPr>
          <w:cantSplit/>
        </w:trPr>
        <w:tc>
          <w:tcPr>
            <w:tcW w:w="993" w:type="dxa"/>
          </w:tcPr>
          <w:p w14:paraId="6547C091"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32</w:t>
            </w:r>
          </w:p>
        </w:tc>
        <w:tc>
          <w:tcPr>
            <w:tcW w:w="6945" w:type="dxa"/>
            <w:vAlign w:val="top"/>
          </w:tcPr>
          <w:p w14:paraId="0CB36A1A" w14:textId="77777777" w:rsidR="00D74014" w:rsidRPr="00EC69C4" w:rsidRDefault="00D74014" w:rsidP="00D74014">
            <w:pPr>
              <w:pStyle w:val="Listnumbered"/>
              <w:spacing w:after="0"/>
              <w:ind w:left="0" w:firstLine="0"/>
            </w:pPr>
            <w:r w:rsidRPr="00EC69C4">
              <w:t>Governments should explore a more broadly defined measure of vulnerability and disadvantage as an alternative to SEIFA IRSD. This might be enabled through development of a nationally agreed framework of indicators, which can then be used for jurisdictional-level analysis to inform policy and negotiated arrangements with the Australian Government on YBFS preschool reform funding.</w:t>
            </w:r>
          </w:p>
        </w:tc>
        <w:tc>
          <w:tcPr>
            <w:tcW w:w="992" w:type="dxa"/>
            <w:vAlign w:val="top"/>
          </w:tcPr>
          <w:p w14:paraId="59FA0F61" w14:textId="77777777" w:rsidR="00D74014" w:rsidRPr="00236BE0" w:rsidRDefault="00D74014" w:rsidP="00D74014">
            <w:pPr>
              <w:jc w:val="center"/>
            </w:pPr>
            <w:r w:rsidRPr="002C297B">
              <w:t>6</w:t>
            </w:r>
          </w:p>
        </w:tc>
      </w:tr>
      <w:tr w:rsidR="00D74014" w:rsidRPr="00EC69C4" w14:paraId="0095B1A5" w14:textId="77777777" w:rsidTr="00F75C40">
        <w:trPr>
          <w:cantSplit/>
        </w:trPr>
        <w:tc>
          <w:tcPr>
            <w:tcW w:w="993" w:type="dxa"/>
          </w:tcPr>
          <w:p w14:paraId="7CCC3901"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33</w:t>
            </w:r>
          </w:p>
        </w:tc>
        <w:tc>
          <w:tcPr>
            <w:tcW w:w="6945" w:type="dxa"/>
            <w:vAlign w:val="top"/>
          </w:tcPr>
          <w:p w14:paraId="41B3E2FC" w14:textId="2EB909DC" w:rsidR="00D74014" w:rsidRPr="00EC69C4" w:rsidRDefault="00D74014" w:rsidP="00D74014">
            <w:pPr>
              <w:pStyle w:val="Listnumbered"/>
              <w:spacing w:after="0"/>
              <w:ind w:left="0" w:firstLine="0"/>
            </w:pPr>
            <w:r w:rsidRPr="00EE237C">
              <w:t xml:space="preserve">To ensure a tight focus on continued quality improvement, governments should consider re-inclusion in successor </w:t>
            </w:r>
            <w:r w:rsidR="00603433">
              <w:t xml:space="preserve">National Partnership </w:t>
            </w:r>
            <w:r w:rsidRPr="00EE237C">
              <w:t xml:space="preserve">agreement </w:t>
            </w:r>
            <w:r w:rsidR="00603433">
              <w:t>(from 2021)</w:t>
            </w:r>
            <w:r w:rsidR="00986F1D">
              <w:t xml:space="preserve"> </w:t>
            </w:r>
            <w:r w:rsidRPr="00EE237C">
              <w:t>of a measure that more accurately indicates the number of hours of preschool delivery each child receives from a qualified ECT. Governments should also directly reference NQF ratings and State and Territory data in any new agreement to enable a more explicit linkage between</w:t>
            </w:r>
            <w:r w:rsidR="00522F50">
              <w:t>,</w:t>
            </w:r>
            <w:r w:rsidRPr="00EE237C">
              <w:t xml:space="preserve"> and analysis of</w:t>
            </w:r>
            <w:r w:rsidR="00522F50">
              <w:t>,</w:t>
            </w:r>
            <w:r w:rsidRPr="00EE237C">
              <w:t xml:space="preserve"> preschool outcomes</w:t>
            </w:r>
            <w:r w:rsidR="00985CDC">
              <w:t xml:space="preserve"> and quality of </w:t>
            </w:r>
            <w:r w:rsidR="00113139">
              <w:t>provision</w:t>
            </w:r>
            <w:r w:rsidR="00113139" w:rsidRPr="00EE237C" w:rsidDel="00985CDC">
              <w:t>.</w:t>
            </w:r>
            <w:r w:rsidR="00EB493A">
              <w:t xml:space="preserve"> </w:t>
            </w:r>
          </w:p>
        </w:tc>
        <w:tc>
          <w:tcPr>
            <w:tcW w:w="992" w:type="dxa"/>
            <w:vAlign w:val="top"/>
          </w:tcPr>
          <w:p w14:paraId="2D17AEB2" w14:textId="77777777" w:rsidR="00D74014" w:rsidRPr="00236BE0" w:rsidRDefault="00D74014" w:rsidP="00D74014">
            <w:pPr>
              <w:jc w:val="center"/>
            </w:pPr>
            <w:r w:rsidRPr="002C297B">
              <w:t>6</w:t>
            </w:r>
          </w:p>
        </w:tc>
      </w:tr>
      <w:tr w:rsidR="00D74014" w:rsidRPr="00EC69C4" w14:paraId="02AA5AAA" w14:textId="77777777" w:rsidTr="00F75C40">
        <w:trPr>
          <w:cantSplit/>
        </w:trPr>
        <w:tc>
          <w:tcPr>
            <w:tcW w:w="993" w:type="dxa"/>
          </w:tcPr>
          <w:p w14:paraId="09CCA54A"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34</w:t>
            </w:r>
          </w:p>
        </w:tc>
        <w:tc>
          <w:tcPr>
            <w:tcW w:w="6945" w:type="dxa"/>
            <w:vAlign w:val="top"/>
          </w:tcPr>
          <w:p w14:paraId="0AEDD104" w14:textId="3FAF6EAD" w:rsidR="00D74014" w:rsidRPr="00EC69C4" w:rsidRDefault="00D74014" w:rsidP="00D74014">
            <w:pPr>
              <w:pStyle w:val="Listnumbered"/>
              <w:spacing w:after="0"/>
              <w:ind w:left="0" w:firstLine="0"/>
            </w:pPr>
            <w:r w:rsidRPr="00EC69C4">
              <w:t xml:space="preserve">States and Territories should be encouraged to support evidence-based learning programs for </w:t>
            </w:r>
            <w:proofErr w:type="gramStart"/>
            <w:r w:rsidRPr="00EC69C4">
              <w:t>three year</w:t>
            </w:r>
            <w:proofErr w:type="gramEnd"/>
            <w:r w:rsidRPr="00EC69C4">
              <w:t xml:space="preserve"> </w:t>
            </w:r>
            <w:proofErr w:type="spellStart"/>
            <w:r w:rsidRPr="00EC69C4">
              <w:t>olds</w:t>
            </w:r>
            <w:proofErr w:type="spellEnd"/>
            <w:r w:rsidRPr="00EC69C4">
              <w:t xml:space="preserve"> in diverse forms. Such programs could be counted as relevant co-investment (along with other relevant initiatives) </w:t>
            </w:r>
            <w:r w:rsidR="002A20D6" w:rsidRPr="002A20D6">
              <w:t>where they</w:t>
            </w:r>
            <w:r w:rsidRPr="00EC69C4">
              <w:t xml:space="preserve"> </w:t>
            </w:r>
            <w:r w:rsidR="00C22567">
              <w:t>directly contribute to the achievement of UANP objectives</w:t>
            </w:r>
            <w:r w:rsidR="00FC2EFD">
              <w:t xml:space="preserve">, including improving </w:t>
            </w:r>
            <w:r w:rsidR="002A20D6" w:rsidRPr="002A20D6">
              <w:t xml:space="preserve">participation of underrepresented cohorts in </w:t>
            </w:r>
            <w:r w:rsidRPr="00EC69C4">
              <w:t>YBFS preschool.</w:t>
            </w:r>
          </w:p>
        </w:tc>
        <w:tc>
          <w:tcPr>
            <w:tcW w:w="992" w:type="dxa"/>
            <w:vAlign w:val="top"/>
          </w:tcPr>
          <w:p w14:paraId="60785038" w14:textId="77777777" w:rsidR="00D74014" w:rsidRPr="00236BE0" w:rsidRDefault="00D74014" w:rsidP="00D74014">
            <w:pPr>
              <w:jc w:val="center"/>
            </w:pPr>
            <w:r w:rsidRPr="002C297B">
              <w:t>6</w:t>
            </w:r>
          </w:p>
        </w:tc>
      </w:tr>
      <w:tr w:rsidR="00D74014" w:rsidRPr="00EC69C4" w14:paraId="299B6F34" w14:textId="77777777" w:rsidTr="00F75C40">
        <w:trPr>
          <w:cantSplit/>
        </w:trPr>
        <w:tc>
          <w:tcPr>
            <w:tcW w:w="993" w:type="dxa"/>
          </w:tcPr>
          <w:p w14:paraId="5C64CD2D"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35</w:t>
            </w:r>
          </w:p>
        </w:tc>
        <w:tc>
          <w:tcPr>
            <w:tcW w:w="6945" w:type="dxa"/>
            <w:vAlign w:val="top"/>
          </w:tcPr>
          <w:p w14:paraId="222011A4" w14:textId="77777777" w:rsidR="00D74014" w:rsidRPr="00EC69C4" w:rsidRDefault="00D74014" w:rsidP="00D74014">
            <w:pPr>
              <w:pStyle w:val="Listnumbered"/>
              <w:spacing w:after="0"/>
              <w:ind w:left="0" w:firstLine="0"/>
            </w:pPr>
            <w:r w:rsidRPr="00E55217">
              <w:t>Addressing the workforce challenges affecting preschool in the YBFS should be considered in the context of any agreed national approach to the ECEC workforce</w:t>
            </w:r>
            <w:r w:rsidRPr="00EC69C4">
              <w:t>.</w:t>
            </w:r>
          </w:p>
        </w:tc>
        <w:tc>
          <w:tcPr>
            <w:tcW w:w="992" w:type="dxa"/>
            <w:vAlign w:val="top"/>
          </w:tcPr>
          <w:p w14:paraId="43518656" w14:textId="77777777" w:rsidR="00D74014" w:rsidRPr="00236BE0" w:rsidRDefault="00D74014" w:rsidP="00D74014">
            <w:pPr>
              <w:jc w:val="center"/>
            </w:pPr>
            <w:r w:rsidRPr="002C297B">
              <w:t>6</w:t>
            </w:r>
          </w:p>
        </w:tc>
      </w:tr>
      <w:tr w:rsidR="00D74014" w:rsidRPr="00EC69C4" w14:paraId="71FA7322" w14:textId="77777777" w:rsidTr="00F75C40">
        <w:trPr>
          <w:cantSplit/>
        </w:trPr>
        <w:tc>
          <w:tcPr>
            <w:tcW w:w="993" w:type="dxa"/>
          </w:tcPr>
          <w:p w14:paraId="4B05EF30" w14:textId="77777777" w:rsidR="00D74014" w:rsidRPr="00DC078B" w:rsidRDefault="00D74014" w:rsidP="00D74014">
            <w:pPr>
              <w:jc w:val="center"/>
              <w:rPr>
                <w:rFonts w:ascii="Segoe UI Semibold" w:hAnsi="Segoe UI Semibold" w:cs="Segoe UI Semibold"/>
                <w:sz w:val="22"/>
              </w:rPr>
            </w:pPr>
            <w:r w:rsidRPr="00DC078B">
              <w:rPr>
                <w:rFonts w:ascii="Segoe UI Semibold" w:hAnsi="Segoe UI Semibold" w:cs="Segoe UI Semibold"/>
                <w:sz w:val="22"/>
              </w:rPr>
              <w:t>36</w:t>
            </w:r>
          </w:p>
        </w:tc>
        <w:tc>
          <w:tcPr>
            <w:tcW w:w="6945" w:type="dxa"/>
            <w:vAlign w:val="top"/>
          </w:tcPr>
          <w:p w14:paraId="3DB5E159" w14:textId="77777777" w:rsidR="00D74014" w:rsidRPr="00EC69C4" w:rsidRDefault="00D74014" w:rsidP="00D74014">
            <w:pPr>
              <w:pStyle w:val="Listnumbered"/>
              <w:spacing w:after="0"/>
              <w:ind w:left="0" w:firstLine="0"/>
            </w:pPr>
            <w:r w:rsidRPr="00EC69C4">
              <w:t>Governments should ensure that any new agreement continues to reflect a strong alignment with emerging national policy positions on early years development and school education, to promote a more integrated sector with seamless transitions for children.</w:t>
            </w:r>
          </w:p>
        </w:tc>
        <w:tc>
          <w:tcPr>
            <w:tcW w:w="992" w:type="dxa"/>
            <w:vAlign w:val="top"/>
          </w:tcPr>
          <w:p w14:paraId="0592F62B" w14:textId="77777777" w:rsidR="00D74014" w:rsidRPr="00236BE0" w:rsidRDefault="00D74014" w:rsidP="00D74014">
            <w:pPr>
              <w:jc w:val="center"/>
            </w:pPr>
            <w:r w:rsidRPr="002C297B">
              <w:t>6</w:t>
            </w:r>
          </w:p>
        </w:tc>
      </w:tr>
    </w:tbl>
    <w:p w14:paraId="301FE34D" w14:textId="77777777" w:rsidR="00F61FEA" w:rsidRPr="00F61FEA" w:rsidRDefault="00F61FEA" w:rsidP="00F61FEA"/>
    <w:p w14:paraId="525FD5DE" w14:textId="77777777" w:rsidR="00356965" w:rsidRDefault="008828A7" w:rsidP="009B251A">
      <w:pPr>
        <w:pStyle w:val="Heading1"/>
        <w:numPr>
          <w:ilvl w:val="0"/>
          <w:numId w:val="14"/>
        </w:numPr>
      </w:pPr>
      <w:bookmarkStart w:id="48" w:name="_Toc21691803"/>
      <w:bookmarkStart w:id="49" w:name="_Toc22303178"/>
      <w:bookmarkStart w:id="50" w:name="_Toc22722849"/>
      <w:bookmarkStart w:id="51" w:name="_Toc24559577"/>
      <w:bookmarkStart w:id="52" w:name="_Toc54597767"/>
      <w:bookmarkEnd w:id="36"/>
      <w:r>
        <w:lastRenderedPageBreak/>
        <w:t xml:space="preserve">Background and context to the </w:t>
      </w:r>
      <w:bookmarkEnd w:id="17"/>
      <w:bookmarkEnd w:id="18"/>
      <w:bookmarkEnd w:id="19"/>
      <w:bookmarkEnd w:id="20"/>
      <w:r w:rsidR="00EF09CF">
        <w:t>Review</w:t>
      </w:r>
      <w:bookmarkEnd w:id="48"/>
      <w:bookmarkEnd w:id="49"/>
      <w:bookmarkEnd w:id="50"/>
      <w:bookmarkEnd w:id="51"/>
      <w:bookmarkEnd w:id="52"/>
    </w:p>
    <w:p w14:paraId="419C77C5" w14:textId="77777777" w:rsidR="003B6A03" w:rsidRPr="001978B0" w:rsidRDefault="00074419" w:rsidP="0063725E">
      <w:pPr>
        <w:pStyle w:val="Bullet"/>
      </w:pPr>
      <w:r>
        <w:t>This chapter provides background on the UANP and context for the Review.</w:t>
      </w:r>
    </w:p>
    <w:p w14:paraId="2AAB9D67" w14:textId="77777777" w:rsidR="00017D29" w:rsidRDefault="00017D29" w:rsidP="00017D29">
      <w:pPr>
        <w:pStyle w:val="Heading2"/>
      </w:pPr>
      <w:bookmarkStart w:id="53" w:name="_Toc24559578"/>
      <w:bookmarkStart w:id="54" w:name="_Toc54597768"/>
      <w:r>
        <w:t xml:space="preserve">Australian governments commissioned the Review to </w:t>
      </w:r>
      <w:r w:rsidRPr="00226202">
        <w:t>inform future directions for governments’ funding for preschool</w:t>
      </w:r>
      <w:bookmarkEnd w:id="53"/>
      <w:bookmarkEnd w:id="54"/>
    </w:p>
    <w:p w14:paraId="14C25448" w14:textId="77777777" w:rsidR="00017D29" w:rsidRPr="003B6A03" w:rsidRDefault="00017D29" w:rsidP="00017D29">
      <w:pPr>
        <w:pStyle w:val="Bullet"/>
      </w:pPr>
      <w:r w:rsidRPr="003B6A03">
        <w:t xml:space="preserve">In </w:t>
      </w:r>
      <w:r w:rsidR="0063725E">
        <w:t>its</w:t>
      </w:r>
      <w:r w:rsidRPr="003B6A03">
        <w:t xml:space="preserve"> 2019–20 Budget, the Australian Government committed to a </w:t>
      </w:r>
      <w:r w:rsidR="002F4F79" w:rsidRPr="003B6A03">
        <w:t>one-year</w:t>
      </w:r>
      <w:r w:rsidRPr="003B6A03">
        <w:t xml:space="preserve"> extension of the </w:t>
      </w:r>
      <w:r w:rsidR="00360099">
        <w:t>UANP</w:t>
      </w:r>
      <w:r w:rsidRPr="003B6A03">
        <w:t xml:space="preserve"> for the 2020 calendar year, with a review clause. </w:t>
      </w:r>
      <w:r w:rsidR="00360099">
        <w:t>The</w:t>
      </w:r>
      <w:r w:rsidR="003B6A03" w:rsidRPr="003B6A03">
        <w:t xml:space="preserve"> </w:t>
      </w:r>
      <w:r w:rsidR="008D2748" w:rsidRPr="00AB30CC">
        <w:t>Council of Australian Governments</w:t>
      </w:r>
      <w:r w:rsidR="003B6A03" w:rsidRPr="003B6A03">
        <w:t xml:space="preserve"> </w:t>
      </w:r>
      <w:r w:rsidR="008D2748">
        <w:t>(</w:t>
      </w:r>
      <w:r w:rsidR="003B6A03" w:rsidRPr="003B6A03">
        <w:t>COAG</w:t>
      </w:r>
      <w:r w:rsidR="008D2748">
        <w:t>)</w:t>
      </w:r>
      <w:r w:rsidR="003B6A03" w:rsidRPr="003B6A03">
        <w:t xml:space="preserve"> Education Council agreed to </w:t>
      </w:r>
      <w:r w:rsidRPr="003B6A03">
        <w:t xml:space="preserve">undertake </w:t>
      </w:r>
      <w:r w:rsidR="00C22239">
        <w:t>this</w:t>
      </w:r>
      <w:r w:rsidRPr="003B6A03">
        <w:t xml:space="preserve"> review to inform future directions for governments’ funding for preschool.</w:t>
      </w:r>
    </w:p>
    <w:p w14:paraId="7E281C27" w14:textId="5B99F8F6" w:rsidR="00017D29" w:rsidRPr="00AB30CC" w:rsidRDefault="00017D29" w:rsidP="00017D29">
      <w:pPr>
        <w:pStyle w:val="Bullet"/>
      </w:pPr>
      <w:bookmarkStart w:id="55" w:name="_Toc20754973"/>
      <w:bookmarkStart w:id="56" w:name="_Toc20759111"/>
      <w:bookmarkStart w:id="57" w:name="_Toc20904942"/>
      <w:bookmarkStart w:id="58" w:name="_Toc21691804"/>
      <w:bookmarkStart w:id="59" w:name="_Toc22303179"/>
      <w:bookmarkStart w:id="60" w:name="_Toc22722850"/>
      <w:r w:rsidRPr="00AB30CC">
        <w:t>Nous was engaged by the Australian Government Department of Education on behalf of the COAG Education Council to conduct an independent review of the UANP</w:t>
      </w:r>
      <w:r w:rsidR="00790445" w:rsidRPr="00790445">
        <w:t xml:space="preserve"> </w:t>
      </w:r>
      <w:r w:rsidR="00790445">
        <w:t>guided by</w:t>
      </w:r>
      <w:r w:rsidR="00C22239">
        <w:t xml:space="preserve"> the</w:t>
      </w:r>
      <w:r w:rsidR="00790445">
        <w:t xml:space="preserve"> Terms of Reference provided at </w:t>
      </w:r>
      <w:r w:rsidR="004D5695">
        <w:fldChar w:fldCharType="begin"/>
      </w:r>
      <w:r w:rsidR="004D5695">
        <w:instrText xml:space="preserve"> REF _Ref24558235 \n \h </w:instrText>
      </w:r>
      <w:r w:rsidR="004D5695">
        <w:fldChar w:fldCharType="separate"/>
      </w:r>
      <w:r w:rsidR="00B37785">
        <w:t>Appendix A</w:t>
      </w:r>
      <w:r w:rsidR="004D5695">
        <w:fldChar w:fldCharType="end"/>
      </w:r>
      <w:r w:rsidR="00790445">
        <w:t xml:space="preserve"> and discussed in </w:t>
      </w:r>
      <w:r w:rsidR="008F7577">
        <w:t>Chapter</w:t>
      </w:r>
      <w:r w:rsidR="008F7577" w:rsidRPr="00272ABB">
        <w:t xml:space="preserve"> </w:t>
      </w:r>
      <w:r w:rsidR="004D5695">
        <w:fldChar w:fldCharType="begin"/>
      </w:r>
      <w:r w:rsidR="004D5695">
        <w:instrText xml:space="preserve"> REF _Ref24558268 \r \h </w:instrText>
      </w:r>
      <w:r w:rsidR="004D5695">
        <w:fldChar w:fldCharType="separate"/>
      </w:r>
      <w:r w:rsidR="00B37785">
        <w:t>1.5</w:t>
      </w:r>
      <w:r w:rsidR="004D5695">
        <w:fldChar w:fldCharType="end"/>
      </w:r>
      <w:r w:rsidRPr="00AB30CC">
        <w:t xml:space="preserve">. </w:t>
      </w:r>
      <w:r w:rsidR="00790445">
        <w:t>Education o</w:t>
      </w:r>
      <w:r w:rsidRPr="00AB30CC">
        <w:t>fficials from the Australian Government and States and Territories jointly overs</w:t>
      </w:r>
      <w:r>
        <w:t xml:space="preserve">aw </w:t>
      </w:r>
      <w:r w:rsidRPr="00AB30CC">
        <w:t>the Review.</w:t>
      </w:r>
    </w:p>
    <w:p w14:paraId="63CD07BD" w14:textId="77777777" w:rsidR="003048E5" w:rsidRPr="00635DE2" w:rsidRDefault="003048E5" w:rsidP="003048E5">
      <w:pPr>
        <w:pStyle w:val="Heading2"/>
      </w:pPr>
      <w:bookmarkStart w:id="61" w:name="_Toc24559579"/>
      <w:bookmarkStart w:id="62" w:name="_Toc54597769"/>
      <w:r>
        <w:t xml:space="preserve">The UANP expresses </w:t>
      </w:r>
      <w:r w:rsidR="009C61AD">
        <w:t xml:space="preserve">Australian </w:t>
      </w:r>
      <w:r w:rsidR="000A1D86">
        <w:t>g</w:t>
      </w:r>
      <w:r w:rsidR="009C61AD">
        <w:t>overnments</w:t>
      </w:r>
      <w:r w:rsidR="00424697">
        <w:t xml:space="preserve">’ </w:t>
      </w:r>
      <w:r w:rsidR="004451BC">
        <w:t xml:space="preserve">shared </w:t>
      </w:r>
      <w:r w:rsidR="00424697" w:rsidRPr="00635DE2">
        <w:t xml:space="preserve">commitment to </w:t>
      </w:r>
      <w:r w:rsidR="00E31BD1" w:rsidRPr="00635DE2">
        <w:t>lift</w:t>
      </w:r>
      <w:r w:rsidR="0042341C" w:rsidRPr="00635DE2">
        <w:t>ing</w:t>
      </w:r>
      <w:r w:rsidR="00424697" w:rsidRPr="00635DE2">
        <w:t xml:space="preserve"> participation in quality preschool</w:t>
      </w:r>
      <w:bookmarkEnd w:id="55"/>
      <w:bookmarkEnd w:id="56"/>
      <w:bookmarkEnd w:id="57"/>
      <w:bookmarkEnd w:id="58"/>
      <w:bookmarkEnd w:id="59"/>
      <w:bookmarkEnd w:id="60"/>
      <w:bookmarkEnd w:id="61"/>
      <w:bookmarkEnd w:id="62"/>
    </w:p>
    <w:p w14:paraId="4BAEDC5D" w14:textId="38D6F021" w:rsidR="000D7129" w:rsidRDefault="00D85BC2" w:rsidP="00145D86">
      <w:pPr>
        <w:pStyle w:val="Bullet"/>
      </w:pPr>
      <w:r w:rsidRPr="00635DE2">
        <w:t xml:space="preserve">The UANP is </w:t>
      </w:r>
      <w:r w:rsidR="00A123F3">
        <w:t>a</w:t>
      </w:r>
      <w:r w:rsidR="00360099">
        <w:t>n intergovernmental</w:t>
      </w:r>
      <w:r w:rsidRPr="00635DE2">
        <w:t xml:space="preserve"> agreement </w:t>
      </w:r>
      <w:r w:rsidR="003A45E1">
        <w:t xml:space="preserve">between the States, </w:t>
      </w:r>
      <w:proofErr w:type="gramStart"/>
      <w:r w:rsidR="003A45E1">
        <w:t>Territories</w:t>
      </w:r>
      <w:proofErr w:type="gramEnd"/>
      <w:r w:rsidR="003A45E1">
        <w:t xml:space="preserve"> and the Australian Government. It</w:t>
      </w:r>
      <w:r w:rsidRPr="00635DE2">
        <w:t xml:space="preserve"> aims to ensure children have access to at least 600 hours of </w:t>
      </w:r>
      <w:r w:rsidR="00482F6D">
        <w:t xml:space="preserve">affordable, </w:t>
      </w:r>
      <w:r w:rsidRPr="00635DE2">
        <w:t>quality preschool in the year before full-time school</w:t>
      </w:r>
      <w:r w:rsidR="0000022F">
        <w:t xml:space="preserve"> (YBFS)</w:t>
      </w:r>
      <w:r w:rsidRPr="00635DE2">
        <w:t>.</w:t>
      </w:r>
      <w:r w:rsidR="00727828" w:rsidRPr="00635DE2">
        <w:t xml:space="preserve"> </w:t>
      </w:r>
      <w:bookmarkStart w:id="63" w:name="_Hlk21596309"/>
      <w:r w:rsidR="000D7129">
        <w:t>Under the UANP, the Australian Government contributes funding (</w:t>
      </w:r>
      <w:r w:rsidR="000D7129" w:rsidRPr="00D749F5">
        <w:t>$4</w:t>
      </w:r>
      <w:r w:rsidR="000D7129">
        <w:t xml:space="preserve">49.5 </w:t>
      </w:r>
      <w:r w:rsidR="000D7129" w:rsidRPr="00D749F5">
        <w:t>million</w:t>
      </w:r>
      <w:r w:rsidR="000D7129">
        <w:t xml:space="preserve"> for the 2020 calendar year) </w:t>
      </w:r>
      <w:r w:rsidR="002C48DE" w:rsidRPr="0C5679B2">
        <w:rPr>
          <w:rFonts w:asciiTheme="minorHAnsi" w:hAnsiTheme="minorHAnsi" w:cstheme="minorBidi"/>
        </w:rPr>
        <w:t>allocated to each State and Territory on the basis of a per-</w:t>
      </w:r>
      <w:r w:rsidR="00C47759" w:rsidRPr="0C5679B2">
        <w:rPr>
          <w:rFonts w:asciiTheme="minorHAnsi" w:hAnsiTheme="minorHAnsi" w:cstheme="minorBidi"/>
        </w:rPr>
        <w:t>child</w:t>
      </w:r>
      <w:r w:rsidR="002C48DE" w:rsidRPr="0C5679B2">
        <w:rPr>
          <w:rFonts w:asciiTheme="minorHAnsi" w:hAnsiTheme="minorHAnsi" w:cstheme="minorBidi"/>
        </w:rPr>
        <w:t xml:space="preserve"> amount ($1,292 for 2020) for projected enrolments</w:t>
      </w:r>
      <w:r w:rsidR="002C48DE">
        <w:t xml:space="preserve"> </w:t>
      </w:r>
      <w:r w:rsidR="000D7129">
        <w:t xml:space="preserve">to </w:t>
      </w:r>
      <w:r w:rsidR="00A34243">
        <w:t>contribute to</w:t>
      </w:r>
      <w:r w:rsidR="00F11A73">
        <w:t xml:space="preserve"> </w:t>
      </w:r>
      <w:r w:rsidR="000D7129">
        <w:t>States’ and Territories’ own contributions to support delivery of preschool programs.</w:t>
      </w:r>
      <w:r w:rsidR="005E49F6">
        <w:rPr>
          <w:rStyle w:val="FootnoteReference"/>
        </w:rPr>
        <w:footnoteReference w:id="8"/>
      </w:r>
    </w:p>
    <w:bookmarkEnd w:id="63"/>
    <w:p w14:paraId="174FA295" w14:textId="37DA7EB1" w:rsidR="00D85BC2" w:rsidRDefault="000D7129" w:rsidP="00145D86">
      <w:pPr>
        <w:pStyle w:val="Bullet"/>
      </w:pPr>
      <w:r w:rsidRPr="003518FE">
        <w:t xml:space="preserve">In entering into the </w:t>
      </w:r>
      <w:r>
        <w:t>UANP</w:t>
      </w:r>
      <w:r w:rsidRPr="003518FE">
        <w:t>, all Australian governments recognise</w:t>
      </w:r>
      <w:r>
        <w:t>d</w:t>
      </w:r>
      <w:r w:rsidRPr="003518FE">
        <w:t xml:space="preserve"> </w:t>
      </w:r>
      <w:r>
        <w:t>their</w:t>
      </w:r>
      <w:r w:rsidRPr="003518FE">
        <w:t xml:space="preserve"> mutual interest in improving outcomes </w:t>
      </w:r>
      <w:r w:rsidR="003A45E1">
        <w:t>for young children</w:t>
      </w:r>
      <w:r w:rsidRPr="003518FE">
        <w:t xml:space="preserve"> and </w:t>
      </w:r>
      <w:r>
        <w:t xml:space="preserve">the </w:t>
      </w:r>
      <w:r w:rsidRPr="003518FE">
        <w:t>need to work together to achieve those outcomes</w:t>
      </w:r>
      <w:r w:rsidR="003A45E1">
        <w:t xml:space="preserve"> through increased provision </w:t>
      </w:r>
      <w:r w:rsidR="00360099">
        <w:t>and participation in preschool</w:t>
      </w:r>
      <w:r w:rsidRPr="003518FE">
        <w:t>.</w:t>
      </w:r>
      <w:r w:rsidR="00145D86">
        <w:t xml:space="preserve"> </w:t>
      </w:r>
      <w:r w:rsidR="003A45E1">
        <w:t>More recently, g</w:t>
      </w:r>
      <w:r>
        <w:t>overnments’ shared commitment is</w:t>
      </w:r>
      <w:r w:rsidR="00D85BC2">
        <w:t xml:space="preserve"> reflected in the </w:t>
      </w:r>
      <w:hyperlink r:id="rId29" w:history="1">
        <w:r w:rsidR="00D85BC2" w:rsidRPr="005F1B41">
          <w:t>Early Learning Reform Principles</w:t>
        </w:r>
      </w:hyperlink>
      <w:r w:rsidR="00D85BC2" w:rsidRPr="00963026">
        <w:t xml:space="preserve">, </w:t>
      </w:r>
      <w:r w:rsidR="00790445">
        <w:t xml:space="preserve">agreed by First Ministers in December 2018, </w:t>
      </w:r>
      <w:r w:rsidR="00D85BC2" w:rsidRPr="00963026">
        <w:t>which set out the key features that should underpin future federal arrangements to improve outcomes for children and their families.</w:t>
      </w:r>
      <w:r>
        <w:rPr>
          <w:rStyle w:val="FootnoteReference"/>
        </w:rPr>
        <w:footnoteReference w:id="9"/>
      </w:r>
      <w:r>
        <w:t xml:space="preserve"> </w:t>
      </w:r>
      <w:r w:rsidR="00D85BC2">
        <w:t xml:space="preserve">The related </w:t>
      </w:r>
      <w:r w:rsidR="00D85BC2" w:rsidRPr="00963026">
        <w:t xml:space="preserve">design principles are </w:t>
      </w:r>
      <w:r w:rsidR="00D85BC2">
        <w:t xml:space="preserve">set out in </w:t>
      </w:r>
      <w:r w:rsidR="00147767">
        <w:fldChar w:fldCharType="begin"/>
      </w:r>
      <w:r w:rsidR="00147767">
        <w:instrText xml:space="preserve"> REF _Ref21698147 \h </w:instrText>
      </w:r>
      <w:r w:rsidR="00147767">
        <w:fldChar w:fldCharType="separate"/>
      </w:r>
      <w:r w:rsidR="00B37785">
        <w:t xml:space="preserve">Figure </w:t>
      </w:r>
      <w:r w:rsidR="00B37785">
        <w:rPr>
          <w:noProof/>
        </w:rPr>
        <w:t>5</w:t>
      </w:r>
      <w:r w:rsidR="00147767">
        <w:fldChar w:fldCharType="end"/>
      </w:r>
      <w:r w:rsidR="00D85BC2">
        <w:t xml:space="preserve"> below.</w:t>
      </w:r>
    </w:p>
    <w:p w14:paraId="22EA87BF" w14:textId="58E4C2FC" w:rsidR="000D7129" w:rsidRDefault="000D7129" w:rsidP="000D7129">
      <w:pPr>
        <w:pStyle w:val="Caption"/>
      </w:pPr>
      <w:bookmarkStart w:id="64" w:name="_Ref21698147"/>
      <w:r>
        <w:lastRenderedPageBreak/>
        <w:t xml:space="preserve">Figure </w:t>
      </w:r>
      <w:r w:rsidR="00B76790">
        <w:fldChar w:fldCharType="begin"/>
      </w:r>
      <w:r w:rsidR="00B76790">
        <w:instrText xml:space="preserve"> SEQ Figure \* ARABIC </w:instrText>
      </w:r>
      <w:r w:rsidR="00B76790">
        <w:fldChar w:fldCharType="separate"/>
      </w:r>
      <w:r w:rsidR="00B37785">
        <w:rPr>
          <w:noProof/>
        </w:rPr>
        <w:t>5</w:t>
      </w:r>
      <w:r w:rsidR="00B76790">
        <w:fldChar w:fldCharType="end"/>
      </w:r>
      <w:bookmarkEnd w:id="64"/>
      <w:r>
        <w:t xml:space="preserve"> | Early Learning Reform Principles – Design principles</w:t>
      </w:r>
    </w:p>
    <w:tbl>
      <w:tblPr>
        <w:tblStyle w:val="TableGrid"/>
        <w:tblW w:w="0" w:type="auto"/>
        <w:tblLook w:val="04A0" w:firstRow="1" w:lastRow="0" w:firstColumn="1" w:lastColumn="0" w:noHBand="0" w:noVBand="1"/>
      </w:tblPr>
      <w:tblGrid>
        <w:gridCol w:w="1786"/>
        <w:gridCol w:w="1786"/>
        <w:gridCol w:w="1786"/>
        <w:gridCol w:w="1786"/>
        <w:gridCol w:w="1786"/>
      </w:tblGrid>
      <w:tr w:rsidR="000D7129" w14:paraId="0A2CFD3C" w14:textId="77777777" w:rsidTr="002262E1">
        <w:trPr>
          <w:cnfStyle w:val="100000000000" w:firstRow="1" w:lastRow="0" w:firstColumn="0" w:lastColumn="0" w:oddVBand="0" w:evenVBand="0" w:oddHBand="0" w:evenHBand="0" w:firstRowFirstColumn="0" w:firstRowLastColumn="0" w:lastRowFirstColumn="0" w:lastRowLastColumn="0"/>
          <w:cantSplit w:val="0"/>
          <w:trHeight w:val="3101"/>
          <w:tblHeader w:val="0"/>
        </w:trPr>
        <w:tc>
          <w:tcPr>
            <w:tcW w:w="178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A666C7A" w14:textId="77777777" w:rsidR="000D7129" w:rsidRPr="003A45E1" w:rsidRDefault="000D7129" w:rsidP="00C464A3">
            <w:pPr>
              <w:pStyle w:val="TableNheader"/>
              <w:rPr>
                <w:rFonts w:ascii="Segoe UI" w:hAnsi="Segoe UI" w:cs="Segoe UI"/>
              </w:rPr>
            </w:pPr>
            <w:r w:rsidRPr="0C5679B2">
              <w:rPr>
                <w:rFonts w:ascii="Segoe UI" w:hAnsi="Segoe UI" w:cs="Segoe UI"/>
              </w:rPr>
              <w:t>All jurisdictions are committed to cooperation and shared responsibility for early learning</w:t>
            </w:r>
            <w:r w:rsidR="00EE1BB8" w:rsidRPr="0C5679B2">
              <w:rPr>
                <w:rFonts w:ascii="Segoe UI" w:hAnsi="Segoe UI" w:cs="Segoe UI"/>
              </w:rPr>
              <w:t>.</w:t>
            </w:r>
          </w:p>
        </w:tc>
        <w:tc>
          <w:tcPr>
            <w:tcW w:w="178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65C3FBD" w14:textId="77777777" w:rsidR="000D7129" w:rsidRPr="003A45E1" w:rsidRDefault="000D7129" w:rsidP="00C464A3">
            <w:pPr>
              <w:pStyle w:val="TableNheader"/>
              <w:rPr>
                <w:rFonts w:ascii="Segoe UI" w:hAnsi="Segoe UI" w:cs="Segoe UI"/>
              </w:rPr>
            </w:pPr>
            <w:r w:rsidRPr="0C5679B2">
              <w:rPr>
                <w:rFonts w:ascii="Segoe UI" w:hAnsi="Segoe UI" w:cs="Segoe UI"/>
              </w:rPr>
              <w:t>All jurisdictions maintain flexibility to deliver services in a way that adapts to local circumstances, encourages innovation, and supports choice for families</w:t>
            </w:r>
            <w:r w:rsidR="00EE1BB8" w:rsidRPr="0C5679B2">
              <w:rPr>
                <w:rFonts w:ascii="Segoe UI" w:hAnsi="Segoe UI" w:cs="Segoe UI"/>
              </w:rPr>
              <w:t>.</w:t>
            </w:r>
          </w:p>
        </w:tc>
        <w:tc>
          <w:tcPr>
            <w:tcW w:w="178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C061112" w14:textId="77777777" w:rsidR="000D7129" w:rsidRPr="003A45E1" w:rsidRDefault="000D7129" w:rsidP="00C464A3">
            <w:pPr>
              <w:pStyle w:val="TableNheader"/>
              <w:rPr>
                <w:rFonts w:ascii="Segoe UI" w:hAnsi="Segoe UI" w:cs="Segoe UI"/>
              </w:rPr>
            </w:pPr>
            <w:r w:rsidRPr="0C5679B2">
              <w:rPr>
                <w:rFonts w:ascii="Segoe UI" w:hAnsi="Segoe UI" w:cs="Segoe UI"/>
              </w:rPr>
              <w:t xml:space="preserve">National arrangements for early childhood are cohesive, </w:t>
            </w:r>
            <w:proofErr w:type="gramStart"/>
            <w:r w:rsidRPr="0C5679B2">
              <w:rPr>
                <w:rFonts w:ascii="Segoe UI" w:hAnsi="Segoe UI" w:cs="Segoe UI"/>
              </w:rPr>
              <w:t>effective</w:t>
            </w:r>
            <w:proofErr w:type="gramEnd"/>
            <w:r w:rsidRPr="0C5679B2">
              <w:rPr>
                <w:rFonts w:ascii="Segoe UI" w:hAnsi="Segoe UI" w:cs="Segoe UI"/>
              </w:rPr>
              <w:t xml:space="preserve"> and efficient; funding is sustainable and transparent; and services are high quality, accessible, equitable and inclusive</w:t>
            </w:r>
            <w:r w:rsidR="00EE1BB8" w:rsidRPr="0C5679B2">
              <w:rPr>
                <w:rFonts w:ascii="Segoe UI" w:hAnsi="Segoe UI" w:cs="Segoe UI"/>
              </w:rPr>
              <w:t>.</w:t>
            </w:r>
          </w:p>
        </w:tc>
        <w:tc>
          <w:tcPr>
            <w:tcW w:w="178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FC9D076" w14:textId="77777777" w:rsidR="000D7129" w:rsidRPr="003A45E1" w:rsidRDefault="000D7129" w:rsidP="00C464A3">
            <w:pPr>
              <w:pStyle w:val="TableNheader"/>
              <w:rPr>
                <w:rFonts w:ascii="Segoe UI" w:hAnsi="Segoe UI" w:cs="Segoe UI"/>
              </w:rPr>
            </w:pPr>
            <w:r w:rsidRPr="0C5679B2">
              <w:rPr>
                <w:rFonts w:ascii="Segoe UI" w:hAnsi="Segoe UI" w:cs="Segoe UI"/>
              </w:rPr>
              <w:t>Reforms are evidence-based, child and family-centred, and complement existing arrangements</w:t>
            </w:r>
            <w:r w:rsidR="00EE1BB8" w:rsidRPr="0C5679B2">
              <w:rPr>
                <w:rFonts w:ascii="Segoe UI" w:hAnsi="Segoe UI" w:cs="Segoe UI"/>
              </w:rPr>
              <w:t>.</w:t>
            </w:r>
          </w:p>
        </w:tc>
        <w:tc>
          <w:tcPr>
            <w:tcW w:w="178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C4EE827" w14:textId="77777777" w:rsidR="000D7129" w:rsidRPr="003A45E1" w:rsidRDefault="000D7129" w:rsidP="00C464A3">
            <w:pPr>
              <w:pStyle w:val="TableNheader"/>
              <w:rPr>
                <w:rFonts w:ascii="Segoe UI" w:hAnsi="Segoe UI" w:cs="Segoe UI"/>
              </w:rPr>
            </w:pPr>
            <w:r w:rsidRPr="0C5679B2">
              <w:rPr>
                <w:rFonts w:ascii="Segoe UI" w:hAnsi="Segoe UI" w:cs="Segoe UI"/>
              </w:rPr>
              <w:t xml:space="preserve">Roles and responsibilities are clear, and jurisdictions are accountable under agreed and measurable evaluation frameworks, which are supported by accessible, </w:t>
            </w:r>
            <w:proofErr w:type="gramStart"/>
            <w:r w:rsidRPr="0C5679B2">
              <w:rPr>
                <w:rFonts w:ascii="Segoe UI" w:hAnsi="Segoe UI" w:cs="Segoe UI"/>
              </w:rPr>
              <w:t>meaningful</w:t>
            </w:r>
            <w:proofErr w:type="gramEnd"/>
            <w:r w:rsidRPr="0C5679B2">
              <w:rPr>
                <w:rFonts w:ascii="Segoe UI" w:hAnsi="Segoe UI" w:cs="Segoe UI"/>
              </w:rPr>
              <w:t xml:space="preserve"> and reliable data</w:t>
            </w:r>
            <w:r w:rsidR="00EE1BB8" w:rsidRPr="0C5679B2">
              <w:rPr>
                <w:rFonts w:ascii="Segoe UI" w:hAnsi="Segoe UI" w:cs="Segoe UI"/>
              </w:rPr>
              <w:t>.</w:t>
            </w:r>
          </w:p>
        </w:tc>
      </w:tr>
    </w:tbl>
    <w:p w14:paraId="7AFB8AD6" w14:textId="77777777" w:rsidR="00790445" w:rsidRDefault="00790445" w:rsidP="00790445">
      <w:pPr>
        <w:pStyle w:val="Bullet"/>
      </w:pPr>
      <w:bookmarkStart w:id="65" w:name="_Toc20754974"/>
      <w:bookmarkStart w:id="66" w:name="_Toc20759112"/>
      <w:bookmarkStart w:id="67" w:name="_Toc20904943"/>
      <w:bookmarkStart w:id="68" w:name="_Toc21691805"/>
      <w:bookmarkStart w:id="69" w:name="_Toc22303180"/>
      <w:bookmarkStart w:id="70" w:name="_Toc22722851"/>
    </w:p>
    <w:p w14:paraId="1F0A1BBF" w14:textId="77777777" w:rsidR="00790445" w:rsidRPr="00790445" w:rsidRDefault="00790445" w:rsidP="00790445">
      <w:pPr>
        <w:pStyle w:val="Bullet"/>
      </w:pPr>
      <w:r>
        <w:t xml:space="preserve">The Early Learning Reform Principles are included in the </w:t>
      </w:r>
      <w:proofErr w:type="spellStart"/>
      <w:r>
        <w:t>ToR</w:t>
      </w:r>
      <w:proofErr w:type="spellEnd"/>
      <w:r>
        <w:t xml:space="preserve"> for this review, providing a framework for considering evidence-based findings to inform future policy settings for children in the YBFS.</w:t>
      </w:r>
    </w:p>
    <w:p w14:paraId="61D7265B" w14:textId="77777777" w:rsidR="00356965" w:rsidRDefault="00790445" w:rsidP="00AA7616">
      <w:pPr>
        <w:pStyle w:val="Heading2"/>
      </w:pPr>
      <w:bookmarkStart w:id="71" w:name="_Toc24559580"/>
      <w:bookmarkStart w:id="72" w:name="_Toc54597770"/>
      <w:r>
        <w:t>UANP p</w:t>
      </w:r>
      <w:r w:rsidR="0042341C">
        <w:t>olicy objectives and funding arrangements have</w:t>
      </w:r>
      <w:r w:rsidR="003048E5">
        <w:t xml:space="preserve"> evolved since </w:t>
      </w:r>
      <w:r w:rsidR="00217DFA">
        <w:t>the</w:t>
      </w:r>
      <w:r w:rsidR="00CD3139">
        <w:t xml:space="preserve"> </w:t>
      </w:r>
      <w:r w:rsidR="003048E5">
        <w:t xml:space="preserve">first </w:t>
      </w:r>
      <w:r w:rsidR="0042341C">
        <w:t>UANP</w:t>
      </w:r>
      <w:r w:rsidR="00217DFA">
        <w:t xml:space="preserve"> </w:t>
      </w:r>
      <w:r w:rsidR="003048E5">
        <w:t>in</w:t>
      </w:r>
      <w:r w:rsidR="00CD3139">
        <w:t xml:space="preserve"> 2008</w:t>
      </w:r>
      <w:bookmarkEnd w:id="65"/>
      <w:bookmarkEnd w:id="66"/>
      <w:bookmarkEnd w:id="67"/>
      <w:bookmarkEnd w:id="68"/>
      <w:bookmarkEnd w:id="69"/>
      <w:bookmarkEnd w:id="70"/>
      <w:bookmarkEnd w:id="71"/>
      <w:bookmarkEnd w:id="72"/>
    </w:p>
    <w:p w14:paraId="15E76533" w14:textId="77777777" w:rsidR="00547888" w:rsidRDefault="000D7129" w:rsidP="00145D86">
      <w:pPr>
        <w:pStyle w:val="Bullet"/>
      </w:pPr>
      <w:r>
        <w:t>Prior to 2008</w:t>
      </w:r>
      <w:r w:rsidR="00E31BD1" w:rsidRPr="00670B19">
        <w:t>, mainstream preschool provision was exclusively a State and Territory responsibility</w:t>
      </w:r>
      <w:r w:rsidR="00522F50">
        <w:t>;</w:t>
      </w:r>
      <w:r w:rsidR="0068695F">
        <w:t xml:space="preserve"> there was no nationally </w:t>
      </w:r>
      <w:r w:rsidR="006A146D">
        <w:t xml:space="preserve">articulated </w:t>
      </w:r>
      <w:r w:rsidR="006A146D" w:rsidRPr="00DD5B75">
        <w:t xml:space="preserve">policy </w:t>
      </w:r>
      <w:r w:rsidR="00DD5B75">
        <w:t>and limited</w:t>
      </w:r>
      <w:r w:rsidR="006A146D" w:rsidRPr="00DD5B75">
        <w:t xml:space="preserve"> </w:t>
      </w:r>
      <w:r w:rsidR="0068695F" w:rsidRPr="00DD5B75">
        <w:t>comparable data</w:t>
      </w:r>
      <w:r w:rsidR="0068695F">
        <w:t xml:space="preserve">. </w:t>
      </w:r>
      <w:r w:rsidR="00E31BD1">
        <w:t xml:space="preserve">In November 2008, </w:t>
      </w:r>
      <w:r w:rsidR="00E31BD1" w:rsidRPr="00E31BD1">
        <w:t xml:space="preserve">COAG agreed to the </w:t>
      </w:r>
      <w:r w:rsidR="00E31BD1" w:rsidRPr="003A4EAB">
        <w:rPr>
          <w:i/>
        </w:rPr>
        <w:t>National Partnership Agreement on Early Childhood Education</w:t>
      </w:r>
      <w:r w:rsidR="00301C96">
        <w:rPr>
          <w:i/>
        </w:rPr>
        <w:t xml:space="preserve"> </w:t>
      </w:r>
      <w:r w:rsidR="00301C96">
        <w:t>(NP ECE)</w:t>
      </w:r>
      <w:r w:rsidR="00E31BD1">
        <w:t xml:space="preserve">. </w:t>
      </w:r>
      <w:r w:rsidR="008B5533">
        <w:t>This was a major initiative, signalling a collective commitment to early childhood development</w:t>
      </w:r>
      <w:r w:rsidR="00CF7B93">
        <w:t xml:space="preserve"> and the beginning of a nationally consistent approach</w:t>
      </w:r>
      <w:r w:rsidR="00790445">
        <w:t xml:space="preserve"> to preschool</w:t>
      </w:r>
      <w:r w:rsidR="00CF7B93">
        <w:t>. It</w:t>
      </w:r>
      <w:r w:rsidR="008B5533">
        <w:t xml:space="preserve"> was accompanied by landmark reforms to develop the curriculum, </w:t>
      </w:r>
      <w:proofErr w:type="gramStart"/>
      <w:r w:rsidR="008B5533">
        <w:t>workforce</w:t>
      </w:r>
      <w:proofErr w:type="gramEnd"/>
      <w:r w:rsidR="008B5533">
        <w:t xml:space="preserve"> and standards to ensure quality education and care in the early years</w:t>
      </w:r>
      <w:r w:rsidR="003A45E1" w:rsidRPr="003A45E1">
        <w:t xml:space="preserve"> </w:t>
      </w:r>
      <w:r w:rsidR="003A45E1">
        <w:t>from birth to full-time school entry</w:t>
      </w:r>
      <w:r w:rsidR="008B5533">
        <w:t>.</w:t>
      </w:r>
      <w:r w:rsidR="00547888">
        <w:t xml:space="preserve"> </w:t>
      </w:r>
    </w:p>
    <w:p w14:paraId="69221DD5" w14:textId="77777777" w:rsidR="008F7577" w:rsidRPr="00AB735C" w:rsidRDefault="008F7577" w:rsidP="008F7577">
      <w:pPr>
        <w:pStyle w:val="Callout"/>
        <w:rPr>
          <w:sz w:val="18"/>
          <w:szCs w:val="18"/>
        </w:rPr>
      </w:pPr>
      <w:r w:rsidRPr="00AB735C">
        <w:rPr>
          <w:sz w:val="18"/>
          <w:szCs w:val="18"/>
        </w:rPr>
        <w:t>“…by making a strong commitment to education in the year before school, the National Partnership emphasised the importance of early education for Australian governments, the ECEC sector and families. This placed early education and care firmly on the policy agenda and led to change in practice within service providers and in state and territory government policy.” (</w:t>
      </w:r>
      <w:bookmarkStart w:id="73" w:name="_Hlk30669430"/>
      <w:r w:rsidRPr="00AB735C">
        <w:rPr>
          <w:sz w:val="18"/>
          <w:szCs w:val="18"/>
        </w:rPr>
        <w:t xml:space="preserve">Social Policy Research Centre UNSW </w:t>
      </w:r>
      <w:bookmarkEnd w:id="73"/>
      <w:r w:rsidRPr="00AB735C">
        <w:rPr>
          <w:sz w:val="18"/>
          <w:szCs w:val="18"/>
        </w:rPr>
        <w:t xml:space="preserve">submission) </w:t>
      </w:r>
    </w:p>
    <w:p w14:paraId="5CDF5915" w14:textId="77777777" w:rsidR="00B727AB" w:rsidRDefault="00E31BD1" w:rsidP="00B727AB">
      <w:pPr>
        <w:pStyle w:val="Bullet"/>
        <w:spacing w:after="240"/>
        <w:sectPr w:rsidR="00B727AB" w:rsidSect="00D2536C">
          <w:headerReference w:type="first" r:id="rId30"/>
          <w:pgSz w:w="11907" w:h="16839" w:code="9"/>
          <w:pgMar w:top="1418" w:right="1418" w:bottom="1701" w:left="1559" w:header="720" w:footer="720" w:gutter="0"/>
          <w:cols w:space="720"/>
          <w:titlePg/>
          <w:docGrid w:linePitch="360"/>
        </w:sectPr>
      </w:pPr>
      <w:r>
        <w:t>T</w:t>
      </w:r>
      <w:r w:rsidR="009214B3">
        <w:t>h</w:t>
      </w:r>
      <w:r w:rsidR="000D7129">
        <w:t>e principal</w:t>
      </w:r>
      <w:r>
        <w:t xml:space="preserve"> </w:t>
      </w:r>
      <w:r w:rsidR="000D7129">
        <w:t>aim of the agreement was to</w:t>
      </w:r>
      <w:r w:rsidR="00372103">
        <w:t xml:space="preserve"> introduce access to </w:t>
      </w:r>
      <w:r w:rsidR="00547888">
        <w:t xml:space="preserve">15 hours per week for 40 weeks a year </w:t>
      </w:r>
      <w:r w:rsidR="00372103">
        <w:t xml:space="preserve">of </w:t>
      </w:r>
      <w:r w:rsidR="003A45E1">
        <w:t xml:space="preserve">quality </w:t>
      </w:r>
      <w:r w:rsidR="00372103">
        <w:t>early childhood education in the YBFS</w:t>
      </w:r>
      <w:r w:rsidR="00A84188">
        <w:t xml:space="preserve">. </w:t>
      </w:r>
      <w:r w:rsidR="00547888">
        <w:t>In 2013 t</w:t>
      </w:r>
      <w:r w:rsidR="00547888" w:rsidRPr="00547888">
        <w:t>h</w:t>
      </w:r>
      <w:r w:rsidR="00547888">
        <w:t>is</w:t>
      </w:r>
      <w:r w:rsidR="00547888" w:rsidRPr="00547888">
        <w:t xml:space="preserve"> commitment </w:t>
      </w:r>
      <w:r w:rsidR="00547888">
        <w:t>was amended</w:t>
      </w:r>
      <w:r w:rsidR="00547888" w:rsidRPr="00547888">
        <w:t xml:space="preserve"> to 600 hours per year</w:t>
      </w:r>
      <w:r w:rsidR="00547888">
        <w:t xml:space="preserve"> to provide greater flexibility in service provision.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8A1019" w14:paraId="5EAC3523" w14:textId="77777777" w:rsidTr="00B727AB">
        <w:tc>
          <w:tcPr>
            <w:tcW w:w="8818" w:type="dxa"/>
          </w:tcPr>
          <w:p w14:paraId="7F695943" w14:textId="77777777" w:rsidR="008A1019" w:rsidRDefault="008A1019" w:rsidP="00352E08">
            <w:pPr>
              <w:pStyle w:val="Heading4"/>
              <w:keepNext w:val="0"/>
              <w:spacing w:before="0"/>
              <w:outlineLvl w:val="3"/>
            </w:pPr>
            <w:r w:rsidRPr="009D7378">
              <w:lastRenderedPageBreak/>
              <w:t xml:space="preserve">The strategic context in which the UANP has been delivered has changed considerably </w:t>
            </w:r>
            <w:r w:rsidR="00B42707">
              <w:t>over</w:t>
            </w:r>
            <w:r w:rsidRPr="009D7378">
              <w:t xml:space="preserve"> the </w:t>
            </w:r>
            <w:r w:rsidR="00B42707">
              <w:t xml:space="preserve">past </w:t>
            </w:r>
            <w:r w:rsidRPr="009D7378">
              <w:t xml:space="preserve">five years (and even more so since 2008) </w:t>
            </w:r>
          </w:p>
          <w:p w14:paraId="079248FE" w14:textId="77777777" w:rsidR="005A3BD5" w:rsidRPr="00141E83" w:rsidRDefault="005A3BD5" w:rsidP="005A3BD5">
            <w:pPr>
              <w:pStyle w:val="longformcalloutbullet"/>
              <w:numPr>
                <w:ilvl w:val="0"/>
                <w:numId w:val="0"/>
              </w:numPr>
              <w:ind w:left="340" w:hanging="340"/>
              <w:rPr>
                <w:sz w:val="18"/>
                <w:szCs w:val="18"/>
              </w:rPr>
            </w:pPr>
            <w:r w:rsidRPr="00141E83">
              <w:rPr>
                <w:sz w:val="18"/>
                <w:szCs w:val="18"/>
              </w:rPr>
              <w:t>Key changes include:</w:t>
            </w:r>
          </w:p>
          <w:p w14:paraId="1206F03F" w14:textId="77777777" w:rsidR="00945757" w:rsidRPr="00141E83" w:rsidRDefault="00EE1BB8" w:rsidP="005E49F6">
            <w:pPr>
              <w:pStyle w:val="Bullet"/>
              <w:numPr>
                <w:ilvl w:val="0"/>
                <w:numId w:val="13"/>
              </w:numPr>
              <w:ind w:left="340" w:hanging="340"/>
              <w:rPr>
                <w:sz w:val="18"/>
                <w:szCs w:val="18"/>
              </w:rPr>
            </w:pPr>
            <w:r w:rsidRPr="00141E83">
              <w:rPr>
                <w:sz w:val="18"/>
                <w:szCs w:val="18"/>
              </w:rPr>
              <w:t>g</w:t>
            </w:r>
            <w:r w:rsidR="00945757" w:rsidRPr="00141E83">
              <w:rPr>
                <w:sz w:val="18"/>
                <w:szCs w:val="18"/>
              </w:rPr>
              <w:t xml:space="preserve">rowth in demand for </w:t>
            </w:r>
            <w:r w:rsidR="003A45E1" w:rsidRPr="00141E83">
              <w:rPr>
                <w:sz w:val="18"/>
                <w:szCs w:val="18"/>
              </w:rPr>
              <w:t>early childhood education and care</w:t>
            </w:r>
            <w:r w:rsidRPr="00141E83">
              <w:rPr>
                <w:sz w:val="18"/>
                <w:szCs w:val="18"/>
              </w:rPr>
              <w:t>.</w:t>
            </w:r>
            <w:r w:rsidR="00ED1AFA" w:rsidRPr="00141E83">
              <w:rPr>
                <w:sz w:val="18"/>
                <w:szCs w:val="18"/>
              </w:rPr>
              <w:t xml:space="preserve"> The proportion of 0</w:t>
            </w:r>
            <w:r w:rsidR="00E6201A">
              <w:rPr>
                <w:sz w:val="18"/>
                <w:szCs w:val="18"/>
              </w:rPr>
              <w:t xml:space="preserve"> to </w:t>
            </w:r>
            <w:r w:rsidR="00ED1AFA" w:rsidRPr="00141E83">
              <w:rPr>
                <w:sz w:val="18"/>
                <w:szCs w:val="18"/>
              </w:rPr>
              <w:t>4 year</w:t>
            </w:r>
            <w:r w:rsidR="00017CCB">
              <w:rPr>
                <w:sz w:val="18"/>
                <w:szCs w:val="18"/>
              </w:rPr>
              <w:t xml:space="preserve"> </w:t>
            </w:r>
            <w:proofErr w:type="spellStart"/>
            <w:r w:rsidR="00ED1AFA" w:rsidRPr="00141E83">
              <w:rPr>
                <w:sz w:val="18"/>
                <w:szCs w:val="18"/>
              </w:rPr>
              <w:t>olds</w:t>
            </w:r>
            <w:proofErr w:type="spellEnd"/>
            <w:r w:rsidR="00ED1AFA" w:rsidRPr="00141E83">
              <w:rPr>
                <w:sz w:val="18"/>
                <w:szCs w:val="18"/>
              </w:rPr>
              <w:t xml:space="preserve"> in formal care rose from 34 per cent to 42 per cent between 2008 and 2017, partly driven by increasing </w:t>
            </w:r>
            <w:r w:rsidR="00790445" w:rsidRPr="00141E83">
              <w:rPr>
                <w:sz w:val="18"/>
                <w:szCs w:val="18"/>
              </w:rPr>
              <w:t xml:space="preserve">women’s </w:t>
            </w:r>
            <w:r w:rsidR="00B42707" w:rsidRPr="00141E83">
              <w:rPr>
                <w:sz w:val="18"/>
                <w:szCs w:val="18"/>
              </w:rPr>
              <w:t xml:space="preserve">workforce </w:t>
            </w:r>
            <w:r w:rsidR="00ED1AFA" w:rsidRPr="00141E83">
              <w:rPr>
                <w:sz w:val="18"/>
                <w:szCs w:val="18"/>
              </w:rPr>
              <w:t>participation, which has risen from 58 per cent</w:t>
            </w:r>
            <w:r w:rsidR="00790445" w:rsidRPr="00141E83">
              <w:rPr>
                <w:sz w:val="18"/>
                <w:szCs w:val="18"/>
              </w:rPr>
              <w:t xml:space="preserve"> in 2006</w:t>
            </w:r>
            <w:r w:rsidR="00ED1AFA" w:rsidRPr="00141E83">
              <w:rPr>
                <w:sz w:val="18"/>
                <w:szCs w:val="18"/>
                <w:vertAlign w:val="superscript"/>
              </w:rPr>
              <w:footnoteReference w:id="10"/>
            </w:r>
            <w:r w:rsidR="00ED1AFA" w:rsidRPr="00141E83">
              <w:rPr>
                <w:sz w:val="18"/>
                <w:szCs w:val="18"/>
              </w:rPr>
              <w:t xml:space="preserve"> to 61.1 per cent</w:t>
            </w:r>
            <w:r w:rsidR="00790445" w:rsidRPr="00141E83">
              <w:rPr>
                <w:sz w:val="18"/>
                <w:szCs w:val="18"/>
              </w:rPr>
              <w:t xml:space="preserve"> in 2019</w:t>
            </w:r>
            <w:r w:rsidR="00ED1AFA" w:rsidRPr="00141E83">
              <w:rPr>
                <w:sz w:val="18"/>
                <w:szCs w:val="18"/>
              </w:rPr>
              <w:t>.</w:t>
            </w:r>
            <w:r w:rsidR="00ED1AFA" w:rsidRPr="00141E83">
              <w:rPr>
                <w:sz w:val="18"/>
                <w:szCs w:val="18"/>
                <w:vertAlign w:val="superscript"/>
              </w:rPr>
              <w:footnoteReference w:id="11"/>
            </w:r>
          </w:p>
          <w:p w14:paraId="2DA0A284" w14:textId="77777777" w:rsidR="005E49F6" w:rsidRPr="00141E83" w:rsidRDefault="005E49F6" w:rsidP="005E49F6">
            <w:pPr>
              <w:pStyle w:val="Bullet"/>
              <w:numPr>
                <w:ilvl w:val="0"/>
                <w:numId w:val="13"/>
              </w:numPr>
              <w:ind w:left="340" w:hanging="340"/>
              <w:rPr>
                <w:sz w:val="18"/>
                <w:szCs w:val="18"/>
              </w:rPr>
            </w:pPr>
            <w:r w:rsidRPr="00141E83">
              <w:rPr>
                <w:sz w:val="18"/>
                <w:szCs w:val="18"/>
              </w:rPr>
              <w:t>the implementation of various State and Territory initiatives and programs to improve preschool participation</w:t>
            </w:r>
            <w:r w:rsidR="006C6A09" w:rsidRPr="00141E83">
              <w:rPr>
                <w:sz w:val="18"/>
                <w:szCs w:val="18"/>
              </w:rPr>
              <w:t xml:space="preserve">, </w:t>
            </w:r>
            <w:proofErr w:type="gramStart"/>
            <w:r w:rsidR="006C6A09" w:rsidRPr="00141E83">
              <w:rPr>
                <w:sz w:val="18"/>
                <w:szCs w:val="18"/>
              </w:rPr>
              <w:t>equity</w:t>
            </w:r>
            <w:proofErr w:type="gramEnd"/>
            <w:r w:rsidR="006C6A09" w:rsidRPr="00141E83">
              <w:rPr>
                <w:sz w:val="18"/>
                <w:szCs w:val="18"/>
              </w:rPr>
              <w:t xml:space="preserve"> and quality</w:t>
            </w:r>
            <w:r w:rsidR="00790445" w:rsidRPr="00141E83">
              <w:rPr>
                <w:sz w:val="18"/>
                <w:szCs w:val="18"/>
              </w:rPr>
              <w:t xml:space="preserve"> (see State and Territory profiles in</w:t>
            </w:r>
            <w:r w:rsidR="002A5438">
              <w:rPr>
                <w:sz w:val="18"/>
                <w:szCs w:val="18"/>
              </w:rPr>
              <w:t xml:space="preserve"> </w:t>
            </w:r>
            <w:r w:rsidR="009E1BD6">
              <w:rPr>
                <w:sz w:val="18"/>
                <w:szCs w:val="18"/>
              </w:rPr>
              <w:t>Chapter</w:t>
            </w:r>
            <w:r w:rsidR="00790445" w:rsidRPr="00141E83">
              <w:rPr>
                <w:sz w:val="18"/>
                <w:szCs w:val="18"/>
              </w:rPr>
              <w:t xml:space="preserve"> </w:t>
            </w:r>
            <w:r w:rsidR="008631D3">
              <w:rPr>
                <w:sz w:val="18"/>
                <w:szCs w:val="18"/>
              </w:rPr>
              <w:t>2.5</w:t>
            </w:r>
            <w:r w:rsidR="00790445" w:rsidRPr="00141E83">
              <w:rPr>
                <w:sz w:val="18"/>
                <w:szCs w:val="18"/>
              </w:rPr>
              <w:t xml:space="preserve"> for examples)</w:t>
            </w:r>
            <w:r w:rsidR="003B5F40" w:rsidRPr="00141E83">
              <w:rPr>
                <w:sz w:val="18"/>
                <w:szCs w:val="18"/>
              </w:rPr>
              <w:t>.</w:t>
            </w:r>
          </w:p>
          <w:p w14:paraId="06878097" w14:textId="77777777" w:rsidR="00790445" w:rsidRPr="00141E83" w:rsidRDefault="00790445" w:rsidP="00790445">
            <w:pPr>
              <w:pStyle w:val="Bullet"/>
              <w:numPr>
                <w:ilvl w:val="0"/>
                <w:numId w:val="13"/>
              </w:numPr>
              <w:ind w:left="340" w:hanging="340"/>
              <w:rPr>
                <w:sz w:val="18"/>
                <w:szCs w:val="18"/>
              </w:rPr>
            </w:pPr>
            <w:r w:rsidRPr="00141E83">
              <w:rPr>
                <w:sz w:val="18"/>
                <w:szCs w:val="18"/>
              </w:rPr>
              <w:t>the full</w:t>
            </w:r>
            <w:r w:rsidRPr="00141E83" w:rsidDel="00DA67E3">
              <w:rPr>
                <w:sz w:val="18"/>
                <w:szCs w:val="18"/>
              </w:rPr>
              <w:t xml:space="preserve"> </w:t>
            </w:r>
            <w:r w:rsidR="00DA67E3" w:rsidRPr="00141E83">
              <w:rPr>
                <w:sz w:val="18"/>
                <w:szCs w:val="18"/>
              </w:rPr>
              <w:t xml:space="preserve">introduction </w:t>
            </w:r>
            <w:r w:rsidRPr="00141E83">
              <w:rPr>
                <w:sz w:val="18"/>
                <w:szCs w:val="18"/>
              </w:rPr>
              <w:t>of the National Law and Regulations including the NQF and National Quality Standard (NQS) to inform preschool program quality.</w:t>
            </w:r>
          </w:p>
          <w:p w14:paraId="175CE425" w14:textId="77777777" w:rsidR="008E7D6E" w:rsidRPr="00141E83" w:rsidRDefault="00B42707" w:rsidP="005E49F6">
            <w:pPr>
              <w:pStyle w:val="Bullet"/>
              <w:numPr>
                <w:ilvl w:val="0"/>
                <w:numId w:val="13"/>
              </w:numPr>
              <w:ind w:left="340" w:hanging="340"/>
              <w:rPr>
                <w:sz w:val="18"/>
                <w:szCs w:val="18"/>
              </w:rPr>
            </w:pPr>
            <w:r w:rsidRPr="00141E83">
              <w:rPr>
                <w:sz w:val="18"/>
                <w:szCs w:val="18"/>
              </w:rPr>
              <w:t xml:space="preserve">the </w:t>
            </w:r>
            <w:r w:rsidR="002D0C4E" w:rsidRPr="00141E83">
              <w:rPr>
                <w:sz w:val="18"/>
                <w:szCs w:val="18"/>
              </w:rPr>
              <w:t xml:space="preserve">June 2018 </w:t>
            </w:r>
            <w:r w:rsidRPr="00141E83">
              <w:rPr>
                <w:sz w:val="18"/>
                <w:szCs w:val="18"/>
              </w:rPr>
              <w:t>expiry of</w:t>
            </w:r>
            <w:r w:rsidR="008E7D6E" w:rsidRPr="00141E83">
              <w:rPr>
                <w:sz w:val="18"/>
                <w:szCs w:val="18"/>
              </w:rPr>
              <w:t xml:space="preserve"> the National Partnership Agreement on the National Quality Agenda for Early Childhood Education and Care</w:t>
            </w:r>
            <w:r w:rsidR="00361FEF" w:rsidRPr="00141E83">
              <w:rPr>
                <w:sz w:val="18"/>
                <w:szCs w:val="18"/>
              </w:rPr>
              <w:t xml:space="preserve"> (NP NQA), with the Australian Government funding the Australian Children’s Education and Care Quality Authority (ACECQA) and States and Territories remaining responsible for regulation of the sector in their jurisdiction</w:t>
            </w:r>
            <w:r w:rsidR="003B5F40" w:rsidRPr="00141E83">
              <w:rPr>
                <w:sz w:val="18"/>
                <w:szCs w:val="18"/>
              </w:rPr>
              <w:t>.</w:t>
            </w:r>
          </w:p>
          <w:p w14:paraId="61A91743" w14:textId="77777777" w:rsidR="008A1019" w:rsidRPr="00141E83" w:rsidRDefault="008A1019" w:rsidP="005E49F6">
            <w:pPr>
              <w:pStyle w:val="Bullet"/>
              <w:numPr>
                <w:ilvl w:val="0"/>
                <w:numId w:val="13"/>
              </w:numPr>
              <w:ind w:left="340" w:hanging="340"/>
              <w:rPr>
                <w:sz w:val="18"/>
                <w:szCs w:val="18"/>
              </w:rPr>
            </w:pPr>
            <w:r w:rsidRPr="00141E83">
              <w:rPr>
                <w:sz w:val="18"/>
                <w:szCs w:val="18"/>
              </w:rPr>
              <w:t xml:space="preserve">the introduction of the </w:t>
            </w:r>
            <w:r w:rsidR="00361FEF" w:rsidRPr="00141E83">
              <w:rPr>
                <w:sz w:val="18"/>
                <w:szCs w:val="18"/>
              </w:rPr>
              <w:t xml:space="preserve">new </w:t>
            </w:r>
            <w:r w:rsidRPr="00141E83">
              <w:rPr>
                <w:sz w:val="18"/>
                <w:szCs w:val="18"/>
              </w:rPr>
              <w:t xml:space="preserve">Child Care Subsidy </w:t>
            </w:r>
            <w:r w:rsidR="002A5438">
              <w:rPr>
                <w:sz w:val="18"/>
                <w:szCs w:val="18"/>
              </w:rPr>
              <w:t xml:space="preserve">in 2018 </w:t>
            </w:r>
            <w:r w:rsidRPr="00141E83">
              <w:rPr>
                <w:sz w:val="18"/>
                <w:szCs w:val="18"/>
              </w:rPr>
              <w:t>and other Australian Government child care funding arrangements</w:t>
            </w:r>
            <w:r w:rsidR="000D69C1" w:rsidRPr="00141E83">
              <w:rPr>
                <w:sz w:val="18"/>
                <w:szCs w:val="18"/>
              </w:rPr>
              <w:t>, following the 2014 Productivity Commission Inquiry on Childcare and Early Childhood Learning</w:t>
            </w:r>
            <w:r w:rsidR="003B5F40" w:rsidRPr="00141E83">
              <w:rPr>
                <w:sz w:val="18"/>
                <w:szCs w:val="18"/>
              </w:rPr>
              <w:t>.</w:t>
            </w:r>
          </w:p>
          <w:p w14:paraId="2EEE4B8B" w14:textId="77777777" w:rsidR="009D4EB7" w:rsidRPr="00141E83" w:rsidRDefault="009D4EB7" w:rsidP="009D4EB7">
            <w:pPr>
              <w:pStyle w:val="Bullet"/>
              <w:numPr>
                <w:ilvl w:val="0"/>
                <w:numId w:val="13"/>
              </w:numPr>
              <w:ind w:left="340" w:hanging="340"/>
              <w:rPr>
                <w:sz w:val="18"/>
                <w:szCs w:val="18"/>
              </w:rPr>
            </w:pPr>
            <w:r w:rsidRPr="00141E83">
              <w:rPr>
                <w:sz w:val="18"/>
                <w:szCs w:val="18"/>
              </w:rPr>
              <w:t>a move nationally to a model of ‘sector-blind, needs-based funding’ in school education</w:t>
            </w:r>
            <w:r w:rsidR="003B5F40" w:rsidRPr="00141E83">
              <w:rPr>
                <w:sz w:val="18"/>
                <w:szCs w:val="18"/>
              </w:rPr>
              <w:t>.</w:t>
            </w:r>
          </w:p>
          <w:p w14:paraId="06D4E40C" w14:textId="77777777" w:rsidR="008A1019" w:rsidRPr="00141E83" w:rsidRDefault="008A1019" w:rsidP="005E49F6">
            <w:pPr>
              <w:pStyle w:val="Bullet"/>
              <w:numPr>
                <w:ilvl w:val="0"/>
                <w:numId w:val="13"/>
              </w:numPr>
              <w:ind w:left="340" w:hanging="340"/>
              <w:rPr>
                <w:sz w:val="18"/>
                <w:szCs w:val="18"/>
              </w:rPr>
            </w:pPr>
            <w:r w:rsidRPr="00141E83">
              <w:rPr>
                <w:sz w:val="18"/>
                <w:szCs w:val="18"/>
              </w:rPr>
              <w:t xml:space="preserve">the improvement of data collection and reporting, including </w:t>
            </w:r>
            <w:r w:rsidR="00C543E2" w:rsidRPr="00141E83">
              <w:rPr>
                <w:sz w:val="18"/>
                <w:szCs w:val="18"/>
              </w:rPr>
              <w:t>via</w:t>
            </w:r>
            <w:r w:rsidRPr="00141E83">
              <w:rPr>
                <w:sz w:val="18"/>
                <w:szCs w:val="18"/>
              </w:rPr>
              <w:t xml:space="preserve"> the Australian Early Development Census (AEDC), providing a wealth of information about children’s development and wellbeing </w:t>
            </w:r>
            <w:r w:rsidR="009D4EB7" w:rsidRPr="00141E83">
              <w:rPr>
                <w:sz w:val="18"/>
                <w:szCs w:val="18"/>
              </w:rPr>
              <w:t>as they start full-time schooling</w:t>
            </w:r>
            <w:r w:rsidRPr="00141E83">
              <w:rPr>
                <w:sz w:val="18"/>
                <w:szCs w:val="18"/>
              </w:rPr>
              <w:t xml:space="preserve"> across Australia</w:t>
            </w:r>
            <w:r w:rsidR="003B5F40" w:rsidRPr="00141E83">
              <w:rPr>
                <w:sz w:val="18"/>
                <w:szCs w:val="18"/>
              </w:rPr>
              <w:t>.</w:t>
            </w:r>
          </w:p>
          <w:p w14:paraId="303D5DF4" w14:textId="77777777" w:rsidR="008A1019" w:rsidRPr="00141E83" w:rsidRDefault="008A1019" w:rsidP="005E49F6">
            <w:pPr>
              <w:pStyle w:val="Bullet"/>
              <w:numPr>
                <w:ilvl w:val="0"/>
                <w:numId w:val="13"/>
              </w:numPr>
              <w:ind w:left="340" w:hanging="340"/>
              <w:rPr>
                <w:sz w:val="18"/>
                <w:szCs w:val="18"/>
              </w:rPr>
            </w:pPr>
            <w:r w:rsidRPr="00141E83">
              <w:rPr>
                <w:sz w:val="18"/>
                <w:szCs w:val="18"/>
              </w:rPr>
              <w:t>periodic interest in revisiting the roles and responsibilities in the federation</w:t>
            </w:r>
            <w:r w:rsidR="00ED1AFA" w:rsidRPr="00141E83">
              <w:rPr>
                <w:sz w:val="18"/>
                <w:szCs w:val="18"/>
              </w:rPr>
              <w:t>, with preschool often cited as an example of the complex interface between Australian Government</w:t>
            </w:r>
            <w:r w:rsidR="006A563C" w:rsidRPr="00141E83">
              <w:rPr>
                <w:sz w:val="18"/>
                <w:szCs w:val="18"/>
              </w:rPr>
              <w:t xml:space="preserve">’s role as the major funder of </w:t>
            </w:r>
            <w:r w:rsidR="00ED1AFA" w:rsidRPr="00141E83">
              <w:rPr>
                <w:sz w:val="18"/>
                <w:szCs w:val="18"/>
              </w:rPr>
              <w:t>child</w:t>
            </w:r>
            <w:r w:rsidR="006A563C" w:rsidRPr="00141E83">
              <w:rPr>
                <w:sz w:val="18"/>
                <w:szCs w:val="18"/>
              </w:rPr>
              <w:t xml:space="preserve"> </w:t>
            </w:r>
            <w:r w:rsidR="00ED1AFA" w:rsidRPr="00141E83">
              <w:rPr>
                <w:sz w:val="18"/>
                <w:szCs w:val="18"/>
              </w:rPr>
              <w:t>care and State and Territory responsibility for education</w:t>
            </w:r>
            <w:r w:rsidRPr="00141E83">
              <w:rPr>
                <w:sz w:val="18"/>
                <w:szCs w:val="18"/>
              </w:rPr>
              <w:t xml:space="preserve">. </w:t>
            </w:r>
          </w:p>
          <w:p w14:paraId="3D4A18F5" w14:textId="77777777" w:rsidR="008A1019" w:rsidRPr="008A1019" w:rsidRDefault="00CD6C4F" w:rsidP="005E49F6">
            <w:pPr>
              <w:pStyle w:val="Bullet"/>
              <w:numPr>
                <w:ilvl w:val="0"/>
                <w:numId w:val="13"/>
              </w:numPr>
              <w:ind w:left="340" w:hanging="340"/>
            </w:pPr>
            <w:r w:rsidRPr="00141E83">
              <w:rPr>
                <w:sz w:val="18"/>
                <w:szCs w:val="18"/>
              </w:rPr>
              <w:t>e</w:t>
            </w:r>
            <w:r w:rsidR="00ED1AFA" w:rsidRPr="00141E83">
              <w:rPr>
                <w:sz w:val="18"/>
                <w:szCs w:val="18"/>
              </w:rPr>
              <w:t xml:space="preserve">volution in </w:t>
            </w:r>
            <w:r w:rsidRPr="00141E83">
              <w:rPr>
                <w:sz w:val="18"/>
                <w:szCs w:val="18"/>
              </w:rPr>
              <w:t xml:space="preserve">the </w:t>
            </w:r>
            <w:r w:rsidR="00ED1AFA" w:rsidRPr="00141E83">
              <w:rPr>
                <w:sz w:val="18"/>
                <w:szCs w:val="18"/>
              </w:rPr>
              <w:t>purpose and use of National Partnership agreements, with different views emerging on how agreements should be structured and leveraged for national reform and improved service delivery.</w:t>
            </w:r>
          </w:p>
        </w:tc>
      </w:tr>
    </w:tbl>
    <w:p w14:paraId="0F7F5A28" w14:textId="77777777" w:rsidR="008A1019" w:rsidRDefault="008A1019" w:rsidP="006167C2"/>
    <w:p w14:paraId="23B26D3A" w14:textId="77777777" w:rsidR="00670B19" w:rsidRDefault="006167C2" w:rsidP="00145D86">
      <w:pPr>
        <w:pStyle w:val="Bullet"/>
      </w:pPr>
      <w:r>
        <w:t xml:space="preserve">The UANP has been renewed or extended six times, with </w:t>
      </w:r>
      <w:r w:rsidR="008E7D6E">
        <w:t>each</w:t>
      </w:r>
      <w:r>
        <w:t xml:space="preserve"> extension </w:t>
      </w:r>
      <w:r w:rsidR="008E7D6E">
        <w:t xml:space="preserve">having </w:t>
      </w:r>
      <w:r>
        <w:t xml:space="preserve">a </w:t>
      </w:r>
      <w:r w:rsidRPr="009D7378">
        <w:t>duration</w:t>
      </w:r>
      <w:r w:rsidR="008E7D6E">
        <w:t xml:space="preserve"> of two years or less</w:t>
      </w:r>
      <w:r w:rsidRPr="009D7378">
        <w:t xml:space="preserve">. The current UANP </w:t>
      </w:r>
      <w:r w:rsidR="0022217F">
        <w:t>is in place to end of</w:t>
      </w:r>
      <w:r w:rsidRPr="009D7378">
        <w:t xml:space="preserve"> 2020 calendar year</w:t>
      </w:r>
      <w:r w:rsidR="0022217F">
        <w:t>, with final performance assessment and payment to be undertaken in early 2021</w:t>
      </w:r>
      <w:r w:rsidRPr="009D7378">
        <w:t>.</w:t>
      </w:r>
      <w:r w:rsidR="00145D86">
        <w:t xml:space="preserve"> </w:t>
      </w:r>
      <w:r w:rsidR="00361FEF">
        <w:t>F</w:t>
      </w:r>
      <w:r w:rsidR="00646A75">
        <w:t>our</w:t>
      </w:r>
      <w:r w:rsidR="00D50D5E">
        <w:t xml:space="preserve"> </w:t>
      </w:r>
      <w:r w:rsidR="00361FEF">
        <w:t>policy</w:t>
      </w:r>
      <w:r w:rsidR="00D50D5E">
        <w:t xml:space="preserve"> elements have remained constant:</w:t>
      </w:r>
    </w:p>
    <w:p w14:paraId="0F15027F" w14:textId="77777777" w:rsidR="00361FEF" w:rsidRPr="006E6A4C" w:rsidRDefault="00361FEF" w:rsidP="00361FEF">
      <w:pPr>
        <w:pStyle w:val="Bullet"/>
        <w:numPr>
          <w:ilvl w:val="0"/>
          <w:numId w:val="13"/>
        </w:numPr>
        <w:ind w:left="340" w:hanging="340"/>
        <w:rPr>
          <w:rFonts w:asciiTheme="minorHAnsi" w:hAnsiTheme="minorHAnsi" w:cstheme="minorBidi"/>
        </w:rPr>
      </w:pPr>
      <w:r w:rsidRPr="0C5679B2">
        <w:rPr>
          <w:rFonts w:asciiTheme="minorHAnsi" w:hAnsiTheme="minorHAnsi" w:cstheme="minorBidi"/>
        </w:rPr>
        <w:t>A core aim to improve access to, and participation in, 600 hours of quality preschool (delivered by a qualified early childhood teacher who meets the NQF requirements) in the year before full-time school.</w:t>
      </w:r>
    </w:p>
    <w:p w14:paraId="340D6CFF" w14:textId="77777777" w:rsidR="00980F7A" w:rsidRPr="006E6A4C" w:rsidRDefault="00D50D5E" w:rsidP="006E6A4C">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An emphasis </w:t>
      </w:r>
      <w:r w:rsidR="00980F7A" w:rsidRPr="0C5679B2">
        <w:rPr>
          <w:rFonts w:asciiTheme="minorHAnsi" w:hAnsiTheme="minorHAnsi" w:cstheme="minorBidi"/>
        </w:rPr>
        <w:t>on improving the participation of Indigenous children (including those living in remote communities) as well as vulnerable and disadvantaged children.</w:t>
      </w:r>
    </w:p>
    <w:p w14:paraId="021B4895" w14:textId="77777777" w:rsidR="0042341C" w:rsidRPr="006E6A4C" w:rsidRDefault="00D50D5E" w:rsidP="006E6A4C">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A focus on ensuring </w:t>
      </w:r>
      <w:r w:rsidR="00980F7A" w:rsidRPr="0C5679B2">
        <w:rPr>
          <w:rFonts w:asciiTheme="minorHAnsi" w:hAnsiTheme="minorHAnsi" w:cstheme="minorBidi"/>
        </w:rPr>
        <w:t>that cost is not a barrier</w:t>
      </w:r>
      <w:r w:rsidR="0042341C" w:rsidRPr="0C5679B2">
        <w:rPr>
          <w:rFonts w:asciiTheme="minorHAnsi" w:hAnsiTheme="minorHAnsi" w:cstheme="minorBidi"/>
        </w:rPr>
        <w:t xml:space="preserve"> to participation in preschool</w:t>
      </w:r>
      <w:r w:rsidR="00980F7A" w:rsidRPr="0C5679B2">
        <w:rPr>
          <w:rFonts w:asciiTheme="minorHAnsi" w:hAnsiTheme="minorHAnsi" w:cstheme="minorBidi"/>
        </w:rPr>
        <w:t>.</w:t>
      </w:r>
    </w:p>
    <w:p w14:paraId="6BBC3CB7" w14:textId="77777777" w:rsidR="007E54F1" w:rsidRPr="006E6A4C" w:rsidRDefault="007E54F1" w:rsidP="006E6A4C">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A commitment to improved data collection and sharing. </w:t>
      </w:r>
    </w:p>
    <w:p w14:paraId="2F72285A" w14:textId="77777777" w:rsidR="00646A75" w:rsidRPr="006E6A4C" w:rsidRDefault="00646A75" w:rsidP="00646A75">
      <w:pPr>
        <w:pStyle w:val="Bullet"/>
        <w:rPr>
          <w:rFonts w:asciiTheme="minorHAnsi" w:hAnsiTheme="minorHAnsi" w:cstheme="minorBidi"/>
        </w:rPr>
      </w:pPr>
      <w:r w:rsidRPr="0C5679B2">
        <w:rPr>
          <w:rFonts w:asciiTheme="minorHAnsi" w:hAnsiTheme="minorHAnsi" w:cstheme="minorBidi"/>
        </w:rPr>
        <w:t xml:space="preserve">From 2015 onwards, each agreement has also included a commitment to ensure preschool is supported </w:t>
      </w:r>
      <w:r w:rsidR="00C543E2" w:rsidRPr="0C5679B2">
        <w:rPr>
          <w:rFonts w:asciiTheme="minorHAnsi" w:hAnsiTheme="minorHAnsi" w:cstheme="minorBidi"/>
        </w:rPr>
        <w:t>regardless</w:t>
      </w:r>
      <w:r w:rsidRPr="0C5679B2">
        <w:rPr>
          <w:rFonts w:asciiTheme="minorHAnsi" w:hAnsiTheme="minorHAnsi" w:cstheme="minorBidi"/>
        </w:rPr>
        <w:t xml:space="preserve"> of </w:t>
      </w:r>
      <w:r w:rsidR="00C543E2" w:rsidRPr="0C5679B2">
        <w:rPr>
          <w:rFonts w:asciiTheme="minorHAnsi" w:hAnsiTheme="minorHAnsi" w:cstheme="minorBidi"/>
        </w:rPr>
        <w:t>the</w:t>
      </w:r>
      <w:r w:rsidRPr="0C5679B2">
        <w:rPr>
          <w:rFonts w:asciiTheme="minorHAnsi" w:hAnsiTheme="minorHAnsi" w:cstheme="minorBidi"/>
        </w:rPr>
        <w:t xml:space="preserve"> setting.</w:t>
      </w:r>
    </w:p>
    <w:p w14:paraId="4982D671" w14:textId="11CB20BE" w:rsidR="000B4ECD" w:rsidRDefault="000B4ECD" w:rsidP="000A2B10">
      <w:pPr>
        <w:pStyle w:val="Bullet"/>
      </w:pPr>
      <w:r>
        <w:lastRenderedPageBreak/>
        <w:t xml:space="preserve">The Australian Government’s </w:t>
      </w:r>
      <w:r w:rsidRPr="004E152C">
        <w:t xml:space="preserve">funding </w:t>
      </w:r>
      <w:r w:rsidR="00A34243">
        <w:t xml:space="preserve">contributes to </w:t>
      </w:r>
      <w:r w:rsidRPr="004E152C">
        <w:t>significant State and Territory investments in preschool and related programs</w:t>
      </w:r>
      <w:r>
        <w:t>, thereby increasing total government investment in universal access.</w:t>
      </w:r>
      <w:r w:rsidRPr="00866223">
        <w:t xml:space="preserve"> </w:t>
      </w:r>
      <w:r w:rsidRPr="00595B9E">
        <w:t xml:space="preserve">The </w:t>
      </w:r>
      <w:r>
        <w:t>Australian Government contribution under the</w:t>
      </w:r>
      <w:r w:rsidRPr="00595B9E">
        <w:t xml:space="preserve"> original </w:t>
      </w:r>
      <w:r>
        <w:t>UANP a</w:t>
      </w:r>
      <w:r w:rsidRPr="00595B9E">
        <w:t xml:space="preserve">greement </w:t>
      </w:r>
      <w:r>
        <w:t>was</w:t>
      </w:r>
      <w:r w:rsidRPr="00595B9E">
        <w:t xml:space="preserve"> $970 million</w:t>
      </w:r>
      <w:r>
        <w:t xml:space="preserve"> over five years</w:t>
      </w:r>
      <w:r w:rsidRPr="00595B9E">
        <w:t xml:space="preserve"> (with the annual spend increasing to $450 million by 2012-13</w:t>
      </w:r>
      <w:r>
        <w:t>), including</w:t>
      </w:r>
      <w:r w:rsidRPr="00595B9E">
        <w:t xml:space="preserve"> $3 million per year for data development and evaluation. </w:t>
      </w:r>
      <w:r>
        <w:t>The e</w:t>
      </w:r>
      <w:r w:rsidRPr="00924003">
        <w:t>volution of the UANP and its predecessor agreements</w:t>
      </w:r>
      <w:r>
        <w:t xml:space="preserve"> are summarised in </w:t>
      </w:r>
      <w:r>
        <w:fldChar w:fldCharType="begin"/>
      </w:r>
      <w:r>
        <w:instrText xml:space="preserve"> REF _Ref24558368 \n \h </w:instrText>
      </w:r>
      <w:r>
        <w:fldChar w:fldCharType="separate"/>
      </w:r>
      <w:r w:rsidR="00B37785">
        <w:t>Appendix E</w:t>
      </w:r>
      <w:r>
        <w:fldChar w:fldCharType="end"/>
      </w:r>
      <w:r>
        <w:t>, while the features common to them all are summarised below.</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276532" w14:paraId="27FC39CD" w14:textId="77777777" w:rsidTr="00866223">
        <w:tc>
          <w:tcPr>
            <w:tcW w:w="8818" w:type="dxa"/>
          </w:tcPr>
          <w:p w14:paraId="3B698D69" w14:textId="77777777" w:rsidR="00276532" w:rsidRPr="00C9744A" w:rsidRDefault="00276532" w:rsidP="00352E08">
            <w:pPr>
              <w:pStyle w:val="Heading4"/>
              <w:keepNext w:val="0"/>
              <w:spacing w:before="0"/>
              <w:outlineLvl w:val="3"/>
            </w:pPr>
            <w:r w:rsidRPr="00C9744A">
              <w:t xml:space="preserve">The </w:t>
            </w:r>
            <w:r w:rsidR="006167C2">
              <w:t>UANP and its predecessor agreements share seven key</w:t>
            </w:r>
            <w:r w:rsidRPr="00C9744A">
              <w:t xml:space="preserve"> </w:t>
            </w:r>
            <w:r w:rsidR="00361FEF">
              <w:t xml:space="preserve">structural </w:t>
            </w:r>
            <w:r w:rsidRPr="00C9744A">
              <w:t>features</w:t>
            </w:r>
          </w:p>
          <w:p w14:paraId="5B62BF3F" w14:textId="77777777" w:rsidR="00276532" w:rsidRPr="00141E83" w:rsidRDefault="006167C2" w:rsidP="001C3D79">
            <w:pPr>
              <w:pStyle w:val="Bullet"/>
              <w:numPr>
                <w:ilvl w:val="0"/>
                <w:numId w:val="25"/>
              </w:numPr>
              <w:rPr>
                <w:sz w:val="18"/>
                <w:szCs w:val="18"/>
              </w:rPr>
            </w:pPr>
            <w:r w:rsidRPr="00141E83">
              <w:rPr>
                <w:sz w:val="18"/>
                <w:szCs w:val="18"/>
              </w:rPr>
              <w:t xml:space="preserve">The agreement </w:t>
            </w:r>
            <w:r w:rsidR="00276532" w:rsidRPr="00141E83">
              <w:rPr>
                <w:sz w:val="18"/>
                <w:szCs w:val="18"/>
              </w:rPr>
              <w:t>defines the shared objectives of all jurisdictions</w:t>
            </w:r>
            <w:r w:rsidR="0063725E" w:rsidRPr="00141E83">
              <w:rPr>
                <w:sz w:val="18"/>
                <w:szCs w:val="18"/>
              </w:rPr>
              <w:t>.</w:t>
            </w:r>
          </w:p>
          <w:p w14:paraId="764FC660" w14:textId="77777777" w:rsidR="006167C2" w:rsidRPr="00141E83" w:rsidRDefault="006167C2" w:rsidP="001C3D79">
            <w:pPr>
              <w:pStyle w:val="Bullet"/>
              <w:numPr>
                <w:ilvl w:val="0"/>
                <w:numId w:val="25"/>
              </w:numPr>
              <w:rPr>
                <w:sz w:val="18"/>
                <w:szCs w:val="18"/>
              </w:rPr>
            </w:pPr>
            <w:r w:rsidRPr="00141E83">
              <w:rPr>
                <w:sz w:val="18"/>
                <w:szCs w:val="18"/>
              </w:rPr>
              <w:t>The agreement articulates the respective roles and responsibilities of the Australian Government and the States and Territories</w:t>
            </w:r>
            <w:r w:rsidR="0063725E" w:rsidRPr="00141E83">
              <w:rPr>
                <w:sz w:val="18"/>
                <w:szCs w:val="18"/>
              </w:rPr>
              <w:t>.</w:t>
            </w:r>
          </w:p>
          <w:p w14:paraId="6D7A3FB1" w14:textId="77777777" w:rsidR="006167C2" w:rsidRPr="00141E83" w:rsidRDefault="006167C2" w:rsidP="001C3D79">
            <w:pPr>
              <w:pStyle w:val="Bullet"/>
              <w:numPr>
                <w:ilvl w:val="0"/>
                <w:numId w:val="25"/>
              </w:numPr>
              <w:rPr>
                <w:sz w:val="18"/>
                <w:szCs w:val="18"/>
              </w:rPr>
            </w:pPr>
            <w:r w:rsidRPr="00141E83">
              <w:rPr>
                <w:sz w:val="18"/>
                <w:szCs w:val="18"/>
              </w:rPr>
              <w:t xml:space="preserve">State and Territory governments exercise discretion about how UANP funding is deployed within their respective jurisdictions. </w:t>
            </w:r>
          </w:p>
          <w:p w14:paraId="05EA5C05" w14:textId="77777777" w:rsidR="006167C2" w:rsidRPr="00141E83" w:rsidRDefault="006167C2" w:rsidP="001C3D79">
            <w:pPr>
              <w:pStyle w:val="Bullet"/>
              <w:numPr>
                <w:ilvl w:val="0"/>
                <w:numId w:val="25"/>
              </w:numPr>
              <w:rPr>
                <w:sz w:val="18"/>
                <w:szCs w:val="18"/>
              </w:rPr>
            </w:pPr>
            <w:r w:rsidRPr="00141E83">
              <w:rPr>
                <w:sz w:val="18"/>
                <w:szCs w:val="18"/>
              </w:rPr>
              <w:t xml:space="preserve">State and Territory governments determine the sum and purpose of State or Territory funding to support preschool provision. This is consistent with the Intergovernmental Agreement on Federal Financial Relations, which favours flexibility in service delivery, and with the Early Learning Reform Principles. </w:t>
            </w:r>
          </w:p>
          <w:p w14:paraId="0AD8E2E4" w14:textId="77777777" w:rsidR="00276532" w:rsidRPr="00141E83" w:rsidRDefault="006167C2" w:rsidP="001C3D79">
            <w:pPr>
              <w:pStyle w:val="Bullet"/>
              <w:numPr>
                <w:ilvl w:val="0"/>
                <w:numId w:val="25"/>
              </w:numPr>
              <w:rPr>
                <w:sz w:val="18"/>
                <w:szCs w:val="18"/>
              </w:rPr>
            </w:pPr>
            <w:r w:rsidRPr="00141E83">
              <w:rPr>
                <w:sz w:val="18"/>
                <w:szCs w:val="18"/>
              </w:rPr>
              <w:t xml:space="preserve">The agreement </w:t>
            </w:r>
            <w:r w:rsidR="00276532" w:rsidRPr="00141E83">
              <w:rPr>
                <w:sz w:val="18"/>
                <w:szCs w:val="18"/>
              </w:rPr>
              <w:t>sets out the total estimated disbursements to each State and Territory</w:t>
            </w:r>
            <w:r w:rsidR="00361FEF" w:rsidRPr="00141E83">
              <w:rPr>
                <w:sz w:val="18"/>
                <w:szCs w:val="18"/>
              </w:rPr>
              <w:t xml:space="preserve"> from the Australian Government</w:t>
            </w:r>
            <w:r w:rsidR="0063725E" w:rsidRPr="00141E83">
              <w:rPr>
                <w:sz w:val="18"/>
                <w:szCs w:val="18"/>
              </w:rPr>
              <w:t>.</w:t>
            </w:r>
          </w:p>
          <w:p w14:paraId="3D850BB6" w14:textId="77777777" w:rsidR="00276532" w:rsidRPr="00141E83" w:rsidRDefault="006167C2" w:rsidP="001C3D79">
            <w:pPr>
              <w:pStyle w:val="Bullet"/>
              <w:numPr>
                <w:ilvl w:val="0"/>
                <w:numId w:val="25"/>
              </w:numPr>
              <w:rPr>
                <w:sz w:val="18"/>
                <w:szCs w:val="18"/>
              </w:rPr>
            </w:pPr>
            <w:r w:rsidRPr="00141E83">
              <w:rPr>
                <w:sz w:val="18"/>
                <w:szCs w:val="18"/>
              </w:rPr>
              <w:t xml:space="preserve">The agreement </w:t>
            </w:r>
            <w:r w:rsidR="00276532" w:rsidRPr="00141E83">
              <w:rPr>
                <w:sz w:val="18"/>
                <w:szCs w:val="18"/>
              </w:rPr>
              <w:t>stipulates the terms under which funding will be provided</w:t>
            </w:r>
            <w:r w:rsidR="0063725E" w:rsidRPr="00141E83">
              <w:rPr>
                <w:sz w:val="18"/>
                <w:szCs w:val="18"/>
              </w:rPr>
              <w:t>.</w:t>
            </w:r>
          </w:p>
          <w:p w14:paraId="341F1883" w14:textId="77777777" w:rsidR="00276532" w:rsidRPr="002A5438" w:rsidRDefault="006167C2" w:rsidP="001C3D79">
            <w:pPr>
              <w:pStyle w:val="Bullet"/>
              <w:numPr>
                <w:ilvl w:val="0"/>
                <w:numId w:val="25"/>
              </w:numPr>
            </w:pPr>
            <w:r w:rsidRPr="00141E83">
              <w:rPr>
                <w:sz w:val="18"/>
                <w:szCs w:val="18"/>
              </w:rPr>
              <w:t xml:space="preserve">The agreement </w:t>
            </w:r>
            <w:r w:rsidR="00276532" w:rsidRPr="00141E83">
              <w:rPr>
                <w:sz w:val="18"/>
                <w:szCs w:val="18"/>
              </w:rPr>
              <w:t>provides the basis for more detailed bilateral implementation plans</w:t>
            </w:r>
            <w:r w:rsidRPr="00141E83">
              <w:rPr>
                <w:sz w:val="18"/>
                <w:szCs w:val="18"/>
              </w:rPr>
              <w:t>.</w:t>
            </w:r>
            <w:r w:rsidR="002A5438">
              <w:rPr>
                <w:sz w:val="18"/>
                <w:szCs w:val="18"/>
              </w:rPr>
              <w:t xml:space="preserve"> </w:t>
            </w:r>
            <w:r w:rsidR="0063725E" w:rsidRPr="002A5438">
              <w:rPr>
                <w:sz w:val="18"/>
                <w:szCs w:val="18"/>
              </w:rPr>
              <w:t>In the 2013-14 agreement and onwards, the UANP and its predecessor agreements have also included a proportion of funding attached to performance to drive reform.</w:t>
            </w:r>
          </w:p>
        </w:tc>
      </w:tr>
    </w:tbl>
    <w:p w14:paraId="124229A5" w14:textId="77777777" w:rsidR="00C34804" w:rsidRDefault="00C34804" w:rsidP="00D80A2F">
      <w:pPr>
        <w:pStyle w:val="Heading4"/>
      </w:pPr>
      <w:bookmarkStart w:id="74" w:name="_Toc24559581"/>
      <w:r>
        <w:t>The UANP is founded on strong evidence about the benefits of quality preschool</w:t>
      </w:r>
      <w:bookmarkEnd w:id="74"/>
      <w:r>
        <w:t xml:space="preserve"> </w:t>
      </w:r>
    </w:p>
    <w:p w14:paraId="0F444CF3" w14:textId="77777777" w:rsidR="00C34804" w:rsidRDefault="00C34804" w:rsidP="00C34804">
      <w:pPr>
        <w:pStyle w:val="Bullet"/>
      </w:pPr>
      <w:r>
        <w:t>The collective investment by all governments under the UANP reflects a consensus that preschool improves children’s development and learning, and their school transitions.</w:t>
      </w:r>
      <w:r>
        <w:rPr>
          <w:rStyle w:val="FootnoteReference"/>
        </w:rPr>
        <w:footnoteReference w:id="12"/>
      </w:r>
      <w:r>
        <w:t xml:space="preserve"> This </w:t>
      </w:r>
      <w:r w:rsidR="000B4ECD">
        <w:t xml:space="preserve">consensus is based in research indicating </w:t>
      </w:r>
      <w:r>
        <w:t>that:</w:t>
      </w:r>
    </w:p>
    <w:p w14:paraId="66130FDD" w14:textId="77777777" w:rsidR="00C34804" w:rsidRDefault="00C34804" w:rsidP="00C34804">
      <w:pPr>
        <w:pStyle w:val="Bullet"/>
        <w:numPr>
          <w:ilvl w:val="0"/>
          <w:numId w:val="13"/>
        </w:numPr>
        <w:ind w:left="340" w:hanging="340"/>
      </w:pPr>
      <w:r>
        <w:t>Most of a child’s brain development occurs during their first five years, forming the foundation for lifelong learning.</w:t>
      </w:r>
      <w:r>
        <w:rPr>
          <w:rStyle w:val="FootnoteReference"/>
        </w:rPr>
        <w:footnoteReference w:id="13"/>
      </w:r>
    </w:p>
    <w:p w14:paraId="2E13C94E" w14:textId="77777777" w:rsidR="00BD3F23" w:rsidRDefault="00C34804" w:rsidP="005376CD">
      <w:pPr>
        <w:pStyle w:val="Bullet"/>
        <w:numPr>
          <w:ilvl w:val="0"/>
          <w:numId w:val="13"/>
        </w:numPr>
        <w:ind w:left="340" w:hanging="340"/>
      </w:pPr>
      <w:r w:rsidRPr="0056799B">
        <w:t xml:space="preserve">The development of children’s cognitive, </w:t>
      </w:r>
      <w:r>
        <w:t xml:space="preserve">social, </w:t>
      </w:r>
      <w:proofErr w:type="gramStart"/>
      <w:r w:rsidRPr="0056799B">
        <w:t>emotional</w:t>
      </w:r>
      <w:proofErr w:type="gramEnd"/>
      <w:r w:rsidRPr="0056799B">
        <w:t xml:space="preserve"> and physical skills as a result of attending a quality preschool program </w:t>
      </w:r>
      <w:r>
        <w:t xml:space="preserve">lay the foundation for </w:t>
      </w:r>
      <w:r w:rsidRPr="0056799B">
        <w:t>both short-term and life-long benefits.</w:t>
      </w:r>
      <w:r>
        <w:rPr>
          <w:rStyle w:val="FootnoteReference"/>
        </w:rPr>
        <w:footnoteReference w:id="14"/>
      </w:r>
    </w:p>
    <w:p w14:paraId="2922396C" w14:textId="56B9B9A5" w:rsidR="000B4ECD" w:rsidRPr="000B4ECD" w:rsidRDefault="00C34804" w:rsidP="005376CD">
      <w:pPr>
        <w:pStyle w:val="Bullet"/>
        <w:numPr>
          <w:ilvl w:val="0"/>
          <w:numId w:val="13"/>
        </w:numPr>
        <w:ind w:left="340" w:hanging="340"/>
      </w:pPr>
      <w:r>
        <w:lastRenderedPageBreak/>
        <w:t xml:space="preserve">Preschool sets up </w:t>
      </w:r>
      <w:r w:rsidRPr="0056799B">
        <w:t xml:space="preserve">children’s readiness for </w:t>
      </w:r>
      <w:r>
        <w:t xml:space="preserve">success at </w:t>
      </w:r>
      <w:r w:rsidRPr="0056799B">
        <w:t>full-time school, improve</w:t>
      </w:r>
      <w:r>
        <w:t>s</w:t>
      </w:r>
      <w:r w:rsidRPr="0056799B">
        <w:t xml:space="preserve"> learning throughout primary school</w:t>
      </w:r>
      <w:r>
        <w:t>, and is associated with higher secondary</w:t>
      </w:r>
      <w:r w:rsidRPr="0056799B">
        <w:t xml:space="preserve"> school retention rates</w:t>
      </w:r>
      <w:r>
        <w:t>.</w:t>
      </w:r>
      <w:r w:rsidRPr="00F473A0">
        <w:rPr>
          <w:rStyle w:val="FootnoteReference"/>
        </w:rPr>
        <w:footnoteReference w:id="15"/>
      </w:r>
      <w:r w:rsidRPr="00BD3F23">
        <w:rPr>
          <w:vertAlign w:val="superscript"/>
        </w:rPr>
        <w:t>,</w:t>
      </w:r>
      <w:r w:rsidRPr="00F473A0">
        <w:rPr>
          <w:rStyle w:val="FootnoteReference"/>
        </w:rPr>
        <w:footnoteReference w:id="16"/>
      </w:r>
      <w:r w:rsidRPr="00BD3F23">
        <w:rPr>
          <w:vertAlign w:val="superscript"/>
        </w:rPr>
        <w:t>,</w:t>
      </w:r>
      <w:r w:rsidRPr="00F473A0">
        <w:rPr>
          <w:rStyle w:val="FootnoteReference"/>
        </w:rPr>
        <w:footnoteReference w:id="17"/>
      </w:r>
      <w:r w:rsidRPr="00BD3F23">
        <w:rPr>
          <w:vertAlign w:val="superscript"/>
        </w:rPr>
        <w:t xml:space="preserve"> </w:t>
      </w:r>
    </w:p>
    <w:p w14:paraId="38C84847" w14:textId="77777777" w:rsidR="00C34804" w:rsidRDefault="000B4ECD" w:rsidP="000B4ECD">
      <w:r>
        <w:t>On the latter point, t</w:t>
      </w:r>
      <w:r w:rsidR="00C34804" w:rsidRPr="007A473E">
        <w:t xml:space="preserve">he Australian </w:t>
      </w:r>
      <w:r w:rsidR="00C34804">
        <w:t xml:space="preserve">Government’s </w:t>
      </w:r>
      <w:r w:rsidR="00C34804" w:rsidRPr="007A473E">
        <w:rPr>
          <w:i/>
        </w:rPr>
        <w:t>Review to Achieve Educational Excellence in Australian Schools</w:t>
      </w:r>
      <w:r w:rsidR="00C34804">
        <w:t xml:space="preserve"> (Gonski Review)</w:t>
      </w:r>
      <w:r>
        <w:t>, for example,</w:t>
      </w:r>
      <w:r w:rsidR="00C34804">
        <w:t xml:space="preserve"> found that quality early childhood education builds the foundation for future learning and is an equitable and cost-effective way to narrow the gap between advantaged and disadvantaged students.</w:t>
      </w:r>
      <w:r w:rsidR="00C34804">
        <w:rPr>
          <w:rStyle w:val="FootnoteReference"/>
        </w:rPr>
        <w:footnoteReference w:id="18"/>
      </w:r>
    </w:p>
    <w:p w14:paraId="160C32E9" w14:textId="77777777" w:rsidR="00C34804" w:rsidRDefault="00C34804" w:rsidP="00C34804">
      <w:pPr>
        <w:pStyle w:val="Bullet"/>
      </w:pPr>
      <w:r w:rsidRPr="00074419">
        <w:t xml:space="preserve">While all children can benefit from a quality preschool program, </w:t>
      </w:r>
      <w:r w:rsidR="000B4ECD">
        <w:t xml:space="preserve">authoritative </w:t>
      </w:r>
      <w:r w:rsidRPr="00074419">
        <w:t>reviews suggest that developmentally vulnerable children have the most to gain.</w:t>
      </w:r>
      <w:r w:rsidRPr="00074419">
        <w:rPr>
          <w:rStyle w:val="FootnoteReference"/>
        </w:rPr>
        <w:footnoteReference w:id="19"/>
      </w:r>
      <w:r>
        <w:t xml:space="preserve"> </w:t>
      </w:r>
      <w:r w:rsidR="00064D16">
        <w:t>Of note is t</w:t>
      </w:r>
      <w:r>
        <w:t xml:space="preserve">he </w:t>
      </w:r>
      <w:r w:rsidRPr="009636D4">
        <w:rPr>
          <w:i/>
        </w:rPr>
        <w:t>Lifting Our Game</w:t>
      </w:r>
      <w:r>
        <w:t xml:space="preserve"> report</w:t>
      </w:r>
      <w:r w:rsidR="00064D16">
        <w:t xml:space="preserve">, which concluded on the basis of a review of published </w:t>
      </w:r>
      <w:r>
        <w:t>research</w:t>
      </w:r>
      <w:r w:rsidR="00064D16">
        <w:t xml:space="preserve">, </w:t>
      </w:r>
      <w:r>
        <w:t xml:space="preserve">that the developmental benefits of preschool are especially marked for </w:t>
      </w:r>
      <w:r w:rsidR="00AB735C">
        <w:t>Indigenous</w:t>
      </w:r>
      <w:r>
        <w:t xml:space="preserve"> </w:t>
      </w:r>
      <w:r w:rsidRPr="0C5679B2">
        <w:t>children and children experiencing vulnerability and disadvantage.</w:t>
      </w:r>
      <w:r w:rsidRPr="0C5679B2">
        <w:rPr>
          <w:rStyle w:val="FootnoteReference"/>
        </w:rPr>
        <w:footnoteReference w:id="20"/>
      </w:r>
      <w:r w:rsidRPr="0C5679B2">
        <w:t xml:space="preserve"> </w:t>
      </w:r>
      <w:r>
        <w:t>In addition, several jurisdictions note that preschool participation enables the early identification and remediation of vulnerabilities experienced by children and their families.</w:t>
      </w:r>
      <w:r>
        <w:rPr>
          <w:rStyle w:val="FootnoteReference"/>
        </w:rPr>
        <w:footnoteReference w:id="21"/>
      </w:r>
      <w:r>
        <w:t xml:space="preserve"> </w:t>
      </w:r>
      <w:r w:rsidR="00064D16">
        <w:t>T</w:t>
      </w:r>
      <w:r w:rsidRPr="00074419">
        <w:t xml:space="preserve">hese target cohorts are </w:t>
      </w:r>
      <w:r w:rsidR="00064D16">
        <w:t xml:space="preserve">generally </w:t>
      </w:r>
      <w:r w:rsidRPr="00074419">
        <w:t xml:space="preserve">less likely to participate </w:t>
      </w:r>
      <w:r w:rsidR="00064D16">
        <w:t>in preschool, however, and so are given especial focus under the UANP.</w:t>
      </w:r>
    </w:p>
    <w:p w14:paraId="6D540211" w14:textId="77777777" w:rsidR="00C34804" w:rsidRDefault="00064D16" w:rsidP="00C34804">
      <w:pPr>
        <w:pStyle w:val="Bullet"/>
      </w:pPr>
      <w:r>
        <w:t xml:space="preserve">Benefits are seen not only at the individual level. </w:t>
      </w:r>
      <w:r w:rsidR="000C1DD3">
        <w:t>A r</w:t>
      </w:r>
      <w:r w:rsidR="00C34804">
        <w:t>ecent</w:t>
      </w:r>
      <w:r w:rsidR="00C34804" w:rsidDel="000C1DD3">
        <w:t xml:space="preserve"> </w:t>
      </w:r>
      <w:r w:rsidR="00C34804">
        <w:t xml:space="preserve">analysis </w:t>
      </w:r>
      <w:r w:rsidR="000C1DD3">
        <w:t xml:space="preserve">of the UANP </w:t>
      </w:r>
      <w:r>
        <w:t xml:space="preserve">found </w:t>
      </w:r>
      <w:r w:rsidR="00C34804">
        <w:t xml:space="preserve">that </w:t>
      </w:r>
      <w:r w:rsidR="000C1DD3">
        <w:t xml:space="preserve">every dollar </w:t>
      </w:r>
      <w:r>
        <w:t xml:space="preserve">invested produces </w:t>
      </w:r>
      <w:r w:rsidR="000451C3">
        <w:t xml:space="preserve">a </w:t>
      </w:r>
      <w:r w:rsidR="000C1DD3">
        <w:t>$2</w:t>
      </w:r>
      <w:r w:rsidR="000451C3">
        <w:t xml:space="preserve"> return</w:t>
      </w:r>
      <w:r>
        <w:t xml:space="preserve"> to the economy</w:t>
      </w:r>
      <w:r w:rsidR="000C1DD3">
        <w:t>. Australian governments</w:t>
      </w:r>
      <w:r w:rsidR="000451C3">
        <w:t xml:space="preserve"> benefit </w:t>
      </w:r>
      <w:r>
        <w:t xml:space="preserve">from their spending on preschool </w:t>
      </w:r>
      <w:r w:rsidR="000451C3">
        <w:t xml:space="preserve">through </w:t>
      </w:r>
      <w:r w:rsidR="000C1DD3">
        <w:t xml:space="preserve">increased workforce participation, </w:t>
      </w:r>
      <w:proofErr w:type="gramStart"/>
      <w:r>
        <w:t>consumption</w:t>
      </w:r>
      <w:proofErr w:type="gramEnd"/>
      <w:r>
        <w:t xml:space="preserve"> and </w:t>
      </w:r>
      <w:r w:rsidR="00C34804" w:rsidRPr="00650459">
        <w:t>tax revenue</w:t>
      </w:r>
      <w:r>
        <w:t>. C</w:t>
      </w:r>
      <w:r w:rsidR="00C34804" w:rsidRPr="00650459">
        <w:t xml:space="preserve">onsiderable savings </w:t>
      </w:r>
      <w:r>
        <w:t xml:space="preserve">are also realised </w:t>
      </w:r>
      <w:r w:rsidR="00C34804" w:rsidRPr="00650459">
        <w:t xml:space="preserve">in health, </w:t>
      </w:r>
      <w:proofErr w:type="gramStart"/>
      <w:r w:rsidR="00C34804" w:rsidRPr="00650459">
        <w:t>education</w:t>
      </w:r>
      <w:proofErr w:type="gramEnd"/>
      <w:r w:rsidR="00C34804" w:rsidRPr="00650459">
        <w:t xml:space="preserve"> and justice budgets</w:t>
      </w:r>
      <w:r w:rsidR="00C34804">
        <w:t>.</w:t>
      </w:r>
      <w:r w:rsidR="00C34804">
        <w:rPr>
          <w:rStyle w:val="FootnoteReference"/>
        </w:rPr>
        <w:footnoteReference w:id="22"/>
      </w:r>
    </w:p>
    <w:p w14:paraId="1424C099" w14:textId="77777777" w:rsidR="00C34804" w:rsidRDefault="00C34804" w:rsidP="00C34804">
      <w:pPr>
        <w:pStyle w:val="Bullet"/>
      </w:pPr>
      <w:r>
        <w:t>While t</w:t>
      </w:r>
      <w:r w:rsidRPr="0029471C">
        <w:t xml:space="preserve">here is no clear evidence about the optimal </w:t>
      </w:r>
      <w:r>
        <w:t xml:space="preserve">amount </w:t>
      </w:r>
      <w:r w:rsidRPr="0029471C">
        <w:t xml:space="preserve">of </w:t>
      </w:r>
      <w:r>
        <w:t>preschool</w:t>
      </w:r>
      <w:r w:rsidRPr="00F6376B">
        <w:t xml:space="preserve"> </w:t>
      </w:r>
      <w:r>
        <w:t>that children should receive each week,</w:t>
      </w:r>
      <w:r w:rsidRPr="0029471C">
        <w:t xml:space="preserve"> a threshold of 15 hours per week</w:t>
      </w:r>
      <w:r>
        <w:t xml:space="preserve"> (600 hours per year) in the year before full-time school was </w:t>
      </w:r>
      <w:r w:rsidR="008271F0">
        <w:t xml:space="preserve">agreed </w:t>
      </w:r>
      <w:r>
        <w:t xml:space="preserve">based on a number of studies </w:t>
      </w:r>
      <w:r w:rsidR="008271F0">
        <w:t>into</w:t>
      </w:r>
      <w:r>
        <w:t xml:space="preserve"> the minimum amount for children to gain educational, social and developmental benefits</w:t>
      </w:r>
      <w:r w:rsidRPr="007176AB">
        <w:t>.</w:t>
      </w:r>
      <w:r>
        <w:rPr>
          <w:rStyle w:val="FootnoteReference"/>
        </w:rPr>
        <w:footnoteReference w:id="23"/>
      </w:r>
      <w:r w:rsidRPr="007176AB">
        <w:t xml:space="preserve"> </w:t>
      </w:r>
      <w:r>
        <w:t xml:space="preserve">At the time the first NP ECE was introduced, most States and Territories were offering around 12 hours per week, so this was a substantial shift. Despite this set </w:t>
      </w:r>
      <w:r w:rsidR="008271F0">
        <w:t>minimum</w:t>
      </w:r>
      <w:r>
        <w:t>, there is evidence a</w:t>
      </w:r>
      <w:r w:rsidRPr="007176AB">
        <w:t xml:space="preserve">n earlier start or longer hours </w:t>
      </w:r>
      <w:r>
        <w:t>is</w:t>
      </w:r>
      <w:r w:rsidRPr="007176AB">
        <w:t xml:space="preserve"> beneficial, provided the expanded services do not diminish in</w:t>
      </w:r>
      <w:r w:rsidRPr="0029471C">
        <w:t xml:space="preserve"> quality</w:t>
      </w:r>
      <w:r>
        <w:t>.</w:t>
      </w:r>
      <w:r>
        <w:rPr>
          <w:rStyle w:val="FootnoteReference"/>
        </w:rPr>
        <w:footnoteReference w:id="24"/>
      </w:r>
      <w:r w:rsidRPr="0029471C">
        <w:t xml:space="preserve"> </w:t>
      </w:r>
      <w:r w:rsidRPr="00E03CF5">
        <w:t>Internationally, most developed countries are offering closer to 20 and 30 hour per week.</w:t>
      </w:r>
      <w:r w:rsidRPr="00E03CF5">
        <w:rPr>
          <w:rStyle w:val="FootnoteReference"/>
        </w:rPr>
        <w:footnoteReference w:id="25"/>
      </w:r>
      <w:r w:rsidRPr="00E03CF5">
        <w:t xml:space="preserve"> </w:t>
      </w:r>
    </w:p>
    <w:p w14:paraId="4476CE8E" w14:textId="77777777" w:rsidR="00C34804" w:rsidRDefault="00C34804" w:rsidP="00C34804">
      <w:pPr>
        <w:pStyle w:val="Bullet"/>
      </w:pPr>
      <w:r>
        <w:t xml:space="preserve">The UANP and its predecessor agreements are founded on the principle of ‘universality’. </w:t>
      </w:r>
      <w:r w:rsidR="008271F0">
        <w:t xml:space="preserve">This reflects a strong evidence-based policy </w:t>
      </w:r>
      <w:r>
        <w:t xml:space="preserve">position by governments here </w:t>
      </w:r>
      <w:r w:rsidR="008271F0">
        <w:t xml:space="preserve">and </w:t>
      </w:r>
      <w:r>
        <w:t>internationally that any initiative</w:t>
      </w:r>
      <w:r w:rsidR="008271F0">
        <w:t>s</w:t>
      </w:r>
      <w:r>
        <w:t xml:space="preserve"> to promote preschool participation should be </w:t>
      </w:r>
      <w:r w:rsidR="008271F0">
        <w:t xml:space="preserve">provide </w:t>
      </w:r>
      <w:r w:rsidR="0014025D">
        <w:t>equal opportunities for all children to participate</w:t>
      </w:r>
      <w:r w:rsidR="008271F0">
        <w:t xml:space="preserve">. </w:t>
      </w:r>
      <w:r w:rsidR="00AB735C">
        <w:t>D</w:t>
      </w:r>
      <w:r w:rsidR="008271F0">
        <w:t>oing allows systems to</w:t>
      </w:r>
      <w:r>
        <w:t>:</w:t>
      </w:r>
    </w:p>
    <w:p w14:paraId="1CDEF807" w14:textId="77777777" w:rsidR="00C34804" w:rsidRPr="006E6A4C" w:rsidRDefault="00C34804" w:rsidP="00C34804">
      <w:pPr>
        <w:pStyle w:val="Bullet"/>
        <w:numPr>
          <w:ilvl w:val="0"/>
          <w:numId w:val="13"/>
        </w:numPr>
        <w:ind w:left="340" w:hanging="340"/>
        <w:rPr>
          <w:rFonts w:asciiTheme="minorHAnsi" w:hAnsiTheme="minorHAnsi" w:cstheme="minorBidi"/>
        </w:rPr>
      </w:pPr>
      <w:r w:rsidRPr="0C5679B2">
        <w:rPr>
          <w:rFonts w:asciiTheme="minorHAnsi" w:hAnsiTheme="minorHAnsi" w:cstheme="minorBidi"/>
        </w:rPr>
        <w:lastRenderedPageBreak/>
        <w:t>capture children not formally identified as being at risk who would likely benefit</w:t>
      </w:r>
    </w:p>
    <w:p w14:paraId="30DDE13C" w14:textId="77777777" w:rsidR="00C34804" w:rsidRPr="006E6A4C" w:rsidRDefault="00C34804" w:rsidP="00C348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avoid the risk of stigma being attached to preschool participation</w:t>
      </w:r>
    </w:p>
    <w:p w14:paraId="4B169995" w14:textId="77777777" w:rsidR="00C34804" w:rsidRPr="006E6A4C" w:rsidRDefault="00C34804" w:rsidP="00C348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promote preschool as a normal preparatory phase to ease transition to full-time schooling </w:t>
      </w:r>
    </w:p>
    <w:p w14:paraId="3D0EBA5A" w14:textId="77777777" w:rsidR="00C34804" w:rsidRDefault="00C34804" w:rsidP="00C348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achieve genuine systemic improvement</w:t>
      </w:r>
    </w:p>
    <w:p w14:paraId="790FE4A3" w14:textId="77777777" w:rsidR="00C34804" w:rsidRPr="006E6A4C" w:rsidRDefault="00C34804" w:rsidP="00C348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provide a platform on which complementary targeted initiatives could be built. </w:t>
      </w:r>
    </w:p>
    <w:p w14:paraId="71C3282A" w14:textId="77777777" w:rsidR="00C34804" w:rsidRPr="00C34804" w:rsidRDefault="00C34804" w:rsidP="00C34804">
      <w:bookmarkStart w:id="75" w:name="_Toc21691806"/>
      <w:bookmarkStart w:id="76" w:name="_Toc22303181"/>
      <w:bookmarkStart w:id="77" w:name="_Toc22722852"/>
      <w:bookmarkStart w:id="78" w:name="_Toc20754975"/>
      <w:bookmarkStart w:id="79" w:name="_Toc20759113"/>
      <w:bookmarkStart w:id="80" w:name="_Toc20904945"/>
      <w:r w:rsidRPr="00C34804">
        <w:t xml:space="preserve">This is consistent with governments’ approach to other parts of the education system, which offer universal access to primary and secondary school and tertiary education. </w:t>
      </w:r>
    </w:p>
    <w:p w14:paraId="66E8C346" w14:textId="77777777" w:rsidR="006167C2" w:rsidRDefault="007D135E" w:rsidP="00B727AB">
      <w:pPr>
        <w:pStyle w:val="Heading2"/>
      </w:pPr>
      <w:bookmarkStart w:id="81" w:name="_Toc24559582"/>
      <w:bookmarkStart w:id="82" w:name="_Toc54597771"/>
      <w:r>
        <w:t>The</w:t>
      </w:r>
      <w:r w:rsidR="006167C2" w:rsidRPr="00D50D5E">
        <w:t xml:space="preserve"> UANP </w:t>
      </w:r>
      <w:r w:rsidR="006167C2">
        <w:t>has been</w:t>
      </w:r>
      <w:r w:rsidR="006167C2" w:rsidRPr="00D50D5E">
        <w:t xml:space="preserve"> implemented in conjunction with several related </w:t>
      </w:r>
      <w:r w:rsidR="006167C2">
        <w:t>arrangements</w:t>
      </w:r>
      <w:r w:rsidR="006167C2" w:rsidRPr="00D50D5E">
        <w:t xml:space="preserve"> and initiatives</w:t>
      </w:r>
      <w:bookmarkEnd w:id="75"/>
      <w:bookmarkEnd w:id="76"/>
      <w:bookmarkEnd w:id="77"/>
      <w:bookmarkEnd w:id="81"/>
      <w:bookmarkEnd w:id="82"/>
    </w:p>
    <w:p w14:paraId="0A98438D" w14:textId="7D7925C1" w:rsidR="006167C2" w:rsidRDefault="006167C2" w:rsidP="00145D86">
      <w:pPr>
        <w:pStyle w:val="Bullet"/>
      </w:pPr>
      <w:r>
        <w:t xml:space="preserve">The Australian Government’s funding contribution via the UANP </w:t>
      </w:r>
      <w:r w:rsidR="00A34243">
        <w:t>contributes to</w:t>
      </w:r>
      <w:r w:rsidR="007852E3">
        <w:t xml:space="preserve"> </w:t>
      </w:r>
      <w:r>
        <w:t xml:space="preserve">States’ and Territories’ own contributions to support delivery of preschool programs and has made possible </w:t>
      </w:r>
      <w:r w:rsidR="0022217F">
        <w:t xml:space="preserve">both </w:t>
      </w:r>
      <w:r>
        <w:t xml:space="preserve">the expansion of the number of hours of preschool available and </w:t>
      </w:r>
      <w:r w:rsidR="0022217F">
        <w:t>an increase in</w:t>
      </w:r>
      <w:r>
        <w:t xml:space="preserve"> participation. State and Territory contributions that pre-dated the UANP have continued, taking on different forms in different places and supporting services to align to local contexts and community needs.</w:t>
      </w:r>
    </w:p>
    <w:p w14:paraId="0E643A03" w14:textId="77777777" w:rsidR="006167C2" w:rsidRDefault="006167C2" w:rsidP="00145D86">
      <w:pPr>
        <w:pStyle w:val="Bullet"/>
      </w:pPr>
      <w:r>
        <w:t xml:space="preserve">States and Territories have also individually implemented initiatives that directly and indirectly contribute to the realisation of universal preschool access. Information about some of these initiatives are outlined in </w:t>
      </w:r>
      <w:r w:rsidR="008F7577">
        <w:t>Chapter</w:t>
      </w:r>
      <w:r w:rsidR="008F7577" w:rsidRPr="00272ABB">
        <w:t xml:space="preserve"> </w:t>
      </w:r>
      <w:r w:rsidR="00513C12">
        <w:t>2.5</w:t>
      </w:r>
      <w:r>
        <w:t xml:space="preserve">. </w:t>
      </w:r>
    </w:p>
    <w:p w14:paraId="36124B00" w14:textId="77777777" w:rsidR="009D4EB7" w:rsidRDefault="00715113" w:rsidP="009D4EB7">
      <w:pPr>
        <w:pStyle w:val="Bullet"/>
      </w:pPr>
      <w:r>
        <w:t>Nationally</w:t>
      </w:r>
      <w:r w:rsidR="006167C2">
        <w:t xml:space="preserve">, </w:t>
      </w:r>
      <w:r w:rsidR="00361FEF">
        <w:t>around a year after the NP ECE was agreed</w:t>
      </w:r>
      <w:r w:rsidR="006167C2">
        <w:t xml:space="preserve">, COAG </w:t>
      </w:r>
      <w:r w:rsidR="0072494D">
        <w:t>signed</w:t>
      </w:r>
      <w:r w:rsidR="006167C2">
        <w:t xml:space="preserve"> the </w:t>
      </w:r>
      <w:r w:rsidR="0072494D">
        <w:t>NP NQA</w:t>
      </w:r>
      <w:r w:rsidR="006167C2">
        <w:t xml:space="preserve">, which </w:t>
      </w:r>
      <w:r w:rsidR="0072494D">
        <w:t xml:space="preserve">was subsequently extended until June </w:t>
      </w:r>
      <w:r w:rsidR="006167C2">
        <w:t xml:space="preserve">2018. </w:t>
      </w:r>
      <w:r w:rsidR="009D4EB7" w:rsidRPr="006C56EE">
        <w:t xml:space="preserve">This </w:t>
      </w:r>
      <w:r>
        <w:t>provided</w:t>
      </w:r>
      <w:r w:rsidR="009D4EB7" w:rsidRPr="006C56EE">
        <w:t xml:space="preserve"> the mechanism by which all jurisdictions agreed on </w:t>
      </w:r>
      <w:r w:rsidR="00113139">
        <w:t>the</w:t>
      </w:r>
      <w:r w:rsidR="009D4EB7" w:rsidRPr="006C56EE">
        <w:t xml:space="preserve"> NQS for preschool services</w:t>
      </w:r>
      <w:r>
        <w:t xml:space="preserve">. It also </w:t>
      </w:r>
      <w:r w:rsidR="009D4EB7" w:rsidRPr="006C56EE">
        <w:t>gave rise to a new national body</w:t>
      </w:r>
      <w:r w:rsidR="00361FEF">
        <w:t>,</w:t>
      </w:r>
      <w:r w:rsidR="009D4EB7" w:rsidRPr="006C56EE">
        <w:t xml:space="preserve"> ACECQA</w:t>
      </w:r>
      <w:r w:rsidR="00361FEF">
        <w:t>,</w:t>
      </w:r>
      <w:r w:rsidR="009D4EB7" w:rsidRPr="006C56EE">
        <w:t xml:space="preserve"> </w:t>
      </w:r>
      <w:r w:rsidR="00361FEF">
        <w:t>that assists governments in administering the NQF</w:t>
      </w:r>
      <w:r w:rsidR="009D4EB7" w:rsidRPr="006C56EE">
        <w:t xml:space="preserve">, including </w:t>
      </w:r>
      <w:r>
        <w:t xml:space="preserve">by </w:t>
      </w:r>
      <w:r w:rsidR="00361FEF">
        <w:t>monitoring and promoting the consistent application of the Education and Care Services National Law across all jurisdictions</w:t>
      </w:r>
      <w:r w:rsidR="00361FEF" w:rsidRPr="006C56EE">
        <w:t>.</w:t>
      </w:r>
      <w:r w:rsidR="009D4EB7" w:rsidRPr="0072494D">
        <w:t xml:space="preserve"> </w:t>
      </w:r>
    </w:p>
    <w:p w14:paraId="76D40488" w14:textId="3D898D71" w:rsidR="00B727AB" w:rsidRDefault="00715113" w:rsidP="002D3D0E">
      <w:pPr>
        <w:sectPr w:rsidR="00B727AB" w:rsidSect="00D2536C">
          <w:pgSz w:w="11907" w:h="16839" w:code="9"/>
          <w:pgMar w:top="1418" w:right="1418" w:bottom="1701" w:left="1559" w:header="720" w:footer="720" w:gutter="0"/>
          <w:cols w:space="720"/>
          <w:titlePg/>
          <w:docGrid w:linePitch="360"/>
        </w:sectPr>
      </w:pPr>
      <w:r>
        <w:t xml:space="preserve">Over </w:t>
      </w:r>
      <w:r w:rsidR="006167C2">
        <w:t>th</w:t>
      </w:r>
      <w:r>
        <w:t>e last decade</w:t>
      </w:r>
      <w:r w:rsidR="006167C2">
        <w:t xml:space="preserve">, governments have jointly pursued specific objectives related to </w:t>
      </w:r>
      <w:r w:rsidR="00381B58">
        <w:t xml:space="preserve">Indigenous </w:t>
      </w:r>
      <w:r w:rsidR="006167C2">
        <w:t>early childhood development</w:t>
      </w:r>
      <w:r w:rsidR="006167C2" w:rsidRPr="005F1B41">
        <w:rPr>
          <w:vertAlign w:val="superscript"/>
        </w:rPr>
        <w:footnoteReference w:id="26"/>
      </w:r>
      <w:r w:rsidR="006C56EE">
        <w:t xml:space="preserve"> </w:t>
      </w:r>
      <w:r>
        <w:t>including through a commitment</w:t>
      </w:r>
      <w:r w:rsidRPr="00715113">
        <w:t xml:space="preserve"> </w:t>
      </w:r>
      <w:r>
        <w:t xml:space="preserve">to the Closing the Gap targets for early childhood education (which reference the UANP’s Performance Indicator 2 for the enrolment of Indigenous children). Governments have also collaborated on measures to develop </w:t>
      </w:r>
      <w:r w:rsidR="006167C2">
        <w:t>the early childhood workforce.</w:t>
      </w:r>
      <w:r w:rsidR="006167C2" w:rsidRPr="005F1B41">
        <w:rPr>
          <w:vertAlign w:val="superscript"/>
        </w:rPr>
        <w:footnoteReference w:id="27"/>
      </w:r>
      <w:r w:rsidR="006C56EE">
        <w:t xml:space="preserve"> </w:t>
      </w:r>
      <w:bookmarkStart w:id="83" w:name="_Toc21691809"/>
      <w:bookmarkStart w:id="84" w:name="_Toc22303184"/>
      <w:bookmarkStart w:id="85" w:name="_Toc22722855"/>
      <w:bookmarkEnd w:id="78"/>
      <w:bookmarkEnd w:id="79"/>
      <w:bookmarkEnd w:id="80"/>
    </w:p>
    <w:p w14:paraId="6B28A8B8" w14:textId="77777777" w:rsidR="00EF09CF" w:rsidRDefault="00EF09CF" w:rsidP="000872BF">
      <w:pPr>
        <w:pStyle w:val="Heading2"/>
        <w:spacing w:before="0"/>
        <w:ind w:left="578" w:hanging="578"/>
      </w:pPr>
      <w:bookmarkStart w:id="86" w:name="_Ref24558268"/>
      <w:bookmarkStart w:id="87" w:name="_Toc24559583"/>
      <w:bookmarkStart w:id="88" w:name="_Toc54597772"/>
      <w:r>
        <w:lastRenderedPageBreak/>
        <w:t>The Review’s approach is guided by its Terms of Reference and the available data</w:t>
      </w:r>
      <w:bookmarkEnd w:id="83"/>
      <w:bookmarkEnd w:id="84"/>
      <w:bookmarkEnd w:id="85"/>
      <w:bookmarkEnd w:id="86"/>
      <w:bookmarkEnd w:id="87"/>
      <w:bookmarkEnd w:id="88"/>
    </w:p>
    <w:p w14:paraId="11DD841F" w14:textId="6509988C" w:rsidR="000C38DD" w:rsidRPr="00AB30CC" w:rsidRDefault="000C38DD" w:rsidP="000C38DD">
      <w:pPr>
        <w:pStyle w:val="Bullet"/>
      </w:pPr>
      <w:r w:rsidRPr="002B0B86">
        <w:t>The last review of UANP arrangements occurred in 2014</w:t>
      </w:r>
      <w:r>
        <w:t xml:space="preserve">. The </w:t>
      </w:r>
      <w:proofErr w:type="spellStart"/>
      <w:r>
        <w:t>ToR</w:t>
      </w:r>
      <w:proofErr w:type="spellEnd"/>
      <w:r>
        <w:t xml:space="preserve"> for this </w:t>
      </w:r>
      <w:r w:rsidR="007852E3">
        <w:t>R</w:t>
      </w:r>
      <w:r>
        <w:t>eview (</w:t>
      </w:r>
      <w:r w:rsidR="00F6258C">
        <w:t xml:space="preserve">see </w:t>
      </w:r>
      <w:r w:rsidR="00F6258C">
        <w:fldChar w:fldCharType="begin"/>
      </w:r>
      <w:r w:rsidR="00F6258C">
        <w:instrText xml:space="preserve"> REF _Ref24558823 \n \h </w:instrText>
      </w:r>
      <w:r w:rsidR="00F6258C">
        <w:fldChar w:fldCharType="separate"/>
      </w:r>
      <w:r w:rsidR="00B37785">
        <w:t>Appendix A</w:t>
      </w:r>
      <w:r w:rsidR="00F6258C">
        <w:fldChar w:fldCharType="end"/>
      </w:r>
      <w:r>
        <w:t>) build on the previous review and focus on the sector since that time. To deliver the Review, Nous broke down these</w:t>
      </w:r>
      <w:r w:rsidRPr="00AB30CC">
        <w:t xml:space="preserve"> </w:t>
      </w:r>
      <w:proofErr w:type="spellStart"/>
      <w:r w:rsidRPr="00AB30CC">
        <w:t>ToR</w:t>
      </w:r>
      <w:proofErr w:type="spellEnd"/>
      <w:r w:rsidRPr="00AB30CC">
        <w:t xml:space="preserve"> into more specific lines of enquiry</w:t>
      </w:r>
      <w:r>
        <w:t xml:space="preserve">, with its </w:t>
      </w:r>
      <w:r w:rsidRPr="00AB30CC">
        <w:t xml:space="preserve">overarching question </w:t>
      </w:r>
      <w:r>
        <w:t xml:space="preserve">being </w:t>
      </w:r>
      <w:r w:rsidRPr="00AB30CC">
        <w:t>“what value is being derived from the UANP and how should this, as well as governments’ experiences of the agreement to date, inform decisions about future funding of preschool nationally in Australia?”</w:t>
      </w:r>
      <w:r>
        <w:t>.</w:t>
      </w:r>
    </w:p>
    <w:p w14:paraId="7A2254AD" w14:textId="77777777" w:rsidR="00017D29" w:rsidRDefault="007D3D9D" w:rsidP="00017D29">
      <w:pPr>
        <w:pStyle w:val="Bullet"/>
      </w:pPr>
      <w:r>
        <w:t>The Review</w:t>
      </w:r>
      <w:r w:rsidR="00017D29">
        <w:t xml:space="preserve"> is </w:t>
      </w:r>
      <w:r w:rsidR="00017D29" w:rsidRPr="007C54AE">
        <w:t>not</w:t>
      </w:r>
      <w:r w:rsidR="00017D29">
        <w:t xml:space="preserve"> a review of child care</w:t>
      </w:r>
      <w:r w:rsidR="00DE4732">
        <w:t xml:space="preserve">, </w:t>
      </w:r>
      <w:r w:rsidR="00017D29">
        <w:t>child care subsidies</w:t>
      </w:r>
      <w:r w:rsidR="00DE4732">
        <w:t xml:space="preserve"> or schooling</w:t>
      </w:r>
      <w:r w:rsidR="00017D29">
        <w:t>, though it considers how the UANP funding intersects with related funding (including child care subsidies</w:t>
      </w:r>
      <w:r w:rsidR="00DE4732">
        <w:t xml:space="preserve"> and school funding</w:t>
      </w:r>
      <w:r w:rsidR="00017D29">
        <w:t>) in the delivery of preschool. Neither is it a review of the specific funding and delivery arrangements in States and Territories</w:t>
      </w:r>
      <w:r w:rsidR="00017D29" w:rsidRPr="007C54AE">
        <w:t xml:space="preserve"> including how States and Territories have selected to deliver the UANP</w:t>
      </w:r>
      <w:r w:rsidR="00017D29">
        <w:t>, although it considers how the collective investment of governments supports delivery of quality preschool.</w:t>
      </w:r>
    </w:p>
    <w:p w14:paraId="121772A0" w14:textId="77777777" w:rsidR="000C38DD" w:rsidRDefault="002C1DCA" w:rsidP="00017D29">
      <w:pPr>
        <w:pStyle w:val="Bullet"/>
      </w:pPr>
      <w:r w:rsidRPr="00AB30CC">
        <w:t>The Review builds on previous analysis and reviews including the 2014 independent review of the UANP.</w:t>
      </w:r>
      <w:r>
        <w:t xml:space="preserve"> </w:t>
      </w:r>
    </w:p>
    <w:p w14:paraId="28952EAE" w14:textId="77777777" w:rsidR="000C38DD" w:rsidRDefault="000C38DD" w:rsidP="000C38DD">
      <w:pPr>
        <w:pStyle w:val="Heading4"/>
      </w:pPr>
      <w:r>
        <w:t>A range of data sources and methods informed the Review</w:t>
      </w:r>
    </w:p>
    <w:p w14:paraId="7E2C98C8" w14:textId="77777777" w:rsidR="007C3AE9" w:rsidRDefault="0095160A" w:rsidP="00017D29">
      <w:pPr>
        <w:pStyle w:val="Bullet"/>
      </w:pPr>
      <w:r>
        <w:t>The Review has used a mixed-methods approach to develop its findings</w:t>
      </w:r>
      <w:r w:rsidR="00234178">
        <w:t>, comprising:</w:t>
      </w:r>
    </w:p>
    <w:p w14:paraId="0FEE2D1E" w14:textId="534CFFC7" w:rsidR="00EF09CF" w:rsidRPr="00483406" w:rsidRDefault="00EF09CF" w:rsidP="00234178">
      <w:pPr>
        <w:pStyle w:val="Bullet"/>
        <w:numPr>
          <w:ilvl w:val="0"/>
          <w:numId w:val="13"/>
        </w:numPr>
        <w:ind w:left="340" w:hanging="340"/>
      </w:pPr>
      <w:r w:rsidRPr="0C5679B2">
        <w:rPr>
          <w:rFonts w:asciiTheme="majorHAnsi" w:hAnsiTheme="majorHAnsi" w:cstheme="majorBidi"/>
        </w:rPr>
        <w:t>Consultations with officials</w:t>
      </w:r>
      <w:r w:rsidRPr="00FA1375">
        <w:rPr>
          <w:rFonts w:asciiTheme="majorHAnsi" w:hAnsiTheme="majorHAnsi" w:cstheme="majorBidi"/>
        </w:rPr>
        <w:t xml:space="preserve"> </w:t>
      </w:r>
      <w:r w:rsidR="00ED6CEA" w:rsidRPr="00FA1375">
        <w:rPr>
          <w:rFonts w:asciiTheme="majorHAnsi" w:hAnsiTheme="majorHAnsi" w:cstheme="majorBidi"/>
        </w:rPr>
        <w:t xml:space="preserve">from all </w:t>
      </w:r>
      <w:r w:rsidR="00C60C82" w:rsidRPr="00FA1375">
        <w:rPr>
          <w:rFonts w:asciiTheme="majorHAnsi" w:hAnsiTheme="majorHAnsi" w:cstheme="majorBidi"/>
        </w:rPr>
        <w:t>jurisdictions</w:t>
      </w:r>
      <w:r w:rsidRPr="00FA1375">
        <w:rPr>
          <w:rFonts w:asciiTheme="majorHAnsi" w:hAnsiTheme="majorHAnsi" w:cstheme="majorBidi"/>
        </w:rPr>
        <w:t xml:space="preserve"> and key sector stakeholders</w:t>
      </w:r>
      <w:r w:rsidR="00234178">
        <w:t>, including</w:t>
      </w:r>
      <w:r w:rsidR="00234178" w:rsidRPr="00234178">
        <w:t xml:space="preserve"> </w:t>
      </w:r>
      <w:r w:rsidR="00234178" w:rsidRPr="00483406">
        <w:t xml:space="preserve">parent and carer representatives, peak bodies, </w:t>
      </w:r>
      <w:r w:rsidR="00234178">
        <w:t xml:space="preserve">major </w:t>
      </w:r>
      <w:r w:rsidR="00234178" w:rsidRPr="00483406">
        <w:t xml:space="preserve">providers, non-government </w:t>
      </w:r>
      <w:proofErr w:type="gramStart"/>
      <w:r w:rsidR="00234178" w:rsidRPr="00483406">
        <w:t>schools</w:t>
      </w:r>
      <w:proofErr w:type="gramEnd"/>
      <w:r w:rsidR="00234178" w:rsidRPr="00483406">
        <w:t xml:space="preserve"> bodies, unions and preschool experts</w:t>
      </w:r>
      <w:r w:rsidRPr="00483406">
        <w:t xml:space="preserve">. </w:t>
      </w:r>
      <w:r w:rsidR="005376CD">
        <w:fldChar w:fldCharType="begin"/>
      </w:r>
      <w:r w:rsidR="005376CD">
        <w:instrText xml:space="preserve"> REF _Ref24558431 \n \h </w:instrText>
      </w:r>
      <w:r w:rsidR="005376CD">
        <w:fldChar w:fldCharType="separate"/>
      </w:r>
      <w:r w:rsidR="00B37785">
        <w:t>0</w:t>
      </w:r>
      <w:r w:rsidR="005376CD">
        <w:fldChar w:fldCharType="end"/>
      </w:r>
      <w:r w:rsidR="005376CD">
        <w:t xml:space="preserve"> </w:t>
      </w:r>
      <w:r w:rsidR="00234178">
        <w:t>details this.</w:t>
      </w:r>
    </w:p>
    <w:p w14:paraId="3F458023" w14:textId="77777777" w:rsidR="00234178" w:rsidRDefault="00FE69A9" w:rsidP="00234178">
      <w:pPr>
        <w:pStyle w:val="Bullet"/>
        <w:numPr>
          <w:ilvl w:val="0"/>
          <w:numId w:val="13"/>
        </w:numPr>
        <w:ind w:left="340" w:hanging="340"/>
      </w:pPr>
      <w:r w:rsidRPr="0C5679B2">
        <w:rPr>
          <w:rFonts w:asciiTheme="majorHAnsi" w:hAnsiTheme="majorHAnsi" w:cstheme="majorBidi"/>
        </w:rPr>
        <w:t>A public consultation process</w:t>
      </w:r>
      <w:r w:rsidR="000B23FC" w:rsidRPr="00483406">
        <w:t xml:space="preserve"> through </w:t>
      </w:r>
      <w:r w:rsidR="00EF09CF" w:rsidRPr="00483406">
        <w:t xml:space="preserve">submissions </w:t>
      </w:r>
      <w:r w:rsidRPr="00483406">
        <w:t xml:space="preserve">(mail and email) </w:t>
      </w:r>
      <w:r w:rsidR="00EF09CF" w:rsidRPr="00483406">
        <w:t xml:space="preserve">and </w:t>
      </w:r>
      <w:r w:rsidR="000B23FC" w:rsidRPr="00483406">
        <w:t xml:space="preserve">an </w:t>
      </w:r>
      <w:r w:rsidR="00EF09CF" w:rsidRPr="00483406">
        <w:t xml:space="preserve">online survey. </w:t>
      </w:r>
      <w:r w:rsidR="000B23FC" w:rsidRPr="00483406">
        <w:t xml:space="preserve">Nous received </w:t>
      </w:r>
      <w:r w:rsidR="0012340E">
        <w:t>5</w:t>
      </w:r>
      <w:r w:rsidR="00F4184A">
        <w:t>5</w:t>
      </w:r>
      <w:r w:rsidR="000B23FC" w:rsidRPr="00483406">
        <w:t xml:space="preserve"> submissions and </w:t>
      </w:r>
      <w:r w:rsidR="0045048E" w:rsidRPr="00483406">
        <w:t>11</w:t>
      </w:r>
      <w:r w:rsidR="00185AF9">
        <w:t>2</w:t>
      </w:r>
      <w:r w:rsidR="0045048E" w:rsidRPr="00483406">
        <w:t>0</w:t>
      </w:r>
      <w:r w:rsidR="000B23FC" w:rsidRPr="00483406">
        <w:t xml:space="preserve"> survey responses.</w:t>
      </w:r>
      <w:r w:rsidR="00DE4732" w:rsidRPr="00234178">
        <w:rPr>
          <w:vertAlign w:val="superscript"/>
        </w:rPr>
        <w:footnoteReference w:id="28"/>
      </w:r>
      <w:r w:rsidR="000B23FC" w:rsidRPr="00234178">
        <w:rPr>
          <w:vertAlign w:val="superscript"/>
        </w:rPr>
        <w:t xml:space="preserve"> </w:t>
      </w:r>
      <w:r w:rsidR="000B23FC" w:rsidRPr="00483406">
        <w:t>The public consultation process was i</w:t>
      </w:r>
      <w:r w:rsidR="00EF09CF" w:rsidRPr="00483406">
        <w:t xml:space="preserve">nformed by </w:t>
      </w:r>
      <w:r w:rsidR="000B23FC" w:rsidRPr="00483406">
        <w:t xml:space="preserve">a </w:t>
      </w:r>
      <w:r w:rsidR="00F4184A" w:rsidRPr="00483406">
        <w:t>Discussion Paper</w:t>
      </w:r>
      <w:r w:rsidR="00F4184A">
        <w:t>, a</w:t>
      </w:r>
      <w:r w:rsidR="00F4184A" w:rsidRPr="00483406">
        <w:t xml:space="preserve"> </w:t>
      </w:r>
      <w:r w:rsidR="000B23FC" w:rsidRPr="00483406">
        <w:t>website created for the Review</w:t>
      </w:r>
      <w:r w:rsidR="00234178" w:rsidRPr="00234178">
        <w:rPr>
          <w:vertAlign w:val="superscript"/>
        </w:rPr>
        <w:footnoteReference w:id="29"/>
      </w:r>
      <w:r w:rsidR="000B23FC" w:rsidRPr="00483406">
        <w:t>, and two information webinars.</w:t>
      </w:r>
      <w:r w:rsidR="0012340E">
        <w:t xml:space="preserve"> </w:t>
      </w:r>
      <w:r w:rsidR="00687267">
        <w:t xml:space="preserve">The </w:t>
      </w:r>
      <w:r w:rsidR="0012340E">
        <w:t xml:space="preserve">submissions where the authors granted </w:t>
      </w:r>
      <w:r w:rsidR="00687267">
        <w:t xml:space="preserve">the Review permission </w:t>
      </w:r>
      <w:r w:rsidR="0012340E">
        <w:t>to publish are published on the Review website.</w:t>
      </w:r>
    </w:p>
    <w:p w14:paraId="58D4F60F" w14:textId="5F4EA1C6" w:rsidR="00EF09CF" w:rsidRPr="00483406" w:rsidRDefault="00EF09CF" w:rsidP="00234178">
      <w:pPr>
        <w:pStyle w:val="Bullet"/>
        <w:numPr>
          <w:ilvl w:val="0"/>
          <w:numId w:val="13"/>
        </w:numPr>
        <w:ind w:left="340" w:hanging="340"/>
      </w:pPr>
      <w:r w:rsidRPr="0C5679B2">
        <w:rPr>
          <w:rFonts w:asciiTheme="majorHAnsi" w:hAnsiTheme="majorHAnsi" w:cstheme="majorBidi"/>
        </w:rPr>
        <w:t>Quantitative analysis</w:t>
      </w:r>
      <w:r w:rsidR="00234178">
        <w:t xml:space="preserve"> of publicly available data and supplementary</w:t>
      </w:r>
      <w:r w:rsidRPr="00483406">
        <w:t xml:space="preserve"> data provided by all </w:t>
      </w:r>
      <w:r w:rsidR="009D4EB7">
        <w:t xml:space="preserve">State and Territory </w:t>
      </w:r>
      <w:r w:rsidRPr="00483406">
        <w:t xml:space="preserve">governments </w:t>
      </w:r>
      <w:r w:rsidR="009D4EB7">
        <w:t xml:space="preserve">and the </w:t>
      </w:r>
      <w:r w:rsidRPr="00483406">
        <w:t xml:space="preserve">Australian </w:t>
      </w:r>
      <w:r w:rsidR="009D4EB7">
        <w:t>G</w:t>
      </w:r>
      <w:r w:rsidRPr="00483406">
        <w:t>overnment in response to a series of data requests made by the Review.</w:t>
      </w:r>
    </w:p>
    <w:p w14:paraId="7CF086B8" w14:textId="77777777" w:rsidR="0012340E" w:rsidRDefault="0012340E" w:rsidP="00234178">
      <w:pPr>
        <w:pStyle w:val="Bullet"/>
        <w:numPr>
          <w:ilvl w:val="0"/>
          <w:numId w:val="13"/>
        </w:numPr>
        <w:ind w:left="340" w:hanging="340"/>
      </w:pPr>
      <w:r w:rsidRPr="0C5679B2">
        <w:rPr>
          <w:rFonts w:asciiTheme="majorHAnsi" w:hAnsiTheme="majorHAnsi" w:cstheme="majorBidi"/>
        </w:rPr>
        <w:t>A desktop review</w:t>
      </w:r>
      <w:r w:rsidRPr="0012340E">
        <w:t xml:space="preserve"> of background documents</w:t>
      </w:r>
      <w:r w:rsidRPr="00483406">
        <w:t xml:space="preserve"> in the public domain and those provided by </w:t>
      </w:r>
      <w:r w:rsidR="00234178">
        <w:t xml:space="preserve">State and Territory </w:t>
      </w:r>
      <w:r w:rsidR="00234178" w:rsidRPr="00483406">
        <w:t xml:space="preserve">governments </w:t>
      </w:r>
      <w:r w:rsidR="00234178">
        <w:t xml:space="preserve">and the </w:t>
      </w:r>
      <w:r w:rsidR="00234178" w:rsidRPr="00483406">
        <w:t xml:space="preserve">Australian </w:t>
      </w:r>
      <w:r w:rsidR="00234178">
        <w:t>G</w:t>
      </w:r>
      <w:r w:rsidR="00234178" w:rsidRPr="00483406">
        <w:t xml:space="preserve">overnment </w:t>
      </w:r>
      <w:r w:rsidR="00234178">
        <w:t>and other stakeholders</w:t>
      </w:r>
      <w:r w:rsidRPr="00483406">
        <w:t>.</w:t>
      </w:r>
    </w:p>
    <w:p w14:paraId="326D48EA" w14:textId="77777777" w:rsidR="000D48B6" w:rsidRDefault="000D48B6" w:rsidP="0090789D">
      <w:pPr>
        <w:pStyle w:val="Bullet"/>
      </w:pPr>
      <w:r>
        <w:t>The Review team expresses its thanks to the individuals and organisations that attended consultations, responded to the survey and prepared submissions</w:t>
      </w:r>
      <w:r w:rsidR="00B51BB7">
        <w:t xml:space="preserve"> (some of which we have quoted in this report, though we did not have space to quote all)</w:t>
      </w:r>
      <w:r>
        <w:t>. We greatly appreciate the time and expertise of everyone who contributed.</w:t>
      </w:r>
    </w:p>
    <w:p w14:paraId="25930D74" w14:textId="77777777" w:rsidR="006D65B6" w:rsidRPr="006D65B6" w:rsidDel="004E7895" w:rsidRDefault="006D65B6" w:rsidP="006D65B6">
      <w:pPr>
        <w:pStyle w:val="Bullet"/>
      </w:pPr>
      <w:r w:rsidRPr="006D65B6">
        <w:t xml:space="preserve">The Review would </w:t>
      </w:r>
      <w:r>
        <w:t xml:space="preserve">also </w:t>
      </w:r>
      <w:r w:rsidRPr="006D65B6">
        <w:t xml:space="preserve">like to place on record that it has been impressed by the expertise and commitment of officials who have worked effectively with the sector </w:t>
      </w:r>
      <w:r>
        <w:t>on achievement of UANP outcomes. Their input has been invaluable.</w:t>
      </w:r>
    </w:p>
    <w:p w14:paraId="1577E9D1" w14:textId="77777777" w:rsidR="006D65B6" w:rsidRDefault="006D65B6" w:rsidP="0090789D">
      <w:pPr>
        <w:pStyle w:val="Bullet"/>
      </w:pPr>
    </w:p>
    <w:p w14:paraId="3451C620" w14:textId="77777777" w:rsidR="004067BA" w:rsidRDefault="00105F99" w:rsidP="00894930">
      <w:pPr>
        <w:pStyle w:val="Heading1"/>
      </w:pPr>
      <w:bookmarkStart w:id="89" w:name="_Toc20488627"/>
      <w:bookmarkStart w:id="90" w:name="_Toc20754976"/>
      <w:bookmarkStart w:id="91" w:name="_Toc20759114"/>
      <w:bookmarkStart w:id="92" w:name="_Toc20904946"/>
      <w:bookmarkStart w:id="93" w:name="_Toc21691810"/>
      <w:bookmarkStart w:id="94" w:name="_Toc22303185"/>
      <w:bookmarkStart w:id="95" w:name="_Toc22722856"/>
      <w:bookmarkStart w:id="96" w:name="_Ref23679561"/>
      <w:bookmarkStart w:id="97" w:name="_Ref23706124"/>
      <w:bookmarkStart w:id="98" w:name="_Ref23719481"/>
      <w:bookmarkStart w:id="99" w:name="_Toc24559584"/>
      <w:bookmarkStart w:id="100" w:name="_Toc54597773"/>
      <w:bookmarkStart w:id="101" w:name="_Hlk23330373"/>
      <w:r w:rsidRPr="00CD7F8F">
        <w:lastRenderedPageBreak/>
        <w:t xml:space="preserve">The UANP </w:t>
      </w:r>
      <w:r w:rsidR="004833B6">
        <w:t>is</w:t>
      </w:r>
      <w:r w:rsidRPr="00CD7F8F">
        <w:t xml:space="preserve"> delivered in a variety </w:t>
      </w:r>
      <w:r w:rsidR="00356965">
        <w:t>of contexts</w:t>
      </w:r>
      <w:r w:rsidR="00EF09CF">
        <w:t xml:space="preserve"> </w:t>
      </w:r>
      <w:r w:rsidR="00287565">
        <w:t>across Australia</w:t>
      </w:r>
      <w:bookmarkEnd w:id="89"/>
      <w:bookmarkEnd w:id="90"/>
      <w:bookmarkEnd w:id="91"/>
      <w:bookmarkEnd w:id="92"/>
      <w:bookmarkEnd w:id="93"/>
      <w:bookmarkEnd w:id="94"/>
      <w:bookmarkEnd w:id="95"/>
      <w:bookmarkEnd w:id="96"/>
      <w:bookmarkEnd w:id="97"/>
      <w:bookmarkEnd w:id="98"/>
      <w:bookmarkEnd w:id="99"/>
      <w:bookmarkEnd w:id="100"/>
    </w:p>
    <w:p w14:paraId="402A933D" w14:textId="77777777" w:rsidR="00452611" w:rsidRDefault="00543C37" w:rsidP="00DC1A71">
      <w:pPr>
        <w:pStyle w:val="Bullet"/>
      </w:pPr>
      <w:r w:rsidRPr="00543C37">
        <w:t xml:space="preserve">The context in which the </w:t>
      </w:r>
      <w:r w:rsidR="00FE69A9">
        <w:t>UANP</w:t>
      </w:r>
      <w:r w:rsidRPr="00543C37">
        <w:t xml:space="preserve"> operates is </w:t>
      </w:r>
      <w:r w:rsidR="00CC0F74">
        <w:t xml:space="preserve">an </w:t>
      </w:r>
      <w:r w:rsidRPr="00543C37">
        <w:t xml:space="preserve">important </w:t>
      </w:r>
      <w:r w:rsidR="00CC0F74">
        <w:t>factor in</w:t>
      </w:r>
      <w:r w:rsidRPr="00543C37">
        <w:t xml:space="preserve"> understanding </w:t>
      </w:r>
      <w:r w:rsidR="008D5615">
        <w:t xml:space="preserve">what </w:t>
      </w:r>
      <w:r w:rsidR="00CC0F74">
        <w:t>the agreement</w:t>
      </w:r>
      <w:r w:rsidR="008D5615">
        <w:t xml:space="preserve"> has achieved</w:t>
      </w:r>
      <w:r w:rsidRPr="00543C37">
        <w:t xml:space="preserve"> and </w:t>
      </w:r>
      <w:r w:rsidR="00287565">
        <w:t>for</w:t>
      </w:r>
      <w:r w:rsidRPr="00543C37">
        <w:t xml:space="preserve"> </w:t>
      </w:r>
      <w:r w:rsidR="00D3308C">
        <w:t xml:space="preserve">informing </w:t>
      </w:r>
      <w:r w:rsidRPr="00543C37">
        <w:t xml:space="preserve">future directions. </w:t>
      </w:r>
      <w:bookmarkStart w:id="102" w:name="_Hlk24292251"/>
      <w:r w:rsidR="00B058BE">
        <w:t xml:space="preserve">To </w:t>
      </w:r>
      <w:r w:rsidR="007245EE">
        <w:t xml:space="preserve">provide a framework for </w:t>
      </w:r>
      <w:r w:rsidR="00B058BE">
        <w:t>address</w:t>
      </w:r>
      <w:r w:rsidR="007245EE">
        <w:t>ing</w:t>
      </w:r>
      <w:r w:rsidR="00B058BE">
        <w:t xml:space="preserve"> T</w:t>
      </w:r>
      <w:r w:rsidR="002C1DCA">
        <w:t>erm of Reference</w:t>
      </w:r>
      <w:r w:rsidR="00B058BE">
        <w:t xml:space="preserve"> </w:t>
      </w:r>
      <w:r w:rsidR="003A04A4">
        <w:t>4</w:t>
      </w:r>
      <w:r w:rsidR="00B058BE">
        <w:t>, th</w:t>
      </w:r>
      <w:r w:rsidR="002241C3">
        <w:t xml:space="preserve">is chapter describes the diversity and complexity of preschool provision across Australia, including the </w:t>
      </w:r>
      <w:r w:rsidR="006723A6">
        <w:t>approach t</w:t>
      </w:r>
      <w:r w:rsidR="00A14474">
        <w:t>hat</w:t>
      </w:r>
      <w:r w:rsidR="002241C3">
        <w:t xml:space="preserve"> each jurisdiction</w:t>
      </w:r>
      <w:r w:rsidR="00A14474">
        <w:t xml:space="preserve"> has taken t</w:t>
      </w:r>
      <w:r w:rsidR="006723A6">
        <w:t>o implementing universal access</w:t>
      </w:r>
      <w:r w:rsidR="002241C3">
        <w:t>.</w:t>
      </w:r>
      <w:bookmarkEnd w:id="102"/>
    </w:p>
    <w:p w14:paraId="3C5F6E4A" w14:textId="77777777" w:rsidR="00BC0C44" w:rsidRDefault="00BC0C44" w:rsidP="00DC1A71">
      <w:pPr>
        <w:pStyle w:val="Heading2"/>
      </w:pPr>
      <w:bookmarkStart w:id="103" w:name="_Toc24559585"/>
      <w:bookmarkStart w:id="104" w:name="_Toc54597774"/>
      <w:r>
        <w:t>Preschool sits within a broader education and care system</w:t>
      </w:r>
      <w:bookmarkEnd w:id="103"/>
      <w:bookmarkEnd w:id="104"/>
      <w:r>
        <w:t xml:space="preserve"> </w:t>
      </w:r>
    </w:p>
    <w:p w14:paraId="3416F2A3" w14:textId="1C15697A" w:rsidR="0065596B" w:rsidRDefault="00E14C24" w:rsidP="00BC0C44">
      <w:pPr>
        <w:pStyle w:val="Bullet"/>
      </w:pPr>
      <w:r>
        <w:t>P</w:t>
      </w:r>
      <w:r w:rsidR="00BC0C44">
        <w:t>reschool sits at the nexus between early childhood education and care and full-time schooling</w:t>
      </w:r>
      <w:r w:rsidR="0065596B">
        <w:t xml:space="preserve">. Preschool </w:t>
      </w:r>
      <w:r w:rsidR="00BC0C44">
        <w:t xml:space="preserve">therefore plays a pivotal role in supporting transitions from one to the other (see </w:t>
      </w:r>
      <w:r w:rsidR="00BC0C44">
        <w:fldChar w:fldCharType="begin"/>
      </w:r>
      <w:r w:rsidR="00BC0C44">
        <w:instrText xml:space="preserve"> REF _Ref22721117 \h </w:instrText>
      </w:r>
      <w:r w:rsidR="00BC0C44">
        <w:fldChar w:fldCharType="separate"/>
      </w:r>
      <w:r w:rsidR="00B37785">
        <w:t xml:space="preserve">Figure </w:t>
      </w:r>
      <w:r w:rsidR="00B37785">
        <w:rPr>
          <w:noProof/>
        </w:rPr>
        <w:t>6</w:t>
      </w:r>
      <w:r w:rsidR="00BC0C44">
        <w:fldChar w:fldCharType="end"/>
      </w:r>
      <w:r w:rsidR="00BC0C44">
        <w:t>).</w:t>
      </w:r>
    </w:p>
    <w:p w14:paraId="6F672450" w14:textId="72825DC0" w:rsidR="00BC0C44" w:rsidRDefault="00BC0C44" w:rsidP="00BC0C44">
      <w:pPr>
        <w:pStyle w:val="Caption"/>
      </w:pPr>
      <w:bookmarkStart w:id="105" w:name="_Ref22721117"/>
      <w:r>
        <w:t xml:space="preserve">Figure </w:t>
      </w:r>
      <w:r w:rsidR="00B76790">
        <w:fldChar w:fldCharType="begin"/>
      </w:r>
      <w:r w:rsidR="00B76790">
        <w:instrText xml:space="preserve"> SEQ Figure \* ARABIC </w:instrText>
      </w:r>
      <w:r w:rsidR="00B76790">
        <w:fldChar w:fldCharType="separate"/>
      </w:r>
      <w:r w:rsidR="00B37785">
        <w:rPr>
          <w:noProof/>
        </w:rPr>
        <w:t>6</w:t>
      </w:r>
      <w:r w:rsidR="00B76790">
        <w:fldChar w:fldCharType="end"/>
      </w:r>
      <w:bookmarkEnd w:id="105"/>
      <w:r>
        <w:t xml:space="preserve"> |</w:t>
      </w:r>
      <w:r w:rsidRPr="0099589A">
        <w:rPr>
          <w:bCs w:val="0"/>
        </w:rPr>
        <w:t xml:space="preserve"> </w:t>
      </w:r>
      <w:r>
        <w:rPr>
          <w:bCs w:val="0"/>
        </w:rPr>
        <w:t>Connections</w:t>
      </w:r>
      <w:r w:rsidRPr="001E521C">
        <w:rPr>
          <w:bCs w:val="0"/>
        </w:rPr>
        <w:t xml:space="preserve"> between YBFS preschool and other elements of the education and care system</w:t>
      </w:r>
    </w:p>
    <w:p w14:paraId="62E90DBE" w14:textId="77777777" w:rsidR="004F5042" w:rsidRDefault="009963A0">
      <w:pPr>
        <w:spacing w:after="165"/>
      </w:pPr>
      <w:r w:rsidRPr="009963A0">
        <w:rPr>
          <w:noProof/>
          <w:lang w:eastAsia="en-AU"/>
        </w:rPr>
        <w:drawing>
          <wp:inline distT="0" distB="0" distL="0" distR="0" wp14:anchorId="5D15A507" wp14:editId="70890A0C">
            <wp:extent cx="5670550" cy="3590925"/>
            <wp:effectExtent l="0" t="0" r="6350" b="9525"/>
            <wp:docPr id="11" name="Picture 11" descr="An image showing the connections between YBFS preschool and other elements of the education and care system including out of school hours care, services to children and parents to lift engagement, family day care services, age 3 preschool, CBDC, full time school, ad hoc care and pla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showing the connections between YBFS preschool and other elements of the education and care system including out of school hours care, services to children and parents to lift engagement, family day care services, age 3 preschool, CBDC, full time school, ad hoc care and play grou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550" cy="3590925"/>
                    </a:xfrm>
                    <a:prstGeom prst="rect">
                      <a:avLst/>
                    </a:prstGeom>
                    <a:noFill/>
                    <a:ln>
                      <a:noFill/>
                    </a:ln>
                  </pic:spPr>
                </pic:pic>
              </a:graphicData>
            </a:graphic>
          </wp:inline>
        </w:drawing>
      </w:r>
    </w:p>
    <w:p w14:paraId="21C11575" w14:textId="77777777" w:rsidR="00AF2C20" w:rsidRDefault="00AF2C20" w:rsidP="00C849C9">
      <w:pPr>
        <w:pStyle w:val="Heading2"/>
        <w:sectPr w:rsidR="00AF2C20" w:rsidSect="00D2536C">
          <w:pgSz w:w="11907" w:h="16839" w:code="9"/>
          <w:pgMar w:top="1418" w:right="1418" w:bottom="1701" w:left="1559" w:header="720" w:footer="720" w:gutter="0"/>
          <w:cols w:space="720"/>
          <w:titlePg/>
          <w:docGrid w:linePitch="360"/>
        </w:sectPr>
      </w:pPr>
      <w:bookmarkStart w:id="106" w:name="_Toc21691811"/>
      <w:bookmarkStart w:id="107" w:name="_Toc22303186"/>
      <w:bookmarkStart w:id="108" w:name="_Toc22722857"/>
      <w:bookmarkStart w:id="109" w:name="_Hlk23162288"/>
      <w:bookmarkStart w:id="110" w:name="_Hlk23162890"/>
    </w:p>
    <w:p w14:paraId="0760DE68" w14:textId="77777777" w:rsidR="00C849C9" w:rsidRPr="00A123F3" w:rsidRDefault="00C849C9" w:rsidP="00AF2C20">
      <w:pPr>
        <w:pStyle w:val="Heading2"/>
        <w:spacing w:before="0"/>
        <w:ind w:left="578" w:hanging="578"/>
      </w:pPr>
      <w:bookmarkStart w:id="111" w:name="_Toc24559586"/>
      <w:bookmarkStart w:id="112" w:name="_Toc54597775"/>
      <w:r>
        <w:lastRenderedPageBreak/>
        <w:t xml:space="preserve">The UANP </w:t>
      </w:r>
      <w:bookmarkEnd w:id="106"/>
      <w:bookmarkEnd w:id="107"/>
      <w:bookmarkEnd w:id="108"/>
      <w:r w:rsidR="00F754FD">
        <w:t>establishes a national preschool system with the flexibility to accommodate diverse service settings</w:t>
      </w:r>
      <w:bookmarkEnd w:id="111"/>
      <w:bookmarkEnd w:id="112"/>
    </w:p>
    <w:p w14:paraId="2A40F866" w14:textId="77777777" w:rsidR="002E24E2" w:rsidRPr="00326D28" w:rsidRDefault="00747DD7" w:rsidP="006F3F4B">
      <w:r>
        <w:t xml:space="preserve">The UANP establishes a national system by stipulating a set of </w:t>
      </w:r>
      <w:r w:rsidR="00F754FD">
        <w:t>minimum standards</w:t>
      </w:r>
      <w:r>
        <w:t xml:space="preserve"> </w:t>
      </w:r>
      <w:r w:rsidR="00F754FD">
        <w:t xml:space="preserve">for preschool programs across all jurisdictions. </w:t>
      </w:r>
      <w:r w:rsidR="00DE44DD">
        <w:t>T</w:t>
      </w:r>
      <w:r w:rsidR="00F754FD">
        <w:t xml:space="preserve">he agreement </w:t>
      </w:r>
      <w:r w:rsidR="005A1811">
        <w:t>requires</w:t>
      </w:r>
      <w:r w:rsidR="002E24E2">
        <w:t xml:space="preserve"> </w:t>
      </w:r>
      <w:r w:rsidR="00DE44DD">
        <w:t>children in</w:t>
      </w:r>
      <w:r w:rsidR="00DE44DD" w:rsidRPr="00DE44DD">
        <w:t xml:space="preserve"> the </w:t>
      </w:r>
      <w:r w:rsidR="00DE44DD">
        <w:t>YBFS</w:t>
      </w:r>
      <w:r w:rsidR="00DE44DD" w:rsidRPr="00DE44DD">
        <w:t xml:space="preserve"> </w:t>
      </w:r>
      <w:r w:rsidR="00DE44DD">
        <w:t>to have access to</w:t>
      </w:r>
      <w:r w:rsidR="00DE44DD" w:rsidRPr="00DE44DD">
        <w:t xml:space="preserve"> 600 hours </w:t>
      </w:r>
      <w:r w:rsidR="00DE44DD">
        <w:t>of</w:t>
      </w:r>
      <w:r w:rsidR="00F754FD">
        <w:t xml:space="preserve"> </w:t>
      </w:r>
      <w:r w:rsidR="00E625A4">
        <w:t>structured, play</w:t>
      </w:r>
      <w:r w:rsidR="00F754FD">
        <w:noBreakHyphen/>
      </w:r>
      <w:r w:rsidR="00E625A4">
        <w:t>based early childhood education</w:t>
      </w:r>
      <w:r w:rsidR="00F754FD">
        <w:t xml:space="preserve"> delivered</w:t>
      </w:r>
      <w:r w:rsidR="00E625A4">
        <w:t xml:space="preserve"> by a qualified </w:t>
      </w:r>
      <w:r w:rsidR="00E906D8">
        <w:t>ECT</w:t>
      </w:r>
      <w:r w:rsidR="00E625A4">
        <w:t xml:space="preserve"> in accordance with the E</w:t>
      </w:r>
      <w:r w:rsidR="00F754FD">
        <w:t xml:space="preserve">arly Years Learning Framework </w:t>
      </w:r>
      <w:r w:rsidR="00E625A4" w:rsidRPr="00347DA5">
        <w:t>and the NQ</w:t>
      </w:r>
      <w:r w:rsidR="00A763E6">
        <w:t>F</w:t>
      </w:r>
      <w:r w:rsidR="00E625A4" w:rsidRPr="00347DA5">
        <w:t xml:space="preserve">. </w:t>
      </w:r>
      <w:r w:rsidR="00794FAF" w:rsidRPr="00604D5A">
        <w:t>The</w:t>
      </w:r>
      <w:r w:rsidR="005A1811" w:rsidRPr="00604D5A">
        <w:t>re are some challenges in observing the</w:t>
      </w:r>
      <w:r w:rsidR="00794FAF" w:rsidRPr="00604D5A">
        <w:t xml:space="preserve"> consisten</w:t>
      </w:r>
      <w:r w:rsidR="002E24E2" w:rsidRPr="00604D5A">
        <w:t>t implementation of these standards across jurisdictions</w:t>
      </w:r>
      <w:r w:rsidR="00604D5A">
        <w:t>; f</w:t>
      </w:r>
      <w:r w:rsidR="002E24E2" w:rsidRPr="00604D5A">
        <w:t xml:space="preserve">or example, the YBFS denotes a different age cohort in each jurisdiction. Chapter 3 explores </w:t>
      </w:r>
      <w:r w:rsidR="005A1811" w:rsidRPr="00604D5A">
        <w:t xml:space="preserve">these issues further. </w:t>
      </w:r>
    </w:p>
    <w:p w14:paraId="198638E0" w14:textId="77777777" w:rsidR="00747DD7" w:rsidRDefault="00747DD7" w:rsidP="00747DD7">
      <w:r>
        <w:t xml:space="preserve">The </w:t>
      </w:r>
      <w:r w:rsidR="00F754FD">
        <w:t>UANP requires States and Territories</w:t>
      </w:r>
      <w:r>
        <w:t xml:space="preserve"> to provide services in a way that meets the needs of families and communities and ensures that cost </w:t>
      </w:r>
      <w:r w:rsidR="00326D28">
        <w:t>is</w:t>
      </w:r>
      <w:r>
        <w:t xml:space="preserve"> not a barrier to participation. </w:t>
      </w:r>
      <w:r w:rsidR="00F754FD">
        <w:t>It</w:t>
      </w:r>
      <w:r>
        <w:t xml:space="preserve"> does not otherwise prescribe how preschool programs should be delivered or how participation should be supported. </w:t>
      </w:r>
      <w:r w:rsidR="00F754FD">
        <w:t>Preschool programs are not exclusive to particular settings, provider types or funding sources.</w:t>
      </w:r>
    </w:p>
    <w:p w14:paraId="4D40985B" w14:textId="77777777" w:rsidR="006F3F4B" w:rsidRDefault="00B035BC" w:rsidP="006F3F4B">
      <w:r>
        <w:t>The</w:t>
      </w:r>
      <w:r w:rsidR="00E625A4">
        <w:t xml:space="preserve"> </w:t>
      </w:r>
      <w:r w:rsidR="00D92B78">
        <w:t xml:space="preserve">UANP </w:t>
      </w:r>
      <w:r w:rsidR="003E26F2">
        <w:t>explicitly</w:t>
      </w:r>
      <w:r w:rsidDel="006607D4">
        <w:t xml:space="preserve"> </w:t>
      </w:r>
      <w:r w:rsidR="006607D4">
        <w:t>applies to</w:t>
      </w:r>
      <w:r>
        <w:t xml:space="preserve"> </w:t>
      </w:r>
      <w:r w:rsidR="003E26F2">
        <w:t xml:space="preserve">preschool programs </w:t>
      </w:r>
      <w:r>
        <w:t xml:space="preserve">delivered in a </w:t>
      </w:r>
      <w:r w:rsidR="00ED31D8">
        <w:t>diversity</w:t>
      </w:r>
      <w:r>
        <w:t xml:space="preserve"> of settings</w:t>
      </w:r>
      <w:r w:rsidR="00E625A4">
        <w:t xml:space="preserve">, including: CBDC services, </w:t>
      </w:r>
      <w:r w:rsidR="00BC0C44">
        <w:t>standalone</w:t>
      </w:r>
      <w:r w:rsidR="00E625A4">
        <w:t xml:space="preserve"> preschools and preschools that are part of schools. </w:t>
      </w:r>
      <w:r w:rsidR="004868C1">
        <w:t>There is variation within each of these settings related to</w:t>
      </w:r>
      <w:r w:rsidR="006D47FA">
        <w:t>, for example,</w:t>
      </w:r>
      <w:r w:rsidR="004868C1">
        <w:t xml:space="preserve"> ownership structure and profit</w:t>
      </w:r>
      <w:r w:rsidR="007221DE">
        <w:t xml:space="preserve"> </w:t>
      </w:r>
      <w:r w:rsidR="004868C1">
        <w:t xml:space="preserve">status. The national data collection (discussed in detail in Chapter 4) </w:t>
      </w:r>
      <w:r w:rsidR="00ED31D8">
        <w:t>defines</w:t>
      </w:r>
      <w:r w:rsidR="004868C1">
        <w:t xml:space="preserve"> four provider types</w:t>
      </w:r>
      <w:r w:rsidR="003C5E3B">
        <w:t>, which are referenced throughout this Review</w:t>
      </w:r>
      <w:r w:rsidR="004868C1">
        <w:t xml:space="preserve">: </w:t>
      </w:r>
    </w:p>
    <w:p w14:paraId="4221B0A0" w14:textId="77777777" w:rsidR="004868C1" w:rsidRPr="004868C1" w:rsidRDefault="004868C1" w:rsidP="004868C1">
      <w:pPr>
        <w:pStyle w:val="Bullet"/>
        <w:numPr>
          <w:ilvl w:val="0"/>
          <w:numId w:val="13"/>
        </w:numPr>
        <w:ind w:left="340" w:hanging="340"/>
        <w:rPr>
          <w:rFonts w:asciiTheme="minorHAnsi" w:hAnsiTheme="minorHAnsi" w:cstheme="minorBidi"/>
        </w:rPr>
      </w:pPr>
      <w:r w:rsidRPr="0C5679B2">
        <w:rPr>
          <w:rFonts w:asciiTheme="majorHAnsi" w:hAnsiTheme="majorHAnsi" w:cstheme="majorBidi"/>
        </w:rPr>
        <w:t>Government preschool</w:t>
      </w:r>
      <w:r w:rsidRPr="0C5679B2">
        <w:rPr>
          <w:rFonts w:asciiTheme="minorHAnsi" w:hAnsiTheme="minorHAnsi" w:cstheme="minorBidi"/>
        </w:rPr>
        <w:t xml:space="preserve"> (includes</w:t>
      </w:r>
      <w:r w:rsidR="00A21D8D" w:rsidRPr="0C5679B2">
        <w:rPr>
          <w:rFonts w:asciiTheme="minorHAnsi" w:hAnsiTheme="minorHAnsi" w:cstheme="minorBidi"/>
        </w:rPr>
        <w:t xml:space="preserve"> preschool programs in</w:t>
      </w:r>
      <w:r w:rsidRPr="0C5679B2">
        <w:rPr>
          <w:rFonts w:asciiTheme="minorHAnsi" w:hAnsiTheme="minorHAnsi" w:cstheme="minorBidi"/>
        </w:rPr>
        <w:t xml:space="preserve"> </w:t>
      </w:r>
      <w:r w:rsidR="00A21D8D" w:rsidRPr="0C5679B2">
        <w:rPr>
          <w:rFonts w:asciiTheme="minorHAnsi" w:hAnsiTheme="minorHAnsi" w:cstheme="minorBidi"/>
        </w:rPr>
        <w:t xml:space="preserve">government </w:t>
      </w:r>
      <w:r w:rsidRPr="0C5679B2">
        <w:rPr>
          <w:rFonts w:asciiTheme="minorHAnsi" w:hAnsiTheme="minorHAnsi" w:cstheme="minorBidi"/>
        </w:rPr>
        <w:t>school</w:t>
      </w:r>
      <w:r w:rsidR="00A21D8D" w:rsidRPr="0C5679B2">
        <w:rPr>
          <w:rFonts w:asciiTheme="minorHAnsi" w:hAnsiTheme="minorHAnsi" w:cstheme="minorBidi"/>
        </w:rPr>
        <w:t xml:space="preserve">s, as well as </w:t>
      </w:r>
      <w:r w:rsidR="00BC0C44">
        <w:t>standalone</w:t>
      </w:r>
      <w:r w:rsidR="00A21D8D" w:rsidRPr="00952E50">
        <w:t xml:space="preserve"> </w:t>
      </w:r>
      <w:r w:rsidR="00A21D8D" w:rsidRPr="0C5679B2">
        <w:rPr>
          <w:rFonts w:asciiTheme="minorHAnsi" w:hAnsiTheme="minorHAnsi" w:cstheme="minorBidi"/>
        </w:rPr>
        <w:t>preschools delivered</w:t>
      </w:r>
      <w:r w:rsidRPr="0C5679B2">
        <w:rPr>
          <w:rFonts w:asciiTheme="minorHAnsi" w:hAnsiTheme="minorHAnsi" w:cstheme="minorBidi"/>
        </w:rPr>
        <w:t xml:space="preserve"> by state, </w:t>
      </w:r>
      <w:proofErr w:type="gramStart"/>
      <w:r w:rsidRPr="0C5679B2">
        <w:rPr>
          <w:rFonts w:asciiTheme="minorHAnsi" w:hAnsiTheme="minorHAnsi" w:cstheme="minorBidi"/>
        </w:rPr>
        <w:t>territory</w:t>
      </w:r>
      <w:proofErr w:type="gramEnd"/>
      <w:r w:rsidRPr="0C5679B2">
        <w:rPr>
          <w:rFonts w:asciiTheme="minorHAnsi" w:hAnsiTheme="minorHAnsi" w:cstheme="minorBidi"/>
        </w:rPr>
        <w:t xml:space="preserve"> </w:t>
      </w:r>
      <w:r w:rsidR="00A21D8D" w:rsidRPr="0C5679B2">
        <w:rPr>
          <w:rFonts w:asciiTheme="minorHAnsi" w:hAnsiTheme="minorHAnsi" w:cstheme="minorBidi"/>
        </w:rPr>
        <w:t>or</w:t>
      </w:r>
      <w:r w:rsidRPr="0C5679B2">
        <w:rPr>
          <w:rFonts w:asciiTheme="minorHAnsi" w:hAnsiTheme="minorHAnsi" w:cstheme="minorBidi"/>
        </w:rPr>
        <w:t xml:space="preserve"> local government</w:t>
      </w:r>
      <w:r w:rsidR="00A21D8D" w:rsidRPr="0C5679B2">
        <w:rPr>
          <w:rFonts w:asciiTheme="minorHAnsi" w:hAnsiTheme="minorHAnsi" w:cstheme="minorBidi"/>
        </w:rPr>
        <w:t>s</w:t>
      </w:r>
      <w:r w:rsidRPr="0C5679B2">
        <w:rPr>
          <w:rFonts w:asciiTheme="minorHAnsi" w:hAnsiTheme="minorHAnsi" w:cstheme="minorBidi"/>
        </w:rPr>
        <w:t>)</w:t>
      </w:r>
    </w:p>
    <w:p w14:paraId="2181D49A" w14:textId="77777777" w:rsidR="004868C1" w:rsidRPr="004868C1" w:rsidRDefault="004868C1" w:rsidP="004868C1">
      <w:pPr>
        <w:pStyle w:val="Bullet"/>
        <w:numPr>
          <w:ilvl w:val="0"/>
          <w:numId w:val="13"/>
        </w:numPr>
        <w:ind w:left="340" w:hanging="340"/>
        <w:rPr>
          <w:rFonts w:asciiTheme="minorHAnsi" w:hAnsiTheme="minorHAnsi" w:cstheme="minorBidi"/>
        </w:rPr>
      </w:pPr>
      <w:r w:rsidRPr="0C5679B2">
        <w:rPr>
          <w:rFonts w:asciiTheme="majorHAnsi" w:hAnsiTheme="majorHAnsi" w:cstheme="majorBidi"/>
        </w:rPr>
        <w:t>Non-government preschool</w:t>
      </w:r>
      <w:r w:rsidRPr="0C5679B2">
        <w:rPr>
          <w:rFonts w:asciiTheme="minorHAnsi" w:hAnsiTheme="minorHAnsi" w:cstheme="minorBidi"/>
        </w:rPr>
        <w:t xml:space="preserve"> (includes </w:t>
      </w:r>
      <w:r w:rsidR="00BC0C44">
        <w:t>standalone</w:t>
      </w:r>
      <w:r w:rsidR="00A21D8D" w:rsidRPr="00952E50">
        <w:t xml:space="preserve"> </w:t>
      </w:r>
      <w:r w:rsidRPr="0C5679B2">
        <w:rPr>
          <w:rFonts w:asciiTheme="minorHAnsi" w:hAnsiTheme="minorHAnsi" w:cstheme="minorBidi"/>
        </w:rPr>
        <w:t>community or private preschools and non</w:t>
      </w:r>
      <w:r w:rsidR="00A21D8D">
        <w:rPr>
          <w:rFonts w:asciiTheme="minorHAnsi" w:hAnsiTheme="minorHAnsi" w:cstheme="minorHAnsi"/>
        </w:rPr>
        <w:noBreakHyphen/>
      </w:r>
      <w:r w:rsidRPr="0C5679B2">
        <w:rPr>
          <w:rFonts w:asciiTheme="minorHAnsi" w:hAnsiTheme="minorHAnsi" w:cstheme="minorBidi"/>
        </w:rPr>
        <w:t>government schools</w:t>
      </w:r>
      <w:r w:rsidR="00A21D8D" w:rsidRPr="0C5679B2">
        <w:rPr>
          <w:rFonts w:asciiTheme="minorHAnsi" w:hAnsiTheme="minorHAnsi" w:cstheme="minorBidi"/>
        </w:rPr>
        <w:t xml:space="preserve"> delivering a preschool program</w:t>
      </w:r>
      <w:r w:rsidRPr="0C5679B2">
        <w:rPr>
          <w:rFonts w:asciiTheme="minorHAnsi" w:hAnsiTheme="minorHAnsi" w:cstheme="minorBidi"/>
        </w:rPr>
        <w:t>)</w:t>
      </w:r>
    </w:p>
    <w:p w14:paraId="0CC5CFB2" w14:textId="77777777" w:rsidR="004868C1" w:rsidRPr="00D04357" w:rsidRDefault="004868C1" w:rsidP="004868C1">
      <w:pPr>
        <w:pStyle w:val="Bullet"/>
        <w:numPr>
          <w:ilvl w:val="0"/>
          <w:numId w:val="13"/>
        </w:numPr>
        <w:ind w:left="340" w:hanging="340"/>
        <w:rPr>
          <w:rFonts w:asciiTheme="majorHAnsi" w:hAnsiTheme="majorHAnsi" w:cstheme="majorBidi"/>
        </w:rPr>
      </w:pPr>
      <w:r w:rsidRPr="0C5679B2">
        <w:rPr>
          <w:rFonts w:asciiTheme="majorHAnsi" w:hAnsiTheme="majorHAnsi" w:cstheme="majorBidi"/>
        </w:rPr>
        <w:t xml:space="preserve">Preschool programs within government centre-based day care services </w:t>
      </w:r>
    </w:p>
    <w:p w14:paraId="1BBD988A" w14:textId="77777777" w:rsidR="004868C1" w:rsidRDefault="004868C1" w:rsidP="006F3F4B">
      <w:pPr>
        <w:pStyle w:val="Bullet"/>
        <w:numPr>
          <w:ilvl w:val="0"/>
          <w:numId w:val="13"/>
        </w:numPr>
        <w:ind w:left="340" w:hanging="340"/>
        <w:rPr>
          <w:rFonts w:asciiTheme="minorHAnsi" w:hAnsiTheme="minorHAnsi" w:cstheme="minorBidi"/>
        </w:rPr>
      </w:pPr>
      <w:r w:rsidRPr="0C5679B2">
        <w:rPr>
          <w:rFonts w:asciiTheme="majorHAnsi" w:hAnsiTheme="majorHAnsi" w:cstheme="majorBidi"/>
        </w:rPr>
        <w:t>Preschool programs within non-government centre-based day services</w:t>
      </w:r>
      <w:r w:rsidRPr="0C5679B2">
        <w:rPr>
          <w:rFonts w:asciiTheme="minorHAnsi" w:hAnsiTheme="minorHAnsi" w:cstheme="minorBidi"/>
        </w:rPr>
        <w:t xml:space="preserve"> (these </w:t>
      </w:r>
      <w:r w:rsidR="00326D28" w:rsidRPr="0C5679B2">
        <w:rPr>
          <w:rFonts w:asciiTheme="minorHAnsi" w:hAnsiTheme="minorHAnsi" w:cstheme="minorBidi"/>
        </w:rPr>
        <w:t xml:space="preserve">may </w:t>
      </w:r>
      <w:r w:rsidRPr="0C5679B2">
        <w:rPr>
          <w:rFonts w:asciiTheme="minorHAnsi" w:hAnsiTheme="minorHAnsi" w:cstheme="minorBidi"/>
        </w:rPr>
        <w:t>be for-profit</w:t>
      </w:r>
      <w:r w:rsidR="00D04357" w:rsidRPr="0C5679B2">
        <w:rPr>
          <w:rFonts w:asciiTheme="minorHAnsi" w:hAnsiTheme="minorHAnsi" w:cstheme="minorBidi"/>
        </w:rPr>
        <w:t>)</w:t>
      </w:r>
      <w:r w:rsidR="008C3C0E" w:rsidRPr="0C5679B2">
        <w:rPr>
          <w:rFonts w:asciiTheme="minorHAnsi" w:hAnsiTheme="minorHAnsi" w:cstheme="minorBidi"/>
        </w:rPr>
        <w:t>.</w:t>
      </w:r>
    </w:p>
    <w:p w14:paraId="53919470" w14:textId="16522397" w:rsidR="008C3C0E" w:rsidRDefault="00DD3162" w:rsidP="00DD3162">
      <w:pPr>
        <w:pStyle w:val="Bullet"/>
        <w:tabs>
          <w:tab w:val="left" w:pos="1843"/>
        </w:tabs>
        <w:rPr>
          <w:rFonts w:asciiTheme="minorHAnsi" w:hAnsiTheme="minorHAnsi" w:cstheme="minorBidi"/>
        </w:rPr>
      </w:pPr>
      <w:r>
        <w:fldChar w:fldCharType="begin"/>
      </w:r>
      <w:r>
        <w:rPr>
          <w:rFonts w:asciiTheme="minorHAnsi" w:hAnsiTheme="minorHAnsi" w:cstheme="minorBidi"/>
        </w:rPr>
        <w:instrText xml:space="preserve"> REF _Ref24381684 \h </w:instrText>
      </w:r>
      <w:r>
        <w:fldChar w:fldCharType="separate"/>
      </w:r>
      <w:r w:rsidR="00B37785">
        <w:t xml:space="preserve">Figure </w:t>
      </w:r>
      <w:r w:rsidR="00B37785">
        <w:rPr>
          <w:noProof/>
        </w:rPr>
        <w:t>7</w:t>
      </w:r>
      <w:r>
        <w:fldChar w:fldCharType="end"/>
      </w:r>
      <w:r>
        <w:t xml:space="preserve"> </w:t>
      </w:r>
      <w:r w:rsidR="008C3C0E" w:rsidRPr="0C5679B2">
        <w:rPr>
          <w:rFonts w:asciiTheme="minorHAnsi" w:hAnsiTheme="minorHAnsi" w:cstheme="minorBidi"/>
        </w:rPr>
        <w:t>illustrates the main preschool delivery types and proportions of children enrolled in each in 2018.</w:t>
      </w:r>
    </w:p>
    <w:p w14:paraId="12F87045" w14:textId="66DDB078" w:rsidR="00E95E61" w:rsidRDefault="00DD3162" w:rsidP="00DD3162">
      <w:pPr>
        <w:pStyle w:val="Caption"/>
      </w:pPr>
      <w:bookmarkStart w:id="113" w:name="_Ref24381684"/>
      <w:r>
        <w:t xml:space="preserve">Figure </w:t>
      </w:r>
      <w:r w:rsidR="00B76790">
        <w:fldChar w:fldCharType="begin"/>
      </w:r>
      <w:r w:rsidR="00B76790">
        <w:instrText xml:space="preserve"> SEQ Figure \* ARABIC </w:instrText>
      </w:r>
      <w:r w:rsidR="00B76790">
        <w:fldChar w:fldCharType="separate"/>
      </w:r>
      <w:r w:rsidR="00B37785">
        <w:rPr>
          <w:noProof/>
        </w:rPr>
        <w:t>7</w:t>
      </w:r>
      <w:r w:rsidR="00B76790">
        <w:fldChar w:fldCharType="end"/>
      </w:r>
      <w:bookmarkEnd w:id="113"/>
      <w:r>
        <w:t xml:space="preserve"> | Main preschool delivery types and proportions of children enrolled in each in 2018</w:t>
      </w:r>
      <w:r w:rsidR="00BB3113">
        <w:rPr>
          <w:rStyle w:val="FootnoteReference"/>
        </w:rPr>
        <w:footnoteReference w:id="30"/>
      </w:r>
      <w:r w:rsidR="006E5660" w:rsidRPr="006E5660">
        <w:rPr>
          <w:vertAlign w:val="superscript"/>
        </w:rPr>
        <w:t>,</w:t>
      </w:r>
      <w:r w:rsidR="006E5660">
        <w:rPr>
          <w:rStyle w:val="FootnoteReference"/>
        </w:rPr>
        <w:footnoteReference w:id="31"/>
      </w:r>
    </w:p>
    <w:p w14:paraId="47266E99" w14:textId="77777777" w:rsidR="00FB4321" w:rsidRPr="009C786B" w:rsidRDefault="00E565E9" w:rsidP="00FB4321">
      <w:pPr>
        <w:pStyle w:val="Bullet"/>
        <w:rPr>
          <w:rFonts w:asciiTheme="minorHAnsi" w:hAnsiTheme="minorHAnsi" w:cstheme="minorBidi"/>
          <w:b/>
          <w:color w:val="00264D" w:themeColor="background2"/>
        </w:rPr>
      </w:pPr>
      <w:r w:rsidRPr="00E565E9">
        <w:rPr>
          <w:noProof/>
        </w:rPr>
        <w:drawing>
          <wp:inline distT="0" distB="0" distL="0" distR="0" wp14:anchorId="74F0738F" wp14:editId="4CF4E40E">
            <wp:extent cx="5670550" cy="2790973"/>
            <wp:effectExtent l="0" t="0" r="6350" b="9525"/>
            <wp:docPr id="42" name="Picture 42" descr="Image showing the setting (CBDC or standalone) and provider type (government or non-government) and the:&#10;- % of total children enrolled &#10;- % of children enrolled that identify as Indigenous&#10;- % of children enrolled experiencing vulnerability and disadvant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showing the setting (CBDC or standalone) and provider type (government or non-government) and the:&#10;- % of total children enrolled &#10;- % of children enrolled that identify as Indigenous&#10;- % of children enrolled experiencing vulnerability and disadvantage&#1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670550" cy="2790973"/>
                    </a:xfrm>
                    <a:prstGeom prst="rect">
                      <a:avLst/>
                    </a:prstGeom>
                    <a:noFill/>
                    <a:ln>
                      <a:noFill/>
                    </a:ln>
                  </pic:spPr>
                </pic:pic>
              </a:graphicData>
            </a:graphic>
          </wp:inline>
        </w:drawing>
      </w:r>
    </w:p>
    <w:p w14:paraId="286DB1E2" w14:textId="77777777" w:rsidR="00B37476" w:rsidRDefault="00B37476" w:rsidP="00E625A4">
      <w:pPr>
        <w:pStyle w:val="Heading2"/>
        <w:sectPr w:rsidR="00B37476" w:rsidSect="00D2536C">
          <w:pgSz w:w="11907" w:h="16839" w:code="9"/>
          <w:pgMar w:top="1418" w:right="1418" w:bottom="1701" w:left="1559" w:header="720" w:footer="720" w:gutter="0"/>
          <w:cols w:space="720"/>
          <w:titlePg/>
          <w:docGrid w:linePitch="360"/>
        </w:sectPr>
      </w:pPr>
      <w:bookmarkStart w:id="114" w:name="_Ref23954990"/>
    </w:p>
    <w:p w14:paraId="134DFDD3" w14:textId="77777777" w:rsidR="00CC0F74" w:rsidRDefault="00CC0F74" w:rsidP="00762AC8">
      <w:pPr>
        <w:pStyle w:val="Heading2"/>
        <w:spacing w:before="0"/>
        <w:ind w:left="578" w:hanging="578"/>
      </w:pPr>
      <w:bookmarkStart w:id="115" w:name="_Toc24559587"/>
      <w:bookmarkStart w:id="116" w:name="_Toc54597776"/>
      <w:r>
        <w:lastRenderedPageBreak/>
        <w:t xml:space="preserve">States and Territories decide how preschool </w:t>
      </w:r>
      <w:r w:rsidR="00AF43D1">
        <w:t>is</w:t>
      </w:r>
      <w:r>
        <w:t xml:space="preserve"> </w:t>
      </w:r>
      <w:r w:rsidR="00525757">
        <w:t>funded</w:t>
      </w:r>
      <w:r w:rsidR="0038408B">
        <w:t xml:space="preserve"> and </w:t>
      </w:r>
      <w:r w:rsidR="00604D5A">
        <w:t>delivered based on local context</w:t>
      </w:r>
      <w:bookmarkEnd w:id="114"/>
      <w:bookmarkEnd w:id="115"/>
      <w:bookmarkEnd w:id="116"/>
    </w:p>
    <w:p w14:paraId="320F4F82" w14:textId="77777777" w:rsidR="00B32EE7" w:rsidRDefault="00B035BC" w:rsidP="00B32EE7">
      <w:pPr>
        <w:pStyle w:val="Bullet"/>
        <w:rPr>
          <w:rFonts w:asciiTheme="minorHAnsi" w:hAnsiTheme="minorHAnsi" w:cstheme="minorBidi"/>
        </w:rPr>
      </w:pPr>
      <w:r>
        <w:t xml:space="preserve">States and Territories independently decide how to pursue </w:t>
      </w:r>
      <w:r w:rsidR="0038408B">
        <w:t>the objectives of the UANP</w:t>
      </w:r>
      <w:r>
        <w:t xml:space="preserve">, as well as </w:t>
      </w:r>
      <w:r w:rsidRPr="0C5679B2">
        <w:rPr>
          <w:rFonts w:asciiTheme="minorHAnsi" w:hAnsiTheme="minorHAnsi" w:cstheme="minorBidi"/>
        </w:rPr>
        <w:t>how much of their own funding to commit</w:t>
      </w:r>
      <w:r w:rsidR="00CC0F74" w:rsidRPr="0C5679B2">
        <w:rPr>
          <w:rFonts w:asciiTheme="minorHAnsi" w:hAnsiTheme="minorHAnsi" w:cstheme="minorBidi"/>
        </w:rPr>
        <w:t>.</w:t>
      </w:r>
      <w:r w:rsidR="00A21D8D" w:rsidRPr="0C5679B2">
        <w:rPr>
          <w:rFonts w:asciiTheme="minorHAnsi" w:hAnsiTheme="minorHAnsi" w:cstheme="minorBidi"/>
        </w:rPr>
        <w:t xml:space="preserve"> </w:t>
      </w:r>
      <w:r w:rsidR="0038408B" w:rsidRPr="0C5679B2">
        <w:rPr>
          <w:rFonts w:asciiTheme="minorHAnsi" w:hAnsiTheme="minorHAnsi" w:cstheme="minorBidi"/>
        </w:rPr>
        <w:t xml:space="preserve">This enables </w:t>
      </w:r>
      <w:r w:rsidR="00A21D8D" w:rsidRPr="0C5679B2">
        <w:rPr>
          <w:rFonts w:asciiTheme="minorHAnsi" w:hAnsiTheme="minorHAnsi" w:cstheme="minorBidi"/>
        </w:rPr>
        <w:t xml:space="preserve">States and Territories </w:t>
      </w:r>
      <w:r w:rsidR="004868C1" w:rsidRPr="0C5679B2">
        <w:rPr>
          <w:rFonts w:asciiTheme="minorHAnsi" w:hAnsiTheme="minorHAnsi" w:cstheme="minorBidi"/>
        </w:rPr>
        <w:t xml:space="preserve">to </w:t>
      </w:r>
      <w:r w:rsidR="00A21D8D">
        <w:t xml:space="preserve">respond to </w:t>
      </w:r>
      <w:r w:rsidR="00A21D8D" w:rsidRPr="002D440A">
        <w:t xml:space="preserve">the </w:t>
      </w:r>
      <w:r w:rsidR="00A21D8D">
        <w:t>preferences and needs</w:t>
      </w:r>
      <w:r w:rsidR="00A21D8D" w:rsidRPr="002D440A">
        <w:t xml:space="preserve"> of their </w:t>
      </w:r>
      <w:r w:rsidR="00277258" w:rsidRPr="002D440A">
        <w:t>constituency</w:t>
      </w:r>
      <w:r w:rsidR="00277258">
        <w:t xml:space="preserve"> and</w:t>
      </w:r>
      <w:r w:rsidR="00A21D8D">
        <w:t xml:space="preserve"> implement universal access in a way that is </w:t>
      </w:r>
      <w:r w:rsidR="0038408B">
        <w:t>cognisant</w:t>
      </w:r>
      <w:r w:rsidR="00A21D8D">
        <w:t xml:space="preserve"> </w:t>
      </w:r>
      <w:r w:rsidR="008A4BA8">
        <w:t>of</w:t>
      </w:r>
      <w:r w:rsidR="00A21D8D">
        <w:t xml:space="preserve"> </w:t>
      </w:r>
      <w:r w:rsidR="00A21D8D" w:rsidRPr="0C5679B2">
        <w:rPr>
          <w:rFonts w:asciiTheme="minorHAnsi" w:hAnsiTheme="minorHAnsi" w:cstheme="minorBidi"/>
        </w:rPr>
        <w:t xml:space="preserve">the local early childhood education and care </w:t>
      </w:r>
      <w:r w:rsidR="00ED31D8" w:rsidRPr="0C5679B2">
        <w:rPr>
          <w:rFonts w:asciiTheme="minorHAnsi" w:hAnsiTheme="minorHAnsi" w:cstheme="minorBidi"/>
        </w:rPr>
        <w:t>sector</w:t>
      </w:r>
      <w:r w:rsidR="00A21D8D" w:rsidRPr="0C5679B2">
        <w:rPr>
          <w:rFonts w:asciiTheme="minorHAnsi" w:hAnsiTheme="minorHAnsi" w:cstheme="minorBidi"/>
        </w:rPr>
        <w:t xml:space="preserve">. </w:t>
      </w:r>
    </w:p>
    <w:p w14:paraId="106A0F7D" w14:textId="77777777" w:rsidR="00A21D8D" w:rsidRPr="00A21D8D" w:rsidRDefault="0038408B" w:rsidP="00A21D8D">
      <w:pPr>
        <w:pStyle w:val="Bullet"/>
        <w:rPr>
          <w:rFonts w:asciiTheme="minorHAnsi" w:hAnsiTheme="minorHAnsi" w:cstheme="minorBidi"/>
        </w:rPr>
      </w:pPr>
      <w:r w:rsidRPr="0C5679B2">
        <w:rPr>
          <w:rFonts w:asciiTheme="minorHAnsi" w:hAnsiTheme="minorHAnsi" w:cstheme="minorBidi"/>
        </w:rPr>
        <w:t>T</w:t>
      </w:r>
      <w:r w:rsidR="00A21D8D" w:rsidRPr="0C5679B2">
        <w:rPr>
          <w:rFonts w:asciiTheme="minorHAnsi" w:hAnsiTheme="minorHAnsi" w:cstheme="minorBidi"/>
        </w:rPr>
        <w:t xml:space="preserve">he </w:t>
      </w:r>
      <w:r w:rsidR="00A21D8D">
        <w:t xml:space="preserve">service delivery context of each jurisdiction </w:t>
      </w:r>
      <w:r>
        <w:t>can vary</w:t>
      </w:r>
      <w:r w:rsidR="00A21D8D" w:rsidRPr="00211FF9">
        <w:t xml:space="preserve"> in terms of:</w:t>
      </w:r>
    </w:p>
    <w:p w14:paraId="4FE0D90B" w14:textId="27499ACD" w:rsidR="00A21D8D" w:rsidRPr="00A21D8D" w:rsidRDefault="00A21D8D" w:rsidP="00A21D8D">
      <w:pPr>
        <w:pStyle w:val="Bullet"/>
        <w:numPr>
          <w:ilvl w:val="0"/>
          <w:numId w:val="13"/>
        </w:numPr>
        <w:ind w:left="340" w:hanging="340"/>
        <w:rPr>
          <w:rFonts w:asciiTheme="minorHAnsi" w:hAnsiTheme="minorHAnsi" w:cstheme="minorBidi"/>
        </w:rPr>
      </w:pPr>
      <w:r w:rsidRPr="0C5679B2">
        <w:rPr>
          <w:rFonts w:asciiTheme="majorHAnsi" w:hAnsiTheme="majorHAnsi" w:cstheme="majorBidi"/>
        </w:rPr>
        <w:t xml:space="preserve">The needs and capacities of children and families </w:t>
      </w:r>
      <w:r w:rsidR="006B5C30" w:rsidRPr="0C5679B2">
        <w:rPr>
          <w:rFonts w:asciiTheme="majorHAnsi" w:hAnsiTheme="majorHAnsi" w:cstheme="majorBidi"/>
        </w:rPr>
        <w:t>–</w:t>
      </w:r>
      <w:r w:rsidR="006B5C30" w:rsidRPr="0C5679B2">
        <w:rPr>
          <w:rFonts w:asciiTheme="minorHAnsi" w:hAnsiTheme="minorHAnsi" w:cstheme="minorBidi"/>
        </w:rPr>
        <w:t xml:space="preserve"> </w:t>
      </w:r>
      <w:r w:rsidRPr="0C5679B2">
        <w:rPr>
          <w:rFonts w:asciiTheme="minorHAnsi" w:hAnsiTheme="minorHAnsi" w:cstheme="minorBidi"/>
        </w:rPr>
        <w:t xml:space="preserve">including the extent of developmental vulnerability, the level of socio-economic disadvantage, and the size of the </w:t>
      </w:r>
      <w:r w:rsidR="00381B58">
        <w:rPr>
          <w:rFonts w:asciiTheme="minorHAnsi" w:hAnsiTheme="minorHAnsi" w:cstheme="minorBidi"/>
        </w:rPr>
        <w:t xml:space="preserve">Indigenous </w:t>
      </w:r>
      <w:r w:rsidRPr="0C5679B2">
        <w:rPr>
          <w:rFonts w:asciiTheme="minorHAnsi" w:hAnsiTheme="minorHAnsi" w:cstheme="minorBidi"/>
        </w:rPr>
        <w:t>population</w:t>
      </w:r>
      <w:r w:rsidR="008D568F" w:rsidRPr="0C5679B2">
        <w:rPr>
          <w:rFonts w:asciiTheme="minorHAnsi" w:hAnsiTheme="minorHAnsi" w:cstheme="minorBidi"/>
        </w:rPr>
        <w:t>.</w:t>
      </w:r>
    </w:p>
    <w:p w14:paraId="7FF36265" w14:textId="77777777" w:rsidR="00A21D8D" w:rsidRPr="00A21D8D" w:rsidRDefault="00A21D8D" w:rsidP="00A21D8D">
      <w:pPr>
        <w:pStyle w:val="Bullet"/>
        <w:numPr>
          <w:ilvl w:val="0"/>
          <w:numId w:val="13"/>
        </w:numPr>
        <w:ind w:left="340" w:hanging="340"/>
        <w:rPr>
          <w:rFonts w:asciiTheme="minorHAnsi" w:hAnsiTheme="minorHAnsi" w:cstheme="minorBidi"/>
        </w:rPr>
      </w:pPr>
      <w:r w:rsidRPr="0C5679B2">
        <w:rPr>
          <w:rFonts w:asciiTheme="majorHAnsi" w:hAnsiTheme="majorHAnsi" w:cstheme="majorBidi"/>
        </w:rPr>
        <w:t xml:space="preserve">Prevailing </w:t>
      </w:r>
      <w:r w:rsidR="008A4BA8" w:rsidRPr="0C5679B2">
        <w:rPr>
          <w:rFonts w:asciiTheme="majorHAnsi" w:hAnsiTheme="majorHAnsi" w:cstheme="majorBidi"/>
        </w:rPr>
        <w:t>family</w:t>
      </w:r>
      <w:r w:rsidRPr="0C5679B2">
        <w:rPr>
          <w:rFonts w:asciiTheme="majorHAnsi" w:hAnsiTheme="majorHAnsi" w:cstheme="majorBidi"/>
        </w:rPr>
        <w:t xml:space="preserve"> and community </w:t>
      </w:r>
      <w:r w:rsidR="00922389">
        <w:rPr>
          <w:rFonts w:asciiTheme="majorHAnsi" w:hAnsiTheme="majorHAnsi" w:cstheme="majorBidi"/>
        </w:rPr>
        <w:t>preferences</w:t>
      </w:r>
      <w:r w:rsidR="006B5C30" w:rsidRPr="0C5679B2">
        <w:rPr>
          <w:rFonts w:asciiTheme="minorHAnsi" w:hAnsiTheme="minorHAnsi" w:cstheme="minorBidi"/>
        </w:rPr>
        <w:t xml:space="preserve"> –</w:t>
      </w:r>
      <w:r w:rsidR="007C1608" w:rsidRPr="0C5679B2">
        <w:rPr>
          <w:rFonts w:asciiTheme="minorHAnsi" w:hAnsiTheme="minorHAnsi" w:cstheme="minorBidi"/>
        </w:rPr>
        <w:t xml:space="preserve"> </w:t>
      </w:r>
      <w:r w:rsidRPr="0C5679B2">
        <w:rPr>
          <w:rFonts w:asciiTheme="minorHAnsi" w:hAnsiTheme="minorHAnsi" w:cstheme="minorBidi"/>
        </w:rPr>
        <w:t>which shape demand for different service types</w:t>
      </w:r>
      <w:r w:rsidR="008D568F" w:rsidRPr="0C5679B2">
        <w:rPr>
          <w:rFonts w:asciiTheme="minorHAnsi" w:hAnsiTheme="minorHAnsi" w:cstheme="minorBidi"/>
        </w:rPr>
        <w:t>.</w:t>
      </w:r>
    </w:p>
    <w:p w14:paraId="3712B002" w14:textId="77777777" w:rsidR="00A21D8D" w:rsidRPr="00A21D8D" w:rsidRDefault="00ED31D8" w:rsidP="00A21D8D">
      <w:pPr>
        <w:pStyle w:val="Bullet"/>
        <w:numPr>
          <w:ilvl w:val="0"/>
          <w:numId w:val="13"/>
        </w:numPr>
        <w:ind w:left="340" w:hanging="340"/>
        <w:rPr>
          <w:rFonts w:asciiTheme="minorHAnsi" w:hAnsiTheme="minorHAnsi" w:cstheme="minorBidi"/>
        </w:rPr>
      </w:pPr>
      <w:r w:rsidRPr="0C5679B2">
        <w:rPr>
          <w:rFonts w:asciiTheme="majorHAnsi" w:hAnsiTheme="majorHAnsi" w:cstheme="majorBidi"/>
        </w:rPr>
        <w:t>L</w:t>
      </w:r>
      <w:r w:rsidR="00A21D8D" w:rsidRPr="0C5679B2">
        <w:rPr>
          <w:rFonts w:asciiTheme="majorHAnsi" w:hAnsiTheme="majorHAnsi" w:cstheme="majorBidi"/>
        </w:rPr>
        <w:t xml:space="preserve">egacy infrastructure, </w:t>
      </w:r>
      <w:proofErr w:type="gramStart"/>
      <w:r w:rsidR="00A21D8D" w:rsidRPr="0C5679B2">
        <w:rPr>
          <w:rFonts w:asciiTheme="majorHAnsi" w:hAnsiTheme="majorHAnsi" w:cstheme="majorBidi"/>
        </w:rPr>
        <w:t>systems</w:t>
      </w:r>
      <w:proofErr w:type="gramEnd"/>
      <w:r w:rsidR="00A21D8D" w:rsidRPr="0C5679B2">
        <w:rPr>
          <w:rFonts w:asciiTheme="majorHAnsi" w:hAnsiTheme="majorHAnsi" w:cstheme="majorBidi"/>
        </w:rPr>
        <w:t xml:space="preserve"> and policies</w:t>
      </w:r>
      <w:r w:rsidR="00A21D8D" w:rsidRPr="0C5679B2">
        <w:rPr>
          <w:rFonts w:asciiTheme="minorHAnsi" w:hAnsiTheme="minorHAnsi" w:cstheme="minorBidi"/>
        </w:rPr>
        <w:t xml:space="preserve"> </w:t>
      </w:r>
      <w:r w:rsidR="006B5C30" w:rsidRPr="0C5679B2">
        <w:rPr>
          <w:rFonts w:asciiTheme="minorHAnsi" w:hAnsiTheme="minorHAnsi" w:cstheme="minorBidi"/>
        </w:rPr>
        <w:t xml:space="preserve">– </w:t>
      </w:r>
      <w:r w:rsidR="00A21D8D" w:rsidRPr="0C5679B2">
        <w:rPr>
          <w:rFonts w:asciiTheme="minorHAnsi" w:hAnsiTheme="minorHAnsi" w:cstheme="minorBidi"/>
        </w:rPr>
        <w:t xml:space="preserve">including </w:t>
      </w:r>
      <w:r w:rsidR="007C1608" w:rsidRPr="0C5679B2">
        <w:rPr>
          <w:rFonts w:asciiTheme="minorHAnsi" w:hAnsiTheme="minorHAnsi" w:cstheme="minorBidi"/>
        </w:rPr>
        <w:t>the starting age for full</w:t>
      </w:r>
      <w:r w:rsidR="00B543FF" w:rsidRPr="0C5679B2">
        <w:rPr>
          <w:rFonts w:asciiTheme="minorHAnsi" w:hAnsiTheme="minorHAnsi" w:cstheme="minorBidi"/>
        </w:rPr>
        <w:t>-</w:t>
      </w:r>
      <w:r w:rsidR="007C1608" w:rsidRPr="0C5679B2">
        <w:rPr>
          <w:rFonts w:asciiTheme="minorHAnsi" w:hAnsiTheme="minorHAnsi" w:cstheme="minorBidi"/>
        </w:rPr>
        <w:t>time school, the nature</w:t>
      </w:r>
      <w:r w:rsidR="00A21D8D" w:rsidRPr="0C5679B2">
        <w:rPr>
          <w:rFonts w:asciiTheme="minorHAnsi" w:hAnsiTheme="minorHAnsi" w:cstheme="minorBidi"/>
        </w:rPr>
        <w:t xml:space="preserve"> and </w:t>
      </w:r>
      <w:r w:rsidR="007C1608" w:rsidRPr="0C5679B2">
        <w:rPr>
          <w:rFonts w:asciiTheme="minorHAnsi" w:hAnsiTheme="minorHAnsi" w:cstheme="minorBidi"/>
        </w:rPr>
        <w:t xml:space="preserve">prevalence of preschool provision, and the </w:t>
      </w:r>
      <w:r w:rsidR="00A21D8D" w:rsidRPr="0C5679B2">
        <w:rPr>
          <w:rFonts w:asciiTheme="minorHAnsi" w:hAnsiTheme="minorHAnsi" w:cstheme="minorBidi"/>
        </w:rPr>
        <w:t>industrial arrangements</w:t>
      </w:r>
      <w:r w:rsidR="006B5C30" w:rsidRPr="0C5679B2">
        <w:rPr>
          <w:rFonts w:asciiTheme="minorHAnsi" w:hAnsiTheme="minorHAnsi" w:cstheme="minorBidi"/>
        </w:rPr>
        <w:t xml:space="preserve"> relevant to the early childhood education and care sector</w:t>
      </w:r>
      <w:r w:rsidR="008D568F" w:rsidRPr="0C5679B2">
        <w:rPr>
          <w:rFonts w:asciiTheme="minorHAnsi" w:hAnsiTheme="minorHAnsi" w:cstheme="minorBidi"/>
        </w:rPr>
        <w:t>.</w:t>
      </w:r>
    </w:p>
    <w:p w14:paraId="62F7052E" w14:textId="77777777" w:rsidR="00A21D8D" w:rsidRPr="00A21D8D" w:rsidRDefault="00A21D8D" w:rsidP="00A21D8D">
      <w:pPr>
        <w:pStyle w:val="Bullet"/>
        <w:numPr>
          <w:ilvl w:val="0"/>
          <w:numId w:val="13"/>
        </w:numPr>
        <w:ind w:left="340" w:hanging="340"/>
        <w:rPr>
          <w:rFonts w:asciiTheme="minorHAnsi" w:hAnsiTheme="minorHAnsi" w:cstheme="minorBidi"/>
        </w:rPr>
      </w:pPr>
      <w:r w:rsidRPr="0C5679B2">
        <w:rPr>
          <w:rFonts w:asciiTheme="majorHAnsi" w:hAnsiTheme="majorHAnsi" w:cstheme="majorBidi"/>
        </w:rPr>
        <w:t>The geographic profile</w:t>
      </w:r>
      <w:r w:rsidRPr="0C5679B2">
        <w:rPr>
          <w:rFonts w:asciiTheme="minorHAnsi" w:hAnsiTheme="minorHAnsi" w:cstheme="minorBidi"/>
        </w:rPr>
        <w:t xml:space="preserve"> </w:t>
      </w:r>
      <w:r w:rsidR="006B5C30" w:rsidRPr="0C5679B2">
        <w:rPr>
          <w:rFonts w:asciiTheme="minorHAnsi" w:hAnsiTheme="minorHAnsi" w:cstheme="minorBidi"/>
        </w:rPr>
        <w:t xml:space="preserve">– </w:t>
      </w:r>
      <w:r w:rsidRPr="0C5679B2">
        <w:rPr>
          <w:rFonts w:asciiTheme="minorHAnsi" w:hAnsiTheme="minorHAnsi" w:cstheme="minorBidi"/>
        </w:rPr>
        <w:t>including for example the degree of remoteness</w:t>
      </w:r>
      <w:r w:rsidR="008D568F" w:rsidRPr="0C5679B2">
        <w:rPr>
          <w:rFonts w:asciiTheme="minorHAnsi" w:hAnsiTheme="minorHAnsi" w:cstheme="minorBidi"/>
        </w:rPr>
        <w:t>.</w:t>
      </w:r>
    </w:p>
    <w:p w14:paraId="398EA85A" w14:textId="77777777" w:rsidR="006F3F4B" w:rsidRPr="00A21D8D" w:rsidRDefault="00A21D8D" w:rsidP="00A21D8D">
      <w:pPr>
        <w:pStyle w:val="Bullet"/>
        <w:numPr>
          <w:ilvl w:val="0"/>
          <w:numId w:val="13"/>
        </w:numPr>
        <w:ind w:left="340" w:hanging="340"/>
        <w:rPr>
          <w:rFonts w:asciiTheme="minorHAnsi" w:hAnsiTheme="minorHAnsi" w:cstheme="minorBidi"/>
        </w:rPr>
      </w:pPr>
      <w:r w:rsidRPr="0C5679B2">
        <w:rPr>
          <w:rFonts w:asciiTheme="majorHAnsi" w:hAnsiTheme="majorHAnsi" w:cstheme="majorBidi"/>
        </w:rPr>
        <w:t xml:space="preserve">The number </w:t>
      </w:r>
      <w:r w:rsidR="00B073BD" w:rsidRPr="0C5679B2">
        <w:rPr>
          <w:rFonts w:asciiTheme="majorHAnsi" w:hAnsiTheme="majorHAnsi" w:cstheme="majorBidi"/>
        </w:rPr>
        <w:t xml:space="preserve">and density </w:t>
      </w:r>
      <w:r w:rsidRPr="0C5679B2">
        <w:rPr>
          <w:rFonts w:asciiTheme="majorHAnsi" w:hAnsiTheme="majorHAnsi" w:cstheme="majorBidi"/>
        </w:rPr>
        <w:t>of families and service providers</w:t>
      </w:r>
      <w:r w:rsidR="00E14C24">
        <w:rPr>
          <w:rFonts w:asciiTheme="majorHAnsi" w:hAnsiTheme="majorHAnsi" w:cstheme="majorBidi"/>
        </w:rPr>
        <w:t>.</w:t>
      </w:r>
      <w:r w:rsidRPr="0C5679B2">
        <w:rPr>
          <w:rFonts w:asciiTheme="majorHAnsi" w:hAnsiTheme="majorHAnsi" w:cstheme="majorBidi"/>
        </w:rPr>
        <w:t xml:space="preserve"> </w:t>
      </w:r>
    </w:p>
    <w:p w14:paraId="30DD5B17" w14:textId="62262F4D" w:rsidR="00762AC8" w:rsidRDefault="00E14C24" w:rsidP="00762AC8">
      <w:pPr>
        <w:pStyle w:val="Bullet"/>
      </w:pPr>
      <w:bookmarkStart w:id="117" w:name="_Toc23241015"/>
      <w:r>
        <w:t>The</w:t>
      </w:r>
      <w:r w:rsidR="007579F9">
        <w:t xml:space="preserve">se factors also affect the </w:t>
      </w:r>
      <w:r w:rsidR="003E2190" w:rsidRPr="005F1B41">
        <w:t xml:space="preserve">cost of </w:t>
      </w:r>
      <w:r w:rsidR="007579F9">
        <w:t>delivering preschool.</w:t>
      </w:r>
      <w:r w:rsidR="003E2190">
        <w:t xml:space="preserve"> </w:t>
      </w:r>
      <w:r w:rsidR="005401E9" w:rsidRPr="004B477F">
        <w:fldChar w:fldCharType="begin"/>
      </w:r>
      <w:r w:rsidR="005401E9" w:rsidRPr="00795399">
        <w:instrText xml:space="preserve"> REF _Ref24127447 \h  \* MERGEFORMAT </w:instrText>
      </w:r>
      <w:r w:rsidR="005401E9" w:rsidRPr="004B477F">
        <w:fldChar w:fldCharType="separate"/>
      </w:r>
      <w:r w:rsidR="00B37785" w:rsidRPr="00B37785">
        <w:t>Figure 8</w:t>
      </w:r>
      <w:r w:rsidR="005401E9" w:rsidRPr="004B477F">
        <w:fldChar w:fldCharType="end"/>
      </w:r>
      <w:r w:rsidR="003E2190" w:rsidRPr="00795399">
        <w:t xml:space="preserve"> shows</w:t>
      </w:r>
      <w:r w:rsidR="003E2190" w:rsidRPr="005401E9">
        <w:t xml:space="preserve"> </w:t>
      </w:r>
      <w:r w:rsidR="003E2190">
        <w:t>the proportion of children enrolled in preschool in each state and territory who are Indigenous or experiencing vulnerability and disadvantage, as well as degrees of remoteness in each jurisdiction.</w:t>
      </w:r>
    </w:p>
    <w:p w14:paraId="36FC4564" w14:textId="1319CC1E" w:rsidR="003E2190" w:rsidRDefault="003E2190" w:rsidP="0090789D">
      <w:bookmarkStart w:id="118" w:name="_Ref24127447"/>
      <w:r w:rsidRPr="0C5679B2">
        <w:rPr>
          <w:rFonts w:ascii="Segoe UI Semibold" w:eastAsiaTheme="minorEastAsia" w:hAnsi="Segoe UI Semibold"/>
          <w:color w:val="00264D" w:themeColor="background2"/>
        </w:rPr>
        <w:t xml:space="preserve">Figure </w:t>
      </w:r>
      <w:r w:rsidR="00B76790">
        <w:rPr>
          <w:rFonts w:ascii="Segoe UI Semibold" w:eastAsiaTheme="minorEastAsia" w:hAnsi="Segoe UI Semibold"/>
          <w:color w:val="00264D" w:themeColor="background2"/>
        </w:rPr>
        <w:fldChar w:fldCharType="begin"/>
      </w:r>
      <w:r w:rsidR="00B76790">
        <w:rPr>
          <w:rFonts w:ascii="Segoe UI Semibold" w:hAnsi="Segoe UI Semibold"/>
          <w:color w:val="00264D" w:themeColor="background2"/>
          <w:szCs w:val="18"/>
        </w:rPr>
        <w:instrText xml:space="preserve"> SEQ Figure \* ARABIC </w:instrText>
      </w:r>
      <w:r w:rsidR="00B76790">
        <w:rPr>
          <w:rFonts w:ascii="Segoe UI Semibold" w:eastAsiaTheme="minorEastAsia" w:hAnsi="Segoe UI Semibold"/>
          <w:color w:val="00264D" w:themeColor="background2"/>
        </w:rPr>
        <w:fldChar w:fldCharType="separate"/>
      </w:r>
      <w:r w:rsidR="00B37785">
        <w:rPr>
          <w:rFonts w:ascii="Segoe UI Semibold" w:hAnsi="Segoe UI Semibold"/>
          <w:noProof/>
          <w:color w:val="00264D" w:themeColor="background2"/>
          <w:szCs w:val="18"/>
        </w:rPr>
        <w:t>8</w:t>
      </w:r>
      <w:r w:rsidR="00B76790">
        <w:rPr>
          <w:rFonts w:ascii="Segoe UI Semibold" w:eastAsiaTheme="minorEastAsia" w:hAnsi="Segoe UI Semibold"/>
          <w:color w:val="00264D" w:themeColor="background2"/>
        </w:rPr>
        <w:fldChar w:fldCharType="end"/>
      </w:r>
      <w:bookmarkEnd w:id="118"/>
      <w:r w:rsidRPr="0C5679B2">
        <w:rPr>
          <w:rFonts w:ascii="Segoe UI Semibold" w:eastAsiaTheme="minorEastAsia" w:hAnsi="Segoe UI Semibold"/>
          <w:color w:val="00264D" w:themeColor="background2"/>
        </w:rPr>
        <w:t xml:space="preserve"> | Percentage of each jurisdiction’s preschool enrolments reported as Indigenous or Vulnerable and Disadvantaged, and degrees of remoteness</w:t>
      </w:r>
      <w:r w:rsidRPr="0C5679B2">
        <w:rPr>
          <w:rStyle w:val="FootnoteReference"/>
          <w:rFonts w:ascii="Segoe UI Semibold" w:eastAsiaTheme="minorEastAsia" w:hAnsi="Segoe UI Semibold"/>
          <w:color w:val="00264D" w:themeColor="background2"/>
        </w:rPr>
        <w:footnoteReference w:id="32"/>
      </w:r>
      <w:r w:rsidRPr="0C5679B2">
        <w:rPr>
          <w:rFonts w:ascii="Segoe UI Semibold" w:eastAsiaTheme="minorEastAsia" w:hAnsi="Segoe UI Semibold"/>
          <w:color w:val="00264D" w:themeColor="background2"/>
          <w:vertAlign w:val="superscript"/>
        </w:rPr>
        <w:t>,</w:t>
      </w:r>
      <w:r w:rsidRPr="0C5679B2">
        <w:rPr>
          <w:rStyle w:val="FootnoteReference"/>
          <w:rFonts w:ascii="Segoe UI Semibold" w:eastAsiaTheme="minorEastAsia" w:hAnsi="Segoe UI Semibold"/>
          <w:color w:val="00264D" w:themeColor="background2"/>
        </w:rPr>
        <w:footnoteReference w:id="33"/>
      </w:r>
      <w:r w:rsidR="00047E80" w:rsidRPr="00A729FF">
        <w:rPr>
          <w:noProof/>
          <w:lang w:eastAsia="en-AU"/>
        </w:rPr>
        <w:drawing>
          <wp:inline distT="0" distB="0" distL="0" distR="0" wp14:anchorId="3138C518" wp14:editId="47937BFD">
            <wp:extent cx="4851400" cy="2927350"/>
            <wp:effectExtent l="0" t="0" r="6350" b="6350"/>
            <wp:docPr id="1" name="Picture 1" descr="Image: heat map of Australia showing percentage of each jurisdiction’s preschool enrolments reported as Indigenous or Vulnerable and Disadvantaged, and degrees of remoten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heat map of Australia showing percentage of each jurisdiction’s preschool enrolments reported as Indigenous or Vulnerable and Disadvantaged, and degrees of remoten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2068" cy="2927753"/>
                    </a:xfrm>
                    <a:prstGeom prst="rect">
                      <a:avLst/>
                    </a:prstGeom>
                    <a:noFill/>
                    <a:ln>
                      <a:noFill/>
                    </a:ln>
                  </pic:spPr>
                </pic:pic>
              </a:graphicData>
            </a:graphic>
          </wp:inline>
        </w:drawing>
      </w:r>
    </w:p>
    <w:p w14:paraId="52D0E892" w14:textId="77777777" w:rsidR="0046752A" w:rsidRDefault="0046752A" w:rsidP="0046752A">
      <w:pPr>
        <w:pStyle w:val="Heading2"/>
      </w:pPr>
      <w:bookmarkStart w:id="119" w:name="_Toc24559588"/>
      <w:bookmarkStart w:id="120" w:name="_Toc54597777"/>
      <w:r>
        <w:lastRenderedPageBreak/>
        <w:t xml:space="preserve">Universal access has been successfully implemented through a variety of funding and </w:t>
      </w:r>
      <w:bookmarkEnd w:id="117"/>
      <w:r>
        <w:t>delivery approaches</w:t>
      </w:r>
      <w:bookmarkEnd w:id="119"/>
      <w:bookmarkEnd w:id="120"/>
      <w:r>
        <w:t xml:space="preserve"> </w:t>
      </w:r>
    </w:p>
    <w:p w14:paraId="33771037" w14:textId="77777777" w:rsidR="0038408B" w:rsidRDefault="0038408B" w:rsidP="00277B75">
      <w:pPr>
        <w:pStyle w:val="Bullet"/>
      </w:pPr>
      <w:r>
        <w:t xml:space="preserve">States and Territories have adopted diverse approaches to meeting their commitments under the UANP. </w:t>
      </w:r>
      <w:r w:rsidR="00387BE1">
        <w:t>T</w:t>
      </w:r>
      <w:r w:rsidR="00A123F3" w:rsidRPr="00C76059">
        <w:t>he mix of service</w:t>
      </w:r>
      <w:r w:rsidR="00DB3062">
        <w:t xml:space="preserve"> types</w:t>
      </w:r>
      <w:r w:rsidR="00B16336">
        <w:t xml:space="preserve"> and the</w:t>
      </w:r>
      <w:r w:rsidR="00B16336" w:rsidRPr="00B16336">
        <w:t xml:space="preserve"> </w:t>
      </w:r>
      <w:r w:rsidR="00B16336">
        <w:t xml:space="preserve">allocation of funding between </w:t>
      </w:r>
      <w:r w:rsidR="00DB3062">
        <w:t>them</w:t>
      </w:r>
      <w:r w:rsidR="004D62CE">
        <w:t xml:space="preserve"> </w:t>
      </w:r>
      <w:r w:rsidR="00A123F3" w:rsidRPr="00C76059">
        <w:t xml:space="preserve">differs significantly across </w:t>
      </w:r>
      <w:r w:rsidR="00002034">
        <w:t>jurisdictions</w:t>
      </w:r>
      <w:r w:rsidR="00A123F3" w:rsidRPr="00C76059">
        <w:t>.</w:t>
      </w:r>
      <w:r w:rsidR="00BC41CE" w:rsidRPr="00C76059">
        <w:t xml:space="preserve"> </w:t>
      </w:r>
      <w:r w:rsidR="004B00AC">
        <w:t>Different arrangements are summarised below and outlined in detail in the following State and Territory profiles</w:t>
      </w:r>
      <w:r w:rsidR="007327C1">
        <w:t xml:space="preserve"> (</w:t>
      </w:r>
      <w:r w:rsidR="008F7577">
        <w:t>Chapter</w:t>
      </w:r>
      <w:r w:rsidR="008F7577" w:rsidRPr="00272ABB">
        <w:t xml:space="preserve"> </w:t>
      </w:r>
      <w:r w:rsidR="007327C1">
        <w:t>2.5)</w:t>
      </w:r>
      <w:r w:rsidR="004B00AC">
        <w:t>.</w:t>
      </w:r>
      <w:r w:rsidR="009D6C13">
        <w:t xml:space="preserve"> </w:t>
      </w:r>
    </w:p>
    <w:bookmarkEnd w:id="101"/>
    <w:bookmarkEnd w:id="109"/>
    <w:bookmarkEnd w:id="110"/>
    <w:p w14:paraId="79B5EC63" w14:textId="77777777" w:rsidR="0038408B" w:rsidRDefault="0038408B" w:rsidP="0038408B">
      <w:pPr>
        <w:pStyle w:val="Heading4"/>
      </w:pPr>
      <w:r>
        <w:t>State</w:t>
      </w:r>
      <w:r w:rsidR="00002034">
        <w:t>s</w:t>
      </w:r>
      <w:r>
        <w:t xml:space="preserve"> and </w:t>
      </w:r>
      <w:r w:rsidR="00002034">
        <w:t xml:space="preserve">Territories have adopted different </w:t>
      </w:r>
      <w:r>
        <w:t xml:space="preserve">approaches </w:t>
      </w:r>
      <w:r w:rsidR="00002034">
        <w:t>to preschool funding and delivery</w:t>
      </w:r>
    </w:p>
    <w:p w14:paraId="533A8D12" w14:textId="2A2E964A" w:rsidR="004B00AC" w:rsidRDefault="00277B75" w:rsidP="00277B75">
      <w:pPr>
        <w:pStyle w:val="Bullet"/>
      </w:pPr>
      <w:r>
        <w:t>S</w:t>
      </w:r>
      <w:r w:rsidR="00002034">
        <w:t>everal</w:t>
      </w:r>
      <w:r>
        <w:t xml:space="preserve"> States and Territories provide an entitlement to free preschool in a government service</w:t>
      </w:r>
      <w:r w:rsidR="00002034">
        <w:t xml:space="preserve"> (</w:t>
      </w:r>
      <w:r>
        <w:t>often integrated with the government school system</w:t>
      </w:r>
      <w:r w:rsidR="00002034">
        <w:t>)</w:t>
      </w:r>
      <w:r>
        <w:t>. Some</w:t>
      </w:r>
      <w:r w:rsidR="00002034">
        <w:t xml:space="preserve"> </w:t>
      </w:r>
      <w:r>
        <w:t xml:space="preserve">also subsidise preschool programs delivered by </w:t>
      </w:r>
      <w:r w:rsidR="00902658">
        <w:t xml:space="preserve">eligible </w:t>
      </w:r>
      <w:r>
        <w:t xml:space="preserve">non-government providers, including </w:t>
      </w:r>
      <w:r w:rsidR="00002034">
        <w:t>in some instances</w:t>
      </w:r>
      <w:r>
        <w:t xml:space="preserve"> CBDC providers. </w:t>
      </w:r>
      <w:r w:rsidR="00002034">
        <w:t>A small number of</w:t>
      </w:r>
      <w:r>
        <w:t xml:space="preserve"> jurisdictions </w:t>
      </w:r>
      <w:r w:rsidR="00002034">
        <w:t xml:space="preserve">rely on </w:t>
      </w:r>
      <w:r>
        <w:t>non-government providers</w:t>
      </w:r>
      <w:r w:rsidR="00002034">
        <w:t xml:space="preserve"> to deliver most preschool programs</w:t>
      </w:r>
      <w:r>
        <w:t xml:space="preserve">, only </w:t>
      </w:r>
      <w:r w:rsidR="00002034">
        <w:t xml:space="preserve">offering </w:t>
      </w:r>
      <w:r>
        <w:t xml:space="preserve">government </w:t>
      </w:r>
      <w:r w:rsidR="00002034">
        <w:t>preschool</w:t>
      </w:r>
      <w:r>
        <w:t xml:space="preserve"> in thin markets. </w:t>
      </w:r>
      <w:r w:rsidR="004B00AC">
        <w:t xml:space="preserve">The delivery </w:t>
      </w:r>
      <w:r w:rsidR="00002034">
        <w:t>profile</w:t>
      </w:r>
      <w:r w:rsidR="004B00AC">
        <w:t xml:space="preserve"> of each jurisdiction is </w:t>
      </w:r>
      <w:r w:rsidR="00002034">
        <w:t>represented</w:t>
      </w:r>
      <w:r w:rsidR="004B00AC">
        <w:t xml:space="preserve"> in </w:t>
      </w:r>
      <w:r w:rsidR="005401E9">
        <w:fldChar w:fldCharType="begin"/>
      </w:r>
      <w:r w:rsidR="005401E9">
        <w:instrText xml:space="preserve"> REF _Ref24127636 \h </w:instrText>
      </w:r>
      <w:r w:rsidR="005401E9">
        <w:fldChar w:fldCharType="separate"/>
      </w:r>
      <w:r w:rsidR="00B37785">
        <w:t xml:space="preserve">Figure </w:t>
      </w:r>
      <w:r w:rsidR="00B37785">
        <w:rPr>
          <w:noProof/>
        </w:rPr>
        <w:t>9</w:t>
      </w:r>
      <w:r w:rsidR="005401E9">
        <w:fldChar w:fldCharType="end"/>
      </w:r>
      <w:r w:rsidR="00A21B2B">
        <w:t xml:space="preserve">, which needs to be viewed in the context of </w:t>
      </w:r>
      <w:r w:rsidR="00A21B2B" w:rsidRPr="00A21B2B">
        <w:t>the different service profiles, legacy systems and policy decisions</w:t>
      </w:r>
      <w:r w:rsidR="00A21B2B">
        <w:t xml:space="preserve"> taken within each jurisdiction. The Review wishes to offer a further caveat, that care should be taken in drawing inferences from these </w:t>
      </w:r>
      <w:r w:rsidR="00A21B2B" w:rsidRPr="00A21B2B">
        <w:t>cross-jurisdictional comparisons</w:t>
      </w:r>
      <w:r w:rsidR="00A21B2B">
        <w:t xml:space="preserve"> absent a more detailed understanding of the </w:t>
      </w:r>
      <w:r w:rsidR="00A21B2B" w:rsidRPr="00A21B2B">
        <w:t xml:space="preserve">actual </w:t>
      </w:r>
      <w:r w:rsidR="00A21B2B">
        <w:t xml:space="preserve">and </w:t>
      </w:r>
      <w:r w:rsidR="00A21B2B" w:rsidRPr="00A21B2B">
        <w:t xml:space="preserve">efficient cost of delivery </w:t>
      </w:r>
      <w:r w:rsidR="00A21B2B">
        <w:t>in different</w:t>
      </w:r>
      <w:r w:rsidR="00A21B2B" w:rsidRPr="00A21B2B">
        <w:t xml:space="preserve"> settings and jurisdictions</w:t>
      </w:r>
      <w:r w:rsidR="00507988">
        <w:t>.</w:t>
      </w:r>
    </w:p>
    <w:p w14:paraId="0842D62A" w14:textId="465FA2B6" w:rsidR="00374524" w:rsidRDefault="00374524" w:rsidP="00374524">
      <w:pPr>
        <w:pStyle w:val="Bullet"/>
      </w:pPr>
      <w:r>
        <w:t xml:space="preserve">In </w:t>
      </w:r>
      <w:r w:rsidR="007327C1">
        <w:t xml:space="preserve">the Northern Territory, Tasmania and </w:t>
      </w:r>
      <w:r>
        <w:t xml:space="preserve">Western </w:t>
      </w:r>
      <w:r w:rsidR="00292D81">
        <w:t>Australia</w:t>
      </w:r>
      <w:r>
        <w:t xml:space="preserve">, preschool is highly integrated with school. </w:t>
      </w:r>
      <w:r w:rsidR="007327C1">
        <w:t>In these states, c</w:t>
      </w:r>
      <w:r>
        <w:t xml:space="preserve">hildren in the YBFS are entitled to free preschool in a government school and can access subsidised programs through non-government schools. The ACT </w:t>
      </w:r>
      <w:r w:rsidR="00292D81">
        <w:t xml:space="preserve">similarly </w:t>
      </w:r>
      <w:r>
        <w:t xml:space="preserve">provides free preschool </w:t>
      </w:r>
      <w:r w:rsidR="00292D81">
        <w:t>in</w:t>
      </w:r>
      <w:r w:rsidR="00292D81" w:rsidRPr="00292D81">
        <w:t xml:space="preserve"> services that operate </w:t>
      </w:r>
      <w:r w:rsidR="00002034">
        <w:t>in conjunction with</w:t>
      </w:r>
      <w:r w:rsidR="00292D81" w:rsidRPr="00292D81">
        <w:t xml:space="preserve"> </w:t>
      </w:r>
      <w:r w:rsidR="00292D81">
        <w:t xml:space="preserve">government </w:t>
      </w:r>
      <w:r w:rsidR="00002034">
        <w:t>schools</w:t>
      </w:r>
      <w:r>
        <w:t xml:space="preserve">; however, a </w:t>
      </w:r>
      <w:r w:rsidR="00292D81">
        <w:t>relatively high</w:t>
      </w:r>
      <w:r>
        <w:t xml:space="preserve"> proportion of </w:t>
      </w:r>
      <w:r w:rsidR="00C47759">
        <w:t>families</w:t>
      </w:r>
      <w:r>
        <w:t xml:space="preserve"> </w:t>
      </w:r>
      <w:r w:rsidR="00002034">
        <w:t xml:space="preserve">in the ACT </w:t>
      </w:r>
      <w:r>
        <w:t xml:space="preserve">choose preschool in </w:t>
      </w:r>
      <w:r w:rsidR="00292D81">
        <w:t>non</w:t>
      </w:r>
      <w:r w:rsidR="00EC5AB0">
        <w:noBreakHyphen/>
      </w:r>
      <w:r w:rsidR="00292D81">
        <w:t xml:space="preserve">government </w:t>
      </w:r>
      <w:r>
        <w:t xml:space="preserve">CBDC. </w:t>
      </w:r>
      <w:r w:rsidR="0056409D">
        <w:t>Parents in these states and territories tend to view preschool as the first year of school.</w:t>
      </w:r>
      <w:r w:rsidR="00EA0279">
        <w:t xml:space="preserve"> </w:t>
      </w:r>
    </w:p>
    <w:p w14:paraId="071ECEF2" w14:textId="77777777" w:rsidR="006F027D" w:rsidRDefault="00292D81" w:rsidP="00374524">
      <w:pPr>
        <w:pStyle w:val="Bullet"/>
      </w:pPr>
      <w:r>
        <w:t xml:space="preserve">South Australia </w:t>
      </w:r>
      <w:r w:rsidR="000366DD">
        <w:t>similarly</w:t>
      </w:r>
      <w:r>
        <w:t xml:space="preserve"> delivers preschool in </w:t>
      </w:r>
      <w:r w:rsidR="00BC0C44">
        <w:t>standalone</w:t>
      </w:r>
      <w:r w:rsidR="0056409D" w:rsidRPr="00952E50">
        <w:t xml:space="preserve"> </w:t>
      </w:r>
      <w:r w:rsidR="006F027D">
        <w:t xml:space="preserve">and school-based </w:t>
      </w:r>
      <w:r>
        <w:t>government services</w:t>
      </w:r>
      <w:r w:rsidR="00A0202B">
        <w:t xml:space="preserve">, as well as providing subsidies to non-government </w:t>
      </w:r>
      <w:r w:rsidR="00BC0C44">
        <w:t>standalone</w:t>
      </w:r>
      <w:r w:rsidR="0056409D">
        <w:t xml:space="preserve"> preschools</w:t>
      </w:r>
      <w:r w:rsidR="00A0202B">
        <w:t xml:space="preserve">. </w:t>
      </w:r>
      <w:r w:rsidR="00BC0C44">
        <w:t>Standalone</w:t>
      </w:r>
      <w:r w:rsidR="0056409D" w:rsidRPr="00952E50">
        <w:t xml:space="preserve"> </w:t>
      </w:r>
      <w:r w:rsidR="00A0202B">
        <w:t xml:space="preserve">government services cater for </w:t>
      </w:r>
      <w:r w:rsidR="00277258">
        <w:t>most</w:t>
      </w:r>
      <w:r w:rsidR="00A0202B">
        <w:t xml:space="preserve"> preschool enrolments in the </w:t>
      </w:r>
      <w:r w:rsidR="000A3687">
        <w:t>s</w:t>
      </w:r>
      <w:r w:rsidR="00A0202B">
        <w:t>tate, while</w:t>
      </w:r>
      <w:r>
        <w:t xml:space="preserve"> enrolments in CBDC are also common. </w:t>
      </w:r>
    </w:p>
    <w:p w14:paraId="43F5CA8B" w14:textId="77777777" w:rsidR="00292D81" w:rsidRDefault="00A0202B" w:rsidP="00374524">
      <w:pPr>
        <w:pStyle w:val="Bullet"/>
      </w:pPr>
      <w:r>
        <w:t xml:space="preserve">Victoria provides a per capita grant to eligible preschool enrolments in all settings. Preschool is primarily delivered in non-government </w:t>
      </w:r>
      <w:r w:rsidR="00BC0C44">
        <w:t>standalone</w:t>
      </w:r>
      <w:r w:rsidR="0056409D" w:rsidRPr="00952E50">
        <w:t xml:space="preserve"> </w:t>
      </w:r>
      <w:r>
        <w:t xml:space="preserve">services (often managed by parent or community organisations) and non-government CBDC. Local governments play a significant role in the delivery of preschool. </w:t>
      </w:r>
    </w:p>
    <w:p w14:paraId="47680BEA" w14:textId="77777777" w:rsidR="00A0202B" w:rsidRDefault="00A0202B" w:rsidP="00374524">
      <w:pPr>
        <w:pStyle w:val="Bullet"/>
      </w:pPr>
      <w:r w:rsidRPr="00A0202B">
        <w:t xml:space="preserve">In </w:t>
      </w:r>
      <w:r w:rsidR="00B72DE1">
        <w:t>NSW</w:t>
      </w:r>
      <w:r w:rsidR="00B72DE1" w:rsidRPr="00A0202B">
        <w:t xml:space="preserve"> </w:t>
      </w:r>
      <w:r w:rsidR="00B72DE1">
        <w:t xml:space="preserve">and </w:t>
      </w:r>
      <w:r w:rsidRPr="00A0202B">
        <w:t xml:space="preserve">Queensland, direct government preschool provision is </w:t>
      </w:r>
      <w:r w:rsidR="00F53A80">
        <w:t xml:space="preserve">relatively </w:t>
      </w:r>
      <w:r w:rsidRPr="00A0202B">
        <w:t>low</w:t>
      </w:r>
      <w:r>
        <w:t xml:space="preserve">, </w:t>
      </w:r>
      <w:r w:rsidRPr="00A0202B">
        <w:t xml:space="preserve">and mostly confined to </w:t>
      </w:r>
      <w:r w:rsidR="00CD4447">
        <w:t>communities where non-government services are not viable</w:t>
      </w:r>
      <w:r w:rsidRPr="00A0202B">
        <w:t xml:space="preserve">. </w:t>
      </w:r>
      <w:r w:rsidR="00CD4447">
        <w:t>A</w:t>
      </w:r>
      <w:r w:rsidR="00CD4447" w:rsidRPr="00A0202B">
        <w:t xml:space="preserve"> </w:t>
      </w:r>
      <w:r w:rsidR="00CD4447">
        <w:t>significant</w:t>
      </w:r>
      <w:r w:rsidR="00CD4447" w:rsidRPr="00A0202B">
        <w:t xml:space="preserve"> majority of enrolments are in CBDC.</w:t>
      </w:r>
      <w:r w:rsidR="00CD4447">
        <w:t xml:space="preserve"> Both</w:t>
      </w:r>
      <w:r w:rsidRPr="00A0202B">
        <w:t xml:space="preserve"> States subsidise preschool in </w:t>
      </w:r>
      <w:r w:rsidR="00902658">
        <w:t xml:space="preserve">eligible </w:t>
      </w:r>
      <w:r w:rsidRPr="00A0202B">
        <w:t>non</w:t>
      </w:r>
      <w:r w:rsidR="00CD4447">
        <w:noBreakHyphen/>
      </w:r>
      <w:r w:rsidRPr="00A0202B">
        <w:t xml:space="preserve">government CBDC and </w:t>
      </w:r>
      <w:r w:rsidR="00CD4447">
        <w:t xml:space="preserve">non-government </w:t>
      </w:r>
      <w:r w:rsidR="00BC0C44">
        <w:t>standalone</w:t>
      </w:r>
      <w:r w:rsidR="0056409D" w:rsidRPr="00952E50">
        <w:t xml:space="preserve"> </w:t>
      </w:r>
      <w:r w:rsidRPr="00A0202B">
        <w:t>services</w:t>
      </w:r>
      <w:r>
        <w:t xml:space="preserve"> (many of which are managed by parent or community organisations).</w:t>
      </w:r>
      <w:r w:rsidRPr="00A0202B">
        <w:t xml:space="preserve"> </w:t>
      </w:r>
    </w:p>
    <w:p w14:paraId="7D9DEC8A" w14:textId="006978C7" w:rsidR="00811FE7" w:rsidRDefault="00811FE7" w:rsidP="00811FE7">
      <w:pPr>
        <w:pStyle w:val="Bullet"/>
        <w:spacing w:after="240"/>
      </w:pPr>
      <w:r>
        <w:t>By way of further context, the Review finds that States and Territories</w:t>
      </w:r>
      <w:r w:rsidR="00053BB9">
        <w:t xml:space="preserve"> and the Australian Government </w:t>
      </w:r>
      <w:r>
        <w:t>provide targeted funding to engage and support Indigenous children and children experiencing disadvantage and vulnerability</w:t>
      </w:r>
      <w:r>
        <w:rPr>
          <w:rStyle w:val="FootnoteReference"/>
        </w:rPr>
        <w:footnoteReference w:id="34"/>
      </w:r>
      <w:r>
        <w:t xml:space="preserve">, as well as children with additional needs. Several States and Territories also direct additional funding to regional and remote services to reflect the challenges they encounter in recruiting and retaining qualified ECTs and their higher cost structures. These initiatives typically take the form of loadings on per capita subsidies, specialist services, or complementary programs. </w:t>
      </w:r>
    </w:p>
    <w:p w14:paraId="44444177" w14:textId="77777777" w:rsidR="008C6074" w:rsidRPr="00EF0FEA" w:rsidRDefault="008C6074" w:rsidP="008C6074">
      <w:pPr>
        <w:pStyle w:val="Callout"/>
        <w:rPr>
          <w:sz w:val="18"/>
          <w:szCs w:val="18"/>
        </w:rPr>
      </w:pPr>
      <w:r w:rsidRPr="00EF0FEA">
        <w:rPr>
          <w:sz w:val="18"/>
          <w:szCs w:val="18"/>
        </w:rPr>
        <w:lastRenderedPageBreak/>
        <w:t>“Achieving the objectives of the NP UAECE has required major sector transformation, significant investment in infrastructure, and attracting and upskilling of the early childhood workforce.” (</w:t>
      </w:r>
      <w:bookmarkStart w:id="121" w:name="_Hlk30664614"/>
      <w:r w:rsidRPr="00EF0FEA">
        <w:rPr>
          <w:sz w:val="18"/>
          <w:szCs w:val="18"/>
        </w:rPr>
        <w:t xml:space="preserve">Victorian Government </w:t>
      </w:r>
      <w:bookmarkEnd w:id="121"/>
      <w:r w:rsidR="00882970" w:rsidRPr="00EF0FEA">
        <w:rPr>
          <w:sz w:val="18"/>
          <w:szCs w:val="18"/>
        </w:rPr>
        <w:t>s</w:t>
      </w:r>
      <w:r w:rsidRPr="00EF0FEA">
        <w:rPr>
          <w:sz w:val="18"/>
          <w:szCs w:val="18"/>
        </w:rPr>
        <w:t xml:space="preserve">ubmission) </w:t>
      </w:r>
    </w:p>
    <w:p w14:paraId="09905BE2" w14:textId="2FE7DC64" w:rsidR="00811FE7" w:rsidRDefault="00811FE7" w:rsidP="00811FE7">
      <w:pPr>
        <w:pStyle w:val="Bullet"/>
      </w:pPr>
      <w:r>
        <w:t>Children enrolled in standalone or school-based preschool services often attend CBDC on alternate days or after hours. In the national data collection, this enrolment pattern is recorded as children attending ‘more than one service type’. However, the Review finds that parents tend not to conceptualise this arrangement as providing two separate preschool programs.</w:t>
      </w:r>
      <w:r w:rsidRPr="000968A5">
        <w:rPr>
          <w:vertAlign w:val="superscript"/>
        </w:rPr>
        <w:footnoteReference w:id="35"/>
      </w:r>
      <w:r>
        <w:t xml:space="preserve"> Instead, parents reported to the Review that their child attends preschool in a </w:t>
      </w:r>
      <w:r w:rsidR="00DB511B">
        <w:t xml:space="preserve">standalone or school-based </w:t>
      </w:r>
      <w:r>
        <w:t>service and then receives wraparound care in CBDC. The purpose of the CBDC enrolment is to enable the parents to manage other commitments, including longer work hours.</w:t>
      </w:r>
      <w:r w:rsidRPr="00B32EE7">
        <w:t xml:space="preserve"> </w:t>
      </w:r>
    </w:p>
    <w:p w14:paraId="5FC0D7EF" w14:textId="70BC0305" w:rsidR="00811FE7" w:rsidRDefault="00FF2557" w:rsidP="00FF2557">
      <w:pPr>
        <w:pStyle w:val="Bullet"/>
      </w:pPr>
      <w:r>
        <w:t>The Review notes that the interaction between</w:t>
      </w:r>
      <w:r w:rsidRPr="00236EE0">
        <w:t xml:space="preserve"> the CCS </w:t>
      </w:r>
      <w:r>
        <w:t xml:space="preserve">and different preschool and </w:t>
      </w:r>
      <w:proofErr w:type="gramStart"/>
      <w:r>
        <w:t>child care</w:t>
      </w:r>
      <w:proofErr w:type="gramEnd"/>
      <w:r>
        <w:t xml:space="preserve"> delivery arrangements means i</w:t>
      </w:r>
      <w:r w:rsidRPr="00236EE0">
        <w:t xml:space="preserve">n </w:t>
      </w:r>
      <w:r w:rsidR="005010ED" w:rsidRPr="00236EE0">
        <w:t xml:space="preserve">some </w:t>
      </w:r>
      <w:r w:rsidR="00850987">
        <w:t xml:space="preserve">services </w:t>
      </w:r>
      <w:r>
        <w:t>parents can access C</w:t>
      </w:r>
      <w:r w:rsidR="007852E3">
        <w:t>C</w:t>
      </w:r>
      <w:r>
        <w:t>S for child care services that ‘wrap around’ preschool hours, while in other</w:t>
      </w:r>
      <w:r w:rsidR="00850987">
        <w:t>s</w:t>
      </w:r>
      <w:r>
        <w:t xml:space="preserve"> CCS is not available. Some providers and jurisdictions are working with the Australian Government to explore options that would improve access to CCS for preschool ‘wrap around’ child care.</w:t>
      </w:r>
    </w:p>
    <w:p w14:paraId="0428E2BE" w14:textId="6D16E4DE" w:rsidR="00E761D9" w:rsidRDefault="00E761D9" w:rsidP="00E761D9">
      <w:pPr>
        <w:pStyle w:val="Caption"/>
      </w:pPr>
      <w:bookmarkStart w:id="122" w:name="_Ref24127636"/>
      <w:r>
        <w:t xml:space="preserve">Figure </w:t>
      </w:r>
      <w:r w:rsidR="00B76790">
        <w:fldChar w:fldCharType="begin"/>
      </w:r>
      <w:r w:rsidR="00B76790">
        <w:instrText xml:space="preserve"> SEQ Figure \* ARABIC </w:instrText>
      </w:r>
      <w:r w:rsidR="00B76790">
        <w:fldChar w:fldCharType="separate"/>
      </w:r>
      <w:r w:rsidR="00B37785">
        <w:rPr>
          <w:noProof/>
        </w:rPr>
        <w:t>9</w:t>
      </w:r>
      <w:r w:rsidR="00B76790">
        <w:fldChar w:fldCharType="end"/>
      </w:r>
      <w:bookmarkEnd w:id="122"/>
      <w:r>
        <w:t xml:space="preserve"> | </w:t>
      </w:r>
      <w:r w:rsidR="00C76059">
        <w:t>Proportion</w:t>
      </w:r>
      <w:r>
        <w:t xml:space="preserve"> of </w:t>
      </w:r>
      <w:r w:rsidR="00330E95">
        <w:t xml:space="preserve">children </w:t>
      </w:r>
      <w:r w:rsidR="00C67ECE">
        <w:t xml:space="preserve">in the </w:t>
      </w:r>
      <w:proofErr w:type="gramStart"/>
      <w:r w:rsidR="00C67ECE">
        <w:t>state-specific</w:t>
      </w:r>
      <w:proofErr w:type="gramEnd"/>
      <w:r w:rsidR="00C67ECE">
        <w:t xml:space="preserve"> YBFS </w:t>
      </w:r>
      <w:r w:rsidR="00330E95">
        <w:t xml:space="preserve">enrolled </w:t>
      </w:r>
      <w:r>
        <w:t xml:space="preserve">by </w:t>
      </w:r>
      <w:r w:rsidR="001A4634">
        <w:t xml:space="preserve">main </w:t>
      </w:r>
      <w:r>
        <w:t>provider type</w:t>
      </w:r>
      <w:r w:rsidR="00A14334">
        <w:t xml:space="preserve"> in 2018</w:t>
      </w:r>
      <w:r w:rsidR="007F0AB9">
        <w:rPr>
          <w:rStyle w:val="FootnoteReference"/>
        </w:rPr>
        <w:footnoteReference w:id="36"/>
      </w:r>
    </w:p>
    <w:p w14:paraId="25C7373A" w14:textId="77777777" w:rsidR="00F03802" w:rsidRPr="00B4088C" w:rsidRDefault="00C27BC8" w:rsidP="00B4088C">
      <w:pPr>
        <w:pStyle w:val="Bullet"/>
        <w:rPr>
          <w:rFonts w:asciiTheme="minorHAnsi" w:hAnsiTheme="minorHAnsi" w:cstheme="minorHAnsi"/>
        </w:rPr>
      </w:pPr>
      <w:r>
        <w:rPr>
          <w:noProof/>
        </w:rPr>
        <w:drawing>
          <wp:inline distT="0" distB="0" distL="0" distR="0" wp14:anchorId="789C3522" wp14:editId="02803EA8">
            <wp:extent cx="5621020" cy="2883535"/>
            <wp:effectExtent l="0" t="0" r="0" b="0"/>
            <wp:docPr id="14" name="Picture 14" descr="Image of graph showing the proportion of children in the state-specific YBFS enrolled by main provider typ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graph showing the proportion of children in the state-specific YBFS enrolled by main provider type in 2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1020" cy="2883535"/>
                    </a:xfrm>
                    <a:prstGeom prst="rect">
                      <a:avLst/>
                    </a:prstGeom>
                    <a:noFill/>
                  </pic:spPr>
                </pic:pic>
              </a:graphicData>
            </a:graphic>
          </wp:inline>
        </w:drawing>
      </w:r>
      <w:r w:rsidR="00FD63BB" w:rsidRPr="00FD63BB">
        <w:t xml:space="preserve"> </w:t>
      </w:r>
    </w:p>
    <w:tbl>
      <w:tblPr>
        <w:tblStyle w:val="NousTableTopandside"/>
        <w:tblW w:w="5000" w:type="pct"/>
        <w:tblLook w:val="04A0" w:firstRow="1" w:lastRow="0" w:firstColumn="1" w:lastColumn="0" w:noHBand="0" w:noVBand="1"/>
      </w:tblPr>
      <w:tblGrid>
        <w:gridCol w:w="3445"/>
        <w:gridCol w:w="630"/>
        <w:gridCol w:w="629"/>
        <w:gridCol w:w="629"/>
        <w:gridCol w:w="629"/>
        <w:gridCol w:w="629"/>
        <w:gridCol w:w="538"/>
        <w:gridCol w:w="538"/>
        <w:gridCol w:w="543"/>
        <w:gridCol w:w="720"/>
      </w:tblGrid>
      <w:tr w:rsidR="00F03802" w14:paraId="6790C4DB" w14:textId="77777777" w:rsidTr="00676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pct"/>
            <w:tcBorders>
              <w:top w:val="none" w:sz="0" w:space="0" w:color="auto"/>
              <w:left w:val="none" w:sz="0" w:space="0" w:color="auto"/>
              <w:right w:val="none" w:sz="0" w:space="0" w:color="auto"/>
            </w:tcBorders>
            <w:vAlign w:val="top"/>
          </w:tcPr>
          <w:p w14:paraId="669E7306" w14:textId="77777777" w:rsidR="00F03802" w:rsidRDefault="00832BEC" w:rsidP="00832BEC">
            <w:pPr>
              <w:pStyle w:val="TableNheader"/>
              <w:spacing w:before="0" w:after="0"/>
            </w:pPr>
            <w:r w:rsidRPr="00832BEC">
              <w:t xml:space="preserve">Enrolments by </w:t>
            </w:r>
            <w:r w:rsidR="00E71708">
              <w:t>s</w:t>
            </w:r>
            <w:r w:rsidRPr="00832BEC">
              <w:t xml:space="preserve">ervice </w:t>
            </w:r>
            <w:r w:rsidR="00E71708">
              <w:t>t</w:t>
            </w:r>
            <w:r w:rsidRPr="00832BEC">
              <w:t>ype</w:t>
            </w:r>
          </w:p>
        </w:tc>
        <w:tc>
          <w:tcPr>
            <w:tcW w:w="353" w:type="pct"/>
            <w:tcBorders>
              <w:top w:val="none" w:sz="0" w:space="0" w:color="auto"/>
              <w:left w:val="none" w:sz="0" w:space="0" w:color="auto"/>
              <w:right w:val="none" w:sz="0" w:space="0" w:color="auto"/>
            </w:tcBorders>
            <w:vAlign w:val="top"/>
          </w:tcPr>
          <w:p w14:paraId="67AFADE8"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NSW</w:t>
            </w:r>
          </w:p>
        </w:tc>
        <w:tc>
          <w:tcPr>
            <w:tcW w:w="352" w:type="pct"/>
            <w:tcBorders>
              <w:top w:val="none" w:sz="0" w:space="0" w:color="auto"/>
              <w:left w:val="none" w:sz="0" w:space="0" w:color="auto"/>
              <w:right w:val="none" w:sz="0" w:space="0" w:color="auto"/>
            </w:tcBorders>
            <w:vAlign w:val="top"/>
          </w:tcPr>
          <w:p w14:paraId="59AF795E"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Vic.</w:t>
            </w:r>
          </w:p>
        </w:tc>
        <w:tc>
          <w:tcPr>
            <w:tcW w:w="352" w:type="pct"/>
            <w:tcBorders>
              <w:top w:val="none" w:sz="0" w:space="0" w:color="auto"/>
              <w:left w:val="none" w:sz="0" w:space="0" w:color="auto"/>
              <w:right w:val="none" w:sz="0" w:space="0" w:color="auto"/>
            </w:tcBorders>
            <w:vAlign w:val="top"/>
          </w:tcPr>
          <w:p w14:paraId="3BCFEE0E"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Qld</w:t>
            </w:r>
          </w:p>
        </w:tc>
        <w:tc>
          <w:tcPr>
            <w:tcW w:w="352" w:type="pct"/>
            <w:tcBorders>
              <w:top w:val="none" w:sz="0" w:space="0" w:color="auto"/>
              <w:left w:val="none" w:sz="0" w:space="0" w:color="auto"/>
              <w:right w:val="none" w:sz="0" w:space="0" w:color="auto"/>
            </w:tcBorders>
            <w:vAlign w:val="top"/>
          </w:tcPr>
          <w:p w14:paraId="32EC5FEF"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SA</w:t>
            </w:r>
          </w:p>
        </w:tc>
        <w:tc>
          <w:tcPr>
            <w:tcW w:w="352" w:type="pct"/>
            <w:tcBorders>
              <w:top w:val="none" w:sz="0" w:space="0" w:color="auto"/>
              <w:left w:val="none" w:sz="0" w:space="0" w:color="auto"/>
              <w:right w:val="none" w:sz="0" w:space="0" w:color="auto"/>
            </w:tcBorders>
            <w:vAlign w:val="top"/>
          </w:tcPr>
          <w:p w14:paraId="31292D4A"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WA</w:t>
            </w:r>
          </w:p>
        </w:tc>
        <w:tc>
          <w:tcPr>
            <w:tcW w:w="301" w:type="pct"/>
            <w:tcBorders>
              <w:top w:val="none" w:sz="0" w:space="0" w:color="auto"/>
              <w:left w:val="none" w:sz="0" w:space="0" w:color="auto"/>
              <w:right w:val="none" w:sz="0" w:space="0" w:color="auto"/>
            </w:tcBorders>
            <w:vAlign w:val="top"/>
          </w:tcPr>
          <w:p w14:paraId="13BB4514"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Tas.</w:t>
            </w:r>
          </w:p>
        </w:tc>
        <w:tc>
          <w:tcPr>
            <w:tcW w:w="301" w:type="pct"/>
            <w:tcBorders>
              <w:top w:val="none" w:sz="0" w:space="0" w:color="auto"/>
              <w:left w:val="none" w:sz="0" w:space="0" w:color="auto"/>
              <w:right w:val="none" w:sz="0" w:space="0" w:color="auto"/>
            </w:tcBorders>
            <w:vAlign w:val="top"/>
          </w:tcPr>
          <w:p w14:paraId="1255D7E6"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NT</w:t>
            </w:r>
          </w:p>
        </w:tc>
        <w:tc>
          <w:tcPr>
            <w:tcW w:w="304" w:type="pct"/>
            <w:tcBorders>
              <w:top w:val="none" w:sz="0" w:space="0" w:color="auto"/>
              <w:left w:val="none" w:sz="0" w:space="0" w:color="auto"/>
              <w:right w:val="none" w:sz="0" w:space="0" w:color="auto"/>
            </w:tcBorders>
            <w:vAlign w:val="top"/>
          </w:tcPr>
          <w:p w14:paraId="02485EE9"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ACT</w:t>
            </w:r>
          </w:p>
        </w:tc>
        <w:tc>
          <w:tcPr>
            <w:tcW w:w="403" w:type="pct"/>
            <w:tcBorders>
              <w:top w:val="none" w:sz="0" w:space="0" w:color="auto"/>
              <w:left w:val="none" w:sz="0" w:space="0" w:color="auto"/>
            </w:tcBorders>
            <w:vAlign w:val="top"/>
          </w:tcPr>
          <w:p w14:paraId="2D6DC7A5" w14:textId="77777777" w:rsidR="00F03802" w:rsidRDefault="00F03802" w:rsidP="00832BEC">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Aust.</w:t>
            </w:r>
          </w:p>
        </w:tc>
      </w:tr>
      <w:tr w:rsidR="004D3F51" w14:paraId="0F3EAD84" w14:textId="77777777" w:rsidTr="0026602B">
        <w:tc>
          <w:tcPr>
            <w:cnfStyle w:val="001000000000" w:firstRow="0" w:lastRow="0" w:firstColumn="1" w:lastColumn="0" w:oddVBand="0" w:evenVBand="0" w:oddHBand="0" w:evenHBand="0" w:firstRowFirstColumn="0" w:firstRowLastColumn="0" w:lastRowFirstColumn="0" w:lastRowLastColumn="0"/>
            <w:tcW w:w="1929" w:type="pct"/>
          </w:tcPr>
          <w:p w14:paraId="37DCF414" w14:textId="77777777" w:rsidR="004D3F51" w:rsidRPr="00A878F9" w:rsidRDefault="004D3F51" w:rsidP="00BD4CCF">
            <w:pPr>
              <w:pStyle w:val="TableNheader"/>
              <w:spacing w:before="0" w:after="0"/>
            </w:pPr>
            <w:r w:rsidRPr="00A878F9">
              <w:t>More than one provider</w:t>
            </w:r>
          </w:p>
        </w:tc>
        <w:tc>
          <w:tcPr>
            <w:tcW w:w="353" w:type="pct"/>
          </w:tcPr>
          <w:p w14:paraId="328C7A09"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9%</w:t>
            </w:r>
          </w:p>
        </w:tc>
        <w:tc>
          <w:tcPr>
            <w:tcW w:w="352" w:type="pct"/>
          </w:tcPr>
          <w:p w14:paraId="52326BC8"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10%</w:t>
            </w:r>
          </w:p>
        </w:tc>
        <w:tc>
          <w:tcPr>
            <w:tcW w:w="352" w:type="pct"/>
          </w:tcPr>
          <w:p w14:paraId="735DC08E"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5%</w:t>
            </w:r>
          </w:p>
        </w:tc>
        <w:tc>
          <w:tcPr>
            <w:tcW w:w="352" w:type="pct"/>
          </w:tcPr>
          <w:p w14:paraId="6EB0ECD0"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20%</w:t>
            </w:r>
          </w:p>
        </w:tc>
        <w:tc>
          <w:tcPr>
            <w:tcW w:w="352" w:type="pct"/>
          </w:tcPr>
          <w:p w14:paraId="1479D0B1"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18%</w:t>
            </w:r>
          </w:p>
        </w:tc>
        <w:tc>
          <w:tcPr>
            <w:tcW w:w="301" w:type="pct"/>
          </w:tcPr>
          <w:p w14:paraId="2047C3C9"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15%</w:t>
            </w:r>
          </w:p>
        </w:tc>
        <w:tc>
          <w:tcPr>
            <w:tcW w:w="301" w:type="pct"/>
          </w:tcPr>
          <w:p w14:paraId="7C2EB34F"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22%</w:t>
            </w:r>
          </w:p>
        </w:tc>
        <w:tc>
          <w:tcPr>
            <w:tcW w:w="304" w:type="pct"/>
          </w:tcPr>
          <w:p w14:paraId="26A1CDDE"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28%</w:t>
            </w:r>
          </w:p>
        </w:tc>
        <w:tc>
          <w:tcPr>
            <w:tcW w:w="403" w:type="pct"/>
          </w:tcPr>
          <w:p w14:paraId="28639458" w14:textId="77777777" w:rsidR="004D3F51" w:rsidRPr="00A878F9" w:rsidRDefault="004D3F51" w:rsidP="004D3F51">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11%</w:t>
            </w:r>
          </w:p>
        </w:tc>
      </w:tr>
      <w:tr w:rsidR="0026602B" w14:paraId="51C1A36E" w14:textId="77777777" w:rsidTr="0026602B">
        <w:tc>
          <w:tcPr>
            <w:cnfStyle w:val="001000000000" w:firstRow="0" w:lastRow="0" w:firstColumn="1" w:lastColumn="0" w:oddVBand="0" w:evenVBand="0" w:oddHBand="0" w:evenHBand="0" w:firstRowFirstColumn="0" w:firstRowLastColumn="0" w:lastRowFirstColumn="0" w:lastRowLastColumn="0"/>
            <w:tcW w:w="1929" w:type="pct"/>
          </w:tcPr>
          <w:p w14:paraId="7293679C" w14:textId="77777777" w:rsidR="0026602B" w:rsidRPr="00332866" w:rsidRDefault="00AE70D2" w:rsidP="00BD4CCF">
            <w:pPr>
              <w:pStyle w:val="TableNheader"/>
              <w:spacing w:before="0" w:after="0"/>
              <w:rPr>
                <w:rFonts w:asciiTheme="majorHAnsi" w:hAnsiTheme="majorHAnsi" w:cstheme="majorBidi"/>
              </w:rPr>
            </w:pPr>
            <w:r w:rsidRPr="00A878F9">
              <w:t>Preschool program within non-government CBDC</w:t>
            </w:r>
          </w:p>
        </w:tc>
        <w:tc>
          <w:tcPr>
            <w:tcW w:w="353" w:type="pct"/>
          </w:tcPr>
          <w:p w14:paraId="1BFAB087"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59</w:t>
            </w:r>
            <w:r w:rsidR="0026602B" w:rsidRPr="00785E29">
              <w:t>%</w:t>
            </w:r>
          </w:p>
        </w:tc>
        <w:tc>
          <w:tcPr>
            <w:tcW w:w="352" w:type="pct"/>
          </w:tcPr>
          <w:p w14:paraId="7B52F166"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36</w:t>
            </w:r>
            <w:r w:rsidR="0026602B" w:rsidRPr="00785E29">
              <w:t>%</w:t>
            </w:r>
          </w:p>
        </w:tc>
        <w:tc>
          <w:tcPr>
            <w:tcW w:w="352" w:type="pct"/>
          </w:tcPr>
          <w:p w14:paraId="3803C566" w14:textId="77777777" w:rsidR="0026602B" w:rsidRPr="00C76059"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67</w:t>
            </w:r>
            <w:r w:rsidR="0026602B" w:rsidRPr="00785E29">
              <w:t>%</w:t>
            </w:r>
          </w:p>
        </w:tc>
        <w:tc>
          <w:tcPr>
            <w:tcW w:w="352" w:type="pct"/>
          </w:tcPr>
          <w:p w14:paraId="03B8B0E7" w14:textId="77777777" w:rsidR="0026602B" w:rsidRPr="00C76059"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14</w:t>
            </w:r>
            <w:r w:rsidR="0026602B" w:rsidRPr="00785E29">
              <w:t>%</w:t>
            </w:r>
          </w:p>
        </w:tc>
        <w:tc>
          <w:tcPr>
            <w:tcW w:w="352" w:type="pct"/>
          </w:tcPr>
          <w:p w14:paraId="5F672F09" w14:textId="77777777" w:rsidR="0026602B" w:rsidRPr="00C76059"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w:t>
            </w:r>
            <w:r w:rsidR="0026602B" w:rsidRPr="00785E29">
              <w:t>%</w:t>
            </w:r>
          </w:p>
        </w:tc>
        <w:tc>
          <w:tcPr>
            <w:tcW w:w="301" w:type="pct"/>
          </w:tcPr>
          <w:p w14:paraId="1484510D"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w:t>
            </w:r>
            <w:r w:rsidR="0026602B" w:rsidRPr="00785E29">
              <w:t>%</w:t>
            </w:r>
          </w:p>
        </w:tc>
        <w:tc>
          <w:tcPr>
            <w:tcW w:w="301" w:type="pct"/>
          </w:tcPr>
          <w:p w14:paraId="33261EF7"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12</w:t>
            </w:r>
            <w:r w:rsidR="0026602B" w:rsidRPr="00785E29">
              <w:t>%</w:t>
            </w:r>
          </w:p>
        </w:tc>
        <w:tc>
          <w:tcPr>
            <w:tcW w:w="304" w:type="pct"/>
          </w:tcPr>
          <w:p w14:paraId="587EA8E5"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23</w:t>
            </w:r>
            <w:r w:rsidR="0026602B" w:rsidRPr="00785E29">
              <w:t>%</w:t>
            </w:r>
          </w:p>
        </w:tc>
        <w:tc>
          <w:tcPr>
            <w:tcW w:w="403" w:type="pct"/>
          </w:tcPr>
          <w:p w14:paraId="0E2237C1" w14:textId="77777777" w:rsidR="0026602B" w:rsidRPr="00C76059"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42</w:t>
            </w:r>
            <w:r w:rsidR="0026602B" w:rsidRPr="00785E29">
              <w:t>%</w:t>
            </w:r>
          </w:p>
        </w:tc>
      </w:tr>
      <w:tr w:rsidR="0026602B" w14:paraId="0A64EB9E" w14:textId="77777777" w:rsidTr="0026602B">
        <w:tc>
          <w:tcPr>
            <w:cnfStyle w:val="001000000000" w:firstRow="0" w:lastRow="0" w:firstColumn="1" w:lastColumn="0" w:oddVBand="0" w:evenVBand="0" w:oddHBand="0" w:evenHBand="0" w:firstRowFirstColumn="0" w:firstRowLastColumn="0" w:lastRowFirstColumn="0" w:lastRowLastColumn="0"/>
            <w:tcW w:w="1929" w:type="pct"/>
          </w:tcPr>
          <w:p w14:paraId="0CA79545" w14:textId="77777777" w:rsidR="0026602B" w:rsidRPr="00332866" w:rsidRDefault="0026602B" w:rsidP="00BD4CCF">
            <w:pPr>
              <w:pStyle w:val="TableNheader"/>
              <w:spacing w:before="0" w:after="0"/>
              <w:rPr>
                <w:rFonts w:asciiTheme="majorHAnsi" w:hAnsiTheme="majorHAnsi" w:cstheme="majorBidi"/>
              </w:rPr>
            </w:pPr>
            <w:r w:rsidRPr="00A878F9">
              <w:t>Preschool program within government CBDC</w:t>
            </w:r>
          </w:p>
        </w:tc>
        <w:tc>
          <w:tcPr>
            <w:tcW w:w="353" w:type="pct"/>
          </w:tcPr>
          <w:p w14:paraId="14163789"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w:t>
            </w:r>
            <w:r w:rsidR="0026602B" w:rsidRPr="00785E29">
              <w:t>%</w:t>
            </w:r>
          </w:p>
        </w:tc>
        <w:tc>
          <w:tcPr>
            <w:tcW w:w="352" w:type="pct"/>
          </w:tcPr>
          <w:p w14:paraId="335D307A"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w:t>
            </w:r>
            <w:r w:rsidR="0026602B" w:rsidRPr="00785E29">
              <w:t>%</w:t>
            </w:r>
          </w:p>
        </w:tc>
        <w:tc>
          <w:tcPr>
            <w:tcW w:w="352" w:type="pct"/>
          </w:tcPr>
          <w:p w14:paraId="19198A85"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0</w:t>
            </w:r>
            <w:r w:rsidR="0026602B" w:rsidRPr="00785E29">
              <w:t>%</w:t>
            </w:r>
          </w:p>
        </w:tc>
        <w:tc>
          <w:tcPr>
            <w:tcW w:w="352" w:type="pct"/>
          </w:tcPr>
          <w:p w14:paraId="03E3CDC3"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8</w:t>
            </w:r>
            <w:r w:rsidR="0026602B" w:rsidRPr="00785E29">
              <w:t>%</w:t>
            </w:r>
          </w:p>
        </w:tc>
        <w:tc>
          <w:tcPr>
            <w:tcW w:w="352" w:type="pct"/>
          </w:tcPr>
          <w:p w14:paraId="55596337"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0</w:t>
            </w:r>
            <w:r w:rsidR="0026602B" w:rsidRPr="00785E29">
              <w:t>%</w:t>
            </w:r>
          </w:p>
        </w:tc>
        <w:tc>
          <w:tcPr>
            <w:tcW w:w="301" w:type="pct"/>
          </w:tcPr>
          <w:p w14:paraId="614029B8"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0</w:t>
            </w:r>
            <w:r w:rsidR="0026602B" w:rsidRPr="00785E29">
              <w:t>%</w:t>
            </w:r>
          </w:p>
        </w:tc>
        <w:tc>
          <w:tcPr>
            <w:tcW w:w="301" w:type="pct"/>
          </w:tcPr>
          <w:p w14:paraId="758D5188"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0</w:t>
            </w:r>
            <w:r w:rsidR="0026602B" w:rsidRPr="00785E29">
              <w:t>%</w:t>
            </w:r>
          </w:p>
        </w:tc>
        <w:tc>
          <w:tcPr>
            <w:tcW w:w="304" w:type="pct"/>
          </w:tcPr>
          <w:p w14:paraId="497DB881"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0</w:t>
            </w:r>
            <w:r w:rsidR="0026602B" w:rsidRPr="00785E29">
              <w:t>%</w:t>
            </w:r>
          </w:p>
        </w:tc>
        <w:tc>
          <w:tcPr>
            <w:tcW w:w="403" w:type="pct"/>
          </w:tcPr>
          <w:p w14:paraId="771C0E7E" w14:textId="77777777" w:rsidR="0026602B" w:rsidRDefault="005702E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3</w:t>
            </w:r>
            <w:r w:rsidR="0026602B" w:rsidRPr="00785E29">
              <w:t>%</w:t>
            </w:r>
          </w:p>
        </w:tc>
      </w:tr>
      <w:tr w:rsidR="0026602B" w14:paraId="571E0778" w14:textId="77777777" w:rsidTr="0026602B">
        <w:tc>
          <w:tcPr>
            <w:cnfStyle w:val="001000000000" w:firstRow="0" w:lastRow="0" w:firstColumn="1" w:lastColumn="0" w:oddVBand="0" w:evenVBand="0" w:oddHBand="0" w:evenHBand="0" w:firstRowFirstColumn="0" w:firstRowLastColumn="0" w:lastRowFirstColumn="0" w:lastRowLastColumn="0"/>
            <w:tcW w:w="1929" w:type="pct"/>
          </w:tcPr>
          <w:p w14:paraId="5CAFB8FB" w14:textId="77777777" w:rsidR="0026602B" w:rsidRPr="00332866" w:rsidRDefault="00AE70D2" w:rsidP="00BD4CCF">
            <w:pPr>
              <w:pStyle w:val="TableNheader"/>
              <w:spacing w:before="0" w:after="0"/>
              <w:rPr>
                <w:rFonts w:asciiTheme="majorHAnsi" w:hAnsiTheme="majorHAnsi" w:cstheme="majorBidi"/>
              </w:rPr>
            </w:pPr>
            <w:r w:rsidRPr="00A878F9">
              <w:t>Non-government preschools (standalone or attached to a non-government school)</w:t>
            </w:r>
          </w:p>
        </w:tc>
        <w:tc>
          <w:tcPr>
            <w:tcW w:w="353" w:type="pct"/>
          </w:tcPr>
          <w:p w14:paraId="5C5851F2"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24</w:t>
            </w:r>
            <w:r w:rsidR="0026602B" w:rsidRPr="00785E29">
              <w:t>%</w:t>
            </w:r>
          </w:p>
        </w:tc>
        <w:tc>
          <w:tcPr>
            <w:tcW w:w="352" w:type="pct"/>
          </w:tcPr>
          <w:p w14:paraId="434C85CF"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39</w:t>
            </w:r>
            <w:r w:rsidR="0026602B" w:rsidRPr="00785E29">
              <w:t>%</w:t>
            </w:r>
          </w:p>
        </w:tc>
        <w:tc>
          <w:tcPr>
            <w:tcW w:w="352" w:type="pct"/>
          </w:tcPr>
          <w:p w14:paraId="69B62852"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26</w:t>
            </w:r>
            <w:r w:rsidR="0026602B" w:rsidRPr="00785E29">
              <w:t>%</w:t>
            </w:r>
          </w:p>
        </w:tc>
        <w:tc>
          <w:tcPr>
            <w:tcW w:w="352" w:type="pct"/>
          </w:tcPr>
          <w:p w14:paraId="0C35AEA1"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w:t>
            </w:r>
            <w:r w:rsidR="0026602B" w:rsidRPr="00785E29">
              <w:t>%</w:t>
            </w:r>
          </w:p>
        </w:tc>
        <w:tc>
          <w:tcPr>
            <w:tcW w:w="352" w:type="pct"/>
          </w:tcPr>
          <w:p w14:paraId="02790BFE"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21</w:t>
            </w:r>
            <w:r w:rsidR="0026602B" w:rsidRPr="00785E29">
              <w:t>%</w:t>
            </w:r>
          </w:p>
        </w:tc>
        <w:tc>
          <w:tcPr>
            <w:tcW w:w="301" w:type="pct"/>
          </w:tcPr>
          <w:p w14:paraId="78CDB6E8"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18</w:t>
            </w:r>
            <w:r w:rsidR="0026602B" w:rsidRPr="00785E29">
              <w:t>%</w:t>
            </w:r>
          </w:p>
        </w:tc>
        <w:tc>
          <w:tcPr>
            <w:tcW w:w="301" w:type="pct"/>
          </w:tcPr>
          <w:p w14:paraId="06EEE5DD"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3</w:t>
            </w:r>
            <w:r w:rsidR="0026602B" w:rsidRPr="00785E29">
              <w:t>%</w:t>
            </w:r>
          </w:p>
        </w:tc>
        <w:tc>
          <w:tcPr>
            <w:tcW w:w="304" w:type="pct"/>
          </w:tcPr>
          <w:p w14:paraId="15F4F1FB"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785E29">
              <w:t>3</w:t>
            </w:r>
            <w:r w:rsidR="0026602B" w:rsidRPr="00785E29">
              <w:t>%</w:t>
            </w:r>
          </w:p>
        </w:tc>
        <w:tc>
          <w:tcPr>
            <w:tcW w:w="403" w:type="pct"/>
          </w:tcPr>
          <w:p w14:paraId="70F3E17A" w14:textId="77777777" w:rsidR="0026602B" w:rsidRDefault="00AE70D2" w:rsidP="0026602B">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26</w:t>
            </w:r>
            <w:r w:rsidR="0026602B" w:rsidRPr="00785E29">
              <w:t>%</w:t>
            </w:r>
          </w:p>
        </w:tc>
      </w:tr>
      <w:tr w:rsidR="005702E2" w14:paraId="60FF1B12" w14:textId="77777777" w:rsidTr="0026602B">
        <w:tc>
          <w:tcPr>
            <w:cnfStyle w:val="001000000000" w:firstRow="0" w:lastRow="0" w:firstColumn="1" w:lastColumn="0" w:oddVBand="0" w:evenVBand="0" w:oddHBand="0" w:evenHBand="0" w:firstRowFirstColumn="0" w:firstRowLastColumn="0" w:lastRowFirstColumn="0" w:lastRowLastColumn="0"/>
            <w:tcW w:w="1929" w:type="pct"/>
          </w:tcPr>
          <w:p w14:paraId="36117411" w14:textId="77777777" w:rsidR="005702E2" w:rsidRPr="0C5679B2" w:rsidRDefault="00AE70D2" w:rsidP="00BD4CCF">
            <w:pPr>
              <w:pStyle w:val="TableNheader"/>
              <w:spacing w:before="0" w:after="0"/>
              <w:rPr>
                <w:rFonts w:asciiTheme="majorHAnsi" w:hAnsiTheme="majorHAnsi" w:cstheme="majorBidi"/>
              </w:rPr>
            </w:pPr>
            <w:r w:rsidRPr="00A878F9">
              <w:lastRenderedPageBreak/>
              <w:t>Government preschools (standalone or attached to a government school)</w:t>
            </w:r>
          </w:p>
        </w:tc>
        <w:tc>
          <w:tcPr>
            <w:tcW w:w="353" w:type="pct"/>
          </w:tcPr>
          <w:p w14:paraId="569E721D"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w:t>
            </w:r>
            <w:r w:rsidR="005702E2" w:rsidRPr="00A878F9">
              <w:t>%</w:t>
            </w:r>
          </w:p>
        </w:tc>
        <w:tc>
          <w:tcPr>
            <w:tcW w:w="352" w:type="pct"/>
          </w:tcPr>
          <w:p w14:paraId="178C9662"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12</w:t>
            </w:r>
            <w:r w:rsidR="005702E2" w:rsidRPr="00A878F9">
              <w:t>%</w:t>
            </w:r>
          </w:p>
        </w:tc>
        <w:tc>
          <w:tcPr>
            <w:tcW w:w="352" w:type="pct"/>
          </w:tcPr>
          <w:p w14:paraId="0771EAE6"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2</w:t>
            </w:r>
            <w:r w:rsidR="005702E2" w:rsidRPr="00A878F9">
              <w:t>%</w:t>
            </w:r>
          </w:p>
        </w:tc>
        <w:tc>
          <w:tcPr>
            <w:tcW w:w="352" w:type="pct"/>
          </w:tcPr>
          <w:p w14:paraId="384D1CFF"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53</w:t>
            </w:r>
            <w:r w:rsidR="005702E2" w:rsidRPr="00A878F9">
              <w:t>%</w:t>
            </w:r>
          </w:p>
        </w:tc>
        <w:tc>
          <w:tcPr>
            <w:tcW w:w="352" w:type="pct"/>
          </w:tcPr>
          <w:p w14:paraId="015E3942"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59</w:t>
            </w:r>
            <w:r w:rsidR="005702E2" w:rsidRPr="00A878F9">
              <w:t>%</w:t>
            </w:r>
          </w:p>
        </w:tc>
        <w:tc>
          <w:tcPr>
            <w:tcW w:w="301" w:type="pct"/>
          </w:tcPr>
          <w:p w14:paraId="16C74B8E"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63</w:t>
            </w:r>
            <w:r w:rsidR="005702E2" w:rsidRPr="00A878F9">
              <w:t>%</w:t>
            </w:r>
          </w:p>
        </w:tc>
        <w:tc>
          <w:tcPr>
            <w:tcW w:w="301" w:type="pct"/>
          </w:tcPr>
          <w:p w14:paraId="76AA515D"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63</w:t>
            </w:r>
            <w:r w:rsidR="005702E2" w:rsidRPr="00A878F9">
              <w:t>%</w:t>
            </w:r>
          </w:p>
        </w:tc>
        <w:tc>
          <w:tcPr>
            <w:tcW w:w="304" w:type="pct"/>
          </w:tcPr>
          <w:p w14:paraId="7F004CC3"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46</w:t>
            </w:r>
            <w:r w:rsidR="005702E2" w:rsidRPr="00A878F9">
              <w:t>%</w:t>
            </w:r>
          </w:p>
        </w:tc>
        <w:tc>
          <w:tcPr>
            <w:tcW w:w="403" w:type="pct"/>
          </w:tcPr>
          <w:p w14:paraId="498DD3B1" w14:textId="77777777" w:rsidR="005702E2" w:rsidRPr="00785E29" w:rsidRDefault="00AE70D2" w:rsidP="005702E2">
            <w:pPr>
              <w:pStyle w:val="TableNText"/>
              <w:spacing w:before="0" w:after="0"/>
              <w:cnfStyle w:val="000000000000" w:firstRow="0" w:lastRow="0" w:firstColumn="0" w:lastColumn="0" w:oddVBand="0" w:evenVBand="0" w:oddHBand="0" w:evenHBand="0" w:firstRowFirstColumn="0" w:firstRowLastColumn="0" w:lastRowFirstColumn="0" w:lastRowLastColumn="0"/>
            </w:pPr>
            <w:r w:rsidRPr="00A878F9">
              <w:t>18</w:t>
            </w:r>
            <w:r w:rsidR="005702E2" w:rsidRPr="00A878F9">
              <w:t>%</w:t>
            </w:r>
          </w:p>
        </w:tc>
      </w:tr>
    </w:tbl>
    <w:p w14:paraId="62808559" w14:textId="77777777" w:rsidR="00C80479" w:rsidRDefault="00C80479" w:rsidP="00C80479">
      <w:bookmarkStart w:id="123" w:name="_Hlk24076591"/>
    </w:p>
    <w:p w14:paraId="0C332F9B" w14:textId="7BC408B1" w:rsidR="00C80479" w:rsidRPr="00C80479" w:rsidRDefault="008601BE" w:rsidP="00C80479">
      <w:r>
        <w:t xml:space="preserve">Survey </w:t>
      </w:r>
      <w:r w:rsidRPr="00C80479">
        <w:t xml:space="preserve">data </w:t>
      </w:r>
      <w:r>
        <w:t xml:space="preserve">supplied by </w:t>
      </w:r>
      <w:r w:rsidR="00281364">
        <w:t>Family Day Care Australia</w:t>
      </w:r>
      <w:r w:rsidR="00D157E8">
        <w:t>, a peak body representing the sector,</w:t>
      </w:r>
      <w:r w:rsidR="00281364">
        <w:t xml:space="preserve"> </w:t>
      </w:r>
      <w:r w:rsidR="00C80479" w:rsidRPr="00C80479">
        <w:t>indicates that some family day care providers</w:t>
      </w:r>
      <w:r w:rsidR="007E3F1A">
        <w:t xml:space="preserve"> </w:t>
      </w:r>
      <w:r w:rsidR="000E7906">
        <w:t>believe they are offering</w:t>
      </w:r>
      <w:r w:rsidR="000E7906" w:rsidRPr="00C80479">
        <w:t xml:space="preserve"> </w:t>
      </w:r>
      <w:r w:rsidR="00C80479" w:rsidRPr="00C80479">
        <w:t>a UANP</w:t>
      </w:r>
      <w:r w:rsidR="007E3F1A">
        <w:t>-</w:t>
      </w:r>
      <w:r w:rsidR="00C80479" w:rsidRPr="00C80479">
        <w:t>standard preschool service</w:t>
      </w:r>
      <w:r w:rsidR="007E3F1A">
        <w:t>. N</w:t>
      </w:r>
      <w:r w:rsidR="00C80479" w:rsidRPr="00C80479">
        <w:t>one are receiving UANP funding for this</w:t>
      </w:r>
      <w:r w:rsidR="007E3F1A">
        <w:t xml:space="preserve"> purpose</w:t>
      </w:r>
      <w:r w:rsidR="00C80479" w:rsidRPr="00C80479">
        <w:t>.</w:t>
      </w:r>
      <w:r w:rsidR="00C80479">
        <w:rPr>
          <w:rStyle w:val="FootnoteReference"/>
        </w:rPr>
        <w:footnoteReference w:id="37"/>
      </w:r>
      <w:r w:rsidR="00C80479">
        <w:t xml:space="preserve"> </w:t>
      </w:r>
      <w:r w:rsidR="007E3F1A">
        <w:t>While t</w:t>
      </w:r>
      <w:r>
        <w:t xml:space="preserve">he survey sample size was </w:t>
      </w:r>
      <w:r w:rsidR="00AF280E">
        <w:t>very</w:t>
      </w:r>
      <w:r>
        <w:t xml:space="preserve"> small</w:t>
      </w:r>
      <w:r w:rsidR="0060511A" w:rsidRPr="0060511A">
        <w:t xml:space="preserve"> </w:t>
      </w:r>
      <w:r w:rsidR="0060511A">
        <w:t xml:space="preserve">and </w:t>
      </w:r>
      <w:r w:rsidR="007E3F1A">
        <w:t xml:space="preserve">it is questionable whether the programs are of a comparable quality, governments </w:t>
      </w:r>
      <w:r w:rsidR="00614CB5">
        <w:t xml:space="preserve">should be mindful of this </w:t>
      </w:r>
      <w:r w:rsidR="007E3F1A">
        <w:t xml:space="preserve">potential expansion of preschool provision. It would be appropriate </w:t>
      </w:r>
      <w:r w:rsidR="00614CB5">
        <w:t>to monitor any changes in the preschool sector and the impact of any additional sectors delivering quality preschool programs</w:t>
      </w:r>
      <w:r w:rsidR="007E3F1A">
        <w:t>, including in terms of potential funding implications</w:t>
      </w:r>
      <w:r w:rsidR="00C80479" w:rsidRPr="00C80479">
        <w:t>.</w:t>
      </w:r>
      <w:r w:rsidR="00007E49">
        <w:t xml:space="preserve"> </w:t>
      </w:r>
    </w:p>
    <w:p w14:paraId="35BE5F5A" w14:textId="4DE1C421" w:rsidR="00BD4CCF" w:rsidRDefault="00BD4CCF" w:rsidP="00BD4CCF">
      <w:pPr>
        <w:pStyle w:val="Heading4"/>
      </w:pPr>
      <w:r>
        <w:t>Preschool providers access a range of funding sources</w:t>
      </w:r>
    </w:p>
    <w:bookmarkEnd w:id="123"/>
    <w:p w14:paraId="635CC30E" w14:textId="77777777" w:rsidR="00BD4CCF" w:rsidRPr="0003670C" w:rsidRDefault="00BD4CCF" w:rsidP="00BD4CCF">
      <w:r w:rsidRPr="0003670C">
        <w:t xml:space="preserve">Funding for preschool comprises </w:t>
      </w:r>
      <w:r w:rsidR="00B72DE1" w:rsidRPr="00B906ED">
        <w:t>parental contributions (out of pocket costs)</w:t>
      </w:r>
      <w:r w:rsidR="00B72DE1">
        <w:t xml:space="preserve">, </w:t>
      </w:r>
      <w:r w:rsidRPr="0003670C">
        <w:t>Australian Government funding under the UANP</w:t>
      </w:r>
      <w:r w:rsidR="00B72DE1">
        <w:t>,</w:t>
      </w:r>
      <w:r w:rsidRPr="0003670C">
        <w:t xml:space="preserve"> and State and Territory contributions which are determined at a jurisdictional level. </w:t>
      </w:r>
      <w:r w:rsidR="00FF2557" w:rsidRPr="00877782">
        <w:t xml:space="preserve">Levels of State and Territory investment vary, but most provide the majority of </w:t>
      </w:r>
      <w:r w:rsidR="00B90DC4" w:rsidRPr="00877782">
        <w:t>public funding for preschool in their respective jurisdictions</w:t>
      </w:r>
      <w:r w:rsidR="00FF2557" w:rsidRPr="00877782">
        <w:t xml:space="preserve">. </w:t>
      </w:r>
    </w:p>
    <w:p w14:paraId="78B3D53C" w14:textId="199B6343" w:rsidR="00BD4CCF" w:rsidRPr="0003670C" w:rsidRDefault="00BD4CCF" w:rsidP="00544EE8">
      <w:r w:rsidRPr="0003670C">
        <w:t xml:space="preserve">Some categories of preschool providers have access to alternative streams of public funding. The Australian </w:t>
      </w:r>
      <w:r>
        <w:t xml:space="preserve">Government </w:t>
      </w:r>
      <w:r w:rsidRPr="0003670C">
        <w:t>Child Care Subsidy (CCS)</w:t>
      </w:r>
      <w:r w:rsidR="00053BB9">
        <w:t xml:space="preserve"> and the Child Care Safety Net</w:t>
      </w:r>
      <w:r w:rsidRPr="0003670C">
        <w:t xml:space="preserve"> is provided to CBDC services, including those who offer preschool, to reduce the cost of </w:t>
      </w:r>
      <w:r w:rsidRPr="0003670C" w:rsidDel="00FC4449">
        <w:t xml:space="preserve">child care </w:t>
      </w:r>
      <w:r w:rsidRPr="0003670C">
        <w:t xml:space="preserve">for families. </w:t>
      </w:r>
      <w:r>
        <w:t>T</w:t>
      </w:r>
      <w:r w:rsidRPr="00272ABB">
        <w:t>he Review</w:t>
      </w:r>
      <w:r>
        <w:t xml:space="preserve"> does not accept the position put forward by some stakeholders that preschool programs delivered by these services benefit from</w:t>
      </w:r>
      <w:r w:rsidRPr="00272ABB">
        <w:t xml:space="preserve"> a ‘double subsidy’</w:t>
      </w:r>
      <w:r>
        <w:t>, as the two funding streams are for distinct purposes. The interaction between CCS and funding provided under the UANP is considered further in</w:t>
      </w:r>
      <w:r w:rsidRPr="00272ABB">
        <w:t xml:space="preserve"> </w:t>
      </w:r>
      <w:r w:rsidR="008F7577">
        <w:t>Chapter</w:t>
      </w:r>
      <w:r w:rsidR="009E1BD6" w:rsidRPr="00272ABB">
        <w:t xml:space="preserve"> </w:t>
      </w:r>
      <w:r w:rsidRPr="00272ABB">
        <w:t>5</w:t>
      </w:r>
      <w:r w:rsidR="00513C12">
        <w:t>.3</w:t>
      </w:r>
      <w:r w:rsidRPr="00272ABB">
        <w:t xml:space="preserve">. </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BD4CCF" w14:paraId="49C2061A" w14:textId="77777777" w:rsidTr="00F758B7">
        <w:tc>
          <w:tcPr>
            <w:tcW w:w="8818" w:type="dxa"/>
          </w:tcPr>
          <w:p w14:paraId="2B6D8686" w14:textId="6455978B" w:rsidR="00BD4CCF" w:rsidRDefault="00BD4CCF" w:rsidP="00F758B7">
            <w:pPr>
              <w:pStyle w:val="Heading4"/>
              <w:keepNext w:val="0"/>
              <w:widowControl w:val="0"/>
              <w:spacing w:before="0" w:after="240"/>
              <w:outlineLvl w:val="3"/>
            </w:pPr>
            <w:r>
              <w:t xml:space="preserve">The Australian Government helps families meet the cost of child care through </w:t>
            </w:r>
            <w:r w:rsidRPr="00C914BB">
              <w:t xml:space="preserve">the Child Care Subsidy </w:t>
            </w:r>
            <w:r>
              <w:t xml:space="preserve">(CCS) </w:t>
            </w:r>
            <w:r w:rsidRPr="00C914BB">
              <w:t>and the Child Care Safety Net</w:t>
            </w:r>
          </w:p>
          <w:p w14:paraId="23CE83B8" w14:textId="77777777" w:rsidR="00BD4CCF" w:rsidRPr="00141E83" w:rsidRDefault="00BD4CCF" w:rsidP="006514FF">
            <w:pPr>
              <w:pStyle w:val="Bullet"/>
              <w:numPr>
                <w:ilvl w:val="0"/>
                <w:numId w:val="13"/>
              </w:numPr>
              <w:ind w:left="340" w:hanging="340"/>
              <w:rPr>
                <w:sz w:val="18"/>
                <w:szCs w:val="18"/>
              </w:rPr>
            </w:pPr>
            <w:r w:rsidRPr="00141E83">
              <w:rPr>
                <w:sz w:val="18"/>
                <w:szCs w:val="18"/>
              </w:rPr>
              <w:t xml:space="preserve">The CCS (a proportion of the actual fee charged, up to relevant percentage of the hourly rate cap) is based on combined family income. </w:t>
            </w:r>
          </w:p>
          <w:p w14:paraId="449FF6CC" w14:textId="77777777" w:rsidR="00BD4CCF" w:rsidRPr="00141E83" w:rsidRDefault="00BD4CCF" w:rsidP="006514FF">
            <w:pPr>
              <w:pStyle w:val="Bullet"/>
              <w:numPr>
                <w:ilvl w:val="0"/>
                <w:numId w:val="13"/>
              </w:numPr>
              <w:ind w:left="340" w:hanging="340"/>
              <w:rPr>
                <w:sz w:val="18"/>
                <w:szCs w:val="18"/>
              </w:rPr>
            </w:pPr>
            <w:r w:rsidRPr="00141E83">
              <w:rPr>
                <w:sz w:val="18"/>
                <w:szCs w:val="18"/>
              </w:rPr>
              <w:t xml:space="preserve">The CCS is subject to an activity test. The number of hours of subsidised </w:t>
            </w:r>
            <w:proofErr w:type="gramStart"/>
            <w:r w:rsidRPr="00141E83">
              <w:rPr>
                <w:sz w:val="18"/>
                <w:szCs w:val="18"/>
              </w:rPr>
              <w:t>child care</w:t>
            </w:r>
            <w:proofErr w:type="gramEnd"/>
            <w:r w:rsidRPr="00141E83">
              <w:rPr>
                <w:sz w:val="18"/>
                <w:szCs w:val="18"/>
              </w:rPr>
              <w:t xml:space="preserve"> that a family is entitled to depends on the hours of activity (work, training, study, volunteering or other recognised activity) that parents undertake. This reflects the fact that the primary purpose of the CCS is to facilitate workforce participation. </w:t>
            </w:r>
          </w:p>
          <w:p w14:paraId="47CBB87D" w14:textId="6469BEA3" w:rsidR="00BD4CCF" w:rsidRPr="00141E83" w:rsidRDefault="000A2B10" w:rsidP="002D4539">
            <w:pPr>
              <w:pStyle w:val="Bullet"/>
              <w:numPr>
                <w:ilvl w:val="0"/>
                <w:numId w:val="13"/>
              </w:numPr>
              <w:ind w:left="340" w:hanging="340"/>
              <w:rPr>
                <w:sz w:val="18"/>
                <w:szCs w:val="18"/>
              </w:rPr>
            </w:pPr>
            <w:r>
              <w:rPr>
                <w:sz w:val="18"/>
                <w:szCs w:val="18"/>
              </w:rPr>
              <w:t>Certain f</w:t>
            </w:r>
            <w:r w:rsidR="00BD4CCF" w:rsidRPr="00141E83">
              <w:rPr>
                <w:sz w:val="18"/>
                <w:szCs w:val="18"/>
              </w:rPr>
              <w:t>amilies with preschool</w:t>
            </w:r>
            <w:r w:rsidR="00D157E8">
              <w:rPr>
                <w:sz w:val="18"/>
                <w:szCs w:val="18"/>
              </w:rPr>
              <w:t>-</w:t>
            </w:r>
            <w:r w:rsidR="00BD4CCF" w:rsidRPr="00141E83">
              <w:rPr>
                <w:sz w:val="18"/>
                <w:szCs w:val="18"/>
              </w:rPr>
              <w:t>aged children can be exempt from the activity test, meaning that the preschool</w:t>
            </w:r>
            <w:r w:rsidR="00D157E8">
              <w:rPr>
                <w:sz w:val="18"/>
                <w:szCs w:val="18"/>
              </w:rPr>
              <w:t>-</w:t>
            </w:r>
            <w:r w:rsidR="00BD4CCF" w:rsidRPr="00141E83">
              <w:rPr>
                <w:sz w:val="18"/>
                <w:szCs w:val="18"/>
              </w:rPr>
              <w:t>aged child</w:t>
            </w:r>
            <w:r w:rsidR="00337C3B">
              <w:rPr>
                <w:sz w:val="18"/>
                <w:szCs w:val="18"/>
              </w:rPr>
              <w:t>, in such circumstances,</w:t>
            </w:r>
            <w:r w:rsidR="00BD4CCF" w:rsidRPr="00141E83">
              <w:rPr>
                <w:sz w:val="18"/>
                <w:szCs w:val="18"/>
              </w:rPr>
              <w:t xml:space="preserve"> can attend up to 36 hours of subsidised approved child care per fortnight. </w:t>
            </w:r>
          </w:p>
          <w:p w14:paraId="6D717F14" w14:textId="77777777" w:rsidR="00BD4CCF" w:rsidRPr="00141E83" w:rsidRDefault="00BD4CCF" w:rsidP="006514FF">
            <w:pPr>
              <w:pStyle w:val="Bullet"/>
              <w:numPr>
                <w:ilvl w:val="0"/>
                <w:numId w:val="13"/>
              </w:numPr>
              <w:ind w:left="340" w:hanging="340"/>
              <w:rPr>
                <w:sz w:val="18"/>
                <w:szCs w:val="18"/>
              </w:rPr>
            </w:pPr>
            <w:r w:rsidRPr="00141E83">
              <w:rPr>
                <w:sz w:val="18"/>
                <w:szCs w:val="18"/>
              </w:rPr>
              <w:t>Services must be delivered by an approved provider.</w:t>
            </w:r>
          </w:p>
          <w:p w14:paraId="36252325" w14:textId="5F5AC71D" w:rsidR="00BD4CCF" w:rsidRPr="008D0DB5" w:rsidRDefault="00BD4CCF" w:rsidP="006514FF">
            <w:pPr>
              <w:pStyle w:val="Bullet"/>
              <w:numPr>
                <w:ilvl w:val="0"/>
                <w:numId w:val="13"/>
              </w:numPr>
              <w:ind w:left="340" w:hanging="340"/>
              <w:rPr>
                <w:color w:val="auto"/>
              </w:rPr>
            </w:pPr>
            <w:r w:rsidRPr="00141E83">
              <w:rPr>
                <w:sz w:val="18"/>
                <w:szCs w:val="18"/>
              </w:rPr>
              <w:t xml:space="preserve">The Child Care Safety Net comprises </w:t>
            </w:r>
            <w:r w:rsidR="00277258" w:rsidRPr="00141E83">
              <w:rPr>
                <w:sz w:val="18"/>
                <w:szCs w:val="18"/>
              </w:rPr>
              <w:t>several</w:t>
            </w:r>
            <w:r w:rsidRPr="00141E83">
              <w:rPr>
                <w:sz w:val="18"/>
                <w:szCs w:val="18"/>
              </w:rPr>
              <w:t xml:space="preserve"> programs (Additional Child Care Subsidy, Inclusion Support Program and Community Child Care Fund) designed to assist families and communities that require additional support</w:t>
            </w:r>
          </w:p>
        </w:tc>
      </w:tr>
    </w:tbl>
    <w:p w14:paraId="3370EE1C" w14:textId="0C5FA882" w:rsidR="00544EE8" w:rsidRDefault="00544EE8" w:rsidP="006514FF">
      <w:pPr>
        <w:pStyle w:val="Bullet"/>
        <w:spacing w:before="120"/>
      </w:pPr>
      <w:r w:rsidRPr="00544EE8">
        <w:t xml:space="preserve">School-based preschools in some states and territories also arguably benefit (albeit indirectly) from school funding. Under the National School Reform Agreement, the bilateral agreements between the Australian Government and each </w:t>
      </w:r>
      <w:r w:rsidR="007852E3">
        <w:t>S</w:t>
      </w:r>
      <w:r w:rsidRPr="00544EE8">
        <w:t xml:space="preserve">tate and </w:t>
      </w:r>
      <w:r w:rsidR="007852E3">
        <w:t>T</w:t>
      </w:r>
      <w:r w:rsidRPr="00544EE8">
        <w:t xml:space="preserve">erritory sets outs what agreed costs can be counted towards the jurisdiction’s contribution to school funding. National school funding calculations exclude preschool </w:t>
      </w:r>
      <w:r w:rsidRPr="00544EE8">
        <w:lastRenderedPageBreak/>
        <w:t xml:space="preserve">children, however, so while there is an opportunity for preschool providers to leverage school resources (systems, </w:t>
      </w:r>
      <w:proofErr w:type="gramStart"/>
      <w:r w:rsidRPr="00544EE8">
        <w:t>personnel</w:t>
      </w:r>
      <w:proofErr w:type="gramEnd"/>
      <w:r w:rsidRPr="00544EE8">
        <w:t xml:space="preserve"> and infrastructure), the funding streams are more easily distinguishable. Two states and territories, the Northern Territory and Western Australia, count a proportion of their preschool funding towards their government schools funding contribution. </w:t>
      </w:r>
      <w:r w:rsidR="007042FD">
        <w:t xml:space="preserve">However, this represents a fractional amount as it is just one of </w:t>
      </w:r>
      <w:r w:rsidR="00277258">
        <w:t>several</w:t>
      </w:r>
      <w:r w:rsidR="007042FD">
        <w:t xml:space="preserve"> costs that can be counted within an overall cap</w:t>
      </w:r>
      <w:r w:rsidR="00BA5FDC">
        <w:t xml:space="preserve"> of 4 per cent of the total </w:t>
      </w:r>
      <w:r w:rsidR="00013A84">
        <w:t xml:space="preserve">value of </w:t>
      </w:r>
      <w:r w:rsidR="00BA5FDC">
        <w:t>school funding.</w:t>
      </w:r>
    </w:p>
    <w:p w14:paraId="0E6B79C6" w14:textId="479FCC88" w:rsidR="00E341C7" w:rsidRDefault="00BD4CCF" w:rsidP="006514FF">
      <w:pPr>
        <w:pStyle w:val="Bullet"/>
        <w:spacing w:before="120"/>
      </w:pPr>
      <w:r>
        <w:t xml:space="preserve">The funding profile of each jurisdiction differs, as </w:t>
      </w:r>
      <w:r w:rsidRPr="005401E9">
        <w:rPr>
          <w:rFonts w:asciiTheme="minorHAnsi" w:hAnsiTheme="minorHAnsi" w:cstheme="minorHAnsi"/>
        </w:rPr>
        <w:t>illustrated in</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_Ref24381771 \h </w:instrText>
      </w:r>
      <w:r>
        <w:rPr>
          <w:rFonts w:asciiTheme="minorHAnsi" w:hAnsiTheme="minorHAnsi" w:cstheme="minorHAnsi"/>
        </w:rPr>
      </w:r>
      <w:r>
        <w:rPr>
          <w:rFonts w:asciiTheme="minorHAnsi" w:hAnsiTheme="minorHAnsi" w:cstheme="minorHAnsi"/>
        </w:rPr>
        <w:fldChar w:fldCharType="separate"/>
      </w:r>
      <w:r w:rsidR="00B37785">
        <w:t xml:space="preserve">Figure </w:t>
      </w:r>
      <w:r w:rsidR="00B37785">
        <w:rPr>
          <w:noProof/>
        </w:rPr>
        <w:t>10</w:t>
      </w:r>
      <w:r>
        <w:rPr>
          <w:rFonts w:asciiTheme="minorHAnsi" w:hAnsiTheme="minorHAnsi" w:cstheme="minorHAnsi"/>
        </w:rPr>
        <w:fldChar w:fldCharType="end"/>
      </w:r>
      <w:r>
        <w:rPr>
          <w:rFonts w:asciiTheme="minorHAnsi" w:hAnsiTheme="minorHAnsi" w:cstheme="minorHAnsi"/>
        </w:rPr>
        <w:t xml:space="preserve">. </w:t>
      </w:r>
      <w:r w:rsidR="00E341C7">
        <w:rPr>
          <w:rFonts w:asciiTheme="minorHAnsi" w:hAnsiTheme="minorHAnsi" w:cstheme="minorHAnsi"/>
        </w:rPr>
        <w:t xml:space="preserve">It is important to note that this funding analysis </w:t>
      </w:r>
      <w:r w:rsidR="00BF2CB1">
        <w:rPr>
          <w:rFonts w:asciiTheme="minorHAnsi" w:hAnsiTheme="minorHAnsi" w:cstheme="minorHAnsi"/>
        </w:rPr>
        <w:t>draws on</w:t>
      </w:r>
      <w:r w:rsidR="00E341C7">
        <w:rPr>
          <w:rFonts w:asciiTheme="minorHAnsi" w:hAnsiTheme="minorHAnsi" w:cstheme="minorHAnsi"/>
        </w:rPr>
        <w:t xml:space="preserve"> </w:t>
      </w:r>
      <w:r w:rsidR="00E341C7" w:rsidRPr="00755BEB">
        <w:t xml:space="preserve">State and Territory expenditure reported to the Productivity Commission </w:t>
      </w:r>
      <w:r w:rsidR="00E341C7">
        <w:t xml:space="preserve">which </w:t>
      </w:r>
      <w:r w:rsidR="00E341C7" w:rsidRPr="00755BEB">
        <w:t>is not directly comparable across jurisdictions.</w:t>
      </w:r>
      <w:r w:rsidR="009963A0" w:rsidRPr="009963A0">
        <w:rPr>
          <w:rStyle w:val="FootnoteReference"/>
        </w:rPr>
        <w:t xml:space="preserve"> </w:t>
      </w:r>
      <w:r w:rsidR="009963A0" w:rsidRPr="00806605">
        <w:rPr>
          <w:rStyle w:val="FootnoteReference"/>
        </w:rPr>
        <w:footnoteReference w:id="38"/>
      </w:r>
    </w:p>
    <w:p w14:paraId="3C8ADAB3" w14:textId="3650E57D" w:rsidR="004550AA" w:rsidRDefault="004550AA" w:rsidP="00055819">
      <w:pPr>
        <w:pStyle w:val="Caption"/>
        <w:rPr>
          <w:noProof/>
        </w:rPr>
      </w:pPr>
      <w:bookmarkStart w:id="124" w:name="_Ref24381771"/>
      <w:r>
        <w:t xml:space="preserve">Figure </w:t>
      </w:r>
      <w:r>
        <w:rPr>
          <w:bCs w:val="0"/>
        </w:rPr>
        <w:fldChar w:fldCharType="begin"/>
      </w:r>
      <w:r>
        <w:instrText xml:space="preserve"> SEQ Figure \* ARABIC </w:instrText>
      </w:r>
      <w:r>
        <w:rPr>
          <w:bCs w:val="0"/>
        </w:rPr>
        <w:fldChar w:fldCharType="separate"/>
      </w:r>
      <w:r w:rsidR="00B37785">
        <w:rPr>
          <w:noProof/>
        </w:rPr>
        <w:t>10</w:t>
      </w:r>
      <w:r>
        <w:rPr>
          <w:bCs w:val="0"/>
        </w:rPr>
        <w:fldChar w:fldCharType="end"/>
      </w:r>
      <w:bookmarkEnd w:id="124"/>
      <w:r w:rsidRPr="004F37CE">
        <w:t xml:space="preserve"> | Estimated contribution of funding to preschool programs </w:t>
      </w:r>
      <w:r>
        <w:t xml:space="preserve">for 600 hours </w:t>
      </w:r>
      <w:r w:rsidRPr="004F37CE">
        <w:t xml:space="preserve">for children in </w:t>
      </w:r>
      <w:proofErr w:type="gramStart"/>
      <w:r w:rsidRPr="004F37CE">
        <w:t>state-specific</w:t>
      </w:r>
      <w:proofErr w:type="gramEnd"/>
      <w:r w:rsidRPr="004F37CE">
        <w:t xml:space="preserve"> YBFS across jurisdictions</w:t>
      </w:r>
      <w:r>
        <w:rPr>
          <w:rStyle w:val="FootnoteReference"/>
        </w:rPr>
        <w:footnoteReference w:id="39"/>
      </w:r>
      <w:r w:rsidRPr="005F6739">
        <w:rPr>
          <w:vertAlign w:val="superscript"/>
        </w:rPr>
        <w:t>,</w:t>
      </w:r>
      <w:r>
        <w:rPr>
          <w:rStyle w:val="FootnoteReference"/>
        </w:rPr>
        <w:footnoteReference w:id="40"/>
      </w:r>
    </w:p>
    <w:p w14:paraId="651C92B4" w14:textId="0A3FCDFB" w:rsidR="00626F25" w:rsidRDefault="000E18D2" w:rsidP="00626F25">
      <w:pPr>
        <w:rPr>
          <w:noProof/>
        </w:rPr>
      </w:pPr>
      <w:r w:rsidRPr="000E18D2">
        <w:rPr>
          <w:noProof/>
        </w:rPr>
        <w:drawing>
          <wp:inline distT="0" distB="0" distL="0" distR="0" wp14:anchorId="29D614F0" wp14:editId="14C3B6A1">
            <wp:extent cx="5670550" cy="3418360"/>
            <wp:effectExtent l="0" t="0" r="6350" b="0"/>
            <wp:docPr id="40" name="Picture 40" descr="Image of graph showing Estimated contribution of funding to preschool programs for 600 hours for children in state-specific YBFS acros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graph showing Estimated contribution of funding to preschool programs for 600 hours for children in state-specific YBFS across jurisdic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0" cy="34183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913"/>
        <w:gridCol w:w="566"/>
        <w:gridCol w:w="563"/>
        <w:gridCol w:w="563"/>
        <w:gridCol w:w="563"/>
        <w:gridCol w:w="563"/>
        <w:gridCol w:w="563"/>
        <w:gridCol w:w="563"/>
        <w:gridCol w:w="558"/>
        <w:gridCol w:w="515"/>
      </w:tblGrid>
      <w:tr w:rsidR="00A43B52" w14:paraId="7464005A" w14:textId="77777777" w:rsidTr="00121766">
        <w:trPr>
          <w:cnfStyle w:val="100000000000" w:firstRow="1" w:lastRow="0" w:firstColumn="0" w:lastColumn="0" w:oddVBand="0" w:evenVBand="0" w:oddHBand="0" w:evenHBand="0" w:firstRowFirstColumn="0" w:firstRowLastColumn="0" w:lastRowFirstColumn="0" w:lastRowLastColumn="0"/>
        </w:trPr>
        <w:tc>
          <w:tcPr>
            <w:tcW w:w="3913" w:type="dxa"/>
          </w:tcPr>
          <w:p w14:paraId="704834C7" w14:textId="77777777" w:rsidR="00626F25" w:rsidRDefault="00626F25" w:rsidP="00121766">
            <w:pPr>
              <w:pStyle w:val="TableNheader"/>
              <w:spacing w:before="0" w:after="0"/>
            </w:pPr>
            <w:r>
              <w:t>Source</w:t>
            </w:r>
          </w:p>
        </w:tc>
        <w:tc>
          <w:tcPr>
            <w:tcW w:w="566" w:type="dxa"/>
          </w:tcPr>
          <w:p w14:paraId="1D1D990D"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NSW</w:t>
            </w:r>
          </w:p>
        </w:tc>
        <w:tc>
          <w:tcPr>
            <w:tcW w:w="563" w:type="dxa"/>
          </w:tcPr>
          <w:p w14:paraId="13854AC9"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Vic</w:t>
            </w:r>
          </w:p>
        </w:tc>
        <w:tc>
          <w:tcPr>
            <w:tcW w:w="563" w:type="dxa"/>
          </w:tcPr>
          <w:p w14:paraId="7B92CA4C"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Qld</w:t>
            </w:r>
          </w:p>
        </w:tc>
        <w:tc>
          <w:tcPr>
            <w:tcW w:w="563" w:type="dxa"/>
          </w:tcPr>
          <w:p w14:paraId="4967B82D"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SA</w:t>
            </w:r>
          </w:p>
        </w:tc>
        <w:tc>
          <w:tcPr>
            <w:tcW w:w="563" w:type="dxa"/>
          </w:tcPr>
          <w:p w14:paraId="2B1165D9"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WA</w:t>
            </w:r>
          </w:p>
        </w:tc>
        <w:tc>
          <w:tcPr>
            <w:tcW w:w="563" w:type="dxa"/>
          </w:tcPr>
          <w:p w14:paraId="557D04F5"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Tas</w:t>
            </w:r>
          </w:p>
        </w:tc>
        <w:tc>
          <w:tcPr>
            <w:tcW w:w="563" w:type="dxa"/>
          </w:tcPr>
          <w:p w14:paraId="3833FDA7"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NT</w:t>
            </w:r>
          </w:p>
        </w:tc>
        <w:tc>
          <w:tcPr>
            <w:tcW w:w="558" w:type="dxa"/>
          </w:tcPr>
          <w:p w14:paraId="3D96B08E"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ACT</w:t>
            </w:r>
          </w:p>
        </w:tc>
        <w:tc>
          <w:tcPr>
            <w:tcW w:w="515" w:type="dxa"/>
          </w:tcPr>
          <w:p w14:paraId="59001CF6" w14:textId="77777777" w:rsidR="00626F25" w:rsidRDefault="00626F25" w:rsidP="00121766">
            <w:pPr>
              <w:pStyle w:val="TableNheader"/>
              <w:spacing w:before="0" w:after="0"/>
              <w:rPr>
                <w:rFonts w:ascii="Calibri" w:hAnsi="Calibri" w:cs="Calibri"/>
                <w:i/>
                <w:iCs/>
                <w:szCs w:val="19"/>
              </w:rPr>
            </w:pPr>
            <w:r>
              <w:rPr>
                <w:rFonts w:ascii="Calibri" w:hAnsi="Calibri" w:cs="Calibri"/>
                <w:i/>
                <w:iCs/>
                <w:szCs w:val="19"/>
              </w:rPr>
              <w:t>Aust</w:t>
            </w:r>
          </w:p>
        </w:tc>
      </w:tr>
      <w:tr w:rsidR="00626F25" w:rsidRPr="00037787" w14:paraId="56F7E5E7" w14:textId="77777777" w:rsidTr="00121766">
        <w:trPr>
          <w:cnfStyle w:val="000000100000" w:firstRow="0" w:lastRow="0" w:firstColumn="0" w:lastColumn="0" w:oddVBand="0" w:evenVBand="0" w:oddHBand="1" w:evenHBand="0" w:firstRowFirstColumn="0" w:firstRowLastColumn="0" w:lastRowFirstColumn="0" w:lastRowLastColumn="0"/>
        </w:trPr>
        <w:tc>
          <w:tcPr>
            <w:tcW w:w="3913" w:type="dxa"/>
            <w:vAlign w:val="bottom"/>
          </w:tcPr>
          <w:p w14:paraId="3B6E679E" w14:textId="77777777" w:rsidR="00626F25" w:rsidRPr="00A27834" w:rsidRDefault="00626F25" w:rsidP="00121766">
            <w:pPr>
              <w:pStyle w:val="TableNText"/>
              <w:spacing w:before="0" w:after="0"/>
              <w:rPr>
                <w:rFonts w:asciiTheme="majorHAnsi" w:hAnsiTheme="majorHAnsi" w:cstheme="majorHAnsi"/>
              </w:rPr>
            </w:pPr>
            <w:r w:rsidRPr="00DC078B">
              <w:rPr>
                <w:rFonts w:asciiTheme="majorHAnsi" w:hAnsiTheme="majorHAnsi" w:cstheme="majorHAnsi"/>
              </w:rPr>
              <w:t xml:space="preserve">Category 1: </w:t>
            </w:r>
            <w:r w:rsidRPr="00A27834">
              <w:rPr>
                <w:rFonts w:asciiTheme="majorHAnsi" w:hAnsiTheme="majorHAnsi" w:cstheme="majorHAnsi"/>
              </w:rPr>
              <w:t>State</w:t>
            </w:r>
            <w:r>
              <w:rPr>
                <w:rFonts w:asciiTheme="majorHAnsi" w:hAnsiTheme="majorHAnsi" w:cstheme="majorHAnsi"/>
              </w:rPr>
              <w:t xml:space="preserve"> </w:t>
            </w:r>
            <w:r w:rsidRPr="00A27834">
              <w:rPr>
                <w:rFonts w:asciiTheme="majorHAnsi" w:hAnsiTheme="majorHAnsi" w:cstheme="majorHAnsi"/>
              </w:rPr>
              <w:t>/ Territory funding (total recurrent expenditure - UANP contribution)</w:t>
            </w:r>
          </w:p>
        </w:tc>
        <w:tc>
          <w:tcPr>
            <w:tcW w:w="566" w:type="dxa"/>
            <w:vAlign w:val="top"/>
          </w:tcPr>
          <w:p w14:paraId="1589FA08" w14:textId="77777777" w:rsidR="00626F25" w:rsidRPr="00291828" w:rsidRDefault="00626F25" w:rsidP="00121766">
            <w:pPr>
              <w:pStyle w:val="TableNText"/>
              <w:spacing w:before="0" w:after="0"/>
              <w:rPr>
                <w:sz w:val="16"/>
                <w:szCs w:val="20"/>
              </w:rPr>
            </w:pPr>
            <w:r w:rsidRPr="00291828">
              <w:rPr>
                <w:sz w:val="16"/>
                <w:szCs w:val="20"/>
              </w:rPr>
              <w:t>25%</w:t>
            </w:r>
          </w:p>
        </w:tc>
        <w:tc>
          <w:tcPr>
            <w:tcW w:w="563" w:type="dxa"/>
            <w:vAlign w:val="top"/>
          </w:tcPr>
          <w:p w14:paraId="6949D261" w14:textId="77777777" w:rsidR="00626F25" w:rsidRPr="00291828" w:rsidRDefault="00626F25" w:rsidP="00121766">
            <w:pPr>
              <w:pStyle w:val="TableNText"/>
              <w:spacing w:before="0" w:after="0"/>
              <w:rPr>
                <w:sz w:val="16"/>
                <w:szCs w:val="20"/>
              </w:rPr>
            </w:pPr>
            <w:r w:rsidRPr="00291828">
              <w:rPr>
                <w:sz w:val="16"/>
                <w:szCs w:val="20"/>
              </w:rPr>
              <w:t>41%</w:t>
            </w:r>
          </w:p>
        </w:tc>
        <w:tc>
          <w:tcPr>
            <w:tcW w:w="563" w:type="dxa"/>
            <w:vAlign w:val="top"/>
          </w:tcPr>
          <w:p w14:paraId="5018CC66" w14:textId="77777777" w:rsidR="00626F25" w:rsidRPr="00291828" w:rsidRDefault="00626F25" w:rsidP="00121766">
            <w:pPr>
              <w:pStyle w:val="TableNText"/>
              <w:spacing w:before="0" w:after="0"/>
              <w:rPr>
                <w:sz w:val="16"/>
                <w:szCs w:val="20"/>
              </w:rPr>
            </w:pPr>
            <w:r w:rsidRPr="00291828">
              <w:rPr>
                <w:sz w:val="16"/>
                <w:szCs w:val="20"/>
              </w:rPr>
              <w:t>21%</w:t>
            </w:r>
          </w:p>
        </w:tc>
        <w:tc>
          <w:tcPr>
            <w:tcW w:w="563" w:type="dxa"/>
            <w:vAlign w:val="top"/>
          </w:tcPr>
          <w:p w14:paraId="626633E1" w14:textId="63A8A756" w:rsidR="00626F25" w:rsidRPr="00291828" w:rsidRDefault="00FF748A" w:rsidP="00121766">
            <w:pPr>
              <w:pStyle w:val="TableNText"/>
              <w:spacing w:before="0" w:after="0"/>
              <w:rPr>
                <w:sz w:val="16"/>
                <w:szCs w:val="20"/>
              </w:rPr>
            </w:pPr>
            <w:r>
              <w:rPr>
                <w:sz w:val="16"/>
                <w:szCs w:val="20"/>
              </w:rPr>
              <w:t>69</w:t>
            </w:r>
            <w:r w:rsidR="00626F25" w:rsidRPr="00291828">
              <w:rPr>
                <w:sz w:val="16"/>
                <w:szCs w:val="20"/>
              </w:rPr>
              <w:t>%</w:t>
            </w:r>
          </w:p>
        </w:tc>
        <w:tc>
          <w:tcPr>
            <w:tcW w:w="563" w:type="dxa"/>
            <w:vAlign w:val="top"/>
          </w:tcPr>
          <w:p w14:paraId="05E11BE1" w14:textId="58288394" w:rsidR="00626F25" w:rsidRPr="00291828" w:rsidRDefault="00FF748A" w:rsidP="00121766">
            <w:pPr>
              <w:pStyle w:val="TableNText"/>
              <w:spacing w:before="0" w:after="0"/>
              <w:rPr>
                <w:sz w:val="16"/>
                <w:szCs w:val="20"/>
              </w:rPr>
            </w:pPr>
            <w:r>
              <w:rPr>
                <w:sz w:val="16"/>
                <w:szCs w:val="20"/>
              </w:rPr>
              <w:t>80</w:t>
            </w:r>
            <w:r w:rsidR="00626F25" w:rsidRPr="00291828">
              <w:rPr>
                <w:sz w:val="16"/>
                <w:szCs w:val="20"/>
              </w:rPr>
              <w:t>%</w:t>
            </w:r>
          </w:p>
        </w:tc>
        <w:tc>
          <w:tcPr>
            <w:tcW w:w="563" w:type="dxa"/>
            <w:vAlign w:val="top"/>
          </w:tcPr>
          <w:p w14:paraId="27F731C0" w14:textId="77777777" w:rsidR="00626F25" w:rsidRPr="00291828" w:rsidRDefault="00626F25" w:rsidP="00121766">
            <w:pPr>
              <w:pStyle w:val="TableNText"/>
              <w:spacing w:before="0" w:after="0"/>
              <w:rPr>
                <w:sz w:val="16"/>
                <w:szCs w:val="20"/>
              </w:rPr>
            </w:pPr>
            <w:r w:rsidRPr="00291828">
              <w:rPr>
                <w:sz w:val="16"/>
                <w:szCs w:val="20"/>
              </w:rPr>
              <w:t>75%</w:t>
            </w:r>
          </w:p>
        </w:tc>
        <w:tc>
          <w:tcPr>
            <w:tcW w:w="563" w:type="dxa"/>
            <w:vAlign w:val="top"/>
          </w:tcPr>
          <w:p w14:paraId="513C5044" w14:textId="254CAFD7" w:rsidR="00626F25" w:rsidRPr="00291828" w:rsidRDefault="00FF748A" w:rsidP="00121766">
            <w:pPr>
              <w:pStyle w:val="TableNText"/>
              <w:spacing w:before="0" w:after="0"/>
              <w:rPr>
                <w:sz w:val="16"/>
                <w:szCs w:val="20"/>
              </w:rPr>
            </w:pPr>
            <w:r>
              <w:rPr>
                <w:sz w:val="16"/>
                <w:szCs w:val="20"/>
              </w:rPr>
              <w:t>81</w:t>
            </w:r>
            <w:r w:rsidR="00626F25" w:rsidRPr="00291828">
              <w:rPr>
                <w:sz w:val="16"/>
                <w:szCs w:val="20"/>
              </w:rPr>
              <w:t>%</w:t>
            </w:r>
          </w:p>
        </w:tc>
        <w:tc>
          <w:tcPr>
            <w:tcW w:w="558" w:type="dxa"/>
            <w:vAlign w:val="top"/>
          </w:tcPr>
          <w:p w14:paraId="11E01F6A" w14:textId="0A02943D" w:rsidR="00626F25" w:rsidRPr="00291828" w:rsidRDefault="00FF748A" w:rsidP="00121766">
            <w:pPr>
              <w:pStyle w:val="TableNText"/>
              <w:spacing w:before="0" w:after="0"/>
              <w:rPr>
                <w:sz w:val="16"/>
                <w:szCs w:val="20"/>
              </w:rPr>
            </w:pPr>
            <w:r w:rsidRPr="00291828">
              <w:rPr>
                <w:sz w:val="16"/>
                <w:szCs w:val="20"/>
              </w:rPr>
              <w:t>5</w:t>
            </w:r>
            <w:r>
              <w:rPr>
                <w:sz w:val="16"/>
                <w:szCs w:val="20"/>
              </w:rPr>
              <w:t>3</w:t>
            </w:r>
            <w:r w:rsidR="00626F25" w:rsidRPr="00291828">
              <w:rPr>
                <w:sz w:val="16"/>
                <w:szCs w:val="20"/>
              </w:rPr>
              <w:t>%</w:t>
            </w:r>
          </w:p>
        </w:tc>
        <w:tc>
          <w:tcPr>
            <w:tcW w:w="515" w:type="dxa"/>
            <w:vAlign w:val="top"/>
          </w:tcPr>
          <w:p w14:paraId="5E21EFC3" w14:textId="77777777" w:rsidR="00626F25" w:rsidRPr="00291828" w:rsidRDefault="00626F25" w:rsidP="00121766">
            <w:pPr>
              <w:pStyle w:val="TableNText"/>
              <w:spacing w:before="0" w:after="0"/>
              <w:rPr>
                <w:sz w:val="16"/>
                <w:szCs w:val="20"/>
              </w:rPr>
            </w:pPr>
            <w:r w:rsidRPr="00291828">
              <w:rPr>
                <w:sz w:val="16"/>
                <w:szCs w:val="20"/>
              </w:rPr>
              <w:t>42%</w:t>
            </w:r>
          </w:p>
        </w:tc>
      </w:tr>
      <w:tr w:rsidR="00626F25" w:rsidRPr="00037787" w14:paraId="35D1917A" w14:textId="77777777" w:rsidTr="00121766">
        <w:trPr>
          <w:cnfStyle w:val="000000010000" w:firstRow="0" w:lastRow="0" w:firstColumn="0" w:lastColumn="0" w:oddVBand="0" w:evenVBand="0" w:oddHBand="0" w:evenHBand="1" w:firstRowFirstColumn="0" w:firstRowLastColumn="0" w:lastRowFirstColumn="0" w:lastRowLastColumn="0"/>
        </w:trPr>
        <w:tc>
          <w:tcPr>
            <w:tcW w:w="3913" w:type="dxa"/>
            <w:vAlign w:val="bottom"/>
          </w:tcPr>
          <w:p w14:paraId="7F3BB57E" w14:textId="77777777" w:rsidR="00626F25" w:rsidRPr="00DC078B" w:rsidRDefault="00626F25" w:rsidP="00121766">
            <w:pPr>
              <w:pStyle w:val="TableNText"/>
              <w:spacing w:before="0" w:after="0"/>
              <w:rPr>
                <w:rFonts w:asciiTheme="majorHAnsi" w:hAnsiTheme="majorHAnsi" w:cstheme="majorHAnsi"/>
              </w:rPr>
            </w:pPr>
            <w:r w:rsidRPr="00DC078B">
              <w:rPr>
                <w:rFonts w:asciiTheme="majorHAnsi" w:hAnsiTheme="majorHAnsi" w:cstheme="majorHAnsi"/>
              </w:rPr>
              <w:lastRenderedPageBreak/>
              <w:t>Category 2: Australian Government contribution under the UANP</w:t>
            </w:r>
          </w:p>
        </w:tc>
        <w:tc>
          <w:tcPr>
            <w:tcW w:w="566" w:type="dxa"/>
            <w:vAlign w:val="top"/>
          </w:tcPr>
          <w:p w14:paraId="30AE962A" w14:textId="77777777" w:rsidR="00626F25" w:rsidRPr="00291828" w:rsidRDefault="00626F25" w:rsidP="00121766">
            <w:pPr>
              <w:pStyle w:val="TableNText"/>
              <w:spacing w:before="0" w:after="0"/>
              <w:rPr>
                <w:sz w:val="16"/>
                <w:szCs w:val="20"/>
              </w:rPr>
            </w:pPr>
            <w:r w:rsidRPr="00291828">
              <w:rPr>
                <w:sz w:val="16"/>
                <w:szCs w:val="20"/>
              </w:rPr>
              <w:t>15%</w:t>
            </w:r>
          </w:p>
        </w:tc>
        <w:tc>
          <w:tcPr>
            <w:tcW w:w="563" w:type="dxa"/>
            <w:vAlign w:val="top"/>
          </w:tcPr>
          <w:p w14:paraId="34C3989C" w14:textId="77777777" w:rsidR="00626F25" w:rsidRPr="00291828" w:rsidRDefault="00626F25" w:rsidP="00121766">
            <w:pPr>
              <w:pStyle w:val="TableNText"/>
              <w:spacing w:before="0" w:after="0"/>
              <w:rPr>
                <w:sz w:val="16"/>
                <w:szCs w:val="20"/>
              </w:rPr>
            </w:pPr>
            <w:r w:rsidRPr="00291828">
              <w:rPr>
                <w:sz w:val="16"/>
                <w:szCs w:val="20"/>
              </w:rPr>
              <w:t>16%</w:t>
            </w:r>
          </w:p>
        </w:tc>
        <w:tc>
          <w:tcPr>
            <w:tcW w:w="563" w:type="dxa"/>
            <w:vAlign w:val="top"/>
          </w:tcPr>
          <w:p w14:paraId="4EC259DC" w14:textId="77777777" w:rsidR="00626F25" w:rsidRPr="00291828" w:rsidRDefault="00626F25" w:rsidP="00121766">
            <w:pPr>
              <w:pStyle w:val="TableNText"/>
              <w:spacing w:before="0" w:after="0"/>
              <w:rPr>
                <w:sz w:val="16"/>
                <w:szCs w:val="20"/>
              </w:rPr>
            </w:pPr>
            <w:r w:rsidRPr="00291828">
              <w:rPr>
                <w:sz w:val="16"/>
                <w:szCs w:val="20"/>
              </w:rPr>
              <w:t>19%</w:t>
            </w:r>
          </w:p>
        </w:tc>
        <w:tc>
          <w:tcPr>
            <w:tcW w:w="563" w:type="dxa"/>
            <w:vAlign w:val="top"/>
          </w:tcPr>
          <w:p w14:paraId="10FE27D0" w14:textId="1FFDA66E" w:rsidR="00626F25" w:rsidRPr="00291828" w:rsidRDefault="00FF748A" w:rsidP="00121766">
            <w:pPr>
              <w:pStyle w:val="TableNText"/>
              <w:spacing w:before="0" w:after="0"/>
              <w:rPr>
                <w:sz w:val="16"/>
                <w:szCs w:val="20"/>
              </w:rPr>
            </w:pPr>
            <w:r w:rsidRPr="00291828">
              <w:rPr>
                <w:sz w:val="16"/>
                <w:szCs w:val="20"/>
              </w:rPr>
              <w:t>1</w:t>
            </w:r>
            <w:r>
              <w:rPr>
                <w:sz w:val="16"/>
                <w:szCs w:val="20"/>
              </w:rPr>
              <w:t>3</w:t>
            </w:r>
            <w:r w:rsidR="00626F25" w:rsidRPr="00291828">
              <w:rPr>
                <w:sz w:val="16"/>
                <w:szCs w:val="20"/>
              </w:rPr>
              <w:t>%</w:t>
            </w:r>
          </w:p>
        </w:tc>
        <w:tc>
          <w:tcPr>
            <w:tcW w:w="563" w:type="dxa"/>
            <w:vAlign w:val="top"/>
          </w:tcPr>
          <w:p w14:paraId="014A16B5" w14:textId="60E67B43" w:rsidR="00626F25" w:rsidRPr="00291828" w:rsidRDefault="00FF748A" w:rsidP="00121766">
            <w:pPr>
              <w:pStyle w:val="TableNText"/>
              <w:spacing w:before="0" w:after="0"/>
              <w:rPr>
                <w:sz w:val="16"/>
                <w:szCs w:val="20"/>
              </w:rPr>
            </w:pPr>
            <w:r w:rsidRPr="00291828">
              <w:rPr>
                <w:sz w:val="16"/>
                <w:szCs w:val="20"/>
              </w:rPr>
              <w:t>1</w:t>
            </w:r>
            <w:r>
              <w:rPr>
                <w:sz w:val="16"/>
                <w:szCs w:val="20"/>
              </w:rPr>
              <w:t>2</w:t>
            </w:r>
            <w:r w:rsidR="00626F25" w:rsidRPr="00291828">
              <w:rPr>
                <w:sz w:val="16"/>
                <w:szCs w:val="20"/>
              </w:rPr>
              <w:t>%</w:t>
            </w:r>
          </w:p>
        </w:tc>
        <w:tc>
          <w:tcPr>
            <w:tcW w:w="563" w:type="dxa"/>
            <w:vAlign w:val="top"/>
          </w:tcPr>
          <w:p w14:paraId="1255BD74" w14:textId="77777777" w:rsidR="00626F25" w:rsidRPr="00291828" w:rsidRDefault="00626F25" w:rsidP="00121766">
            <w:pPr>
              <w:pStyle w:val="TableNText"/>
              <w:spacing w:before="0" w:after="0"/>
              <w:rPr>
                <w:sz w:val="16"/>
                <w:szCs w:val="20"/>
              </w:rPr>
            </w:pPr>
            <w:r w:rsidRPr="00291828">
              <w:rPr>
                <w:sz w:val="16"/>
                <w:szCs w:val="20"/>
              </w:rPr>
              <w:t>16%</w:t>
            </w:r>
          </w:p>
        </w:tc>
        <w:tc>
          <w:tcPr>
            <w:tcW w:w="563" w:type="dxa"/>
            <w:vAlign w:val="top"/>
          </w:tcPr>
          <w:p w14:paraId="7E51B83F" w14:textId="0513A71D" w:rsidR="00626F25" w:rsidRPr="00291828" w:rsidRDefault="00FF748A" w:rsidP="00121766">
            <w:pPr>
              <w:pStyle w:val="TableNText"/>
              <w:spacing w:before="0" w:after="0"/>
              <w:rPr>
                <w:sz w:val="16"/>
                <w:szCs w:val="20"/>
              </w:rPr>
            </w:pPr>
            <w:r>
              <w:rPr>
                <w:sz w:val="16"/>
                <w:szCs w:val="20"/>
              </w:rPr>
              <w:t>1</w:t>
            </w:r>
            <w:r w:rsidRPr="00291828">
              <w:rPr>
                <w:sz w:val="16"/>
                <w:szCs w:val="20"/>
              </w:rPr>
              <w:t>2</w:t>
            </w:r>
            <w:r w:rsidR="00626F25" w:rsidRPr="00291828">
              <w:rPr>
                <w:sz w:val="16"/>
                <w:szCs w:val="20"/>
              </w:rPr>
              <w:t>%</w:t>
            </w:r>
          </w:p>
        </w:tc>
        <w:tc>
          <w:tcPr>
            <w:tcW w:w="558" w:type="dxa"/>
            <w:vAlign w:val="top"/>
          </w:tcPr>
          <w:p w14:paraId="20163B91" w14:textId="5DFEBAFB" w:rsidR="00626F25" w:rsidRPr="00291828" w:rsidRDefault="00FF748A" w:rsidP="00121766">
            <w:pPr>
              <w:pStyle w:val="TableNText"/>
              <w:spacing w:before="0" w:after="0"/>
              <w:rPr>
                <w:sz w:val="16"/>
                <w:szCs w:val="20"/>
              </w:rPr>
            </w:pPr>
            <w:r>
              <w:rPr>
                <w:sz w:val="16"/>
                <w:szCs w:val="20"/>
              </w:rPr>
              <w:t>16</w:t>
            </w:r>
            <w:r w:rsidR="00626F25" w:rsidRPr="00291828">
              <w:rPr>
                <w:sz w:val="16"/>
                <w:szCs w:val="20"/>
              </w:rPr>
              <w:t>%</w:t>
            </w:r>
          </w:p>
        </w:tc>
        <w:tc>
          <w:tcPr>
            <w:tcW w:w="515" w:type="dxa"/>
            <w:vAlign w:val="top"/>
          </w:tcPr>
          <w:p w14:paraId="0FF7F07C" w14:textId="77777777" w:rsidR="00626F25" w:rsidRPr="00291828" w:rsidRDefault="00626F25" w:rsidP="00121766">
            <w:pPr>
              <w:pStyle w:val="TableNText"/>
              <w:spacing w:before="0" w:after="0"/>
              <w:rPr>
                <w:sz w:val="16"/>
                <w:szCs w:val="20"/>
              </w:rPr>
            </w:pPr>
            <w:r w:rsidRPr="00291828">
              <w:rPr>
                <w:sz w:val="16"/>
                <w:szCs w:val="20"/>
              </w:rPr>
              <w:t>15%</w:t>
            </w:r>
          </w:p>
        </w:tc>
      </w:tr>
      <w:tr w:rsidR="00626F25" w:rsidRPr="00037787" w14:paraId="388CD75E" w14:textId="77777777" w:rsidTr="00121766">
        <w:trPr>
          <w:cnfStyle w:val="000000100000" w:firstRow="0" w:lastRow="0" w:firstColumn="0" w:lastColumn="0" w:oddVBand="0" w:evenVBand="0" w:oddHBand="1" w:evenHBand="0" w:firstRowFirstColumn="0" w:firstRowLastColumn="0" w:lastRowFirstColumn="0" w:lastRowLastColumn="0"/>
        </w:trPr>
        <w:tc>
          <w:tcPr>
            <w:tcW w:w="3913" w:type="dxa"/>
            <w:vAlign w:val="bottom"/>
          </w:tcPr>
          <w:p w14:paraId="43C6B349" w14:textId="77777777" w:rsidR="00626F25" w:rsidRPr="00DC078B" w:rsidRDefault="00626F25" w:rsidP="00121766">
            <w:pPr>
              <w:pStyle w:val="TableNText"/>
              <w:spacing w:before="0" w:after="0"/>
              <w:rPr>
                <w:rFonts w:asciiTheme="majorHAnsi" w:hAnsiTheme="majorHAnsi" w:cstheme="majorHAnsi"/>
              </w:rPr>
            </w:pPr>
            <w:r w:rsidRPr="00DC078B">
              <w:rPr>
                <w:rFonts w:asciiTheme="majorHAnsi" w:hAnsiTheme="majorHAnsi" w:cstheme="majorHAnsi"/>
              </w:rPr>
              <w:t>Category 3: Australian Government investment through child care subsidies (for 600 hours)</w:t>
            </w:r>
          </w:p>
        </w:tc>
        <w:tc>
          <w:tcPr>
            <w:tcW w:w="566" w:type="dxa"/>
            <w:vAlign w:val="top"/>
          </w:tcPr>
          <w:p w14:paraId="38D8D9AD" w14:textId="77777777" w:rsidR="00626F25" w:rsidRPr="00291828" w:rsidRDefault="00626F25" w:rsidP="00121766">
            <w:pPr>
              <w:pStyle w:val="TableNText"/>
              <w:spacing w:before="0" w:after="0"/>
              <w:rPr>
                <w:sz w:val="16"/>
                <w:szCs w:val="20"/>
              </w:rPr>
            </w:pPr>
            <w:r w:rsidRPr="00291828">
              <w:rPr>
                <w:sz w:val="16"/>
                <w:szCs w:val="20"/>
              </w:rPr>
              <w:t>25%</w:t>
            </w:r>
          </w:p>
        </w:tc>
        <w:tc>
          <w:tcPr>
            <w:tcW w:w="563" w:type="dxa"/>
            <w:vAlign w:val="top"/>
          </w:tcPr>
          <w:p w14:paraId="722399BC" w14:textId="77777777" w:rsidR="00626F25" w:rsidRPr="00291828" w:rsidRDefault="00626F25" w:rsidP="00121766">
            <w:pPr>
              <w:pStyle w:val="TableNText"/>
              <w:spacing w:before="0" w:after="0"/>
              <w:rPr>
                <w:sz w:val="16"/>
                <w:szCs w:val="20"/>
              </w:rPr>
            </w:pPr>
            <w:r w:rsidRPr="00291828">
              <w:rPr>
                <w:sz w:val="16"/>
                <w:szCs w:val="20"/>
              </w:rPr>
              <w:t>17%</w:t>
            </w:r>
          </w:p>
        </w:tc>
        <w:tc>
          <w:tcPr>
            <w:tcW w:w="563" w:type="dxa"/>
            <w:vAlign w:val="top"/>
          </w:tcPr>
          <w:p w14:paraId="5ACDC3F8" w14:textId="77777777" w:rsidR="00626F25" w:rsidRPr="00291828" w:rsidRDefault="00626F25" w:rsidP="00121766">
            <w:pPr>
              <w:pStyle w:val="TableNText"/>
              <w:spacing w:before="0" w:after="0"/>
              <w:rPr>
                <w:sz w:val="16"/>
                <w:szCs w:val="20"/>
              </w:rPr>
            </w:pPr>
            <w:r w:rsidRPr="00291828">
              <w:rPr>
                <w:sz w:val="16"/>
                <w:szCs w:val="20"/>
              </w:rPr>
              <w:t>31%</w:t>
            </w:r>
          </w:p>
        </w:tc>
        <w:tc>
          <w:tcPr>
            <w:tcW w:w="563" w:type="dxa"/>
            <w:vAlign w:val="top"/>
          </w:tcPr>
          <w:p w14:paraId="22E3F8E8" w14:textId="105818E9" w:rsidR="00626F25" w:rsidRPr="00291828" w:rsidRDefault="00FF748A" w:rsidP="00121766">
            <w:pPr>
              <w:pStyle w:val="TableNText"/>
              <w:spacing w:before="0" w:after="0"/>
              <w:rPr>
                <w:sz w:val="16"/>
                <w:szCs w:val="20"/>
              </w:rPr>
            </w:pPr>
            <w:r>
              <w:rPr>
                <w:sz w:val="16"/>
                <w:szCs w:val="20"/>
              </w:rPr>
              <w:t>8</w:t>
            </w:r>
            <w:r w:rsidR="00626F25" w:rsidRPr="00291828">
              <w:rPr>
                <w:sz w:val="16"/>
                <w:szCs w:val="20"/>
              </w:rPr>
              <w:t>%</w:t>
            </w:r>
          </w:p>
        </w:tc>
        <w:tc>
          <w:tcPr>
            <w:tcW w:w="563" w:type="dxa"/>
            <w:vAlign w:val="top"/>
          </w:tcPr>
          <w:p w14:paraId="1ED0A0C5" w14:textId="77777777" w:rsidR="00626F25" w:rsidRPr="00291828" w:rsidRDefault="00626F25" w:rsidP="00121766">
            <w:pPr>
              <w:pStyle w:val="TableNText"/>
              <w:spacing w:before="0" w:after="0"/>
              <w:rPr>
                <w:sz w:val="16"/>
                <w:szCs w:val="20"/>
              </w:rPr>
            </w:pPr>
            <w:r w:rsidRPr="00291828">
              <w:rPr>
                <w:sz w:val="16"/>
                <w:szCs w:val="20"/>
              </w:rPr>
              <w:t>1%</w:t>
            </w:r>
          </w:p>
        </w:tc>
        <w:tc>
          <w:tcPr>
            <w:tcW w:w="563" w:type="dxa"/>
            <w:vAlign w:val="top"/>
          </w:tcPr>
          <w:p w14:paraId="44B459CB" w14:textId="77777777" w:rsidR="00626F25" w:rsidRPr="00291828" w:rsidRDefault="00626F25" w:rsidP="00121766">
            <w:pPr>
              <w:pStyle w:val="TableNText"/>
              <w:spacing w:before="0" w:after="0"/>
              <w:rPr>
                <w:sz w:val="16"/>
                <w:szCs w:val="20"/>
              </w:rPr>
            </w:pPr>
            <w:r w:rsidRPr="00291828">
              <w:rPr>
                <w:sz w:val="16"/>
                <w:szCs w:val="20"/>
              </w:rPr>
              <w:t>2%</w:t>
            </w:r>
          </w:p>
        </w:tc>
        <w:tc>
          <w:tcPr>
            <w:tcW w:w="563" w:type="dxa"/>
            <w:vAlign w:val="top"/>
          </w:tcPr>
          <w:p w14:paraId="55E58B60" w14:textId="77777777" w:rsidR="00626F25" w:rsidRPr="00291828" w:rsidRDefault="00626F25" w:rsidP="00121766">
            <w:pPr>
              <w:pStyle w:val="TableNText"/>
              <w:spacing w:before="0" w:after="0"/>
              <w:rPr>
                <w:sz w:val="16"/>
                <w:szCs w:val="20"/>
              </w:rPr>
            </w:pPr>
            <w:r w:rsidRPr="00291828">
              <w:rPr>
                <w:sz w:val="16"/>
                <w:szCs w:val="20"/>
              </w:rPr>
              <w:t>3%</w:t>
            </w:r>
          </w:p>
        </w:tc>
        <w:tc>
          <w:tcPr>
            <w:tcW w:w="558" w:type="dxa"/>
            <w:vAlign w:val="top"/>
          </w:tcPr>
          <w:p w14:paraId="6220B86A" w14:textId="77777777" w:rsidR="00626F25" w:rsidRPr="00291828" w:rsidRDefault="00626F25" w:rsidP="00121766">
            <w:pPr>
              <w:pStyle w:val="TableNText"/>
              <w:spacing w:before="0" w:after="0"/>
              <w:rPr>
                <w:sz w:val="16"/>
                <w:szCs w:val="20"/>
              </w:rPr>
            </w:pPr>
            <w:r w:rsidRPr="00291828">
              <w:rPr>
                <w:sz w:val="16"/>
                <w:szCs w:val="20"/>
              </w:rPr>
              <w:t>10%</w:t>
            </w:r>
          </w:p>
        </w:tc>
        <w:tc>
          <w:tcPr>
            <w:tcW w:w="515" w:type="dxa"/>
            <w:vAlign w:val="top"/>
          </w:tcPr>
          <w:p w14:paraId="1C4FB2D8" w14:textId="77777777" w:rsidR="00626F25" w:rsidRPr="00291828" w:rsidRDefault="00626F25" w:rsidP="00121766">
            <w:pPr>
              <w:pStyle w:val="TableNText"/>
              <w:spacing w:before="0" w:after="0"/>
              <w:rPr>
                <w:sz w:val="16"/>
                <w:szCs w:val="20"/>
              </w:rPr>
            </w:pPr>
            <w:r w:rsidRPr="00291828">
              <w:rPr>
                <w:sz w:val="16"/>
                <w:szCs w:val="20"/>
              </w:rPr>
              <w:t>18%</w:t>
            </w:r>
          </w:p>
        </w:tc>
      </w:tr>
      <w:tr w:rsidR="00626F25" w:rsidRPr="00037787" w14:paraId="25EE9FBF" w14:textId="77777777" w:rsidTr="00121766">
        <w:trPr>
          <w:cnfStyle w:val="000000010000" w:firstRow="0" w:lastRow="0" w:firstColumn="0" w:lastColumn="0" w:oddVBand="0" w:evenVBand="0" w:oddHBand="0" w:evenHBand="1" w:firstRowFirstColumn="0" w:firstRowLastColumn="0" w:lastRowFirstColumn="0" w:lastRowLastColumn="0"/>
        </w:trPr>
        <w:tc>
          <w:tcPr>
            <w:tcW w:w="3913" w:type="dxa"/>
            <w:vAlign w:val="bottom"/>
          </w:tcPr>
          <w:p w14:paraId="0E2F1542" w14:textId="77777777" w:rsidR="00626F25" w:rsidRPr="00DC078B" w:rsidRDefault="00626F25" w:rsidP="00121766">
            <w:pPr>
              <w:pStyle w:val="TableNText"/>
              <w:spacing w:before="0" w:after="0"/>
              <w:rPr>
                <w:rFonts w:asciiTheme="majorHAnsi" w:hAnsiTheme="majorHAnsi" w:cstheme="majorHAnsi"/>
              </w:rPr>
            </w:pPr>
            <w:r w:rsidRPr="00DC078B">
              <w:rPr>
                <w:rFonts w:asciiTheme="majorHAnsi" w:hAnsiTheme="majorHAnsi" w:cstheme="majorHAnsi"/>
              </w:rPr>
              <w:t>Category 4: Estimated parental contributions (out of pocket costs) (for 600 hours)</w:t>
            </w:r>
          </w:p>
        </w:tc>
        <w:tc>
          <w:tcPr>
            <w:tcW w:w="566" w:type="dxa"/>
            <w:vAlign w:val="top"/>
          </w:tcPr>
          <w:p w14:paraId="3F4F2BDD" w14:textId="77777777" w:rsidR="00626F25" w:rsidRPr="00291828" w:rsidRDefault="00626F25" w:rsidP="00121766">
            <w:pPr>
              <w:pStyle w:val="TableNText"/>
              <w:spacing w:before="0" w:after="0"/>
              <w:rPr>
                <w:sz w:val="16"/>
                <w:szCs w:val="20"/>
              </w:rPr>
            </w:pPr>
            <w:r w:rsidRPr="00291828">
              <w:rPr>
                <w:sz w:val="16"/>
                <w:szCs w:val="20"/>
              </w:rPr>
              <w:t>35%</w:t>
            </w:r>
          </w:p>
        </w:tc>
        <w:tc>
          <w:tcPr>
            <w:tcW w:w="563" w:type="dxa"/>
            <w:vAlign w:val="top"/>
          </w:tcPr>
          <w:p w14:paraId="5B52A18A" w14:textId="77777777" w:rsidR="00626F25" w:rsidRPr="00291828" w:rsidRDefault="00626F25" w:rsidP="00121766">
            <w:pPr>
              <w:pStyle w:val="TableNText"/>
              <w:spacing w:before="0" w:after="0"/>
              <w:rPr>
                <w:sz w:val="16"/>
                <w:szCs w:val="20"/>
              </w:rPr>
            </w:pPr>
            <w:r w:rsidRPr="00291828">
              <w:rPr>
                <w:sz w:val="16"/>
                <w:szCs w:val="20"/>
              </w:rPr>
              <w:t>27%</w:t>
            </w:r>
          </w:p>
        </w:tc>
        <w:tc>
          <w:tcPr>
            <w:tcW w:w="563" w:type="dxa"/>
            <w:vAlign w:val="top"/>
          </w:tcPr>
          <w:p w14:paraId="0C0C0653" w14:textId="77777777" w:rsidR="00626F25" w:rsidRPr="00291828" w:rsidRDefault="00626F25" w:rsidP="00121766">
            <w:pPr>
              <w:pStyle w:val="TableNText"/>
              <w:spacing w:before="0" w:after="0"/>
              <w:rPr>
                <w:sz w:val="16"/>
                <w:szCs w:val="20"/>
              </w:rPr>
            </w:pPr>
            <w:r w:rsidRPr="00291828">
              <w:rPr>
                <w:sz w:val="16"/>
                <w:szCs w:val="20"/>
              </w:rPr>
              <w:t>29%</w:t>
            </w:r>
          </w:p>
        </w:tc>
        <w:tc>
          <w:tcPr>
            <w:tcW w:w="563" w:type="dxa"/>
            <w:vAlign w:val="top"/>
          </w:tcPr>
          <w:p w14:paraId="445B53CD" w14:textId="1EC06170" w:rsidR="00626F25" w:rsidRPr="00291828" w:rsidRDefault="00FF748A" w:rsidP="00121766">
            <w:pPr>
              <w:pStyle w:val="TableNText"/>
              <w:spacing w:before="0" w:after="0"/>
              <w:rPr>
                <w:sz w:val="16"/>
                <w:szCs w:val="20"/>
              </w:rPr>
            </w:pPr>
            <w:r>
              <w:rPr>
                <w:sz w:val="16"/>
                <w:szCs w:val="20"/>
              </w:rPr>
              <w:t>9</w:t>
            </w:r>
            <w:r w:rsidR="00626F25" w:rsidRPr="00291828">
              <w:rPr>
                <w:sz w:val="16"/>
                <w:szCs w:val="20"/>
              </w:rPr>
              <w:t>%</w:t>
            </w:r>
          </w:p>
        </w:tc>
        <w:tc>
          <w:tcPr>
            <w:tcW w:w="563" w:type="dxa"/>
            <w:vAlign w:val="top"/>
          </w:tcPr>
          <w:p w14:paraId="7EAABB68" w14:textId="5566C168" w:rsidR="00626F25" w:rsidRPr="00291828" w:rsidRDefault="00FF748A" w:rsidP="00121766">
            <w:pPr>
              <w:pStyle w:val="TableNText"/>
              <w:spacing w:before="0" w:after="0"/>
              <w:rPr>
                <w:sz w:val="16"/>
                <w:szCs w:val="20"/>
              </w:rPr>
            </w:pPr>
            <w:r>
              <w:rPr>
                <w:sz w:val="16"/>
                <w:szCs w:val="20"/>
              </w:rPr>
              <w:t>7</w:t>
            </w:r>
            <w:r w:rsidR="00626F25" w:rsidRPr="00291828">
              <w:rPr>
                <w:sz w:val="16"/>
                <w:szCs w:val="20"/>
              </w:rPr>
              <w:t>%</w:t>
            </w:r>
          </w:p>
        </w:tc>
        <w:tc>
          <w:tcPr>
            <w:tcW w:w="563" w:type="dxa"/>
            <w:vAlign w:val="top"/>
          </w:tcPr>
          <w:p w14:paraId="76E4801C" w14:textId="77777777" w:rsidR="00626F25" w:rsidRPr="00291828" w:rsidRDefault="00626F25" w:rsidP="00121766">
            <w:pPr>
              <w:pStyle w:val="TableNText"/>
              <w:spacing w:before="0" w:after="0"/>
              <w:rPr>
                <w:sz w:val="16"/>
                <w:szCs w:val="20"/>
              </w:rPr>
            </w:pPr>
            <w:r w:rsidRPr="00291828">
              <w:rPr>
                <w:sz w:val="16"/>
                <w:szCs w:val="20"/>
              </w:rPr>
              <w:t>7%</w:t>
            </w:r>
          </w:p>
        </w:tc>
        <w:tc>
          <w:tcPr>
            <w:tcW w:w="563" w:type="dxa"/>
            <w:vAlign w:val="top"/>
          </w:tcPr>
          <w:p w14:paraId="3713B1C7" w14:textId="77777777" w:rsidR="00626F25" w:rsidRPr="00291828" w:rsidRDefault="00626F25" w:rsidP="00121766">
            <w:pPr>
              <w:pStyle w:val="TableNText"/>
              <w:spacing w:before="0" w:after="0"/>
              <w:rPr>
                <w:sz w:val="16"/>
                <w:szCs w:val="20"/>
              </w:rPr>
            </w:pPr>
            <w:r w:rsidRPr="00291828">
              <w:rPr>
                <w:sz w:val="16"/>
                <w:szCs w:val="20"/>
              </w:rPr>
              <w:t>4%</w:t>
            </w:r>
          </w:p>
        </w:tc>
        <w:tc>
          <w:tcPr>
            <w:tcW w:w="558" w:type="dxa"/>
            <w:vAlign w:val="top"/>
          </w:tcPr>
          <w:p w14:paraId="0997DFA9" w14:textId="621683B4" w:rsidR="00626F25" w:rsidRPr="00291828" w:rsidRDefault="00FF748A" w:rsidP="00121766">
            <w:pPr>
              <w:pStyle w:val="TableNText"/>
              <w:spacing w:before="0" w:after="0"/>
              <w:rPr>
                <w:sz w:val="16"/>
                <w:szCs w:val="20"/>
              </w:rPr>
            </w:pPr>
            <w:r>
              <w:rPr>
                <w:sz w:val="16"/>
                <w:szCs w:val="20"/>
              </w:rPr>
              <w:t>21</w:t>
            </w:r>
            <w:r w:rsidR="00626F25" w:rsidRPr="00291828">
              <w:rPr>
                <w:sz w:val="16"/>
                <w:szCs w:val="20"/>
              </w:rPr>
              <w:t>%</w:t>
            </w:r>
          </w:p>
        </w:tc>
        <w:tc>
          <w:tcPr>
            <w:tcW w:w="515" w:type="dxa"/>
            <w:vAlign w:val="top"/>
          </w:tcPr>
          <w:p w14:paraId="226C0AFF" w14:textId="77777777" w:rsidR="00626F25" w:rsidRPr="00291828" w:rsidRDefault="00626F25" w:rsidP="00121766">
            <w:pPr>
              <w:pStyle w:val="TableNText"/>
              <w:spacing w:before="0" w:after="0"/>
              <w:rPr>
                <w:sz w:val="16"/>
                <w:szCs w:val="20"/>
              </w:rPr>
            </w:pPr>
            <w:r w:rsidRPr="00291828">
              <w:rPr>
                <w:sz w:val="16"/>
                <w:szCs w:val="20"/>
              </w:rPr>
              <w:t>25%</w:t>
            </w:r>
          </w:p>
        </w:tc>
      </w:tr>
    </w:tbl>
    <w:p w14:paraId="7D87A75A" w14:textId="4894F4D8" w:rsidR="006514FF" w:rsidRPr="00E341C7" w:rsidRDefault="007221DE" w:rsidP="006514FF">
      <w:pPr>
        <w:pStyle w:val="Bullet"/>
        <w:spacing w:before="120"/>
      </w:pPr>
      <w:r>
        <w:rPr>
          <w:rFonts w:asciiTheme="minorHAnsi" w:hAnsiTheme="minorHAnsi" w:cstheme="minorHAnsi"/>
        </w:rPr>
        <w:t>It nevertheless</w:t>
      </w:r>
      <w:r w:rsidR="00E341C7">
        <w:rPr>
          <w:rFonts w:asciiTheme="minorHAnsi" w:hAnsiTheme="minorHAnsi" w:cstheme="minorHAnsi"/>
        </w:rPr>
        <w:t xml:space="preserve"> highlights </w:t>
      </w:r>
      <w:r w:rsidR="00BD4CCF">
        <w:t xml:space="preserve">the </w:t>
      </w:r>
      <w:r w:rsidR="00E341C7">
        <w:t xml:space="preserve">general observation that </w:t>
      </w:r>
      <w:r w:rsidR="00BD4CCF">
        <w:t>different service types, fees charged by providers, and the amount of funding provided by the State or Territory</w:t>
      </w:r>
      <w:r w:rsidR="00E341C7">
        <w:t xml:space="preserve"> is highly variable</w:t>
      </w:r>
      <w:r w:rsidR="00BD4CCF">
        <w:t>.</w:t>
      </w:r>
      <w:r w:rsidR="00BD4CCF" w:rsidRPr="00806605">
        <w:t xml:space="preserve"> </w:t>
      </w:r>
      <w:r w:rsidR="00E341C7">
        <w:t>Further, h</w:t>
      </w:r>
      <w:r w:rsidR="00BD4CCF" w:rsidRPr="00806605">
        <w:t xml:space="preserve">igher rates of </w:t>
      </w:r>
      <w:r w:rsidR="002F6932">
        <w:t>CCS</w:t>
      </w:r>
      <w:r w:rsidR="00E341C7">
        <w:t xml:space="preserve"> </w:t>
      </w:r>
      <w:r w:rsidR="00BD4CCF" w:rsidRPr="00806605">
        <w:t>flow to jurisdictions with a higher prevalence of preschool enrolments in CBDC</w:t>
      </w:r>
      <w:r w:rsidR="00E341C7">
        <w:t xml:space="preserve"> and p</w:t>
      </w:r>
      <w:r w:rsidR="00BD4CCF" w:rsidRPr="00806605">
        <w:t xml:space="preserve">arents </w:t>
      </w:r>
      <w:r w:rsidR="00D5329C">
        <w:t>appear</w:t>
      </w:r>
      <w:r w:rsidR="00BD4CCF" w:rsidRPr="00806605">
        <w:t xml:space="preserve"> to incur higher out of pocket costs in these jurisdictions. </w:t>
      </w:r>
      <w:r w:rsidR="00BD4CCF" w:rsidRPr="00806605">
        <w:rPr>
          <w:rFonts w:asciiTheme="minorHAnsi" w:hAnsiTheme="minorHAnsi" w:cstheme="minorHAnsi"/>
        </w:rPr>
        <w:t xml:space="preserve">Conversely, States and Territories that support preschool provision in schools or </w:t>
      </w:r>
      <w:r w:rsidR="00DB511B">
        <w:rPr>
          <w:rFonts w:asciiTheme="minorHAnsi" w:hAnsiTheme="minorHAnsi" w:cstheme="minorHAnsi"/>
        </w:rPr>
        <w:t>standalone</w:t>
      </w:r>
      <w:r w:rsidR="00DB511B" w:rsidRPr="00806605">
        <w:rPr>
          <w:rFonts w:asciiTheme="minorHAnsi" w:hAnsiTheme="minorHAnsi" w:cstheme="minorHAnsi"/>
        </w:rPr>
        <w:t xml:space="preserve"> </w:t>
      </w:r>
      <w:r w:rsidR="00BD4CCF" w:rsidRPr="00806605">
        <w:rPr>
          <w:rFonts w:asciiTheme="minorHAnsi" w:hAnsiTheme="minorHAnsi" w:cstheme="minorHAnsi"/>
        </w:rPr>
        <w:t xml:space="preserve">preschool services attract less </w:t>
      </w:r>
      <w:r w:rsidR="00B72DE1">
        <w:rPr>
          <w:rFonts w:asciiTheme="minorHAnsi" w:hAnsiTheme="minorHAnsi" w:cstheme="minorHAnsi"/>
        </w:rPr>
        <w:t>CCS</w:t>
      </w:r>
      <w:r w:rsidR="00BD4CCF" w:rsidRPr="00806605">
        <w:rPr>
          <w:rFonts w:asciiTheme="minorHAnsi" w:hAnsiTheme="minorHAnsi" w:cstheme="minorHAnsi"/>
        </w:rPr>
        <w:t xml:space="preserve"> funding (because preschool-aged children spend less time in CBDC) and tend to commit </w:t>
      </w:r>
      <w:r w:rsidR="00E341C7">
        <w:rPr>
          <w:rFonts w:asciiTheme="minorHAnsi" w:hAnsiTheme="minorHAnsi" w:cstheme="minorHAnsi"/>
        </w:rPr>
        <w:t>higher levels</w:t>
      </w:r>
      <w:r w:rsidR="00BD4CCF" w:rsidRPr="00806605">
        <w:rPr>
          <w:rFonts w:asciiTheme="minorHAnsi" w:hAnsiTheme="minorHAnsi" w:cstheme="minorHAnsi"/>
        </w:rPr>
        <w:t xml:space="preserve"> of funding.</w:t>
      </w:r>
      <w:r w:rsidR="00C30996">
        <w:rPr>
          <w:rFonts w:asciiTheme="minorHAnsi" w:hAnsiTheme="minorHAnsi" w:cstheme="minorHAnsi"/>
        </w:rPr>
        <w:t xml:space="preserve"> </w:t>
      </w:r>
      <w:r w:rsidR="00E606A0">
        <w:rPr>
          <w:rFonts w:asciiTheme="minorHAnsi" w:hAnsiTheme="minorHAnsi" w:cstheme="minorHAnsi"/>
        </w:rPr>
        <w:t>This issue is</w:t>
      </w:r>
      <w:r w:rsidR="00C30996">
        <w:rPr>
          <w:rFonts w:asciiTheme="minorHAnsi" w:hAnsiTheme="minorHAnsi" w:cstheme="minorHAnsi"/>
        </w:rPr>
        <w:t xml:space="preserve"> discussed further in</w:t>
      </w:r>
      <w:r w:rsidR="002A20D6">
        <w:rPr>
          <w:rFonts w:asciiTheme="minorHAnsi" w:hAnsiTheme="minorHAnsi" w:cstheme="minorHAnsi"/>
        </w:rPr>
        <w:t xml:space="preserve"> </w:t>
      </w:r>
      <w:r w:rsidR="00E606A0">
        <w:rPr>
          <w:rFonts w:asciiTheme="minorHAnsi" w:hAnsiTheme="minorHAnsi" w:cstheme="minorHAnsi"/>
        </w:rPr>
        <w:t>Chapter</w:t>
      </w:r>
      <w:r w:rsidR="00C30996">
        <w:rPr>
          <w:rFonts w:asciiTheme="minorHAnsi" w:hAnsiTheme="minorHAnsi" w:cstheme="minorHAnsi"/>
        </w:rPr>
        <w:t xml:space="preserve"> </w:t>
      </w:r>
      <w:r w:rsidR="00E606A0">
        <w:rPr>
          <w:rFonts w:asciiTheme="minorHAnsi" w:hAnsiTheme="minorHAnsi" w:cstheme="minorHAnsi"/>
        </w:rPr>
        <w:fldChar w:fldCharType="begin"/>
      </w:r>
      <w:r w:rsidR="00E606A0">
        <w:rPr>
          <w:rFonts w:asciiTheme="minorHAnsi" w:hAnsiTheme="minorHAnsi" w:cstheme="minorHAnsi"/>
        </w:rPr>
        <w:instrText xml:space="preserve"> REF _Ref31212689 \r \h </w:instrText>
      </w:r>
      <w:r w:rsidR="00E606A0">
        <w:rPr>
          <w:rFonts w:asciiTheme="minorHAnsi" w:hAnsiTheme="minorHAnsi" w:cstheme="minorHAnsi"/>
        </w:rPr>
      </w:r>
      <w:r w:rsidR="00E606A0">
        <w:rPr>
          <w:rFonts w:asciiTheme="minorHAnsi" w:hAnsiTheme="minorHAnsi" w:cstheme="minorHAnsi"/>
        </w:rPr>
        <w:fldChar w:fldCharType="separate"/>
      </w:r>
      <w:r w:rsidR="00B37785">
        <w:rPr>
          <w:rFonts w:asciiTheme="minorHAnsi" w:hAnsiTheme="minorHAnsi" w:cstheme="minorHAnsi"/>
        </w:rPr>
        <w:t>5.2</w:t>
      </w:r>
      <w:r w:rsidR="00E606A0">
        <w:rPr>
          <w:rFonts w:asciiTheme="minorHAnsi" w:hAnsiTheme="minorHAnsi" w:cstheme="minorHAnsi"/>
        </w:rPr>
        <w:fldChar w:fldCharType="end"/>
      </w:r>
      <w:r w:rsidR="00E606A0">
        <w:rPr>
          <w:rFonts w:asciiTheme="minorHAnsi" w:hAnsiTheme="minorHAnsi" w:cstheme="minorHAnsi"/>
        </w:rPr>
        <w:t>.</w:t>
      </w:r>
    </w:p>
    <w:p w14:paraId="2F76C626" w14:textId="77777777" w:rsidR="00E87932" w:rsidRPr="006514FF" w:rsidRDefault="00BD4CCF" w:rsidP="006514FF">
      <w:pPr>
        <w:pStyle w:val="Bullet"/>
        <w:spacing w:before="120"/>
        <w:rPr>
          <w:rFonts w:asciiTheme="minorHAnsi" w:hAnsiTheme="minorHAnsi" w:cstheme="minorHAnsi"/>
        </w:rPr>
      </w:pPr>
      <w:r>
        <w:rPr>
          <w:rFonts w:asciiTheme="minorHAnsi" w:hAnsiTheme="minorHAnsi" w:cstheme="minorHAnsi"/>
        </w:rPr>
        <w:t xml:space="preserve">The implications of </w:t>
      </w:r>
      <w:r w:rsidR="00E341C7">
        <w:rPr>
          <w:rFonts w:asciiTheme="minorHAnsi" w:hAnsiTheme="minorHAnsi" w:cstheme="minorHAnsi"/>
        </w:rPr>
        <w:t xml:space="preserve">the variations in </w:t>
      </w:r>
      <w:r>
        <w:rPr>
          <w:rFonts w:asciiTheme="minorHAnsi" w:hAnsiTheme="minorHAnsi" w:cstheme="minorHAnsi"/>
        </w:rPr>
        <w:t>funding composition is considered further in Chapters 5 and 6.</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E87932" w14:paraId="06CD4652" w14:textId="77777777" w:rsidTr="0083580F">
        <w:tc>
          <w:tcPr>
            <w:tcW w:w="8930" w:type="dxa"/>
            <w:shd w:val="clear" w:color="auto" w:fill="00264D" w:themeFill="background2"/>
          </w:tcPr>
          <w:p w14:paraId="7A9C796A" w14:textId="77777777" w:rsidR="00E87932" w:rsidRPr="006C71B3" w:rsidRDefault="00E87932" w:rsidP="0083580F">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FC74BE">
              <w:rPr>
                <w:rFonts w:asciiTheme="minorHAnsi" w:hAnsiTheme="minorHAnsi"/>
                <w:b/>
                <w:color w:val="25B3E0" w:themeColor="accent6"/>
                <w:sz w:val="20"/>
                <w:szCs w:val="20"/>
              </w:rPr>
              <w:t>11</w:t>
            </w:r>
          </w:p>
          <w:p w14:paraId="5FEAE100" w14:textId="0EDDC39E" w:rsidR="00E87932" w:rsidRDefault="00FC74BE" w:rsidP="0083580F">
            <w:pPr>
              <w:pStyle w:val="Longformcallout"/>
              <w:spacing w:after="0"/>
              <w:rPr>
                <w:rFonts w:asciiTheme="majorHAnsi" w:hAnsiTheme="majorHAnsi" w:cstheme="majorBidi"/>
                <w:color w:val="FFFFFF" w:themeColor="background1"/>
                <w:sz w:val="20"/>
                <w:szCs w:val="20"/>
              </w:rPr>
            </w:pPr>
            <w:r w:rsidRPr="00FC74BE">
              <w:rPr>
                <w:rFonts w:asciiTheme="majorHAnsi" w:hAnsiTheme="majorHAnsi" w:cstheme="majorBidi"/>
                <w:color w:val="FFFFFF" w:themeColor="background1"/>
                <w:sz w:val="20"/>
                <w:szCs w:val="20"/>
              </w:rPr>
              <w:t>A key strength of the UANP has been the flexibility it provides for States and Territories to direct funding in a way that best meets local conditions and priorities, while still ensuring that its terms are being met</w:t>
            </w:r>
            <w:r w:rsidR="00E87932" w:rsidRPr="0C5679B2">
              <w:rPr>
                <w:rFonts w:asciiTheme="majorHAnsi" w:hAnsiTheme="majorHAnsi" w:cstheme="majorBidi"/>
                <w:color w:val="FFFFFF" w:themeColor="background1"/>
                <w:sz w:val="20"/>
                <w:szCs w:val="20"/>
              </w:rPr>
              <w:t>.</w:t>
            </w:r>
            <w:r w:rsidR="00280F12">
              <w:t xml:space="preserve"> </w:t>
            </w:r>
            <w:r w:rsidR="00280F12" w:rsidRPr="00280F12">
              <w:rPr>
                <w:rFonts w:asciiTheme="majorHAnsi" w:hAnsiTheme="majorHAnsi" w:cstheme="majorBidi"/>
                <w:color w:val="FFFFFF" w:themeColor="background1"/>
                <w:sz w:val="20"/>
                <w:szCs w:val="20"/>
              </w:rPr>
              <w:t>Such flexibility involves a trade-off between national consistency in service and funding models.</w:t>
            </w:r>
          </w:p>
          <w:p w14:paraId="50C6A2D4" w14:textId="77777777" w:rsidR="00B530BB" w:rsidRDefault="00B530BB" w:rsidP="0083580F">
            <w:pPr>
              <w:pStyle w:val="Longformcallout"/>
              <w:spacing w:after="0"/>
              <w:rPr>
                <w:rFonts w:asciiTheme="majorHAnsi" w:hAnsiTheme="majorHAnsi" w:cstheme="majorBidi"/>
                <w:sz w:val="24"/>
                <w:szCs w:val="24"/>
              </w:rPr>
            </w:pPr>
          </w:p>
          <w:p w14:paraId="6F617315" w14:textId="77777777" w:rsidR="00B530BB" w:rsidRPr="006C71B3" w:rsidRDefault="00B530BB" w:rsidP="00B530BB">
            <w:pPr>
              <w:pStyle w:val="Longformcallout"/>
              <w:spacing w:before="0"/>
              <w:rPr>
                <w:rFonts w:asciiTheme="minorHAnsi" w:hAnsiTheme="minorHAnsi"/>
                <w:b/>
                <w:color w:val="25B3E0" w:themeColor="accent6"/>
                <w:sz w:val="20"/>
                <w:szCs w:val="20"/>
              </w:rPr>
            </w:pPr>
            <w:bookmarkStart w:id="125" w:name="_Hlk30603385"/>
            <w:r w:rsidRPr="0C5679B2">
              <w:rPr>
                <w:rFonts w:asciiTheme="minorHAnsi" w:hAnsiTheme="minorHAnsi"/>
                <w:b/>
                <w:color w:val="25B3E0" w:themeColor="accent6"/>
                <w:sz w:val="20"/>
                <w:szCs w:val="20"/>
              </w:rPr>
              <w:t xml:space="preserve">KEY FINDING </w:t>
            </w:r>
            <w:r w:rsidR="00A734E9">
              <w:rPr>
                <w:rFonts w:asciiTheme="minorHAnsi" w:hAnsiTheme="minorHAnsi"/>
                <w:b/>
                <w:color w:val="25B3E0" w:themeColor="accent6"/>
                <w:sz w:val="20"/>
                <w:szCs w:val="20"/>
              </w:rPr>
              <w:t>12</w:t>
            </w:r>
          </w:p>
          <w:p w14:paraId="0888E531" w14:textId="06B9505B" w:rsidR="00E87932" w:rsidRPr="00030D73" w:rsidRDefault="00B530BB" w:rsidP="0083580F">
            <w:pPr>
              <w:pStyle w:val="Longformcallout"/>
              <w:spacing w:after="0"/>
              <w:rPr>
                <w:rFonts w:asciiTheme="majorHAnsi" w:hAnsiTheme="majorHAnsi" w:cstheme="majorBidi"/>
                <w:sz w:val="24"/>
                <w:szCs w:val="24"/>
              </w:rPr>
            </w:pPr>
            <w:r w:rsidRPr="00B50889">
              <w:rPr>
                <w:rFonts w:asciiTheme="majorHAnsi" w:hAnsiTheme="majorHAnsi" w:cstheme="majorBidi"/>
                <w:color w:val="FFFFFF" w:themeColor="background1"/>
                <w:sz w:val="20"/>
                <w:szCs w:val="20"/>
              </w:rPr>
              <w:t>The Australian Government</w:t>
            </w:r>
            <w:r w:rsidR="007E4FE8">
              <w:rPr>
                <w:rFonts w:asciiTheme="majorHAnsi" w:hAnsiTheme="majorHAnsi" w:cstheme="majorBidi"/>
                <w:color w:val="FFFFFF" w:themeColor="background1"/>
                <w:sz w:val="20"/>
                <w:szCs w:val="20"/>
              </w:rPr>
              <w:t xml:space="preserve">’s funding </w:t>
            </w:r>
            <w:r>
              <w:rPr>
                <w:rFonts w:asciiTheme="majorHAnsi" w:hAnsiTheme="majorHAnsi" w:cstheme="majorBidi"/>
                <w:color w:val="FFFFFF" w:themeColor="background1"/>
                <w:sz w:val="20"/>
                <w:szCs w:val="20"/>
              </w:rPr>
              <w:t>contribution</w:t>
            </w:r>
            <w:r w:rsidRPr="00B50889">
              <w:rPr>
                <w:rFonts w:asciiTheme="majorHAnsi" w:hAnsiTheme="majorHAnsi" w:cstheme="majorBidi"/>
                <w:color w:val="FFFFFF" w:themeColor="background1"/>
                <w:sz w:val="20"/>
                <w:szCs w:val="20"/>
              </w:rPr>
              <w:t xml:space="preserve"> delivered via the UANP </w:t>
            </w:r>
            <w:r w:rsidR="00A34243">
              <w:rPr>
                <w:rFonts w:asciiTheme="majorHAnsi" w:hAnsiTheme="majorHAnsi" w:cstheme="majorBidi"/>
                <w:color w:val="FFFFFF" w:themeColor="background1"/>
                <w:sz w:val="20"/>
                <w:szCs w:val="20"/>
              </w:rPr>
              <w:t>contributes to</w:t>
            </w:r>
            <w:r w:rsidR="00C765D6" w:rsidRPr="00B50889">
              <w:rPr>
                <w:rFonts w:asciiTheme="majorHAnsi" w:hAnsiTheme="majorHAnsi" w:cstheme="majorBidi"/>
                <w:color w:val="FFFFFF" w:themeColor="background1"/>
                <w:sz w:val="20"/>
                <w:szCs w:val="20"/>
              </w:rPr>
              <w:t xml:space="preserve"> </w:t>
            </w:r>
            <w:r w:rsidRPr="00B50889">
              <w:rPr>
                <w:rFonts w:asciiTheme="majorHAnsi" w:hAnsiTheme="majorHAnsi" w:cstheme="majorBidi"/>
                <w:color w:val="FFFFFF" w:themeColor="background1"/>
                <w:sz w:val="20"/>
                <w:szCs w:val="20"/>
              </w:rPr>
              <w:t>State and Territory preschool investment, which is significant, if uneven</w:t>
            </w:r>
            <w:r w:rsidRPr="0C5679B2">
              <w:rPr>
                <w:rFonts w:asciiTheme="majorHAnsi" w:hAnsiTheme="majorHAnsi" w:cstheme="majorBidi"/>
                <w:color w:val="FFFFFF" w:themeColor="background1"/>
                <w:sz w:val="20"/>
                <w:szCs w:val="20"/>
              </w:rPr>
              <w:t>.</w:t>
            </w:r>
            <w:bookmarkEnd w:id="125"/>
          </w:p>
        </w:tc>
      </w:tr>
    </w:tbl>
    <w:p w14:paraId="7C8E443F" w14:textId="77777777" w:rsidR="003A0C72" w:rsidRDefault="00F3556A" w:rsidP="00EE4FE8">
      <w:pPr>
        <w:pStyle w:val="Heading2"/>
      </w:pPr>
      <w:bookmarkStart w:id="126" w:name="_Ref24554340"/>
      <w:bookmarkStart w:id="127" w:name="_Toc24559589"/>
      <w:bookmarkStart w:id="128" w:name="_Toc54597778"/>
      <w:r>
        <w:t>P</w:t>
      </w:r>
      <w:r w:rsidR="00E77467">
        <w:t xml:space="preserve">reschool provision and UANP </w:t>
      </w:r>
      <w:r>
        <w:t xml:space="preserve">implementation </w:t>
      </w:r>
      <w:proofErr w:type="gramStart"/>
      <w:r>
        <w:t>varies</w:t>
      </w:r>
      <w:proofErr w:type="gramEnd"/>
      <w:r>
        <w:t xml:space="preserve"> across</w:t>
      </w:r>
      <w:r w:rsidR="00E77467">
        <w:t xml:space="preserve"> Australia</w:t>
      </w:r>
      <w:bookmarkEnd w:id="126"/>
      <w:bookmarkEnd w:id="127"/>
      <w:bookmarkEnd w:id="128"/>
    </w:p>
    <w:p w14:paraId="78DD18A6" w14:textId="652AC3FC" w:rsidR="00272ABB" w:rsidRDefault="00272ABB" w:rsidP="00272ABB">
      <w:pPr>
        <w:rPr>
          <w:lang w:eastAsia="en-AU"/>
        </w:rPr>
      </w:pPr>
      <w:r>
        <w:rPr>
          <w:lang w:eastAsia="en-AU"/>
        </w:rPr>
        <w:t>The follow</w:t>
      </w:r>
      <w:r w:rsidR="00B32EE7">
        <w:rPr>
          <w:lang w:eastAsia="en-AU"/>
        </w:rPr>
        <w:t>ing</w:t>
      </w:r>
      <w:r>
        <w:rPr>
          <w:lang w:eastAsia="en-AU"/>
        </w:rPr>
        <w:t xml:space="preserve"> section presents a snapshot of preschool provision </w:t>
      </w:r>
      <w:r w:rsidR="00C22239">
        <w:rPr>
          <w:lang w:eastAsia="en-AU"/>
        </w:rPr>
        <w:t>for</w:t>
      </w:r>
      <w:r>
        <w:rPr>
          <w:lang w:eastAsia="en-AU"/>
        </w:rPr>
        <w:t xml:space="preserve"> each State and Territory.</w:t>
      </w:r>
    </w:p>
    <w:p w14:paraId="79D46B71" w14:textId="77777777" w:rsidR="00036E9D" w:rsidRDefault="00036E9D" w:rsidP="00272ABB">
      <w:pPr>
        <w:rPr>
          <w:lang w:eastAsia="en-AU"/>
        </w:rPr>
      </w:pPr>
    </w:p>
    <w:p w14:paraId="55078A92" w14:textId="77777777" w:rsidR="00814C50" w:rsidRDefault="00814C50" w:rsidP="00BF7682">
      <w:pPr>
        <w:rPr>
          <w:lang w:eastAsia="en-AU"/>
        </w:rPr>
        <w:sectPr w:rsidR="00814C50" w:rsidSect="00D2536C">
          <w:pgSz w:w="11907" w:h="16839" w:code="9"/>
          <w:pgMar w:top="1418" w:right="1418" w:bottom="1701" w:left="1559" w:header="720" w:footer="720" w:gutter="0"/>
          <w:cols w:space="720"/>
          <w:titlePg/>
          <w:docGrid w:linePitch="360"/>
        </w:sectPr>
      </w:pPr>
    </w:p>
    <w:p w14:paraId="0586F605" w14:textId="0D3231FD" w:rsidR="007D2493" w:rsidRDefault="00FE16DF" w:rsidP="00BF7682">
      <w:pPr>
        <w:rPr>
          <w:lang w:eastAsia="en-AU"/>
        </w:rPr>
      </w:pPr>
      <w:r>
        <w:rPr>
          <w:noProof/>
          <w:lang w:eastAsia="en-AU"/>
        </w:rPr>
        <w:lastRenderedPageBreak/>
        <w:drawing>
          <wp:anchor distT="0" distB="0" distL="114300" distR="114300" simplePos="0" relativeHeight="251658251" behindDoc="0" locked="0" layoutInCell="1" allowOverlap="1" wp14:anchorId="55A91A37" wp14:editId="7BE8772D">
            <wp:simplePos x="0" y="0"/>
            <wp:positionH relativeFrom="page">
              <wp:align>right</wp:align>
            </wp:positionH>
            <wp:positionV relativeFrom="paragraph">
              <wp:posOffset>-1176198</wp:posOffset>
            </wp:positionV>
            <wp:extent cx="7797800" cy="11047028"/>
            <wp:effectExtent l="0" t="0" r="0" b="254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797800" cy="11047028"/>
                    </a:xfrm>
                    <a:prstGeom prst="rect">
                      <a:avLst/>
                    </a:prstGeom>
                  </pic:spPr>
                </pic:pic>
              </a:graphicData>
            </a:graphic>
            <wp14:sizeRelH relativeFrom="page">
              <wp14:pctWidth>0</wp14:pctWidth>
            </wp14:sizeRelH>
            <wp14:sizeRelV relativeFrom="page">
              <wp14:pctHeight>0</wp14:pctHeight>
            </wp14:sizeRelV>
          </wp:anchor>
        </w:drawing>
      </w:r>
      <w:r w:rsidR="0068348A" w:rsidRPr="0068348A">
        <w:rPr>
          <w:noProof/>
        </w:rPr>
        <w:t xml:space="preserve"> </w:t>
      </w:r>
      <w:r w:rsidR="007D2493">
        <w:rPr>
          <w:lang w:eastAsia="en-AU"/>
        </w:rPr>
        <w:br w:type="page"/>
      </w:r>
    </w:p>
    <w:p w14:paraId="6B0B0680" w14:textId="77777777" w:rsidR="00B06C1D" w:rsidRDefault="00FE16DF">
      <w:pPr>
        <w:spacing w:after="165"/>
        <w:rPr>
          <w:lang w:eastAsia="en-AU"/>
        </w:rPr>
      </w:pPr>
      <w:r>
        <w:rPr>
          <w:noProof/>
          <w:lang w:eastAsia="en-AU"/>
        </w:rPr>
        <w:lastRenderedPageBreak/>
        <w:drawing>
          <wp:anchor distT="0" distB="0" distL="114300" distR="114300" simplePos="0" relativeHeight="251658256" behindDoc="0" locked="0" layoutInCell="1" allowOverlap="1" wp14:anchorId="29247330" wp14:editId="3C149016">
            <wp:simplePos x="0" y="0"/>
            <wp:positionH relativeFrom="page">
              <wp:align>right</wp:align>
            </wp:positionH>
            <wp:positionV relativeFrom="margin">
              <wp:align>center</wp:align>
            </wp:positionV>
            <wp:extent cx="7560000" cy="10702800"/>
            <wp:effectExtent l="0" t="0" r="3175" b="381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0000" cy="10702800"/>
                    </a:xfrm>
                    <a:prstGeom prst="rect">
                      <a:avLst/>
                    </a:prstGeom>
                  </pic:spPr>
                </pic:pic>
              </a:graphicData>
            </a:graphic>
            <wp14:sizeRelH relativeFrom="page">
              <wp14:pctWidth>0</wp14:pctWidth>
            </wp14:sizeRelH>
            <wp14:sizeRelV relativeFrom="page">
              <wp14:pctHeight>0</wp14:pctHeight>
            </wp14:sizeRelV>
          </wp:anchor>
        </w:drawing>
      </w:r>
    </w:p>
    <w:p w14:paraId="24679DC5" w14:textId="67275594" w:rsidR="00FE16DF" w:rsidRDefault="00FE16DF">
      <w:pPr>
        <w:spacing w:after="165"/>
        <w:rPr>
          <w:lang w:eastAsia="en-AU"/>
        </w:rPr>
      </w:pPr>
      <w:r>
        <w:rPr>
          <w:lang w:eastAsia="en-AU"/>
        </w:rPr>
        <w:br w:type="page"/>
      </w:r>
    </w:p>
    <w:p w14:paraId="4B0933D8" w14:textId="71D40DA9" w:rsidR="00FE16DF" w:rsidRDefault="00FE16DF">
      <w:pPr>
        <w:spacing w:after="165"/>
        <w:rPr>
          <w:lang w:eastAsia="en-AU"/>
        </w:rPr>
      </w:pPr>
      <w:r>
        <w:rPr>
          <w:noProof/>
          <w:lang w:eastAsia="en-AU"/>
        </w:rPr>
        <w:lastRenderedPageBreak/>
        <w:drawing>
          <wp:anchor distT="0" distB="0" distL="114300" distR="114300" simplePos="0" relativeHeight="251658257" behindDoc="0" locked="0" layoutInCell="1" allowOverlap="1" wp14:anchorId="4299E2BD" wp14:editId="1B1C3E72">
            <wp:simplePos x="0" y="0"/>
            <wp:positionH relativeFrom="page">
              <wp:align>right</wp:align>
            </wp:positionH>
            <wp:positionV relativeFrom="page">
              <wp:align>top</wp:align>
            </wp:positionV>
            <wp:extent cx="7560000" cy="106884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r>
        <w:rPr>
          <w:lang w:eastAsia="en-AU"/>
        </w:rPr>
        <w:br w:type="page"/>
      </w:r>
    </w:p>
    <w:p w14:paraId="4013D821" w14:textId="7EDD753C" w:rsidR="007D2493" w:rsidRDefault="00FE16DF">
      <w:pPr>
        <w:spacing w:after="165"/>
        <w:rPr>
          <w:lang w:eastAsia="en-AU"/>
        </w:rPr>
      </w:pPr>
      <w:r>
        <w:rPr>
          <w:noProof/>
          <w:lang w:eastAsia="en-AU"/>
        </w:rPr>
        <w:lastRenderedPageBreak/>
        <w:drawing>
          <wp:anchor distT="0" distB="0" distL="114300" distR="114300" simplePos="0" relativeHeight="251658258" behindDoc="0" locked="0" layoutInCell="1" allowOverlap="1" wp14:anchorId="2420A769" wp14:editId="5EC3DDAE">
            <wp:simplePos x="0" y="0"/>
            <wp:positionH relativeFrom="page">
              <wp:align>left</wp:align>
            </wp:positionH>
            <wp:positionV relativeFrom="page">
              <wp:align>top</wp:align>
            </wp:positionV>
            <wp:extent cx="7560000" cy="10702800"/>
            <wp:effectExtent l="0" t="0" r="3175" b="381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60000" cy="10702800"/>
                    </a:xfrm>
                    <a:prstGeom prst="rect">
                      <a:avLst/>
                    </a:prstGeom>
                  </pic:spPr>
                </pic:pic>
              </a:graphicData>
            </a:graphic>
            <wp14:sizeRelH relativeFrom="page">
              <wp14:pctWidth>0</wp14:pctWidth>
            </wp14:sizeRelH>
            <wp14:sizeRelV relativeFrom="page">
              <wp14:pctHeight>0</wp14:pctHeight>
            </wp14:sizeRelV>
          </wp:anchor>
        </w:drawing>
      </w:r>
      <w:r w:rsidR="007D2493">
        <w:rPr>
          <w:lang w:eastAsia="en-AU"/>
        </w:rPr>
        <w:br w:type="page"/>
      </w:r>
    </w:p>
    <w:p w14:paraId="1268BAFA" w14:textId="632A3136" w:rsidR="00FE16DF" w:rsidRDefault="00FD5188">
      <w:pPr>
        <w:spacing w:after="165"/>
        <w:rPr>
          <w:lang w:eastAsia="en-AU"/>
        </w:rPr>
      </w:pPr>
      <w:r>
        <w:rPr>
          <w:noProof/>
          <w:lang w:eastAsia="en-AU"/>
        </w:rPr>
        <w:lastRenderedPageBreak/>
        <w:drawing>
          <wp:anchor distT="0" distB="0" distL="114300" distR="114300" simplePos="0" relativeHeight="251658252" behindDoc="0" locked="0" layoutInCell="1" allowOverlap="1" wp14:anchorId="5EBDCB7C" wp14:editId="558CA7A3">
            <wp:simplePos x="0" y="0"/>
            <wp:positionH relativeFrom="margin">
              <wp:align>center</wp:align>
            </wp:positionH>
            <wp:positionV relativeFrom="paragraph">
              <wp:posOffset>-887095</wp:posOffset>
            </wp:positionV>
            <wp:extent cx="7553325" cy="10723522"/>
            <wp:effectExtent l="0" t="0" r="0" b="190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7553325" cy="10723522"/>
                    </a:xfrm>
                    <a:prstGeom prst="rect">
                      <a:avLst/>
                    </a:prstGeom>
                  </pic:spPr>
                </pic:pic>
              </a:graphicData>
            </a:graphic>
            <wp14:sizeRelH relativeFrom="page">
              <wp14:pctWidth>0</wp14:pctWidth>
            </wp14:sizeRelH>
            <wp14:sizeRelV relativeFrom="page">
              <wp14:pctHeight>0</wp14:pctHeight>
            </wp14:sizeRelV>
          </wp:anchor>
        </w:drawing>
      </w:r>
    </w:p>
    <w:p w14:paraId="7571CDEA" w14:textId="660D9D26" w:rsidR="00FE16DF" w:rsidRDefault="00FE16DF">
      <w:pPr>
        <w:spacing w:after="165"/>
        <w:rPr>
          <w:lang w:eastAsia="en-AU"/>
        </w:rPr>
      </w:pPr>
    </w:p>
    <w:p w14:paraId="31CAD8C0" w14:textId="1151F2EB" w:rsidR="00FE16DF" w:rsidRDefault="00FE16DF" w:rsidP="00BF7682">
      <w:pPr>
        <w:rPr>
          <w:lang w:eastAsia="en-AU"/>
        </w:rPr>
      </w:pPr>
    </w:p>
    <w:p w14:paraId="5457331E" w14:textId="22599EB4" w:rsidR="007D2493" w:rsidRDefault="007D2493" w:rsidP="00BF7682">
      <w:pPr>
        <w:rPr>
          <w:lang w:eastAsia="en-AU"/>
        </w:rPr>
      </w:pPr>
      <w:r>
        <w:rPr>
          <w:lang w:eastAsia="en-AU"/>
        </w:rPr>
        <w:br w:type="page"/>
      </w:r>
    </w:p>
    <w:p w14:paraId="3050EA87" w14:textId="04889100" w:rsidR="007D2493" w:rsidRDefault="0068348A" w:rsidP="00BF7682">
      <w:pPr>
        <w:rPr>
          <w:lang w:eastAsia="en-AU"/>
        </w:rPr>
      </w:pPr>
      <w:r>
        <w:rPr>
          <w:noProof/>
          <w:lang w:eastAsia="en-AU"/>
        </w:rPr>
        <w:lastRenderedPageBreak/>
        <w:drawing>
          <wp:anchor distT="0" distB="0" distL="114300" distR="114300" simplePos="0" relativeHeight="251658253" behindDoc="0" locked="0" layoutInCell="1" allowOverlap="1" wp14:anchorId="39DDC7AE" wp14:editId="020E8891">
            <wp:simplePos x="0" y="0"/>
            <wp:positionH relativeFrom="page">
              <wp:align>left</wp:align>
            </wp:positionH>
            <wp:positionV relativeFrom="paragraph">
              <wp:posOffset>-899795</wp:posOffset>
            </wp:positionV>
            <wp:extent cx="7562850" cy="10709944"/>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7562850" cy="10709944"/>
                    </a:xfrm>
                    <a:prstGeom prst="rect">
                      <a:avLst/>
                    </a:prstGeom>
                  </pic:spPr>
                </pic:pic>
              </a:graphicData>
            </a:graphic>
            <wp14:sizeRelH relativeFrom="page">
              <wp14:pctWidth>0</wp14:pctWidth>
            </wp14:sizeRelH>
            <wp14:sizeRelV relativeFrom="page">
              <wp14:pctHeight>0</wp14:pctHeight>
            </wp14:sizeRelV>
          </wp:anchor>
        </w:drawing>
      </w:r>
      <w:r w:rsidR="0071750E">
        <w:rPr>
          <w:noProof/>
          <w:lang w:eastAsia="en-AU"/>
        </w:rPr>
        <w:t>for ki</w:t>
      </w:r>
      <w:r w:rsidR="007D2493">
        <w:rPr>
          <w:lang w:eastAsia="en-AU"/>
        </w:rPr>
        <w:br w:type="page"/>
      </w:r>
    </w:p>
    <w:p w14:paraId="2B4214B6" w14:textId="2B17CC67" w:rsidR="007D2493" w:rsidRDefault="00D5329C" w:rsidP="00BF7682">
      <w:pPr>
        <w:rPr>
          <w:lang w:eastAsia="en-AU"/>
        </w:rPr>
      </w:pPr>
      <w:r>
        <w:rPr>
          <w:noProof/>
          <w:lang w:eastAsia="en-AU"/>
        </w:rPr>
        <w:lastRenderedPageBreak/>
        <w:drawing>
          <wp:anchor distT="0" distB="0" distL="114300" distR="114300" simplePos="0" relativeHeight="251658254" behindDoc="0" locked="0" layoutInCell="1" allowOverlap="1" wp14:anchorId="5F6AB13E" wp14:editId="259453E9">
            <wp:simplePos x="0" y="0"/>
            <wp:positionH relativeFrom="page">
              <wp:align>right</wp:align>
            </wp:positionH>
            <wp:positionV relativeFrom="page">
              <wp:align>top</wp:align>
            </wp:positionV>
            <wp:extent cx="7556500" cy="10669270"/>
            <wp:effectExtent l="0" t="0" r="635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56500" cy="10669270"/>
                    </a:xfrm>
                    <a:prstGeom prst="rect">
                      <a:avLst/>
                    </a:prstGeom>
                  </pic:spPr>
                </pic:pic>
              </a:graphicData>
            </a:graphic>
            <wp14:sizeRelH relativeFrom="margin">
              <wp14:pctWidth>0</wp14:pctWidth>
            </wp14:sizeRelH>
            <wp14:sizeRelV relativeFrom="margin">
              <wp14:pctHeight>0</wp14:pctHeight>
            </wp14:sizeRelV>
          </wp:anchor>
        </w:drawing>
      </w:r>
    </w:p>
    <w:p w14:paraId="21215187" w14:textId="45EB7575" w:rsidR="007D2493" w:rsidRDefault="007D2493" w:rsidP="00BF7682">
      <w:pPr>
        <w:rPr>
          <w:lang w:eastAsia="en-AU"/>
        </w:rPr>
      </w:pPr>
      <w:r>
        <w:rPr>
          <w:lang w:eastAsia="en-AU"/>
        </w:rPr>
        <w:br w:type="page"/>
      </w:r>
    </w:p>
    <w:p w14:paraId="16415F7E" w14:textId="77777777" w:rsidR="007D2493" w:rsidRDefault="0068348A" w:rsidP="00BF7682">
      <w:pPr>
        <w:rPr>
          <w:lang w:eastAsia="en-AU"/>
        </w:rPr>
      </w:pPr>
      <w:r>
        <w:rPr>
          <w:noProof/>
          <w:lang w:eastAsia="en-AU"/>
        </w:rPr>
        <w:lastRenderedPageBreak/>
        <w:drawing>
          <wp:anchor distT="0" distB="0" distL="114300" distR="114300" simplePos="0" relativeHeight="251658255" behindDoc="0" locked="0" layoutInCell="1" allowOverlap="1" wp14:anchorId="58797F9B" wp14:editId="10080D7B">
            <wp:simplePos x="0" y="0"/>
            <wp:positionH relativeFrom="page">
              <wp:align>left</wp:align>
            </wp:positionH>
            <wp:positionV relativeFrom="paragraph">
              <wp:posOffset>-883177</wp:posOffset>
            </wp:positionV>
            <wp:extent cx="7552798" cy="1065777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52798" cy="10657775"/>
                    </a:xfrm>
                    <a:prstGeom prst="rect">
                      <a:avLst/>
                    </a:prstGeom>
                  </pic:spPr>
                </pic:pic>
              </a:graphicData>
            </a:graphic>
            <wp14:sizeRelH relativeFrom="page">
              <wp14:pctWidth>0</wp14:pctWidth>
            </wp14:sizeRelH>
            <wp14:sizeRelV relativeFrom="page">
              <wp14:pctHeight>0</wp14:pctHeight>
            </wp14:sizeRelV>
          </wp:anchor>
        </w:drawing>
      </w:r>
      <w:r w:rsidR="007D2493">
        <w:rPr>
          <w:lang w:eastAsia="en-AU"/>
        </w:rPr>
        <w:br w:type="page"/>
      </w:r>
    </w:p>
    <w:p w14:paraId="64F92822" w14:textId="3C472350" w:rsidR="007D2493" w:rsidRDefault="000249B8" w:rsidP="00BF7682">
      <w:pPr>
        <w:rPr>
          <w:lang w:eastAsia="en-AU"/>
        </w:rPr>
      </w:pPr>
      <w:r>
        <w:rPr>
          <w:noProof/>
          <w:lang w:eastAsia="en-AU"/>
        </w:rPr>
        <w:lastRenderedPageBreak/>
        <w:drawing>
          <wp:anchor distT="0" distB="0" distL="114300" distR="114300" simplePos="0" relativeHeight="251658242" behindDoc="0" locked="0" layoutInCell="1" allowOverlap="1" wp14:anchorId="2D3BC51A" wp14:editId="4663E9D6">
            <wp:simplePos x="0" y="0"/>
            <wp:positionH relativeFrom="page">
              <wp:align>right</wp:align>
            </wp:positionH>
            <wp:positionV relativeFrom="page">
              <wp:align>top</wp:align>
            </wp:positionV>
            <wp:extent cx="7559749" cy="10692008"/>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559749" cy="10692008"/>
                    </a:xfrm>
                    <a:prstGeom prst="rect">
                      <a:avLst/>
                    </a:prstGeom>
                  </pic:spPr>
                </pic:pic>
              </a:graphicData>
            </a:graphic>
            <wp14:sizeRelH relativeFrom="margin">
              <wp14:pctWidth>0</wp14:pctWidth>
            </wp14:sizeRelH>
            <wp14:sizeRelV relativeFrom="margin">
              <wp14:pctHeight>0</wp14:pctHeight>
            </wp14:sizeRelV>
          </wp:anchor>
        </w:drawing>
      </w:r>
      <w:r w:rsidR="007D2493">
        <w:rPr>
          <w:lang w:eastAsia="en-AU"/>
        </w:rPr>
        <w:br w:type="page"/>
      </w:r>
    </w:p>
    <w:p w14:paraId="45858581" w14:textId="77777777" w:rsidR="007D2493" w:rsidRDefault="0068348A" w:rsidP="00BF7682">
      <w:pPr>
        <w:rPr>
          <w:lang w:eastAsia="en-AU"/>
        </w:rPr>
      </w:pPr>
      <w:r>
        <w:rPr>
          <w:noProof/>
          <w:lang w:eastAsia="en-AU"/>
        </w:rPr>
        <w:lastRenderedPageBreak/>
        <w:drawing>
          <wp:anchor distT="0" distB="0" distL="114300" distR="114300" simplePos="0" relativeHeight="251658244" behindDoc="0" locked="0" layoutInCell="1" allowOverlap="1" wp14:anchorId="28C6F271" wp14:editId="0299E3A5">
            <wp:simplePos x="0" y="0"/>
            <wp:positionH relativeFrom="page">
              <wp:align>right</wp:align>
            </wp:positionH>
            <wp:positionV relativeFrom="paragraph">
              <wp:posOffset>-900430</wp:posOffset>
            </wp:positionV>
            <wp:extent cx="7562850" cy="10723495"/>
            <wp:effectExtent l="0" t="0" r="0" b="1905"/>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7562850" cy="10723495"/>
                    </a:xfrm>
                    <a:prstGeom prst="rect">
                      <a:avLst/>
                    </a:prstGeom>
                  </pic:spPr>
                </pic:pic>
              </a:graphicData>
            </a:graphic>
            <wp14:sizeRelH relativeFrom="page">
              <wp14:pctWidth>0</wp14:pctWidth>
            </wp14:sizeRelH>
            <wp14:sizeRelV relativeFrom="page">
              <wp14:pctHeight>0</wp14:pctHeight>
            </wp14:sizeRelV>
          </wp:anchor>
        </w:drawing>
      </w:r>
      <w:r w:rsidRPr="0068348A">
        <w:rPr>
          <w:noProof/>
        </w:rPr>
        <w:t xml:space="preserve"> </w:t>
      </w:r>
    </w:p>
    <w:p w14:paraId="2E5F87F2" w14:textId="77777777" w:rsidR="007D2493" w:rsidRDefault="007D2493" w:rsidP="00BF7682">
      <w:pPr>
        <w:rPr>
          <w:lang w:eastAsia="en-AU"/>
        </w:rPr>
      </w:pPr>
      <w:r>
        <w:rPr>
          <w:lang w:eastAsia="en-AU"/>
        </w:rPr>
        <w:br w:type="page"/>
      </w:r>
    </w:p>
    <w:p w14:paraId="21EF1FD7" w14:textId="77777777" w:rsidR="006166A0" w:rsidRDefault="005B1D0B" w:rsidP="00BF7682">
      <w:pPr>
        <w:rPr>
          <w:lang w:eastAsia="en-AU"/>
        </w:rPr>
      </w:pPr>
      <w:r>
        <w:rPr>
          <w:noProof/>
          <w:lang w:eastAsia="en-AU"/>
        </w:rPr>
        <w:lastRenderedPageBreak/>
        <w:drawing>
          <wp:anchor distT="0" distB="0" distL="114300" distR="114300" simplePos="0" relativeHeight="251658240" behindDoc="0" locked="0" layoutInCell="1" allowOverlap="1" wp14:anchorId="332D37DE" wp14:editId="64BED090">
            <wp:simplePos x="0" y="0"/>
            <wp:positionH relativeFrom="page">
              <wp:align>right</wp:align>
            </wp:positionH>
            <wp:positionV relativeFrom="paragraph">
              <wp:posOffset>-889000</wp:posOffset>
            </wp:positionV>
            <wp:extent cx="7562434" cy="10702580"/>
            <wp:effectExtent l="0" t="0" r="635" b="381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562434" cy="10702580"/>
                    </a:xfrm>
                    <a:prstGeom prst="rect">
                      <a:avLst/>
                    </a:prstGeom>
                  </pic:spPr>
                </pic:pic>
              </a:graphicData>
            </a:graphic>
            <wp14:sizeRelH relativeFrom="page">
              <wp14:pctWidth>0</wp14:pctWidth>
            </wp14:sizeRelH>
            <wp14:sizeRelV relativeFrom="page">
              <wp14:pctHeight>0</wp14:pctHeight>
            </wp14:sizeRelV>
          </wp:anchor>
        </w:drawing>
      </w:r>
    </w:p>
    <w:p w14:paraId="6DA5352C" w14:textId="77777777" w:rsidR="006166A0" w:rsidRDefault="006166A0" w:rsidP="00BF7682">
      <w:pPr>
        <w:rPr>
          <w:lang w:eastAsia="en-AU"/>
        </w:rPr>
      </w:pPr>
    </w:p>
    <w:p w14:paraId="75F5D06B" w14:textId="77777777" w:rsidR="006166A0" w:rsidRDefault="006166A0" w:rsidP="00BF7682">
      <w:pPr>
        <w:rPr>
          <w:lang w:eastAsia="en-AU"/>
        </w:rPr>
      </w:pPr>
    </w:p>
    <w:p w14:paraId="72498763" w14:textId="77777777" w:rsidR="005B1D0B" w:rsidRDefault="005B1D0B" w:rsidP="00BF7682">
      <w:pPr>
        <w:rPr>
          <w:lang w:eastAsia="en-AU"/>
        </w:rPr>
      </w:pPr>
    </w:p>
    <w:p w14:paraId="09DBDE2C" w14:textId="77777777" w:rsidR="005B1D0B" w:rsidRDefault="005B1D0B" w:rsidP="00BF7682">
      <w:pPr>
        <w:rPr>
          <w:lang w:eastAsia="en-AU"/>
        </w:rPr>
      </w:pPr>
    </w:p>
    <w:p w14:paraId="52E7058A" w14:textId="77777777" w:rsidR="005B1D0B" w:rsidRDefault="005B1D0B" w:rsidP="00BF7682">
      <w:pPr>
        <w:rPr>
          <w:lang w:eastAsia="en-AU"/>
        </w:rPr>
      </w:pPr>
    </w:p>
    <w:p w14:paraId="03CC6AE2" w14:textId="77777777" w:rsidR="005B1D0B" w:rsidRDefault="005B1D0B" w:rsidP="00BF7682">
      <w:pPr>
        <w:rPr>
          <w:lang w:eastAsia="en-AU"/>
        </w:rPr>
      </w:pPr>
    </w:p>
    <w:p w14:paraId="542D1B38" w14:textId="77777777" w:rsidR="005B1D0B" w:rsidRDefault="005B1D0B" w:rsidP="00BF7682">
      <w:pPr>
        <w:rPr>
          <w:lang w:eastAsia="en-AU"/>
        </w:rPr>
      </w:pPr>
    </w:p>
    <w:p w14:paraId="617A193F" w14:textId="77777777" w:rsidR="005B1D0B" w:rsidRDefault="005B1D0B" w:rsidP="00BF7682">
      <w:pPr>
        <w:rPr>
          <w:lang w:eastAsia="en-AU"/>
        </w:rPr>
      </w:pPr>
    </w:p>
    <w:p w14:paraId="242760ED" w14:textId="77777777" w:rsidR="005B1D0B" w:rsidRDefault="005B1D0B" w:rsidP="00BF7682">
      <w:pPr>
        <w:rPr>
          <w:lang w:eastAsia="en-AU"/>
        </w:rPr>
      </w:pPr>
    </w:p>
    <w:p w14:paraId="15BE322D" w14:textId="77777777" w:rsidR="005B1D0B" w:rsidRDefault="005B1D0B" w:rsidP="00BF7682">
      <w:pPr>
        <w:rPr>
          <w:lang w:eastAsia="en-AU"/>
        </w:rPr>
      </w:pPr>
    </w:p>
    <w:p w14:paraId="3C97A62A" w14:textId="77777777" w:rsidR="005B1D0B" w:rsidRDefault="005B1D0B" w:rsidP="00BF7682">
      <w:pPr>
        <w:rPr>
          <w:lang w:eastAsia="en-AU"/>
        </w:rPr>
      </w:pPr>
    </w:p>
    <w:p w14:paraId="20CE6D7B" w14:textId="77777777" w:rsidR="005B1D0B" w:rsidRDefault="005B1D0B" w:rsidP="00BF7682">
      <w:pPr>
        <w:rPr>
          <w:lang w:eastAsia="en-AU"/>
        </w:rPr>
      </w:pPr>
    </w:p>
    <w:p w14:paraId="2A4AC174" w14:textId="77777777" w:rsidR="005B1D0B" w:rsidRDefault="005B1D0B" w:rsidP="00BF7682">
      <w:pPr>
        <w:rPr>
          <w:lang w:eastAsia="en-AU"/>
        </w:rPr>
      </w:pPr>
    </w:p>
    <w:p w14:paraId="10EC5AB5" w14:textId="77777777" w:rsidR="005B1D0B" w:rsidRDefault="005B1D0B" w:rsidP="00BF7682">
      <w:pPr>
        <w:rPr>
          <w:lang w:eastAsia="en-AU"/>
        </w:rPr>
      </w:pPr>
    </w:p>
    <w:p w14:paraId="566083E1" w14:textId="77777777" w:rsidR="005B1D0B" w:rsidRDefault="005B1D0B" w:rsidP="00BF7682">
      <w:pPr>
        <w:rPr>
          <w:lang w:eastAsia="en-AU"/>
        </w:rPr>
      </w:pPr>
    </w:p>
    <w:p w14:paraId="4FB03C6F" w14:textId="77777777" w:rsidR="005B1D0B" w:rsidRDefault="005B1D0B" w:rsidP="00BF7682">
      <w:pPr>
        <w:rPr>
          <w:lang w:eastAsia="en-AU"/>
        </w:rPr>
      </w:pPr>
    </w:p>
    <w:p w14:paraId="370B452B" w14:textId="77777777" w:rsidR="005B1D0B" w:rsidRDefault="005B1D0B" w:rsidP="00BF7682">
      <w:pPr>
        <w:rPr>
          <w:lang w:eastAsia="en-AU"/>
        </w:rPr>
      </w:pPr>
    </w:p>
    <w:p w14:paraId="46694A1A" w14:textId="77777777" w:rsidR="005B1D0B" w:rsidRDefault="005B1D0B" w:rsidP="00BF7682">
      <w:pPr>
        <w:rPr>
          <w:lang w:eastAsia="en-AU"/>
        </w:rPr>
      </w:pPr>
    </w:p>
    <w:p w14:paraId="504CAC39" w14:textId="77777777" w:rsidR="005B1D0B" w:rsidRDefault="005B1D0B" w:rsidP="00BF7682">
      <w:pPr>
        <w:rPr>
          <w:lang w:eastAsia="en-AU"/>
        </w:rPr>
      </w:pPr>
    </w:p>
    <w:p w14:paraId="2877EC50" w14:textId="77777777" w:rsidR="005B1D0B" w:rsidRDefault="005B1D0B" w:rsidP="00BF7682">
      <w:pPr>
        <w:rPr>
          <w:lang w:eastAsia="en-AU"/>
        </w:rPr>
      </w:pPr>
    </w:p>
    <w:p w14:paraId="1BB1783B" w14:textId="77777777" w:rsidR="005B1D0B" w:rsidRDefault="005B1D0B" w:rsidP="00BF7682">
      <w:pPr>
        <w:rPr>
          <w:lang w:eastAsia="en-AU"/>
        </w:rPr>
      </w:pPr>
    </w:p>
    <w:p w14:paraId="025E27A2" w14:textId="77777777" w:rsidR="005B1D0B" w:rsidRDefault="005B1D0B" w:rsidP="00BF7682">
      <w:pPr>
        <w:rPr>
          <w:lang w:eastAsia="en-AU"/>
        </w:rPr>
      </w:pPr>
    </w:p>
    <w:p w14:paraId="71232E2B" w14:textId="77777777" w:rsidR="005B1D0B" w:rsidRDefault="005B1D0B" w:rsidP="00BF7682">
      <w:pPr>
        <w:rPr>
          <w:lang w:eastAsia="en-AU"/>
        </w:rPr>
      </w:pPr>
    </w:p>
    <w:p w14:paraId="6DAF09ED" w14:textId="77777777" w:rsidR="005B1D0B" w:rsidRDefault="005B1D0B" w:rsidP="00BF7682">
      <w:pPr>
        <w:rPr>
          <w:lang w:eastAsia="en-AU"/>
        </w:rPr>
      </w:pPr>
    </w:p>
    <w:p w14:paraId="6F1CC600" w14:textId="77777777" w:rsidR="005B1D0B" w:rsidRDefault="005B1D0B" w:rsidP="00BF7682">
      <w:pPr>
        <w:rPr>
          <w:lang w:eastAsia="en-AU"/>
        </w:rPr>
      </w:pPr>
    </w:p>
    <w:p w14:paraId="3DE4E669" w14:textId="77777777" w:rsidR="005B1D0B" w:rsidRDefault="005B1D0B" w:rsidP="00BF7682">
      <w:pPr>
        <w:rPr>
          <w:lang w:eastAsia="en-AU"/>
        </w:rPr>
      </w:pPr>
    </w:p>
    <w:p w14:paraId="11682017" w14:textId="77777777" w:rsidR="005B1D0B" w:rsidRDefault="005B1D0B" w:rsidP="00BF7682">
      <w:pPr>
        <w:rPr>
          <w:lang w:eastAsia="en-AU"/>
        </w:rPr>
      </w:pPr>
    </w:p>
    <w:p w14:paraId="62A3D2F1" w14:textId="77777777" w:rsidR="005B1D0B" w:rsidRDefault="005B1D0B" w:rsidP="00BF7682">
      <w:pPr>
        <w:rPr>
          <w:lang w:eastAsia="en-AU"/>
        </w:rPr>
      </w:pPr>
    </w:p>
    <w:p w14:paraId="41E0576B" w14:textId="77777777" w:rsidR="005B1D0B" w:rsidRDefault="005B1D0B" w:rsidP="00BF7682">
      <w:pPr>
        <w:rPr>
          <w:lang w:eastAsia="en-AU"/>
        </w:rPr>
      </w:pPr>
    </w:p>
    <w:p w14:paraId="568684FA" w14:textId="77777777" w:rsidR="005B1D0B" w:rsidRDefault="005B1D0B" w:rsidP="00BF7682">
      <w:pPr>
        <w:rPr>
          <w:lang w:eastAsia="en-AU"/>
        </w:rPr>
      </w:pPr>
    </w:p>
    <w:p w14:paraId="01A85440" w14:textId="77777777" w:rsidR="005B1D0B" w:rsidRDefault="005B1D0B" w:rsidP="00BF7682">
      <w:pPr>
        <w:rPr>
          <w:lang w:eastAsia="en-AU"/>
        </w:rPr>
      </w:pPr>
    </w:p>
    <w:p w14:paraId="31B4BE2B" w14:textId="77777777" w:rsidR="005B1D0B" w:rsidRDefault="005B1D0B" w:rsidP="00BF7682">
      <w:pPr>
        <w:rPr>
          <w:lang w:eastAsia="en-AU"/>
        </w:rPr>
      </w:pPr>
    </w:p>
    <w:p w14:paraId="7DF043D2" w14:textId="77777777" w:rsidR="005B1D0B" w:rsidRDefault="005B1D0B" w:rsidP="00BF7682">
      <w:pPr>
        <w:rPr>
          <w:lang w:eastAsia="en-AU"/>
        </w:rPr>
      </w:pPr>
    </w:p>
    <w:p w14:paraId="0566D095" w14:textId="77777777" w:rsidR="005B1D0B" w:rsidRDefault="005B1D0B" w:rsidP="00BF7682">
      <w:pPr>
        <w:rPr>
          <w:lang w:eastAsia="en-AU"/>
        </w:rPr>
      </w:pPr>
    </w:p>
    <w:p w14:paraId="545C949B" w14:textId="77777777" w:rsidR="005B1D0B" w:rsidRDefault="00D109B9" w:rsidP="00BF7682">
      <w:pPr>
        <w:rPr>
          <w:lang w:eastAsia="en-AU"/>
        </w:rPr>
      </w:pPr>
      <w:r>
        <w:rPr>
          <w:noProof/>
          <w:lang w:eastAsia="en-AU"/>
        </w:rPr>
        <w:lastRenderedPageBreak/>
        <w:drawing>
          <wp:anchor distT="0" distB="0" distL="114300" distR="114300" simplePos="0" relativeHeight="251658245" behindDoc="0" locked="0" layoutInCell="1" allowOverlap="1" wp14:anchorId="3706738F" wp14:editId="06194FCD">
            <wp:simplePos x="0" y="0"/>
            <wp:positionH relativeFrom="page">
              <wp:align>right</wp:align>
            </wp:positionH>
            <wp:positionV relativeFrom="paragraph">
              <wp:posOffset>-900431</wp:posOffset>
            </wp:positionV>
            <wp:extent cx="7539957" cy="10677525"/>
            <wp:effectExtent l="0" t="0" r="4445"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39957" cy="10677525"/>
                    </a:xfrm>
                    <a:prstGeom prst="rect">
                      <a:avLst/>
                    </a:prstGeom>
                  </pic:spPr>
                </pic:pic>
              </a:graphicData>
            </a:graphic>
            <wp14:sizeRelH relativeFrom="page">
              <wp14:pctWidth>0</wp14:pctWidth>
            </wp14:sizeRelH>
            <wp14:sizeRelV relativeFrom="page">
              <wp14:pctHeight>0</wp14:pctHeight>
            </wp14:sizeRelV>
          </wp:anchor>
        </w:drawing>
      </w:r>
      <w:r w:rsidRPr="00D109B9">
        <w:rPr>
          <w:noProof/>
        </w:rPr>
        <w:t xml:space="preserve"> </w:t>
      </w:r>
    </w:p>
    <w:p w14:paraId="7EBDEC26" w14:textId="77777777" w:rsidR="005B1D0B" w:rsidRDefault="005B1D0B" w:rsidP="00BF7682">
      <w:pPr>
        <w:rPr>
          <w:lang w:eastAsia="en-AU"/>
        </w:rPr>
      </w:pPr>
    </w:p>
    <w:p w14:paraId="571978F2" w14:textId="77777777" w:rsidR="005B1D0B" w:rsidRDefault="005B1D0B" w:rsidP="00BF7682">
      <w:pPr>
        <w:rPr>
          <w:lang w:eastAsia="en-AU"/>
        </w:rPr>
      </w:pPr>
    </w:p>
    <w:p w14:paraId="0741C198" w14:textId="77777777" w:rsidR="005B1D0B" w:rsidRDefault="005B1D0B" w:rsidP="00BF7682">
      <w:pPr>
        <w:rPr>
          <w:lang w:eastAsia="en-AU"/>
        </w:rPr>
      </w:pPr>
    </w:p>
    <w:p w14:paraId="00ACAA5B" w14:textId="77777777" w:rsidR="005B1D0B" w:rsidRDefault="005B1D0B" w:rsidP="00BF7682">
      <w:pPr>
        <w:rPr>
          <w:lang w:eastAsia="en-AU"/>
        </w:rPr>
      </w:pPr>
    </w:p>
    <w:p w14:paraId="7B101921" w14:textId="77777777" w:rsidR="005B1D0B" w:rsidRDefault="005B1D0B" w:rsidP="00BF7682">
      <w:pPr>
        <w:rPr>
          <w:lang w:eastAsia="en-AU"/>
        </w:rPr>
      </w:pPr>
    </w:p>
    <w:p w14:paraId="33A11069" w14:textId="77777777" w:rsidR="005B1D0B" w:rsidRDefault="005B1D0B" w:rsidP="00BF7682">
      <w:pPr>
        <w:rPr>
          <w:lang w:eastAsia="en-AU"/>
        </w:rPr>
      </w:pPr>
    </w:p>
    <w:p w14:paraId="44FF501B" w14:textId="77777777" w:rsidR="005B1D0B" w:rsidRDefault="005B1D0B" w:rsidP="00BF7682">
      <w:pPr>
        <w:rPr>
          <w:lang w:eastAsia="en-AU"/>
        </w:rPr>
      </w:pPr>
    </w:p>
    <w:p w14:paraId="11B0EBFC" w14:textId="77777777" w:rsidR="005B1D0B" w:rsidRDefault="005B1D0B" w:rsidP="00BF7682">
      <w:pPr>
        <w:rPr>
          <w:lang w:eastAsia="en-AU"/>
        </w:rPr>
      </w:pPr>
    </w:p>
    <w:p w14:paraId="4B59E3A9" w14:textId="77777777" w:rsidR="005B1D0B" w:rsidRDefault="005B1D0B" w:rsidP="00BF7682">
      <w:pPr>
        <w:rPr>
          <w:lang w:eastAsia="en-AU"/>
        </w:rPr>
      </w:pPr>
    </w:p>
    <w:p w14:paraId="527F9E50" w14:textId="77777777" w:rsidR="005B1D0B" w:rsidRDefault="005B1D0B" w:rsidP="00BF7682">
      <w:pPr>
        <w:rPr>
          <w:lang w:eastAsia="en-AU"/>
        </w:rPr>
      </w:pPr>
    </w:p>
    <w:p w14:paraId="04E94DB0" w14:textId="77777777" w:rsidR="005B1D0B" w:rsidRDefault="005B1D0B" w:rsidP="00BF7682">
      <w:pPr>
        <w:rPr>
          <w:lang w:eastAsia="en-AU"/>
        </w:rPr>
      </w:pPr>
    </w:p>
    <w:p w14:paraId="05561EA0" w14:textId="77777777" w:rsidR="005B1D0B" w:rsidRDefault="005B1D0B" w:rsidP="00BF7682">
      <w:pPr>
        <w:rPr>
          <w:lang w:eastAsia="en-AU"/>
        </w:rPr>
      </w:pPr>
    </w:p>
    <w:p w14:paraId="53E190C1" w14:textId="77777777" w:rsidR="005B1D0B" w:rsidRDefault="005B1D0B" w:rsidP="00BF7682">
      <w:pPr>
        <w:rPr>
          <w:lang w:eastAsia="en-AU"/>
        </w:rPr>
      </w:pPr>
    </w:p>
    <w:p w14:paraId="0F7B1189" w14:textId="77777777" w:rsidR="005B1D0B" w:rsidRDefault="005B1D0B" w:rsidP="00BF7682">
      <w:pPr>
        <w:rPr>
          <w:lang w:eastAsia="en-AU"/>
        </w:rPr>
      </w:pPr>
    </w:p>
    <w:p w14:paraId="7F5C6AF0" w14:textId="77777777" w:rsidR="005B1D0B" w:rsidRDefault="005B1D0B" w:rsidP="00BF7682">
      <w:pPr>
        <w:rPr>
          <w:lang w:eastAsia="en-AU"/>
        </w:rPr>
      </w:pPr>
    </w:p>
    <w:p w14:paraId="177F85E8" w14:textId="77777777" w:rsidR="005B1D0B" w:rsidRDefault="005B1D0B" w:rsidP="00BF7682">
      <w:pPr>
        <w:rPr>
          <w:lang w:eastAsia="en-AU"/>
        </w:rPr>
      </w:pPr>
    </w:p>
    <w:p w14:paraId="1240CD8E" w14:textId="77777777" w:rsidR="005B1D0B" w:rsidRDefault="005B1D0B" w:rsidP="00BF7682">
      <w:pPr>
        <w:rPr>
          <w:lang w:eastAsia="en-AU"/>
        </w:rPr>
      </w:pPr>
    </w:p>
    <w:p w14:paraId="5B1A83DF" w14:textId="77777777" w:rsidR="005B1D0B" w:rsidRDefault="005B1D0B" w:rsidP="00BF7682">
      <w:pPr>
        <w:rPr>
          <w:lang w:eastAsia="en-AU"/>
        </w:rPr>
      </w:pPr>
    </w:p>
    <w:p w14:paraId="2341E033" w14:textId="77777777" w:rsidR="005B1D0B" w:rsidRDefault="005B1D0B" w:rsidP="00BF7682">
      <w:pPr>
        <w:rPr>
          <w:lang w:eastAsia="en-AU"/>
        </w:rPr>
      </w:pPr>
    </w:p>
    <w:p w14:paraId="3142C45E" w14:textId="77777777" w:rsidR="005B1D0B" w:rsidRDefault="005B1D0B" w:rsidP="00BF7682">
      <w:pPr>
        <w:rPr>
          <w:lang w:eastAsia="en-AU"/>
        </w:rPr>
      </w:pPr>
    </w:p>
    <w:p w14:paraId="69741AB2" w14:textId="77777777" w:rsidR="005B1D0B" w:rsidRDefault="005B1D0B" w:rsidP="00BF7682">
      <w:pPr>
        <w:rPr>
          <w:lang w:eastAsia="en-AU"/>
        </w:rPr>
      </w:pPr>
    </w:p>
    <w:p w14:paraId="2631029F" w14:textId="77777777" w:rsidR="005B1D0B" w:rsidRDefault="005B1D0B" w:rsidP="00BF7682">
      <w:pPr>
        <w:rPr>
          <w:lang w:eastAsia="en-AU"/>
        </w:rPr>
      </w:pPr>
    </w:p>
    <w:p w14:paraId="413E4D14" w14:textId="77777777" w:rsidR="005B1D0B" w:rsidRDefault="005B1D0B" w:rsidP="00BF7682">
      <w:pPr>
        <w:rPr>
          <w:lang w:eastAsia="en-AU"/>
        </w:rPr>
      </w:pPr>
    </w:p>
    <w:p w14:paraId="0E1FBE67" w14:textId="77777777" w:rsidR="005B1D0B" w:rsidRDefault="005B1D0B" w:rsidP="00BF7682">
      <w:pPr>
        <w:rPr>
          <w:lang w:eastAsia="en-AU"/>
        </w:rPr>
      </w:pPr>
    </w:p>
    <w:p w14:paraId="72D8297E" w14:textId="77777777" w:rsidR="005B1D0B" w:rsidRDefault="005B1D0B" w:rsidP="00BF7682">
      <w:pPr>
        <w:rPr>
          <w:lang w:eastAsia="en-AU"/>
        </w:rPr>
      </w:pPr>
    </w:p>
    <w:p w14:paraId="69BCA9D4" w14:textId="77777777" w:rsidR="005B1D0B" w:rsidRDefault="005B1D0B" w:rsidP="00BF7682">
      <w:pPr>
        <w:rPr>
          <w:lang w:eastAsia="en-AU"/>
        </w:rPr>
      </w:pPr>
    </w:p>
    <w:p w14:paraId="05CC08F4" w14:textId="77777777" w:rsidR="005B1D0B" w:rsidRDefault="005B1D0B" w:rsidP="00BF7682">
      <w:pPr>
        <w:rPr>
          <w:lang w:eastAsia="en-AU"/>
        </w:rPr>
      </w:pPr>
    </w:p>
    <w:p w14:paraId="7F80316F" w14:textId="77777777" w:rsidR="005B1D0B" w:rsidRDefault="005B1D0B" w:rsidP="00BF7682">
      <w:pPr>
        <w:rPr>
          <w:lang w:eastAsia="en-AU"/>
        </w:rPr>
      </w:pPr>
    </w:p>
    <w:p w14:paraId="73F56363" w14:textId="77777777" w:rsidR="005B1D0B" w:rsidRDefault="005B1D0B" w:rsidP="00BF7682">
      <w:pPr>
        <w:rPr>
          <w:lang w:eastAsia="en-AU"/>
        </w:rPr>
      </w:pPr>
    </w:p>
    <w:p w14:paraId="27F2B4BE" w14:textId="77777777" w:rsidR="005B1D0B" w:rsidRDefault="005B1D0B" w:rsidP="00BF7682">
      <w:pPr>
        <w:rPr>
          <w:lang w:eastAsia="en-AU"/>
        </w:rPr>
      </w:pPr>
    </w:p>
    <w:p w14:paraId="250CA688" w14:textId="77777777" w:rsidR="005B1D0B" w:rsidRDefault="005B1D0B" w:rsidP="00BF7682">
      <w:pPr>
        <w:rPr>
          <w:lang w:eastAsia="en-AU"/>
        </w:rPr>
      </w:pPr>
    </w:p>
    <w:p w14:paraId="715D6A26" w14:textId="77777777" w:rsidR="005B1D0B" w:rsidRDefault="005B1D0B" w:rsidP="00BF7682">
      <w:pPr>
        <w:rPr>
          <w:lang w:eastAsia="en-AU"/>
        </w:rPr>
      </w:pPr>
    </w:p>
    <w:p w14:paraId="27BE1D3B" w14:textId="77777777" w:rsidR="005B1D0B" w:rsidRDefault="005B1D0B" w:rsidP="00BF7682">
      <w:pPr>
        <w:rPr>
          <w:lang w:eastAsia="en-AU"/>
        </w:rPr>
      </w:pPr>
    </w:p>
    <w:p w14:paraId="437429CA" w14:textId="77777777" w:rsidR="005B1D0B" w:rsidRDefault="005B1D0B" w:rsidP="00BF7682">
      <w:pPr>
        <w:rPr>
          <w:lang w:eastAsia="en-AU"/>
        </w:rPr>
      </w:pPr>
    </w:p>
    <w:p w14:paraId="5A73FD8D" w14:textId="06999C02" w:rsidR="005B1D0B" w:rsidRDefault="00B02EDF" w:rsidP="00BF7682">
      <w:pPr>
        <w:rPr>
          <w:lang w:eastAsia="en-AU"/>
        </w:rPr>
      </w:pPr>
      <w:r>
        <w:rPr>
          <w:noProof/>
          <w:lang w:eastAsia="en-AU"/>
        </w:rPr>
        <w:lastRenderedPageBreak/>
        <w:drawing>
          <wp:anchor distT="0" distB="0" distL="114300" distR="114300" simplePos="0" relativeHeight="251658249" behindDoc="0" locked="0" layoutInCell="1" allowOverlap="1" wp14:anchorId="5F0F702C" wp14:editId="075407D1">
            <wp:simplePos x="0" y="0"/>
            <wp:positionH relativeFrom="page">
              <wp:align>right</wp:align>
            </wp:positionH>
            <wp:positionV relativeFrom="paragraph">
              <wp:posOffset>-891204</wp:posOffset>
            </wp:positionV>
            <wp:extent cx="7560000" cy="10692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2ED2FBE4" w14:textId="77777777" w:rsidR="007D2493" w:rsidRDefault="007D2493" w:rsidP="00BF7682">
      <w:pPr>
        <w:rPr>
          <w:lang w:eastAsia="en-AU"/>
        </w:rPr>
      </w:pPr>
    </w:p>
    <w:p w14:paraId="6F16225B" w14:textId="77777777" w:rsidR="005B1D0B" w:rsidRDefault="005B1D0B" w:rsidP="00BF7682">
      <w:pPr>
        <w:rPr>
          <w:lang w:eastAsia="en-AU"/>
        </w:rPr>
      </w:pPr>
    </w:p>
    <w:p w14:paraId="3F30F6AB" w14:textId="0B6BB612" w:rsidR="005B1D0B" w:rsidRDefault="005B1D0B" w:rsidP="00BF7682">
      <w:pPr>
        <w:rPr>
          <w:lang w:eastAsia="en-AU"/>
        </w:rPr>
      </w:pPr>
    </w:p>
    <w:p w14:paraId="5473D077" w14:textId="77777777" w:rsidR="005B1D0B" w:rsidRDefault="005B1D0B" w:rsidP="00BF7682">
      <w:pPr>
        <w:rPr>
          <w:lang w:eastAsia="en-AU"/>
        </w:rPr>
      </w:pPr>
    </w:p>
    <w:p w14:paraId="7A1156F8" w14:textId="77777777" w:rsidR="005B1D0B" w:rsidRDefault="005B1D0B" w:rsidP="00BF7682">
      <w:pPr>
        <w:rPr>
          <w:lang w:eastAsia="en-AU"/>
        </w:rPr>
      </w:pPr>
    </w:p>
    <w:p w14:paraId="06425DF6" w14:textId="77777777" w:rsidR="005B1D0B" w:rsidRDefault="005B1D0B" w:rsidP="00BF7682">
      <w:pPr>
        <w:rPr>
          <w:lang w:eastAsia="en-AU"/>
        </w:rPr>
      </w:pPr>
    </w:p>
    <w:p w14:paraId="3B1B4F34" w14:textId="77777777" w:rsidR="005B1D0B" w:rsidRDefault="005B1D0B" w:rsidP="00BF7682">
      <w:pPr>
        <w:rPr>
          <w:lang w:eastAsia="en-AU"/>
        </w:rPr>
      </w:pPr>
    </w:p>
    <w:p w14:paraId="21BA5782" w14:textId="77777777" w:rsidR="005B1D0B" w:rsidRDefault="005B1D0B" w:rsidP="00BF7682">
      <w:pPr>
        <w:rPr>
          <w:lang w:eastAsia="en-AU"/>
        </w:rPr>
      </w:pPr>
    </w:p>
    <w:p w14:paraId="04BBD2FF" w14:textId="77777777" w:rsidR="005B1D0B" w:rsidRDefault="005B1D0B" w:rsidP="00BF7682">
      <w:pPr>
        <w:rPr>
          <w:lang w:eastAsia="en-AU"/>
        </w:rPr>
      </w:pPr>
    </w:p>
    <w:p w14:paraId="349A4007" w14:textId="77777777" w:rsidR="005B1D0B" w:rsidRDefault="005B1D0B" w:rsidP="00BF7682">
      <w:pPr>
        <w:rPr>
          <w:lang w:eastAsia="en-AU"/>
        </w:rPr>
      </w:pPr>
    </w:p>
    <w:p w14:paraId="1C9719A6" w14:textId="77777777" w:rsidR="005B1D0B" w:rsidRDefault="005B1D0B" w:rsidP="00BF7682">
      <w:pPr>
        <w:rPr>
          <w:lang w:eastAsia="en-AU"/>
        </w:rPr>
      </w:pPr>
    </w:p>
    <w:p w14:paraId="6BBFA542" w14:textId="77777777" w:rsidR="005B1D0B" w:rsidRDefault="005B1D0B" w:rsidP="00BF7682">
      <w:pPr>
        <w:rPr>
          <w:lang w:eastAsia="en-AU"/>
        </w:rPr>
      </w:pPr>
    </w:p>
    <w:p w14:paraId="3233B868" w14:textId="77777777" w:rsidR="005B1D0B" w:rsidRDefault="005B1D0B" w:rsidP="00BF7682">
      <w:pPr>
        <w:rPr>
          <w:lang w:eastAsia="en-AU"/>
        </w:rPr>
      </w:pPr>
    </w:p>
    <w:p w14:paraId="0536491F" w14:textId="77777777" w:rsidR="005B1D0B" w:rsidRDefault="005B1D0B" w:rsidP="00BF7682">
      <w:pPr>
        <w:rPr>
          <w:lang w:eastAsia="en-AU"/>
        </w:rPr>
      </w:pPr>
    </w:p>
    <w:p w14:paraId="0E9FEDDA" w14:textId="77777777" w:rsidR="005B1D0B" w:rsidRDefault="005B1D0B" w:rsidP="00BF7682">
      <w:pPr>
        <w:rPr>
          <w:lang w:eastAsia="en-AU"/>
        </w:rPr>
      </w:pPr>
    </w:p>
    <w:p w14:paraId="28747187" w14:textId="77777777" w:rsidR="005B1D0B" w:rsidRDefault="005B1D0B" w:rsidP="00BF7682">
      <w:pPr>
        <w:rPr>
          <w:lang w:eastAsia="en-AU"/>
        </w:rPr>
      </w:pPr>
    </w:p>
    <w:p w14:paraId="16341DC4" w14:textId="77777777" w:rsidR="005B1D0B" w:rsidRDefault="005B1D0B" w:rsidP="00BF7682">
      <w:pPr>
        <w:rPr>
          <w:lang w:eastAsia="en-AU"/>
        </w:rPr>
      </w:pPr>
    </w:p>
    <w:p w14:paraId="686693E2" w14:textId="77777777" w:rsidR="005B1D0B" w:rsidRDefault="005B1D0B" w:rsidP="00BF7682">
      <w:pPr>
        <w:rPr>
          <w:lang w:eastAsia="en-AU"/>
        </w:rPr>
      </w:pPr>
    </w:p>
    <w:p w14:paraId="42444155" w14:textId="77777777" w:rsidR="005B1D0B" w:rsidRDefault="005B1D0B" w:rsidP="00BF7682">
      <w:pPr>
        <w:rPr>
          <w:lang w:eastAsia="en-AU"/>
        </w:rPr>
      </w:pPr>
    </w:p>
    <w:p w14:paraId="4F8B39DD" w14:textId="77777777" w:rsidR="005B1D0B" w:rsidRDefault="005B1D0B" w:rsidP="00BF7682">
      <w:pPr>
        <w:rPr>
          <w:lang w:eastAsia="en-AU"/>
        </w:rPr>
      </w:pPr>
    </w:p>
    <w:p w14:paraId="2B37A0EA" w14:textId="77777777" w:rsidR="005B1D0B" w:rsidRDefault="005B1D0B" w:rsidP="00BF7682">
      <w:pPr>
        <w:rPr>
          <w:lang w:eastAsia="en-AU"/>
        </w:rPr>
      </w:pPr>
    </w:p>
    <w:p w14:paraId="1024EB61" w14:textId="77777777" w:rsidR="005B1D0B" w:rsidRDefault="005B1D0B" w:rsidP="00BF7682">
      <w:pPr>
        <w:rPr>
          <w:lang w:eastAsia="en-AU"/>
        </w:rPr>
      </w:pPr>
    </w:p>
    <w:p w14:paraId="7366AED1" w14:textId="77777777" w:rsidR="005B1D0B" w:rsidRDefault="005B1D0B" w:rsidP="00BF7682">
      <w:pPr>
        <w:rPr>
          <w:lang w:eastAsia="en-AU"/>
        </w:rPr>
      </w:pPr>
    </w:p>
    <w:p w14:paraId="454D8C2D" w14:textId="77777777" w:rsidR="005B1D0B" w:rsidRDefault="005B1D0B" w:rsidP="00BF7682">
      <w:pPr>
        <w:rPr>
          <w:lang w:eastAsia="en-AU"/>
        </w:rPr>
      </w:pPr>
    </w:p>
    <w:p w14:paraId="4B0764C0" w14:textId="77777777" w:rsidR="005B1D0B" w:rsidRDefault="005B1D0B" w:rsidP="00BF7682">
      <w:pPr>
        <w:rPr>
          <w:lang w:eastAsia="en-AU"/>
        </w:rPr>
      </w:pPr>
    </w:p>
    <w:p w14:paraId="75B101BF" w14:textId="77777777" w:rsidR="005B1D0B" w:rsidRDefault="005B1D0B" w:rsidP="00BF7682">
      <w:pPr>
        <w:rPr>
          <w:lang w:eastAsia="en-AU"/>
        </w:rPr>
      </w:pPr>
    </w:p>
    <w:p w14:paraId="229D0116" w14:textId="77777777" w:rsidR="005B1D0B" w:rsidRDefault="005B1D0B" w:rsidP="00BF7682">
      <w:pPr>
        <w:rPr>
          <w:lang w:eastAsia="en-AU"/>
        </w:rPr>
      </w:pPr>
    </w:p>
    <w:p w14:paraId="7C3F76D7" w14:textId="77777777" w:rsidR="005B1D0B" w:rsidRDefault="005B1D0B" w:rsidP="00BF7682">
      <w:pPr>
        <w:rPr>
          <w:lang w:eastAsia="en-AU"/>
        </w:rPr>
      </w:pPr>
    </w:p>
    <w:p w14:paraId="29BF0BBF" w14:textId="77777777" w:rsidR="005B1D0B" w:rsidRDefault="005B1D0B" w:rsidP="00BF7682">
      <w:pPr>
        <w:rPr>
          <w:lang w:eastAsia="en-AU"/>
        </w:rPr>
      </w:pPr>
    </w:p>
    <w:p w14:paraId="213258C2" w14:textId="77777777" w:rsidR="005B1D0B" w:rsidRDefault="005B1D0B" w:rsidP="00BF7682">
      <w:pPr>
        <w:rPr>
          <w:lang w:eastAsia="en-AU"/>
        </w:rPr>
      </w:pPr>
    </w:p>
    <w:p w14:paraId="2383D110" w14:textId="77777777" w:rsidR="005B1D0B" w:rsidRDefault="005B1D0B" w:rsidP="00BF7682">
      <w:pPr>
        <w:rPr>
          <w:lang w:eastAsia="en-AU"/>
        </w:rPr>
      </w:pPr>
    </w:p>
    <w:p w14:paraId="12F80A56" w14:textId="77777777" w:rsidR="005B1D0B" w:rsidRDefault="005B1D0B" w:rsidP="00BF7682">
      <w:pPr>
        <w:rPr>
          <w:lang w:eastAsia="en-AU"/>
        </w:rPr>
      </w:pPr>
    </w:p>
    <w:p w14:paraId="50B14F92" w14:textId="77777777" w:rsidR="005B1D0B" w:rsidRDefault="005B1D0B" w:rsidP="00BF7682">
      <w:pPr>
        <w:rPr>
          <w:lang w:eastAsia="en-AU"/>
        </w:rPr>
      </w:pPr>
    </w:p>
    <w:p w14:paraId="3D467512" w14:textId="77777777" w:rsidR="005B1D0B" w:rsidRDefault="005B1D0B" w:rsidP="00BF7682">
      <w:pPr>
        <w:rPr>
          <w:lang w:eastAsia="en-AU"/>
        </w:rPr>
      </w:pPr>
    </w:p>
    <w:p w14:paraId="530615FE" w14:textId="77777777" w:rsidR="005B1D0B" w:rsidRDefault="00D109B9" w:rsidP="00BF7682">
      <w:pPr>
        <w:rPr>
          <w:lang w:eastAsia="en-AU"/>
        </w:rPr>
      </w:pPr>
      <w:r>
        <w:rPr>
          <w:noProof/>
          <w:lang w:eastAsia="en-AU"/>
        </w:rPr>
        <w:lastRenderedPageBreak/>
        <w:drawing>
          <wp:anchor distT="0" distB="0" distL="114300" distR="114300" simplePos="0" relativeHeight="251658246" behindDoc="0" locked="0" layoutInCell="1" allowOverlap="1" wp14:anchorId="6864BA0F" wp14:editId="14171BA8">
            <wp:simplePos x="0" y="0"/>
            <wp:positionH relativeFrom="page">
              <wp:align>right</wp:align>
            </wp:positionH>
            <wp:positionV relativeFrom="paragraph">
              <wp:posOffset>-900430</wp:posOffset>
            </wp:positionV>
            <wp:extent cx="7562850" cy="10673527"/>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562850" cy="10673527"/>
                    </a:xfrm>
                    <a:prstGeom prst="rect">
                      <a:avLst/>
                    </a:prstGeom>
                  </pic:spPr>
                </pic:pic>
              </a:graphicData>
            </a:graphic>
            <wp14:sizeRelH relativeFrom="page">
              <wp14:pctWidth>0</wp14:pctWidth>
            </wp14:sizeRelH>
            <wp14:sizeRelV relativeFrom="page">
              <wp14:pctHeight>0</wp14:pctHeight>
            </wp14:sizeRelV>
          </wp:anchor>
        </w:drawing>
      </w:r>
      <w:r w:rsidRPr="00D109B9">
        <w:rPr>
          <w:noProof/>
        </w:rPr>
        <w:t xml:space="preserve"> </w:t>
      </w:r>
    </w:p>
    <w:p w14:paraId="2B86A50A" w14:textId="77777777" w:rsidR="005B1D0B" w:rsidRDefault="005B1D0B" w:rsidP="00BF7682">
      <w:pPr>
        <w:rPr>
          <w:lang w:eastAsia="en-AU"/>
        </w:rPr>
      </w:pPr>
    </w:p>
    <w:p w14:paraId="67763C75" w14:textId="77777777" w:rsidR="005B1D0B" w:rsidRDefault="005B1D0B" w:rsidP="00BF7682">
      <w:pPr>
        <w:rPr>
          <w:lang w:eastAsia="en-AU"/>
        </w:rPr>
      </w:pPr>
    </w:p>
    <w:p w14:paraId="3DFA4DD0" w14:textId="77777777" w:rsidR="005B1D0B" w:rsidRDefault="005B1D0B" w:rsidP="00BF7682">
      <w:pPr>
        <w:rPr>
          <w:lang w:eastAsia="en-AU"/>
        </w:rPr>
      </w:pPr>
    </w:p>
    <w:p w14:paraId="46880153" w14:textId="77777777" w:rsidR="005B1D0B" w:rsidRDefault="005B1D0B" w:rsidP="00BF7682">
      <w:pPr>
        <w:rPr>
          <w:lang w:eastAsia="en-AU"/>
        </w:rPr>
      </w:pPr>
    </w:p>
    <w:p w14:paraId="6AA7A20B" w14:textId="77777777" w:rsidR="005B1D0B" w:rsidRDefault="005B1D0B" w:rsidP="00BF7682">
      <w:pPr>
        <w:rPr>
          <w:lang w:eastAsia="en-AU"/>
        </w:rPr>
      </w:pPr>
    </w:p>
    <w:p w14:paraId="3C00787B" w14:textId="77777777" w:rsidR="005B1D0B" w:rsidRDefault="005B1D0B" w:rsidP="00BF7682">
      <w:pPr>
        <w:rPr>
          <w:lang w:eastAsia="en-AU"/>
        </w:rPr>
      </w:pPr>
    </w:p>
    <w:p w14:paraId="791AE384" w14:textId="77777777" w:rsidR="005B1D0B" w:rsidRDefault="005B1D0B" w:rsidP="00BF7682">
      <w:pPr>
        <w:rPr>
          <w:lang w:eastAsia="en-AU"/>
        </w:rPr>
      </w:pPr>
    </w:p>
    <w:p w14:paraId="1797412E" w14:textId="77777777" w:rsidR="005B1D0B" w:rsidRDefault="005B1D0B" w:rsidP="00BF7682">
      <w:pPr>
        <w:rPr>
          <w:lang w:eastAsia="en-AU"/>
        </w:rPr>
      </w:pPr>
    </w:p>
    <w:p w14:paraId="20AC4FDD" w14:textId="77777777" w:rsidR="005B1D0B" w:rsidRDefault="005B1D0B" w:rsidP="00BF7682">
      <w:pPr>
        <w:rPr>
          <w:lang w:eastAsia="en-AU"/>
        </w:rPr>
      </w:pPr>
    </w:p>
    <w:p w14:paraId="0D809613" w14:textId="77777777" w:rsidR="005B1D0B" w:rsidRDefault="005B1D0B" w:rsidP="00BF7682">
      <w:pPr>
        <w:rPr>
          <w:lang w:eastAsia="en-AU"/>
        </w:rPr>
      </w:pPr>
    </w:p>
    <w:p w14:paraId="190A00A4" w14:textId="77777777" w:rsidR="005B1D0B" w:rsidRDefault="005B1D0B" w:rsidP="00BF7682">
      <w:pPr>
        <w:rPr>
          <w:lang w:eastAsia="en-AU"/>
        </w:rPr>
      </w:pPr>
    </w:p>
    <w:p w14:paraId="2FC74DB9" w14:textId="77777777" w:rsidR="005B1D0B" w:rsidRDefault="005B1D0B" w:rsidP="00BF7682">
      <w:pPr>
        <w:rPr>
          <w:lang w:eastAsia="en-AU"/>
        </w:rPr>
      </w:pPr>
    </w:p>
    <w:p w14:paraId="0BFD8A40" w14:textId="77777777" w:rsidR="005B1D0B" w:rsidRDefault="005B1D0B" w:rsidP="00BF7682">
      <w:pPr>
        <w:rPr>
          <w:lang w:eastAsia="en-AU"/>
        </w:rPr>
      </w:pPr>
    </w:p>
    <w:p w14:paraId="18AD7D23" w14:textId="77777777" w:rsidR="005B1D0B" w:rsidRDefault="005B1D0B" w:rsidP="00BF7682">
      <w:pPr>
        <w:rPr>
          <w:lang w:eastAsia="en-AU"/>
        </w:rPr>
      </w:pPr>
    </w:p>
    <w:p w14:paraId="52A670EB" w14:textId="77777777" w:rsidR="005B1D0B" w:rsidRDefault="005B1D0B" w:rsidP="00BF7682">
      <w:pPr>
        <w:rPr>
          <w:lang w:eastAsia="en-AU"/>
        </w:rPr>
      </w:pPr>
    </w:p>
    <w:p w14:paraId="5646D2F8" w14:textId="77777777" w:rsidR="005B1D0B" w:rsidRDefault="005B1D0B" w:rsidP="00BF7682">
      <w:pPr>
        <w:rPr>
          <w:lang w:eastAsia="en-AU"/>
        </w:rPr>
      </w:pPr>
    </w:p>
    <w:p w14:paraId="761847A3" w14:textId="77777777" w:rsidR="005B1D0B" w:rsidRDefault="005B1D0B" w:rsidP="00BF7682">
      <w:pPr>
        <w:rPr>
          <w:lang w:eastAsia="en-AU"/>
        </w:rPr>
      </w:pPr>
    </w:p>
    <w:p w14:paraId="1C81265D" w14:textId="77777777" w:rsidR="005B1D0B" w:rsidRDefault="005B1D0B" w:rsidP="00BF7682">
      <w:pPr>
        <w:rPr>
          <w:lang w:eastAsia="en-AU"/>
        </w:rPr>
      </w:pPr>
    </w:p>
    <w:p w14:paraId="21A971DD" w14:textId="77777777" w:rsidR="005B1D0B" w:rsidRDefault="005B1D0B" w:rsidP="00BF7682">
      <w:pPr>
        <w:rPr>
          <w:lang w:eastAsia="en-AU"/>
        </w:rPr>
      </w:pPr>
    </w:p>
    <w:p w14:paraId="7C81E7F9" w14:textId="77777777" w:rsidR="005B1D0B" w:rsidRDefault="005B1D0B" w:rsidP="00BF7682">
      <w:pPr>
        <w:rPr>
          <w:lang w:eastAsia="en-AU"/>
        </w:rPr>
      </w:pPr>
    </w:p>
    <w:p w14:paraId="1EAD409B" w14:textId="77777777" w:rsidR="005B1D0B" w:rsidRDefault="005B1D0B" w:rsidP="00BF7682">
      <w:pPr>
        <w:rPr>
          <w:lang w:eastAsia="en-AU"/>
        </w:rPr>
      </w:pPr>
    </w:p>
    <w:p w14:paraId="77944B9A" w14:textId="77777777" w:rsidR="005B1D0B" w:rsidRDefault="005B1D0B" w:rsidP="00BF7682">
      <w:pPr>
        <w:rPr>
          <w:lang w:eastAsia="en-AU"/>
        </w:rPr>
      </w:pPr>
    </w:p>
    <w:p w14:paraId="0F255639" w14:textId="77777777" w:rsidR="005B1D0B" w:rsidRDefault="005B1D0B" w:rsidP="00BF7682">
      <w:pPr>
        <w:rPr>
          <w:lang w:eastAsia="en-AU"/>
        </w:rPr>
      </w:pPr>
    </w:p>
    <w:p w14:paraId="2669852D" w14:textId="77777777" w:rsidR="005B1D0B" w:rsidRDefault="005B1D0B" w:rsidP="00BF7682">
      <w:pPr>
        <w:rPr>
          <w:lang w:eastAsia="en-AU"/>
        </w:rPr>
      </w:pPr>
    </w:p>
    <w:p w14:paraId="3926D93A" w14:textId="77777777" w:rsidR="005B1D0B" w:rsidRDefault="005B1D0B" w:rsidP="00BF7682">
      <w:pPr>
        <w:rPr>
          <w:lang w:eastAsia="en-AU"/>
        </w:rPr>
      </w:pPr>
    </w:p>
    <w:p w14:paraId="226863A8" w14:textId="77777777" w:rsidR="005B1D0B" w:rsidRDefault="005B1D0B" w:rsidP="00BF7682">
      <w:pPr>
        <w:rPr>
          <w:lang w:eastAsia="en-AU"/>
        </w:rPr>
      </w:pPr>
    </w:p>
    <w:p w14:paraId="19C3F8DA" w14:textId="77777777" w:rsidR="005B1D0B" w:rsidRDefault="005B1D0B" w:rsidP="00BF7682">
      <w:pPr>
        <w:rPr>
          <w:lang w:eastAsia="en-AU"/>
        </w:rPr>
      </w:pPr>
    </w:p>
    <w:p w14:paraId="0E2E8E5A" w14:textId="77777777" w:rsidR="005B1D0B" w:rsidRDefault="005B1D0B" w:rsidP="00BF7682">
      <w:pPr>
        <w:rPr>
          <w:lang w:eastAsia="en-AU"/>
        </w:rPr>
      </w:pPr>
    </w:p>
    <w:p w14:paraId="2B17CD4A" w14:textId="77777777" w:rsidR="005B1D0B" w:rsidRDefault="005B1D0B" w:rsidP="00BF7682">
      <w:pPr>
        <w:rPr>
          <w:lang w:eastAsia="en-AU"/>
        </w:rPr>
      </w:pPr>
    </w:p>
    <w:p w14:paraId="4B2B6B5F" w14:textId="77777777" w:rsidR="005B1D0B" w:rsidRDefault="005B1D0B" w:rsidP="00BF7682">
      <w:pPr>
        <w:rPr>
          <w:lang w:eastAsia="en-AU"/>
        </w:rPr>
      </w:pPr>
    </w:p>
    <w:p w14:paraId="5BC2ED08" w14:textId="77777777" w:rsidR="005B1D0B" w:rsidRDefault="005B1D0B" w:rsidP="00BF7682">
      <w:pPr>
        <w:rPr>
          <w:lang w:eastAsia="en-AU"/>
        </w:rPr>
      </w:pPr>
    </w:p>
    <w:p w14:paraId="600C3DB8" w14:textId="77777777" w:rsidR="005B1D0B" w:rsidRDefault="005B1D0B" w:rsidP="00BF7682">
      <w:pPr>
        <w:rPr>
          <w:lang w:eastAsia="en-AU"/>
        </w:rPr>
      </w:pPr>
    </w:p>
    <w:p w14:paraId="50A8B8AC" w14:textId="77777777" w:rsidR="005B1D0B" w:rsidRDefault="005B1D0B" w:rsidP="00BF7682">
      <w:pPr>
        <w:rPr>
          <w:lang w:eastAsia="en-AU"/>
        </w:rPr>
      </w:pPr>
    </w:p>
    <w:p w14:paraId="73C18FD9" w14:textId="77777777" w:rsidR="005B1D0B" w:rsidRDefault="005B1D0B" w:rsidP="00BF7682">
      <w:pPr>
        <w:rPr>
          <w:lang w:eastAsia="en-AU"/>
        </w:rPr>
      </w:pPr>
    </w:p>
    <w:p w14:paraId="63B87137" w14:textId="4E029A38" w:rsidR="005B1D0B" w:rsidRDefault="00B02EDF" w:rsidP="00BF7682">
      <w:pPr>
        <w:rPr>
          <w:lang w:eastAsia="en-AU"/>
        </w:rPr>
      </w:pPr>
      <w:r>
        <w:rPr>
          <w:noProof/>
          <w:lang w:eastAsia="en-AU"/>
        </w:rPr>
        <w:lastRenderedPageBreak/>
        <w:drawing>
          <wp:anchor distT="0" distB="0" distL="114300" distR="114300" simplePos="0" relativeHeight="251658250" behindDoc="0" locked="0" layoutInCell="1" allowOverlap="1" wp14:anchorId="4810D0B0" wp14:editId="3DBC9127">
            <wp:simplePos x="0" y="0"/>
            <wp:positionH relativeFrom="page">
              <wp:align>right</wp:align>
            </wp:positionH>
            <wp:positionV relativeFrom="page">
              <wp:align>top</wp:align>
            </wp:positionV>
            <wp:extent cx="7581600" cy="10728000"/>
            <wp:effectExtent l="0" t="0" r="63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7581600" cy="10728000"/>
                    </a:xfrm>
                    <a:prstGeom prst="rect">
                      <a:avLst/>
                    </a:prstGeom>
                  </pic:spPr>
                </pic:pic>
              </a:graphicData>
            </a:graphic>
            <wp14:sizeRelH relativeFrom="page">
              <wp14:pctWidth>0</wp14:pctWidth>
            </wp14:sizeRelH>
            <wp14:sizeRelV relativeFrom="page">
              <wp14:pctHeight>0</wp14:pctHeight>
            </wp14:sizeRelV>
          </wp:anchor>
        </w:drawing>
      </w:r>
    </w:p>
    <w:p w14:paraId="35DC2EB6" w14:textId="33A09F18" w:rsidR="005B1D0B" w:rsidRDefault="005B1D0B" w:rsidP="00BF7682">
      <w:pPr>
        <w:rPr>
          <w:lang w:eastAsia="en-AU"/>
        </w:rPr>
      </w:pPr>
    </w:p>
    <w:p w14:paraId="5AF8CCE3" w14:textId="77777777" w:rsidR="005B1D0B" w:rsidRDefault="005B1D0B" w:rsidP="00BF7682">
      <w:pPr>
        <w:rPr>
          <w:lang w:eastAsia="en-AU"/>
        </w:rPr>
      </w:pPr>
    </w:p>
    <w:p w14:paraId="15D91954" w14:textId="77777777" w:rsidR="005B1D0B" w:rsidRDefault="005B1D0B" w:rsidP="00BF7682">
      <w:pPr>
        <w:rPr>
          <w:lang w:eastAsia="en-AU"/>
        </w:rPr>
      </w:pPr>
    </w:p>
    <w:p w14:paraId="44AD5E78" w14:textId="77777777" w:rsidR="005B1D0B" w:rsidRDefault="005B1D0B" w:rsidP="00BF7682">
      <w:pPr>
        <w:rPr>
          <w:lang w:eastAsia="en-AU"/>
        </w:rPr>
      </w:pPr>
    </w:p>
    <w:p w14:paraId="4A0DE8DA" w14:textId="77777777" w:rsidR="005B1D0B" w:rsidRDefault="005B1D0B" w:rsidP="00BF7682">
      <w:pPr>
        <w:rPr>
          <w:lang w:eastAsia="en-AU"/>
        </w:rPr>
      </w:pPr>
    </w:p>
    <w:p w14:paraId="12AAC312" w14:textId="77777777" w:rsidR="005B1D0B" w:rsidRDefault="005B1D0B" w:rsidP="00BF7682">
      <w:pPr>
        <w:rPr>
          <w:lang w:eastAsia="en-AU"/>
        </w:rPr>
      </w:pPr>
    </w:p>
    <w:p w14:paraId="3C0A5524" w14:textId="77777777" w:rsidR="005B1D0B" w:rsidRDefault="005B1D0B" w:rsidP="00BF7682">
      <w:pPr>
        <w:rPr>
          <w:lang w:eastAsia="en-AU"/>
        </w:rPr>
      </w:pPr>
    </w:p>
    <w:p w14:paraId="73712A7B" w14:textId="77777777" w:rsidR="005B1D0B" w:rsidRDefault="005B1D0B" w:rsidP="00BF7682">
      <w:pPr>
        <w:rPr>
          <w:lang w:eastAsia="en-AU"/>
        </w:rPr>
      </w:pPr>
    </w:p>
    <w:p w14:paraId="577799CF" w14:textId="77777777" w:rsidR="005B1D0B" w:rsidRDefault="005B1D0B" w:rsidP="00BF7682">
      <w:pPr>
        <w:rPr>
          <w:lang w:eastAsia="en-AU"/>
        </w:rPr>
      </w:pPr>
    </w:p>
    <w:p w14:paraId="22546E0C" w14:textId="77777777" w:rsidR="005B1D0B" w:rsidRDefault="005B1D0B" w:rsidP="00BF7682">
      <w:pPr>
        <w:rPr>
          <w:lang w:eastAsia="en-AU"/>
        </w:rPr>
      </w:pPr>
    </w:p>
    <w:p w14:paraId="1C0E7FA7" w14:textId="77777777" w:rsidR="005B1D0B" w:rsidRDefault="005B1D0B" w:rsidP="00BF7682">
      <w:pPr>
        <w:rPr>
          <w:lang w:eastAsia="en-AU"/>
        </w:rPr>
      </w:pPr>
    </w:p>
    <w:p w14:paraId="7343F378" w14:textId="77777777" w:rsidR="005B1D0B" w:rsidRDefault="005B1D0B" w:rsidP="00BF7682">
      <w:pPr>
        <w:rPr>
          <w:lang w:eastAsia="en-AU"/>
        </w:rPr>
      </w:pPr>
    </w:p>
    <w:p w14:paraId="10E03F94" w14:textId="77777777" w:rsidR="005B1D0B" w:rsidRDefault="005B1D0B" w:rsidP="00BF7682">
      <w:pPr>
        <w:rPr>
          <w:lang w:eastAsia="en-AU"/>
        </w:rPr>
      </w:pPr>
    </w:p>
    <w:p w14:paraId="05F3C359" w14:textId="77777777" w:rsidR="005B1D0B" w:rsidRDefault="005B1D0B" w:rsidP="00BF7682">
      <w:pPr>
        <w:rPr>
          <w:lang w:eastAsia="en-AU"/>
        </w:rPr>
      </w:pPr>
    </w:p>
    <w:p w14:paraId="7399D1BF" w14:textId="77777777" w:rsidR="005B1D0B" w:rsidRDefault="005B1D0B" w:rsidP="00BF7682">
      <w:pPr>
        <w:rPr>
          <w:lang w:eastAsia="en-AU"/>
        </w:rPr>
      </w:pPr>
    </w:p>
    <w:p w14:paraId="6F1070DD" w14:textId="77777777" w:rsidR="005B1D0B" w:rsidRDefault="005B1D0B" w:rsidP="00BF7682">
      <w:pPr>
        <w:rPr>
          <w:lang w:eastAsia="en-AU"/>
        </w:rPr>
      </w:pPr>
    </w:p>
    <w:p w14:paraId="64C6BE73" w14:textId="77777777" w:rsidR="005B1D0B" w:rsidRDefault="005B1D0B" w:rsidP="00BF7682">
      <w:pPr>
        <w:rPr>
          <w:lang w:eastAsia="en-AU"/>
        </w:rPr>
      </w:pPr>
    </w:p>
    <w:p w14:paraId="37853ED5" w14:textId="77777777" w:rsidR="005B1D0B" w:rsidRDefault="005B1D0B" w:rsidP="00BF7682">
      <w:pPr>
        <w:rPr>
          <w:lang w:eastAsia="en-AU"/>
        </w:rPr>
      </w:pPr>
    </w:p>
    <w:p w14:paraId="0DC8514A" w14:textId="77777777" w:rsidR="005B1D0B" w:rsidRDefault="005B1D0B" w:rsidP="00BF7682">
      <w:pPr>
        <w:rPr>
          <w:lang w:eastAsia="en-AU"/>
        </w:rPr>
      </w:pPr>
    </w:p>
    <w:p w14:paraId="58E34A8A" w14:textId="77777777" w:rsidR="005B1D0B" w:rsidRDefault="005B1D0B" w:rsidP="00BF7682">
      <w:pPr>
        <w:rPr>
          <w:lang w:eastAsia="en-AU"/>
        </w:rPr>
      </w:pPr>
    </w:p>
    <w:p w14:paraId="22AF74FD" w14:textId="77777777" w:rsidR="005B1D0B" w:rsidRDefault="005B1D0B" w:rsidP="00BF7682">
      <w:pPr>
        <w:rPr>
          <w:lang w:eastAsia="en-AU"/>
        </w:rPr>
      </w:pPr>
    </w:p>
    <w:p w14:paraId="4027D41E" w14:textId="77777777" w:rsidR="005B1D0B" w:rsidRDefault="005B1D0B" w:rsidP="00BF7682">
      <w:pPr>
        <w:rPr>
          <w:lang w:eastAsia="en-AU"/>
        </w:rPr>
      </w:pPr>
    </w:p>
    <w:p w14:paraId="5301644E" w14:textId="77777777" w:rsidR="005B1D0B" w:rsidRDefault="005B1D0B" w:rsidP="00BF7682">
      <w:pPr>
        <w:rPr>
          <w:lang w:eastAsia="en-AU"/>
        </w:rPr>
      </w:pPr>
    </w:p>
    <w:p w14:paraId="7771E344" w14:textId="77777777" w:rsidR="005B1D0B" w:rsidRDefault="005B1D0B" w:rsidP="00BF7682">
      <w:pPr>
        <w:rPr>
          <w:lang w:eastAsia="en-AU"/>
        </w:rPr>
      </w:pPr>
    </w:p>
    <w:p w14:paraId="6728AD39" w14:textId="77777777" w:rsidR="005B1D0B" w:rsidRDefault="005B1D0B" w:rsidP="00BF7682">
      <w:pPr>
        <w:rPr>
          <w:lang w:eastAsia="en-AU"/>
        </w:rPr>
      </w:pPr>
    </w:p>
    <w:p w14:paraId="1E8A57EC" w14:textId="77777777" w:rsidR="005B1D0B" w:rsidRDefault="005B1D0B" w:rsidP="00BF7682">
      <w:pPr>
        <w:rPr>
          <w:lang w:eastAsia="en-AU"/>
        </w:rPr>
      </w:pPr>
    </w:p>
    <w:p w14:paraId="3C5BC802" w14:textId="77777777" w:rsidR="005B1D0B" w:rsidRDefault="005B1D0B" w:rsidP="00BF7682">
      <w:pPr>
        <w:rPr>
          <w:lang w:eastAsia="en-AU"/>
        </w:rPr>
      </w:pPr>
    </w:p>
    <w:p w14:paraId="2814D550" w14:textId="77777777" w:rsidR="005B1D0B" w:rsidRDefault="005B1D0B" w:rsidP="00BF7682">
      <w:pPr>
        <w:rPr>
          <w:lang w:eastAsia="en-AU"/>
        </w:rPr>
      </w:pPr>
    </w:p>
    <w:p w14:paraId="424816B5" w14:textId="77777777" w:rsidR="005B1D0B" w:rsidRDefault="005B1D0B" w:rsidP="00BF7682">
      <w:pPr>
        <w:rPr>
          <w:lang w:eastAsia="en-AU"/>
        </w:rPr>
      </w:pPr>
    </w:p>
    <w:p w14:paraId="629C03E1" w14:textId="77777777" w:rsidR="005B1D0B" w:rsidRDefault="005B1D0B" w:rsidP="00BF7682">
      <w:pPr>
        <w:rPr>
          <w:lang w:eastAsia="en-AU"/>
        </w:rPr>
      </w:pPr>
    </w:p>
    <w:p w14:paraId="164DBEAF" w14:textId="77777777" w:rsidR="005B1D0B" w:rsidRDefault="005B1D0B" w:rsidP="00BF7682">
      <w:pPr>
        <w:rPr>
          <w:lang w:eastAsia="en-AU"/>
        </w:rPr>
      </w:pPr>
    </w:p>
    <w:p w14:paraId="3F990149" w14:textId="77777777" w:rsidR="005B1D0B" w:rsidRDefault="005B1D0B" w:rsidP="00BF7682">
      <w:pPr>
        <w:rPr>
          <w:lang w:eastAsia="en-AU"/>
        </w:rPr>
      </w:pPr>
    </w:p>
    <w:p w14:paraId="6BD332D2" w14:textId="77777777" w:rsidR="005B1D0B" w:rsidRDefault="005B1D0B" w:rsidP="00BF7682">
      <w:pPr>
        <w:rPr>
          <w:lang w:eastAsia="en-AU"/>
        </w:rPr>
      </w:pPr>
    </w:p>
    <w:p w14:paraId="2051924F" w14:textId="77777777" w:rsidR="005B1D0B" w:rsidRDefault="005B1D0B" w:rsidP="00BF7682">
      <w:pPr>
        <w:rPr>
          <w:lang w:eastAsia="en-AU"/>
        </w:rPr>
      </w:pPr>
    </w:p>
    <w:p w14:paraId="7466A974" w14:textId="77777777" w:rsidR="005B1D0B" w:rsidRDefault="00D109B9" w:rsidP="00BF7682">
      <w:pPr>
        <w:rPr>
          <w:lang w:eastAsia="en-AU"/>
        </w:rPr>
      </w:pPr>
      <w:r>
        <w:rPr>
          <w:noProof/>
          <w:lang w:eastAsia="en-AU"/>
        </w:rPr>
        <w:lastRenderedPageBreak/>
        <w:drawing>
          <wp:anchor distT="0" distB="0" distL="114300" distR="114300" simplePos="0" relativeHeight="251658247" behindDoc="0" locked="0" layoutInCell="1" allowOverlap="1" wp14:anchorId="0C228107" wp14:editId="50E353D9">
            <wp:simplePos x="0" y="0"/>
            <wp:positionH relativeFrom="page">
              <wp:align>right</wp:align>
            </wp:positionH>
            <wp:positionV relativeFrom="paragraph">
              <wp:posOffset>-909956</wp:posOffset>
            </wp:positionV>
            <wp:extent cx="7553325" cy="10691381"/>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7553325" cy="10691381"/>
                    </a:xfrm>
                    <a:prstGeom prst="rect">
                      <a:avLst/>
                    </a:prstGeom>
                  </pic:spPr>
                </pic:pic>
              </a:graphicData>
            </a:graphic>
            <wp14:sizeRelH relativeFrom="page">
              <wp14:pctWidth>0</wp14:pctWidth>
            </wp14:sizeRelH>
            <wp14:sizeRelV relativeFrom="page">
              <wp14:pctHeight>0</wp14:pctHeight>
            </wp14:sizeRelV>
          </wp:anchor>
        </w:drawing>
      </w:r>
    </w:p>
    <w:p w14:paraId="217FAF4B" w14:textId="77777777" w:rsidR="005B1D0B" w:rsidRDefault="005B1D0B" w:rsidP="00BF7682">
      <w:pPr>
        <w:rPr>
          <w:lang w:eastAsia="en-AU"/>
        </w:rPr>
      </w:pPr>
    </w:p>
    <w:p w14:paraId="3A74964E" w14:textId="77777777" w:rsidR="005B1D0B" w:rsidRDefault="005B1D0B" w:rsidP="00BF7682">
      <w:pPr>
        <w:rPr>
          <w:lang w:eastAsia="en-AU"/>
        </w:rPr>
      </w:pPr>
    </w:p>
    <w:p w14:paraId="25B701CF" w14:textId="77777777" w:rsidR="005B1D0B" w:rsidRDefault="005B1D0B" w:rsidP="00BF7682">
      <w:pPr>
        <w:rPr>
          <w:lang w:eastAsia="en-AU"/>
        </w:rPr>
      </w:pPr>
    </w:p>
    <w:p w14:paraId="78CD2302" w14:textId="77777777" w:rsidR="005B1D0B" w:rsidRDefault="005B1D0B" w:rsidP="00BF7682">
      <w:pPr>
        <w:rPr>
          <w:lang w:eastAsia="en-AU"/>
        </w:rPr>
      </w:pPr>
    </w:p>
    <w:p w14:paraId="70C5087F" w14:textId="77777777" w:rsidR="005B1D0B" w:rsidRDefault="005B1D0B" w:rsidP="00BF7682">
      <w:pPr>
        <w:rPr>
          <w:lang w:eastAsia="en-AU"/>
        </w:rPr>
      </w:pPr>
    </w:p>
    <w:p w14:paraId="51E3EB3E" w14:textId="77777777" w:rsidR="005B1D0B" w:rsidRDefault="005B1D0B" w:rsidP="00BF7682">
      <w:pPr>
        <w:rPr>
          <w:lang w:eastAsia="en-AU"/>
        </w:rPr>
      </w:pPr>
    </w:p>
    <w:p w14:paraId="2FC49426" w14:textId="77777777" w:rsidR="005B1D0B" w:rsidRDefault="005B1D0B" w:rsidP="00BF7682">
      <w:pPr>
        <w:rPr>
          <w:lang w:eastAsia="en-AU"/>
        </w:rPr>
      </w:pPr>
    </w:p>
    <w:p w14:paraId="23743B7D" w14:textId="77777777" w:rsidR="005B1D0B" w:rsidRDefault="005B1D0B" w:rsidP="00BF7682">
      <w:pPr>
        <w:rPr>
          <w:lang w:eastAsia="en-AU"/>
        </w:rPr>
      </w:pPr>
    </w:p>
    <w:p w14:paraId="3D1B0167" w14:textId="77777777" w:rsidR="005B1D0B" w:rsidRDefault="005B1D0B" w:rsidP="00BF7682">
      <w:pPr>
        <w:rPr>
          <w:lang w:eastAsia="en-AU"/>
        </w:rPr>
      </w:pPr>
    </w:p>
    <w:p w14:paraId="5011A1D6" w14:textId="77777777" w:rsidR="005B1D0B" w:rsidRDefault="005B1D0B" w:rsidP="00BF7682">
      <w:pPr>
        <w:rPr>
          <w:lang w:eastAsia="en-AU"/>
        </w:rPr>
      </w:pPr>
    </w:p>
    <w:p w14:paraId="4F7A6B47" w14:textId="77777777" w:rsidR="005B1D0B" w:rsidRDefault="005B1D0B" w:rsidP="00BF7682">
      <w:pPr>
        <w:rPr>
          <w:lang w:eastAsia="en-AU"/>
        </w:rPr>
      </w:pPr>
    </w:p>
    <w:p w14:paraId="2ACFF5D0" w14:textId="77777777" w:rsidR="007D2493" w:rsidRDefault="007D2493" w:rsidP="00BF7682">
      <w:pPr>
        <w:rPr>
          <w:lang w:eastAsia="en-AU"/>
        </w:rPr>
        <w:sectPr w:rsidR="007D2493" w:rsidSect="00D2536C">
          <w:headerReference w:type="default" r:id="rId52"/>
          <w:pgSz w:w="11907" w:h="16839" w:code="9"/>
          <w:pgMar w:top="1418" w:right="1418" w:bottom="1701" w:left="1559" w:header="720" w:footer="720" w:gutter="0"/>
          <w:cols w:space="720"/>
          <w:docGrid w:linePitch="360"/>
        </w:sectPr>
      </w:pPr>
    </w:p>
    <w:p w14:paraId="0715ECA1" w14:textId="77777777" w:rsidR="009079BF" w:rsidRPr="009079BF" w:rsidRDefault="009079BF" w:rsidP="00543C37">
      <w:pPr>
        <w:pStyle w:val="Heading1"/>
      </w:pPr>
      <w:bookmarkStart w:id="129" w:name="_Toc24559590"/>
      <w:bookmarkStart w:id="130" w:name="_Toc54597779"/>
      <w:r w:rsidRPr="009079BF">
        <w:lastRenderedPageBreak/>
        <w:t>The</w:t>
      </w:r>
      <w:r w:rsidR="00652C67">
        <w:t>re</w:t>
      </w:r>
      <w:r w:rsidRPr="009079BF">
        <w:t xml:space="preserve"> has </w:t>
      </w:r>
      <w:r w:rsidR="00652C67">
        <w:t>been</w:t>
      </w:r>
      <w:r>
        <w:t xml:space="preserve"> significant progress </w:t>
      </w:r>
      <w:r w:rsidR="00652C67">
        <w:t>in achieving</w:t>
      </w:r>
      <w:r>
        <w:t xml:space="preserve"> the </w:t>
      </w:r>
      <w:r w:rsidR="00652C67">
        <w:t>UANP’s</w:t>
      </w:r>
      <w:r>
        <w:t xml:space="preserve"> </w:t>
      </w:r>
      <w:r w:rsidRPr="009079BF">
        <w:t xml:space="preserve">objectives, </w:t>
      </w:r>
      <w:proofErr w:type="gramStart"/>
      <w:r w:rsidRPr="009079BF">
        <w:t>outcomes</w:t>
      </w:r>
      <w:proofErr w:type="gramEnd"/>
      <w:r w:rsidRPr="009079BF">
        <w:t xml:space="preserve"> and outputs</w:t>
      </w:r>
      <w:bookmarkEnd w:id="129"/>
      <w:bookmarkEnd w:id="130"/>
    </w:p>
    <w:p w14:paraId="6F239B93" w14:textId="77777777" w:rsidR="00D417CC" w:rsidRDefault="00D417CC" w:rsidP="00D417CC">
      <w:pPr>
        <w:pStyle w:val="Bullet"/>
      </w:pPr>
      <w:r>
        <w:t>The UANP—both the funding provided by the Australian Government and the agreement as an expression of a national policy development process—has had a significant impact on the provision</w:t>
      </w:r>
      <w:r w:rsidR="00440E38">
        <w:t xml:space="preserve"> of</w:t>
      </w:r>
      <w:r>
        <w:t xml:space="preserve"> and participation </w:t>
      </w:r>
      <w:r w:rsidR="00440E38">
        <w:t xml:space="preserve">in </w:t>
      </w:r>
      <w:r>
        <w:t>affordable, quality preschool. It is considered a major success across the sector. To achieve the targets set in the UANP, jurisdictions have invested significantly to increase the number of services, the workforce and to change community attitudes.</w:t>
      </w:r>
    </w:p>
    <w:p w14:paraId="4414545B" w14:textId="77777777" w:rsidR="009079BF" w:rsidRDefault="00916FCB" w:rsidP="00CC0638">
      <w:pPr>
        <w:pStyle w:val="Bullet"/>
      </w:pPr>
      <w:r>
        <w:t>To address T</w:t>
      </w:r>
      <w:r w:rsidR="009C1641">
        <w:t xml:space="preserve">erm </w:t>
      </w:r>
      <w:r>
        <w:t>o</w:t>
      </w:r>
      <w:r w:rsidR="009C1641">
        <w:t xml:space="preserve">f </w:t>
      </w:r>
      <w:r>
        <w:t>R</w:t>
      </w:r>
      <w:r w:rsidR="009C1641">
        <w:t>eference</w:t>
      </w:r>
      <w:r>
        <w:t xml:space="preserve"> 1, t</w:t>
      </w:r>
      <w:r w:rsidR="008A4493">
        <w:t xml:space="preserve">his </w:t>
      </w:r>
      <w:r w:rsidR="003B6A03">
        <w:t>chapter</w:t>
      </w:r>
      <w:r w:rsidR="008A4493">
        <w:t xml:space="preserve"> considers</w:t>
      </w:r>
      <w:r w:rsidR="009079BF">
        <w:t xml:space="preserve"> the extent to which:</w:t>
      </w:r>
    </w:p>
    <w:p w14:paraId="5AF50DEF" w14:textId="77777777" w:rsidR="009079BF" w:rsidRPr="0076358F" w:rsidRDefault="008D568F" w:rsidP="0076358F">
      <w:pPr>
        <w:pStyle w:val="Bullet"/>
        <w:numPr>
          <w:ilvl w:val="0"/>
          <w:numId w:val="13"/>
        </w:numPr>
        <w:ind w:left="340" w:hanging="340"/>
        <w:rPr>
          <w:rFonts w:asciiTheme="minorHAnsi" w:hAnsiTheme="minorHAnsi" w:cstheme="minorBidi"/>
        </w:rPr>
      </w:pPr>
      <w:r w:rsidRPr="0C5679B2">
        <w:rPr>
          <w:rFonts w:asciiTheme="minorHAnsi" w:hAnsiTheme="minorHAnsi" w:cstheme="minorBidi"/>
        </w:rPr>
        <w:t>t</w:t>
      </w:r>
      <w:r w:rsidR="008A4493" w:rsidRPr="0C5679B2">
        <w:rPr>
          <w:rFonts w:asciiTheme="minorHAnsi" w:hAnsiTheme="minorHAnsi" w:cstheme="minorBidi"/>
        </w:rPr>
        <w:t>he UANP</w:t>
      </w:r>
      <w:r w:rsidR="009079BF" w:rsidRPr="0C5679B2">
        <w:rPr>
          <w:rFonts w:asciiTheme="minorHAnsi" w:hAnsiTheme="minorHAnsi" w:cstheme="minorBidi"/>
        </w:rPr>
        <w:t xml:space="preserve"> has improved access to, and participation in, </w:t>
      </w:r>
      <w:r w:rsidR="009C1641" w:rsidRPr="0C5679B2">
        <w:rPr>
          <w:rFonts w:asciiTheme="minorHAnsi" w:hAnsiTheme="minorHAnsi" w:cstheme="minorBidi"/>
        </w:rPr>
        <w:t>preschool</w:t>
      </w:r>
      <w:r w:rsidR="009079BF" w:rsidRPr="0C5679B2">
        <w:rPr>
          <w:rFonts w:asciiTheme="minorHAnsi" w:hAnsiTheme="minorHAnsi" w:cstheme="minorBidi"/>
        </w:rPr>
        <w:t xml:space="preserve"> delivered by a qualified ECT for 600 hours in the YBFS (for all children and for target cohorts)</w:t>
      </w:r>
    </w:p>
    <w:p w14:paraId="062472BA" w14:textId="77777777" w:rsidR="00373847" w:rsidRDefault="008D568F" w:rsidP="0076358F">
      <w:pPr>
        <w:pStyle w:val="Bullet"/>
        <w:numPr>
          <w:ilvl w:val="0"/>
          <w:numId w:val="13"/>
        </w:numPr>
        <w:ind w:left="340" w:hanging="340"/>
        <w:rPr>
          <w:rFonts w:asciiTheme="minorHAnsi" w:hAnsiTheme="minorHAnsi" w:cstheme="minorBidi"/>
        </w:rPr>
      </w:pPr>
      <w:r w:rsidRPr="0C5679B2">
        <w:rPr>
          <w:rFonts w:asciiTheme="minorHAnsi" w:hAnsiTheme="minorHAnsi" w:cstheme="minorBidi"/>
        </w:rPr>
        <w:t>t</w:t>
      </w:r>
      <w:r w:rsidR="00373847" w:rsidRPr="0C5679B2">
        <w:rPr>
          <w:rFonts w:asciiTheme="minorHAnsi" w:hAnsiTheme="minorHAnsi" w:cstheme="minorBidi"/>
        </w:rPr>
        <w:t xml:space="preserve">he UANP has </w:t>
      </w:r>
      <w:r w:rsidR="009C1641" w:rsidRPr="0C5679B2">
        <w:rPr>
          <w:rFonts w:asciiTheme="minorHAnsi" w:hAnsiTheme="minorHAnsi" w:cstheme="minorBidi"/>
        </w:rPr>
        <w:t>increased</w:t>
      </w:r>
      <w:r w:rsidR="00373847" w:rsidRPr="0C5679B2">
        <w:rPr>
          <w:rFonts w:asciiTheme="minorHAnsi" w:hAnsiTheme="minorHAnsi" w:cstheme="minorBidi"/>
        </w:rPr>
        <w:t xml:space="preserve"> the quality of </w:t>
      </w:r>
      <w:r w:rsidR="00C368B5" w:rsidRPr="0C5679B2">
        <w:rPr>
          <w:rFonts w:asciiTheme="minorHAnsi" w:hAnsiTheme="minorHAnsi" w:cstheme="minorBidi"/>
        </w:rPr>
        <w:t>p</w:t>
      </w:r>
      <w:r w:rsidR="00373847" w:rsidRPr="0C5679B2">
        <w:rPr>
          <w:rFonts w:asciiTheme="minorHAnsi" w:hAnsiTheme="minorHAnsi" w:cstheme="minorBidi"/>
        </w:rPr>
        <w:t>reschool provision</w:t>
      </w:r>
    </w:p>
    <w:p w14:paraId="3F52086F" w14:textId="77777777" w:rsidR="00D417CC" w:rsidRDefault="00D417CC" w:rsidP="0076358F">
      <w:pPr>
        <w:pStyle w:val="Bullet"/>
        <w:numPr>
          <w:ilvl w:val="0"/>
          <w:numId w:val="13"/>
        </w:numPr>
        <w:ind w:left="340" w:hanging="340"/>
        <w:rPr>
          <w:rFonts w:asciiTheme="minorHAnsi" w:hAnsiTheme="minorHAnsi" w:cstheme="minorBidi"/>
        </w:rPr>
      </w:pPr>
      <w:r>
        <w:t>the UANP has supported preschool across all settings</w:t>
      </w:r>
    </w:p>
    <w:p w14:paraId="491A7360" w14:textId="77777777" w:rsidR="00373847" w:rsidRDefault="008D568F" w:rsidP="00373847">
      <w:pPr>
        <w:pStyle w:val="Bullet"/>
        <w:numPr>
          <w:ilvl w:val="0"/>
          <w:numId w:val="13"/>
        </w:numPr>
        <w:ind w:left="340" w:hanging="340"/>
        <w:rPr>
          <w:rFonts w:asciiTheme="minorHAnsi" w:hAnsiTheme="minorHAnsi" w:cstheme="minorBidi"/>
        </w:rPr>
      </w:pPr>
      <w:r w:rsidRPr="0C5679B2">
        <w:rPr>
          <w:rFonts w:asciiTheme="minorHAnsi" w:hAnsiTheme="minorHAnsi" w:cstheme="minorBidi"/>
        </w:rPr>
        <w:t>p</w:t>
      </w:r>
      <w:r w:rsidR="00373847" w:rsidRPr="0C5679B2">
        <w:rPr>
          <w:rFonts w:asciiTheme="minorHAnsi" w:hAnsiTheme="minorHAnsi" w:cstheme="minorBidi"/>
        </w:rPr>
        <w:t xml:space="preserve">reschool </w:t>
      </w:r>
      <w:r w:rsidR="009079BF" w:rsidRPr="0C5679B2">
        <w:rPr>
          <w:rFonts w:asciiTheme="minorHAnsi" w:hAnsiTheme="minorHAnsi" w:cstheme="minorBidi"/>
        </w:rPr>
        <w:t xml:space="preserve">programs meet the needs of </w:t>
      </w:r>
      <w:r w:rsidR="00373847" w:rsidRPr="0C5679B2">
        <w:rPr>
          <w:rFonts w:asciiTheme="minorHAnsi" w:hAnsiTheme="minorHAnsi" w:cstheme="minorBidi"/>
        </w:rPr>
        <w:t xml:space="preserve">children, </w:t>
      </w:r>
      <w:proofErr w:type="gramStart"/>
      <w:r w:rsidR="009079BF" w:rsidRPr="0C5679B2">
        <w:rPr>
          <w:rFonts w:asciiTheme="minorHAnsi" w:hAnsiTheme="minorHAnsi" w:cstheme="minorBidi"/>
        </w:rPr>
        <w:t>parents</w:t>
      </w:r>
      <w:proofErr w:type="gramEnd"/>
      <w:r w:rsidR="009079BF" w:rsidRPr="0C5679B2">
        <w:rPr>
          <w:rFonts w:asciiTheme="minorHAnsi" w:hAnsiTheme="minorHAnsi" w:cstheme="minorBidi"/>
        </w:rPr>
        <w:t xml:space="preserve"> and communities</w:t>
      </w:r>
      <w:r w:rsidR="00373847" w:rsidRPr="0C5679B2">
        <w:rPr>
          <w:rFonts w:asciiTheme="minorHAnsi" w:hAnsiTheme="minorHAnsi" w:cstheme="minorBidi"/>
        </w:rPr>
        <w:t>, including</w:t>
      </w:r>
      <w:r w:rsidR="009079BF" w:rsidRPr="0C5679B2">
        <w:rPr>
          <w:rFonts w:asciiTheme="minorHAnsi" w:hAnsiTheme="minorHAnsi" w:cstheme="minorBidi"/>
        </w:rPr>
        <w:t xml:space="preserve"> whether cost is a barrier</w:t>
      </w:r>
      <w:r w:rsidR="00BC2CE8">
        <w:rPr>
          <w:rFonts w:asciiTheme="minorHAnsi" w:hAnsiTheme="minorHAnsi" w:cstheme="minorBidi"/>
        </w:rPr>
        <w:t>.</w:t>
      </w:r>
    </w:p>
    <w:p w14:paraId="16C8F6AE" w14:textId="77777777" w:rsidR="00A94E68" w:rsidRDefault="00A94E68" w:rsidP="00894930">
      <w:pPr>
        <w:pStyle w:val="Heading2"/>
      </w:pPr>
      <w:bookmarkStart w:id="131" w:name="_Toc24559591"/>
      <w:bookmarkStart w:id="132" w:name="_Toc54597780"/>
      <w:r>
        <w:t xml:space="preserve">The UANP </w:t>
      </w:r>
      <w:r w:rsidR="00A85275">
        <w:t xml:space="preserve">has met </w:t>
      </w:r>
      <w:r w:rsidR="009D3917">
        <w:t xml:space="preserve">ambitious targets for </w:t>
      </w:r>
      <w:r>
        <w:t xml:space="preserve">access to, and participation in, </w:t>
      </w:r>
      <w:r w:rsidR="00D107AA">
        <w:t>preschool</w:t>
      </w:r>
      <w:bookmarkEnd w:id="131"/>
      <w:bookmarkEnd w:id="132"/>
    </w:p>
    <w:p w14:paraId="36AC2BA8" w14:textId="77777777" w:rsidR="00D417CC" w:rsidRDefault="00D417CC" w:rsidP="00D417CC">
      <w:pPr>
        <w:pStyle w:val="Bullet"/>
      </w:pPr>
      <w:r>
        <w:t xml:space="preserve">The UANP defines outcomes, outputs, </w:t>
      </w:r>
      <w:r w:rsidR="00FC42C6">
        <w:t>p</w:t>
      </w:r>
      <w:r w:rsidR="00BD5115">
        <w:t xml:space="preserve">erformance </w:t>
      </w:r>
      <w:r w:rsidR="00FC42C6">
        <w:t>i</w:t>
      </w:r>
      <w:r w:rsidR="00BD5115">
        <w:t>ndicator</w:t>
      </w:r>
      <w:r>
        <w:t xml:space="preserve">s and targets. Achievement of the objectives and outcomes in the Agreement are primarily informed with reference to the </w:t>
      </w:r>
      <w:r w:rsidR="00FC42C6">
        <w:t>p</w:t>
      </w:r>
      <w:r w:rsidR="00BD5115">
        <w:t xml:space="preserve">erformance </w:t>
      </w:r>
      <w:r w:rsidR="00FC42C6">
        <w:t>i</w:t>
      </w:r>
      <w:r w:rsidR="00BD5115">
        <w:t>ndicator</w:t>
      </w:r>
      <w:r>
        <w:t>s and Benchmarks/Targets (see</w:t>
      </w:r>
      <w:r w:rsidR="009E65D2">
        <w:t xml:space="preserve"> Appendix D </w:t>
      </w:r>
      <w:r>
        <w:t>for full extract).</w:t>
      </w:r>
    </w:p>
    <w:p w14:paraId="06139996" w14:textId="47DB8A81" w:rsidR="00D417CC" w:rsidRDefault="00D417CC" w:rsidP="00D417CC">
      <w:pPr>
        <w:pStyle w:val="Bullet"/>
      </w:pPr>
      <w:r>
        <w:t xml:space="preserve">The </w:t>
      </w:r>
      <w:r w:rsidR="00FC42C6">
        <w:t>p</w:t>
      </w:r>
      <w:r w:rsidR="00BD5115">
        <w:t xml:space="preserve">erformance </w:t>
      </w:r>
      <w:r w:rsidR="00FC42C6">
        <w:t>i</w:t>
      </w:r>
      <w:r w:rsidR="00BD5115">
        <w:t>ndicator</w:t>
      </w:r>
      <w:r>
        <w:t>s, their related benchmarks and measurement under the UANP are provided in table below.</w:t>
      </w:r>
    </w:p>
    <w:p w14:paraId="38F7C2E5" w14:textId="324A9BE9" w:rsidR="00595652" w:rsidRDefault="00595652" w:rsidP="00595652">
      <w:pPr>
        <w:pStyle w:val="Caption"/>
      </w:pPr>
      <w:r>
        <w:t xml:space="preserve">Table </w:t>
      </w:r>
      <w:r>
        <w:fldChar w:fldCharType="begin"/>
      </w:r>
      <w:r>
        <w:instrText xml:space="preserve"> SEQ Table \* ARABIC </w:instrText>
      </w:r>
      <w:r>
        <w:fldChar w:fldCharType="separate"/>
      </w:r>
      <w:r w:rsidR="00B37785">
        <w:rPr>
          <w:noProof/>
        </w:rPr>
        <w:t>2</w:t>
      </w:r>
      <w:r>
        <w:fldChar w:fldCharType="end"/>
      </w:r>
      <w:r>
        <w:t xml:space="preserve"> | </w:t>
      </w:r>
      <w:r w:rsidR="00FC42C6">
        <w:t>P</w:t>
      </w:r>
      <w:r>
        <w:t xml:space="preserve">erformance </w:t>
      </w:r>
      <w:r w:rsidR="00FC42C6">
        <w:t>i</w:t>
      </w:r>
      <w:r>
        <w:t xml:space="preserve">ndicators, </w:t>
      </w:r>
      <w:proofErr w:type="gramStart"/>
      <w:r>
        <w:t>benchmarks</w:t>
      </w:r>
      <w:proofErr w:type="gramEnd"/>
      <w:r>
        <w:t xml:space="preserve"> and measurement under the </w:t>
      </w:r>
      <w:r w:rsidR="004F7DFE">
        <w:t>U</w:t>
      </w:r>
      <w:r w:rsidR="0068401A">
        <w:t>AN</w:t>
      </w:r>
      <w:r w:rsidR="004F7DFE">
        <w:t>P</w:t>
      </w:r>
    </w:p>
    <w:tbl>
      <w:tblPr>
        <w:tblStyle w:val="TableGrid"/>
        <w:tblW w:w="0" w:type="auto"/>
        <w:tblLook w:val="04A0" w:firstRow="1" w:lastRow="0" w:firstColumn="1" w:lastColumn="0" w:noHBand="0" w:noVBand="1"/>
      </w:tblPr>
      <w:tblGrid>
        <w:gridCol w:w="993"/>
        <w:gridCol w:w="4104"/>
        <w:gridCol w:w="1186"/>
        <w:gridCol w:w="2647"/>
      </w:tblGrid>
      <w:tr w:rsidR="00C608CC" w14:paraId="421351B1" w14:textId="77777777" w:rsidTr="00AC2328">
        <w:trPr>
          <w:cnfStyle w:val="100000000000" w:firstRow="1" w:lastRow="0" w:firstColumn="0" w:lastColumn="0" w:oddVBand="0" w:evenVBand="0" w:oddHBand="0" w:evenHBand="0" w:firstRowFirstColumn="0" w:firstRowLastColumn="0" w:lastRowFirstColumn="0" w:lastRowLastColumn="0"/>
          <w:cantSplit w:val="0"/>
          <w:tblHeader w:val="0"/>
        </w:trPr>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FC95E6" w14:textId="77777777" w:rsidR="00C608CC" w:rsidRDefault="00C608CC" w:rsidP="00AF2C20">
            <w:pPr>
              <w:pStyle w:val="TableNheader"/>
              <w:jc w:val="center"/>
              <w:rPr>
                <w:lang w:val="en-US"/>
              </w:rPr>
            </w:pPr>
            <w:r>
              <w:rPr>
                <w:lang w:val="en-US"/>
              </w:rPr>
              <w:t>Number</w:t>
            </w:r>
          </w:p>
        </w:tc>
        <w:tc>
          <w:tcPr>
            <w:tcW w:w="410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C0F4FB3" w14:textId="77777777" w:rsidR="00C608CC" w:rsidRDefault="00C608CC" w:rsidP="00BA2D97">
            <w:pPr>
              <w:pStyle w:val="TableNheader"/>
              <w:rPr>
                <w:lang w:val="en-US"/>
              </w:rPr>
            </w:pPr>
            <w:r>
              <w:rPr>
                <w:lang w:val="en-US"/>
              </w:rPr>
              <w:t xml:space="preserve">Performance </w:t>
            </w:r>
            <w:r w:rsidR="00FC42C6">
              <w:rPr>
                <w:lang w:val="en-US"/>
              </w:rPr>
              <w:t>i</w:t>
            </w:r>
            <w:r>
              <w:rPr>
                <w:lang w:val="en-US"/>
              </w:rPr>
              <w:t>ndicator</w:t>
            </w:r>
          </w:p>
        </w:tc>
        <w:tc>
          <w:tcPr>
            <w:tcW w:w="1186"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2717A3E" w14:textId="77777777" w:rsidR="00C608CC" w:rsidRDefault="00C608CC" w:rsidP="00AF2C20">
            <w:pPr>
              <w:pStyle w:val="TableNheader"/>
              <w:jc w:val="center"/>
              <w:rPr>
                <w:lang w:val="en-US"/>
              </w:rPr>
            </w:pPr>
            <w:r>
              <w:rPr>
                <w:lang w:val="en-US"/>
              </w:rPr>
              <w:t>Target</w:t>
            </w:r>
          </w:p>
        </w:tc>
        <w:tc>
          <w:tcPr>
            <w:tcW w:w="264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66B6BCC" w14:textId="77777777" w:rsidR="00C608CC" w:rsidRDefault="00C608CC" w:rsidP="00BA2D97">
            <w:pPr>
              <w:pStyle w:val="TableNheader"/>
              <w:rPr>
                <w:lang w:val="en-US"/>
              </w:rPr>
            </w:pPr>
            <w:r>
              <w:rPr>
                <w:lang w:val="en-US"/>
              </w:rPr>
              <w:t>Measurement</w:t>
            </w:r>
          </w:p>
        </w:tc>
      </w:tr>
      <w:tr w:rsidR="00C608CC" w14:paraId="3AA6BB71" w14:textId="77777777" w:rsidTr="00AC2328">
        <w:trPr>
          <w:cnfStyle w:val="000000100000" w:firstRow="0" w:lastRow="0" w:firstColumn="0" w:lastColumn="0" w:oddVBand="0" w:evenVBand="0" w:oddHBand="1" w:evenHBand="0" w:firstRowFirstColumn="0" w:firstRowLastColumn="0" w:lastRowFirstColumn="0" w:lastRowLastColumn="0"/>
        </w:trPr>
        <w:tc>
          <w:tcPr>
            <w:tcW w:w="993" w:type="dxa"/>
            <w:tcBorders>
              <w:top w:val="single" w:sz="8" w:space="0" w:color="E6E6E1" w:themeColor="accent5"/>
              <w:left w:val="nil"/>
              <w:bottom w:val="single" w:sz="8" w:space="0" w:color="E6E6E1" w:themeColor="accent5"/>
              <w:right w:val="nil"/>
            </w:tcBorders>
          </w:tcPr>
          <w:p w14:paraId="7A31D24E" w14:textId="77777777" w:rsidR="00C608CC" w:rsidRDefault="00C608CC" w:rsidP="00AF2C20">
            <w:pPr>
              <w:pStyle w:val="TableNText"/>
              <w:jc w:val="center"/>
              <w:rPr>
                <w:lang w:val="en-US"/>
              </w:rPr>
            </w:pPr>
            <w:r>
              <w:rPr>
                <w:lang w:val="en-US"/>
              </w:rPr>
              <w:t>1</w:t>
            </w:r>
          </w:p>
        </w:tc>
        <w:tc>
          <w:tcPr>
            <w:tcW w:w="4104" w:type="dxa"/>
            <w:tcBorders>
              <w:top w:val="single" w:sz="8" w:space="0" w:color="E6E6E1" w:themeColor="accent5"/>
              <w:left w:val="nil"/>
              <w:bottom w:val="single" w:sz="8" w:space="0" w:color="E6E6E1" w:themeColor="accent5"/>
              <w:right w:val="nil"/>
            </w:tcBorders>
            <w:hideMark/>
          </w:tcPr>
          <w:p w14:paraId="645E06D3" w14:textId="77777777" w:rsidR="00C608CC" w:rsidRDefault="00C608CC" w:rsidP="00BA2D97">
            <w:pPr>
              <w:pStyle w:val="TableNText"/>
              <w:rPr>
                <w:lang w:val="en-US"/>
              </w:rPr>
            </w:pPr>
            <w:r>
              <w:rPr>
                <w:lang w:val="en-US"/>
              </w:rPr>
              <w:t>Teacher qualification</w:t>
            </w:r>
          </w:p>
        </w:tc>
        <w:tc>
          <w:tcPr>
            <w:tcW w:w="1186" w:type="dxa"/>
            <w:tcBorders>
              <w:top w:val="single" w:sz="8" w:space="0" w:color="E6E6E1" w:themeColor="accent5"/>
              <w:left w:val="nil"/>
              <w:bottom w:val="single" w:sz="8" w:space="0" w:color="E6E6E1" w:themeColor="accent5"/>
              <w:right w:val="nil"/>
            </w:tcBorders>
            <w:hideMark/>
          </w:tcPr>
          <w:p w14:paraId="0638BCAD" w14:textId="77777777" w:rsidR="00C608CC" w:rsidRDefault="00C608CC" w:rsidP="00AF2C20">
            <w:pPr>
              <w:pStyle w:val="TableNText"/>
              <w:jc w:val="center"/>
              <w:rPr>
                <w:lang w:val="en-US"/>
              </w:rPr>
            </w:pPr>
            <w:r>
              <w:rPr>
                <w:lang w:val="en-US"/>
              </w:rPr>
              <w:t>95%</w:t>
            </w:r>
          </w:p>
        </w:tc>
        <w:tc>
          <w:tcPr>
            <w:tcW w:w="2647" w:type="dxa"/>
            <w:tcBorders>
              <w:top w:val="single" w:sz="8" w:space="0" w:color="E6E6E1" w:themeColor="accent5"/>
              <w:left w:val="nil"/>
              <w:bottom w:val="single" w:sz="8" w:space="0" w:color="E6E6E1" w:themeColor="accent5"/>
              <w:right w:val="nil"/>
            </w:tcBorders>
            <w:hideMark/>
          </w:tcPr>
          <w:p w14:paraId="49AADB2A" w14:textId="77777777" w:rsidR="00C608CC" w:rsidRDefault="00C608CC" w:rsidP="00BA2D97">
            <w:pPr>
              <w:pStyle w:val="TableNText"/>
              <w:rPr>
                <w:lang w:val="en-US"/>
              </w:rPr>
            </w:pPr>
            <w:r>
              <w:rPr>
                <w:lang w:val="en-US"/>
              </w:rPr>
              <w:t>Taken as met since 2014 NQF</w:t>
            </w:r>
          </w:p>
        </w:tc>
      </w:tr>
      <w:tr w:rsidR="00C608CC" w14:paraId="0F16A8FC" w14:textId="77777777" w:rsidTr="00AC2328">
        <w:trPr>
          <w:cnfStyle w:val="000000010000" w:firstRow="0" w:lastRow="0" w:firstColumn="0" w:lastColumn="0" w:oddVBand="0" w:evenVBand="0" w:oddHBand="0" w:evenHBand="1" w:firstRowFirstColumn="0" w:firstRowLastColumn="0" w:lastRowFirstColumn="0" w:lastRowLastColumn="0"/>
        </w:trPr>
        <w:tc>
          <w:tcPr>
            <w:tcW w:w="993" w:type="dxa"/>
            <w:tcBorders>
              <w:top w:val="single" w:sz="8" w:space="0" w:color="E6E6E1" w:themeColor="accent5"/>
              <w:left w:val="nil"/>
              <w:bottom w:val="single" w:sz="8" w:space="0" w:color="E6E6E1" w:themeColor="accent5"/>
              <w:right w:val="nil"/>
            </w:tcBorders>
          </w:tcPr>
          <w:p w14:paraId="2971A815" w14:textId="77777777" w:rsidR="00C608CC" w:rsidRDefault="00C608CC" w:rsidP="00AF2C20">
            <w:pPr>
              <w:pStyle w:val="TableNText"/>
              <w:jc w:val="center"/>
              <w:rPr>
                <w:lang w:val="en-US"/>
              </w:rPr>
            </w:pPr>
            <w:r>
              <w:rPr>
                <w:lang w:val="en-US"/>
              </w:rPr>
              <w:t>2</w:t>
            </w:r>
          </w:p>
        </w:tc>
        <w:tc>
          <w:tcPr>
            <w:tcW w:w="4104" w:type="dxa"/>
            <w:tcBorders>
              <w:top w:val="single" w:sz="8" w:space="0" w:color="E6E6E1" w:themeColor="accent5"/>
              <w:left w:val="nil"/>
              <w:bottom w:val="single" w:sz="8" w:space="0" w:color="E6E6E1" w:themeColor="accent5"/>
              <w:right w:val="nil"/>
            </w:tcBorders>
            <w:hideMark/>
          </w:tcPr>
          <w:p w14:paraId="0849F2CB" w14:textId="77777777" w:rsidR="00C608CC" w:rsidRDefault="00C608CC" w:rsidP="00BA2D97">
            <w:pPr>
              <w:pStyle w:val="TableNText"/>
              <w:rPr>
                <w:lang w:val="en-US"/>
              </w:rPr>
            </w:pPr>
            <w:r>
              <w:rPr>
                <w:lang w:val="en-US"/>
              </w:rPr>
              <w:t>Enrolment in preschool—all children; Indigenous children; vulnerable and disadvantaged children</w:t>
            </w:r>
          </w:p>
        </w:tc>
        <w:tc>
          <w:tcPr>
            <w:tcW w:w="1186" w:type="dxa"/>
            <w:tcBorders>
              <w:top w:val="single" w:sz="8" w:space="0" w:color="E6E6E1" w:themeColor="accent5"/>
              <w:left w:val="nil"/>
              <w:bottom w:val="single" w:sz="8" w:space="0" w:color="E6E6E1" w:themeColor="accent5"/>
              <w:right w:val="nil"/>
            </w:tcBorders>
            <w:hideMark/>
          </w:tcPr>
          <w:p w14:paraId="17F3FBF6" w14:textId="77777777" w:rsidR="00C608CC" w:rsidRDefault="00C608CC" w:rsidP="00AF2C20">
            <w:pPr>
              <w:pStyle w:val="TableNText"/>
              <w:jc w:val="center"/>
              <w:rPr>
                <w:lang w:val="en-US"/>
              </w:rPr>
            </w:pPr>
            <w:r>
              <w:rPr>
                <w:lang w:val="en-US"/>
              </w:rPr>
              <w:t>95%</w:t>
            </w:r>
          </w:p>
        </w:tc>
        <w:tc>
          <w:tcPr>
            <w:tcW w:w="2647" w:type="dxa"/>
            <w:tcBorders>
              <w:top w:val="single" w:sz="8" w:space="0" w:color="E6E6E1" w:themeColor="accent5"/>
              <w:left w:val="nil"/>
              <w:bottom w:val="single" w:sz="8" w:space="0" w:color="E6E6E1" w:themeColor="accent5"/>
              <w:right w:val="nil"/>
            </w:tcBorders>
            <w:hideMark/>
          </w:tcPr>
          <w:p w14:paraId="0615D846" w14:textId="77777777" w:rsidR="00C608CC" w:rsidRDefault="00C608CC" w:rsidP="00BA2D97">
            <w:pPr>
              <w:pStyle w:val="TableNText"/>
              <w:rPr>
                <w:lang w:val="en-US"/>
              </w:rPr>
            </w:pPr>
            <w:r>
              <w:rPr>
                <w:lang w:val="en-US"/>
              </w:rPr>
              <w:t>Number of 4 &amp; 5 YO enrolled (from cohort) / 4YO ERP (from cohort)</w:t>
            </w:r>
          </w:p>
        </w:tc>
      </w:tr>
      <w:tr w:rsidR="00C608CC" w14:paraId="5403CA9F" w14:textId="77777777" w:rsidTr="00AC2328">
        <w:trPr>
          <w:cnfStyle w:val="000000100000" w:firstRow="0" w:lastRow="0" w:firstColumn="0" w:lastColumn="0" w:oddVBand="0" w:evenVBand="0" w:oddHBand="1" w:evenHBand="0" w:firstRowFirstColumn="0" w:firstRowLastColumn="0" w:lastRowFirstColumn="0" w:lastRowLastColumn="0"/>
        </w:trPr>
        <w:tc>
          <w:tcPr>
            <w:tcW w:w="993" w:type="dxa"/>
            <w:tcBorders>
              <w:top w:val="single" w:sz="8" w:space="0" w:color="E6E6E1" w:themeColor="accent5"/>
              <w:left w:val="nil"/>
              <w:bottom w:val="single" w:sz="8" w:space="0" w:color="E6E6E1" w:themeColor="accent5"/>
              <w:right w:val="nil"/>
            </w:tcBorders>
          </w:tcPr>
          <w:p w14:paraId="735D7DD2" w14:textId="77777777" w:rsidR="00C608CC" w:rsidRDefault="00C608CC" w:rsidP="00AF2C20">
            <w:pPr>
              <w:pStyle w:val="TableNText"/>
              <w:jc w:val="center"/>
              <w:rPr>
                <w:lang w:val="en-US"/>
              </w:rPr>
            </w:pPr>
            <w:r>
              <w:rPr>
                <w:lang w:val="en-US"/>
              </w:rPr>
              <w:t>3</w:t>
            </w:r>
          </w:p>
        </w:tc>
        <w:tc>
          <w:tcPr>
            <w:tcW w:w="4104" w:type="dxa"/>
            <w:tcBorders>
              <w:top w:val="single" w:sz="8" w:space="0" w:color="E6E6E1" w:themeColor="accent5"/>
              <w:left w:val="nil"/>
              <w:bottom w:val="single" w:sz="8" w:space="0" w:color="E6E6E1" w:themeColor="accent5"/>
              <w:right w:val="nil"/>
            </w:tcBorders>
            <w:hideMark/>
          </w:tcPr>
          <w:p w14:paraId="64B0DCEB" w14:textId="77777777" w:rsidR="00C608CC" w:rsidRDefault="00C608CC" w:rsidP="00BA2D97">
            <w:pPr>
              <w:pStyle w:val="TableNText"/>
              <w:rPr>
                <w:lang w:val="en-US"/>
              </w:rPr>
            </w:pPr>
            <w:r>
              <w:rPr>
                <w:lang w:val="en-US"/>
              </w:rPr>
              <w:t>Enrolment in 600 hours of preschool—all children; Indigenous children; vulnerable and disadvantaged children</w:t>
            </w:r>
          </w:p>
        </w:tc>
        <w:tc>
          <w:tcPr>
            <w:tcW w:w="1186" w:type="dxa"/>
            <w:tcBorders>
              <w:top w:val="single" w:sz="8" w:space="0" w:color="E6E6E1" w:themeColor="accent5"/>
              <w:left w:val="nil"/>
              <w:bottom w:val="single" w:sz="8" w:space="0" w:color="E6E6E1" w:themeColor="accent5"/>
              <w:right w:val="nil"/>
            </w:tcBorders>
            <w:hideMark/>
          </w:tcPr>
          <w:p w14:paraId="7018187B" w14:textId="77777777" w:rsidR="00C608CC" w:rsidRDefault="00C608CC" w:rsidP="00AF2C20">
            <w:pPr>
              <w:pStyle w:val="TableNText"/>
              <w:jc w:val="center"/>
              <w:rPr>
                <w:lang w:val="en-US"/>
              </w:rPr>
            </w:pPr>
            <w:r>
              <w:rPr>
                <w:lang w:val="en-US"/>
              </w:rPr>
              <w:t>95%</w:t>
            </w:r>
          </w:p>
        </w:tc>
        <w:tc>
          <w:tcPr>
            <w:tcW w:w="2647" w:type="dxa"/>
            <w:tcBorders>
              <w:top w:val="single" w:sz="8" w:space="0" w:color="E6E6E1" w:themeColor="accent5"/>
              <w:left w:val="nil"/>
              <w:bottom w:val="single" w:sz="8" w:space="0" w:color="E6E6E1" w:themeColor="accent5"/>
              <w:right w:val="nil"/>
            </w:tcBorders>
            <w:hideMark/>
          </w:tcPr>
          <w:p w14:paraId="67702336" w14:textId="0EE8D88C" w:rsidR="00C608CC" w:rsidRDefault="00C608CC" w:rsidP="00BA2D97">
            <w:pPr>
              <w:pStyle w:val="TableNText"/>
              <w:rPr>
                <w:lang w:val="en-US"/>
              </w:rPr>
            </w:pPr>
            <w:r>
              <w:rPr>
                <w:lang w:val="en-US"/>
              </w:rPr>
              <w:t>Number of 4&amp;5</w:t>
            </w:r>
            <w:r w:rsidR="00C91F79">
              <w:rPr>
                <w:lang w:val="en-US"/>
              </w:rPr>
              <w:t xml:space="preserve"> YO </w:t>
            </w:r>
            <w:r>
              <w:rPr>
                <w:lang w:val="en-US"/>
              </w:rPr>
              <w:t>enrolled in 600 hours (from cohort) / Number of 4 &amp; 5 YO enrolled (from cohort)</w:t>
            </w:r>
          </w:p>
        </w:tc>
      </w:tr>
      <w:tr w:rsidR="00C608CC" w14:paraId="7F2202A8" w14:textId="77777777" w:rsidTr="00AC2328">
        <w:trPr>
          <w:cnfStyle w:val="000000010000" w:firstRow="0" w:lastRow="0" w:firstColumn="0" w:lastColumn="0" w:oddVBand="0" w:evenVBand="0" w:oddHBand="0" w:evenHBand="1" w:firstRowFirstColumn="0" w:firstRowLastColumn="0" w:lastRowFirstColumn="0" w:lastRowLastColumn="0"/>
        </w:trPr>
        <w:tc>
          <w:tcPr>
            <w:tcW w:w="993" w:type="dxa"/>
            <w:tcBorders>
              <w:top w:val="single" w:sz="8" w:space="0" w:color="E6E6E1" w:themeColor="accent5"/>
              <w:left w:val="nil"/>
              <w:bottom w:val="single" w:sz="8" w:space="0" w:color="E6E6E1" w:themeColor="accent5"/>
              <w:right w:val="nil"/>
            </w:tcBorders>
          </w:tcPr>
          <w:p w14:paraId="30812734" w14:textId="77777777" w:rsidR="00C608CC" w:rsidRDefault="00C608CC" w:rsidP="00AF2C20">
            <w:pPr>
              <w:pStyle w:val="TableNText"/>
              <w:jc w:val="center"/>
              <w:rPr>
                <w:lang w:val="en-US"/>
              </w:rPr>
            </w:pPr>
            <w:r>
              <w:rPr>
                <w:lang w:val="en-US"/>
              </w:rPr>
              <w:t>4</w:t>
            </w:r>
          </w:p>
        </w:tc>
        <w:tc>
          <w:tcPr>
            <w:tcW w:w="4104" w:type="dxa"/>
            <w:tcBorders>
              <w:top w:val="single" w:sz="8" w:space="0" w:color="E6E6E1" w:themeColor="accent5"/>
              <w:left w:val="nil"/>
              <w:bottom w:val="single" w:sz="8" w:space="0" w:color="E6E6E1" w:themeColor="accent5"/>
              <w:right w:val="nil"/>
            </w:tcBorders>
            <w:hideMark/>
          </w:tcPr>
          <w:p w14:paraId="65C9CFE1" w14:textId="77777777" w:rsidR="00C608CC" w:rsidRDefault="00C608CC" w:rsidP="00BA2D97">
            <w:pPr>
              <w:pStyle w:val="TableNText"/>
              <w:rPr>
                <w:lang w:val="en-US"/>
              </w:rPr>
            </w:pPr>
            <w:r>
              <w:rPr>
                <w:lang w:val="en-US"/>
              </w:rPr>
              <w:t xml:space="preserve">Attendance in 600 hours </w:t>
            </w:r>
          </w:p>
        </w:tc>
        <w:tc>
          <w:tcPr>
            <w:tcW w:w="1186" w:type="dxa"/>
            <w:tcBorders>
              <w:top w:val="single" w:sz="8" w:space="0" w:color="E6E6E1" w:themeColor="accent5"/>
              <w:left w:val="nil"/>
              <w:bottom w:val="single" w:sz="8" w:space="0" w:color="E6E6E1" w:themeColor="accent5"/>
              <w:right w:val="nil"/>
            </w:tcBorders>
            <w:hideMark/>
          </w:tcPr>
          <w:p w14:paraId="0A38CA5A" w14:textId="77777777" w:rsidR="00C608CC" w:rsidRDefault="00C608CC" w:rsidP="00AF2C20">
            <w:pPr>
              <w:pStyle w:val="TableNText"/>
              <w:jc w:val="center"/>
              <w:rPr>
                <w:lang w:val="en-US"/>
              </w:rPr>
            </w:pPr>
            <w:r>
              <w:rPr>
                <w:lang w:val="en-US"/>
              </w:rPr>
              <w:t>90% (in IPs)</w:t>
            </w:r>
          </w:p>
        </w:tc>
        <w:tc>
          <w:tcPr>
            <w:tcW w:w="2647" w:type="dxa"/>
            <w:tcBorders>
              <w:top w:val="single" w:sz="8" w:space="0" w:color="E6E6E1" w:themeColor="accent5"/>
              <w:left w:val="nil"/>
              <w:bottom w:val="single" w:sz="8" w:space="0" w:color="E6E6E1" w:themeColor="accent5"/>
              <w:right w:val="nil"/>
            </w:tcBorders>
            <w:hideMark/>
          </w:tcPr>
          <w:p w14:paraId="3FB7897B" w14:textId="77777777" w:rsidR="00C608CC" w:rsidRDefault="00695A76" w:rsidP="00BA2D97">
            <w:pPr>
              <w:pStyle w:val="TableNText"/>
              <w:rPr>
                <w:lang w:val="en-US"/>
              </w:rPr>
            </w:pPr>
            <w:r>
              <w:rPr>
                <w:lang w:val="en-US"/>
              </w:rPr>
              <w:t>Number of</w:t>
            </w:r>
            <w:r w:rsidR="00C608CC">
              <w:rPr>
                <w:lang w:val="en-US"/>
              </w:rPr>
              <w:t xml:space="preserve"> children attending 600 hours / Number of 4 &amp; 5 YO enrolled (from cohort)</w:t>
            </w:r>
          </w:p>
        </w:tc>
      </w:tr>
    </w:tbl>
    <w:p w14:paraId="56CCD21A" w14:textId="77777777" w:rsidR="00595652" w:rsidRDefault="00595652" w:rsidP="00D417CC">
      <w:pPr>
        <w:pStyle w:val="Bullet"/>
      </w:pPr>
    </w:p>
    <w:p w14:paraId="0AA51F04" w14:textId="45CB6DCB" w:rsidR="00D417CC" w:rsidRDefault="00D417CC" w:rsidP="00F2397C">
      <w:pPr>
        <w:spacing w:after="0" w:line="240" w:lineRule="auto"/>
      </w:pPr>
      <w:r>
        <w:lastRenderedPageBreak/>
        <w:t xml:space="preserve">This chapter adopts the methodology for reporting enrolment and attendance figures that is agreed by all governments in the UANP’s performance framework (see </w:t>
      </w:r>
      <w:r w:rsidR="00A7240C">
        <w:fldChar w:fldCharType="begin"/>
      </w:r>
      <w:r w:rsidR="00A7240C">
        <w:instrText xml:space="preserve"> REF _Ref24559412 \n \h </w:instrText>
      </w:r>
      <w:r w:rsidR="00A7240C">
        <w:fldChar w:fldCharType="separate"/>
      </w:r>
      <w:r w:rsidR="00B37785">
        <w:t>Appendix D</w:t>
      </w:r>
      <w:r w:rsidR="00A7240C">
        <w:fldChar w:fldCharType="end"/>
      </w:r>
      <w:r>
        <w:t>). This method counts the number of four and five old years enrolled</w:t>
      </w:r>
      <w:r w:rsidR="00FE4CAB">
        <w:t xml:space="preserve"> as a proxy for YBFS, with the enrolment rates measured over the estimated population of </w:t>
      </w:r>
      <w:proofErr w:type="gramStart"/>
      <w:r w:rsidR="00411ACF">
        <w:t>four</w:t>
      </w:r>
      <w:r w:rsidR="00FE4CAB">
        <w:t xml:space="preserve"> year</w:t>
      </w:r>
      <w:proofErr w:type="gramEnd"/>
      <w:r w:rsidR="00FE4CAB">
        <w:t xml:space="preserve"> </w:t>
      </w:r>
      <w:proofErr w:type="spellStart"/>
      <w:r w:rsidR="00FE4CAB">
        <w:t>olds</w:t>
      </w:r>
      <w:proofErr w:type="spellEnd"/>
      <w:r w:rsidR="00FE4CAB">
        <w:t xml:space="preserve"> (leading to results over 100 per cent).</w:t>
      </w:r>
      <w:r w:rsidR="00FE4CAB" w:rsidDel="00AA3ABC">
        <w:t xml:space="preserve"> </w:t>
      </w:r>
      <w:r>
        <w:t xml:space="preserve">It should be noted that the National Collection has introduced a </w:t>
      </w:r>
      <w:proofErr w:type="gramStart"/>
      <w:r>
        <w:t>state-specific</w:t>
      </w:r>
      <w:proofErr w:type="gramEnd"/>
      <w:r>
        <w:t xml:space="preserve"> YBFS indicator that overcomes many of these challenges and creates different results to some reported in this chapter. The limitations of the UANP’s methodology, and the new </w:t>
      </w:r>
      <w:proofErr w:type="gramStart"/>
      <w:r>
        <w:t>state-specific</w:t>
      </w:r>
      <w:proofErr w:type="gramEnd"/>
      <w:r>
        <w:t xml:space="preserve"> YBFS approach, are discussed in detail in Chapter 4.</w:t>
      </w:r>
    </w:p>
    <w:p w14:paraId="7BA3A1AF" w14:textId="77777777" w:rsidR="009D3917" w:rsidRDefault="0053510D" w:rsidP="00506D80">
      <w:pPr>
        <w:pStyle w:val="Heading4"/>
      </w:pPr>
      <w:r>
        <w:t>S</w:t>
      </w:r>
      <w:r w:rsidR="009D3917">
        <w:t xml:space="preserve">tates and </w:t>
      </w:r>
      <w:r w:rsidR="009C1641">
        <w:t>T</w:t>
      </w:r>
      <w:r w:rsidR="009D3917">
        <w:t>erritories have consistently met the 95</w:t>
      </w:r>
      <w:r w:rsidR="006626BF">
        <w:t xml:space="preserve"> per cent</w:t>
      </w:r>
      <w:r w:rsidR="009D3917">
        <w:t xml:space="preserve"> </w:t>
      </w:r>
      <w:r w:rsidR="008718C1">
        <w:t>enrolment</w:t>
      </w:r>
      <w:r w:rsidR="009D3917">
        <w:t xml:space="preserve"> benchmark</w:t>
      </w:r>
    </w:p>
    <w:p w14:paraId="4F7EB07B" w14:textId="77777777" w:rsidR="00D417CC" w:rsidRDefault="00F435BA" w:rsidP="00D417CC">
      <w:pPr>
        <w:pStyle w:val="Bullet"/>
      </w:pPr>
      <w:r>
        <w:t xml:space="preserve">Significant progress has been made since the first </w:t>
      </w:r>
      <w:r w:rsidR="009C1641">
        <w:t>UANP</w:t>
      </w:r>
      <w:r>
        <w:t xml:space="preserve"> was agreed in 2008 when an estimated 77 per cent of children in the year before full-time school were enrolled</w:t>
      </w:r>
      <w:r w:rsidR="009D3917">
        <w:t>.</w:t>
      </w:r>
      <w:r w:rsidR="00C716E9">
        <w:rPr>
          <w:rStyle w:val="FootnoteReference"/>
        </w:rPr>
        <w:footnoteReference w:id="41"/>
      </w:r>
      <w:r w:rsidR="009D3917">
        <w:t xml:space="preserve"> </w:t>
      </w:r>
      <w:r w:rsidR="0093484E">
        <w:t>National Collection data has been used as a proxy to report on access to quality programs</w:t>
      </w:r>
      <w:r w:rsidR="00A43F33">
        <w:t xml:space="preserve">. </w:t>
      </w:r>
      <w:r w:rsidR="00446C8B">
        <w:t>S</w:t>
      </w:r>
      <w:r>
        <w:t xml:space="preserve">ince 2015, all </w:t>
      </w:r>
      <w:r w:rsidR="00446C8B">
        <w:t>S</w:t>
      </w:r>
      <w:r>
        <w:t xml:space="preserve">tates and </w:t>
      </w:r>
      <w:r w:rsidR="00446C8B">
        <w:t>T</w:t>
      </w:r>
      <w:r>
        <w:t>erritories have consistently met the top benchmark of achieving 95 per cent or above for the proportion of children enrolled in a quality preschool program</w:t>
      </w:r>
      <w:r w:rsidR="009C1641">
        <w:t xml:space="preserve"> in the YBFS</w:t>
      </w:r>
      <w:r w:rsidR="00446C8B">
        <w:t>.</w:t>
      </w:r>
      <w:r w:rsidR="00446C8B">
        <w:rPr>
          <w:rStyle w:val="FootnoteReference"/>
        </w:rPr>
        <w:footnoteReference w:id="42"/>
      </w:r>
      <w:r w:rsidR="00D417CC" w:rsidRPr="00D417CC">
        <w:t xml:space="preserve"> </w:t>
      </w:r>
    </w:p>
    <w:p w14:paraId="35B35E59" w14:textId="77777777" w:rsidR="00BB3FD2" w:rsidRDefault="00BB3FD2" w:rsidP="00506D80">
      <w:pPr>
        <w:pStyle w:val="Heading4"/>
      </w:pPr>
      <w:r>
        <w:t xml:space="preserve">Enrolment in 600 hours a year </w:t>
      </w:r>
      <w:r w:rsidR="009C1641">
        <w:t>grew</w:t>
      </w:r>
      <w:r>
        <w:t xml:space="preserve"> from 12</w:t>
      </w:r>
      <w:r w:rsidR="001219FC">
        <w:t xml:space="preserve"> per cent</w:t>
      </w:r>
      <w:r>
        <w:t xml:space="preserve"> in 2008 to over 95</w:t>
      </w:r>
      <w:r w:rsidR="001219FC">
        <w:t xml:space="preserve"> per cent</w:t>
      </w:r>
      <w:r>
        <w:t xml:space="preserve"> in 2018</w:t>
      </w:r>
    </w:p>
    <w:p w14:paraId="3D373D5F" w14:textId="77777777" w:rsidR="00A43F33" w:rsidRDefault="00A43F33" w:rsidP="008F71D1">
      <w:pPr>
        <w:pStyle w:val="Bullet"/>
      </w:pPr>
      <w:r>
        <w:t xml:space="preserve">The </w:t>
      </w:r>
      <w:r w:rsidR="0006012D">
        <w:t xml:space="preserve">UANP’s </w:t>
      </w:r>
      <w:r>
        <w:t xml:space="preserve">third </w:t>
      </w:r>
      <w:r w:rsidR="00FC42C6">
        <w:t>p</w:t>
      </w:r>
      <w:r w:rsidR="00BD5115">
        <w:t xml:space="preserve">erformance </w:t>
      </w:r>
      <w:r w:rsidR="00FC42C6">
        <w:t>i</w:t>
      </w:r>
      <w:r w:rsidR="00BD5115">
        <w:t>ndicator</w:t>
      </w:r>
      <w:r>
        <w:t xml:space="preserve"> focuse</w:t>
      </w:r>
      <w:r w:rsidR="0006012D">
        <w:t>s</w:t>
      </w:r>
      <w:r>
        <w:t xml:space="preserve"> on program availability and considers</w:t>
      </w:r>
      <w:r w:rsidR="007623E5">
        <w:t xml:space="preserve"> the proportion of </w:t>
      </w:r>
      <w:r>
        <w:t xml:space="preserve">children, enrolled in the </w:t>
      </w:r>
      <w:r w:rsidR="009C1641">
        <w:t>YBFS</w:t>
      </w:r>
      <w:r>
        <w:t xml:space="preserve"> school in </w:t>
      </w:r>
      <w:r w:rsidR="009C1641">
        <w:t>preschool</w:t>
      </w:r>
      <w:r>
        <w:t xml:space="preserve"> program(s) available for 600 hours per year.</w:t>
      </w:r>
    </w:p>
    <w:p w14:paraId="0B3A3277" w14:textId="267E628D" w:rsidR="007623E5" w:rsidRDefault="00A43F33" w:rsidP="008F71D1">
      <w:pPr>
        <w:pStyle w:val="Bullet"/>
      </w:pPr>
      <w:r>
        <w:t>T</w:t>
      </w:r>
      <w:r w:rsidR="007623E5">
        <w:t xml:space="preserve">he proportion of children enrolled in a quality preschool program for 600 hours a year has steadily grown </w:t>
      </w:r>
      <w:r w:rsidR="007268A9">
        <w:t>from 12</w:t>
      </w:r>
      <w:r w:rsidR="00D958A8" w:rsidRPr="00D958A8">
        <w:t xml:space="preserve"> </w:t>
      </w:r>
      <w:r w:rsidR="00D958A8">
        <w:t>per cent</w:t>
      </w:r>
      <w:r w:rsidR="007268A9">
        <w:t xml:space="preserve"> in 2008 to over 95</w:t>
      </w:r>
      <w:r w:rsidR="00D958A8" w:rsidRPr="00D958A8">
        <w:t xml:space="preserve"> </w:t>
      </w:r>
      <w:r w:rsidR="00D958A8">
        <w:t>per cent</w:t>
      </w:r>
      <w:r w:rsidR="007268A9">
        <w:t xml:space="preserve"> in 2018</w:t>
      </w:r>
      <w:r w:rsidR="007623E5">
        <w:t>.</w:t>
      </w:r>
      <w:r w:rsidR="007268A9">
        <w:t xml:space="preserve"> </w:t>
      </w:r>
      <w:r w:rsidR="005401E9">
        <w:fldChar w:fldCharType="begin"/>
      </w:r>
      <w:r w:rsidR="005401E9">
        <w:instrText xml:space="preserve"> REF _Ref24127686 \h </w:instrText>
      </w:r>
      <w:r w:rsidR="005401E9">
        <w:fldChar w:fldCharType="separate"/>
      </w:r>
      <w:r w:rsidR="00B37785">
        <w:t xml:space="preserve">Figure </w:t>
      </w:r>
      <w:r w:rsidR="00B37785">
        <w:rPr>
          <w:noProof/>
        </w:rPr>
        <w:t>11</w:t>
      </w:r>
      <w:r w:rsidR="005401E9">
        <w:fldChar w:fldCharType="end"/>
      </w:r>
      <w:r w:rsidR="005401E9">
        <w:t xml:space="preserve"> </w:t>
      </w:r>
      <w:r w:rsidR="007268A9">
        <w:t>highlights</w:t>
      </w:r>
      <w:r w:rsidR="007623E5">
        <w:t xml:space="preserve"> the </w:t>
      </w:r>
      <w:r w:rsidR="007268A9">
        <w:t>consistent results across States and Territories</w:t>
      </w:r>
      <w:r>
        <w:t>, particularly since 2017</w:t>
      </w:r>
      <w:r w:rsidR="0087116A">
        <w:t xml:space="preserve"> in the p</w:t>
      </w:r>
      <w:r w:rsidR="0087116A" w:rsidRPr="0087116A">
        <w:t>roportion of enrolments of 600 hours in preschool programs</w:t>
      </w:r>
      <w:r w:rsidR="0087116A">
        <w:t xml:space="preserve"> for </w:t>
      </w:r>
      <w:r w:rsidR="00145539">
        <w:t xml:space="preserve">four </w:t>
      </w:r>
      <w:r w:rsidR="0087116A">
        <w:t xml:space="preserve">and </w:t>
      </w:r>
      <w:proofErr w:type="gramStart"/>
      <w:r w:rsidR="00145539">
        <w:t>five</w:t>
      </w:r>
      <w:r w:rsidR="00017CCB">
        <w:t xml:space="preserve"> </w:t>
      </w:r>
      <w:r w:rsidR="0087116A">
        <w:t>year</w:t>
      </w:r>
      <w:r w:rsidR="00017CCB">
        <w:t xml:space="preserve"> </w:t>
      </w:r>
      <w:r w:rsidR="0087116A">
        <w:t>old</w:t>
      </w:r>
      <w:proofErr w:type="gramEnd"/>
      <w:r w:rsidR="0087116A">
        <w:t xml:space="preserve"> children using the U</w:t>
      </w:r>
      <w:r w:rsidR="00A40A62">
        <w:t>AN</w:t>
      </w:r>
      <w:r w:rsidR="0087116A">
        <w:t xml:space="preserve">P </w:t>
      </w:r>
      <w:r w:rsidR="00BD5115">
        <w:t>Performance Indicator</w:t>
      </w:r>
      <w:r w:rsidR="0087116A">
        <w:t xml:space="preserve"> 3 methodology</w:t>
      </w:r>
      <w:r w:rsidR="007623E5">
        <w:t>.</w:t>
      </w:r>
    </w:p>
    <w:p w14:paraId="52AEC79C" w14:textId="16E8DE6A" w:rsidR="00754E79" w:rsidRDefault="00225716" w:rsidP="003E103E">
      <w:pPr>
        <w:pStyle w:val="Caption"/>
        <w:rPr>
          <w:vertAlign w:val="superscript"/>
        </w:rPr>
      </w:pPr>
      <w:bookmarkStart w:id="133" w:name="_Ref24127686"/>
      <w:r>
        <w:t xml:space="preserve">Figure </w:t>
      </w:r>
      <w:r w:rsidR="00B76790">
        <w:fldChar w:fldCharType="begin"/>
      </w:r>
      <w:r w:rsidR="00B76790">
        <w:instrText xml:space="preserve"> SEQ Figure \* ARABIC </w:instrText>
      </w:r>
      <w:r w:rsidR="00B76790">
        <w:fldChar w:fldCharType="separate"/>
      </w:r>
      <w:r w:rsidR="00B37785">
        <w:rPr>
          <w:noProof/>
        </w:rPr>
        <w:t>11</w:t>
      </w:r>
      <w:r w:rsidR="00B76790">
        <w:fldChar w:fldCharType="end"/>
      </w:r>
      <w:bookmarkEnd w:id="133"/>
      <w:r w:rsidR="0026122D">
        <w:t xml:space="preserve"> | </w:t>
      </w:r>
      <w:r w:rsidR="0026122D" w:rsidRPr="00F240AA">
        <w:t xml:space="preserve">Proportion of </w:t>
      </w:r>
      <w:r w:rsidR="000419A2">
        <w:t xml:space="preserve">children enrolled </w:t>
      </w:r>
      <w:r w:rsidR="0026122D" w:rsidRPr="00F240AA">
        <w:t xml:space="preserve">in preschool programs </w:t>
      </w:r>
      <w:r w:rsidR="000419A2">
        <w:t>for 60</w:t>
      </w:r>
      <w:r w:rsidR="004214BE">
        <w:t>0 hours</w:t>
      </w:r>
      <w:r w:rsidR="0026122D">
        <w:t xml:space="preserve"> (PI</w:t>
      </w:r>
      <w:r w:rsidR="004214BE">
        <w:t>3</w:t>
      </w:r>
      <w:r w:rsidR="0026122D">
        <w:t>.1)</w:t>
      </w:r>
      <w:r w:rsidR="0026122D">
        <w:rPr>
          <w:rStyle w:val="FootnoteReference"/>
        </w:rPr>
        <w:footnoteReference w:id="43"/>
      </w:r>
      <w:r w:rsidR="0026122D" w:rsidRPr="00C229D5">
        <w:rPr>
          <w:vertAlign w:val="superscript"/>
        </w:rPr>
        <w:t>,</w:t>
      </w:r>
      <w:r w:rsidR="0026122D">
        <w:rPr>
          <w:rStyle w:val="FootnoteReference"/>
        </w:rPr>
        <w:footnoteReference w:id="44"/>
      </w:r>
    </w:p>
    <w:p w14:paraId="4E8E89B5" w14:textId="77777777" w:rsidR="00A005F2" w:rsidRDefault="00A57CE2" w:rsidP="00A57CE2">
      <w:r>
        <w:rPr>
          <w:noProof/>
          <w:lang w:eastAsia="en-AU"/>
        </w:rPr>
        <w:drawing>
          <wp:inline distT="0" distB="0" distL="0" distR="0" wp14:anchorId="75845C20" wp14:editId="5CEC6859">
            <wp:extent cx="5670000" cy="2786400"/>
            <wp:effectExtent l="0" t="0" r="6985" b="0"/>
            <wp:docPr id="19" name="Picture 19" descr="Graph showing proportion of children enrolled in preschool programs for 600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proportion of children enrolled in preschool programs for 600 hours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0000" cy="2786400"/>
                    </a:xfrm>
                    <a:prstGeom prst="rect">
                      <a:avLst/>
                    </a:prstGeom>
                    <a:solidFill>
                      <a:schemeClr val="accent5"/>
                    </a:solidFill>
                  </pic:spPr>
                </pic:pic>
              </a:graphicData>
            </a:graphic>
          </wp:inline>
        </w:drawing>
      </w:r>
    </w:p>
    <w:tbl>
      <w:tblPr>
        <w:tblStyle w:val="NousTableTopandside"/>
        <w:tblW w:w="4999" w:type="pct"/>
        <w:tblLook w:val="04A0" w:firstRow="1" w:lastRow="0" w:firstColumn="1" w:lastColumn="0" w:noHBand="0" w:noVBand="1"/>
      </w:tblPr>
      <w:tblGrid>
        <w:gridCol w:w="897"/>
        <w:gridCol w:w="897"/>
        <w:gridCol w:w="896"/>
        <w:gridCol w:w="896"/>
        <w:gridCol w:w="896"/>
        <w:gridCol w:w="896"/>
        <w:gridCol w:w="896"/>
        <w:gridCol w:w="896"/>
        <w:gridCol w:w="896"/>
        <w:gridCol w:w="862"/>
      </w:tblGrid>
      <w:tr w:rsidR="00225716" w14:paraId="4A3E699E" w14:textId="77777777" w:rsidTr="00871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tcBorders>
              <w:top w:val="none" w:sz="0" w:space="0" w:color="auto"/>
              <w:left w:val="none" w:sz="0" w:space="0" w:color="auto"/>
              <w:right w:val="none" w:sz="0" w:space="0" w:color="auto"/>
            </w:tcBorders>
            <w:vAlign w:val="top"/>
          </w:tcPr>
          <w:p w14:paraId="4D45BF6B" w14:textId="77777777" w:rsidR="00225716" w:rsidRPr="0087116A" w:rsidRDefault="00225716" w:rsidP="009E5B44">
            <w:pPr>
              <w:pStyle w:val="TableNheader"/>
              <w:spacing w:before="0" w:after="0"/>
              <w:rPr>
                <w:sz w:val="17"/>
                <w:szCs w:val="17"/>
              </w:rPr>
            </w:pPr>
            <w:r w:rsidRPr="0087116A">
              <w:rPr>
                <w:sz w:val="17"/>
                <w:szCs w:val="17"/>
              </w:rPr>
              <w:lastRenderedPageBreak/>
              <w:t>Year</w:t>
            </w:r>
          </w:p>
        </w:tc>
        <w:tc>
          <w:tcPr>
            <w:tcW w:w="502" w:type="pct"/>
            <w:tcBorders>
              <w:top w:val="none" w:sz="0" w:space="0" w:color="auto"/>
              <w:left w:val="none" w:sz="0" w:space="0" w:color="auto"/>
              <w:right w:val="none" w:sz="0" w:space="0" w:color="auto"/>
            </w:tcBorders>
            <w:vAlign w:val="top"/>
          </w:tcPr>
          <w:p w14:paraId="07CD3D79" w14:textId="77777777" w:rsidR="00DD44DE" w:rsidRPr="0087116A" w:rsidRDefault="00DD44DE" w:rsidP="00DD44DE">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Aust.</w:t>
            </w:r>
          </w:p>
        </w:tc>
        <w:tc>
          <w:tcPr>
            <w:tcW w:w="501" w:type="pct"/>
            <w:tcBorders>
              <w:top w:val="none" w:sz="0" w:space="0" w:color="auto"/>
              <w:left w:val="none" w:sz="0" w:space="0" w:color="auto"/>
              <w:right w:val="none" w:sz="0" w:space="0" w:color="auto"/>
            </w:tcBorders>
            <w:vAlign w:val="top"/>
          </w:tcPr>
          <w:p w14:paraId="67BBF703"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NSW</w:t>
            </w:r>
          </w:p>
        </w:tc>
        <w:tc>
          <w:tcPr>
            <w:tcW w:w="502" w:type="pct"/>
            <w:tcBorders>
              <w:top w:val="none" w:sz="0" w:space="0" w:color="auto"/>
              <w:left w:val="none" w:sz="0" w:space="0" w:color="auto"/>
              <w:right w:val="none" w:sz="0" w:space="0" w:color="auto"/>
            </w:tcBorders>
            <w:vAlign w:val="top"/>
          </w:tcPr>
          <w:p w14:paraId="310026CD"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Vic.</w:t>
            </w:r>
          </w:p>
        </w:tc>
        <w:tc>
          <w:tcPr>
            <w:tcW w:w="502" w:type="pct"/>
            <w:tcBorders>
              <w:top w:val="none" w:sz="0" w:space="0" w:color="auto"/>
              <w:left w:val="none" w:sz="0" w:space="0" w:color="auto"/>
              <w:right w:val="none" w:sz="0" w:space="0" w:color="auto"/>
            </w:tcBorders>
            <w:vAlign w:val="top"/>
          </w:tcPr>
          <w:p w14:paraId="6DDD51D9"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Qld</w:t>
            </w:r>
          </w:p>
        </w:tc>
        <w:tc>
          <w:tcPr>
            <w:tcW w:w="502" w:type="pct"/>
            <w:tcBorders>
              <w:top w:val="none" w:sz="0" w:space="0" w:color="auto"/>
              <w:left w:val="none" w:sz="0" w:space="0" w:color="auto"/>
              <w:right w:val="none" w:sz="0" w:space="0" w:color="auto"/>
            </w:tcBorders>
            <w:vAlign w:val="top"/>
          </w:tcPr>
          <w:p w14:paraId="5E99E7B1"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SA</w:t>
            </w:r>
          </w:p>
        </w:tc>
        <w:tc>
          <w:tcPr>
            <w:tcW w:w="502" w:type="pct"/>
            <w:tcBorders>
              <w:top w:val="none" w:sz="0" w:space="0" w:color="auto"/>
              <w:left w:val="none" w:sz="0" w:space="0" w:color="auto"/>
              <w:right w:val="none" w:sz="0" w:space="0" w:color="auto"/>
            </w:tcBorders>
            <w:vAlign w:val="top"/>
          </w:tcPr>
          <w:p w14:paraId="515A66DD"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WA</w:t>
            </w:r>
          </w:p>
        </w:tc>
        <w:tc>
          <w:tcPr>
            <w:tcW w:w="502" w:type="pct"/>
            <w:tcBorders>
              <w:top w:val="none" w:sz="0" w:space="0" w:color="auto"/>
              <w:left w:val="none" w:sz="0" w:space="0" w:color="auto"/>
              <w:right w:val="none" w:sz="0" w:space="0" w:color="auto"/>
            </w:tcBorders>
            <w:vAlign w:val="top"/>
          </w:tcPr>
          <w:p w14:paraId="142905E7"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Tas.</w:t>
            </w:r>
          </w:p>
        </w:tc>
        <w:tc>
          <w:tcPr>
            <w:tcW w:w="502" w:type="pct"/>
            <w:tcBorders>
              <w:top w:val="none" w:sz="0" w:space="0" w:color="auto"/>
              <w:left w:val="none" w:sz="0" w:space="0" w:color="auto"/>
              <w:right w:val="none" w:sz="0" w:space="0" w:color="auto"/>
            </w:tcBorders>
            <w:vAlign w:val="top"/>
          </w:tcPr>
          <w:p w14:paraId="04D42BB0"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NT</w:t>
            </w:r>
          </w:p>
        </w:tc>
        <w:tc>
          <w:tcPr>
            <w:tcW w:w="484" w:type="pct"/>
            <w:tcBorders>
              <w:top w:val="none" w:sz="0" w:space="0" w:color="auto"/>
              <w:left w:val="none" w:sz="0" w:space="0" w:color="auto"/>
            </w:tcBorders>
            <w:vAlign w:val="top"/>
          </w:tcPr>
          <w:p w14:paraId="5A9CBE53" w14:textId="77777777" w:rsidR="00225716" w:rsidRPr="0087116A" w:rsidRDefault="00225716" w:rsidP="009E5B44">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87116A">
              <w:rPr>
                <w:sz w:val="17"/>
                <w:szCs w:val="17"/>
              </w:rPr>
              <w:t>ACT</w:t>
            </w:r>
          </w:p>
        </w:tc>
      </w:tr>
      <w:tr w:rsidR="00225716" w14:paraId="61F5A723"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5766A8B7" w14:textId="77777777" w:rsidR="00225716" w:rsidRPr="0087116A" w:rsidRDefault="00225716" w:rsidP="009E5B44">
            <w:pPr>
              <w:pStyle w:val="TableNheader"/>
              <w:spacing w:before="0" w:after="0"/>
              <w:rPr>
                <w:sz w:val="17"/>
                <w:szCs w:val="17"/>
              </w:rPr>
            </w:pPr>
            <w:r w:rsidRPr="0087116A">
              <w:rPr>
                <w:sz w:val="17"/>
                <w:szCs w:val="17"/>
              </w:rPr>
              <w:t>2013</w:t>
            </w:r>
          </w:p>
        </w:tc>
        <w:tc>
          <w:tcPr>
            <w:tcW w:w="502" w:type="pct"/>
            <w:vAlign w:val="bottom"/>
          </w:tcPr>
          <w:p w14:paraId="186357EA"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82%</w:t>
            </w:r>
          </w:p>
        </w:tc>
        <w:tc>
          <w:tcPr>
            <w:tcW w:w="501" w:type="pct"/>
            <w:vAlign w:val="bottom"/>
          </w:tcPr>
          <w:p w14:paraId="363060E8"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59</w:t>
            </w:r>
            <w:r w:rsidR="00225716" w:rsidRPr="0C5679B2">
              <w:rPr>
                <w:rFonts w:asciiTheme="minorHAnsi" w:hAnsiTheme="minorHAnsi"/>
                <w:color w:val="000000"/>
              </w:rPr>
              <w:t>%</w:t>
            </w:r>
          </w:p>
        </w:tc>
        <w:tc>
          <w:tcPr>
            <w:tcW w:w="502" w:type="pct"/>
            <w:vAlign w:val="bottom"/>
          </w:tcPr>
          <w:p w14:paraId="79028742"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85</w:t>
            </w:r>
            <w:r w:rsidR="00225716" w:rsidRPr="0C5679B2">
              <w:rPr>
                <w:rFonts w:asciiTheme="minorHAnsi" w:hAnsiTheme="minorHAnsi"/>
                <w:color w:val="000000"/>
              </w:rPr>
              <w:t>%</w:t>
            </w:r>
          </w:p>
        </w:tc>
        <w:tc>
          <w:tcPr>
            <w:tcW w:w="502" w:type="pct"/>
            <w:vAlign w:val="bottom"/>
          </w:tcPr>
          <w:p w14:paraId="710BED27"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7195ECD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87</w:t>
            </w:r>
            <w:r w:rsidR="00225716" w:rsidRPr="0C5679B2">
              <w:rPr>
                <w:rFonts w:asciiTheme="minorHAnsi" w:hAnsiTheme="minorHAnsi"/>
                <w:color w:val="000000"/>
              </w:rPr>
              <w:t>%</w:t>
            </w:r>
          </w:p>
        </w:tc>
        <w:tc>
          <w:tcPr>
            <w:tcW w:w="502" w:type="pct"/>
            <w:vAlign w:val="bottom"/>
          </w:tcPr>
          <w:p w14:paraId="1FAD2305"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502541F8"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4060A80D"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93</w:t>
            </w:r>
            <w:r w:rsidR="00225716" w:rsidRPr="0C5679B2">
              <w:rPr>
                <w:rFonts w:asciiTheme="minorHAnsi" w:hAnsiTheme="minorHAnsi"/>
                <w:color w:val="000000"/>
              </w:rPr>
              <w:t>%</w:t>
            </w:r>
          </w:p>
        </w:tc>
        <w:tc>
          <w:tcPr>
            <w:tcW w:w="484" w:type="pct"/>
            <w:vAlign w:val="bottom"/>
          </w:tcPr>
          <w:p w14:paraId="571BD636"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r>
      <w:tr w:rsidR="00225716" w14:paraId="7C35FB89"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2819DB88" w14:textId="77777777" w:rsidR="00225716" w:rsidRPr="0087116A" w:rsidRDefault="00225716" w:rsidP="009E5B44">
            <w:pPr>
              <w:pStyle w:val="TableNheader"/>
              <w:spacing w:before="0" w:after="0"/>
              <w:rPr>
                <w:sz w:val="17"/>
                <w:szCs w:val="17"/>
              </w:rPr>
            </w:pPr>
            <w:r w:rsidRPr="0087116A">
              <w:rPr>
                <w:sz w:val="17"/>
                <w:szCs w:val="17"/>
              </w:rPr>
              <w:t>2014</w:t>
            </w:r>
          </w:p>
        </w:tc>
        <w:tc>
          <w:tcPr>
            <w:tcW w:w="502" w:type="pct"/>
            <w:vAlign w:val="bottom"/>
          </w:tcPr>
          <w:p w14:paraId="0307C6E1"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93%</w:t>
            </w:r>
          </w:p>
        </w:tc>
        <w:tc>
          <w:tcPr>
            <w:tcW w:w="501" w:type="pct"/>
            <w:vAlign w:val="bottom"/>
          </w:tcPr>
          <w:p w14:paraId="5C654A60"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87</w:t>
            </w:r>
            <w:r w:rsidR="00225716" w:rsidRPr="0C5679B2">
              <w:rPr>
                <w:rFonts w:asciiTheme="minorHAnsi" w:hAnsiTheme="minorHAnsi"/>
                <w:color w:val="000000"/>
              </w:rPr>
              <w:t>%</w:t>
            </w:r>
          </w:p>
        </w:tc>
        <w:tc>
          <w:tcPr>
            <w:tcW w:w="502" w:type="pct"/>
            <w:vAlign w:val="bottom"/>
          </w:tcPr>
          <w:p w14:paraId="34E33E43"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502" w:type="pct"/>
            <w:vAlign w:val="bottom"/>
          </w:tcPr>
          <w:p w14:paraId="0CD864B6"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649C61D2"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93</w:t>
            </w:r>
            <w:r w:rsidR="00225716" w:rsidRPr="0C5679B2">
              <w:rPr>
                <w:rFonts w:asciiTheme="minorHAnsi" w:hAnsiTheme="minorHAnsi"/>
                <w:color w:val="000000"/>
              </w:rPr>
              <w:t>%</w:t>
            </w:r>
          </w:p>
        </w:tc>
        <w:tc>
          <w:tcPr>
            <w:tcW w:w="502" w:type="pct"/>
            <w:vAlign w:val="bottom"/>
          </w:tcPr>
          <w:p w14:paraId="5E61AEF9"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93</w:t>
            </w:r>
            <w:r w:rsidR="00225716" w:rsidRPr="0C5679B2">
              <w:rPr>
                <w:rFonts w:asciiTheme="minorHAnsi" w:hAnsiTheme="minorHAnsi"/>
                <w:color w:val="000000"/>
              </w:rPr>
              <w:t>%</w:t>
            </w:r>
          </w:p>
        </w:tc>
        <w:tc>
          <w:tcPr>
            <w:tcW w:w="502" w:type="pct"/>
            <w:vAlign w:val="bottom"/>
          </w:tcPr>
          <w:p w14:paraId="64825FB2"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502" w:type="pct"/>
            <w:vAlign w:val="bottom"/>
          </w:tcPr>
          <w:p w14:paraId="789E1650"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484" w:type="pct"/>
            <w:vAlign w:val="bottom"/>
          </w:tcPr>
          <w:p w14:paraId="63CAF56B"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93</w:t>
            </w:r>
            <w:r w:rsidR="00225716" w:rsidRPr="0C5679B2">
              <w:rPr>
                <w:rFonts w:asciiTheme="minorHAnsi" w:hAnsiTheme="minorHAnsi"/>
                <w:color w:val="000000"/>
              </w:rPr>
              <w:t>%</w:t>
            </w:r>
          </w:p>
        </w:tc>
      </w:tr>
      <w:tr w:rsidR="00225716" w14:paraId="48B6619F"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3DFFA5AA" w14:textId="77777777" w:rsidR="00225716" w:rsidRPr="0087116A" w:rsidRDefault="00225716" w:rsidP="009E5B44">
            <w:pPr>
              <w:pStyle w:val="TableNheader"/>
              <w:spacing w:before="0" w:after="0"/>
              <w:rPr>
                <w:sz w:val="17"/>
                <w:szCs w:val="17"/>
              </w:rPr>
            </w:pPr>
            <w:r w:rsidRPr="0087116A">
              <w:rPr>
                <w:sz w:val="17"/>
                <w:szCs w:val="17"/>
              </w:rPr>
              <w:t>2015</w:t>
            </w:r>
          </w:p>
        </w:tc>
        <w:tc>
          <w:tcPr>
            <w:tcW w:w="502" w:type="pct"/>
            <w:vAlign w:val="bottom"/>
          </w:tcPr>
          <w:p w14:paraId="13833E02"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91%</w:t>
            </w:r>
          </w:p>
        </w:tc>
        <w:tc>
          <w:tcPr>
            <w:tcW w:w="501" w:type="pct"/>
            <w:vAlign w:val="bottom"/>
          </w:tcPr>
          <w:p w14:paraId="2CEE7EA3"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77</w:t>
            </w:r>
            <w:r w:rsidR="00225716" w:rsidRPr="0C5679B2">
              <w:rPr>
                <w:rFonts w:asciiTheme="minorHAnsi" w:hAnsiTheme="minorHAnsi"/>
                <w:color w:val="000000"/>
              </w:rPr>
              <w:t>%</w:t>
            </w:r>
          </w:p>
        </w:tc>
        <w:tc>
          <w:tcPr>
            <w:tcW w:w="502" w:type="pct"/>
            <w:vAlign w:val="bottom"/>
          </w:tcPr>
          <w:p w14:paraId="547CF7A0"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593488BE"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4F6ED623"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6A19D2E1"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7BBBFD97"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75FC93B8"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484" w:type="pct"/>
            <w:vAlign w:val="bottom"/>
          </w:tcPr>
          <w:p w14:paraId="75BC026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r>
      <w:tr w:rsidR="00225716" w14:paraId="16D7BA73"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17CBF000" w14:textId="77777777" w:rsidR="00225716" w:rsidRPr="0087116A" w:rsidRDefault="00225716" w:rsidP="009E5B44">
            <w:pPr>
              <w:pStyle w:val="TableNheader"/>
              <w:spacing w:before="0" w:after="0"/>
              <w:rPr>
                <w:sz w:val="17"/>
                <w:szCs w:val="17"/>
              </w:rPr>
            </w:pPr>
            <w:r w:rsidRPr="0087116A">
              <w:rPr>
                <w:sz w:val="17"/>
                <w:szCs w:val="17"/>
              </w:rPr>
              <w:t>2016</w:t>
            </w:r>
          </w:p>
        </w:tc>
        <w:tc>
          <w:tcPr>
            <w:tcW w:w="502" w:type="pct"/>
            <w:vAlign w:val="bottom"/>
          </w:tcPr>
          <w:p w14:paraId="05C2DE4F"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93%</w:t>
            </w:r>
          </w:p>
        </w:tc>
        <w:tc>
          <w:tcPr>
            <w:tcW w:w="501" w:type="pct"/>
            <w:vAlign w:val="bottom"/>
          </w:tcPr>
          <w:p w14:paraId="1FD739EB"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85</w:t>
            </w:r>
            <w:r w:rsidR="00225716" w:rsidRPr="0C5679B2">
              <w:rPr>
                <w:rFonts w:asciiTheme="minorHAnsi" w:hAnsiTheme="minorHAnsi"/>
                <w:color w:val="000000"/>
              </w:rPr>
              <w:t>%</w:t>
            </w:r>
          </w:p>
        </w:tc>
        <w:tc>
          <w:tcPr>
            <w:tcW w:w="502" w:type="pct"/>
            <w:vAlign w:val="bottom"/>
          </w:tcPr>
          <w:p w14:paraId="1ED5AF36"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502" w:type="pct"/>
            <w:vAlign w:val="bottom"/>
          </w:tcPr>
          <w:p w14:paraId="06AF5EF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10DC0ED8"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65321C67"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4E789480"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02E5E0B9"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484" w:type="pct"/>
            <w:vAlign w:val="bottom"/>
          </w:tcPr>
          <w:p w14:paraId="47EAD41A"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r>
      <w:tr w:rsidR="00225716" w14:paraId="11584576"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6D187F74" w14:textId="77777777" w:rsidR="00225716" w:rsidRPr="0087116A" w:rsidRDefault="00225716" w:rsidP="009E5B44">
            <w:pPr>
              <w:pStyle w:val="TableNheader"/>
              <w:spacing w:before="0" w:after="0"/>
              <w:rPr>
                <w:sz w:val="17"/>
                <w:szCs w:val="17"/>
              </w:rPr>
            </w:pPr>
            <w:r w:rsidRPr="0087116A">
              <w:rPr>
                <w:sz w:val="17"/>
                <w:szCs w:val="17"/>
              </w:rPr>
              <w:t>2017</w:t>
            </w:r>
          </w:p>
        </w:tc>
        <w:tc>
          <w:tcPr>
            <w:tcW w:w="502" w:type="pct"/>
            <w:vAlign w:val="bottom"/>
          </w:tcPr>
          <w:p w14:paraId="5FDE6F63"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96%</w:t>
            </w:r>
          </w:p>
        </w:tc>
        <w:tc>
          <w:tcPr>
            <w:tcW w:w="501" w:type="pct"/>
            <w:vAlign w:val="bottom"/>
          </w:tcPr>
          <w:p w14:paraId="736418AE"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94</w:t>
            </w:r>
            <w:r w:rsidR="00225716" w:rsidRPr="0C5679B2">
              <w:rPr>
                <w:rFonts w:asciiTheme="minorHAnsi" w:hAnsiTheme="minorHAnsi"/>
                <w:color w:val="000000"/>
              </w:rPr>
              <w:t>%</w:t>
            </w:r>
          </w:p>
        </w:tc>
        <w:tc>
          <w:tcPr>
            <w:tcW w:w="502" w:type="pct"/>
            <w:vAlign w:val="bottom"/>
          </w:tcPr>
          <w:p w14:paraId="6213C4BE"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502" w:type="pct"/>
            <w:vAlign w:val="bottom"/>
          </w:tcPr>
          <w:p w14:paraId="2B6F9ED7"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742D7492"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502" w:type="pct"/>
            <w:vAlign w:val="bottom"/>
          </w:tcPr>
          <w:p w14:paraId="0EDDF669"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7442C6E0"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40D46A13"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r w:rsidR="00225716" w:rsidRPr="0C5679B2">
              <w:rPr>
                <w:rFonts w:asciiTheme="minorHAnsi" w:hAnsiTheme="minorHAnsi"/>
                <w:color w:val="000000"/>
              </w:rPr>
              <w:t>%</w:t>
            </w:r>
          </w:p>
        </w:tc>
        <w:tc>
          <w:tcPr>
            <w:tcW w:w="484" w:type="pct"/>
            <w:vAlign w:val="bottom"/>
          </w:tcPr>
          <w:p w14:paraId="2FF6278E"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r>
      <w:tr w:rsidR="00225716" w14:paraId="633BBAFD" w14:textId="77777777" w:rsidTr="0087116A">
        <w:tc>
          <w:tcPr>
            <w:cnfStyle w:val="001000000000" w:firstRow="0" w:lastRow="0" w:firstColumn="1" w:lastColumn="0" w:oddVBand="0" w:evenVBand="0" w:oddHBand="0" w:evenHBand="0" w:firstRowFirstColumn="0" w:firstRowLastColumn="0" w:lastRowFirstColumn="0" w:lastRowLastColumn="0"/>
            <w:tcW w:w="502" w:type="pct"/>
          </w:tcPr>
          <w:p w14:paraId="026D6F4D" w14:textId="77777777" w:rsidR="00225716" w:rsidRPr="0087116A" w:rsidRDefault="00225716" w:rsidP="009E5B44">
            <w:pPr>
              <w:pStyle w:val="TableNheader"/>
              <w:spacing w:before="0" w:after="0"/>
              <w:rPr>
                <w:sz w:val="17"/>
                <w:szCs w:val="17"/>
              </w:rPr>
            </w:pPr>
            <w:r w:rsidRPr="0087116A">
              <w:rPr>
                <w:sz w:val="17"/>
                <w:szCs w:val="17"/>
              </w:rPr>
              <w:t>2018</w:t>
            </w:r>
          </w:p>
        </w:tc>
        <w:tc>
          <w:tcPr>
            <w:tcW w:w="502" w:type="pct"/>
            <w:vAlign w:val="bottom"/>
          </w:tcPr>
          <w:p w14:paraId="3B538FA0" w14:textId="77777777" w:rsidR="00DD44DE" w:rsidRPr="00F040BA" w:rsidRDefault="00DD44DE" w:rsidP="00DD44DE">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C5679B2">
              <w:rPr>
                <w:rFonts w:asciiTheme="minorHAnsi" w:hAnsiTheme="minorHAnsi"/>
                <w:color w:val="000000"/>
              </w:rPr>
              <w:t>95%</w:t>
            </w:r>
          </w:p>
        </w:tc>
        <w:tc>
          <w:tcPr>
            <w:tcW w:w="501" w:type="pct"/>
            <w:vAlign w:val="bottom"/>
          </w:tcPr>
          <w:p w14:paraId="0FB9BEE1"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93</w:t>
            </w:r>
            <w:r w:rsidR="00225716" w:rsidRPr="0C5679B2">
              <w:rPr>
                <w:rFonts w:asciiTheme="minorHAnsi" w:hAnsiTheme="minorHAnsi"/>
                <w:color w:val="000000"/>
              </w:rPr>
              <w:t>%</w:t>
            </w:r>
          </w:p>
        </w:tc>
        <w:tc>
          <w:tcPr>
            <w:tcW w:w="502" w:type="pct"/>
            <w:vAlign w:val="bottom"/>
          </w:tcPr>
          <w:p w14:paraId="63DC685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199CEBEA"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34133CF6"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97</w:t>
            </w:r>
            <w:r w:rsidR="00225716" w:rsidRPr="0C5679B2">
              <w:rPr>
                <w:rFonts w:asciiTheme="minorHAnsi" w:hAnsiTheme="minorHAnsi"/>
                <w:color w:val="000000"/>
              </w:rPr>
              <w:t>%</w:t>
            </w:r>
          </w:p>
        </w:tc>
        <w:tc>
          <w:tcPr>
            <w:tcW w:w="502" w:type="pct"/>
            <w:vAlign w:val="bottom"/>
          </w:tcPr>
          <w:p w14:paraId="611671B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c>
          <w:tcPr>
            <w:tcW w:w="502" w:type="pct"/>
            <w:vAlign w:val="bottom"/>
          </w:tcPr>
          <w:p w14:paraId="3516980F"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95</w:t>
            </w:r>
            <w:r w:rsidR="00225716" w:rsidRPr="0C5679B2">
              <w:rPr>
                <w:rFonts w:asciiTheme="minorHAnsi" w:hAnsiTheme="minorHAnsi"/>
                <w:color w:val="000000"/>
              </w:rPr>
              <w:t>%</w:t>
            </w:r>
          </w:p>
        </w:tc>
        <w:tc>
          <w:tcPr>
            <w:tcW w:w="502" w:type="pct"/>
            <w:vAlign w:val="bottom"/>
          </w:tcPr>
          <w:p w14:paraId="3ED451F7" w14:textId="77777777" w:rsidR="00225716" w:rsidRPr="00F040BA" w:rsidRDefault="00225716"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98%</w:t>
            </w:r>
          </w:p>
        </w:tc>
        <w:tc>
          <w:tcPr>
            <w:tcW w:w="484" w:type="pct"/>
            <w:vAlign w:val="bottom"/>
          </w:tcPr>
          <w:p w14:paraId="72593463" w14:textId="77777777" w:rsidR="00225716" w:rsidRPr="00F040BA" w:rsidRDefault="00DD44DE" w:rsidP="009E5B44">
            <w:pPr>
              <w:pStyle w:val="TableNText"/>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C5679B2">
              <w:rPr>
                <w:rFonts w:asciiTheme="minorHAnsi" w:hAnsiTheme="minorHAnsi"/>
                <w:color w:val="000000"/>
              </w:rPr>
              <w:t>96</w:t>
            </w:r>
            <w:r w:rsidR="00225716" w:rsidRPr="0C5679B2">
              <w:rPr>
                <w:rFonts w:asciiTheme="minorHAnsi" w:hAnsiTheme="minorHAnsi"/>
                <w:color w:val="000000"/>
              </w:rPr>
              <w:t>%</w:t>
            </w:r>
          </w:p>
        </w:tc>
      </w:tr>
    </w:tbl>
    <w:p w14:paraId="05817406" w14:textId="77777777" w:rsidR="00E87932" w:rsidRDefault="00E87932" w:rsidP="00E87932"/>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FF0394" w14:paraId="149FA666" w14:textId="77777777" w:rsidTr="00B16F44">
        <w:tc>
          <w:tcPr>
            <w:tcW w:w="8930" w:type="dxa"/>
            <w:shd w:val="clear" w:color="auto" w:fill="00264D" w:themeFill="background2"/>
          </w:tcPr>
          <w:p w14:paraId="524CC42C" w14:textId="77777777" w:rsidR="00FF0394" w:rsidRPr="006C71B3" w:rsidRDefault="00FF0394" w:rsidP="00B16F44">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1</w:t>
            </w:r>
          </w:p>
          <w:p w14:paraId="660EBC73" w14:textId="77777777" w:rsidR="00FF0394" w:rsidRDefault="00FF0394" w:rsidP="00B16F44">
            <w:pPr>
              <w:pStyle w:val="Longformcallout"/>
              <w:spacing w:after="0"/>
              <w:rPr>
                <w:rFonts w:asciiTheme="majorHAnsi" w:hAnsiTheme="majorHAnsi" w:cstheme="majorBidi"/>
                <w:color w:val="FFFFFF" w:themeColor="background1"/>
                <w:sz w:val="20"/>
                <w:szCs w:val="20"/>
              </w:rPr>
            </w:pPr>
            <w:r w:rsidRPr="00B50889">
              <w:rPr>
                <w:rFonts w:asciiTheme="majorHAnsi" w:hAnsiTheme="majorHAnsi" w:cstheme="majorBidi"/>
                <w:color w:val="FFFFFF" w:themeColor="background1"/>
                <w:sz w:val="20"/>
                <w:szCs w:val="20"/>
              </w:rPr>
              <w:t xml:space="preserve">The UANP has, since 2014, continued to build on the foundation of predecessor agreements to improve participation in affordable, quality preschool for children in the YBFS. This is a significant national </w:t>
            </w:r>
            <w:r w:rsidR="00B60F56">
              <w:rPr>
                <w:rFonts w:asciiTheme="majorHAnsi" w:hAnsiTheme="majorHAnsi" w:cstheme="majorBidi"/>
                <w:color w:val="FFFFFF" w:themeColor="background1"/>
                <w:sz w:val="20"/>
                <w:szCs w:val="20"/>
              </w:rPr>
              <w:t>accomplishment</w:t>
            </w:r>
            <w:r w:rsidRPr="0C5679B2">
              <w:rPr>
                <w:rFonts w:asciiTheme="majorHAnsi" w:hAnsiTheme="majorHAnsi" w:cstheme="majorBidi"/>
                <w:color w:val="FFFFFF" w:themeColor="background1"/>
                <w:sz w:val="20"/>
                <w:szCs w:val="20"/>
              </w:rPr>
              <w:t>.</w:t>
            </w:r>
          </w:p>
          <w:p w14:paraId="5E607A44" w14:textId="77777777" w:rsidR="00FF0394" w:rsidRDefault="00FF0394" w:rsidP="00B16F44">
            <w:pPr>
              <w:pStyle w:val="Longformcallout"/>
              <w:spacing w:after="0"/>
              <w:rPr>
                <w:rFonts w:asciiTheme="majorHAnsi" w:hAnsiTheme="majorHAnsi" w:cstheme="majorBidi"/>
                <w:sz w:val="24"/>
                <w:szCs w:val="24"/>
              </w:rPr>
            </w:pPr>
          </w:p>
          <w:p w14:paraId="363F7186" w14:textId="77777777" w:rsidR="00FF0394" w:rsidRPr="006C71B3" w:rsidRDefault="00FF0394" w:rsidP="00B16F44">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KEY FINDING</w:t>
            </w:r>
            <w:r>
              <w:rPr>
                <w:rFonts w:asciiTheme="minorHAnsi" w:hAnsiTheme="minorHAnsi"/>
                <w:b/>
                <w:color w:val="25B3E0" w:themeColor="accent6"/>
                <w:sz w:val="20"/>
                <w:szCs w:val="20"/>
              </w:rPr>
              <w:t xml:space="preserve"> </w:t>
            </w:r>
            <w:r w:rsidR="004E7DC0">
              <w:rPr>
                <w:rFonts w:asciiTheme="minorHAnsi" w:hAnsiTheme="minorHAnsi"/>
                <w:b/>
                <w:color w:val="25B3E0" w:themeColor="accent6"/>
                <w:sz w:val="20"/>
                <w:szCs w:val="20"/>
              </w:rPr>
              <w:t>2</w:t>
            </w:r>
          </w:p>
          <w:p w14:paraId="3AF2EDF5" w14:textId="77777777" w:rsidR="00FF0394" w:rsidRPr="00030D73" w:rsidRDefault="00C120A3" w:rsidP="00B16F44">
            <w:pPr>
              <w:pStyle w:val="Longformcallout"/>
              <w:spacing w:after="0"/>
              <w:rPr>
                <w:rFonts w:asciiTheme="majorHAnsi" w:hAnsiTheme="majorHAnsi" w:cstheme="majorBidi"/>
                <w:sz w:val="24"/>
                <w:szCs w:val="24"/>
              </w:rPr>
            </w:pPr>
            <w:r w:rsidRPr="00C120A3">
              <w:rPr>
                <w:rFonts w:asciiTheme="majorHAnsi" w:hAnsiTheme="majorHAnsi" w:cstheme="majorBidi"/>
                <w:color w:val="FFFFFF" w:themeColor="background1"/>
                <w:sz w:val="20"/>
                <w:szCs w:val="20"/>
              </w:rPr>
              <w:t>Success under the UANP reflects the continuing effort and commitment of all jurisdictions and the preschool sector. There is strong momentum to build on achievements to date</w:t>
            </w:r>
            <w:r w:rsidR="00FF0394" w:rsidRPr="0C5679B2">
              <w:rPr>
                <w:rFonts w:asciiTheme="majorHAnsi" w:hAnsiTheme="majorHAnsi" w:cstheme="majorBidi"/>
                <w:color w:val="FFFFFF" w:themeColor="background1"/>
                <w:sz w:val="20"/>
                <w:szCs w:val="20"/>
              </w:rPr>
              <w:t>.</w:t>
            </w:r>
          </w:p>
        </w:tc>
      </w:tr>
    </w:tbl>
    <w:p w14:paraId="4BBF5B17" w14:textId="77777777" w:rsidR="00F14D0D" w:rsidRPr="00F14D0D" w:rsidRDefault="00AA076C" w:rsidP="00F14D0D">
      <w:pPr>
        <w:pStyle w:val="Heading2"/>
      </w:pPr>
      <w:bookmarkStart w:id="134" w:name="_Toc24559592"/>
      <w:bookmarkStart w:id="135" w:name="_Toc54597781"/>
      <w:r>
        <w:t xml:space="preserve">Participation of </w:t>
      </w:r>
      <w:r w:rsidR="00F14D0D">
        <w:t xml:space="preserve">Indigenous </w:t>
      </w:r>
      <w:r w:rsidR="00F816AA">
        <w:t>children and</w:t>
      </w:r>
      <w:r w:rsidR="00F14D0D">
        <w:t xml:space="preserve"> </w:t>
      </w:r>
      <w:r>
        <w:t>v</w:t>
      </w:r>
      <w:r w:rsidR="00043794">
        <w:t>ulnerable</w:t>
      </w:r>
      <w:r w:rsidR="00F14D0D">
        <w:t>/</w:t>
      </w:r>
      <w:r w:rsidR="00043794">
        <w:t xml:space="preserve">disadvantaged </w:t>
      </w:r>
      <w:r w:rsidR="00F14D0D">
        <w:t xml:space="preserve">children </w:t>
      </w:r>
      <w:r>
        <w:t>has improved</w:t>
      </w:r>
      <w:bookmarkEnd w:id="134"/>
      <w:bookmarkEnd w:id="135"/>
    </w:p>
    <w:p w14:paraId="07165880" w14:textId="77777777" w:rsidR="00A43F33" w:rsidRPr="0076358F" w:rsidRDefault="00A43F33" w:rsidP="0076358F">
      <w:pPr>
        <w:rPr>
          <w:rFonts w:asciiTheme="minorHAnsi" w:hAnsiTheme="minorHAnsi"/>
          <w:lang w:eastAsia="en-AU"/>
        </w:rPr>
      </w:pPr>
      <w:r>
        <w:t xml:space="preserve">The </w:t>
      </w:r>
      <w:r w:rsidR="00574CEF">
        <w:t>UANP</w:t>
      </w:r>
      <w:r>
        <w:t xml:space="preserve"> </w:t>
      </w:r>
      <w:r w:rsidR="008F144B">
        <w:t>reports on</w:t>
      </w:r>
      <w:r>
        <w:t xml:space="preserve"> the access to quality program and program availability for </w:t>
      </w:r>
      <w:r w:rsidR="008F144B">
        <w:t xml:space="preserve">two </w:t>
      </w:r>
      <w:r>
        <w:t>target cohorts</w:t>
      </w:r>
      <w:r w:rsidR="00C368B5">
        <w:t>:</w:t>
      </w:r>
      <w:r w:rsidR="0076358F">
        <w:t xml:space="preserve"> </w:t>
      </w:r>
      <w:r w:rsidRPr="0C5679B2">
        <w:rPr>
          <w:rFonts w:asciiTheme="minorHAnsi" w:hAnsiTheme="minorHAnsi"/>
          <w:lang w:eastAsia="en-AU"/>
        </w:rPr>
        <w:t>Indigenous children</w:t>
      </w:r>
      <w:r w:rsidR="0076358F" w:rsidRPr="0C5679B2">
        <w:rPr>
          <w:rFonts w:asciiTheme="minorHAnsi" w:hAnsiTheme="minorHAnsi"/>
          <w:lang w:eastAsia="en-AU"/>
        </w:rPr>
        <w:t xml:space="preserve"> and v</w:t>
      </w:r>
      <w:r w:rsidRPr="0C5679B2">
        <w:rPr>
          <w:rFonts w:asciiTheme="minorHAnsi" w:hAnsiTheme="minorHAnsi"/>
          <w:lang w:eastAsia="en-AU"/>
        </w:rPr>
        <w:t>ulnerable and disadvantaged children</w:t>
      </w:r>
      <w:r w:rsidR="0076358F" w:rsidRPr="0C5679B2">
        <w:rPr>
          <w:rFonts w:asciiTheme="minorHAnsi" w:hAnsiTheme="minorHAnsi"/>
          <w:lang w:eastAsia="en-AU"/>
        </w:rPr>
        <w:t>.</w:t>
      </w:r>
    </w:p>
    <w:p w14:paraId="7F4DE37D" w14:textId="77777777" w:rsidR="008F144B" w:rsidRDefault="008F144B" w:rsidP="008F144B">
      <w:r>
        <w:t xml:space="preserve">The UANP also notes two further target populations, rural/remote </w:t>
      </w:r>
      <w:proofErr w:type="gramStart"/>
      <w:r>
        <w:t>children</w:t>
      </w:r>
      <w:proofErr w:type="gramEnd"/>
      <w:r>
        <w:t xml:space="preserve"> and remote Indigenous children, </w:t>
      </w:r>
      <w:r w:rsidR="001D58D5">
        <w:t xml:space="preserve">but these groups do </w:t>
      </w:r>
      <w:r>
        <w:t xml:space="preserve">not have associated </w:t>
      </w:r>
      <w:r w:rsidR="00FC42C6">
        <w:t>p</w:t>
      </w:r>
      <w:r w:rsidR="00BD5115">
        <w:t xml:space="preserve">erformance </w:t>
      </w:r>
      <w:r w:rsidR="00FC42C6">
        <w:t>i</w:t>
      </w:r>
      <w:r w:rsidR="00BD5115">
        <w:t>ndicator</w:t>
      </w:r>
      <w:r>
        <w:t>s.</w:t>
      </w:r>
    </w:p>
    <w:p w14:paraId="6A1D2D11" w14:textId="77777777" w:rsidR="00812137" w:rsidRPr="00812137" w:rsidRDefault="00F14D0D" w:rsidP="00506D80">
      <w:pPr>
        <w:pStyle w:val="Heading4"/>
      </w:pPr>
      <w:r>
        <w:t>E</w:t>
      </w:r>
      <w:r w:rsidR="00BE4C29" w:rsidRPr="00BE4C29">
        <w:t>nrolment of Indigenous children</w:t>
      </w:r>
      <w:r>
        <w:t xml:space="preserve"> </w:t>
      </w:r>
      <w:r w:rsidRPr="00BE4C29">
        <w:t>ha</w:t>
      </w:r>
      <w:r>
        <w:t>s</w:t>
      </w:r>
      <w:r w:rsidRPr="00BE4C29">
        <w:t xml:space="preserve"> </w:t>
      </w:r>
      <w:r w:rsidR="00EA3155">
        <w:t xml:space="preserve">been </w:t>
      </w:r>
      <w:r w:rsidR="00BD5115">
        <w:t xml:space="preserve">largely been </w:t>
      </w:r>
      <w:r w:rsidR="00EA3155">
        <w:t xml:space="preserve">maintained or </w:t>
      </w:r>
      <w:r w:rsidRPr="00BE4C29">
        <w:t xml:space="preserve">improved </w:t>
      </w:r>
    </w:p>
    <w:p w14:paraId="7C56CC59" w14:textId="77777777" w:rsidR="00B34BD8" w:rsidRDefault="00A43F33" w:rsidP="008F71D1">
      <w:pPr>
        <w:pStyle w:val="Bullet"/>
      </w:pPr>
      <w:r>
        <w:t xml:space="preserve">The UANP includes a specific indicator to assess access </w:t>
      </w:r>
      <w:r w:rsidR="009A257A">
        <w:t xml:space="preserve">to, and availability of, </w:t>
      </w:r>
      <w:r>
        <w:t xml:space="preserve">quality programs for </w:t>
      </w:r>
      <w:r w:rsidR="009A257A">
        <w:t>Indigenous</w:t>
      </w:r>
      <w:r>
        <w:t xml:space="preserve"> children</w:t>
      </w:r>
      <w:r w:rsidR="009C1641">
        <w:t xml:space="preserve">. </w:t>
      </w:r>
      <w:r w:rsidR="00053CAE">
        <w:t>The review finds that a</w:t>
      </w:r>
      <w:r w:rsidR="001F1406">
        <w:t>ll states and territories have significantly improved performance or maintained enrolment of Indigenous children</w:t>
      </w:r>
      <w:r w:rsidR="00A32946">
        <w:t>,</w:t>
      </w:r>
      <w:r w:rsidR="001F1406">
        <w:t xml:space="preserve"> with a stead</w:t>
      </w:r>
      <w:r w:rsidR="00D02161">
        <w:t>y</w:t>
      </w:r>
      <w:r w:rsidR="001F1406">
        <w:t xml:space="preserve"> increase in the proportion of Indigenous children enrolled and attending preschool programs of 600 hours.</w:t>
      </w:r>
    </w:p>
    <w:p w14:paraId="28EA771B" w14:textId="7C1D2143" w:rsidR="003A3174" w:rsidRDefault="003A3174" w:rsidP="003A3174">
      <w:pPr>
        <w:pStyle w:val="Caption"/>
      </w:pPr>
      <w:r>
        <w:lastRenderedPageBreak/>
        <w:t xml:space="preserve">Figure </w:t>
      </w:r>
      <w:r w:rsidR="00B76790">
        <w:fldChar w:fldCharType="begin"/>
      </w:r>
      <w:r w:rsidR="00B76790">
        <w:instrText xml:space="preserve"> SEQ Figure \* ARABIC </w:instrText>
      </w:r>
      <w:r w:rsidR="00B76790">
        <w:fldChar w:fldCharType="separate"/>
      </w:r>
      <w:r w:rsidR="00B37785">
        <w:rPr>
          <w:noProof/>
        </w:rPr>
        <w:t>12</w:t>
      </w:r>
      <w:r w:rsidR="00B76790">
        <w:fldChar w:fldCharType="end"/>
      </w:r>
      <w:r>
        <w:t xml:space="preserve"> | </w:t>
      </w:r>
      <w:r w:rsidRPr="0089334A">
        <w:t xml:space="preserve">Proportion of </w:t>
      </w:r>
      <w:r w:rsidR="001D58D5">
        <w:t xml:space="preserve">Indigenous </w:t>
      </w:r>
      <w:r w:rsidR="00E342FB">
        <w:t>children</w:t>
      </w:r>
      <w:r w:rsidRPr="0089334A">
        <w:t xml:space="preserve"> </w:t>
      </w:r>
      <w:r w:rsidR="00AB1C80">
        <w:t xml:space="preserve">enrolled </w:t>
      </w:r>
      <w:r w:rsidRPr="0089334A">
        <w:t xml:space="preserve">in preschool programs </w:t>
      </w:r>
      <w:r w:rsidR="00AB1C80">
        <w:t xml:space="preserve">for </w:t>
      </w:r>
      <w:r w:rsidR="00501B9F">
        <w:t xml:space="preserve">600 hours </w:t>
      </w:r>
      <w:r w:rsidRPr="0089334A">
        <w:t>(PI</w:t>
      </w:r>
      <w:r w:rsidR="00501B9F">
        <w:t>3</w:t>
      </w:r>
      <w:r w:rsidRPr="0089334A">
        <w:t>.</w:t>
      </w:r>
      <w:r>
        <w:t>2</w:t>
      </w:r>
      <w:r w:rsidRPr="0089334A">
        <w:t>)</w:t>
      </w:r>
      <w:r w:rsidR="006F738F">
        <w:rPr>
          <w:rStyle w:val="FootnoteReference"/>
        </w:rPr>
        <w:footnoteReference w:id="45"/>
      </w:r>
      <w:r w:rsidR="00A078A8" w:rsidRPr="008A4D82">
        <w:rPr>
          <w:vertAlign w:val="superscript"/>
        </w:rPr>
        <w:t>,</w:t>
      </w:r>
      <w:r w:rsidR="00A078A8">
        <w:rPr>
          <w:rStyle w:val="FootnoteReference"/>
        </w:rPr>
        <w:footnoteReference w:id="46"/>
      </w:r>
    </w:p>
    <w:p w14:paraId="68569CA4" w14:textId="77777777" w:rsidR="003A3174" w:rsidRDefault="0007205B" w:rsidP="003A3174">
      <w:pPr>
        <w:pStyle w:val="Bullet"/>
      </w:pPr>
      <w:r>
        <w:rPr>
          <w:noProof/>
        </w:rPr>
        <w:drawing>
          <wp:inline distT="0" distB="0" distL="0" distR="0" wp14:anchorId="37F449A6" wp14:editId="4CC043CE">
            <wp:extent cx="5670000" cy="2786400"/>
            <wp:effectExtent l="0" t="0" r="6985" b="0"/>
            <wp:docPr id="28" name="Picture 28" descr="Graph showing proportion of Indigenous children enrolled in preschool programs for 600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proportion of Indigenous children enrolled in preschool programs for 600 hour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0000" cy="2786400"/>
                    </a:xfrm>
                    <a:prstGeom prst="rect">
                      <a:avLst/>
                    </a:prstGeom>
                    <a:solidFill>
                      <a:schemeClr val="accent5"/>
                    </a:solidFill>
                  </pic:spPr>
                </pic:pic>
              </a:graphicData>
            </a:graphic>
          </wp:inline>
        </w:drawing>
      </w:r>
    </w:p>
    <w:tbl>
      <w:tblPr>
        <w:tblStyle w:val="NousTableTopandside"/>
        <w:tblW w:w="4589" w:type="pct"/>
        <w:tblLook w:val="04A0" w:firstRow="1" w:lastRow="0" w:firstColumn="1" w:lastColumn="0" w:noHBand="0" w:noVBand="1"/>
      </w:tblPr>
      <w:tblGrid>
        <w:gridCol w:w="1489"/>
        <w:gridCol w:w="747"/>
        <w:gridCol w:w="748"/>
        <w:gridCol w:w="748"/>
        <w:gridCol w:w="747"/>
        <w:gridCol w:w="747"/>
        <w:gridCol w:w="747"/>
        <w:gridCol w:w="747"/>
        <w:gridCol w:w="738"/>
        <w:gridCol w:w="738"/>
      </w:tblGrid>
      <w:tr w:rsidR="00181265" w14:paraId="0F9561C3" w14:textId="77777777" w:rsidTr="00181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pct"/>
          </w:tcPr>
          <w:p w14:paraId="5DC44121" w14:textId="77777777" w:rsidR="00181265" w:rsidRDefault="00181265" w:rsidP="00A55DDA">
            <w:pPr>
              <w:pStyle w:val="TableNheader"/>
              <w:spacing w:before="0" w:after="0"/>
            </w:pPr>
            <w:r w:rsidRPr="00225716">
              <w:t>Year</w:t>
            </w:r>
          </w:p>
        </w:tc>
        <w:tc>
          <w:tcPr>
            <w:tcW w:w="455" w:type="pct"/>
          </w:tcPr>
          <w:p w14:paraId="4D036B00" w14:textId="77777777" w:rsidR="00181265" w:rsidRPr="00225716" w:rsidRDefault="00181265" w:rsidP="00653C1D">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Aust.</w:t>
            </w:r>
          </w:p>
        </w:tc>
        <w:tc>
          <w:tcPr>
            <w:tcW w:w="456" w:type="pct"/>
          </w:tcPr>
          <w:p w14:paraId="172CBAF1"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NSW</w:t>
            </w:r>
          </w:p>
        </w:tc>
        <w:tc>
          <w:tcPr>
            <w:tcW w:w="456" w:type="pct"/>
          </w:tcPr>
          <w:p w14:paraId="2A0C5E28"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Vic.</w:t>
            </w:r>
          </w:p>
        </w:tc>
        <w:tc>
          <w:tcPr>
            <w:tcW w:w="456" w:type="pct"/>
          </w:tcPr>
          <w:p w14:paraId="3784FD9F"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Qld</w:t>
            </w:r>
          </w:p>
        </w:tc>
        <w:tc>
          <w:tcPr>
            <w:tcW w:w="456" w:type="pct"/>
          </w:tcPr>
          <w:p w14:paraId="0402957B"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SA</w:t>
            </w:r>
          </w:p>
        </w:tc>
        <w:tc>
          <w:tcPr>
            <w:tcW w:w="456" w:type="pct"/>
          </w:tcPr>
          <w:p w14:paraId="722D458E"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WA</w:t>
            </w:r>
          </w:p>
        </w:tc>
        <w:tc>
          <w:tcPr>
            <w:tcW w:w="456" w:type="pct"/>
          </w:tcPr>
          <w:p w14:paraId="4DD2496D" w14:textId="77777777" w:rsidR="00181265"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rsidRPr="00225716">
              <w:t>Tas.</w:t>
            </w:r>
          </w:p>
        </w:tc>
        <w:tc>
          <w:tcPr>
            <w:tcW w:w="450" w:type="pct"/>
          </w:tcPr>
          <w:p w14:paraId="41601683" w14:textId="65ED8107" w:rsidR="00181265" w:rsidRPr="00225716"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t>ACT</w:t>
            </w:r>
          </w:p>
        </w:tc>
        <w:tc>
          <w:tcPr>
            <w:tcW w:w="450" w:type="pct"/>
          </w:tcPr>
          <w:p w14:paraId="3636E3B3" w14:textId="768C19F2" w:rsidR="00181265" w:rsidRPr="00225716" w:rsidRDefault="00181265" w:rsidP="00A55DDA">
            <w:pPr>
              <w:pStyle w:val="TableNheader"/>
              <w:spacing w:before="0" w:after="0"/>
              <w:cnfStyle w:val="100000000000" w:firstRow="1" w:lastRow="0" w:firstColumn="0" w:lastColumn="0" w:oddVBand="0" w:evenVBand="0" w:oddHBand="0" w:evenHBand="0" w:firstRowFirstColumn="0" w:firstRowLastColumn="0" w:lastRowFirstColumn="0" w:lastRowLastColumn="0"/>
            </w:pPr>
            <w:r>
              <w:t>NT</w:t>
            </w:r>
          </w:p>
        </w:tc>
      </w:tr>
      <w:tr w:rsidR="00181265" w14:paraId="673E8A94" w14:textId="72CA0F55" w:rsidTr="00181265">
        <w:tc>
          <w:tcPr>
            <w:cnfStyle w:val="001000000000" w:firstRow="0" w:lastRow="0" w:firstColumn="1" w:lastColumn="0" w:oddVBand="0" w:evenVBand="0" w:oddHBand="0" w:evenHBand="0" w:firstRowFirstColumn="0" w:firstRowLastColumn="0" w:lastRowFirstColumn="0" w:lastRowLastColumn="0"/>
            <w:tcW w:w="908" w:type="pct"/>
          </w:tcPr>
          <w:p w14:paraId="70D43B5F" w14:textId="77777777" w:rsidR="00181265" w:rsidRPr="00DA3D0E" w:rsidRDefault="00181265" w:rsidP="005F3C6E">
            <w:pPr>
              <w:pStyle w:val="TableNheader"/>
              <w:spacing w:before="0" w:after="0"/>
            </w:pPr>
            <w:r>
              <w:t>2013</w:t>
            </w:r>
          </w:p>
        </w:tc>
        <w:tc>
          <w:tcPr>
            <w:tcW w:w="455" w:type="pct"/>
          </w:tcPr>
          <w:p w14:paraId="18F69AEF"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87</w:t>
            </w:r>
            <w:r w:rsidRPr="00DA3D0E">
              <w:t>%</w:t>
            </w:r>
          </w:p>
        </w:tc>
        <w:tc>
          <w:tcPr>
            <w:tcW w:w="456" w:type="pct"/>
          </w:tcPr>
          <w:p w14:paraId="47A27A32"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66%</w:t>
            </w:r>
          </w:p>
        </w:tc>
        <w:tc>
          <w:tcPr>
            <w:tcW w:w="456" w:type="pct"/>
          </w:tcPr>
          <w:p w14:paraId="3F36B2EC"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86%</w:t>
            </w:r>
          </w:p>
        </w:tc>
        <w:tc>
          <w:tcPr>
            <w:tcW w:w="456" w:type="pct"/>
          </w:tcPr>
          <w:p w14:paraId="307ACAA6"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96%</w:t>
            </w:r>
          </w:p>
        </w:tc>
        <w:tc>
          <w:tcPr>
            <w:tcW w:w="456" w:type="pct"/>
          </w:tcPr>
          <w:p w14:paraId="71BCFDA5"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83%</w:t>
            </w:r>
          </w:p>
        </w:tc>
        <w:tc>
          <w:tcPr>
            <w:tcW w:w="456" w:type="pct"/>
          </w:tcPr>
          <w:p w14:paraId="7A5B9DBF"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27BF9D80" w14:textId="77777777" w:rsidR="00181265" w:rsidRPr="001F4583" w:rsidRDefault="00181265" w:rsidP="00653C1D">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0" w:type="pct"/>
          </w:tcPr>
          <w:p w14:paraId="7614EB8E" w14:textId="57D91F16" w:rsidR="00181265" w:rsidRPr="00DA3D0E" w:rsidRDefault="00181265" w:rsidP="00EA3155">
            <w:pPr>
              <w:pStyle w:val="TableNText"/>
              <w:spacing w:before="0" w:after="0"/>
              <w:cnfStyle w:val="000000000000" w:firstRow="0" w:lastRow="0" w:firstColumn="0" w:lastColumn="0" w:oddVBand="0" w:evenVBand="0" w:oddHBand="0" w:evenHBand="0" w:firstRowFirstColumn="0" w:firstRowLastColumn="0" w:lastRowFirstColumn="0" w:lastRowLastColumn="0"/>
            </w:pPr>
            <w:r>
              <w:t>98%</w:t>
            </w:r>
          </w:p>
        </w:tc>
        <w:tc>
          <w:tcPr>
            <w:tcW w:w="450" w:type="pct"/>
          </w:tcPr>
          <w:p w14:paraId="4CBB30C1" w14:textId="0021B5CE" w:rsidR="00181265" w:rsidRDefault="00181265" w:rsidP="00EA3155">
            <w:pPr>
              <w:pStyle w:val="TableNText"/>
              <w:spacing w:before="0" w:after="0"/>
              <w:cnfStyle w:val="000000000000" w:firstRow="0" w:lastRow="0" w:firstColumn="0" w:lastColumn="0" w:oddVBand="0" w:evenVBand="0" w:oddHBand="0" w:evenHBand="0" w:firstRowFirstColumn="0" w:firstRowLastColumn="0" w:lastRowFirstColumn="0" w:lastRowLastColumn="0"/>
            </w:pPr>
            <w:r>
              <w:t>96%</w:t>
            </w:r>
          </w:p>
        </w:tc>
      </w:tr>
      <w:tr w:rsidR="00181265" w14:paraId="10AFD546" w14:textId="77777777" w:rsidTr="00181265">
        <w:tc>
          <w:tcPr>
            <w:cnfStyle w:val="001000000000" w:firstRow="0" w:lastRow="0" w:firstColumn="1" w:lastColumn="0" w:oddVBand="0" w:evenVBand="0" w:oddHBand="0" w:evenHBand="0" w:firstRowFirstColumn="0" w:firstRowLastColumn="0" w:lastRowFirstColumn="0" w:lastRowLastColumn="0"/>
            <w:tcW w:w="908" w:type="pct"/>
          </w:tcPr>
          <w:p w14:paraId="6557404E" w14:textId="62270468" w:rsidR="00181265" w:rsidRDefault="00181265" w:rsidP="00181265">
            <w:pPr>
              <w:pStyle w:val="TableNheader"/>
              <w:spacing w:before="0" w:after="0"/>
            </w:pPr>
            <w:r>
              <w:t>96%</w:t>
            </w:r>
            <w:r w:rsidRPr="00225716">
              <w:t>2014</w:t>
            </w:r>
          </w:p>
        </w:tc>
        <w:tc>
          <w:tcPr>
            <w:tcW w:w="455" w:type="pct"/>
          </w:tcPr>
          <w:p w14:paraId="5F4AE9CB" w14:textId="77777777" w:rsidR="00181265" w:rsidRPr="00D81E54"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93%</w:t>
            </w:r>
          </w:p>
        </w:tc>
        <w:tc>
          <w:tcPr>
            <w:tcW w:w="456" w:type="pct"/>
          </w:tcPr>
          <w:p w14:paraId="57F7FB71"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84%</w:t>
            </w:r>
          </w:p>
        </w:tc>
        <w:tc>
          <w:tcPr>
            <w:tcW w:w="456" w:type="pct"/>
          </w:tcPr>
          <w:p w14:paraId="5F761110"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100%</w:t>
            </w:r>
          </w:p>
        </w:tc>
        <w:tc>
          <w:tcPr>
            <w:tcW w:w="456" w:type="pct"/>
          </w:tcPr>
          <w:p w14:paraId="4F798C0C"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96%</w:t>
            </w:r>
          </w:p>
        </w:tc>
        <w:tc>
          <w:tcPr>
            <w:tcW w:w="456" w:type="pct"/>
          </w:tcPr>
          <w:p w14:paraId="04FE7E28"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95%</w:t>
            </w:r>
          </w:p>
        </w:tc>
        <w:tc>
          <w:tcPr>
            <w:tcW w:w="456" w:type="pct"/>
          </w:tcPr>
          <w:p w14:paraId="323A772F"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07FB17D3"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c>
          <w:tcPr>
            <w:tcW w:w="450" w:type="pct"/>
          </w:tcPr>
          <w:p w14:paraId="06A1ECC3" w14:textId="34951168"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t>97%</w:t>
            </w:r>
          </w:p>
        </w:tc>
        <w:tc>
          <w:tcPr>
            <w:tcW w:w="450" w:type="pct"/>
          </w:tcPr>
          <w:p w14:paraId="70718760" w14:textId="67122A58"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r>
      <w:tr w:rsidR="00181265" w14:paraId="61F2B3A7" w14:textId="77777777" w:rsidTr="00181265">
        <w:tc>
          <w:tcPr>
            <w:cnfStyle w:val="001000000000" w:firstRow="0" w:lastRow="0" w:firstColumn="1" w:lastColumn="0" w:oddVBand="0" w:evenVBand="0" w:oddHBand="0" w:evenHBand="0" w:firstRowFirstColumn="0" w:firstRowLastColumn="0" w:lastRowFirstColumn="0" w:lastRowLastColumn="0"/>
            <w:tcW w:w="908" w:type="pct"/>
          </w:tcPr>
          <w:p w14:paraId="4495A6E3" w14:textId="77777777" w:rsidR="00181265" w:rsidRDefault="00181265" w:rsidP="00181265">
            <w:pPr>
              <w:pStyle w:val="TableNheader"/>
              <w:spacing w:before="0" w:after="0"/>
            </w:pPr>
            <w:r w:rsidRPr="00225716">
              <w:t>2015</w:t>
            </w:r>
          </w:p>
        </w:tc>
        <w:tc>
          <w:tcPr>
            <w:tcW w:w="455" w:type="pct"/>
          </w:tcPr>
          <w:p w14:paraId="3C301EBE" w14:textId="77777777" w:rsidR="00181265" w:rsidRPr="00D81E54"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92%</w:t>
            </w:r>
          </w:p>
        </w:tc>
        <w:tc>
          <w:tcPr>
            <w:tcW w:w="456" w:type="pct"/>
          </w:tcPr>
          <w:p w14:paraId="1D18356B"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77%</w:t>
            </w:r>
          </w:p>
        </w:tc>
        <w:tc>
          <w:tcPr>
            <w:tcW w:w="456" w:type="pct"/>
          </w:tcPr>
          <w:p w14:paraId="44C60DE8"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7D10546B"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76839696"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3134F34D"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57669FB9" w14:textId="77777777" w:rsidR="00181265"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0" w:type="pct"/>
          </w:tcPr>
          <w:p w14:paraId="06891F4D" w14:textId="2F193911"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t>94%</w:t>
            </w:r>
          </w:p>
        </w:tc>
        <w:tc>
          <w:tcPr>
            <w:tcW w:w="450" w:type="pct"/>
          </w:tcPr>
          <w:p w14:paraId="5646953D" w14:textId="3EEF7013"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r>
      <w:tr w:rsidR="00181265" w14:paraId="54083AB0" w14:textId="77777777" w:rsidTr="00181265">
        <w:tc>
          <w:tcPr>
            <w:cnfStyle w:val="001000000000" w:firstRow="0" w:lastRow="0" w:firstColumn="1" w:lastColumn="0" w:oddVBand="0" w:evenVBand="0" w:oddHBand="0" w:evenHBand="0" w:firstRowFirstColumn="0" w:firstRowLastColumn="0" w:lastRowFirstColumn="0" w:lastRowLastColumn="0"/>
            <w:tcW w:w="908" w:type="pct"/>
          </w:tcPr>
          <w:p w14:paraId="36E2EFE7" w14:textId="77777777" w:rsidR="00181265" w:rsidRPr="00225716" w:rsidRDefault="00181265" w:rsidP="00181265">
            <w:pPr>
              <w:pStyle w:val="TableNheader"/>
              <w:spacing w:before="0" w:after="0"/>
            </w:pPr>
            <w:r w:rsidRPr="00225716">
              <w:t>2016</w:t>
            </w:r>
          </w:p>
        </w:tc>
        <w:tc>
          <w:tcPr>
            <w:tcW w:w="455" w:type="pct"/>
          </w:tcPr>
          <w:p w14:paraId="3B1A406B" w14:textId="77777777" w:rsidR="00181265" w:rsidRPr="00D81E54"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92%</w:t>
            </w:r>
          </w:p>
        </w:tc>
        <w:tc>
          <w:tcPr>
            <w:tcW w:w="456" w:type="pct"/>
          </w:tcPr>
          <w:p w14:paraId="792617FE"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81%</w:t>
            </w:r>
          </w:p>
        </w:tc>
        <w:tc>
          <w:tcPr>
            <w:tcW w:w="456" w:type="pct"/>
          </w:tcPr>
          <w:p w14:paraId="45736448"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100%</w:t>
            </w:r>
          </w:p>
        </w:tc>
        <w:tc>
          <w:tcPr>
            <w:tcW w:w="456" w:type="pct"/>
          </w:tcPr>
          <w:p w14:paraId="76DB057B"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96%</w:t>
            </w:r>
          </w:p>
        </w:tc>
        <w:tc>
          <w:tcPr>
            <w:tcW w:w="456" w:type="pct"/>
          </w:tcPr>
          <w:p w14:paraId="4B6E2C08"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5C9BFB8E"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c>
          <w:tcPr>
            <w:tcW w:w="456" w:type="pct"/>
          </w:tcPr>
          <w:p w14:paraId="670E6FD1"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0" w:type="pct"/>
          </w:tcPr>
          <w:p w14:paraId="097579BD" w14:textId="02D3BBE8"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t>91%</w:t>
            </w:r>
          </w:p>
        </w:tc>
        <w:tc>
          <w:tcPr>
            <w:tcW w:w="450" w:type="pct"/>
          </w:tcPr>
          <w:p w14:paraId="3A15F594" w14:textId="02AB5748"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r>
      <w:tr w:rsidR="00181265" w14:paraId="563EDCFF" w14:textId="77777777" w:rsidTr="00181265">
        <w:tc>
          <w:tcPr>
            <w:cnfStyle w:val="001000000000" w:firstRow="0" w:lastRow="0" w:firstColumn="1" w:lastColumn="0" w:oddVBand="0" w:evenVBand="0" w:oddHBand="0" w:evenHBand="0" w:firstRowFirstColumn="0" w:firstRowLastColumn="0" w:lastRowFirstColumn="0" w:lastRowLastColumn="0"/>
            <w:tcW w:w="908" w:type="pct"/>
          </w:tcPr>
          <w:p w14:paraId="5AC0525E" w14:textId="77777777" w:rsidR="00181265" w:rsidRPr="00225716" w:rsidRDefault="00181265" w:rsidP="00181265">
            <w:pPr>
              <w:pStyle w:val="TableNheader"/>
              <w:spacing w:before="0" w:after="0"/>
            </w:pPr>
            <w:r w:rsidRPr="00225716">
              <w:t>2017</w:t>
            </w:r>
          </w:p>
        </w:tc>
        <w:tc>
          <w:tcPr>
            <w:tcW w:w="455" w:type="pct"/>
          </w:tcPr>
          <w:p w14:paraId="1F24D796" w14:textId="77777777" w:rsidR="00181265" w:rsidRPr="00D81E54"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97%</w:t>
            </w:r>
          </w:p>
        </w:tc>
        <w:tc>
          <w:tcPr>
            <w:tcW w:w="456" w:type="pct"/>
          </w:tcPr>
          <w:p w14:paraId="636F5D7F"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94%</w:t>
            </w:r>
          </w:p>
        </w:tc>
        <w:tc>
          <w:tcPr>
            <w:tcW w:w="456" w:type="pct"/>
          </w:tcPr>
          <w:p w14:paraId="4262C055"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c>
          <w:tcPr>
            <w:tcW w:w="456" w:type="pct"/>
          </w:tcPr>
          <w:p w14:paraId="617945A2"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04714001"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07B12C46"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99%</w:t>
            </w:r>
          </w:p>
        </w:tc>
        <w:tc>
          <w:tcPr>
            <w:tcW w:w="456" w:type="pct"/>
          </w:tcPr>
          <w:p w14:paraId="32FC3EF7"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0" w:type="pct"/>
          </w:tcPr>
          <w:p w14:paraId="7F8AD294" w14:textId="4967CE8D"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t>95%</w:t>
            </w:r>
          </w:p>
        </w:tc>
        <w:tc>
          <w:tcPr>
            <w:tcW w:w="450" w:type="pct"/>
          </w:tcPr>
          <w:p w14:paraId="448A850D" w14:textId="0240187C"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r>
      <w:tr w:rsidR="00181265" w14:paraId="1EAC657B" w14:textId="77777777" w:rsidTr="00181265">
        <w:tc>
          <w:tcPr>
            <w:cnfStyle w:val="001000000000" w:firstRow="0" w:lastRow="0" w:firstColumn="1" w:lastColumn="0" w:oddVBand="0" w:evenVBand="0" w:oddHBand="0" w:evenHBand="0" w:firstRowFirstColumn="0" w:firstRowLastColumn="0" w:lastRowFirstColumn="0" w:lastRowLastColumn="0"/>
            <w:tcW w:w="908" w:type="pct"/>
          </w:tcPr>
          <w:p w14:paraId="44B11008" w14:textId="77777777" w:rsidR="00181265" w:rsidRPr="00225716" w:rsidRDefault="00181265" w:rsidP="00181265">
            <w:pPr>
              <w:pStyle w:val="TableNheader"/>
              <w:spacing w:before="0" w:after="0"/>
            </w:pPr>
            <w:r w:rsidRPr="00225716">
              <w:t>2018</w:t>
            </w:r>
          </w:p>
        </w:tc>
        <w:tc>
          <w:tcPr>
            <w:tcW w:w="455" w:type="pct"/>
          </w:tcPr>
          <w:p w14:paraId="57C0E43D" w14:textId="77777777" w:rsidR="00181265" w:rsidRPr="00D81E54"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81E54">
              <w:t>96%</w:t>
            </w:r>
          </w:p>
        </w:tc>
        <w:tc>
          <w:tcPr>
            <w:tcW w:w="456" w:type="pct"/>
          </w:tcPr>
          <w:p w14:paraId="1E00D021"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93%</w:t>
            </w:r>
          </w:p>
        </w:tc>
        <w:tc>
          <w:tcPr>
            <w:tcW w:w="456" w:type="pct"/>
          </w:tcPr>
          <w:p w14:paraId="203D3EE8"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68A3179B"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53CD8088"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c>
          <w:tcPr>
            <w:tcW w:w="456" w:type="pct"/>
          </w:tcPr>
          <w:p w14:paraId="0DC8B87A"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97%</w:t>
            </w:r>
          </w:p>
        </w:tc>
        <w:tc>
          <w:tcPr>
            <w:tcW w:w="456" w:type="pct"/>
          </w:tcPr>
          <w:p w14:paraId="6859D657" w14:textId="77777777" w:rsidR="00181265" w:rsidRPr="00225716"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95%</w:t>
            </w:r>
          </w:p>
        </w:tc>
        <w:tc>
          <w:tcPr>
            <w:tcW w:w="450" w:type="pct"/>
          </w:tcPr>
          <w:p w14:paraId="00BB5F4F" w14:textId="011A346F"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t>91%</w:t>
            </w:r>
          </w:p>
        </w:tc>
        <w:tc>
          <w:tcPr>
            <w:tcW w:w="450" w:type="pct"/>
          </w:tcPr>
          <w:p w14:paraId="72BAE39A" w14:textId="6FF810C8" w:rsidR="00181265" w:rsidRPr="00DA3D0E" w:rsidRDefault="00181265" w:rsidP="00181265">
            <w:pPr>
              <w:pStyle w:val="TableNText"/>
              <w:spacing w:before="0" w:after="0"/>
              <w:cnfStyle w:val="000000000000" w:firstRow="0" w:lastRow="0" w:firstColumn="0" w:lastColumn="0" w:oddVBand="0" w:evenVBand="0" w:oddHBand="0" w:evenHBand="0" w:firstRowFirstColumn="0" w:firstRowLastColumn="0" w:lastRowFirstColumn="0" w:lastRowLastColumn="0"/>
            </w:pPr>
            <w:r w:rsidRPr="00DA3D0E">
              <w:t>98%</w:t>
            </w:r>
          </w:p>
        </w:tc>
      </w:tr>
    </w:tbl>
    <w:p w14:paraId="56BDE6CA" w14:textId="77777777" w:rsidR="00B34BD8" w:rsidRDefault="00B34BD8" w:rsidP="00B34BD8">
      <w:pPr>
        <w:pStyle w:val="Bullet"/>
        <w:rPr>
          <w:rFonts w:asciiTheme="majorHAnsi" w:hAnsiTheme="majorHAnsi" w:cstheme="majorHAnsi"/>
        </w:rPr>
      </w:pPr>
    </w:p>
    <w:p w14:paraId="4E4BBBAF" w14:textId="77777777" w:rsidR="00EC6D9C" w:rsidRDefault="00EC6D9C" w:rsidP="008F71D1">
      <w:pPr>
        <w:pStyle w:val="Bullet"/>
      </w:pPr>
      <w:r>
        <w:t xml:space="preserve">As noted above, the UANP also includes a specific focus on access for Indigenous children in remote communities, but there is no corresponding </w:t>
      </w:r>
      <w:r w:rsidR="00FC42C6">
        <w:t>p</w:t>
      </w:r>
      <w:r w:rsidR="00BD5115">
        <w:t xml:space="preserve">erformance </w:t>
      </w:r>
      <w:r w:rsidR="00FC42C6">
        <w:t>i</w:t>
      </w:r>
      <w:r w:rsidR="00BD5115">
        <w:t>ndicator</w:t>
      </w:r>
      <w:r>
        <w:t>.</w:t>
      </w:r>
      <w:r w:rsidR="009A257A">
        <w:t xml:space="preserve"> Data from the National Collection suggests </w:t>
      </w:r>
      <w:r w:rsidR="00B84C44">
        <w:t>that Indigenous children enrolled 15 hours or more has risen from 95</w:t>
      </w:r>
      <w:r w:rsidR="000A2358">
        <w:t xml:space="preserve"> per cent</w:t>
      </w:r>
      <w:r w:rsidR="00B84C44">
        <w:t xml:space="preserve"> in 2015 to 98.5</w:t>
      </w:r>
      <w:r w:rsidR="000A2358">
        <w:t xml:space="preserve"> per cent</w:t>
      </w:r>
      <w:r w:rsidR="00B84C44">
        <w:t xml:space="preserve"> in 2018</w:t>
      </w:r>
      <w:r w:rsidR="000A2358">
        <w:t>.</w:t>
      </w:r>
    </w:p>
    <w:p w14:paraId="4A6BFC6B" w14:textId="77777777" w:rsidR="00DC29C4" w:rsidRPr="00812137" w:rsidRDefault="00BE4C29" w:rsidP="00506D80">
      <w:pPr>
        <w:pStyle w:val="Heading4"/>
      </w:pPr>
      <w:r>
        <w:t>C</w:t>
      </w:r>
      <w:r w:rsidRPr="00BE4C29">
        <w:t xml:space="preserve">onsiderable improvements </w:t>
      </w:r>
      <w:r>
        <w:t xml:space="preserve">have been </w:t>
      </w:r>
      <w:r w:rsidRPr="00BE4C29">
        <w:t xml:space="preserve">made in all jurisdictions </w:t>
      </w:r>
      <w:r w:rsidR="00EC6D9C">
        <w:t>for v</w:t>
      </w:r>
      <w:r w:rsidR="00DC29C4" w:rsidRPr="00812137">
        <w:t>ulnerable and disadvantaged children</w:t>
      </w:r>
    </w:p>
    <w:p w14:paraId="2BBF7887" w14:textId="77777777" w:rsidR="002B4BE5" w:rsidRDefault="009A257A" w:rsidP="002B4BE5">
      <w:pPr>
        <w:rPr>
          <w:rFonts w:asciiTheme="minorHAnsi" w:hAnsiTheme="minorHAnsi"/>
          <w:lang w:eastAsia="en-AU"/>
        </w:rPr>
      </w:pPr>
      <w:r>
        <w:t xml:space="preserve">The </w:t>
      </w:r>
      <w:r w:rsidR="00574CEF">
        <w:t>UANP</w:t>
      </w:r>
      <w:r>
        <w:t xml:space="preserve"> has a specific focus on vulnerable and disadvantaged children</w:t>
      </w:r>
      <w:r w:rsidR="00500A18">
        <w:t xml:space="preserve">, but </w:t>
      </w:r>
      <w:r w:rsidR="006B48C1">
        <w:t>t</w:t>
      </w:r>
      <w:r w:rsidR="00DC29C4">
        <w:t xml:space="preserve">here is currently no nationally agreed definition of ‘vulnerable and disadvantaged’ children under the </w:t>
      </w:r>
      <w:r w:rsidR="00442C71">
        <w:t>UANP</w:t>
      </w:r>
      <w:r w:rsidR="00A32946">
        <w:t xml:space="preserve">. </w:t>
      </w:r>
      <w:r w:rsidR="00BD5115">
        <w:t xml:space="preserve">The </w:t>
      </w:r>
      <w:r w:rsidR="00FC42C6">
        <w:t>p</w:t>
      </w:r>
      <w:r w:rsidR="00BD5115">
        <w:t xml:space="preserve">erformance </w:t>
      </w:r>
      <w:r w:rsidR="00FC42C6">
        <w:t>i</w:t>
      </w:r>
      <w:r w:rsidR="00BD5115">
        <w:t xml:space="preserve">ndicator </w:t>
      </w:r>
      <w:r w:rsidR="00FC42C6">
        <w:t>s</w:t>
      </w:r>
      <w:r w:rsidR="00BD5115">
        <w:t xml:space="preserve">pecifications of the UANP classify ‘Vulnerable and disadvantaged children’ according to those </w:t>
      </w:r>
      <w:r w:rsidR="00BD5115">
        <w:lastRenderedPageBreak/>
        <w:t>residing in dis</w:t>
      </w:r>
      <w:r w:rsidR="00BD5115" w:rsidRPr="0C5679B2">
        <w:rPr>
          <w:rFonts w:asciiTheme="minorHAnsi" w:hAnsiTheme="minorHAnsi"/>
          <w:lang w:eastAsia="en-AU"/>
        </w:rPr>
        <w:t xml:space="preserve">advantaged areas based on </w:t>
      </w:r>
      <w:r w:rsidR="002B4BE5" w:rsidRPr="0C5679B2">
        <w:rPr>
          <w:rFonts w:asciiTheme="minorHAnsi" w:hAnsiTheme="minorHAnsi"/>
          <w:lang w:eastAsia="en-AU"/>
        </w:rPr>
        <w:t>Socio-Economic Indexes for Areas (SEIFA)</w:t>
      </w:r>
      <w:r w:rsidR="00BD5115" w:rsidRPr="0C5679B2">
        <w:rPr>
          <w:rFonts w:asciiTheme="minorHAnsi" w:hAnsiTheme="minorHAnsi"/>
          <w:lang w:eastAsia="en-AU"/>
        </w:rPr>
        <w:t xml:space="preserve"> </w:t>
      </w:r>
      <w:r w:rsidR="002B4BE5" w:rsidRPr="0C5679B2">
        <w:rPr>
          <w:rFonts w:asciiTheme="minorHAnsi" w:hAnsiTheme="minorHAnsi"/>
          <w:lang w:eastAsia="en-AU"/>
        </w:rPr>
        <w:t>Index of Relative Socio-economic Disadvantage (IRSD)</w:t>
      </w:r>
      <w:r w:rsidR="00BD5115" w:rsidRPr="0C5679B2">
        <w:rPr>
          <w:rFonts w:asciiTheme="minorHAnsi" w:hAnsiTheme="minorHAnsi"/>
          <w:lang w:eastAsia="en-AU"/>
        </w:rPr>
        <w:t xml:space="preserve">. </w:t>
      </w:r>
      <w:r w:rsidR="002B4BE5" w:rsidRPr="0C5679B2">
        <w:rPr>
          <w:rFonts w:asciiTheme="minorHAnsi" w:hAnsiTheme="minorHAnsi"/>
          <w:lang w:eastAsia="en-AU"/>
        </w:rPr>
        <w:t xml:space="preserve">However, States and Territories may use different measures in their individual Implementation Plans as agreed bilaterally with the Australian Government. (The issues with the current measure are discussed in </w:t>
      </w:r>
      <w:r w:rsidR="008F7577">
        <w:t>Chapter</w:t>
      </w:r>
      <w:r w:rsidR="008F7577" w:rsidRPr="00272ABB">
        <w:t xml:space="preserve"> </w:t>
      </w:r>
      <w:r w:rsidR="002B4BE5" w:rsidRPr="0C5679B2">
        <w:rPr>
          <w:rFonts w:asciiTheme="minorHAnsi" w:hAnsiTheme="minorHAnsi"/>
          <w:lang w:eastAsia="en-AU"/>
        </w:rPr>
        <w:t>4.3.)</w:t>
      </w:r>
    </w:p>
    <w:p w14:paraId="6B7F9CD8" w14:textId="77777777" w:rsidR="00BD5115" w:rsidRPr="002B4BE5" w:rsidRDefault="00BD5115" w:rsidP="00BD5115">
      <w:pPr>
        <w:rPr>
          <w:rFonts w:asciiTheme="minorHAnsi" w:hAnsiTheme="minorHAnsi"/>
          <w:lang w:eastAsia="en-AU"/>
        </w:rPr>
      </w:pPr>
      <w:r w:rsidRPr="0C5679B2">
        <w:rPr>
          <w:rFonts w:asciiTheme="minorHAnsi" w:hAnsiTheme="minorHAnsi"/>
          <w:lang w:eastAsia="en-AU"/>
        </w:rPr>
        <w:t>SEIFA</w:t>
      </w:r>
      <w:r w:rsidR="002B4BE5" w:rsidRPr="0C5679B2">
        <w:rPr>
          <w:rFonts w:asciiTheme="minorHAnsi" w:hAnsiTheme="minorHAnsi"/>
          <w:lang w:eastAsia="en-AU"/>
        </w:rPr>
        <w:t xml:space="preserve"> IRSD</w:t>
      </w:r>
      <w:r w:rsidRPr="0C5679B2">
        <w:rPr>
          <w:rFonts w:asciiTheme="minorHAnsi" w:hAnsiTheme="minorHAnsi"/>
          <w:lang w:eastAsia="en-AU"/>
        </w:rPr>
        <w:t xml:space="preserve"> is a product developed by the ABS that ranks areas in Australia according to relative socio-economic disadvantage. The index </w:t>
      </w:r>
      <w:r w:rsidR="002B4BE5" w:rsidRPr="0C5679B2">
        <w:rPr>
          <w:rFonts w:asciiTheme="minorHAnsi" w:hAnsiTheme="minorHAnsi"/>
          <w:lang w:eastAsia="en-AU"/>
        </w:rPr>
        <w:t xml:space="preserve">is </w:t>
      </w:r>
      <w:r w:rsidRPr="0C5679B2">
        <w:rPr>
          <w:rFonts w:asciiTheme="minorHAnsi" w:hAnsiTheme="minorHAnsi"/>
          <w:lang w:eastAsia="en-AU"/>
        </w:rPr>
        <w:t xml:space="preserve">based on information from the five-yearly </w:t>
      </w:r>
      <w:r w:rsidR="009A30F3">
        <w:rPr>
          <w:rFonts w:asciiTheme="minorHAnsi" w:hAnsiTheme="minorHAnsi"/>
          <w:lang w:eastAsia="en-AU"/>
        </w:rPr>
        <w:t xml:space="preserve">national </w:t>
      </w:r>
      <w:r w:rsidRPr="0C5679B2">
        <w:rPr>
          <w:rFonts w:asciiTheme="minorHAnsi" w:hAnsiTheme="minorHAnsi"/>
          <w:lang w:eastAsia="en-AU"/>
        </w:rPr>
        <w:t>Census</w:t>
      </w:r>
      <w:r w:rsidR="002B4BE5" w:rsidRPr="0C5679B2">
        <w:rPr>
          <w:rFonts w:asciiTheme="minorHAnsi" w:hAnsiTheme="minorHAnsi"/>
          <w:lang w:eastAsia="en-AU"/>
        </w:rPr>
        <w:t xml:space="preserve"> and is a </w:t>
      </w:r>
      <w:r w:rsidRPr="0C5679B2">
        <w:rPr>
          <w:rFonts w:asciiTheme="minorHAnsi" w:hAnsiTheme="minorHAnsi"/>
          <w:lang w:eastAsia="en-AU"/>
        </w:rPr>
        <w:t xml:space="preserve">general socio-economic index that summarises a range of information about the economic and social conditions of people and households within an area. </w:t>
      </w:r>
    </w:p>
    <w:p w14:paraId="19B10774" w14:textId="46642111" w:rsidR="00DC29C4" w:rsidRDefault="00422BBB" w:rsidP="00BD5115">
      <w:r w:rsidRPr="0C5679B2">
        <w:rPr>
          <w:rFonts w:asciiTheme="minorHAnsi" w:hAnsiTheme="minorHAnsi"/>
          <w:lang w:eastAsia="en-AU"/>
        </w:rPr>
        <w:t xml:space="preserve">Noting the limitations associated with robustly identifying vulnerable and disadvantaged </w:t>
      </w:r>
      <w:r w:rsidR="009E5AC9" w:rsidRPr="0C5679B2">
        <w:rPr>
          <w:rFonts w:asciiTheme="minorHAnsi" w:hAnsiTheme="minorHAnsi"/>
          <w:lang w:eastAsia="en-AU"/>
        </w:rPr>
        <w:t>children, and</w:t>
      </w:r>
      <w:r w:rsidRPr="0C5679B2">
        <w:rPr>
          <w:rFonts w:asciiTheme="minorHAnsi" w:hAnsiTheme="minorHAnsi"/>
          <w:lang w:eastAsia="en-AU"/>
        </w:rPr>
        <w:t xml:space="preserve"> therefore measuring their access to quality programs at a national level, </w:t>
      </w:r>
      <w:r w:rsidR="00053CAE">
        <w:rPr>
          <w:rFonts w:asciiTheme="minorHAnsi" w:hAnsiTheme="minorHAnsi"/>
          <w:lang w:eastAsia="en-AU"/>
        </w:rPr>
        <w:t xml:space="preserve">the Review finds </w:t>
      </w:r>
      <w:r w:rsidR="00A32946" w:rsidRPr="0C5679B2">
        <w:rPr>
          <w:rFonts w:asciiTheme="minorHAnsi" w:hAnsiTheme="minorHAnsi"/>
          <w:lang w:eastAsia="en-AU"/>
        </w:rPr>
        <w:t>that</w:t>
      </w:r>
      <w:r w:rsidR="00DC29C4" w:rsidRPr="0C5679B2">
        <w:rPr>
          <w:rFonts w:asciiTheme="minorHAnsi" w:hAnsiTheme="minorHAnsi"/>
          <w:lang w:eastAsia="en-AU"/>
        </w:rPr>
        <w:t xml:space="preserve"> </w:t>
      </w:r>
      <w:r w:rsidR="00053CAE">
        <w:rPr>
          <w:rFonts w:asciiTheme="minorHAnsi" w:hAnsiTheme="minorHAnsi"/>
          <w:lang w:eastAsia="en-AU"/>
        </w:rPr>
        <w:t xml:space="preserve">there have been </w:t>
      </w:r>
      <w:r w:rsidR="00DC29C4" w:rsidRPr="0C5679B2">
        <w:rPr>
          <w:rFonts w:asciiTheme="minorHAnsi" w:hAnsiTheme="minorHAnsi"/>
          <w:lang w:eastAsia="en-AU"/>
        </w:rPr>
        <w:t xml:space="preserve">considerable improvements </w:t>
      </w:r>
      <w:r w:rsidR="00A32946" w:rsidRPr="0C5679B2">
        <w:rPr>
          <w:rFonts w:asciiTheme="minorHAnsi" w:hAnsiTheme="minorHAnsi"/>
          <w:lang w:eastAsia="en-AU"/>
        </w:rPr>
        <w:t xml:space="preserve">made </w:t>
      </w:r>
      <w:r w:rsidR="00DC29C4" w:rsidRPr="0C5679B2">
        <w:rPr>
          <w:rFonts w:asciiTheme="minorHAnsi" w:hAnsiTheme="minorHAnsi"/>
          <w:lang w:eastAsia="en-AU"/>
        </w:rPr>
        <w:t xml:space="preserve">in </w:t>
      </w:r>
      <w:r w:rsidR="00DC29C4">
        <w:t xml:space="preserve">all jurisdictions </w:t>
      </w:r>
      <w:r w:rsidR="00053CAE">
        <w:t>to improve access for</w:t>
      </w:r>
      <w:r w:rsidR="00053CAE" w:rsidRPr="0087116A">
        <w:t xml:space="preserve"> vulnerable and disadvantaged childre</w:t>
      </w:r>
      <w:r w:rsidR="00053CAE">
        <w:t>n</w:t>
      </w:r>
      <w:r w:rsidR="00DC29C4">
        <w:t xml:space="preserve">. </w:t>
      </w:r>
      <w:r w:rsidR="005401E9">
        <w:fldChar w:fldCharType="begin"/>
      </w:r>
      <w:r w:rsidR="005401E9">
        <w:instrText xml:space="preserve"> REF _Ref24127730 \h </w:instrText>
      </w:r>
      <w:r w:rsidR="005401E9">
        <w:fldChar w:fldCharType="separate"/>
      </w:r>
      <w:r w:rsidR="00B37785">
        <w:t xml:space="preserve">Figure </w:t>
      </w:r>
      <w:r w:rsidR="00B37785">
        <w:rPr>
          <w:noProof/>
        </w:rPr>
        <w:t>13</w:t>
      </w:r>
      <w:r w:rsidR="005401E9">
        <w:fldChar w:fldCharType="end"/>
      </w:r>
      <w:r w:rsidR="0087116A">
        <w:t xml:space="preserve"> highlights the progressi</w:t>
      </w:r>
      <w:r w:rsidR="00DA3494">
        <w:t>ve</w:t>
      </w:r>
      <w:r w:rsidR="0087116A">
        <w:t xml:space="preserve"> increase in the p</w:t>
      </w:r>
      <w:r w:rsidR="0087116A" w:rsidRPr="0087116A">
        <w:t xml:space="preserve">roportion of enrolments of 600 hours in preschool programs </w:t>
      </w:r>
      <w:r w:rsidR="0087116A">
        <w:t>for</w:t>
      </w:r>
      <w:r w:rsidR="0087116A" w:rsidRPr="0087116A">
        <w:t xml:space="preserve"> vulnerable and disadvantaged children</w:t>
      </w:r>
      <w:r w:rsidR="0087116A">
        <w:t xml:space="preserve"> using the U</w:t>
      </w:r>
      <w:r w:rsidR="00E94432">
        <w:t>AN</w:t>
      </w:r>
      <w:r w:rsidR="0087116A">
        <w:t xml:space="preserve">P </w:t>
      </w:r>
      <w:r w:rsidR="00FC42C6">
        <w:t>p</w:t>
      </w:r>
      <w:r w:rsidR="00BD5115">
        <w:t xml:space="preserve">erformance </w:t>
      </w:r>
      <w:r w:rsidR="00FC42C6">
        <w:t>i</w:t>
      </w:r>
      <w:r w:rsidR="00BD5115">
        <w:t>ndicator</w:t>
      </w:r>
      <w:r w:rsidR="0087116A">
        <w:t xml:space="preserve"> methodology.</w:t>
      </w:r>
    </w:p>
    <w:p w14:paraId="37779FB8" w14:textId="76BDF025" w:rsidR="00DC29C4" w:rsidRDefault="00DC29C4" w:rsidP="00DC29C4">
      <w:pPr>
        <w:pStyle w:val="Caption"/>
      </w:pPr>
      <w:bookmarkStart w:id="136" w:name="_Ref24127730"/>
      <w:r>
        <w:t xml:space="preserve">Figure </w:t>
      </w:r>
      <w:r w:rsidR="00B76790">
        <w:fldChar w:fldCharType="begin"/>
      </w:r>
      <w:r w:rsidR="00B76790">
        <w:instrText xml:space="preserve"> SEQ Figure \* ARABIC </w:instrText>
      </w:r>
      <w:r w:rsidR="00B76790">
        <w:fldChar w:fldCharType="separate"/>
      </w:r>
      <w:r w:rsidR="00B37785">
        <w:rPr>
          <w:noProof/>
        </w:rPr>
        <w:t>13</w:t>
      </w:r>
      <w:r w:rsidR="00B76790">
        <w:fldChar w:fldCharType="end"/>
      </w:r>
      <w:bookmarkEnd w:id="136"/>
      <w:r>
        <w:t xml:space="preserve"> | </w:t>
      </w:r>
      <w:r w:rsidRPr="0076253B">
        <w:t>Proportion of vulnerable and disadvantaged children</w:t>
      </w:r>
      <w:r w:rsidR="00486B07">
        <w:t xml:space="preserve"> </w:t>
      </w:r>
      <w:r w:rsidR="00842144">
        <w:t>enrolled in preschool program</w:t>
      </w:r>
      <w:r w:rsidR="00142BCB">
        <w:t>s</w:t>
      </w:r>
      <w:r w:rsidR="00842144">
        <w:t xml:space="preserve"> for 60</w:t>
      </w:r>
      <w:r w:rsidR="00486B07">
        <w:t>0 hours (PI3.</w:t>
      </w:r>
      <w:r w:rsidR="00021384">
        <w:t>3</w:t>
      </w:r>
      <w:r w:rsidR="00486B07">
        <w:t>)</w:t>
      </w:r>
      <w:r w:rsidR="00752463" w:rsidRPr="00752463">
        <w:rPr>
          <w:rStyle w:val="FootnoteReference"/>
        </w:rPr>
        <w:footnoteReference w:id="47"/>
      </w:r>
      <w:r w:rsidR="00752463" w:rsidRPr="00752463">
        <w:rPr>
          <w:vertAlign w:val="superscript"/>
        </w:rPr>
        <w:t>,</w:t>
      </w:r>
      <w:r w:rsidR="00752463">
        <w:rPr>
          <w:rStyle w:val="FootnoteReference"/>
        </w:rPr>
        <w:footnoteReference w:id="48"/>
      </w:r>
    </w:p>
    <w:p w14:paraId="03A50C42" w14:textId="77777777" w:rsidR="00DC29C4" w:rsidRDefault="0007205B" w:rsidP="00D1527C">
      <w:pPr>
        <w:pStyle w:val="Bullet"/>
      </w:pPr>
      <w:r>
        <w:rPr>
          <w:noProof/>
        </w:rPr>
        <w:drawing>
          <wp:inline distT="0" distB="0" distL="0" distR="0" wp14:anchorId="60873E87" wp14:editId="255B5034">
            <wp:extent cx="5670000" cy="2786400"/>
            <wp:effectExtent l="0" t="0" r="6985" b="0"/>
            <wp:docPr id="29" name="Picture 29" descr="Graph showing the proportion of vulnerable and disadvantaged children enrolled in preschool programs for 600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the proportion of vulnerable and disadvantaged children enrolled in preschool programs for 600 hour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0000" cy="2786400"/>
                    </a:xfrm>
                    <a:prstGeom prst="rect">
                      <a:avLst/>
                    </a:prstGeom>
                    <a:solidFill>
                      <a:schemeClr val="accent5"/>
                    </a:solidFill>
                  </pic:spPr>
                </pic:pic>
              </a:graphicData>
            </a:graphic>
          </wp:inline>
        </w:drawing>
      </w:r>
    </w:p>
    <w:tbl>
      <w:tblPr>
        <w:tblStyle w:val="NousTableTopandside"/>
        <w:tblW w:w="0" w:type="auto"/>
        <w:tblLook w:val="04A0" w:firstRow="1" w:lastRow="0" w:firstColumn="1" w:lastColumn="0" w:noHBand="0" w:noVBand="1"/>
      </w:tblPr>
      <w:tblGrid>
        <w:gridCol w:w="993"/>
        <w:gridCol w:w="881"/>
        <w:gridCol w:w="882"/>
        <w:gridCol w:w="882"/>
        <w:gridCol w:w="882"/>
        <w:gridCol w:w="882"/>
        <w:gridCol w:w="882"/>
        <w:gridCol w:w="882"/>
        <w:gridCol w:w="882"/>
        <w:gridCol w:w="882"/>
      </w:tblGrid>
      <w:tr w:rsidR="00251BB4" w14:paraId="63D286FD" w14:textId="77777777" w:rsidTr="000B2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right w:val="none" w:sz="0" w:space="0" w:color="auto"/>
            </w:tcBorders>
            <w:vAlign w:val="top"/>
          </w:tcPr>
          <w:p w14:paraId="6DD40056" w14:textId="77777777" w:rsidR="00251BB4" w:rsidRPr="00E35F7E" w:rsidRDefault="00251BB4" w:rsidP="00251BB4">
            <w:pPr>
              <w:pStyle w:val="TableNText"/>
              <w:spacing w:before="0" w:after="0"/>
              <w:rPr>
                <w:rFonts w:asciiTheme="majorHAnsi" w:hAnsiTheme="majorHAnsi" w:cstheme="majorBidi"/>
                <w:sz w:val="18"/>
                <w:szCs w:val="18"/>
              </w:rPr>
            </w:pPr>
            <w:r w:rsidRPr="0C5679B2">
              <w:rPr>
                <w:rFonts w:asciiTheme="majorHAnsi" w:hAnsiTheme="majorHAnsi" w:cstheme="majorBidi"/>
                <w:sz w:val="18"/>
                <w:szCs w:val="18"/>
              </w:rPr>
              <w:t>Year</w:t>
            </w:r>
          </w:p>
        </w:tc>
        <w:tc>
          <w:tcPr>
            <w:tcW w:w="881" w:type="dxa"/>
            <w:tcBorders>
              <w:top w:val="none" w:sz="0" w:space="0" w:color="auto"/>
              <w:left w:val="none" w:sz="0" w:space="0" w:color="auto"/>
              <w:right w:val="none" w:sz="0" w:space="0" w:color="auto"/>
            </w:tcBorders>
            <w:vAlign w:val="top"/>
          </w:tcPr>
          <w:p w14:paraId="791DE491"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Aust.</w:t>
            </w:r>
          </w:p>
        </w:tc>
        <w:tc>
          <w:tcPr>
            <w:tcW w:w="882" w:type="dxa"/>
            <w:tcBorders>
              <w:top w:val="none" w:sz="0" w:space="0" w:color="auto"/>
              <w:left w:val="none" w:sz="0" w:space="0" w:color="auto"/>
              <w:right w:val="none" w:sz="0" w:space="0" w:color="auto"/>
            </w:tcBorders>
            <w:vAlign w:val="top"/>
          </w:tcPr>
          <w:p w14:paraId="0AD67C4D"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NSW</w:t>
            </w:r>
          </w:p>
        </w:tc>
        <w:tc>
          <w:tcPr>
            <w:tcW w:w="882" w:type="dxa"/>
            <w:tcBorders>
              <w:top w:val="none" w:sz="0" w:space="0" w:color="auto"/>
              <w:left w:val="none" w:sz="0" w:space="0" w:color="auto"/>
              <w:right w:val="none" w:sz="0" w:space="0" w:color="auto"/>
            </w:tcBorders>
            <w:vAlign w:val="top"/>
          </w:tcPr>
          <w:p w14:paraId="616B3F8E"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Vic.</w:t>
            </w:r>
          </w:p>
        </w:tc>
        <w:tc>
          <w:tcPr>
            <w:tcW w:w="882" w:type="dxa"/>
            <w:tcBorders>
              <w:top w:val="none" w:sz="0" w:space="0" w:color="auto"/>
              <w:left w:val="none" w:sz="0" w:space="0" w:color="auto"/>
              <w:right w:val="none" w:sz="0" w:space="0" w:color="auto"/>
            </w:tcBorders>
            <w:vAlign w:val="top"/>
          </w:tcPr>
          <w:p w14:paraId="6A722385"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Qld</w:t>
            </w:r>
          </w:p>
        </w:tc>
        <w:tc>
          <w:tcPr>
            <w:tcW w:w="882" w:type="dxa"/>
            <w:tcBorders>
              <w:top w:val="none" w:sz="0" w:space="0" w:color="auto"/>
              <w:left w:val="none" w:sz="0" w:space="0" w:color="auto"/>
              <w:right w:val="none" w:sz="0" w:space="0" w:color="auto"/>
            </w:tcBorders>
            <w:vAlign w:val="top"/>
          </w:tcPr>
          <w:p w14:paraId="37C9859A"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SA</w:t>
            </w:r>
          </w:p>
        </w:tc>
        <w:tc>
          <w:tcPr>
            <w:tcW w:w="882" w:type="dxa"/>
            <w:tcBorders>
              <w:top w:val="none" w:sz="0" w:space="0" w:color="auto"/>
              <w:left w:val="none" w:sz="0" w:space="0" w:color="auto"/>
              <w:right w:val="none" w:sz="0" w:space="0" w:color="auto"/>
            </w:tcBorders>
            <w:vAlign w:val="top"/>
          </w:tcPr>
          <w:p w14:paraId="49172815"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WA</w:t>
            </w:r>
          </w:p>
        </w:tc>
        <w:tc>
          <w:tcPr>
            <w:tcW w:w="882" w:type="dxa"/>
            <w:tcBorders>
              <w:top w:val="none" w:sz="0" w:space="0" w:color="auto"/>
              <w:left w:val="none" w:sz="0" w:space="0" w:color="auto"/>
              <w:right w:val="none" w:sz="0" w:space="0" w:color="auto"/>
            </w:tcBorders>
            <w:vAlign w:val="top"/>
          </w:tcPr>
          <w:p w14:paraId="18697DE1"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Tas.</w:t>
            </w:r>
          </w:p>
        </w:tc>
        <w:tc>
          <w:tcPr>
            <w:tcW w:w="882" w:type="dxa"/>
            <w:tcBorders>
              <w:top w:val="none" w:sz="0" w:space="0" w:color="auto"/>
              <w:left w:val="none" w:sz="0" w:space="0" w:color="auto"/>
              <w:right w:val="none" w:sz="0" w:space="0" w:color="auto"/>
            </w:tcBorders>
            <w:vAlign w:val="top"/>
          </w:tcPr>
          <w:p w14:paraId="220EE8D2"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NT</w:t>
            </w:r>
          </w:p>
        </w:tc>
        <w:tc>
          <w:tcPr>
            <w:tcW w:w="882" w:type="dxa"/>
            <w:tcBorders>
              <w:top w:val="none" w:sz="0" w:space="0" w:color="auto"/>
              <w:left w:val="none" w:sz="0" w:space="0" w:color="auto"/>
            </w:tcBorders>
            <w:vAlign w:val="top"/>
          </w:tcPr>
          <w:p w14:paraId="31069017" w14:textId="77777777" w:rsidR="00251BB4" w:rsidRPr="00E35F7E" w:rsidRDefault="00251BB4" w:rsidP="00251BB4">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0C5679B2">
              <w:rPr>
                <w:rFonts w:asciiTheme="majorHAnsi" w:hAnsiTheme="majorHAnsi" w:cstheme="majorBidi"/>
                <w:sz w:val="18"/>
                <w:szCs w:val="18"/>
              </w:rPr>
              <w:t>ACT</w:t>
            </w:r>
          </w:p>
        </w:tc>
      </w:tr>
      <w:tr w:rsidR="006D22BC" w14:paraId="45E0A7FE" w14:textId="77777777" w:rsidTr="000B24D2">
        <w:tc>
          <w:tcPr>
            <w:cnfStyle w:val="001000000000" w:firstRow="0" w:lastRow="0" w:firstColumn="1" w:lastColumn="0" w:oddVBand="0" w:evenVBand="0" w:oddHBand="0" w:evenHBand="0" w:firstRowFirstColumn="0" w:firstRowLastColumn="0" w:lastRowFirstColumn="0" w:lastRowLastColumn="0"/>
            <w:tcW w:w="993" w:type="dxa"/>
          </w:tcPr>
          <w:p w14:paraId="1E918070" w14:textId="77777777" w:rsidR="006D22BC" w:rsidRPr="00B50A46" w:rsidRDefault="006D22BC" w:rsidP="006D22BC">
            <w:pPr>
              <w:pStyle w:val="TableNText"/>
              <w:spacing w:before="0" w:after="0"/>
              <w:rPr>
                <w:rFonts w:asciiTheme="majorHAnsi" w:hAnsiTheme="majorHAnsi" w:cstheme="majorBidi"/>
              </w:rPr>
            </w:pPr>
            <w:r w:rsidRPr="0C5679B2">
              <w:rPr>
                <w:rFonts w:asciiTheme="majorHAnsi" w:hAnsiTheme="majorHAnsi" w:cstheme="majorBidi"/>
              </w:rPr>
              <w:t>2014</w:t>
            </w:r>
          </w:p>
        </w:tc>
        <w:tc>
          <w:tcPr>
            <w:tcW w:w="881" w:type="dxa"/>
          </w:tcPr>
          <w:p w14:paraId="4EF90B13" w14:textId="77777777" w:rsidR="006D22BC" w:rsidRPr="00A50D6A"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92%</w:t>
            </w:r>
          </w:p>
        </w:tc>
        <w:tc>
          <w:tcPr>
            <w:tcW w:w="882" w:type="dxa"/>
          </w:tcPr>
          <w:p w14:paraId="432AAF32"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85%</w:t>
            </w:r>
          </w:p>
        </w:tc>
        <w:tc>
          <w:tcPr>
            <w:tcW w:w="882" w:type="dxa"/>
          </w:tcPr>
          <w:p w14:paraId="578FDC17"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p>
        </w:tc>
        <w:tc>
          <w:tcPr>
            <w:tcW w:w="882" w:type="dxa"/>
          </w:tcPr>
          <w:p w14:paraId="44FB50C5"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p>
        </w:tc>
        <w:tc>
          <w:tcPr>
            <w:tcW w:w="882" w:type="dxa"/>
          </w:tcPr>
          <w:p w14:paraId="78567D6A"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93%</w:t>
            </w:r>
          </w:p>
        </w:tc>
        <w:tc>
          <w:tcPr>
            <w:tcW w:w="882" w:type="dxa"/>
          </w:tcPr>
          <w:p w14:paraId="29164245"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94%</w:t>
            </w:r>
          </w:p>
        </w:tc>
        <w:tc>
          <w:tcPr>
            <w:tcW w:w="882" w:type="dxa"/>
          </w:tcPr>
          <w:p w14:paraId="55F92728"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99%</w:t>
            </w:r>
          </w:p>
        </w:tc>
        <w:tc>
          <w:tcPr>
            <w:tcW w:w="882" w:type="dxa"/>
          </w:tcPr>
          <w:p w14:paraId="52601E6B"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100%</w:t>
            </w:r>
          </w:p>
        </w:tc>
        <w:tc>
          <w:tcPr>
            <w:tcW w:w="882" w:type="dxa"/>
          </w:tcPr>
          <w:p w14:paraId="4C7BD67F"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100%</w:t>
            </w:r>
          </w:p>
        </w:tc>
      </w:tr>
      <w:tr w:rsidR="006D22BC" w14:paraId="63447D4D" w14:textId="77777777" w:rsidTr="00EF6C30">
        <w:tc>
          <w:tcPr>
            <w:cnfStyle w:val="001000000000" w:firstRow="0" w:lastRow="0" w:firstColumn="1" w:lastColumn="0" w:oddVBand="0" w:evenVBand="0" w:oddHBand="0" w:evenHBand="0" w:firstRowFirstColumn="0" w:firstRowLastColumn="0" w:lastRowFirstColumn="0" w:lastRowLastColumn="0"/>
            <w:tcW w:w="993" w:type="dxa"/>
          </w:tcPr>
          <w:p w14:paraId="56999DA7" w14:textId="77777777" w:rsidR="006D22BC" w:rsidRPr="00B50A46" w:rsidRDefault="006D22BC" w:rsidP="006D22BC">
            <w:pPr>
              <w:pStyle w:val="TableNText"/>
              <w:spacing w:before="0" w:after="0"/>
              <w:rPr>
                <w:rFonts w:asciiTheme="majorHAnsi" w:hAnsiTheme="majorHAnsi" w:cstheme="majorBidi"/>
              </w:rPr>
            </w:pPr>
            <w:r w:rsidRPr="0C5679B2">
              <w:rPr>
                <w:rFonts w:asciiTheme="majorHAnsi" w:hAnsiTheme="majorHAnsi" w:cstheme="majorBidi"/>
              </w:rPr>
              <w:t>2015</w:t>
            </w:r>
          </w:p>
        </w:tc>
        <w:tc>
          <w:tcPr>
            <w:tcW w:w="881" w:type="dxa"/>
          </w:tcPr>
          <w:p w14:paraId="5E41FC76" w14:textId="77777777" w:rsidR="006D22BC" w:rsidRPr="00A50D6A"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89%</w:t>
            </w:r>
          </w:p>
        </w:tc>
        <w:tc>
          <w:tcPr>
            <w:tcW w:w="882" w:type="dxa"/>
          </w:tcPr>
          <w:p w14:paraId="247F312E"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73%</w:t>
            </w:r>
          </w:p>
        </w:tc>
        <w:tc>
          <w:tcPr>
            <w:tcW w:w="882" w:type="dxa"/>
          </w:tcPr>
          <w:p w14:paraId="3E8E8448"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p>
        </w:tc>
        <w:tc>
          <w:tcPr>
            <w:tcW w:w="882" w:type="dxa"/>
          </w:tcPr>
          <w:p w14:paraId="7C759E70"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p>
        </w:tc>
        <w:tc>
          <w:tcPr>
            <w:tcW w:w="882" w:type="dxa"/>
          </w:tcPr>
          <w:p w14:paraId="474C1830"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p>
        </w:tc>
        <w:tc>
          <w:tcPr>
            <w:tcW w:w="882" w:type="dxa"/>
          </w:tcPr>
          <w:p w14:paraId="4D48B9AF"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p>
        </w:tc>
        <w:tc>
          <w:tcPr>
            <w:tcW w:w="882" w:type="dxa"/>
          </w:tcPr>
          <w:p w14:paraId="7A085D04"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p>
        </w:tc>
        <w:tc>
          <w:tcPr>
            <w:tcW w:w="882" w:type="dxa"/>
          </w:tcPr>
          <w:p w14:paraId="2DE5589E"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p>
        </w:tc>
        <w:tc>
          <w:tcPr>
            <w:tcW w:w="882" w:type="dxa"/>
          </w:tcPr>
          <w:p w14:paraId="52856A1B" w14:textId="77777777" w:rsidR="006D22BC" w:rsidRDefault="006D22BC"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p>
        </w:tc>
      </w:tr>
      <w:tr w:rsidR="00DC29C4" w14:paraId="3121CD09" w14:textId="77777777" w:rsidTr="00EF6C30">
        <w:tc>
          <w:tcPr>
            <w:cnfStyle w:val="001000000000" w:firstRow="0" w:lastRow="0" w:firstColumn="1" w:lastColumn="0" w:oddVBand="0" w:evenVBand="0" w:oddHBand="0" w:evenHBand="0" w:firstRowFirstColumn="0" w:firstRowLastColumn="0" w:lastRowFirstColumn="0" w:lastRowLastColumn="0"/>
            <w:tcW w:w="993" w:type="dxa"/>
          </w:tcPr>
          <w:p w14:paraId="5587D79A" w14:textId="77777777" w:rsidR="00143CED" w:rsidRPr="00B50A46" w:rsidRDefault="00143CED" w:rsidP="00143CED">
            <w:pPr>
              <w:pStyle w:val="TableNText"/>
              <w:spacing w:before="0" w:after="0"/>
              <w:rPr>
                <w:rFonts w:asciiTheme="majorHAnsi" w:hAnsiTheme="majorHAnsi" w:cstheme="majorBidi"/>
              </w:rPr>
            </w:pPr>
            <w:r w:rsidRPr="0C5679B2">
              <w:rPr>
                <w:rFonts w:asciiTheme="majorHAnsi" w:hAnsiTheme="majorHAnsi" w:cstheme="majorBidi"/>
              </w:rPr>
              <w:lastRenderedPageBreak/>
              <w:t>2016</w:t>
            </w:r>
          </w:p>
        </w:tc>
        <w:tc>
          <w:tcPr>
            <w:tcW w:w="881" w:type="dxa"/>
          </w:tcPr>
          <w:p w14:paraId="5767069C"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92%</w:t>
            </w:r>
          </w:p>
        </w:tc>
        <w:tc>
          <w:tcPr>
            <w:tcW w:w="882" w:type="dxa"/>
          </w:tcPr>
          <w:p w14:paraId="26757C72" w14:textId="77777777" w:rsidR="006D22BC" w:rsidRPr="00EB6014" w:rsidRDefault="00143CED"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82</w:t>
            </w:r>
            <w:r w:rsidR="006D22BC" w:rsidRPr="000B24D2">
              <w:t>%</w:t>
            </w:r>
          </w:p>
        </w:tc>
        <w:tc>
          <w:tcPr>
            <w:tcW w:w="882" w:type="dxa"/>
          </w:tcPr>
          <w:p w14:paraId="0433D8DD"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99</w:t>
            </w:r>
            <w:r w:rsidR="00DC29C4" w:rsidRPr="000B24D2">
              <w:t>%</w:t>
            </w:r>
          </w:p>
        </w:tc>
        <w:tc>
          <w:tcPr>
            <w:tcW w:w="882" w:type="dxa"/>
          </w:tcPr>
          <w:p w14:paraId="541359A5"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r w:rsidR="00DC29C4" w:rsidRPr="000B24D2">
              <w:t>%</w:t>
            </w:r>
          </w:p>
        </w:tc>
        <w:tc>
          <w:tcPr>
            <w:tcW w:w="882" w:type="dxa"/>
          </w:tcPr>
          <w:p w14:paraId="0562F419"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r w:rsidR="00DC29C4" w:rsidRPr="000B24D2">
              <w:t>%</w:t>
            </w:r>
          </w:p>
        </w:tc>
        <w:tc>
          <w:tcPr>
            <w:tcW w:w="882" w:type="dxa"/>
          </w:tcPr>
          <w:p w14:paraId="403B1ECD"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r w:rsidR="00DC29C4" w:rsidRPr="000B24D2">
              <w:t>%</w:t>
            </w:r>
          </w:p>
        </w:tc>
        <w:tc>
          <w:tcPr>
            <w:tcW w:w="882" w:type="dxa"/>
          </w:tcPr>
          <w:p w14:paraId="37196F65"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r w:rsidR="00DC29C4" w:rsidRPr="000B24D2">
              <w:t>%</w:t>
            </w:r>
          </w:p>
        </w:tc>
        <w:tc>
          <w:tcPr>
            <w:tcW w:w="882" w:type="dxa"/>
          </w:tcPr>
          <w:p w14:paraId="65D3561F"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99</w:t>
            </w:r>
            <w:r w:rsidR="00DC29C4" w:rsidRPr="000B24D2">
              <w:t>%</w:t>
            </w:r>
          </w:p>
        </w:tc>
        <w:tc>
          <w:tcPr>
            <w:tcW w:w="882" w:type="dxa"/>
          </w:tcPr>
          <w:p w14:paraId="779BDAB2" w14:textId="77777777" w:rsidR="00DC29C4" w:rsidRDefault="006D22BC"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r w:rsidR="00DC29C4" w:rsidRPr="000B24D2">
              <w:t>%</w:t>
            </w:r>
          </w:p>
        </w:tc>
      </w:tr>
      <w:tr w:rsidR="00DC29C4" w14:paraId="5471525A" w14:textId="77777777" w:rsidTr="00EF6C30">
        <w:tc>
          <w:tcPr>
            <w:cnfStyle w:val="001000000000" w:firstRow="0" w:lastRow="0" w:firstColumn="1" w:lastColumn="0" w:oddVBand="0" w:evenVBand="0" w:oddHBand="0" w:evenHBand="0" w:firstRowFirstColumn="0" w:firstRowLastColumn="0" w:lastRowFirstColumn="0" w:lastRowLastColumn="0"/>
            <w:tcW w:w="993" w:type="dxa"/>
          </w:tcPr>
          <w:p w14:paraId="78C39B2C" w14:textId="77777777" w:rsidR="00143CED" w:rsidRPr="00B50A46" w:rsidRDefault="00143CED" w:rsidP="00143CED">
            <w:pPr>
              <w:pStyle w:val="TableNText"/>
              <w:spacing w:before="0" w:after="0"/>
              <w:rPr>
                <w:rFonts w:asciiTheme="majorHAnsi" w:hAnsiTheme="majorHAnsi" w:cstheme="majorBidi"/>
              </w:rPr>
            </w:pPr>
            <w:r w:rsidRPr="0C5679B2">
              <w:rPr>
                <w:rFonts w:asciiTheme="majorHAnsi" w:hAnsiTheme="majorHAnsi" w:cstheme="majorBidi"/>
              </w:rPr>
              <w:t>2017</w:t>
            </w:r>
          </w:p>
        </w:tc>
        <w:tc>
          <w:tcPr>
            <w:tcW w:w="881" w:type="dxa"/>
          </w:tcPr>
          <w:p w14:paraId="0324DD13"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p>
        </w:tc>
        <w:tc>
          <w:tcPr>
            <w:tcW w:w="882" w:type="dxa"/>
          </w:tcPr>
          <w:p w14:paraId="3841DF92" w14:textId="77777777" w:rsidR="006D22BC" w:rsidRPr="00EB6014" w:rsidRDefault="00143CED"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92</w:t>
            </w:r>
            <w:r w:rsidR="006D22BC" w:rsidRPr="000B24D2">
              <w:t>%</w:t>
            </w:r>
          </w:p>
        </w:tc>
        <w:tc>
          <w:tcPr>
            <w:tcW w:w="882" w:type="dxa"/>
          </w:tcPr>
          <w:p w14:paraId="522AAA53"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99</w:t>
            </w:r>
            <w:r w:rsidR="00DC29C4" w:rsidRPr="000B24D2">
              <w:t>%</w:t>
            </w:r>
          </w:p>
        </w:tc>
        <w:tc>
          <w:tcPr>
            <w:tcW w:w="882" w:type="dxa"/>
          </w:tcPr>
          <w:p w14:paraId="49D50B2B"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r w:rsidR="00DC29C4" w:rsidRPr="000B24D2">
              <w:t>%</w:t>
            </w:r>
          </w:p>
        </w:tc>
        <w:tc>
          <w:tcPr>
            <w:tcW w:w="882" w:type="dxa"/>
          </w:tcPr>
          <w:p w14:paraId="0D1A425F"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r w:rsidR="00DC29C4" w:rsidRPr="000B24D2">
              <w:t>%</w:t>
            </w:r>
          </w:p>
        </w:tc>
        <w:tc>
          <w:tcPr>
            <w:tcW w:w="882" w:type="dxa"/>
          </w:tcPr>
          <w:p w14:paraId="4370F082"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r w:rsidR="00DC29C4" w:rsidRPr="000B24D2">
              <w:t>%</w:t>
            </w:r>
          </w:p>
        </w:tc>
        <w:tc>
          <w:tcPr>
            <w:tcW w:w="882" w:type="dxa"/>
          </w:tcPr>
          <w:p w14:paraId="5EC77554" w14:textId="77777777" w:rsidR="00DC29C4" w:rsidRDefault="00DC29C4"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96%</w:t>
            </w:r>
          </w:p>
        </w:tc>
        <w:tc>
          <w:tcPr>
            <w:tcW w:w="882" w:type="dxa"/>
          </w:tcPr>
          <w:p w14:paraId="24ED0A02" w14:textId="77777777" w:rsidR="00DC29C4"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r w:rsidR="00DC29C4" w:rsidRPr="000B24D2">
              <w:t>%</w:t>
            </w:r>
          </w:p>
        </w:tc>
        <w:tc>
          <w:tcPr>
            <w:tcW w:w="882" w:type="dxa"/>
          </w:tcPr>
          <w:p w14:paraId="34A5B72F" w14:textId="77777777" w:rsidR="00DC29C4" w:rsidRDefault="006D22BC"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r w:rsidR="00DC29C4" w:rsidRPr="000B24D2">
              <w:t>%</w:t>
            </w:r>
          </w:p>
        </w:tc>
      </w:tr>
      <w:tr w:rsidR="00D1527C" w14:paraId="5B708773" w14:textId="77777777" w:rsidTr="000B24D2">
        <w:trPr>
          <w:trHeight w:val="24"/>
        </w:trPr>
        <w:tc>
          <w:tcPr>
            <w:cnfStyle w:val="001000000000" w:firstRow="0" w:lastRow="0" w:firstColumn="1" w:lastColumn="0" w:oddVBand="0" w:evenVBand="0" w:oddHBand="0" w:evenHBand="0" w:firstRowFirstColumn="0" w:firstRowLastColumn="0" w:lastRowFirstColumn="0" w:lastRowLastColumn="0"/>
            <w:tcW w:w="993" w:type="dxa"/>
          </w:tcPr>
          <w:p w14:paraId="1A711D17" w14:textId="77777777" w:rsidR="00143CED" w:rsidRPr="00B50A46" w:rsidRDefault="00143CED" w:rsidP="00143CED">
            <w:pPr>
              <w:pStyle w:val="TableNText"/>
              <w:spacing w:before="0" w:after="0"/>
              <w:rPr>
                <w:rFonts w:asciiTheme="majorHAnsi" w:hAnsiTheme="majorHAnsi" w:cstheme="majorBidi"/>
              </w:rPr>
            </w:pPr>
            <w:r w:rsidRPr="0C5679B2">
              <w:rPr>
                <w:rFonts w:asciiTheme="majorHAnsi" w:hAnsiTheme="majorHAnsi" w:cstheme="majorBidi"/>
              </w:rPr>
              <w:t>2018</w:t>
            </w:r>
          </w:p>
        </w:tc>
        <w:tc>
          <w:tcPr>
            <w:tcW w:w="881" w:type="dxa"/>
          </w:tcPr>
          <w:p w14:paraId="0075BF65"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94%</w:t>
            </w:r>
          </w:p>
        </w:tc>
        <w:tc>
          <w:tcPr>
            <w:tcW w:w="882" w:type="dxa"/>
          </w:tcPr>
          <w:p w14:paraId="403C3678" w14:textId="77777777" w:rsidR="006D22BC" w:rsidRPr="00EB6014" w:rsidRDefault="00143CED" w:rsidP="006D22BC">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90</w:t>
            </w:r>
            <w:r w:rsidR="006D22BC" w:rsidRPr="000B24D2">
              <w:t>%</w:t>
            </w:r>
          </w:p>
        </w:tc>
        <w:tc>
          <w:tcPr>
            <w:tcW w:w="882" w:type="dxa"/>
          </w:tcPr>
          <w:p w14:paraId="61027CF3"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r w:rsidR="00D1527C" w:rsidRPr="000B24D2">
              <w:t>%</w:t>
            </w:r>
          </w:p>
        </w:tc>
        <w:tc>
          <w:tcPr>
            <w:tcW w:w="882" w:type="dxa"/>
          </w:tcPr>
          <w:p w14:paraId="37805609"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93</w:t>
            </w:r>
            <w:r w:rsidR="00D1527C" w:rsidRPr="000B24D2">
              <w:t>%</w:t>
            </w:r>
          </w:p>
        </w:tc>
        <w:tc>
          <w:tcPr>
            <w:tcW w:w="882" w:type="dxa"/>
          </w:tcPr>
          <w:p w14:paraId="5171765A"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r w:rsidR="00D1527C" w:rsidRPr="000B24D2">
              <w:t>%</w:t>
            </w:r>
          </w:p>
        </w:tc>
        <w:tc>
          <w:tcPr>
            <w:tcW w:w="882" w:type="dxa"/>
          </w:tcPr>
          <w:p w14:paraId="08D647CB" w14:textId="77777777" w:rsidR="00D1527C" w:rsidRDefault="006D22BC"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r w:rsidR="00D1527C" w:rsidRPr="000B24D2">
              <w:t>%</w:t>
            </w:r>
          </w:p>
        </w:tc>
        <w:tc>
          <w:tcPr>
            <w:tcW w:w="882" w:type="dxa"/>
          </w:tcPr>
          <w:p w14:paraId="1F8CFC35"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95</w:t>
            </w:r>
            <w:r w:rsidR="00D1527C" w:rsidRPr="000B24D2">
              <w:t>%</w:t>
            </w:r>
          </w:p>
        </w:tc>
        <w:tc>
          <w:tcPr>
            <w:tcW w:w="882" w:type="dxa"/>
          </w:tcPr>
          <w:p w14:paraId="7EB43F56" w14:textId="77777777" w:rsidR="00D1527C" w:rsidRDefault="00143CED"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98</w:t>
            </w:r>
            <w:r w:rsidR="00D1527C" w:rsidRPr="000B24D2">
              <w:t>%</w:t>
            </w:r>
          </w:p>
        </w:tc>
        <w:tc>
          <w:tcPr>
            <w:tcW w:w="882" w:type="dxa"/>
          </w:tcPr>
          <w:p w14:paraId="63EECE63" w14:textId="77777777" w:rsidR="00D1527C" w:rsidRDefault="006D22BC" w:rsidP="00070812">
            <w:pPr>
              <w:pStyle w:val="TableNText"/>
              <w:spacing w:before="0" w:after="0"/>
              <w:cnfStyle w:val="000000000000" w:firstRow="0" w:lastRow="0" w:firstColumn="0" w:lastColumn="0" w:oddVBand="0" w:evenVBand="0" w:oddHBand="0" w:evenHBand="0" w:firstRowFirstColumn="0" w:firstRowLastColumn="0" w:lastRowFirstColumn="0" w:lastRowLastColumn="0"/>
            </w:pPr>
            <w:r w:rsidRPr="000B24D2">
              <w:t>97</w:t>
            </w:r>
            <w:r w:rsidR="00D1527C" w:rsidRPr="000B24D2">
              <w:t>%</w:t>
            </w:r>
          </w:p>
        </w:tc>
      </w:tr>
    </w:tbl>
    <w:p w14:paraId="07093EAB" w14:textId="77777777" w:rsidR="00812137" w:rsidRPr="00812137" w:rsidRDefault="00F35947" w:rsidP="00506D80">
      <w:pPr>
        <w:pStyle w:val="Heading4"/>
      </w:pPr>
      <w:r w:rsidRPr="00F35947">
        <w:t>Rural and remote participation is a known challenge</w:t>
      </w:r>
    </w:p>
    <w:p w14:paraId="08B5CB37" w14:textId="77777777" w:rsidR="004311C4" w:rsidRDefault="00DE5305" w:rsidP="008F71D1">
      <w:pPr>
        <w:pStyle w:val="Bullet"/>
      </w:pPr>
      <w:r>
        <w:t>Participation by children in r</w:t>
      </w:r>
      <w:r w:rsidRPr="00812137">
        <w:t xml:space="preserve">ural and remote </w:t>
      </w:r>
      <w:r>
        <w:t>areas</w:t>
      </w:r>
      <w:r w:rsidRPr="00812137">
        <w:t xml:space="preserve"> is a known challenge</w:t>
      </w:r>
      <w:r w:rsidR="00812137" w:rsidRPr="00812137">
        <w:t xml:space="preserve">, owing to thin markets </w:t>
      </w:r>
      <w:r w:rsidR="00A32946">
        <w:t xml:space="preserve">for both </w:t>
      </w:r>
      <w:r w:rsidR="00F37124">
        <w:t>preschool services</w:t>
      </w:r>
      <w:r w:rsidR="00A32946">
        <w:t xml:space="preserve"> and </w:t>
      </w:r>
      <w:r w:rsidR="00F37124">
        <w:t>early childhood workers</w:t>
      </w:r>
      <w:r w:rsidR="00812137" w:rsidRPr="00812137">
        <w:t>.</w:t>
      </w:r>
      <w:r w:rsidR="001F1406">
        <w:t xml:space="preserve"> </w:t>
      </w:r>
      <w:r w:rsidR="00A50B4B">
        <w:t>Governments</w:t>
      </w:r>
      <w:r w:rsidR="008F71D1">
        <w:t xml:space="preserve"> and providers</w:t>
      </w:r>
      <w:r w:rsidR="00EC6D9C">
        <w:t xml:space="preserve"> have noted </w:t>
      </w:r>
      <w:r w:rsidR="00DA3494">
        <w:t>the significant contribution the</w:t>
      </w:r>
      <w:r w:rsidR="004311C4">
        <w:t xml:space="preserve"> </w:t>
      </w:r>
      <w:r w:rsidR="004311C4" w:rsidRPr="00FB5BF8">
        <w:t xml:space="preserve">UANP has </w:t>
      </w:r>
      <w:r w:rsidR="00DA3494">
        <w:t xml:space="preserve">made </w:t>
      </w:r>
      <w:r w:rsidR="00A50B4B">
        <w:t xml:space="preserve">in </w:t>
      </w:r>
      <w:r w:rsidR="00DA3494">
        <w:t>addressing this challenge</w:t>
      </w:r>
      <w:r w:rsidR="004311C4" w:rsidRPr="00FB5BF8">
        <w:t>.</w:t>
      </w:r>
      <w:r w:rsidR="004311C4">
        <w:t xml:space="preserve"> </w:t>
      </w:r>
      <w:r w:rsidR="00746190">
        <w:t xml:space="preserve">Alongside the </w:t>
      </w:r>
      <w:r w:rsidR="00DA3494">
        <w:t xml:space="preserve">provision of </w:t>
      </w:r>
      <w:r w:rsidR="00746190">
        <w:t xml:space="preserve">direct funding, </w:t>
      </w:r>
      <w:r w:rsidR="008F71D1">
        <w:t xml:space="preserve">the </w:t>
      </w:r>
      <w:r w:rsidR="004311C4" w:rsidRPr="00FB5BF8">
        <w:t xml:space="preserve">UANP </w:t>
      </w:r>
      <w:r w:rsidR="008F71D1">
        <w:t xml:space="preserve">appears to have </w:t>
      </w:r>
      <w:r w:rsidR="00746190">
        <w:t>made it</w:t>
      </w:r>
      <w:r w:rsidR="004311C4" w:rsidRPr="00FB5BF8">
        <w:t xml:space="preserve"> easier to communicate the importance of </w:t>
      </w:r>
      <w:r w:rsidR="00DA3494">
        <w:t>quality preschool in the YBFS</w:t>
      </w:r>
      <w:r w:rsidR="004311C4" w:rsidRPr="00FB5BF8">
        <w:t xml:space="preserve"> </w:t>
      </w:r>
      <w:r w:rsidR="00DA3494">
        <w:t>to</w:t>
      </w:r>
      <w:r w:rsidR="004311C4" w:rsidRPr="00FB5BF8">
        <w:t xml:space="preserve"> </w:t>
      </w:r>
      <w:r w:rsidR="00746190">
        <w:t xml:space="preserve">many </w:t>
      </w:r>
      <w:r w:rsidR="004311C4" w:rsidRPr="00FB5BF8">
        <w:t>remote communities</w:t>
      </w:r>
      <w:r w:rsidR="004311C4">
        <w:t>.</w:t>
      </w:r>
    </w:p>
    <w:p w14:paraId="4141AD16" w14:textId="77777777" w:rsidR="002B4BE5" w:rsidRDefault="000E17EA" w:rsidP="002B4BE5">
      <w:pPr>
        <w:spacing w:after="0" w:line="240" w:lineRule="auto"/>
        <w:rPr>
          <w:rFonts w:ascii="Times New Roman" w:hAnsi="Times New Roman" w:cs="Times New Roman"/>
          <w:sz w:val="24"/>
          <w:szCs w:val="24"/>
          <w:lang w:eastAsia="en-AU"/>
        </w:rPr>
      </w:pPr>
      <w:r>
        <w:t>A</w:t>
      </w:r>
      <w:r w:rsidR="005A1C87">
        <w:t>n</w:t>
      </w:r>
      <w:r>
        <w:t xml:space="preserve"> analysis of enrolments at the </w:t>
      </w:r>
      <w:r w:rsidR="00927DC6">
        <w:t>Statistical Area 2 (</w:t>
      </w:r>
      <w:r>
        <w:t>SA2</w:t>
      </w:r>
      <w:r w:rsidR="00927DC6">
        <w:t>)</w:t>
      </w:r>
      <w:r>
        <w:t xml:space="preserve"> </w:t>
      </w:r>
      <w:r w:rsidR="002B4BE5">
        <w:t xml:space="preserve">level using the UANP measurement for PI2.1 </w:t>
      </w:r>
    </w:p>
    <w:p w14:paraId="0F99F000" w14:textId="77777777" w:rsidR="000E17EA" w:rsidRDefault="00974BD3" w:rsidP="008F71D1">
      <w:pPr>
        <w:pStyle w:val="Bullet"/>
      </w:pPr>
      <w:r>
        <w:t>shows</w:t>
      </w:r>
      <w:r w:rsidR="000E17EA">
        <w:t xml:space="preserve"> that </w:t>
      </w:r>
      <w:r>
        <w:t xml:space="preserve">a </w:t>
      </w:r>
      <w:r w:rsidR="00DA3494">
        <w:t>substantial</w:t>
      </w:r>
      <w:r w:rsidR="00F33597">
        <w:t xml:space="preserve"> </w:t>
      </w:r>
      <w:r w:rsidR="000E17EA">
        <w:t xml:space="preserve">proportion of enrolments </w:t>
      </w:r>
      <w:r w:rsidR="00927DC6">
        <w:t xml:space="preserve">in </w:t>
      </w:r>
      <w:r w:rsidR="00E01F71">
        <w:t xml:space="preserve">many </w:t>
      </w:r>
      <w:r w:rsidR="00927DC6">
        <w:t xml:space="preserve">rural and remote </w:t>
      </w:r>
      <w:r w:rsidR="000E17EA">
        <w:t xml:space="preserve">areas </w:t>
      </w:r>
      <w:r w:rsidR="00F33597">
        <w:t xml:space="preserve">in approaching </w:t>
      </w:r>
      <w:r w:rsidR="000E17EA">
        <w:t>the 95</w:t>
      </w:r>
      <w:r w:rsidR="00D064A7">
        <w:t xml:space="preserve"> per cent</w:t>
      </w:r>
      <w:r w:rsidR="000E17EA">
        <w:t xml:space="preserve"> target</w:t>
      </w:r>
      <w:r>
        <w:t>. H</w:t>
      </w:r>
      <w:r w:rsidR="00F33597">
        <w:t>owever</w:t>
      </w:r>
      <w:r>
        <w:t>,</w:t>
      </w:r>
      <w:r w:rsidR="00F33597">
        <w:t xml:space="preserve"> there is still </w:t>
      </w:r>
      <w:proofErr w:type="gramStart"/>
      <w:r w:rsidR="00F33597">
        <w:t>work</w:t>
      </w:r>
      <w:proofErr w:type="gramEnd"/>
      <w:r w:rsidR="00F33597">
        <w:t xml:space="preserve"> to </w:t>
      </w:r>
      <w:r w:rsidR="00500A18">
        <w:t>do</w:t>
      </w:r>
      <w:r w:rsidR="00F33597">
        <w:t xml:space="preserve"> to meet the </w:t>
      </w:r>
      <w:r w:rsidR="00A50B4B">
        <w:t xml:space="preserve">universal </w:t>
      </w:r>
      <w:r w:rsidR="00F33597">
        <w:t>95</w:t>
      </w:r>
      <w:r w:rsidR="00D064A7">
        <w:t xml:space="preserve"> per cent</w:t>
      </w:r>
      <w:r w:rsidR="00F33597">
        <w:t xml:space="preserve"> enrolment benchmark.</w:t>
      </w:r>
    </w:p>
    <w:p w14:paraId="1F98DCA9" w14:textId="33A19D3F" w:rsidR="00762AC8" w:rsidRPr="00762AC8" w:rsidRDefault="0004092D" w:rsidP="00D25236">
      <w:pPr>
        <w:pStyle w:val="Caption"/>
        <w:keepNext w:val="0"/>
      </w:pPr>
      <w:r>
        <w:t xml:space="preserve">Figure </w:t>
      </w:r>
      <w:r w:rsidR="00B76790">
        <w:fldChar w:fldCharType="begin"/>
      </w:r>
      <w:r w:rsidR="00B76790">
        <w:instrText xml:space="preserve"> SEQ Figure \* ARABIC </w:instrText>
      </w:r>
      <w:r w:rsidR="00B76790">
        <w:fldChar w:fldCharType="separate"/>
      </w:r>
      <w:r w:rsidR="00B37785">
        <w:rPr>
          <w:noProof/>
        </w:rPr>
        <w:t>14</w:t>
      </w:r>
      <w:r w:rsidR="00B76790">
        <w:fldChar w:fldCharType="end"/>
      </w:r>
      <w:r>
        <w:t xml:space="preserve"> | </w:t>
      </w:r>
      <w:r w:rsidRPr="002255F9">
        <w:t xml:space="preserve">Proportion of </w:t>
      </w:r>
      <w:r w:rsidR="00367682">
        <w:t>children enrolled</w:t>
      </w:r>
      <w:r w:rsidRPr="002255F9">
        <w:t xml:space="preserve"> in preschool </w:t>
      </w:r>
      <w:r w:rsidR="000A7C4D">
        <w:t xml:space="preserve">programs </w:t>
      </w:r>
      <w:r>
        <w:t>by geography</w:t>
      </w:r>
      <w:r w:rsidR="006C6F29">
        <w:t xml:space="preserve"> (PI2.1)</w:t>
      </w:r>
      <w:r w:rsidR="000C1AA7">
        <w:t xml:space="preserve"> </w:t>
      </w:r>
      <w:r w:rsidRPr="000C1AA7">
        <w:rPr>
          <w:rStyle w:val="FootnoteReference"/>
        </w:rPr>
        <w:footnoteReference w:id="49"/>
      </w:r>
      <w:r w:rsidR="002E4ED4" w:rsidRPr="002E4ED4">
        <w:rPr>
          <w:vertAlign w:val="superscript"/>
        </w:rPr>
        <w:t>,</w:t>
      </w:r>
      <w:r w:rsidR="002E4ED4">
        <w:rPr>
          <w:rStyle w:val="FootnoteReference"/>
        </w:rPr>
        <w:footnoteReference w:id="50"/>
      </w:r>
    </w:p>
    <w:p w14:paraId="6F4E7A87" w14:textId="77777777" w:rsidR="0004092D" w:rsidRDefault="00CC0D82" w:rsidP="00D25236">
      <w:pPr>
        <w:pStyle w:val="Caption"/>
        <w:keepNext w:val="0"/>
      </w:pPr>
      <w:r w:rsidRPr="00CC0D82">
        <w:rPr>
          <w:noProof/>
          <w:lang w:eastAsia="en-AU"/>
        </w:rPr>
        <w:drawing>
          <wp:inline distT="0" distB="0" distL="0" distR="0" wp14:anchorId="745103EE" wp14:editId="54FD7473">
            <wp:extent cx="5490000" cy="3153215"/>
            <wp:effectExtent l="0" t="0" r="0" b="9525"/>
            <wp:docPr id="10" name="Picture 10" descr="Map of Australia showing the proportion of children enrolled in preschool programs by ge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Australia showing the proportion of children enrolled in preschool programs by geography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0000" cy="3153215"/>
                    </a:xfrm>
                    <a:prstGeom prst="rect">
                      <a:avLst/>
                    </a:prstGeom>
                    <a:solidFill>
                      <a:schemeClr val="accent5"/>
                    </a:solidFill>
                    <a:ln>
                      <a:noFill/>
                    </a:ln>
                  </pic:spPr>
                </pic:pic>
              </a:graphicData>
            </a:graphic>
          </wp:inline>
        </w:drawing>
      </w:r>
    </w:p>
    <w:p w14:paraId="30BF8CCC" w14:textId="77777777" w:rsidR="00BB3FD2" w:rsidRDefault="002637E3" w:rsidP="00506D80">
      <w:pPr>
        <w:pStyle w:val="Heading4"/>
      </w:pPr>
      <w:bookmarkStart w:id="137" w:name="_Hlk24533659"/>
      <w:r>
        <w:t xml:space="preserve">Despite </w:t>
      </w:r>
      <w:r w:rsidR="00526AB3">
        <w:t>a lack of robust data</w:t>
      </w:r>
      <w:r>
        <w:t xml:space="preserve">, </w:t>
      </w:r>
      <w:r w:rsidR="00526AB3">
        <w:t xml:space="preserve">preschool attendance </w:t>
      </w:r>
      <w:r w:rsidR="00AC35F4">
        <w:t>has been maintained</w:t>
      </w:r>
    </w:p>
    <w:p w14:paraId="3F893C69" w14:textId="654191D8" w:rsidR="005C3A43" w:rsidRDefault="00A43F33" w:rsidP="005C3A43">
      <w:pPr>
        <w:pStyle w:val="Bullet"/>
      </w:pPr>
      <w:r>
        <w:t xml:space="preserve">The </w:t>
      </w:r>
      <w:r w:rsidR="0006012D">
        <w:t xml:space="preserve">UANP’s </w:t>
      </w:r>
      <w:r>
        <w:t xml:space="preserve">fourth </w:t>
      </w:r>
      <w:r w:rsidR="00FC42C6">
        <w:t>p</w:t>
      </w:r>
      <w:r w:rsidR="00BD5115">
        <w:t xml:space="preserve">erformance </w:t>
      </w:r>
      <w:r w:rsidR="00FC42C6">
        <w:t>i</w:t>
      </w:r>
      <w:r w:rsidR="00BD5115">
        <w:t>ndicator</w:t>
      </w:r>
      <w:r>
        <w:t xml:space="preserve"> </w:t>
      </w:r>
      <w:r w:rsidR="0006012D">
        <w:t xml:space="preserve">is </w:t>
      </w:r>
      <w:r>
        <w:t>focused on attendance.</w:t>
      </w:r>
      <w:r w:rsidR="00F33597">
        <w:t xml:space="preserve"> </w:t>
      </w:r>
      <w:r w:rsidR="00BB3FD2">
        <w:t>Accurately measuring</w:t>
      </w:r>
      <w:r w:rsidR="00F43003">
        <w:t xml:space="preserve"> preschool</w:t>
      </w:r>
      <w:r w:rsidR="00BB3FD2">
        <w:t xml:space="preserve"> attendance has been an ongoing </w:t>
      </w:r>
      <w:r w:rsidR="00DA3494">
        <w:t>issue</w:t>
      </w:r>
      <w:r w:rsidR="00BB3FD2">
        <w:t>.</w:t>
      </w:r>
      <w:r w:rsidR="00F33597">
        <w:t xml:space="preserve"> </w:t>
      </w:r>
      <w:r w:rsidR="00F43003">
        <w:t>Currently</w:t>
      </w:r>
      <w:r>
        <w:t>,</w:t>
      </w:r>
      <w:r w:rsidR="00F43003">
        <w:t xml:space="preserve"> for the purposes of the National Collection,</w:t>
      </w:r>
      <w:r>
        <w:t xml:space="preserve"> a child is considered to be attending a preschool program if they are present for at least one hour during </w:t>
      </w:r>
      <w:r w:rsidR="00F43003">
        <w:t>a single</w:t>
      </w:r>
      <w:r>
        <w:t xml:space="preserve"> </w:t>
      </w:r>
      <w:r>
        <w:lastRenderedPageBreak/>
        <w:t xml:space="preserve">reference week. </w:t>
      </w:r>
      <w:r w:rsidR="005C3A43">
        <w:t xml:space="preserve">(See </w:t>
      </w:r>
      <w:r w:rsidR="005C3A43">
        <w:fldChar w:fldCharType="begin"/>
      </w:r>
      <w:r w:rsidR="005C3A43">
        <w:instrText xml:space="preserve"> REF _Ref24127765 \h </w:instrText>
      </w:r>
      <w:r w:rsidR="005C3A43">
        <w:fldChar w:fldCharType="separate"/>
      </w:r>
      <w:r w:rsidR="00B37785">
        <w:t xml:space="preserve">Figure </w:t>
      </w:r>
      <w:r w:rsidR="00B37785">
        <w:rPr>
          <w:noProof/>
        </w:rPr>
        <w:t>15</w:t>
      </w:r>
      <w:r w:rsidR="005C3A43">
        <w:fldChar w:fldCharType="end"/>
      </w:r>
      <w:r w:rsidR="005C3A43">
        <w:t xml:space="preserve">, which shows that attendance rates for at least 1 hour across all jurisdictions has remained at 96 per cent for all children enrolled in Government preschools since 2015.) </w:t>
      </w:r>
    </w:p>
    <w:p w14:paraId="0EDF5ADE" w14:textId="5E7869E0" w:rsidR="005C3A43" w:rsidRDefault="008E3A98" w:rsidP="005C3A43">
      <w:pPr>
        <w:pStyle w:val="Bullet"/>
      </w:pPr>
      <w:r>
        <w:t xml:space="preserve">While there </w:t>
      </w:r>
      <w:r w:rsidRPr="008E3A98">
        <w:t>is useful and accurate attendance data available for government preschools</w:t>
      </w:r>
      <w:r>
        <w:t xml:space="preserve">, </w:t>
      </w:r>
      <w:r w:rsidRPr="0090789D">
        <w:t xml:space="preserve">data </w:t>
      </w:r>
      <w:r>
        <w:t xml:space="preserve">for CDBC attendance </w:t>
      </w:r>
      <w:r w:rsidRPr="0090789D">
        <w:t>only cover</w:t>
      </w:r>
      <w:r>
        <w:t>s</w:t>
      </w:r>
      <w:r w:rsidRPr="0090789D">
        <w:t xml:space="preserve"> billable hours, not actual attendance</w:t>
      </w:r>
      <w:r>
        <w:t>,</w:t>
      </w:r>
      <w:r>
        <w:rPr>
          <w:rStyle w:val="FootnoteReference"/>
        </w:rPr>
        <w:footnoteReference w:id="51"/>
      </w:r>
      <w:r>
        <w:t xml:space="preserve"> meaning that the figures overall are, at best, illustrative. </w:t>
      </w:r>
      <w:r w:rsidR="005C3A43">
        <w:t>Importantly in this context, it should be noted that, u</w:t>
      </w:r>
      <w:r w:rsidR="005C3A43" w:rsidRPr="00C340CC">
        <w:t xml:space="preserve">nder </w:t>
      </w:r>
      <w:r w:rsidR="001E4AC8">
        <w:t xml:space="preserve">the </w:t>
      </w:r>
      <w:r w:rsidR="005C3A43">
        <w:t xml:space="preserve">alternative </w:t>
      </w:r>
      <w:r w:rsidR="001E4AC8">
        <w:t xml:space="preserve">state-specific </w:t>
      </w:r>
      <w:r w:rsidR="005C3A43">
        <w:t xml:space="preserve">measures of enrolment and attendance provided by the </w:t>
      </w:r>
      <w:r w:rsidR="005C3A43" w:rsidRPr="00C340CC">
        <w:t>which calculates the number of children enrolled in the state-specific year before school, nearly 1 in 10 eligible children are still not enrolled in preschool, and national data indicates that 2</w:t>
      </w:r>
      <w:r w:rsidR="003141F7">
        <w:t>5</w:t>
      </w:r>
      <w:r w:rsidR="005C3A43" w:rsidRPr="00C340CC">
        <w:t xml:space="preserve"> per cent of children are not attending regularly for the full 15 hours</w:t>
      </w:r>
      <w:r w:rsidR="00DC3625">
        <w:t>.</w:t>
      </w:r>
      <w:r w:rsidR="003141F7">
        <w:rPr>
          <w:rStyle w:val="FootnoteReference"/>
        </w:rPr>
        <w:footnoteReference w:id="52"/>
      </w:r>
      <w:r w:rsidR="005C3A43">
        <w:t xml:space="preserve"> </w:t>
      </w:r>
      <w:r w:rsidR="001E4AC8">
        <w:t xml:space="preserve">(This is discussed in detail in </w:t>
      </w:r>
      <w:r w:rsidR="00614CB5">
        <w:t>Chapter</w:t>
      </w:r>
      <w:r w:rsidR="001E4AC8">
        <w:t xml:space="preserve"> 4.2). </w:t>
      </w:r>
      <w:r w:rsidR="005C3A43">
        <w:t>This highlights the case for further improvements for in attendance across the board.</w:t>
      </w:r>
    </w:p>
    <w:p w14:paraId="09723C20" w14:textId="77777777" w:rsidR="00AC35F4" w:rsidRDefault="005C3A43" w:rsidP="00AC35F4">
      <w:pPr>
        <w:pStyle w:val="Bullet"/>
      </w:pPr>
      <w:r>
        <w:t xml:space="preserve">The issues concerning a lack of reliable attendance data are </w:t>
      </w:r>
      <w:r w:rsidR="002637E3">
        <w:t xml:space="preserve">discussed further in </w:t>
      </w:r>
      <w:r w:rsidR="008F7577">
        <w:t>Chapter</w:t>
      </w:r>
      <w:r w:rsidR="008F7577" w:rsidRPr="00272ABB">
        <w:t xml:space="preserve"> </w:t>
      </w:r>
      <w:r w:rsidR="002637E3">
        <w:t>4.</w:t>
      </w:r>
      <w:r w:rsidR="000107B1">
        <w:t>2</w:t>
      </w:r>
      <w:r>
        <w:t xml:space="preserve"> and </w:t>
      </w:r>
      <w:r w:rsidR="004E7895">
        <w:t>Chapter</w:t>
      </w:r>
      <w:r>
        <w:t xml:space="preserve"> 4.3)</w:t>
      </w:r>
      <w:r w:rsidR="002637E3">
        <w:t xml:space="preserve">. </w:t>
      </w:r>
    </w:p>
    <w:p w14:paraId="7E794241" w14:textId="0CF299E7" w:rsidR="00AC35F4" w:rsidRDefault="00AC35F4" w:rsidP="00AC35F4">
      <w:pPr>
        <w:pStyle w:val="Caption"/>
      </w:pPr>
      <w:bookmarkStart w:id="138" w:name="_Ref24127765"/>
      <w:r>
        <w:t xml:space="preserve">Figure </w:t>
      </w:r>
      <w:r w:rsidR="00B76790">
        <w:fldChar w:fldCharType="begin"/>
      </w:r>
      <w:r w:rsidR="00B76790">
        <w:instrText xml:space="preserve"> SEQ Figure \* ARABIC </w:instrText>
      </w:r>
      <w:r w:rsidR="00B76790">
        <w:fldChar w:fldCharType="separate"/>
      </w:r>
      <w:r w:rsidR="00B37785">
        <w:rPr>
          <w:noProof/>
        </w:rPr>
        <w:t>15</w:t>
      </w:r>
      <w:r w:rsidR="00B76790">
        <w:fldChar w:fldCharType="end"/>
      </w:r>
      <w:bookmarkEnd w:id="138"/>
      <w:r>
        <w:t xml:space="preserve"> | Attendance rates for children enrolled in Government </w:t>
      </w:r>
      <w:r w:rsidR="005F5F5B">
        <w:t>p</w:t>
      </w:r>
      <w:r>
        <w:t>reschool</w:t>
      </w:r>
      <w:r w:rsidR="006755D1">
        <w:rPr>
          <w:rStyle w:val="FootnoteReference"/>
        </w:rPr>
        <w:footnoteReference w:id="53"/>
      </w:r>
    </w:p>
    <w:p w14:paraId="6573E730" w14:textId="77777777" w:rsidR="00AC35F4" w:rsidRDefault="00AC35F4" w:rsidP="00AC35F4">
      <w:pPr>
        <w:pStyle w:val="Bullet"/>
      </w:pPr>
      <w:r>
        <w:rPr>
          <w:noProof/>
        </w:rPr>
        <w:drawing>
          <wp:inline distT="0" distB="0" distL="0" distR="0" wp14:anchorId="7AD5E11A" wp14:editId="3E95344E">
            <wp:extent cx="5670000" cy="2970000"/>
            <wp:effectExtent l="0" t="0" r="6985" b="1905"/>
            <wp:docPr id="7" name="Picture 7" descr="Graph showing the attendance rates for children enrolled in Government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the attendance rates for children enrolled in Government preschoo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0000" cy="2970000"/>
                    </a:xfrm>
                    <a:prstGeom prst="rect">
                      <a:avLst/>
                    </a:prstGeom>
                    <a:noFill/>
                  </pic:spPr>
                </pic:pic>
              </a:graphicData>
            </a:graphic>
          </wp:inline>
        </w:drawing>
      </w:r>
    </w:p>
    <w:tbl>
      <w:tblPr>
        <w:tblStyle w:val="NousTableTopandside"/>
        <w:tblW w:w="0" w:type="auto"/>
        <w:tblLook w:val="04A0" w:firstRow="1" w:lastRow="0" w:firstColumn="1" w:lastColumn="0" w:noHBand="0" w:noVBand="1"/>
      </w:tblPr>
      <w:tblGrid>
        <w:gridCol w:w="993"/>
        <w:gridCol w:w="881"/>
        <w:gridCol w:w="882"/>
        <w:gridCol w:w="882"/>
        <w:gridCol w:w="882"/>
        <w:gridCol w:w="882"/>
        <w:gridCol w:w="882"/>
        <w:gridCol w:w="882"/>
        <w:gridCol w:w="882"/>
        <w:gridCol w:w="882"/>
      </w:tblGrid>
      <w:tr w:rsidR="00A20182" w14:paraId="5D8D6B3F" w14:textId="77777777" w:rsidTr="00A9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right w:val="none" w:sz="0" w:space="0" w:color="auto"/>
            </w:tcBorders>
            <w:vAlign w:val="top"/>
          </w:tcPr>
          <w:p w14:paraId="2A790B2F" w14:textId="77777777" w:rsidR="00A20182" w:rsidRPr="00E35F7E" w:rsidRDefault="00A20182" w:rsidP="00A922C2">
            <w:pPr>
              <w:pStyle w:val="TableNText"/>
              <w:spacing w:before="0" w:after="0"/>
              <w:rPr>
                <w:rFonts w:asciiTheme="majorHAnsi" w:hAnsiTheme="majorHAnsi" w:cstheme="majorBidi"/>
                <w:sz w:val="18"/>
                <w:szCs w:val="18"/>
              </w:rPr>
            </w:pPr>
            <w:r w:rsidRPr="4E25D2DC">
              <w:rPr>
                <w:rFonts w:asciiTheme="majorHAnsi" w:hAnsiTheme="majorHAnsi" w:cstheme="majorBidi"/>
                <w:sz w:val="18"/>
                <w:szCs w:val="18"/>
              </w:rPr>
              <w:t>Year</w:t>
            </w:r>
          </w:p>
        </w:tc>
        <w:tc>
          <w:tcPr>
            <w:tcW w:w="881" w:type="dxa"/>
            <w:tcBorders>
              <w:top w:val="none" w:sz="0" w:space="0" w:color="auto"/>
              <w:left w:val="none" w:sz="0" w:space="0" w:color="auto"/>
              <w:right w:val="none" w:sz="0" w:space="0" w:color="auto"/>
            </w:tcBorders>
            <w:vAlign w:val="top"/>
          </w:tcPr>
          <w:p w14:paraId="00AECF63"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Aust.</w:t>
            </w:r>
          </w:p>
        </w:tc>
        <w:tc>
          <w:tcPr>
            <w:tcW w:w="882" w:type="dxa"/>
            <w:tcBorders>
              <w:top w:val="none" w:sz="0" w:space="0" w:color="auto"/>
              <w:left w:val="none" w:sz="0" w:space="0" w:color="auto"/>
              <w:right w:val="none" w:sz="0" w:space="0" w:color="auto"/>
            </w:tcBorders>
            <w:vAlign w:val="top"/>
          </w:tcPr>
          <w:p w14:paraId="4D56BD1D"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NSW</w:t>
            </w:r>
          </w:p>
        </w:tc>
        <w:tc>
          <w:tcPr>
            <w:tcW w:w="882" w:type="dxa"/>
            <w:tcBorders>
              <w:top w:val="none" w:sz="0" w:space="0" w:color="auto"/>
              <w:left w:val="none" w:sz="0" w:space="0" w:color="auto"/>
              <w:right w:val="none" w:sz="0" w:space="0" w:color="auto"/>
            </w:tcBorders>
            <w:vAlign w:val="top"/>
          </w:tcPr>
          <w:p w14:paraId="13A1EB90"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Vic.</w:t>
            </w:r>
          </w:p>
        </w:tc>
        <w:tc>
          <w:tcPr>
            <w:tcW w:w="882" w:type="dxa"/>
            <w:tcBorders>
              <w:top w:val="none" w:sz="0" w:space="0" w:color="auto"/>
              <w:left w:val="none" w:sz="0" w:space="0" w:color="auto"/>
              <w:right w:val="none" w:sz="0" w:space="0" w:color="auto"/>
            </w:tcBorders>
            <w:vAlign w:val="top"/>
          </w:tcPr>
          <w:p w14:paraId="45D6B314"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Qld</w:t>
            </w:r>
          </w:p>
        </w:tc>
        <w:tc>
          <w:tcPr>
            <w:tcW w:w="882" w:type="dxa"/>
            <w:tcBorders>
              <w:top w:val="none" w:sz="0" w:space="0" w:color="auto"/>
              <w:left w:val="none" w:sz="0" w:space="0" w:color="auto"/>
              <w:right w:val="none" w:sz="0" w:space="0" w:color="auto"/>
            </w:tcBorders>
            <w:vAlign w:val="top"/>
          </w:tcPr>
          <w:p w14:paraId="58A0CFD8"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SA</w:t>
            </w:r>
          </w:p>
        </w:tc>
        <w:tc>
          <w:tcPr>
            <w:tcW w:w="882" w:type="dxa"/>
            <w:tcBorders>
              <w:top w:val="none" w:sz="0" w:space="0" w:color="auto"/>
              <w:left w:val="none" w:sz="0" w:space="0" w:color="auto"/>
              <w:right w:val="none" w:sz="0" w:space="0" w:color="auto"/>
            </w:tcBorders>
            <w:vAlign w:val="top"/>
          </w:tcPr>
          <w:p w14:paraId="2C52798C"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WA</w:t>
            </w:r>
          </w:p>
        </w:tc>
        <w:tc>
          <w:tcPr>
            <w:tcW w:w="882" w:type="dxa"/>
            <w:tcBorders>
              <w:top w:val="none" w:sz="0" w:space="0" w:color="auto"/>
              <w:left w:val="none" w:sz="0" w:space="0" w:color="auto"/>
              <w:right w:val="none" w:sz="0" w:space="0" w:color="auto"/>
            </w:tcBorders>
            <w:vAlign w:val="top"/>
          </w:tcPr>
          <w:p w14:paraId="730DAECC"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Tas.</w:t>
            </w:r>
          </w:p>
        </w:tc>
        <w:tc>
          <w:tcPr>
            <w:tcW w:w="882" w:type="dxa"/>
            <w:tcBorders>
              <w:top w:val="none" w:sz="0" w:space="0" w:color="auto"/>
              <w:left w:val="none" w:sz="0" w:space="0" w:color="auto"/>
              <w:right w:val="none" w:sz="0" w:space="0" w:color="auto"/>
            </w:tcBorders>
            <w:vAlign w:val="top"/>
          </w:tcPr>
          <w:p w14:paraId="6EF7B820"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NT</w:t>
            </w:r>
          </w:p>
        </w:tc>
        <w:tc>
          <w:tcPr>
            <w:tcW w:w="882" w:type="dxa"/>
            <w:tcBorders>
              <w:top w:val="none" w:sz="0" w:space="0" w:color="auto"/>
              <w:left w:val="none" w:sz="0" w:space="0" w:color="auto"/>
            </w:tcBorders>
            <w:vAlign w:val="top"/>
          </w:tcPr>
          <w:p w14:paraId="305F92BF" w14:textId="77777777" w:rsidR="00A20182" w:rsidRPr="00E35F7E" w:rsidRDefault="00A20182" w:rsidP="00A922C2">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ACT</w:t>
            </w:r>
          </w:p>
        </w:tc>
      </w:tr>
      <w:tr w:rsidR="00A20182" w14:paraId="6DEB935C" w14:textId="77777777" w:rsidTr="00A922C2">
        <w:tc>
          <w:tcPr>
            <w:cnfStyle w:val="001000000000" w:firstRow="0" w:lastRow="0" w:firstColumn="1" w:lastColumn="0" w:oddVBand="0" w:evenVBand="0" w:oddHBand="0" w:evenHBand="0" w:firstRowFirstColumn="0" w:firstRowLastColumn="0" w:lastRowFirstColumn="0" w:lastRowLastColumn="0"/>
            <w:tcW w:w="993" w:type="dxa"/>
          </w:tcPr>
          <w:p w14:paraId="15584321" w14:textId="77777777" w:rsidR="00A20182" w:rsidRPr="00B50A46" w:rsidRDefault="00A20182" w:rsidP="00A922C2">
            <w:pPr>
              <w:pStyle w:val="TableNText"/>
              <w:spacing w:before="0" w:after="0"/>
              <w:rPr>
                <w:rFonts w:asciiTheme="majorHAnsi" w:hAnsiTheme="majorHAnsi" w:cstheme="majorBidi"/>
              </w:rPr>
            </w:pPr>
            <w:r w:rsidRPr="0C5679B2">
              <w:rPr>
                <w:rFonts w:asciiTheme="majorHAnsi" w:hAnsiTheme="majorHAnsi" w:cstheme="majorBidi"/>
              </w:rPr>
              <w:t>2015</w:t>
            </w:r>
          </w:p>
        </w:tc>
        <w:tc>
          <w:tcPr>
            <w:tcW w:w="881" w:type="dxa"/>
          </w:tcPr>
          <w:p w14:paraId="76140A66" w14:textId="77777777" w:rsidR="00A20182" w:rsidRPr="00A50D6A"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79DFDAD8"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1BDB90F9"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94%</w:t>
            </w:r>
          </w:p>
        </w:tc>
        <w:tc>
          <w:tcPr>
            <w:tcW w:w="882" w:type="dxa"/>
          </w:tcPr>
          <w:p w14:paraId="515567B7"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5478A75A"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97%</w:t>
            </w:r>
          </w:p>
        </w:tc>
        <w:tc>
          <w:tcPr>
            <w:tcW w:w="882" w:type="dxa"/>
          </w:tcPr>
          <w:p w14:paraId="33B919AA"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5F1A4CCC"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99%</w:t>
            </w:r>
          </w:p>
        </w:tc>
        <w:tc>
          <w:tcPr>
            <w:tcW w:w="882" w:type="dxa"/>
          </w:tcPr>
          <w:p w14:paraId="0F01173D"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84%</w:t>
            </w:r>
          </w:p>
        </w:tc>
        <w:tc>
          <w:tcPr>
            <w:tcW w:w="882" w:type="dxa"/>
          </w:tcPr>
          <w:p w14:paraId="37E52C91"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r>
      <w:tr w:rsidR="00A20182" w14:paraId="5E422DB8" w14:textId="77777777" w:rsidTr="00A922C2">
        <w:tc>
          <w:tcPr>
            <w:cnfStyle w:val="001000000000" w:firstRow="0" w:lastRow="0" w:firstColumn="1" w:lastColumn="0" w:oddVBand="0" w:evenVBand="0" w:oddHBand="0" w:evenHBand="0" w:firstRowFirstColumn="0" w:firstRowLastColumn="0" w:lastRowFirstColumn="0" w:lastRowLastColumn="0"/>
            <w:tcW w:w="993" w:type="dxa"/>
          </w:tcPr>
          <w:p w14:paraId="018124B7" w14:textId="77777777" w:rsidR="00A20182" w:rsidRPr="00B50A46" w:rsidRDefault="00A20182" w:rsidP="00A922C2">
            <w:pPr>
              <w:pStyle w:val="TableNText"/>
              <w:spacing w:before="0" w:after="0"/>
              <w:rPr>
                <w:rFonts w:asciiTheme="majorHAnsi" w:hAnsiTheme="majorHAnsi" w:cstheme="majorBidi"/>
              </w:rPr>
            </w:pPr>
            <w:r w:rsidRPr="0C5679B2">
              <w:rPr>
                <w:rFonts w:asciiTheme="majorHAnsi" w:hAnsiTheme="majorHAnsi" w:cstheme="majorBidi"/>
              </w:rPr>
              <w:t>2016</w:t>
            </w:r>
          </w:p>
        </w:tc>
        <w:tc>
          <w:tcPr>
            <w:tcW w:w="881" w:type="dxa"/>
          </w:tcPr>
          <w:p w14:paraId="526A305C"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4ECE15E2" w14:textId="77777777" w:rsidR="00A20182" w:rsidRPr="00EB6014"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97%</w:t>
            </w:r>
          </w:p>
        </w:tc>
        <w:tc>
          <w:tcPr>
            <w:tcW w:w="882" w:type="dxa"/>
          </w:tcPr>
          <w:p w14:paraId="532A69F3"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94%</w:t>
            </w:r>
          </w:p>
        </w:tc>
        <w:tc>
          <w:tcPr>
            <w:tcW w:w="882" w:type="dxa"/>
          </w:tcPr>
          <w:p w14:paraId="1D2F69DE"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100%</w:t>
            </w:r>
          </w:p>
        </w:tc>
        <w:tc>
          <w:tcPr>
            <w:tcW w:w="882" w:type="dxa"/>
          </w:tcPr>
          <w:p w14:paraId="3EFD3447"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c>
          <w:tcPr>
            <w:tcW w:w="882" w:type="dxa"/>
          </w:tcPr>
          <w:p w14:paraId="12CB5E57"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1EEEDB37"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c>
          <w:tcPr>
            <w:tcW w:w="882" w:type="dxa"/>
          </w:tcPr>
          <w:p w14:paraId="4C5C9BE1"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84%</w:t>
            </w:r>
          </w:p>
        </w:tc>
        <w:tc>
          <w:tcPr>
            <w:tcW w:w="882" w:type="dxa"/>
          </w:tcPr>
          <w:p w14:paraId="17D4EAD8"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r>
      <w:tr w:rsidR="00A20182" w14:paraId="7FE687B4" w14:textId="77777777" w:rsidTr="00A922C2">
        <w:tc>
          <w:tcPr>
            <w:cnfStyle w:val="001000000000" w:firstRow="0" w:lastRow="0" w:firstColumn="1" w:lastColumn="0" w:oddVBand="0" w:evenVBand="0" w:oddHBand="0" w:evenHBand="0" w:firstRowFirstColumn="0" w:firstRowLastColumn="0" w:lastRowFirstColumn="0" w:lastRowLastColumn="0"/>
            <w:tcW w:w="993" w:type="dxa"/>
          </w:tcPr>
          <w:p w14:paraId="2BE0D019" w14:textId="77777777" w:rsidR="00A20182" w:rsidRPr="00B50A46" w:rsidRDefault="00A20182" w:rsidP="00A922C2">
            <w:pPr>
              <w:pStyle w:val="TableNText"/>
              <w:spacing w:before="0" w:after="0"/>
              <w:rPr>
                <w:rFonts w:asciiTheme="majorHAnsi" w:hAnsiTheme="majorHAnsi" w:cstheme="majorBidi"/>
              </w:rPr>
            </w:pPr>
            <w:r w:rsidRPr="0C5679B2">
              <w:rPr>
                <w:rFonts w:asciiTheme="majorHAnsi" w:hAnsiTheme="majorHAnsi" w:cstheme="majorBidi"/>
              </w:rPr>
              <w:t>2017</w:t>
            </w:r>
          </w:p>
        </w:tc>
        <w:tc>
          <w:tcPr>
            <w:tcW w:w="881" w:type="dxa"/>
          </w:tcPr>
          <w:p w14:paraId="6A9C2A44"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040E7515" w14:textId="77777777" w:rsidR="00A20182" w:rsidRPr="00EB6014"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97%</w:t>
            </w:r>
          </w:p>
        </w:tc>
        <w:tc>
          <w:tcPr>
            <w:tcW w:w="882" w:type="dxa"/>
          </w:tcPr>
          <w:p w14:paraId="39AE5C34"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94%</w:t>
            </w:r>
          </w:p>
        </w:tc>
        <w:tc>
          <w:tcPr>
            <w:tcW w:w="882" w:type="dxa"/>
          </w:tcPr>
          <w:p w14:paraId="71140BDB"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99%</w:t>
            </w:r>
          </w:p>
        </w:tc>
        <w:tc>
          <w:tcPr>
            <w:tcW w:w="882" w:type="dxa"/>
          </w:tcPr>
          <w:p w14:paraId="2917D003"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c>
          <w:tcPr>
            <w:tcW w:w="882" w:type="dxa"/>
          </w:tcPr>
          <w:p w14:paraId="1193DBE2"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706729F1"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99%</w:t>
            </w:r>
          </w:p>
        </w:tc>
        <w:tc>
          <w:tcPr>
            <w:tcW w:w="882" w:type="dxa"/>
          </w:tcPr>
          <w:p w14:paraId="40C0EF46"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91%</w:t>
            </w:r>
          </w:p>
        </w:tc>
        <w:tc>
          <w:tcPr>
            <w:tcW w:w="882" w:type="dxa"/>
          </w:tcPr>
          <w:p w14:paraId="44A8197C"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r>
      <w:tr w:rsidR="00A20182" w14:paraId="74420BF8" w14:textId="77777777" w:rsidTr="00A922C2">
        <w:trPr>
          <w:trHeight w:val="24"/>
        </w:trPr>
        <w:tc>
          <w:tcPr>
            <w:cnfStyle w:val="001000000000" w:firstRow="0" w:lastRow="0" w:firstColumn="1" w:lastColumn="0" w:oddVBand="0" w:evenVBand="0" w:oddHBand="0" w:evenHBand="0" w:firstRowFirstColumn="0" w:firstRowLastColumn="0" w:lastRowFirstColumn="0" w:lastRowLastColumn="0"/>
            <w:tcW w:w="993" w:type="dxa"/>
          </w:tcPr>
          <w:p w14:paraId="49F1068A" w14:textId="77777777" w:rsidR="00A20182" w:rsidRPr="00B50A46" w:rsidRDefault="00A20182" w:rsidP="00A922C2">
            <w:pPr>
              <w:pStyle w:val="TableNText"/>
              <w:spacing w:before="0" w:after="0"/>
              <w:rPr>
                <w:rFonts w:asciiTheme="majorHAnsi" w:hAnsiTheme="majorHAnsi" w:cstheme="majorBidi"/>
              </w:rPr>
            </w:pPr>
            <w:r w:rsidRPr="0C5679B2">
              <w:rPr>
                <w:rFonts w:asciiTheme="majorHAnsi" w:hAnsiTheme="majorHAnsi" w:cstheme="majorBidi"/>
              </w:rPr>
              <w:t>2018</w:t>
            </w:r>
          </w:p>
        </w:tc>
        <w:tc>
          <w:tcPr>
            <w:tcW w:w="881" w:type="dxa"/>
          </w:tcPr>
          <w:p w14:paraId="3E94C99A"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6D07013E" w14:textId="77777777" w:rsidR="00A20182" w:rsidRPr="00EB6014"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97%</w:t>
            </w:r>
          </w:p>
        </w:tc>
        <w:tc>
          <w:tcPr>
            <w:tcW w:w="882" w:type="dxa"/>
          </w:tcPr>
          <w:p w14:paraId="40C7A1BB"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94%</w:t>
            </w:r>
          </w:p>
        </w:tc>
        <w:tc>
          <w:tcPr>
            <w:tcW w:w="882" w:type="dxa"/>
          </w:tcPr>
          <w:p w14:paraId="459466AA"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98%</w:t>
            </w:r>
          </w:p>
        </w:tc>
        <w:tc>
          <w:tcPr>
            <w:tcW w:w="882" w:type="dxa"/>
          </w:tcPr>
          <w:p w14:paraId="69335887"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99%</w:t>
            </w:r>
          </w:p>
        </w:tc>
        <w:tc>
          <w:tcPr>
            <w:tcW w:w="882" w:type="dxa"/>
          </w:tcPr>
          <w:p w14:paraId="71D82BE6"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96%</w:t>
            </w:r>
          </w:p>
        </w:tc>
        <w:tc>
          <w:tcPr>
            <w:tcW w:w="882" w:type="dxa"/>
          </w:tcPr>
          <w:p w14:paraId="0D19163C"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99%</w:t>
            </w:r>
          </w:p>
        </w:tc>
        <w:tc>
          <w:tcPr>
            <w:tcW w:w="882" w:type="dxa"/>
          </w:tcPr>
          <w:p w14:paraId="1676C30E"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83%</w:t>
            </w:r>
          </w:p>
        </w:tc>
        <w:tc>
          <w:tcPr>
            <w:tcW w:w="882" w:type="dxa"/>
          </w:tcPr>
          <w:p w14:paraId="6525BFF5" w14:textId="77777777" w:rsidR="00A20182" w:rsidRDefault="00A20182" w:rsidP="00A922C2">
            <w:pPr>
              <w:pStyle w:val="TableNText"/>
              <w:spacing w:before="0" w:after="0"/>
              <w:cnfStyle w:val="000000000000" w:firstRow="0" w:lastRow="0" w:firstColumn="0" w:lastColumn="0" w:oddVBand="0" w:evenVBand="0" w:oddHBand="0" w:evenHBand="0" w:firstRowFirstColumn="0" w:firstRowLastColumn="0" w:lastRowFirstColumn="0" w:lastRowLastColumn="0"/>
            </w:pPr>
            <w:r w:rsidRPr="002D6948">
              <w:t>97%</w:t>
            </w:r>
          </w:p>
        </w:tc>
      </w:tr>
    </w:tbl>
    <w:p w14:paraId="24D20D80" w14:textId="77777777" w:rsidR="006755D1" w:rsidRDefault="006755D1" w:rsidP="00AC35F4">
      <w:pPr>
        <w:pStyle w:val="Bullet"/>
      </w:pPr>
    </w:p>
    <w:p w14:paraId="295CAA43" w14:textId="77777777" w:rsidR="00E87932" w:rsidRDefault="00DA3494" w:rsidP="009138D0">
      <w:pPr>
        <w:pStyle w:val="Bullet"/>
        <w:spacing w:after="240"/>
      </w:pPr>
      <w:r>
        <w:t>Notwithstanding</w:t>
      </w:r>
      <w:r w:rsidR="00BB3FD2">
        <w:t xml:space="preserve"> </w:t>
      </w:r>
      <w:r w:rsidR="002637E3">
        <w:t xml:space="preserve">concerns about the accuracy of </w:t>
      </w:r>
      <w:r w:rsidR="002B4BE5">
        <w:t xml:space="preserve">attendance </w:t>
      </w:r>
      <w:r w:rsidR="002637E3">
        <w:t>data</w:t>
      </w:r>
      <w:r w:rsidR="002B4BE5">
        <w:t xml:space="preserve"> across all </w:t>
      </w:r>
      <w:r w:rsidR="000107B1">
        <w:t xml:space="preserve">preschool </w:t>
      </w:r>
      <w:r w:rsidR="002B4BE5">
        <w:t>providers</w:t>
      </w:r>
      <w:r w:rsidR="00BB3FD2">
        <w:t xml:space="preserve">, </w:t>
      </w:r>
      <w:r w:rsidR="002637E3">
        <w:t xml:space="preserve">the Review accepts that the UANP has </w:t>
      </w:r>
      <w:r w:rsidR="006755D1">
        <w:t xml:space="preserve">supported increases and maintenance of </w:t>
      </w:r>
      <w:r w:rsidR="002637E3">
        <w:t>preschool</w:t>
      </w:r>
      <w:r w:rsidR="00382CA8">
        <w:t xml:space="preserve"> attendance</w:t>
      </w:r>
      <w:r w:rsidR="005C3A43">
        <w:t xml:space="preserve"> as per </w:t>
      </w:r>
      <w:r w:rsidR="005C3A43">
        <w:lastRenderedPageBreak/>
        <w:t>the set performance indicators and data sources in the UANP</w:t>
      </w:r>
      <w:r w:rsidR="002637E3">
        <w:t xml:space="preserve">. The Review is </w:t>
      </w:r>
      <w:r w:rsidR="00AC35F4">
        <w:t xml:space="preserve">further </w:t>
      </w:r>
      <w:r w:rsidR="002637E3">
        <w:t xml:space="preserve">persuaded by the lift in </w:t>
      </w:r>
      <w:r w:rsidR="00382CA8">
        <w:t>enrolment</w:t>
      </w:r>
      <w:r w:rsidR="006755D1">
        <w:t xml:space="preserve"> across all provider types</w:t>
      </w:r>
      <w:r w:rsidR="002637E3">
        <w:t xml:space="preserve"> (</w:t>
      </w:r>
      <w:r w:rsidR="00382CA8">
        <w:t>particular</w:t>
      </w:r>
      <w:r w:rsidR="002637E3">
        <w:t>ly</w:t>
      </w:r>
      <w:r w:rsidR="00382CA8">
        <w:t xml:space="preserve"> </w:t>
      </w:r>
      <w:r w:rsidR="002637E3">
        <w:t>for</w:t>
      </w:r>
      <w:r w:rsidR="00382CA8">
        <w:t xml:space="preserve"> 600 hours or more</w:t>
      </w:r>
      <w:r w:rsidR="002637E3">
        <w:t>)</w:t>
      </w:r>
      <w:r w:rsidR="005C3A43">
        <w:t>,</w:t>
      </w:r>
      <w:r w:rsidR="002637E3">
        <w:t xml:space="preserve"> which is correlated with attendance, as well as the </w:t>
      </w:r>
      <w:r>
        <w:t xml:space="preserve">apparent growing </w:t>
      </w:r>
      <w:r w:rsidR="002637E3">
        <w:t>normalisation of preschool attendance among parents and communities</w:t>
      </w:r>
      <w:r w:rsidR="00BB3FD2">
        <w:t>.</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E87932" w14:paraId="12ED7BDA" w14:textId="77777777" w:rsidTr="0083580F">
        <w:tc>
          <w:tcPr>
            <w:tcW w:w="8930" w:type="dxa"/>
            <w:shd w:val="clear" w:color="auto" w:fill="00264D" w:themeFill="background2"/>
          </w:tcPr>
          <w:bookmarkEnd w:id="137"/>
          <w:p w14:paraId="62FCA01C" w14:textId="77777777" w:rsidR="00E87932" w:rsidRPr="006C71B3" w:rsidRDefault="00E87932" w:rsidP="0083580F">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3</w:t>
            </w:r>
          </w:p>
          <w:p w14:paraId="10972EDD" w14:textId="77777777" w:rsidR="00E87932" w:rsidRPr="00030D73" w:rsidRDefault="00E87932" w:rsidP="0083580F">
            <w:pPr>
              <w:pStyle w:val="Longformcallout"/>
              <w:spacing w:after="0"/>
              <w:rPr>
                <w:rFonts w:asciiTheme="majorHAnsi" w:hAnsiTheme="majorHAnsi" w:cstheme="majorBidi"/>
                <w:sz w:val="24"/>
                <w:szCs w:val="24"/>
              </w:rPr>
            </w:pPr>
            <w:r w:rsidRPr="00B50889">
              <w:rPr>
                <w:rFonts w:asciiTheme="majorHAnsi" w:hAnsiTheme="majorHAnsi" w:cstheme="majorBidi"/>
                <w:color w:val="FFFFFF" w:themeColor="background1"/>
                <w:sz w:val="20"/>
                <w:szCs w:val="20"/>
              </w:rPr>
              <w:t>While the objectives of the UANP have broadly been realised, participation by target cohorts is not yet at the desired levels</w:t>
            </w:r>
            <w:r w:rsidRPr="0C5679B2">
              <w:rPr>
                <w:rFonts w:asciiTheme="majorHAnsi" w:hAnsiTheme="majorHAnsi" w:cstheme="majorBidi"/>
                <w:color w:val="FFFFFF" w:themeColor="background1"/>
                <w:sz w:val="20"/>
                <w:szCs w:val="20"/>
              </w:rPr>
              <w:t>.</w:t>
            </w:r>
          </w:p>
        </w:tc>
      </w:tr>
    </w:tbl>
    <w:p w14:paraId="3BB50A13" w14:textId="77777777" w:rsidR="009E4FD8" w:rsidRPr="00380481" w:rsidRDefault="00A94E68" w:rsidP="00927DC6">
      <w:pPr>
        <w:pStyle w:val="Heading2"/>
      </w:pPr>
      <w:bookmarkStart w:id="139" w:name="_Toc24549548"/>
      <w:bookmarkStart w:id="140" w:name="_Toc24549596"/>
      <w:bookmarkStart w:id="141" w:name="_Ref24557316"/>
      <w:bookmarkStart w:id="142" w:name="_Toc24559593"/>
      <w:bookmarkStart w:id="143" w:name="_Toc54597782"/>
      <w:bookmarkEnd w:id="139"/>
      <w:bookmarkEnd w:id="140"/>
      <w:r w:rsidRPr="00380481">
        <w:t xml:space="preserve">The UANP </w:t>
      </w:r>
      <w:r w:rsidR="007B7810">
        <w:t xml:space="preserve">has contributed to </w:t>
      </w:r>
      <w:r w:rsidR="00F15621">
        <w:t xml:space="preserve">an uplift in </w:t>
      </w:r>
      <w:r w:rsidR="00C76505">
        <w:t>quality</w:t>
      </w:r>
      <w:r w:rsidR="007B7810">
        <w:t>, though more work remains</w:t>
      </w:r>
      <w:bookmarkEnd w:id="141"/>
      <w:bookmarkEnd w:id="142"/>
      <w:r w:rsidR="001626F7">
        <w:t xml:space="preserve"> to be done</w:t>
      </w:r>
      <w:bookmarkEnd w:id="143"/>
    </w:p>
    <w:p w14:paraId="2B50575E" w14:textId="77777777" w:rsidR="00A56AD6" w:rsidRDefault="002909E9" w:rsidP="008873A0">
      <w:pPr>
        <w:pStyle w:val="Bullet"/>
      </w:pPr>
      <w:r>
        <w:t>Compelling evidence from a variety of sources</w:t>
      </w:r>
      <w:r>
        <w:rPr>
          <w:rStyle w:val="FootnoteReference"/>
        </w:rPr>
        <w:footnoteReference w:id="54"/>
      </w:r>
      <w:r>
        <w:t xml:space="preserve"> shows that to make a positive difference in the educational and longer-term outcomes for children, preschool programs must meet minimum quality standards. </w:t>
      </w:r>
      <w:r w:rsidR="008D7478" w:rsidRPr="008D7478">
        <w:t>This makes the reference to ‘quality’ in the UANP and the Review’s Terms of Reference crucial.</w:t>
      </w:r>
      <w:r w:rsidR="00A8107E">
        <w:t xml:space="preserve"> </w:t>
      </w:r>
    </w:p>
    <w:p w14:paraId="29D9D63A" w14:textId="77777777" w:rsidR="00A56AD6" w:rsidRDefault="006D4130" w:rsidP="00B84C44">
      <w:pPr>
        <w:pStyle w:val="Bullet"/>
      </w:pPr>
      <w:r w:rsidRPr="00D901C7">
        <w:t xml:space="preserve">All four </w:t>
      </w:r>
      <w:r w:rsidR="00FC42C6">
        <w:t>p</w:t>
      </w:r>
      <w:r>
        <w:t xml:space="preserve">erformance </w:t>
      </w:r>
      <w:r w:rsidR="00FC42C6">
        <w:t>i</w:t>
      </w:r>
      <w:r>
        <w:t>ndicator</w:t>
      </w:r>
      <w:r w:rsidRPr="00D901C7">
        <w:t xml:space="preserve">s in the current </w:t>
      </w:r>
      <w:r>
        <w:t>UANP</w:t>
      </w:r>
      <w:r w:rsidRPr="00D901C7">
        <w:t xml:space="preserve"> refer to quality and implicitly recognise its importance, with </w:t>
      </w:r>
      <w:r>
        <w:t>Performance Indicator</w:t>
      </w:r>
      <w:r w:rsidRPr="00D901C7">
        <w:t xml:space="preserve"> 1 having this as its central focus.</w:t>
      </w:r>
      <w:r>
        <w:t xml:space="preserve"> </w:t>
      </w:r>
      <w:r w:rsidR="008873A0" w:rsidRPr="4E25D2DC">
        <w:rPr>
          <w:rFonts w:asciiTheme="minorHAnsi" w:hAnsiTheme="minorHAnsi" w:cstheme="minorBidi"/>
        </w:rPr>
        <w:t xml:space="preserve">The </w:t>
      </w:r>
      <w:r w:rsidR="008873A0">
        <w:t xml:space="preserve">UANP’s objectives and its associated </w:t>
      </w:r>
      <w:r w:rsidR="00BD5115">
        <w:t>Performance Indicator</w:t>
      </w:r>
      <w:r w:rsidR="008873A0">
        <w:t xml:space="preserve"> 1 use the level of qualifications held by the </w:t>
      </w:r>
      <w:r w:rsidR="00F2397C">
        <w:t xml:space="preserve">ECT </w:t>
      </w:r>
      <w:r w:rsidR="00B84C44">
        <w:t xml:space="preserve">who </w:t>
      </w:r>
      <w:r w:rsidR="008873A0">
        <w:t xml:space="preserve">delivers preschool programs as </w:t>
      </w:r>
      <w:r w:rsidR="0019457D">
        <w:t>the UANP’s</w:t>
      </w:r>
      <w:r w:rsidR="008873A0">
        <w:t xml:space="preserve"> proxy measure of quality.</w:t>
      </w:r>
      <w:r w:rsidR="00A56AD6">
        <w:t xml:space="preserve"> This is for good reason</w:t>
      </w:r>
      <w:r w:rsidR="00F41BB2">
        <w:t>, as</w:t>
      </w:r>
      <w:r w:rsidR="00A56AD6">
        <w:t xml:space="preserve"> workforce is a crucial contributor to quality. A comprehensive literature review on determinants of quality in early childhood education and care finds that, overall, the most influential factors affecting quality, across age groups and service settings, are the education, qualifications and training of the workforce, with higher educator qualifications associated with better child outcomes.</w:t>
      </w:r>
      <w:r w:rsidR="00A56AD6">
        <w:rPr>
          <w:rStyle w:val="FootnoteReference"/>
        </w:rPr>
        <w:footnoteReference w:id="55"/>
      </w:r>
    </w:p>
    <w:p w14:paraId="7DBF61BA" w14:textId="1BADE7F1" w:rsidR="0043708E" w:rsidRDefault="00B84C44" w:rsidP="00B84C44">
      <w:pPr>
        <w:pStyle w:val="Bullet"/>
      </w:pPr>
      <w:r>
        <w:t xml:space="preserve">Since 2014, </w:t>
      </w:r>
      <w:r w:rsidR="0043708E">
        <w:t>Performance I</w:t>
      </w:r>
      <w:r>
        <w:t xml:space="preserve">ndicator </w:t>
      </w:r>
      <w:r w:rsidR="0043708E">
        <w:t>1</w:t>
      </w:r>
      <w:r>
        <w:t xml:space="preserve"> has been taken as achieved in the context of changes to the NQF requiring services to have access to a</w:t>
      </w:r>
      <w:r w:rsidR="007E3A5E">
        <w:t xml:space="preserve"> qualified</w:t>
      </w:r>
      <w:r>
        <w:t xml:space="preserve"> ECT (see Chapter 4 for discussion of definitional issues)</w:t>
      </w:r>
      <w:r w:rsidR="0043708E">
        <w:t xml:space="preserve">. </w:t>
      </w:r>
      <w:r w:rsidR="00B95E90">
        <w:t xml:space="preserve">Further discussion about this quality measure is </w:t>
      </w:r>
      <w:r w:rsidR="001626F7">
        <w:t xml:space="preserve">appears in </w:t>
      </w:r>
      <w:r w:rsidR="004E7895">
        <w:t>Chapter</w:t>
      </w:r>
      <w:r w:rsidR="001626F7">
        <w:t xml:space="preserve"> </w:t>
      </w:r>
      <w:r w:rsidR="009949A4">
        <w:fldChar w:fldCharType="begin"/>
      </w:r>
      <w:r w:rsidR="009949A4">
        <w:instrText xml:space="preserve"> REF _Ref24557082 \r \h </w:instrText>
      </w:r>
      <w:r w:rsidR="009949A4">
        <w:fldChar w:fldCharType="separate"/>
      </w:r>
      <w:r w:rsidR="00B37785">
        <w:t>4.3</w:t>
      </w:r>
      <w:r w:rsidR="009949A4">
        <w:fldChar w:fldCharType="end"/>
      </w:r>
      <w:r w:rsidR="009949A4">
        <w:t>.</w:t>
      </w:r>
    </w:p>
    <w:p w14:paraId="321516A1" w14:textId="77777777" w:rsidR="00A56AD6" w:rsidRDefault="00A56AD6" w:rsidP="00A56AD6">
      <w:pPr>
        <w:pStyle w:val="Heading4"/>
      </w:pPr>
      <w:r>
        <w:t>The UANP has contributed to an uplift in quality</w:t>
      </w:r>
    </w:p>
    <w:p w14:paraId="6E11F447" w14:textId="77777777" w:rsidR="0019457D" w:rsidRDefault="00317B1D" w:rsidP="0019457D">
      <w:pPr>
        <w:pStyle w:val="Bullet"/>
      </w:pPr>
      <w:r w:rsidRPr="0019457D">
        <w:t xml:space="preserve">The </w:t>
      </w:r>
      <w:r w:rsidR="0019457D" w:rsidRPr="0019457D">
        <w:t>Review finds</w:t>
      </w:r>
      <w:r w:rsidRPr="0019457D">
        <w:t xml:space="preserve"> that </w:t>
      </w:r>
      <w:r w:rsidR="00F37124">
        <w:t>governments’</w:t>
      </w:r>
      <w:r w:rsidRPr="0019457D">
        <w:t xml:space="preserve"> joint commitment to funding universal access to preschool has </w:t>
      </w:r>
      <w:r w:rsidR="0019457D" w:rsidRPr="0019457D">
        <w:t>contributed to</w:t>
      </w:r>
      <w:r w:rsidRPr="0019457D">
        <w:t xml:space="preserve"> raising </w:t>
      </w:r>
      <w:r w:rsidR="00F37124">
        <w:t xml:space="preserve">the </w:t>
      </w:r>
      <w:r w:rsidRPr="0019457D">
        <w:t xml:space="preserve">quality of </w:t>
      </w:r>
      <w:r w:rsidR="0019457D" w:rsidRPr="0019457D">
        <w:t>preschool.</w:t>
      </w:r>
      <w:r w:rsidR="0019457D">
        <w:t xml:space="preserve"> In 2013, 62 per cent of preschool providers met or exceeded quality standards, rising to 78 per cent in 2018.</w:t>
      </w:r>
      <w:r w:rsidR="0019457D">
        <w:rPr>
          <w:rStyle w:val="FootnoteReference"/>
        </w:rPr>
        <w:footnoteReference w:id="56"/>
      </w:r>
      <w:r w:rsidR="0019457D">
        <w:t xml:space="preserve"> </w:t>
      </w:r>
      <w:r w:rsidR="00E12CBB">
        <w:t>Reporting under the UANP shows that</w:t>
      </w:r>
      <w:r w:rsidR="0019457D">
        <w:t xml:space="preserve"> i</w:t>
      </w:r>
      <w:r w:rsidR="00A56AD6">
        <w:t>n 2013, 91.7 per cent of services had a qualified ECT, whereas in 2018, nearly all services (99.4</w:t>
      </w:r>
      <w:r w:rsidR="00C27718">
        <w:t xml:space="preserve"> per cent) </w:t>
      </w:r>
      <w:r w:rsidR="00A56AD6">
        <w:t>did.</w:t>
      </w:r>
      <w:r w:rsidR="00A56AD6">
        <w:rPr>
          <w:rStyle w:val="FootnoteReference"/>
        </w:rPr>
        <w:footnoteReference w:id="57"/>
      </w:r>
      <w:r w:rsidR="00A56AD6">
        <w:t xml:space="preserve"> </w:t>
      </w:r>
    </w:p>
    <w:p w14:paraId="71ABCA4A" w14:textId="77777777" w:rsidR="00E12CBB" w:rsidRDefault="00E12CBB" w:rsidP="00E12CBB">
      <w:pPr>
        <w:pStyle w:val="Bullet"/>
      </w:pPr>
      <w:r>
        <w:t>A</w:t>
      </w:r>
      <w:r w:rsidRPr="4E25D2DC">
        <w:rPr>
          <w:rFonts w:asciiTheme="minorHAnsi" w:hAnsiTheme="minorHAnsi" w:cstheme="minorBidi"/>
        </w:rPr>
        <w:t xml:space="preserve">ny consideration of the contribution of the UANP in driving quality must have regard to the accompanying complementary role of the NQF, other policy instruments like funding agreements and guidelines, and related investments by States and Territories and the Australian Government. That latter includes the NP NQA, which expired in June 2018. </w:t>
      </w:r>
      <w:r>
        <w:t xml:space="preserve">The introduction of the NQF </w:t>
      </w:r>
      <w:r w:rsidR="001626F7">
        <w:t>was</w:t>
      </w:r>
      <w:r>
        <w:t xml:space="preserve"> the main trigger for increasing the qualification thresholds for preschool delivery. </w:t>
      </w:r>
    </w:p>
    <w:p w14:paraId="667C6959" w14:textId="77777777" w:rsidR="0019457D" w:rsidRDefault="00A56AD6" w:rsidP="00AF2C20">
      <w:pPr>
        <w:pStyle w:val="Bullet"/>
        <w:spacing w:after="240"/>
      </w:pPr>
      <w:r>
        <w:lastRenderedPageBreak/>
        <w:t xml:space="preserve">While </w:t>
      </w:r>
      <w:r w:rsidR="0043708E">
        <w:t>the Review</w:t>
      </w:r>
      <w:r>
        <w:t xml:space="preserve"> did not have the necessary data to isolate specific causal factors, it is reasonable to conclude that the UANP funding, which we find has been used to fund ECT salaries and workforce initiatives, has contributed to this this improvement.</w:t>
      </w:r>
      <w:r w:rsidR="0019457D" w:rsidRPr="0019457D">
        <w:t xml:space="preserve"> </w:t>
      </w:r>
      <w:r w:rsidR="0019457D">
        <w:t>UANP funding has helped providers meet the higher salaries of more qualified staff and allowed services to backfill positions when staff need to be released for professional development. This includes giving diploma- or certificate-level employees time off to upgrade their qualifications.</w:t>
      </w:r>
    </w:p>
    <w:p w14:paraId="6D83FD2B" w14:textId="666C4F4F" w:rsidR="00861C5A" w:rsidRPr="00DC078B" w:rsidRDefault="00861C5A" w:rsidP="00A56AD6">
      <w:pPr>
        <w:pStyle w:val="Callout"/>
        <w:rPr>
          <w:b/>
          <w:color w:val="auto"/>
          <w:sz w:val="20"/>
          <w:szCs w:val="18"/>
        </w:rPr>
      </w:pPr>
      <w:r w:rsidRPr="00DC078B">
        <w:rPr>
          <w:b/>
          <w:color w:val="auto"/>
          <w:sz w:val="20"/>
          <w:szCs w:val="18"/>
        </w:rPr>
        <w:t>Quotes from preschool providers, gathered through the UANP Review survey</w:t>
      </w:r>
    </w:p>
    <w:p w14:paraId="4DE26DE6" w14:textId="77777777" w:rsidR="00A56AD6" w:rsidRPr="00DC078B" w:rsidRDefault="00A56AD6" w:rsidP="00A56AD6">
      <w:pPr>
        <w:pStyle w:val="Callout"/>
        <w:rPr>
          <w:color w:val="auto"/>
          <w:sz w:val="18"/>
          <w:szCs w:val="18"/>
        </w:rPr>
      </w:pPr>
      <w:r w:rsidRPr="00DC078B">
        <w:rPr>
          <w:color w:val="auto"/>
          <w:sz w:val="18"/>
          <w:szCs w:val="18"/>
        </w:rPr>
        <w:t>“The fact that this funding is tied to an outcome of being delivered by a qualified early childhood educator is the key to the increase in quality since its inception.”</w:t>
      </w:r>
    </w:p>
    <w:p w14:paraId="029EDFFC" w14:textId="77777777" w:rsidR="00A56AD6" w:rsidRPr="00DC078B" w:rsidRDefault="00A56AD6" w:rsidP="00A56AD6">
      <w:pPr>
        <w:pStyle w:val="Callout"/>
        <w:rPr>
          <w:color w:val="auto"/>
          <w:sz w:val="18"/>
          <w:szCs w:val="18"/>
        </w:rPr>
      </w:pPr>
      <w:r w:rsidRPr="00DC078B">
        <w:rPr>
          <w:color w:val="auto"/>
          <w:sz w:val="18"/>
          <w:szCs w:val="18"/>
        </w:rPr>
        <w:t xml:space="preserve">“It would be impossible to retain a good ECT without the (UANP) </w:t>
      </w:r>
      <w:proofErr w:type="gramStart"/>
      <w:r w:rsidRPr="00DC078B">
        <w:rPr>
          <w:color w:val="auto"/>
          <w:sz w:val="18"/>
          <w:szCs w:val="18"/>
        </w:rPr>
        <w:t>funding.“</w:t>
      </w:r>
      <w:proofErr w:type="gramEnd"/>
    </w:p>
    <w:p w14:paraId="24036857" w14:textId="15C81FE5" w:rsidR="00A56AD6" w:rsidRPr="00DC078B" w:rsidRDefault="00A56AD6" w:rsidP="00A56AD6">
      <w:pPr>
        <w:pStyle w:val="Callout"/>
        <w:rPr>
          <w:color w:val="auto"/>
          <w:sz w:val="18"/>
          <w:szCs w:val="18"/>
        </w:rPr>
      </w:pPr>
      <w:r w:rsidRPr="00DC078B">
        <w:rPr>
          <w:color w:val="auto"/>
          <w:sz w:val="18"/>
          <w:szCs w:val="18"/>
        </w:rPr>
        <w:t>“(The current preschool funding arrangements) provides ability to offer Bachelor Qualified Early childhood teachers above award wages in recognition of their qualification and impact on the quality of teaching and learning. Above awards also supports retention of ECTs in the prior to school sector.”</w:t>
      </w:r>
    </w:p>
    <w:p w14:paraId="31C6A860" w14:textId="77777777" w:rsidR="007F3A46" w:rsidRPr="00F36E43" w:rsidRDefault="007F3A46" w:rsidP="007F3A46">
      <w:pPr>
        <w:pStyle w:val="Heading4"/>
      </w:pPr>
      <w:r>
        <w:t>T</w:t>
      </w:r>
      <w:r w:rsidRPr="00F36E43">
        <w:t xml:space="preserve">he children </w:t>
      </w:r>
      <w:r w:rsidR="00D37F6E">
        <w:t xml:space="preserve">who </w:t>
      </w:r>
      <w:r w:rsidRPr="00F36E43">
        <w:t xml:space="preserve">are most likely to benefit from </w:t>
      </w:r>
      <w:r>
        <w:t>q</w:t>
      </w:r>
      <w:r w:rsidRPr="006C6DB2">
        <w:t xml:space="preserve">uality </w:t>
      </w:r>
      <w:r w:rsidRPr="00F36E43">
        <w:t>preschool are less likely to experience it</w:t>
      </w:r>
    </w:p>
    <w:p w14:paraId="2D364265" w14:textId="26275B2E" w:rsidR="006F1AA9" w:rsidRPr="004772F3" w:rsidRDefault="00C27718" w:rsidP="006F1AA9">
      <w:pPr>
        <w:pStyle w:val="Bullet"/>
      </w:pPr>
      <w:r w:rsidRPr="00F36E43">
        <w:t>Quality</w:t>
      </w:r>
      <w:r w:rsidR="00F36E43" w:rsidRPr="00F36E43">
        <w:t xml:space="preserve"> needs to </w:t>
      </w:r>
      <w:r w:rsidR="00F36E43" w:rsidRPr="007F3A46">
        <w:t>improve</w:t>
      </w:r>
      <w:r w:rsidR="00F36E43" w:rsidRPr="00F36E43">
        <w:t xml:space="preserve"> in many parts of the sector, </w:t>
      </w:r>
      <w:r w:rsidR="006D4130">
        <w:t>including</w:t>
      </w:r>
      <w:r w:rsidR="00F36E43" w:rsidRPr="00F36E43">
        <w:t xml:space="preserve"> for children experiencing vulnerability and disadvantage and for those living in rural and remote areas. </w:t>
      </w:r>
      <w:r w:rsidR="007C7CD2">
        <w:t>ACECQA NQF quality ratings data shows that c</w:t>
      </w:r>
      <w:r w:rsidR="00F36E43" w:rsidRPr="00F36E43">
        <w:t xml:space="preserve">hildren experiencing vulnerability and disadvantage are more likely to participate in a lower quality ECEC programs, since services in the </w:t>
      </w:r>
      <w:r w:rsidR="007F3A46">
        <w:t xml:space="preserve">least </w:t>
      </w:r>
      <w:r w:rsidR="00F36E43" w:rsidRPr="007F3A46">
        <w:t>advantaged</w:t>
      </w:r>
      <w:r w:rsidR="00F36E43" w:rsidRPr="00F36E43">
        <w:t xml:space="preserve"> areas are usually of a lower quality than those </w:t>
      </w:r>
      <w:r w:rsidR="00F36E43" w:rsidRPr="007F3A46">
        <w:t>i</w:t>
      </w:r>
      <w:r w:rsidR="007F3A46">
        <w:t xml:space="preserve">n Australia’s most </w:t>
      </w:r>
      <w:r w:rsidR="00F36E43" w:rsidRPr="007F3A46">
        <w:t>advantaged areas</w:t>
      </w:r>
      <w:r w:rsidR="007F3A46">
        <w:t xml:space="preserve">, as illustrated in </w:t>
      </w:r>
      <w:r w:rsidR="00316C88">
        <w:fldChar w:fldCharType="begin"/>
      </w:r>
      <w:r w:rsidR="00316C88">
        <w:instrText xml:space="preserve"> REF _Ref24127807 \h </w:instrText>
      </w:r>
      <w:r w:rsidR="00316C88">
        <w:fldChar w:fldCharType="separate"/>
      </w:r>
      <w:r w:rsidR="00B37785">
        <w:t xml:space="preserve">Figure </w:t>
      </w:r>
      <w:r w:rsidR="00B37785">
        <w:rPr>
          <w:noProof/>
        </w:rPr>
        <w:t>16</w:t>
      </w:r>
      <w:r w:rsidR="00316C88">
        <w:fldChar w:fldCharType="end"/>
      </w:r>
      <w:r w:rsidR="007C7CD2">
        <w:t xml:space="preserve"> (it is important to note that this data is for early childhood education and care services, not just preschools, and </w:t>
      </w:r>
      <w:r w:rsidR="001626F7">
        <w:t xml:space="preserve">it </w:t>
      </w:r>
      <w:r w:rsidR="007C7CD2">
        <w:t>is not collected for Tasmanian and Western Australian preschools)</w:t>
      </w:r>
      <w:r w:rsidR="00316C88">
        <w:t xml:space="preserve">. </w:t>
      </w:r>
      <w:r w:rsidR="007F3A46">
        <w:t>Since t</w:t>
      </w:r>
      <w:r w:rsidR="006F1AA9" w:rsidRPr="004772F3">
        <w:t>here are adverse consequences to children of providing preschool that does not meet quality standards</w:t>
      </w:r>
      <w:r w:rsidR="007F3A46">
        <w:t>, this is a particular concern</w:t>
      </w:r>
      <w:r w:rsidR="006F1AA9" w:rsidRPr="004772F3">
        <w:t>.</w:t>
      </w:r>
      <w:r w:rsidR="004772F3" w:rsidRPr="004772F3">
        <w:rPr>
          <w:rStyle w:val="FootnoteReference"/>
        </w:rPr>
        <w:footnoteReference w:id="58"/>
      </w:r>
    </w:p>
    <w:p w14:paraId="632DC8F2" w14:textId="2E88605D" w:rsidR="002C4C9C" w:rsidRDefault="002C4C9C" w:rsidP="002C4C9C">
      <w:pPr>
        <w:pStyle w:val="Caption"/>
      </w:pPr>
      <w:bookmarkStart w:id="144" w:name="_Ref24127807"/>
      <w:r>
        <w:lastRenderedPageBreak/>
        <w:t xml:space="preserve">Figure </w:t>
      </w:r>
      <w:r w:rsidR="00B76790">
        <w:fldChar w:fldCharType="begin"/>
      </w:r>
      <w:r w:rsidR="00B76790">
        <w:instrText xml:space="preserve"> SEQ Figure \* ARABIC </w:instrText>
      </w:r>
      <w:r w:rsidR="00B76790">
        <w:fldChar w:fldCharType="separate"/>
      </w:r>
      <w:r w:rsidR="00B37785">
        <w:rPr>
          <w:noProof/>
        </w:rPr>
        <w:t>16</w:t>
      </w:r>
      <w:r w:rsidR="00B76790">
        <w:fldChar w:fldCharType="end"/>
      </w:r>
      <w:bookmarkEnd w:id="144"/>
      <w:r>
        <w:rPr>
          <w:noProof/>
        </w:rPr>
        <w:t xml:space="preserve"> | </w:t>
      </w:r>
      <w:r w:rsidR="00A53E44">
        <w:rPr>
          <w:noProof/>
        </w:rPr>
        <w:t>Overall q</w:t>
      </w:r>
      <w:r w:rsidRPr="000A7D61">
        <w:rPr>
          <w:noProof/>
        </w:rPr>
        <w:t>uality ratings for NQF approved</w:t>
      </w:r>
      <w:r>
        <w:rPr>
          <w:noProof/>
        </w:rPr>
        <w:t xml:space="preserve"> preschools/</w:t>
      </w:r>
      <w:r w:rsidR="0064186B">
        <w:rPr>
          <w:noProof/>
        </w:rPr>
        <w:t>CBDC</w:t>
      </w:r>
      <w:r>
        <w:rPr>
          <w:noProof/>
        </w:rPr>
        <w:t xml:space="preserve"> by SEIFA quintile</w:t>
      </w:r>
      <w:r>
        <w:rPr>
          <w:rStyle w:val="FootnoteReference"/>
          <w:noProof/>
        </w:rPr>
        <w:footnoteReference w:id="59"/>
      </w:r>
      <w:r w:rsidR="00C93897" w:rsidRPr="00C93897">
        <w:rPr>
          <w:noProof/>
          <w:vertAlign w:val="superscript"/>
        </w:rPr>
        <w:t>,</w:t>
      </w:r>
      <w:r w:rsidR="00C93897">
        <w:rPr>
          <w:rStyle w:val="FootnoteReference"/>
          <w:noProof/>
        </w:rPr>
        <w:footnoteReference w:id="60"/>
      </w:r>
    </w:p>
    <w:p w14:paraId="7A0FDC52" w14:textId="77777777" w:rsidR="003D0AC3" w:rsidRDefault="00D7595D" w:rsidP="00553E52">
      <w:r w:rsidRPr="00D7595D">
        <w:rPr>
          <w:noProof/>
          <w:lang w:eastAsia="en-AU"/>
        </w:rPr>
        <w:drawing>
          <wp:inline distT="0" distB="0" distL="0" distR="0" wp14:anchorId="13E42D98" wp14:editId="1B2595C9">
            <wp:extent cx="5670550" cy="2557145"/>
            <wp:effectExtent l="0" t="0" r="6350" b="0"/>
            <wp:docPr id="12" name="Picture 12" descr="Graph showing the overall quality ratings for NQF approved preschools/CBDC by SEIFA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the overall quality ratings for NQF approved preschools/CBDC by SEIFA quinti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0550" cy="2557145"/>
                    </a:xfrm>
                    <a:prstGeom prst="rect">
                      <a:avLst/>
                    </a:prstGeom>
                    <a:solidFill>
                      <a:schemeClr val="accent5"/>
                    </a:solidFill>
                    <a:ln>
                      <a:noFill/>
                    </a:ln>
                  </pic:spPr>
                </pic:pic>
              </a:graphicData>
            </a:graphic>
          </wp:inline>
        </w:drawing>
      </w:r>
    </w:p>
    <w:tbl>
      <w:tblPr>
        <w:tblStyle w:val="NousTableTopandside"/>
        <w:tblW w:w="0" w:type="auto"/>
        <w:tblLook w:val="04A0" w:firstRow="1" w:lastRow="0" w:firstColumn="1" w:lastColumn="0" w:noHBand="0" w:noVBand="1"/>
      </w:tblPr>
      <w:tblGrid>
        <w:gridCol w:w="2694"/>
        <w:gridCol w:w="2078"/>
        <w:gridCol w:w="2079"/>
        <w:gridCol w:w="2079"/>
      </w:tblGrid>
      <w:tr w:rsidR="00FC10E9" w14:paraId="5028081C" w14:textId="77777777" w:rsidTr="00B90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right w:val="none" w:sz="0" w:space="0" w:color="auto"/>
            </w:tcBorders>
            <w:vAlign w:val="top"/>
          </w:tcPr>
          <w:p w14:paraId="4D842954" w14:textId="77777777" w:rsidR="00FC10E9" w:rsidRDefault="00FC10E9" w:rsidP="00BC09E9">
            <w:pPr>
              <w:pStyle w:val="TableNheader"/>
            </w:pPr>
            <w:r>
              <w:t>SEIFA Quintile</w:t>
            </w:r>
          </w:p>
        </w:tc>
        <w:tc>
          <w:tcPr>
            <w:tcW w:w="2078" w:type="dxa"/>
            <w:tcBorders>
              <w:top w:val="none" w:sz="0" w:space="0" w:color="auto"/>
              <w:left w:val="none" w:sz="0" w:space="0" w:color="auto"/>
              <w:right w:val="none" w:sz="0" w:space="0" w:color="auto"/>
            </w:tcBorders>
            <w:vAlign w:val="top"/>
          </w:tcPr>
          <w:p w14:paraId="623258F3" w14:textId="77777777" w:rsidR="00FC10E9" w:rsidRDefault="00FC10E9" w:rsidP="00BC09E9">
            <w:pPr>
              <w:pStyle w:val="TableNheader"/>
              <w:cnfStyle w:val="100000000000" w:firstRow="1" w:lastRow="0" w:firstColumn="0" w:lastColumn="0" w:oddVBand="0" w:evenVBand="0" w:oddHBand="0" w:evenHBand="0" w:firstRowFirstColumn="0" w:firstRowLastColumn="0" w:lastRowFirstColumn="0" w:lastRowLastColumn="0"/>
            </w:pPr>
            <w:r>
              <w:t>Working towards NQS</w:t>
            </w:r>
          </w:p>
        </w:tc>
        <w:tc>
          <w:tcPr>
            <w:tcW w:w="2079" w:type="dxa"/>
            <w:tcBorders>
              <w:top w:val="none" w:sz="0" w:space="0" w:color="auto"/>
              <w:left w:val="none" w:sz="0" w:space="0" w:color="auto"/>
              <w:right w:val="none" w:sz="0" w:space="0" w:color="auto"/>
            </w:tcBorders>
            <w:vAlign w:val="top"/>
          </w:tcPr>
          <w:p w14:paraId="408B4F86" w14:textId="77777777" w:rsidR="00FC10E9" w:rsidRDefault="00FC10E9" w:rsidP="00BC09E9">
            <w:pPr>
              <w:pStyle w:val="TableNheader"/>
              <w:cnfStyle w:val="100000000000" w:firstRow="1" w:lastRow="0" w:firstColumn="0" w:lastColumn="0" w:oddVBand="0" w:evenVBand="0" w:oddHBand="0" w:evenHBand="0" w:firstRowFirstColumn="0" w:firstRowLastColumn="0" w:lastRowFirstColumn="0" w:lastRowLastColumn="0"/>
            </w:pPr>
            <w:r>
              <w:t>Meeting NQS</w:t>
            </w:r>
          </w:p>
        </w:tc>
        <w:tc>
          <w:tcPr>
            <w:tcW w:w="2079" w:type="dxa"/>
            <w:tcBorders>
              <w:top w:val="none" w:sz="0" w:space="0" w:color="auto"/>
              <w:left w:val="none" w:sz="0" w:space="0" w:color="auto"/>
            </w:tcBorders>
            <w:vAlign w:val="top"/>
          </w:tcPr>
          <w:p w14:paraId="3B769B13" w14:textId="77777777" w:rsidR="00FC10E9" w:rsidRDefault="00FC10E9" w:rsidP="00BC09E9">
            <w:pPr>
              <w:pStyle w:val="TableNheader"/>
              <w:cnfStyle w:val="100000000000" w:firstRow="1" w:lastRow="0" w:firstColumn="0" w:lastColumn="0" w:oddVBand="0" w:evenVBand="0" w:oddHBand="0" w:evenHBand="0" w:firstRowFirstColumn="0" w:firstRowLastColumn="0" w:lastRowFirstColumn="0" w:lastRowLastColumn="0"/>
            </w:pPr>
            <w:r>
              <w:t>Exceeding NQS</w:t>
            </w:r>
          </w:p>
        </w:tc>
      </w:tr>
      <w:tr w:rsidR="00593129" w14:paraId="6AC830D2" w14:textId="77777777" w:rsidTr="00B908FF">
        <w:tc>
          <w:tcPr>
            <w:cnfStyle w:val="001000000000" w:firstRow="0" w:lastRow="0" w:firstColumn="1" w:lastColumn="0" w:oddVBand="0" w:evenVBand="0" w:oddHBand="0" w:evenHBand="0" w:firstRowFirstColumn="0" w:firstRowLastColumn="0" w:lastRowFirstColumn="0" w:lastRowLastColumn="0"/>
            <w:tcW w:w="2694" w:type="dxa"/>
          </w:tcPr>
          <w:p w14:paraId="2ACBFCB4" w14:textId="77777777" w:rsidR="00593129" w:rsidRDefault="00593129" w:rsidP="00593129">
            <w:pPr>
              <w:pStyle w:val="TableNheader"/>
              <w:spacing w:before="100" w:beforeAutospacing="1" w:after="100" w:afterAutospacing="1"/>
            </w:pPr>
            <w:r>
              <w:t>5 (most advantaged)</w:t>
            </w:r>
          </w:p>
        </w:tc>
        <w:tc>
          <w:tcPr>
            <w:tcW w:w="2078" w:type="dxa"/>
          </w:tcPr>
          <w:p w14:paraId="6EAA59C2"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14%</w:t>
            </w:r>
          </w:p>
        </w:tc>
        <w:tc>
          <w:tcPr>
            <w:tcW w:w="2079" w:type="dxa"/>
          </w:tcPr>
          <w:p w14:paraId="1842558D"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39%</w:t>
            </w:r>
          </w:p>
        </w:tc>
        <w:tc>
          <w:tcPr>
            <w:tcW w:w="2079" w:type="dxa"/>
          </w:tcPr>
          <w:p w14:paraId="43D8AF41"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47%</w:t>
            </w:r>
          </w:p>
        </w:tc>
      </w:tr>
      <w:tr w:rsidR="00593129" w14:paraId="13F110A7" w14:textId="77777777" w:rsidTr="00B908FF">
        <w:tc>
          <w:tcPr>
            <w:cnfStyle w:val="001000000000" w:firstRow="0" w:lastRow="0" w:firstColumn="1" w:lastColumn="0" w:oddVBand="0" w:evenVBand="0" w:oddHBand="0" w:evenHBand="0" w:firstRowFirstColumn="0" w:firstRowLastColumn="0" w:lastRowFirstColumn="0" w:lastRowLastColumn="0"/>
            <w:tcW w:w="2694" w:type="dxa"/>
          </w:tcPr>
          <w:p w14:paraId="1D05CAD2" w14:textId="77777777" w:rsidR="00593129" w:rsidRDefault="00593129" w:rsidP="00593129">
            <w:pPr>
              <w:pStyle w:val="TableNheader"/>
              <w:spacing w:before="100" w:beforeAutospacing="1" w:after="100" w:afterAutospacing="1"/>
            </w:pPr>
            <w:r>
              <w:t>4</w:t>
            </w:r>
          </w:p>
        </w:tc>
        <w:tc>
          <w:tcPr>
            <w:tcW w:w="2078" w:type="dxa"/>
          </w:tcPr>
          <w:p w14:paraId="0242AEBD"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14%</w:t>
            </w:r>
          </w:p>
        </w:tc>
        <w:tc>
          <w:tcPr>
            <w:tcW w:w="2079" w:type="dxa"/>
          </w:tcPr>
          <w:p w14:paraId="533630F9"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45%</w:t>
            </w:r>
          </w:p>
        </w:tc>
        <w:tc>
          <w:tcPr>
            <w:tcW w:w="2079" w:type="dxa"/>
          </w:tcPr>
          <w:p w14:paraId="61018FA8"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41%</w:t>
            </w:r>
          </w:p>
        </w:tc>
      </w:tr>
      <w:tr w:rsidR="00593129" w14:paraId="38F48003" w14:textId="77777777" w:rsidTr="00B908FF">
        <w:tc>
          <w:tcPr>
            <w:cnfStyle w:val="001000000000" w:firstRow="0" w:lastRow="0" w:firstColumn="1" w:lastColumn="0" w:oddVBand="0" w:evenVBand="0" w:oddHBand="0" w:evenHBand="0" w:firstRowFirstColumn="0" w:firstRowLastColumn="0" w:lastRowFirstColumn="0" w:lastRowLastColumn="0"/>
            <w:tcW w:w="2694" w:type="dxa"/>
          </w:tcPr>
          <w:p w14:paraId="22188A5F" w14:textId="77777777" w:rsidR="00593129" w:rsidRDefault="00593129" w:rsidP="00593129">
            <w:pPr>
              <w:pStyle w:val="TableNheader"/>
              <w:spacing w:before="100" w:beforeAutospacing="1" w:after="100" w:afterAutospacing="1"/>
            </w:pPr>
            <w:r>
              <w:t>3</w:t>
            </w:r>
          </w:p>
        </w:tc>
        <w:tc>
          <w:tcPr>
            <w:tcW w:w="2078" w:type="dxa"/>
          </w:tcPr>
          <w:p w14:paraId="22811EBA"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16%</w:t>
            </w:r>
          </w:p>
        </w:tc>
        <w:tc>
          <w:tcPr>
            <w:tcW w:w="2079" w:type="dxa"/>
          </w:tcPr>
          <w:p w14:paraId="4E849299"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47%</w:t>
            </w:r>
          </w:p>
        </w:tc>
        <w:tc>
          <w:tcPr>
            <w:tcW w:w="2079" w:type="dxa"/>
          </w:tcPr>
          <w:p w14:paraId="4EF8C6EE"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37%</w:t>
            </w:r>
          </w:p>
        </w:tc>
      </w:tr>
      <w:tr w:rsidR="00593129" w14:paraId="1A0A262C" w14:textId="77777777" w:rsidTr="00B908FF">
        <w:tc>
          <w:tcPr>
            <w:cnfStyle w:val="001000000000" w:firstRow="0" w:lastRow="0" w:firstColumn="1" w:lastColumn="0" w:oddVBand="0" w:evenVBand="0" w:oddHBand="0" w:evenHBand="0" w:firstRowFirstColumn="0" w:firstRowLastColumn="0" w:lastRowFirstColumn="0" w:lastRowLastColumn="0"/>
            <w:tcW w:w="2694" w:type="dxa"/>
          </w:tcPr>
          <w:p w14:paraId="16DFCDFB" w14:textId="77777777" w:rsidR="00593129" w:rsidRDefault="00593129" w:rsidP="00593129">
            <w:pPr>
              <w:pStyle w:val="TableNheader"/>
              <w:spacing w:before="100" w:beforeAutospacing="1" w:after="100" w:afterAutospacing="1"/>
            </w:pPr>
            <w:r>
              <w:t>2</w:t>
            </w:r>
          </w:p>
        </w:tc>
        <w:tc>
          <w:tcPr>
            <w:tcW w:w="2078" w:type="dxa"/>
          </w:tcPr>
          <w:p w14:paraId="22EDD653"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17%</w:t>
            </w:r>
          </w:p>
        </w:tc>
        <w:tc>
          <w:tcPr>
            <w:tcW w:w="2079" w:type="dxa"/>
          </w:tcPr>
          <w:p w14:paraId="1943F437"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46%</w:t>
            </w:r>
          </w:p>
        </w:tc>
        <w:tc>
          <w:tcPr>
            <w:tcW w:w="2079" w:type="dxa"/>
          </w:tcPr>
          <w:p w14:paraId="5EFC8F16"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36%</w:t>
            </w:r>
          </w:p>
        </w:tc>
      </w:tr>
      <w:tr w:rsidR="00593129" w14:paraId="2FD1E39E" w14:textId="77777777" w:rsidTr="00B908FF">
        <w:trPr>
          <w:trHeight w:val="25"/>
        </w:trPr>
        <w:tc>
          <w:tcPr>
            <w:cnfStyle w:val="001000000000" w:firstRow="0" w:lastRow="0" w:firstColumn="1" w:lastColumn="0" w:oddVBand="0" w:evenVBand="0" w:oddHBand="0" w:evenHBand="0" w:firstRowFirstColumn="0" w:firstRowLastColumn="0" w:lastRowFirstColumn="0" w:lastRowLastColumn="0"/>
            <w:tcW w:w="2694" w:type="dxa"/>
          </w:tcPr>
          <w:p w14:paraId="12671E09" w14:textId="77777777" w:rsidR="00593129" w:rsidRDefault="00593129" w:rsidP="00593129">
            <w:pPr>
              <w:pStyle w:val="TableNheader"/>
              <w:spacing w:before="100" w:beforeAutospacing="1" w:after="100" w:afterAutospacing="1"/>
            </w:pPr>
            <w:r>
              <w:t>1 (least advantaged)</w:t>
            </w:r>
          </w:p>
        </w:tc>
        <w:tc>
          <w:tcPr>
            <w:tcW w:w="2078" w:type="dxa"/>
          </w:tcPr>
          <w:p w14:paraId="18F7EDA7"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19%</w:t>
            </w:r>
          </w:p>
        </w:tc>
        <w:tc>
          <w:tcPr>
            <w:tcW w:w="2079" w:type="dxa"/>
          </w:tcPr>
          <w:p w14:paraId="7A64E3D9"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47%</w:t>
            </w:r>
          </w:p>
        </w:tc>
        <w:tc>
          <w:tcPr>
            <w:tcW w:w="2079" w:type="dxa"/>
          </w:tcPr>
          <w:p w14:paraId="0B860747" w14:textId="77777777" w:rsidR="00593129" w:rsidRDefault="00593129" w:rsidP="00593129">
            <w:pPr>
              <w:pStyle w:val="TableNText"/>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33%</w:t>
            </w:r>
          </w:p>
        </w:tc>
      </w:tr>
    </w:tbl>
    <w:p w14:paraId="2216006A" w14:textId="77777777" w:rsidR="008C04AC" w:rsidRDefault="008C04AC" w:rsidP="00553E52"/>
    <w:p w14:paraId="411A9815" w14:textId="77777777" w:rsidR="00FF6AF2" w:rsidRPr="00EF0FEA" w:rsidRDefault="00FF6AF2" w:rsidP="00FF6AF2">
      <w:pPr>
        <w:pStyle w:val="Callout"/>
        <w:rPr>
          <w:sz w:val="18"/>
          <w:szCs w:val="18"/>
        </w:rPr>
      </w:pPr>
      <w:r w:rsidRPr="00EF0FEA">
        <w:rPr>
          <w:sz w:val="18"/>
          <w:szCs w:val="18"/>
        </w:rPr>
        <w:t>“Access to preschool is of little use to children if the quality of the educational program is lacking. Australia should also be actively encouraging innovation in programs and practices, to achieve better outcomes for children and for governments.” (</w:t>
      </w:r>
      <w:bookmarkStart w:id="145" w:name="_Hlk30664625"/>
      <w:r w:rsidRPr="00EF0FEA">
        <w:rPr>
          <w:sz w:val="18"/>
          <w:szCs w:val="18"/>
        </w:rPr>
        <w:t xml:space="preserve">Early Childhood Australia </w:t>
      </w:r>
      <w:bookmarkEnd w:id="145"/>
      <w:r w:rsidR="00422582" w:rsidRPr="00EF0FEA">
        <w:rPr>
          <w:sz w:val="18"/>
          <w:szCs w:val="18"/>
        </w:rPr>
        <w:t>s</w:t>
      </w:r>
      <w:r w:rsidRPr="00EF0FEA">
        <w:rPr>
          <w:sz w:val="18"/>
          <w:szCs w:val="18"/>
        </w:rPr>
        <w:t>ubmission)</w:t>
      </w:r>
    </w:p>
    <w:p w14:paraId="34493299" w14:textId="77777777" w:rsidR="00297C49" w:rsidRPr="00EF0FEA" w:rsidRDefault="00297C49" w:rsidP="00FF6AF2">
      <w:pPr>
        <w:pStyle w:val="Callout"/>
        <w:rPr>
          <w:sz w:val="18"/>
          <w:szCs w:val="18"/>
        </w:rPr>
      </w:pPr>
      <w:r w:rsidRPr="00EF0FEA">
        <w:rPr>
          <w:sz w:val="18"/>
          <w:szCs w:val="18"/>
        </w:rPr>
        <w:t>“UANP measurement and reporting on quality is limited, despite the fact that quality is fundamental to achieving policy objectives.” (</w:t>
      </w:r>
      <w:bookmarkStart w:id="146" w:name="_Hlk30664630"/>
      <w:r w:rsidRPr="00EF0FEA">
        <w:rPr>
          <w:sz w:val="18"/>
          <w:szCs w:val="18"/>
        </w:rPr>
        <w:t xml:space="preserve">Mitchell Institute </w:t>
      </w:r>
      <w:bookmarkEnd w:id="146"/>
      <w:r w:rsidR="00422582" w:rsidRPr="00EF0FEA">
        <w:rPr>
          <w:sz w:val="18"/>
          <w:szCs w:val="18"/>
        </w:rPr>
        <w:t>s</w:t>
      </w:r>
      <w:r w:rsidRPr="00EF0FEA">
        <w:rPr>
          <w:sz w:val="18"/>
          <w:szCs w:val="18"/>
        </w:rPr>
        <w:t>ubmission)</w:t>
      </w:r>
    </w:p>
    <w:p w14:paraId="7726F0AB" w14:textId="77777777" w:rsidR="00110864" w:rsidRPr="00EF0FEA" w:rsidRDefault="00110864" w:rsidP="00110864">
      <w:pPr>
        <w:pStyle w:val="Callout"/>
        <w:rPr>
          <w:sz w:val="18"/>
          <w:szCs w:val="18"/>
        </w:rPr>
      </w:pPr>
      <w:r w:rsidRPr="00EF0FEA">
        <w:rPr>
          <w:sz w:val="18"/>
          <w:szCs w:val="18"/>
        </w:rPr>
        <w:t>“Access to high quality services in Australia is not equal. There is an opportunity divide between wealthy and poor communities, cities and remote towns, and children who are from different cultural backgrounds.” (</w:t>
      </w:r>
      <w:bookmarkStart w:id="147" w:name="_Hlk30664637"/>
      <w:r w:rsidRPr="00EF0FEA">
        <w:rPr>
          <w:sz w:val="18"/>
          <w:szCs w:val="18"/>
        </w:rPr>
        <w:t xml:space="preserve">Early Learning Association Australia </w:t>
      </w:r>
      <w:bookmarkEnd w:id="147"/>
      <w:r w:rsidRPr="00EF0FEA">
        <w:rPr>
          <w:sz w:val="18"/>
          <w:szCs w:val="18"/>
        </w:rPr>
        <w:t>submission)</w:t>
      </w:r>
    </w:p>
    <w:p w14:paraId="2BEBCF33" w14:textId="77777777" w:rsidR="008C787E" w:rsidRDefault="00A56AD6" w:rsidP="00506D80">
      <w:pPr>
        <w:pStyle w:val="Heading4"/>
      </w:pPr>
      <w:bookmarkStart w:id="148" w:name="_Hlk24538693"/>
      <w:r>
        <w:lastRenderedPageBreak/>
        <w:t>W</w:t>
      </w:r>
      <w:r w:rsidR="008C787E">
        <w:t xml:space="preserve">orkforce challenges </w:t>
      </w:r>
      <w:r w:rsidR="004C5618">
        <w:t>present</w:t>
      </w:r>
      <w:r w:rsidR="00450C1C">
        <w:t xml:space="preserve"> a </w:t>
      </w:r>
      <w:r>
        <w:t>risk</w:t>
      </w:r>
      <w:r w:rsidR="00450C1C">
        <w:t xml:space="preserve"> to the ongoing provision of universal access</w:t>
      </w:r>
    </w:p>
    <w:bookmarkEnd w:id="148"/>
    <w:p w14:paraId="1078B3C4" w14:textId="77777777" w:rsidR="00F41BB2" w:rsidRDefault="00F41BB2" w:rsidP="00F41BB2">
      <w:pPr>
        <w:pStyle w:val="Bullet"/>
      </w:pPr>
      <w:r>
        <w:t>Two issues regarding the ongoing provision of qualified ECTs may challenge jurisdictions to continue to support universal access:</w:t>
      </w:r>
    </w:p>
    <w:p w14:paraId="019530B0" w14:textId="77777777" w:rsidR="00FD044F" w:rsidRDefault="007C7CD2" w:rsidP="00FD044F">
      <w:pPr>
        <w:pStyle w:val="Heading5"/>
      </w:pPr>
      <w:bookmarkStart w:id="149" w:name="_Hlk30499521"/>
      <w:r>
        <w:t>The preschool sector is experiencing c</w:t>
      </w:r>
      <w:r w:rsidR="00A52664" w:rsidRPr="0C5679B2">
        <w:t>hallenges in recruiting and retaining qualified ECTs</w:t>
      </w:r>
    </w:p>
    <w:bookmarkEnd w:id="149"/>
    <w:p w14:paraId="5379722E" w14:textId="77777777" w:rsidR="00FD044F" w:rsidRPr="00194656" w:rsidRDefault="00F41BB2" w:rsidP="007F3A46">
      <w:pPr>
        <w:pStyle w:val="Bullet"/>
        <w:rPr>
          <w:rFonts w:asciiTheme="minorHAnsi" w:hAnsiTheme="minorHAnsi" w:cstheme="minorHAnsi"/>
        </w:rPr>
      </w:pPr>
      <w:r w:rsidRPr="00F41BB2">
        <w:t>Stakeholders across the preschool sector—</w:t>
      </w:r>
      <w:r w:rsidR="00FD044F">
        <w:t>including</w:t>
      </w:r>
      <w:r w:rsidRPr="00F41BB2">
        <w:t xml:space="preserve"> providers—report that a shortage of qualified ECTs is looming. Employers report difficulties in recruiting and retaining suitable staff, especially in rural and remote areas. </w:t>
      </w:r>
      <w:r w:rsidR="00FD044F" w:rsidRPr="00FD044F">
        <w:t>The number of people working as ECTs is expected to grow very strongly from</w:t>
      </w:r>
      <w:r w:rsidR="00272ABB">
        <w:t xml:space="preserve"> </w:t>
      </w:r>
      <w:r w:rsidR="00FD044F" w:rsidRPr="00FD044F">
        <w:rPr>
          <w:bCs/>
        </w:rPr>
        <w:t>40,800 in 2018</w:t>
      </w:r>
      <w:r w:rsidR="00FD044F" w:rsidRPr="00FD044F">
        <w:t> to </w:t>
      </w:r>
      <w:r w:rsidR="00FD044F" w:rsidRPr="00FD044F">
        <w:rPr>
          <w:bCs/>
        </w:rPr>
        <w:t>49,800 by 2023</w:t>
      </w:r>
      <w:r w:rsidR="00FD044F" w:rsidRPr="00FD044F">
        <w:t>, and there are likely to be around </w:t>
      </w:r>
      <w:r w:rsidR="00FD044F" w:rsidRPr="00FD044F">
        <w:rPr>
          <w:bCs/>
        </w:rPr>
        <w:t>29,000 job openings over 5 years</w:t>
      </w:r>
      <w:r w:rsidR="00FD044F" w:rsidRPr="00FD044F">
        <w:t>.</w:t>
      </w:r>
      <w:r w:rsidR="00FD044F">
        <w:rPr>
          <w:rStyle w:val="FootnoteReference"/>
        </w:rPr>
        <w:footnoteReference w:id="61"/>
      </w:r>
      <w:r w:rsidR="007F3A46">
        <w:t xml:space="preserve"> </w:t>
      </w:r>
      <w:r w:rsidR="00FD044F" w:rsidRPr="00FD044F">
        <w:t>However, there is concern that supply will not meet this demand</w:t>
      </w:r>
      <w:r w:rsidR="00924776">
        <w:t xml:space="preserve"> particularly as, from 2020, the NQF requires CBDC</w:t>
      </w:r>
      <w:r w:rsidR="00924776" w:rsidRPr="00F41BB2">
        <w:t xml:space="preserve"> services and preschools to have a second </w:t>
      </w:r>
      <w:r w:rsidR="00924776">
        <w:t>ECT</w:t>
      </w:r>
      <w:r w:rsidR="00924776" w:rsidRPr="00F41BB2">
        <w:t xml:space="preserve"> </w:t>
      </w:r>
      <w:r w:rsidR="00924776">
        <w:t xml:space="preserve">available </w:t>
      </w:r>
      <w:r w:rsidR="00924776" w:rsidRPr="00F41BB2">
        <w:t xml:space="preserve">when 60 or more children </w:t>
      </w:r>
      <w:r w:rsidR="00924776">
        <w:t xml:space="preserve">are in attendance. </w:t>
      </w:r>
    </w:p>
    <w:p w14:paraId="2114E5B7" w14:textId="05F16A28" w:rsidR="00DE5305" w:rsidRDefault="00DE5305" w:rsidP="00DE5305">
      <w:pPr>
        <w:pStyle w:val="Bullet"/>
      </w:pPr>
      <w:r>
        <w:t>The</w:t>
      </w:r>
      <w:r w:rsidR="00924776">
        <w:t xml:space="preserve"> consequence is a greater risk of </w:t>
      </w:r>
      <w:r>
        <w:t xml:space="preserve">preschool programs </w:t>
      </w:r>
      <w:r w:rsidR="00924776">
        <w:t xml:space="preserve">being delivered by staff other than </w:t>
      </w:r>
      <w:r>
        <w:t>qualified ECT</w:t>
      </w:r>
      <w:r w:rsidR="00924776">
        <w:t>s</w:t>
      </w:r>
      <w:r>
        <w:t xml:space="preserve">. </w:t>
      </w:r>
      <w:r w:rsidR="003F3395">
        <w:t>(Note that this is not a risk in school-based settings.)</w:t>
      </w:r>
      <w:r>
        <w:t xml:space="preserve"> </w:t>
      </w:r>
      <w:r w:rsidRPr="0041413D">
        <w:t xml:space="preserve">ACECQA </w:t>
      </w:r>
      <w:r>
        <w:t>snapshot d</w:t>
      </w:r>
      <w:r w:rsidRPr="0041413D">
        <w:t xml:space="preserve">ata shows </w:t>
      </w:r>
      <w:r>
        <w:t xml:space="preserve">NQF </w:t>
      </w:r>
      <w:r w:rsidRPr="0041413D">
        <w:t>staffing waivers apply to 4.9 per cent of services</w:t>
      </w:r>
      <w:r>
        <w:t xml:space="preserve"> </w:t>
      </w:r>
      <w:r w:rsidR="00CD73C2">
        <w:t>overall</w:t>
      </w:r>
      <w:r>
        <w:t xml:space="preserve"> (</w:t>
      </w:r>
      <w:r w:rsidRPr="0041413D">
        <w:t>although they are mostly temporary</w:t>
      </w:r>
      <w:r>
        <w:t>)</w:t>
      </w:r>
      <w:r w:rsidRPr="0041413D">
        <w:t>.</w:t>
      </w:r>
      <w:r>
        <w:rPr>
          <w:rStyle w:val="FootnoteReference"/>
        </w:rPr>
        <w:footnoteReference w:id="62"/>
      </w:r>
      <w:r w:rsidRPr="0041413D">
        <w:t xml:space="preserve"> </w:t>
      </w:r>
      <w:r>
        <w:t xml:space="preserve">NQF staffing waivers enable preschool programs to continue to operate, </w:t>
      </w:r>
      <w:r w:rsidR="00CD73C2">
        <w:t xml:space="preserve">notwithstanding the </w:t>
      </w:r>
      <w:r>
        <w:t>implications for quality</w:t>
      </w:r>
      <w:r w:rsidR="00CD73C2">
        <w:t xml:space="preserve">. </w:t>
      </w:r>
      <w:r>
        <w:t>Waivers</w:t>
      </w:r>
      <w:r w:rsidRPr="0041413D">
        <w:t xml:space="preserve"> are more prevalent in remote and very remote locations (</w:t>
      </w:r>
      <w:r w:rsidR="00DB511B" w:rsidRPr="0041413D">
        <w:t>1</w:t>
      </w:r>
      <w:r w:rsidR="00DB511B">
        <w:t>4</w:t>
      </w:r>
      <w:r w:rsidR="00C27718">
        <w:t>.</w:t>
      </w:r>
      <w:r w:rsidR="00DB511B">
        <w:t>6</w:t>
      </w:r>
      <w:r w:rsidR="00DB511B" w:rsidRPr="0041413D">
        <w:t xml:space="preserve"> </w:t>
      </w:r>
      <w:r w:rsidRPr="0041413D">
        <w:t xml:space="preserve">and </w:t>
      </w:r>
      <w:r w:rsidR="00DB511B">
        <w:t>9.1</w:t>
      </w:r>
      <w:r w:rsidR="00DB511B" w:rsidRPr="0041413D">
        <w:t xml:space="preserve"> </w:t>
      </w:r>
      <w:r w:rsidRPr="0041413D">
        <w:t>per cent of services respectively</w:t>
      </w:r>
      <w:r>
        <w:t xml:space="preserve"> compared to 4</w:t>
      </w:r>
      <w:r w:rsidR="00C27718">
        <w:t>.</w:t>
      </w:r>
      <w:r w:rsidR="00DB511B">
        <w:t xml:space="preserve">6 </w:t>
      </w:r>
      <w:r>
        <w:t>per cent in major cities</w:t>
      </w:r>
      <w:r w:rsidRPr="0041413D">
        <w:t xml:space="preserve">), and in </w:t>
      </w:r>
      <w:r w:rsidR="00CD73C2">
        <w:t>CBDC</w:t>
      </w:r>
      <w:r w:rsidRPr="0041413D">
        <w:t xml:space="preserve"> services (8.</w:t>
      </w:r>
      <w:r w:rsidR="00DB511B">
        <w:t>6</w:t>
      </w:r>
      <w:r w:rsidR="00DB511B" w:rsidRPr="0041413D">
        <w:t xml:space="preserve"> </w:t>
      </w:r>
      <w:r w:rsidRPr="0041413D">
        <w:t xml:space="preserve">per cent) compared to </w:t>
      </w:r>
      <w:r w:rsidR="00DB511B">
        <w:t xml:space="preserve">standalone and school-based </w:t>
      </w:r>
      <w:r w:rsidRPr="0041413D">
        <w:t>preschools (2.</w:t>
      </w:r>
      <w:r w:rsidR="00DB511B">
        <w:t>2</w:t>
      </w:r>
      <w:r w:rsidR="00DB511B" w:rsidRPr="0041413D">
        <w:t xml:space="preserve"> </w:t>
      </w:r>
      <w:r w:rsidRPr="0041413D">
        <w:t>per cent)</w:t>
      </w:r>
      <w:r w:rsidR="009003B2">
        <w:t>.</w:t>
      </w:r>
      <w:r>
        <w:rPr>
          <w:rStyle w:val="FootnoteReference"/>
        </w:rPr>
        <w:footnoteReference w:id="63"/>
      </w:r>
      <w:r w:rsidRPr="0041413D">
        <w:t xml:space="preserve"> While snapshot data does not distinguish ECT and general staffing requirements, more detailed ACECQA data shows that in 2018-19 more than 1000 </w:t>
      </w:r>
      <w:r w:rsidR="00CD73C2">
        <w:t>CBDC services</w:t>
      </w:r>
      <w:r w:rsidRPr="0041413D">
        <w:t xml:space="preserve"> sought waivers, and over 95 per cent of these applications related to ECTs.</w:t>
      </w:r>
      <w:r>
        <w:t xml:space="preserve"> </w:t>
      </w:r>
    </w:p>
    <w:p w14:paraId="0A2448AF" w14:textId="77777777" w:rsidR="00B530BB" w:rsidRDefault="00CD73C2" w:rsidP="00B530BB">
      <w:pPr>
        <w:pStyle w:val="Bullet"/>
      </w:pPr>
      <w:r>
        <w:t xml:space="preserve">Such issues </w:t>
      </w:r>
      <w:r w:rsidRPr="00CD73C2">
        <w:t>raise questions about equitable access to quality preschool for all children.</w:t>
      </w:r>
      <w:r>
        <w:t xml:space="preserve"> </w:t>
      </w:r>
      <w:r w:rsidR="00B530BB">
        <w:t xml:space="preserve">While waivers enable services to continue to operate in remote communities and other </w:t>
      </w:r>
      <w:r>
        <w:t xml:space="preserve">locations </w:t>
      </w:r>
      <w:r w:rsidR="00B530BB">
        <w:t xml:space="preserve">facing workforce constraints, </w:t>
      </w:r>
      <w:r>
        <w:t xml:space="preserve">it is important to understand and address </w:t>
      </w:r>
      <w:r w:rsidR="00924776">
        <w:t xml:space="preserve">any variance in quality among services. This </w:t>
      </w:r>
      <w:r w:rsidR="00B530BB">
        <w:t xml:space="preserve">suggests </w:t>
      </w:r>
      <w:r w:rsidR="00924776">
        <w:t xml:space="preserve">a need for additional </w:t>
      </w:r>
      <w:r w:rsidR="00B530BB">
        <w:t>measures of quality that take local circumstances and constraints into account</w:t>
      </w:r>
      <w:r w:rsidR="00924776">
        <w:t xml:space="preserve">, rather than rely entirely on </w:t>
      </w:r>
      <w:bookmarkStart w:id="150" w:name="_Hlk24553934"/>
      <w:r w:rsidR="00924776">
        <w:t xml:space="preserve">satisfaction of </w:t>
      </w:r>
      <w:r w:rsidR="00B530BB">
        <w:t>NQF</w:t>
      </w:r>
      <w:r w:rsidR="009003B2">
        <w:t xml:space="preserve"> </w:t>
      </w:r>
      <w:r w:rsidR="00924776">
        <w:t>requirements.</w:t>
      </w:r>
      <w:r w:rsidR="009003B2">
        <w:t xml:space="preserve"> </w:t>
      </w:r>
      <w:bookmarkEnd w:id="150"/>
    </w:p>
    <w:p w14:paraId="2D051188" w14:textId="77777777" w:rsidR="00FD044F" w:rsidRPr="00FD044F" w:rsidRDefault="007C7CD2" w:rsidP="00FD044F">
      <w:pPr>
        <w:pStyle w:val="Heading5"/>
      </w:pPr>
      <w:r>
        <w:t>ECTs experience diverse</w:t>
      </w:r>
      <w:r w:rsidR="00EF1BCE" w:rsidRPr="00FD044F">
        <w:t xml:space="preserve"> </w:t>
      </w:r>
      <w:r w:rsidR="001870F4" w:rsidRPr="00FD044F">
        <w:t xml:space="preserve">pay </w:t>
      </w:r>
      <w:r w:rsidR="00EF1BCE" w:rsidRPr="00FD044F">
        <w:t xml:space="preserve">and conditions </w:t>
      </w:r>
      <w:r w:rsidR="00A52664" w:rsidRPr="00FD044F">
        <w:t>in</w:t>
      </w:r>
      <w:r w:rsidR="00EF1BCE" w:rsidRPr="00FD044F">
        <w:t xml:space="preserve"> </w:t>
      </w:r>
      <w:r w:rsidR="007C06CC" w:rsidRPr="00FD044F">
        <w:t>different preschool settings</w:t>
      </w:r>
    </w:p>
    <w:p w14:paraId="367E4B79" w14:textId="77777777" w:rsidR="00F2397C" w:rsidRDefault="00F2397C" w:rsidP="00F2397C">
      <w:pPr>
        <w:pStyle w:val="Bullet"/>
      </w:pPr>
      <w:r w:rsidRPr="00F46150">
        <w:t xml:space="preserve">A two-tiered system of </w:t>
      </w:r>
      <w:r>
        <w:t>ECT compensation</w:t>
      </w:r>
      <w:r w:rsidRPr="00F46150">
        <w:t xml:space="preserve"> exists in Australia</w:t>
      </w:r>
      <w:r w:rsidR="007C7CD2">
        <w:t>. S</w:t>
      </w:r>
      <w:r>
        <w:t>ome</w:t>
      </w:r>
      <w:r w:rsidRPr="00F46150">
        <w:t xml:space="preserve"> </w:t>
      </w:r>
      <w:r>
        <w:t>ECTs</w:t>
      </w:r>
      <w:r w:rsidRPr="00F46150">
        <w:t xml:space="preserve"> </w:t>
      </w:r>
      <w:r w:rsidR="007C7CD2">
        <w:t>enjoy</w:t>
      </w:r>
      <w:r w:rsidRPr="00F46150">
        <w:t xml:space="preserve"> pay</w:t>
      </w:r>
      <w:r>
        <w:t xml:space="preserve">, leave and </w:t>
      </w:r>
      <w:r w:rsidRPr="00F46150">
        <w:t xml:space="preserve">condition parity with </w:t>
      </w:r>
      <w:proofErr w:type="gramStart"/>
      <w:r w:rsidRPr="00F46150">
        <w:t>school teachers</w:t>
      </w:r>
      <w:proofErr w:type="gramEnd"/>
      <w:r w:rsidRPr="00F46150">
        <w:t xml:space="preserve"> in some states </w:t>
      </w:r>
      <w:r>
        <w:t>and settings</w:t>
      </w:r>
      <w:r w:rsidRPr="00F46150">
        <w:t>, whil</w:t>
      </w:r>
      <w:r>
        <w:t xml:space="preserve">e ECTs in many CBDCs </w:t>
      </w:r>
      <w:r w:rsidR="00DE5305">
        <w:t xml:space="preserve">are </w:t>
      </w:r>
      <w:r>
        <w:t xml:space="preserve">being </w:t>
      </w:r>
      <w:r w:rsidRPr="00F46150">
        <w:t xml:space="preserve">paid close to minimum </w:t>
      </w:r>
      <w:r>
        <w:t xml:space="preserve">award </w:t>
      </w:r>
      <w:r w:rsidRPr="00F46150">
        <w:t>wage</w:t>
      </w:r>
      <w:r>
        <w:t>s</w:t>
      </w:r>
      <w:r w:rsidRPr="00F46150">
        <w:t xml:space="preserve"> </w:t>
      </w:r>
      <w:r>
        <w:t>with 4 weeks of annual leave. Many ECTs who are qualified and registered to teach children 0-8 or 0-12 in preschool and full-time school settings are likely to prefer to teach in school settings due to the better pay and conditions.</w:t>
      </w:r>
      <w:r>
        <w:rPr>
          <w:rStyle w:val="FootnoteReference"/>
        </w:rPr>
        <w:footnoteReference w:id="64"/>
      </w:r>
      <w:r>
        <w:t xml:space="preserve"> The Review heard from many CBDC providers that expressed the financial challenges of providing ECTs with comparable pay and conditions to school-based or government run</w:t>
      </w:r>
      <w:r w:rsidDel="00AA3ABC">
        <w:t xml:space="preserve"> </w:t>
      </w:r>
      <w:r>
        <w:t xml:space="preserve">preschools and difficulties in recruitment and </w:t>
      </w:r>
      <w:r w:rsidR="00DE5305">
        <w:t>retention</w:t>
      </w:r>
      <w:r>
        <w:t>.</w:t>
      </w:r>
    </w:p>
    <w:p w14:paraId="0A6D1354" w14:textId="77777777" w:rsidR="00E11DE7" w:rsidRPr="001C67A4" w:rsidRDefault="00E11DE7" w:rsidP="00E11DE7">
      <w:r>
        <w:t xml:space="preserve">Such differences in employment conditions manifest in different status and cultures, creating unhelpful divisions in the sector. This is a problem not just within the ECT profession, but between fully qualified preschool teachers and other child educators. </w:t>
      </w:r>
    </w:p>
    <w:p w14:paraId="158B2EF9" w14:textId="77777777" w:rsidR="00762AC8" w:rsidRDefault="003177D8" w:rsidP="003177D8">
      <w:pPr>
        <w:pStyle w:val="Bullet"/>
      </w:pPr>
      <w:r>
        <w:t xml:space="preserve">Some States and Territories offer initiatives to both encourage people to enter the profession and </w:t>
      </w:r>
      <w:r w:rsidR="00DE5305">
        <w:t xml:space="preserve">upgrade </w:t>
      </w:r>
      <w:r>
        <w:t xml:space="preserve">their </w:t>
      </w:r>
      <w:proofErr w:type="gramStart"/>
      <w:r>
        <w:t>qualifications, and</w:t>
      </w:r>
      <w:proofErr w:type="gramEnd"/>
      <w:r>
        <w:t xml:space="preserve"> ensure that preschool services are able to recruit and retain qualified ECTs.</w:t>
      </w:r>
    </w:p>
    <w:p w14:paraId="1795B571" w14:textId="77777777" w:rsidR="002D3D0E" w:rsidRPr="00EF0FEA" w:rsidRDefault="002D3D0E" w:rsidP="002D3D0E">
      <w:pPr>
        <w:pStyle w:val="Callout"/>
        <w:rPr>
          <w:sz w:val="18"/>
          <w:szCs w:val="18"/>
        </w:rPr>
      </w:pPr>
      <w:r w:rsidRPr="00EF0FEA">
        <w:rPr>
          <w:sz w:val="18"/>
          <w:szCs w:val="18"/>
        </w:rPr>
        <w:lastRenderedPageBreak/>
        <w:t>“ECTs working in early learning settings pay a penalty, earning significantly less than their peers in the school system.” (</w:t>
      </w:r>
      <w:bookmarkStart w:id="151" w:name="_Hlk30664644"/>
      <w:r w:rsidRPr="00EF0FEA">
        <w:rPr>
          <w:sz w:val="18"/>
          <w:szCs w:val="18"/>
        </w:rPr>
        <w:t xml:space="preserve">Early Childhood Australia </w:t>
      </w:r>
      <w:bookmarkEnd w:id="151"/>
      <w:r w:rsidRPr="00EF0FEA">
        <w:rPr>
          <w:sz w:val="18"/>
          <w:szCs w:val="18"/>
        </w:rPr>
        <w:t>submission)</w:t>
      </w:r>
    </w:p>
    <w:p w14:paraId="655E5F41" w14:textId="77777777" w:rsidR="002D3D0E" w:rsidRPr="00EF0FEA" w:rsidRDefault="002D3D0E" w:rsidP="002D3D0E">
      <w:pPr>
        <w:pStyle w:val="Callout"/>
        <w:rPr>
          <w:sz w:val="18"/>
          <w:szCs w:val="18"/>
        </w:rPr>
      </w:pPr>
      <w:r w:rsidRPr="00EF0FEA">
        <w:rPr>
          <w:sz w:val="18"/>
          <w:szCs w:val="18"/>
        </w:rPr>
        <w:t>“A shortage of qualified early childhood teachers is looming. Employers are reporting experiencing particular difficulty getting quality teacher applicants in regional areas, particularly in the child care sector, which continue to lose teachers to schools.” (</w:t>
      </w:r>
      <w:bookmarkStart w:id="152" w:name="_Hlk30664649"/>
      <w:proofErr w:type="spellStart"/>
      <w:r w:rsidRPr="00EF0FEA">
        <w:rPr>
          <w:sz w:val="18"/>
          <w:szCs w:val="18"/>
        </w:rPr>
        <w:t>Goodstart</w:t>
      </w:r>
      <w:proofErr w:type="spellEnd"/>
      <w:r w:rsidRPr="00EF0FEA">
        <w:rPr>
          <w:sz w:val="18"/>
          <w:szCs w:val="18"/>
        </w:rPr>
        <w:t xml:space="preserve"> Early Learning </w:t>
      </w:r>
      <w:bookmarkEnd w:id="152"/>
      <w:r w:rsidRPr="00EF0FEA">
        <w:rPr>
          <w:sz w:val="18"/>
          <w:szCs w:val="18"/>
        </w:rPr>
        <w:t>submission)</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2D3D0E" w14:paraId="2F0DC9AE" w14:textId="77777777" w:rsidTr="00613D58">
        <w:tc>
          <w:tcPr>
            <w:tcW w:w="8930" w:type="dxa"/>
            <w:shd w:val="clear" w:color="auto" w:fill="00264D" w:themeFill="background2"/>
          </w:tcPr>
          <w:p w14:paraId="70792B15" w14:textId="77777777" w:rsidR="002D3D0E" w:rsidRPr="006C71B3" w:rsidRDefault="002D3D0E" w:rsidP="00613D58">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4</w:t>
            </w:r>
          </w:p>
          <w:p w14:paraId="7376C919" w14:textId="77777777" w:rsidR="002D3D0E" w:rsidRPr="00030D73" w:rsidRDefault="00FC74BE" w:rsidP="00613D58">
            <w:pPr>
              <w:pStyle w:val="Longformcallout"/>
              <w:spacing w:after="0"/>
              <w:rPr>
                <w:rFonts w:asciiTheme="majorHAnsi" w:hAnsiTheme="majorHAnsi" w:cstheme="majorBidi"/>
                <w:sz w:val="24"/>
                <w:szCs w:val="24"/>
              </w:rPr>
            </w:pPr>
            <w:r w:rsidRPr="00FC74BE">
              <w:rPr>
                <w:rFonts w:asciiTheme="majorHAnsi" w:hAnsiTheme="majorHAnsi" w:cstheme="majorBidi"/>
                <w:color w:val="FFFFFF" w:themeColor="background1"/>
                <w:sz w:val="20"/>
                <w:szCs w:val="20"/>
              </w:rPr>
              <w:t>The UANP has contributed to an uplift in preschool quality, though more work remains. Workforce challenges present a particular risk to the ongoing provision of universal access at the appropriate levels of quality</w:t>
            </w:r>
            <w:r w:rsidR="002D3D0E" w:rsidRPr="0C5679B2">
              <w:rPr>
                <w:rFonts w:asciiTheme="majorHAnsi" w:hAnsiTheme="majorHAnsi" w:cstheme="majorBidi"/>
                <w:color w:val="FFFFFF" w:themeColor="background1"/>
                <w:sz w:val="20"/>
                <w:szCs w:val="20"/>
              </w:rPr>
              <w:t>.</w:t>
            </w:r>
          </w:p>
        </w:tc>
      </w:tr>
    </w:tbl>
    <w:p w14:paraId="3EFEECF5" w14:textId="77777777" w:rsidR="005B44C8" w:rsidRDefault="00313B50" w:rsidP="0003670C">
      <w:pPr>
        <w:pStyle w:val="Heading2"/>
      </w:pPr>
      <w:bookmarkStart w:id="153" w:name="_Ref24557274"/>
      <w:bookmarkStart w:id="154" w:name="_Toc24559594"/>
      <w:bookmarkStart w:id="155" w:name="_Toc54597783"/>
      <w:r>
        <w:t xml:space="preserve">The UANP </w:t>
      </w:r>
      <w:r w:rsidR="001F55EC">
        <w:t>has increased the availability of free and low-</w:t>
      </w:r>
      <w:r w:rsidR="00CB2250">
        <w:t>fee</w:t>
      </w:r>
      <w:r w:rsidR="001F55EC">
        <w:t xml:space="preserve"> preschool</w:t>
      </w:r>
      <w:r w:rsidR="005200E5">
        <w:t>, though indirect</w:t>
      </w:r>
      <w:r w:rsidR="001F55EC">
        <w:t xml:space="preserve"> c</w:t>
      </w:r>
      <w:r>
        <w:t>ost</w:t>
      </w:r>
      <w:r w:rsidR="001F55EC">
        <w:t>s</w:t>
      </w:r>
      <w:r>
        <w:t xml:space="preserve"> </w:t>
      </w:r>
      <w:r w:rsidR="005200E5">
        <w:t>can pose</w:t>
      </w:r>
      <w:r w:rsidR="001F55EC">
        <w:t xml:space="preserve"> </w:t>
      </w:r>
      <w:r>
        <w:t xml:space="preserve">a barrier for </w:t>
      </w:r>
      <w:r w:rsidR="001F55EC">
        <w:t>some</w:t>
      </w:r>
      <w:bookmarkEnd w:id="153"/>
      <w:bookmarkEnd w:id="154"/>
      <w:bookmarkEnd w:id="155"/>
    </w:p>
    <w:p w14:paraId="54D53730" w14:textId="3F17FA0C" w:rsidR="005A794C" w:rsidRDefault="00D27AAF" w:rsidP="0003670C">
      <w:bookmarkStart w:id="156" w:name="_Hlk33535065"/>
      <w:r>
        <w:t xml:space="preserve">The UANP objective is to make preschool available at a cost that does not present a barrier to participation. </w:t>
      </w:r>
      <w:r w:rsidR="00216C70">
        <w:t xml:space="preserve">Figures from the National Collection show that </w:t>
      </w:r>
      <w:r w:rsidR="00D37F6E">
        <w:t>o</w:t>
      </w:r>
      <w:r w:rsidR="00416967">
        <w:t>ut-of-pocket costs</w:t>
      </w:r>
      <w:r w:rsidR="00443E1B">
        <w:t xml:space="preserve"> for preschool</w:t>
      </w:r>
      <w:r w:rsidR="00416967">
        <w:t xml:space="preserve"> range from zero to over $6 per hour. </w:t>
      </w:r>
      <w:r w:rsidR="00216C70">
        <w:t>Between 2015 and 2018 a</w:t>
      </w:r>
      <w:r w:rsidR="00416967">
        <w:t xml:space="preserve">verage </w:t>
      </w:r>
      <w:r w:rsidR="006158A5">
        <w:t xml:space="preserve">real </w:t>
      </w:r>
      <w:r w:rsidR="00416967">
        <w:t>o</w:t>
      </w:r>
      <w:r w:rsidRPr="00503B7F">
        <w:t>ut</w:t>
      </w:r>
      <w:r w:rsidR="00443E1B">
        <w:noBreakHyphen/>
      </w:r>
      <w:r w:rsidRPr="00503B7F">
        <w:t>of</w:t>
      </w:r>
      <w:r w:rsidR="00443E1B">
        <w:noBreakHyphen/>
      </w:r>
      <w:r w:rsidRPr="00503B7F">
        <w:t xml:space="preserve">pocket costs </w:t>
      </w:r>
      <w:r w:rsidR="00416967">
        <w:t>rose</w:t>
      </w:r>
      <w:r w:rsidR="008C5D6C">
        <w:t xml:space="preserve"> </w:t>
      </w:r>
      <w:r w:rsidR="00665D19">
        <w:t>11</w:t>
      </w:r>
      <w:r w:rsidR="008C5D6C" w:rsidRPr="008C5D6C">
        <w:t>.</w:t>
      </w:r>
      <w:r w:rsidR="00665D19">
        <w:t>7</w:t>
      </w:r>
      <w:r w:rsidR="008C5D6C">
        <w:t xml:space="preserve"> per cent</w:t>
      </w:r>
      <w:r w:rsidR="00443E1B">
        <w:t xml:space="preserve"> (</w:t>
      </w:r>
      <w:r w:rsidR="00443E1B" w:rsidRPr="008C5D6C">
        <w:t>from $4.</w:t>
      </w:r>
      <w:r w:rsidR="007E72E3">
        <w:t>33</w:t>
      </w:r>
      <w:r w:rsidR="00443E1B" w:rsidRPr="008C5D6C">
        <w:t xml:space="preserve"> per hour to $4.84 per hour</w:t>
      </w:r>
      <w:r w:rsidR="00443E1B">
        <w:t>)</w:t>
      </w:r>
      <w:r w:rsidR="008C5D6C" w:rsidRPr="008C5D6C">
        <w:t>.</w:t>
      </w:r>
      <w:r w:rsidR="00373EEB" w:rsidRPr="006158A5">
        <w:rPr>
          <w:vertAlign w:val="superscript"/>
        </w:rPr>
        <w:footnoteReference w:id="65"/>
      </w:r>
      <w:r w:rsidR="00E54DE9">
        <w:t xml:space="preserve"> This is illustrated in </w:t>
      </w:r>
      <w:r w:rsidR="00D47B3C">
        <w:fldChar w:fldCharType="begin"/>
      </w:r>
      <w:r w:rsidR="00D47B3C">
        <w:instrText xml:space="preserve"> REF _Ref24381982 \h </w:instrText>
      </w:r>
      <w:r w:rsidR="00D47B3C">
        <w:fldChar w:fldCharType="separate"/>
      </w:r>
      <w:r w:rsidR="00B37785">
        <w:t xml:space="preserve">Figure </w:t>
      </w:r>
      <w:r w:rsidR="00B37785">
        <w:rPr>
          <w:noProof/>
        </w:rPr>
        <w:t>17</w:t>
      </w:r>
      <w:r w:rsidR="00D47B3C">
        <w:fldChar w:fldCharType="end"/>
      </w:r>
      <w:r w:rsidR="00D47B3C">
        <w:t>.</w:t>
      </w:r>
    </w:p>
    <w:p w14:paraId="7AB3D010" w14:textId="0F140336" w:rsidR="006722F2" w:rsidRDefault="006722F2" w:rsidP="0003670C">
      <w:pPr>
        <w:pStyle w:val="Caption"/>
      </w:pPr>
      <w:bookmarkStart w:id="157" w:name="_Ref24381982"/>
      <w:bookmarkEnd w:id="156"/>
      <w:r>
        <w:t xml:space="preserve">Figure </w:t>
      </w:r>
      <w:r w:rsidR="00B76790">
        <w:fldChar w:fldCharType="begin"/>
      </w:r>
      <w:r w:rsidR="00B76790">
        <w:instrText xml:space="preserve"> SEQ Figure \* ARABIC </w:instrText>
      </w:r>
      <w:r w:rsidR="00B76790">
        <w:fldChar w:fldCharType="separate"/>
      </w:r>
      <w:r w:rsidR="00B37785">
        <w:rPr>
          <w:noProof/>
        </w:rPr>
        <w:t>17</w:t>
      </w:r>
      <w:r w:rsidR="00B76790">
        <w:fldChar w:fldCharType="end"/>
      </w:r>
      <w:bookmarkEnd w:id="157"/>
      <w:r>
        <w:t xml:space="preserve"> | </w:t>
      </w:r>
      <w:r w:rsidR="00E96B4B">
        <w:t>O</w:t>
      </w:r>
      <w:r w:rsidRPr="00526D56">
        <w:t>ut of pocket costs over time by provider type (2017-2018 dollars)</w:t>
      </w:r>
      <w:r w:rsidR="00216C70">
        <w:rPr>
          <w:rStyle w:val="FootnoteReference"/>
        </w:rPr>
        <w:footnoteReference w:id="66"/>
      </w:r>
    </w:p>
    <w:p w14:paraId="7FCFD179" w14:textId="77777777" w:rsidR="006722F2" w:rsidRDefault="0043666F" w:rsidP="00E54DE9">
      <w:pPr>
        <w:pStyle w:val="Caption"/>
        <w:rPr>
          <w:noProof/>
        </w:rPr>
      </w:pPr>
      <w:r>
        <w:rPr>
          <w:noProof/>
          <w:lang w:eastAsia="en-AU"/>
        </w:rPr>
        <w:drawing>
          <wp:inline distT="0" distB="0" distL="0" distR="0" wp14:anchorId="4AE51550" wp14:editId="7E3B562B">
            <wp:extent cx="5614670" cy="2883535"/>
            <wp:effectExtent l="0" t="0" r="5080" b="0"/>
            <wp:docPr id="18" name="Picture 18" descr="Graph showing the out of pocket costs over time by provider type (2017-2018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the out of pocket costs over time by provider type (2017-2018 dolla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4670" cy="2883535"/>
                    </a:xfrm>
                    <a:prstGeom prst="rect">
                      <a:avLst/>
                    </a:prstGeom>
                    <a:noFill/>
                  </pic:spPr>
                </pic:pic>
              </a:graphicData>
            </a:graphic>
          </wp:inline>
        </w:drawing>
      </w:r>
    </w:p>
    <w:p w14:paraId="62A410E2" w14:textId="77777777" w:rsidR="00350681" w:rsidRDefault="00350681" w:rsidP="00350681">
      <w:bookmarkStart w:id="158" w:name="_Hlk33535078"/>
      <w:r>
        <w:t xml:space="preserve">It is not possible to infer from out-of-pocket costs whether preschool is affordable for families. However, the Review is satisfied that out-of-pockets are not prohibitive for most families. This conclusion reflects the high levels of enrolment presented earlier in this </w:t>
      </w:r>
      <w:r w:rsidR="009E1BD6">
        <w:t>chapter</w:t>
      </w:r>
      <w:r>
        <w:t xml:space="preserve">, feedback from stakeholders, and the availability of targeted fee relief in all jurisdictions. </w:t>
      </w:r>
    </w:p>
    <w:p w14:paraId="4B2886BE" w14:textId="77777777" w:rsidR="00350681" w:rsidRDefault="00350681" w:rsidP="00350681">
      <w:r>
        <w:lastRenderedPageBreak/>
        <w:t xml:space="preserve">Many States and Territories provide free preschool in government services, and all offer free or low-cost preschool to eligible families. Eligibility may be based on child and family characteristics (such as whether the family holds certain Australian Government concession cards) or service characteristics (such as the SEIFA band of the service). Children enrolled in CBDC may be eligible for the Additional Child Care Subsidy (in addition to the CCS). </w:t>
      </w:r>
    </w:p>
    <w:p w14:paraId="6CC5FC4A" w14:textId="77777777" w:rsidR="00350681" w:rsidRDefault="00350681" w:rsidP="00350681">
      <w:r>
        <w:t xml:space="preserve">The Review heard, however, that the cost of participation can be a barrier for some children. Governments, </w:t>
      </w:r>
      <w:proofErr w:type="gramStart"/>
      <w:r>
        <w:t>providers</w:t>
      </w:r>
      <w:proofErr w:type="gramEnd"/>
      <w:r>
        <w:t xml:space="preserve"> and parents commonly cited non-fee costs, including the cost of transport, as barriers to participation. This was especially evident in regional areas.</w:t>
      </w:r>
    </w:p>
    <w:bookmarkEnd w:id="158"/>
    <w:p w14:paraId="026C97DA" w14:textId="77777777" w:rsidR="00627A25" w:rsidRPr="00EF0FEA" w:rsidRDefault="00627A25" w:rsidP="00627A25">
      <w:pPr>
        <w:pStyle w:val="Callout"/>
        <w:rPr>
          <w:sz w:val="18"/>
          <w:szCs w:val="18"/>
        </w:rPr>
      </w:pPr>
      <w:r w:rsidRPr="00EF0FEA">
        <w:rPr>
          <w:sz w:val="18"/>
          <w:szCs w:val="18"/>
        </w:rPr>
        <w:t>“Families of children in remote and regional areas have additional impediments in their children’s regular attendance, such as transport and distance.” (</w:t>
      </w:r>
      <w:bookmarkStart w:id="159" w:name="_Hlk30667132"/>
      <w:r w:rsidRPr="00EF0FEA">
        <w:rPr>
          <w:sz w:val="18"/>
          <w:szCs w:val="18"/>
        </w:rPr>
        <w:t xml:space="preserve">Flinders University </w:t>
      </w:r>
      <w:bookmarkEnd w:id="159"/>
      <w:r w:rsidRPr="00EF0FEA">
        <w:rPr>
          <w:sz w:val="18"/>
          <w:szCs w:val="18"/>
        </w:rPr>
        <w:t>submission)</w:t>
      </w:r>
    </w:p>
    <w:p w14:paraId="1B0A2824" w14:textId="77777777" w:rsidR="005B44C8" w:rsidRPr="0045671E" w:rsidRDefault="00C401C3" w:rsidP="0003670C">
      <w:pPr>
        <w:pStyle w:val="Heading2"/>
      </w:pPr>
      <w:bookmarkStart w:id="160" w:name="_Toc30670020"/>
      <w:bookmarkStart w:id="161" w:name="_Toc24559595"/>
      <w:bookmarkStart w:id="162" w:name="_Toc54597784"/>
      <w:bookmarkStart w:id="163" w:name="_Hlk24531802"/>
      <w:bookmarkEnd w:id="160"/>
      <w:r w:rsidRPr="00C401C3">
        <w:t>Most parents can access a preschool provider that meets their needs, but funding may not align with their preferences</w:t>
      </w:r>
      <w:bookmarkEnd w:id="161"/>
      <w:bookmarkEnd w:id="162"/>
    </w:p>
    <w:p w14:paraId="6FB2AB6B" w14:textId="77777777" w:rsidR="005B0B3D" w:rsidRPr="005B0B3D" w:rsidRDefault="005B0B3D" w:rsidP="0003670C">
      <w:pPr>
        <w:pStyle w:val="Heading4"/>
      </w:pPr>
      <w:r w:rsidRPr="005B0B3D">
        <w:t>Parents and communities have diverse needs</w:t>
      </w:r>
    </w:p>
    <w:p w14:paraId="34671D82" w14:textId="77777777" w:rsidR="00435CB4" w:rsidRDefault="001F55EC" w:rsidP="0003670C">
      <w:r>
        <w:t>The</w:t>
      </w:r>
      <w:r w:rsidR="00912F82">
        <w:t xml:space="preserve"> UANP </w:t>
      </w:r>
      <w:r>
        <w:t xml:space="preserve">is designed to support the implementation of preschool programs which meet the needs of parents and communities. </w:t>
      </w:r>
      <w:r w:rsidR="00435CB4">
        <w:t>The needs of p</w:t>
      </w:r>
      <w:r w:rsidRPr="001F55EC">
        <w:t>arents</w:t>
      </w:r>
      <w:r w:rsidR="00435CB4">
        <w:t xml:space="preserve"> and </w:t>
      </w:r>
      <w:r w:rsidRPr="001F55EC">
        <w:t xml:space="preserve">communities </w:t>
      </w:r>
      <w:r w:rsidR="00435CB4">
        <w:t xml:space="preserve">are not uniform. </w:t>
      </w:r>
      <w:r w:rsidR="008F4ACF">
        <w:t>Parents’ needs</w:t>
      </w:r>
      <w:r w:rsidR="00435CB4">
        <w:t xml:space="preserve"> differ between families, and over time as famil</w:t>
      </w:r>
      <w:r w:rsidR="008F4ACF">
        <w:t>ies’</w:t>
      </w:r>
      <w:r w:rsidR="00435CB4">
        <w:t xml:space="preserve"> circumstances change (for example, as one or more sibling progresses to full-time school). The Review heard that</w:t>
      </w:r>
      <w:r w:rsidR="005E4D88">
        <w:t xml:space="preserve">, in addition to the availability and </w:t>
      </w:r>
      <w:r w:rsidR="005E4D88" w:rsidRPr="00435CB4">
        <w:t>quality of preschool program</w:t>
      </w:r>
      <w:r w:rsidR="008F4ACF">
        <w:t>s</w:t>
      </w:r>
      <w:r w:rsidR="005E4D88">
        <w:t>,</w:t>
      </w:r>
      <w:r w:rsidR="00435CB4">
        <w:t xml:space="preserve"> </w:t>
      </w:r>
      <w:r w:rsidR="005E4D88">
        <w:t>parents</w:t>
      </w:r>
      <w:r w:rsidR="00435CB4">
        <w:t xml:space="preserve"> </w:t>
      </w:r>
      <w:r w:rsidR="008F4ACF">
        <w:t>value</w:t>
      </w:r>
      <w:r w:rsidR="005E4D88">
        <w:t xml:space="preserve"> a combination of factors</w:t>
      </w:r>
      <w:r w:rsidR="00435CB4">
        <w:t xml:space="preserve">, </w:t>
      </w:r>
      <w:r w:rsidR="005E4D88">
        <w:t xml:space="preserve">which </w:t>
      </w:r>
      <w:r w:rsidR="008F4ACF">
        <w:t>primarily</w:t>
      </w:r>
      <w:r w:rsidR="005E4D88">
        <w:t xml:space="preserve"> relate to</w:t>
      </w:r>
      <w:r w:rsidR="005200E5">
        <w:t xml:space="preserve"> the</w:t>
      </w:r>
      <w:r w:rsidRPr="001F55EC">
        <w:t xml:space="preserve">: </w:t>
      </w:r>
    </w:p>
    <w:p w14:paraId="72E3E4F5" w14:textId="77777777" w:rsidR="00435CB4" w:rsidRDefault="001F55EC" w:rsidP="00202A68">
      <w:pPr>
        <w:pStyle w:val="Bullet"/>
        <w:numPr>
          <w:ilvl w:val="0"/>
          <w:numId w:val="13"/>
        </w:numPr>
        <w:ind w:left="340" w:hanging="340"/>
      </w:pPr>
      <w:r w:rsidRPr="00435CB4">
        <w:t>location</w:t>
      </w:r>
      <w:r w:rsidR="00435CB4" w:rsidRPr="00435CB4">
        <w:t xml:space="preserve"> of the provider</w:t>
      </w:r>
      <w:r w:rsidRPr="00435CB4">
        <w:t xml:space="preserve"> (</w:t>
      </w:r>
      <w:r w:rsidR="00E2206A">
        <w:t>particularly</w:t>
      </w:r>
      <w:r w:rsidR="005E4D88">
        <w:t xml:space="preserve"> in terms of </w:t>
      </w:r>
      <w:r w:rsidR="00435CB4" w:rsidRPr="00435CB4">
        <w:t xml:space="preserve">its </w:t>
      </w:r>
      <w:r w:rsidRPr="00435CB4">
        <w:t>proximity</w:t>
      </w:r>
      <w:r w:rsidR="005E4D88">
        <w:t xml:space="preserve"> to </w:t>
      </w:r>
      <w:r w:rsidRPr="00435CB4">
        <w:t>wraparound services or other drop</w:t>
      </w:r>
      <w:r w:rsidR="00E2206A">
        <w:noBreakHyphen/>
      </w:r>
      <w:r w:rsidRPr="00435CB4">
        <w:t>off sites</w:t>
      </w:r>
      <w:r w:rsidR="00435CB4" w:rsidRPr="00435CB4">
        <w:t>, including the parent’s place of work</w:t>
      </w:r>
      <w:r w:rsidRPr="00435CB4">
        <w:t>)</w:t>
      </w:r>
    </w:p>
    <w:p w14:paraId="2BD377F4" w14:textId="77777777" w:rsidR="008F4ACF" w:rsidRDefault="008F4ACF" w:rsidP="00202A68">
      <w:pPr>
        <w:pStyle w:val="Bullet"/>
        <w:numPr>
          <w:ilvl w:val="0"/>
          <w:numId w:val="13"/>
        </w:numPr>
        <w:ind w:left="340" w:hanging="340"/>
      </w:pPr>
      <w:r w:rsidRPr="00435CB4">
        <w:t>out-of-pocket costs</w:t>
      </w:r>
      <w:r>
        <w:t xml:space="preserve"> (discussed above)</w:t>
      </w:r>
    </w:p>
    <w:p w14:paraId="6AAD834F" w14:textId="77777777" w:rsidR="00B208A0" w:rsidRDefault="001F55EC" w:rsidP="00202A68">
      <w:pPr>
        <w:pStyle w:val="Bullet"/>
        <w:numPr>
          <w:ilvl w:val="0"/>
          <w:numId w:val="13"/>
        </w:numPr>
        <w:ind w:left="340" w:hanging="340"/>
      </w:pPr>
      <w:r w:rsidRPr="00435CB4">
        <w:t>hours of operation</w:t>
      </w:r>
    </w:p>
    <w:p w14:paraId="1D936C55" w14:textId="77777777" w:rsidR="00AB2060" w:rsidRDefault="008F4ACF" w:rsidP="00202A68">
      <w:pPr>
        <w:pStyle w:val="Bullet"/>
        <w:numPr>
          <w:ilvl w:val="0"/>
          <w:numId w:val="13"/>
        </w:numPr>
        <w:ind w:left="340" w:hanging="340"/>
      </w:pPr>
      <w:r>
        <w:t>integration of the preschool program with other services</w:t>
      </w:r>
    </w:p>
    <w:p w14:paraId="3BAFAB4E" w14:textId="77777777" w:rsidR="008F4ACF" w:rsidRPr="00AB2060" w:rsidRDefault="00AB2060" w:rsidP="00202A68">
      <w:pPr>
        <w:pStyle w:val="Bullet"/>
        <w:numPr>
          <w:ilvl w:val="0"/>
          <w:numId w:val="13"/>
        </w:numPr>
        <w:ind w:left="340" w:hanging="340"/>
      </w:pPr>
      <w:r>
        <w:t>process of enrolling</w:t>
      </w:r>
    </w:p>
    <w:p w14:paraId="5D4BB28A" w14:textId="77777777" w:rsidR="008F4ACF" w:rsidRDefault="008F4ACF" w:rsidP="00202A68">
      <w:pPr>
        <w:pStyle w:val="Bullet"/>
        <w:numPr>
          <w:ilvl w:val="0"/>
          <w:numId w:val="13"/>
        </w:numPr>
        <w:ind w:left="340" w:hanging="340"/>
      </w:pPr>
      <w:r>
        <w:t xml:space="preserve">rapport between the parent and the </w:t>
      </w:r>
      <w:r w:rsidR="00F2397C">
        <w:t>ECT</w:t>
      </w:r>
      <w:r>
        <w:t xml:space="preserve"> involved in the program. </w:t>
      </w:r>
    </w:p>
    <w:p w14:paraId="3C0D44DB" w14:textId="4A0E7C17" w:rsidR="00322015" w:rsidRDefault="00754C0D" w:rsidP="0003670C">
      <w:r>
        <w:t xml:space="preserve">Some children and families have specific or additional needs. For example, to meet the needs of </w:t>
      </w:r>
      <w:r w:rsidR="00381B58">
        <w:t>Indigenous</w:t>
      </w:r>
      <w:r>
        <w:t xml:space="preserve"> children, preschool programs must be </w:t>
      </w:r>
      <w:r w:rsidRPr="00AB2060">
        <w:t>cultural</w:t>
      </w:r>
      <w:r>
        <w:t>ly</w:t>
      </w:r>
      <w:r w:rsidRPr="00AB2060">
        <w:t xml:space="preserve"> safe and relevan</w:t>
      </w:r>
      <w:r>
        <w:t xml:space="preserve">t, </w:t>
      </w:r>
      <w:r w:rsidR="00F806B7">
        <w:t>CALD</w:t>
      </w:r>
      <w:r w:rsidR="007B09AE">
        <w:t xml:space="preserve"> children may require tailored support to meaningfully participate in preschool, and </w:t>
      </w:r>
      <w:r>
        <w:t xml:space="preserve">children with a disability may require specialist teaching resources or equipment. </w:t>
      </w:r>
    </w:p>
    <w:p w14:paraId="64174E89" w14:textId="77777777" w:rsidR="00C401C3" w:rsidRDefault="00C401C3" w:rsidP="0003670C">
      <w:pPr>
        <w:pStyle w:val="Heading4"/>
      </w:pPr>
      <w:r>
        <w:t>The variety of preschool providers in each jurisdiction, and the availability of specialist services, ensures that most parents can access a suitable preschool program</w:t>
      </w:r>
    </w:p>
    <w:p w14:paraId="6D2CDAD3" w14:textId="77777777" w:rsidR="005B0B3D" w:rsidRDefault="00616233" w:rsidP="0003670C">
      <w:r>
        <w:t>Given the diversity of parents’ needs</w:t>
      </w:r>
      <w:r w:rsidR="00F31A39">
        <w:t>, and the propensity for needs to change as families grow</w:t>
      </w:r>
      <w:r>
        <w:t xml:space="preserve">, the ability to choose from multiple service types is beneficial. </w:t>
      </w:r>
      <w:r w:rsidR="005B0B3D">
        <w:t xml:space="preserve">Preschool is available in </w:t>
      </w:r>
      <w:r>
        <w:t xml:space="preserve">a variety of </w:t>
      </w:r>
      <w:r w:rsidR="00322015">
        <w:t xml:space="preserve">settings </w:t>
      </w:r>
      <w:r w:rsidR="005B0B3D">
        <w:t>in all jurisdictions, and</w:t>
      </w:r>
      <w:r w:rsidR="00322015">
        <w:t xml:space="preserve"> </w:t>
      </w:r>
      <w:r w:rsidR="005B0B3D">
        <w:t xml:space="preserve">all States and Territories </w:t>
      </w:r>
      <w:r w:rsidR="00322015">
        <w:t xml:space="preserve">offer tailored programs </w:t>
      </w:r>
      <w:r w:rsidR="005B0B3D">
        <w:t xml:space="preserve">and services </w:t>
      </w:r>
      <w:r w:rsidR="00322015">
        <w:t>for</w:t>
      </w:r>
      <w:r w:rsidR="005B0B3D">
        <w:t xml:space="preserve"> </w:t>
      </w:r>
      <w:r w:rsidR="00322015">
        <w:t>families and communities</w:t>
      </w:r>
      <w:r w:rsidR="005B0B3D">
        <w:t xml:space="preserve"> with specific or additional needs (though the design and e</w:t>
      </w:r>
      <w:r>
        <w:t xml:space="preserve">ligibility </w:t>
      </w:r>
      <w:r w:rsidR="005B0B3D">
        <w:t xml:space="preserve">criteria vary). </w:t>
      </w:r>
      <w:r w:rsidR="00F25A3E">
        <w:t xml:space="preserve">The Review heard from many preschool providers that </w:t>
      </w:r>
      <w:r w:rsidR="00461ED0">
        <w:t xml:space="preserve">parents and community representatives </w:t>
      </w:r>
      <w:r w:rsidR="00F25A3E">
        <w:t xml:space="preserve">have a strong voice </w:t>
      </w:r>
      <w:r w:rsidR="00461ED0">
        <w:t xml:space="preserve">in decision making, particularly in relation to program hours. This is often formally embedded in the governance arrangements or service standards adopted by the provider. </w:t>
      </w:r>
    </w:p>
    <w:p w14:paraId="6CD3B08F" w14:textId="77777777" w:rsidR="00C401C3" w:rsidRDefault="00C401C3" w:rsidP="0003670C">
      <w:pPr>
        <w:pStyle w:val="Heading4"/>
      </w:pPr>
      <w:bookmarkStart w:id="164" w:name="_Hlk32509573"/>
      <w:r>
        <w:lastRenderedPageBreak/>
        <w:t xml:space="preserve">The fragmentation of the early childhood education and care sector </w:t>
      </w:r>
      <w:r w:rsidR="005200E5">
        <w:t>prevents</w:t>
      </w:r>
      <w:r>
        <w:t xml:space="preserve"> some parents from accessing the preschool program that best meets their needs </w:t>
      </w:r>
    </w:p>
    <w:p w14:paraId="10294AF9" w14:textId="28BB62FD" w:rsidR="001029AB" w:rsidRDefault="005200E5" w:rsidP="0003670C">
      <w:r>
        <w:t>P</w:t>
      </w:r>
      <w:r w:rsidR="00183D95">
        <w:t xml:space="preserve">roviders and parents </w:t>
      </w:r>
      <w:r w:rsidR="0095636E">
        <w:t>outlined a number of areas where</w:t>
      </w:r>
      <w:r w:rsidR="00AD5C9D">
        <w:t xml:space="preserve"> preschool provision </w:t>
      </w:r>
      <w:r w:rsidR="0095636E">
        <w:t xml:space="preserve">could better </w:t>
      </w:r>
      <w:r w:rsidR="00AD5C9D">
        <w:t xml:space="preserve">meet the needs of </w:t>
      </w:r>
      <w:r w:rsidR="000560E9">
        <w:t xml:space="preserve">families </w:t>
      </w:r>
      <w:r w:rsidR="00AD5C9D">
        <w:t>and communitie</w:t>
      </w:r>
      <w:r w:rsidR="007A65AC">
        <w:t>s</w:t>
      </w:r>
      <w:r w:rsidR="00183D95">
        <w:t xml:space="preserve">. </w:t>
      </w:r>
      <w:r w:rsidR="001029AB">
        <w:t>The</w:t>
      </w:r>
      <w:r w:rsidR="00183D95">
        <w:t xml:space="preserve"> most</w:t>
      </w:r>
      <w:r w:rsidR="001029AB">
        <w:t xml:space="preserve"> prominent </w:t>
      </w:r>
      <w:r w:rsidR="0095636E">
        <w:t>area for improvement</w:t>
      </w:r>
      <w:r w:rsidR="00183D95">
        <w:t xml:space="preserve"> </w:t>
      </w:r>
      <w:r w:rsidR="0095636E">
        <w:t xml:space="preserve">relates </w:t>
      </w:r>
      <w:r w:rsidR="00183D95">
        <w:t>to the integration of services for preschool-aged children</w:t>
      </w:r>
      <w:r w:rsidR="001029AB" w:rsidRPr="007A65AC">
        <w:t>.</w:t>
      </w:r>
      <w:r w:rsidR="007A65AC" w:rsidRPr="007A65AC">
        <w:t xml:space="preserve"> Around 11 per cent of all preschool children attend multiple preschool providers</w:t>
      </w:r>
      <w:r w:rsidR="007A65AC" w:rsidRPr="007A65AC">
        <w:rPr>
          <w:rStyle w:val="FootnoteReference"/>
        </w:rPr>
        <w:footnoteReference w:id="67"/>
      </w:r>
      <w:r w:rsidR="00183D95">
        <w:t xml:space="preserve"> and many more rely on formal or informal child care</w:t>
      </w:r>
      <w:r w:rsidR="00C401C3">
        <w:t xml:space="preserve"> to supplement preschool hours</w:t>
      </w:r>
      <w:r w:rsidR="00183D95">
        <w:t xml:space="preserve">. </w:t>
      </w:r>
    </w:p>
    <w:p w14:paraId="3788675E" w14:textId="21A63BCC" w:rsidR="00B80DF7" w:rsidRDefault="00183D95" w:rsidP="0003670C">
      <w:pPr>
        <w:pStyle w:val="TableNBullet"/>
        <w:numPr>
          <w:ilvl w:val="0"/>
          <w:numId w:val="0"/>
        </w:numPr>
        <w:spacing w:after="120"/>
        <w:rPr>
          <w:sz w:val="19"/>
        </w:rPr>
      </w:pPr>
      <w:r>
        <w:rPr>
          <w:sz w:val="19"/>
        </w:rPr>
        <w:t>Some</w:t>
      </w:r>
      <w:r w:rsidR="00A111D0">
        <w:rPr>
          <w:sz w:val="19"/>
        </w:rPr>
        <w:t xml:space="preserve"> p</w:t>
      </w:r>
      <w:r w:rsidR="001029AB">
        <w:rPr>
          <w:sz w:val="19"/>
        </w:rPr>
        <w:t xml:space="preserve">arents of children enrolled in </w:t>
      </w:r>
      <w:r w:rsidR="003153FA">
        <w:rPr>
          <w:sz w:val="19"/>
        </w:rPr>
        <w:t xml:space="preserve">a </w:t>
      </w:r>
      <w:r w:rsidR="00DB511B">
        <w:rPr>
          <w:sz w:val="19"/>
        </w:rPr>
        <w:t xml:space="preserve">standalone </w:t>
      </w:r>
      <w:r w:rsidR="003153FA">
        <w:rPr>
          <w:sz w:val="19"/>
        </w:rPr>
        <w:t>preschool service</w:t>
      </w:r>
      <w:r w:rsidR="001029AB" w:rsidRPr="001029AB">
        <w:rPr>
          <w:sz w:val="19"/>
        </w:rPr>
        <w:t xml:space="preserve"> </w:t>
      </w:r>
      <w:r w:rsidR="001029AB">
        <w:rPr>
          <w:sz w:val="19"/>
        </w:rPr>
        <w:t>(operat</w:t>
      </w:r>
      <w:r w:rsidR="00844823">
        <w:rPr>
          <w:sz w:val="19"/>
        </w:rPr>
        <w:t xml:space="preserve">ing </w:t>
      </w:r>
      <w:r w:rsidR="001029AB">
        <w:rPr>
          <w:sz w:val="19"/>
        </w:rPr>
        <w:t>for 2.5 or 3 days per week) reported difficulty</w:t>
      </w:r>
      <w:r w:rsidR="001029AB" w:rsidRPr="001029AB">
        <w:rPr>
          <w:sz w:val="19"/>
        </w:rPr>
        <w:t xml:space="preserve"> </w:t>
      </w:r>
      <w:r w:rsidR="001029AB">
        <w:rPr>
          <w:sz w:val="19"/>
        </w:rPr>
        <w:t>accessing</w:t>
      </w:r>
      <w:r w:rsidR="001029AB" w:rsidRPr="001029AB">
        <w:rPr>
          <w:sz w:val="19"/>
        </w:rPr>
        <w:t xml:space="preserve"> </w:t>
      </w:r>
      <w:r w:rsidR="001029AB">
        <w:rPr>
          <w:sz w:val="19"/>
        </w:rPr>
        <w:t xml:space="preserve">wraparound care, </w:t>
      </w:r>
      <w:r w:rsidR="003153FA">
        <w:rPr>
          <w:sz w:val="19"/>
        </w:rPr>
        <w:t>or</w:t>
      </w:r>
      <w:r w:rsidR="001029AB">
        <w:rPr>
          <w:sz w:val="19"/>
        </w:rPr>
        <w:t xml:space="preserve"> found it challenging to manage the transition between </w:t>
      </w:r>
      <w:r w:rsidR="00A111D0">
        <w:rPr>
          <w:sz w:val="19"/>
        </w:rPr>
        <w:t>different providers</w:t>
      </w:r>
      <w:r w:rsidR="00A111D0" w:rsidRPr="00A111D0">
        <w:rPr>
          <w:sz w:val="19"/>
        </w:rPr>
        <w:t xml:space="preserve">. </w:t>
      </w:r>
      <w:r w:rsidR="003153FA">
        <w:rPr>
          <w:sz w:val="19"/>
        </w:rPr>
        <w:t>These concerns persist despite significant effort from</w:t>
      </w:r>
      <w:r w:rsidR="00A111D0">
        <w:rPr>
          <w:sz w:val="19"/>
        </w:rPr>
        <w:t xml:space="preserve"> providers and governments to promote seamless service provision. </w:t>
      </w:r>
      <w:r w:rsidR="003153FA">
        <w:rPr>
          <w:sz w:val="19"/>
        </w:rPr>
        <w:t>Strategies that have been implemented include</w:t>
      </w:r>
      <w:r w:rsidR="00844823">
        <w:rPr>
          <w:sz w:val="19"/>
        </w:rPr>
        <w:t>, for example, the co</w:t>
      </w:r>
      <w:r w:rsidR="003153FA">
        <w:rPr>
          <w:sz w:val="19"/>
        </w:rPr>
        <w:noBreakHyphen/>
      </w:r>
      <w:r w:rsidR="00844823">
        <w:rPr>
          <w:sz w:val="19"/>
        </w:rPr>
        <w:t xml:space="preserve">location of preschool and child care, or </w:t>
      </w:r>
      <w:r>
        <w:rPr>
          <w:sz w:val="19"/>
        </w:rPr>
        <w:t>the</w:t>
      </w:r>
      <w:r w:rsidR="00844823">
        <w:rPr>
          <w:sz w:val="19"/>
        </w:rPr>
        <w:t xml:space="preserve"> agreement by one provider to safely transport children to another.</w:t>
      </w:r>
    </w:p>
    <w:p w14:paraId="3651026F" w14:textId="77777777" w:rsidR="00D803D9" w:rsidRDefault="00042142" w:rsidP="00042142">
      <w:pPr>
        <w:pStyle w:val="TableNBullet"/>
        <w:numPr>
          <w:ilvl w:val="0"/>
          <w:numId w:val="0"/>
        </w:numPr>
        <w:spacing w:after="120"/>
        <w:rPr>
          <w:sz w:val="19"/>
        </w:rPr>
      </w:pPr>
      <w:r>
        <w:rPr>
          <w:sz w:val="19"/>
        </w:rPr>
        <w:t xml:space="preserve">In some instances, funding and regulatory arrangements can </w:t>
      </w:r>
      <w:r w:rsidRPr="00A111D0">
        <w:rPr>
          <w:sz w:val="19"/>
        </w:rPr>
        <w:t xml:space="preserve">prevent the practical integration of services </w:t>
      </w:r>
      <w:r>
        <w:rPr>
          <w:sz w:val="19"/>
        </w:rPr>
        <w:t>for preschool-aged children</w:t>
      </w:r>
      <w:r w:rsidRPr="00A111D0">
        <w:rPr>
          <w:sz w:val="19"/>
        </w:rPr>
        <w:t>.</w:t>
      </w:r>
      <w:r>
        <w:rPr>
          <w:sz w:val="19"/>
        </w:rPr>
        <w:t xml:space="preserve"> </w:t>
      </w:r>
    </w:p>
    <w:p w14:paraId="3663A63B" w14:textId="44576E33" w:rsidR="00042142" w:rsidRDefault="00042142" w:rsidP="00042142">
      <w:pPr>
        <w:pStyle w:val="TableNBullet"/>
        <w:numPr>
          <w:ilvl w:val="0"/>
          <w:numId w:val="0"/>
        </w:numPr>
        <w:spacing w:after="120"/>
        <w:rPr>
          <w:sz w:val="19"/>
        </w:rPr>
      </w:pPr>
      <w:r>
        <w:rPr>
          <w:sz w:val="19"/>
        </w:rPr>
        <w:t xml:space="preserve">For example, </w:t>
      </w:r>
      <w:r w:rsidRPr="00B80DF7">
        <w:rPr>
          <w:sz w:val="19"/>
        </w:rPr>
        <w:t>service</w:t>
      </w:r>
      <w:r>
        <w:rPr>
          <w:sz w:val="19"/>
        </w:rPr>
        <w:t>s</w:t>
      </w:r>
      <w:r w:rsidRPr="00B80DF7">
        <w:rPr>
          <w:sz w:val="19"/>
        </w:rPr>
        <w:t xml:space="preserve"> that primarily provide</w:t>
      </w:r>
      <w:r>
        <w:rPr>
          <w:sz w:val="19"/>
        </w:rPr>
        <w:t xml:space="preserve"> preschool are not eligible for CCS.</w:t>
      </w:r>
      <w:r>
        <w:rPr>
          <w:rStyle w:val="FootnoteReference"/>
          <w:sz w:val="19"/>
        </w:rPr>
        <w:footnoteReference w:id="68"/>
      </w:r>
      <w:r>
        <w:rPr>
          <w:sz w:val="19"/>
        </w:rPr>
        <w:t xml:space="preserve"> (This reflects the intent of CCS to </w:t>
      </w:r>
      <w:r w:rsidRPr="00B80DF7">
        <w:rPr>
          <w:sz w:val="19"/>
        </w:rPr>
        <w:t>assist families with child care costs</w:t>
      </w:r>
      <w:r>
        <w:rPr>
          <w:sz w:val="19"/>
        </w:rPr>
        <w:t xml:space="preserve">.) Further, out of school hours care (OSHC) services </w:t>
      </w:r>
      <w:r w:rsidRPr="00B036C9">
        <w:rPr>
          <w:sz w:val="19"/>
        </w:rPr>
        <w:t xml:space="preserve">must </w:t>
      </w:r>
      <w:r>
        <w:rPr>
          <w:sz w:val="19"/>
        </w:rPr>
        <w:t>primarily</w:t>
      </w:r>
      <w:r w:rsidRPr="00B036C9">
        <w:rPr>
          <w:sz w:val="19"/>
        </w:rPr>
        <w:t xml:space="preserve"> provide care to </w:t>
      </w:r>
      <w:r>
        <w:rPr>
          <w:sz w:val="19"/>
        </w:rPr>
        <w:t xml:space="preserve">children who attend </w:t>
      </w:r>
      <w:r w:rsidR="000560E9">
        <w:rPr>
          <w:sz w:val="19"/>
        </w:rPr>
        <w:t xml:space="preserve">full-time </w:t>
      </w:r>
      <w:r>
        <w:rPr>
          <w:sz w:val="19"/>
        </w:rPr>
        <w:t>school.</w:t>
      </w:r>
      <w:r>
        <w:rPr>
          <w:rStyle w:val="FootnoteReference"/>
          <w:sz w:val="19"/>
        </w:rPr>
        <w:footnoteReference w:id="69"/>
      </w:r>
      <w:r>
        <w:rPr>
          <w:sz w:val="19"/>
        </w:rPr>
        <w:t xml:space="preserve"> T</w:t>
      </w:r>
      <w:r w:rsidRPr="00A111D0">
        <w:rPr>
          <w:sz w:val="19"/>
        </w:rPr>
        <w:t xml:space="preserve">he Review </w:t>
      </w:r>
      <w:r>
        <w:rPr>
          <w:sz w:val="19"/>
        </w:rPr>
        <w:t xml:space="preserve">understands that </w:t>
      </w:r>
      <w:r w:rsidR="008339EA">
        <w:rPr>
          <w:sz w:val="19"/>
        </w:rPr>
        <w:t xml:space="preserve">certain </w:t>
      </w:r>
      <w:r>
        <w:rPr>
          <w:sz w:val="19"/>
        </w:rPr>
        <w:t xml:space="preserve">allowances </w:t>
      </w:r>
      <w:r w:rsidR="008339EA">
        <w:rPr>
          <w:sz w:val="19"/>
        </w:rPr>
        <w:t xml:space="preserve">have been </w:t>
      </w:r>
      <w:r>
        <w:rPr>
          <w:sz w:val="19"/>
        </w:rPr>
        <w:t xml:space="preserve">made so that preschool children can attend OSHC services on-site or in a nearby location (with transport or escort services provided). However, in some cases, standalone preschools want to provide partial-day care themselves to avoid a situation where parents choose a full-day of child care (without a preschool program) in preference to a half-day of preschool, due to the lack of </w:t>
      </w:r>
      <w:r w:rsidR="008339EA">
        <w:rPr>
          <w:sz w:val="19"/>
        </w:rPr>
        <w:t>wraparound,</w:t>
      </w:r>
      <w:r>
        <w:rPr>
          <w:sz w:val="19"/>
        </w:rPr>
        <w:t xml:space="preserve"> childcare arrangements. The contention is that the children of these parents are not accessing the full 15 hours per week, but would if the half-day preschool could </w:t>
      </w:r>
      <w:r w:rsidR="00627150">
        <w:rPr>
          <w:sz w:val="19"/>
        </w:rPr>
        <w:t xml:space="preserve">offer </w:t>
      </w:r>
      <w:r>
        <w:rPr>
          <w:sz w:val="19"/>
        </w:rPr>
        <w:t>CCS</w:t>
      </w:r>
      <w:r w:rsidR="00627150">
        <w:rPr>
          <w:sz w:val="19"/>
        </w:rPr>
        <w:t xml:space="preserve"> eligible </w:t>
      </w:r>
      <w:proofErr w:type="gramStart"/>
      <w:r w:rsidR="00627150">
        <w:rPr>
          <w:sz w:val="19"/>
        </w:rPr>
        <w:t>child care</w:t>
      </w:r>
      <w:proofErr w:type="gramEnd"/>
      <w:r>
        <w:rPr>
          <w:sz w:val="19"/>
        </w:rPr>
        <w:t xml:space="preserve">. </w:t>
      </w:r>
      <w:r w:rsidR="00A129BF" w:rsidRPr="00A129BF">
        <w:rPr>
          <w:sz w:val="19"/>
        </w:rPr>
        <w:t>A more general point is made in this and similar context</w:t>
      </w:r>
      <w:r w:rsidR="00B25A45">
        <w:rPr>
          <w:sz w:val="19"/>
        </w:rPr>
        <w:t>s:</w:t>
      </w:r>
      <w:r w:rsidR="00A129BF" w:rsidRPr="00A129BF">
        <w:rPr>
          <w:sz w:val="19"/>
        </w:rPr>
        <w:t xml:space="preserve"> parents are being inconvenienced in their ability to access the preschool programs that best align with their child’s need. While this is not a universal issue, with some government preschools having well-developed co-location arrangements with CBDC providers, it is of concern in at least two jurisdictions. </w:t>
      </w:r>
    </w:p>
    <w:p w14:paraId="022A9B84" w14:textId="22D598BA" w:rsidR="00AF280E" w:rsidRDefault="00AF280E" w:rsidP="00AF280E">
      <w:pPr>
        <w:pStyle w:val="TableNBullet"/>
        <w:numPr>
          <w:ilvl w:val="0"/>
          <w:numId w:val="0"/>
        </w:numPr>
        <w:spacing w:after="120"/>
        <w:rPr>
          <w:sz w:val="19"/>
        </w:rPr>
      </w:pPr>
      <w:bookmarkStart w:id="165" w:name="_Hlk32572538"/>
      <w:r>
        <w:rPr>
          <w:sz w:val="19"/>
        </w:rPr>
        <w:t xml:space="preserve">The problem is that they cannot apply to be </w:t>
      </w:r>
      <w:r w:rsidR="00627150">
        <w:rPr>
          <w:sz w:val="19"/>
        </w:rPr>
        <w:t xml:space="preserve">an </w:t>
      </w:r>
      <w:r>
        <w:rPr>
          <w:sz w:val="19"/>
        </w:rPr>
        <w:t>OS</w:t>
      </w:r>
      <w:r w:rsidR="00627150">
        <w:rPr>
          <w:sz w:val="19"/>
        </w:rPr>
        <w:t>H</w:t>
      </w:r>
      <w:r>
        <w:rPr>
          <w:sz w:val="19"/>
        </w:rPr>
        <w:t xml:space="preserve">C provider, given the requirement that most children in those services are expected to be of school age. </w:t>
      </w:r>
      <w:bookmarkStart w:id="166" w:name="_Hlk32572510"/>
      <w:bookmarkEnd w:id="165"/>
      <w:r>
        <w:rPr>
          <w:sz w:val="19"/>
        </w:rPr>
        <w:t>Neither can they apply to be CBDC services because they would normally operate during the school year</w:t>
      </w:r>
      <w:r w:rsidR="00627150">
        <w:rPr>
          <w:sz w:val="19"/>
        </w:rPr>
        <w:t xml:space="preserve"> (</w:t>
      </w:r>
      <w:r>
        <w:rPr>
          <w:sz w:val="19"/>
        </w:rPr>
        <w:t>not for the requisite 48-week minimum</w:t>
      </w:r>
      <w:r w:rsidR="00F1776E">
        <w:rPr>
          <w:rStyle w:val="FootnoteReference"/>
          <w:sz w:val="19"/>
        </w:rPr>
        <w:footnoteReference w:id="70"/>
      </w:r>
      <w:r w:rsidR="00627150">
        <w:rPr>
          <w:sz w:val="19"/>
        </w:rPr>
        <w:t>) and the child care component would not be the primary service</w:t>
      </w:r>
      <w:r>
        <w:rPr>
          <w:sz w:val="19"/>
        </w:rPr>
        <w:t>.</w:t>
      </w:r>
      <w:r w:rsidR="00627150">
        <w:rPr>
          <w:rStyle w:val="FootnoteReference"/>
          <w:sz w:val="19"/>
        </w:rPr>
        <w:footnoteReference w:id="71"/>
      </w:r>
      <w:r>
        <w:rPr>
          <w:sz w:val="19"/>
        </w:rPr>
        <w:t xml:space="preserve"> </w:t>
      </w:r>
      <w:bookmarkEnd w:id="166"/>
    </w:p>
    <w:p w14:paraId="5BC9D394" w14:textId="07E9FBAF" w:rsidR="00A34243" w:rsidRPr="00A50A5B" w:rsidRDefault="00A34243" w:rsidP="00A34243">
      <w:r>
        <w:t>The Review finds that</w:t>
      </w:r>
      <w:r w:rsidR="00517581">
        <w:t>, in such cases,</w:t>
      </w:r>
      <w:r>
        <w:t xml:space="preserve"> a market response </w:t>
      </w:r>
      <w:r w:rsidR="00517581">
        <w:t>is preferable to a regulatory change that might trigger unintended consequences. (</w:t>
      </w:r>
      <w:r>
        <w:t>For example, preschools could change their rosters, enter into partnerships with OS</w:t>
      </w:r>
      <w:r w:rsidR="00355B19">
        <w:t>H</w:t>
      </w:r>
      <w:r>
        <w:t xml:space="preserve">C </w:t>
      </w:r>
      <w:r w:rsidR="00AF280E">
        <w:t xml:space="preserve">or CBDC </w:t>
      </w:r>
      <w:r>
        <w:t>providers, or adopt a different business model whereby they establish an ancillary business that offers child care services to a broader group of children</w:t>
      </w:r>
      <w:r w:rsidR="008339EA">
        <w:t xml:space="preserve"> over a longer period</w:t>
      </w:r>
      <w:r>
        <w:t>.</w:t>
      </w:r>
      <w:r w:rsidR="00517581">
        <w:t>)</w:t>
      </w:r>
      <w:r w:rsidR="00E70FEB">
        <w:t xml:space="preserve"> </w:t>
      </w:r>
      <w:r w:rsidR="00D803D9">
        <w:t>However, s</w:t>
      </w:r>
      <w:r w:rsidR="00E70FEB">
        <w:t xml:space="preserve">uch a market response may be challenging in some cases, </w:t>
      </w:r>
      <w:r w:rsidR="008339EA">
        <w:t>especially</w:t>
      </w:r>
      <w:r w:rsidR="00E70FEB">
        <w:t xml:space="preserve"> in thin markets </w:t>
      </w:r>
      <w:r w:rsidR="000A241F">
        <w:t>(</w:t>
      </w:r>
      <w:r w:rsidR="00517581">
        <w:t>including</w:t>
      </w:r>
      <w:r w:rsidR="00517581" w:rsidDel="00FB02D9">
        <w:t xml:space="preserve"> </w:t>
      </w:r>
      <w:r w:rsidR="00517581">
        <w:t>in</w:t>
      </w:r>
      <w:r w:rsidR="000A241F">
        <w:t xml:space="preserve"> rural and remote areas</w:t>
      </w:r>
      <w:r w:rsidR="008F5A88">
        <w:t>)</w:t>
      </w:r>
      <w:r w:rsidR="00E70FEB">
        <w:t>.</w:t>
      </w:r>
      <w:r>
        <w:t xml:space="preserve"> </w:t>
      </w:r>
      <w:r w:rsidR="008464A8">
        <w:t xml:space="preserve">Further, the current policy settings have been in place for some time now and the market has not responded accordingly. </w:t>
      </w:r>
      <w:r w:rsidR="008339EA">
        <w:t xml:space="preserve">The </w:t>
      </w:r>
      <w:r w:rsidR="00517581">
        <w:t xml:space="preserve">next-best option, therefore, is to </w:t>
      </w:r>
      <w:r w:rsidR="000A241F">
        <w:t xml:space="preserve">seek a </w:t>
      </w:r>
      <w:bookmarkStart w:id="167" w:name="_Hlk32572481"/>
      <w:r w:rsidR="00F1776E">
        <w:t>regulatory change</w:t>
      </w:r>
      <w:r w:rsidR="000A241F">
        <w:t xml:space="preserve"> </w:t>
      </w:r>
      <w:bookmarkEnd w:id="167"/>
      <w:r w:rsidR="000A241F">
        <w:t>from the Australian Government</w:t>
      </w:r>
      <w:r w:rsidR="008339EA">
        <w:t xml:space="preserve"> to allow standalone preschools to </w:t>
      </w:r>
      <w:r w:rsidR="00DE08B0">
        <w:t>register as</w:t>
      </w:r>
      <w:r w:rsidR="008339EA">
        <w:t xml:space="preserve"> child</w:t>
      </w:r>
      <w:r w:rsidR="00DE08B0">
        <w:t xml:space="preserve">care </w:t>
      </w:r>
      <w:r w:rsidR="00517581">
        <w:t xml:space="preserve">providers for the purposes of providing wraparound care in specified </w:t>
      </w:r>
      <w:r w:rsidR="008E74D8">
        <w:t>situations</w:t>
      </w:r>
      <w:r w:rsidR="00517581">
        <w:t>. This is an option best pursued bilaterally in the first instance, given the unique circumstances of each jurisdiction.</w:t>
      </w:r>
      <w:r w:rsidR="00712377">
        <w:t xml:space="preserve"> </w:t>
      </w:r>
    </w:p>
    <w:bookmarkEnd w:id="164"/>
    <w:p w14:paraId="08A5C059" w14:textId="2B96E4FC" w:rsidR="005376CD" w:rsidRDefault="00183D95" w:rsidP="0003670C">
      <w:r>
        <w:lastRenderedPageBreak/>
        <w:t>Some CBDC providers</w:t>
      </w:r>
      <w:r w:rsidR="00A111D0" w:rsidRPr="00A111D0">
        <w:t xml:space="preserve"> noted </w:t>
      </w:r>
      <w:r w:rsidR="00001A24">
        <w:t>the difference</w:t>
      </w:r>
      <w:r w:rsidR="00A111D0" w:rsidRPr="00A111D0">
        <w:t xml:space="preserve"> in</w:t>
      </w:r>
      <w:r w:rsidR="00844823">
        <w:t xml:space="preserve"> the out-of-pocket costs associated with preschool programs in CBDC and in other settings</w:t>
      </w:r>
      <w:r w:rsidR="00A111D0" w:rsidRPr="00A111D0">
        <w:t xml:space="preserve"> </w:t>
      </w:r>
      <w:r w:rsidR="005200E5">
        <w:t>can</w:t>
      </w:r>
      <w:r w:rsidR="00A111D0" w:rsidRPr="00A111D0">
        <w:t xml:space="preserve"> </w:t>
      </w:r>
      <w:r w:rsidR="00001A24">
        <w:t>influence</w:t>
      </w:r>
      <w:r w:rsidR="00001A24" w:rsidRPr="00A111D0">
        <w:t xml:space="preserve"> </w:t>
      </w:r>
      <w:r w:rsidR="00A111D0" w:rsidRPr="00A111D0">
        <w:t xml:space="preserve">parents’ decisions. </w:t>
      </w:r>
      <w:r w:rsidR="008E3B7F">
        <w:t xml:space="preserve">The share of public funding available to different preschool provider types (standalone, </w:t>
      </w:r>
      <w:proofErr w:type="gramStart"/>
      <w:r w:rsidR="008E3B7F">
        <w:t>school-based</w:t>
      </w:r>
      <w:proofErr w:type="gramEnd"/>
      <w:r w:rsidR="008E3B7F">
        <w:t xml:space="preserve"> and CBDC) varies by jurisdiction (see </w:t>
      </w:r>
      <w:r w:rsidR="00BC121A">
        <w:t>Chapter</w:t>
      </w:r>
      <w:r w:rsidR="009E1BD6" w:rsidDel="00D81021">
        <w:t> </w:t>
      </w:r>
      <w:r w:rsidR="008E3B7F">
        <w:t>2</w:t>
      </w:r>
      <w:r w:rsidR="007327C1">
        <w:t>.4</w:t>
      </w:r>
      <w:r w:rsidR="008E3B7F">
        <w:t xml:space="preserve">). </w:t>
      </w:r>
      <w:r w:rsidR="003153FA">
        <w:t>T</w:t>
      </w:r>
      <w:r w:rsidR="008E3B7F">
        <w:t>his contributes</w:t>
      </w:r>
      <w:r w:rsidR="003153FA">
        <w:t xml:space="preserve"> </w:t>
      </w:r>
      <w:r w:rsidR="008E3B7F">
        <w:t xml:space="preserve">to a wide </w:t>
      </w:r>
      <w:r w:rsidR="005200E5">
        <w:t>contrast</w:t>
      </w:r>
      <w:r w:rsidR="008E3B7F">
        <w:t xml:space="preserve"> in the </w:t>
      </w:r>
      <w:r w:rsidR="005200E5">
        <w:t>expenses</w:t>
      </w:r>
      <w:r w:rsidR="008E3B7F">
        <w:t xml:space="preserve"> </w:t>
      </w:r>
      <w:r w:rsidR="005200E5">
        <w:t>associated with</w:t>
      </w:r>
      <w:r w:rsidR="008E3B7F">
        <w:t xml:space="preserve"> different preschool programs. Nationally,</w:t>
      </w:r>
      <w:r w:rsidR="008E3B7F" w:rsidRPr="00DC41C3">
        <w:t xml:space="preserve"> 94 per cent of parents using CBDC incur out-of-pocket costs,</w:t>
      </w:r>
      <w:r w:rsidR="008E3B7F" w:rsidRPr="00DC41C3">
        <w:rPr>
          <w:rStyle w:val="FootnoteReference"/>
        </w:rPr>
        <w:footnoteReference w:id="72"/>
      </w:r>
      <w:r w:rsidR="008E3B7F" w:rsidRPr="00DC41C3">
        <w:t xml:space="preserve"> while over 80 per cent of government school-based preschools are free from compulsory fees. T</w:t>
      </w:r>
      <w:r w:rsidR="00D37F6E">
        <w:t xml:space="preserve">his is illustrated in </w:t>
      </w:r>
      <w:r w:rsidR="00316C88">
        <w:fldChar w:fldCharType="begin"/>
      </w:r>
      <w:r w:rsidR="00316C88">
        <w:instrText xml:space="preserve"> REF _Ref24127860 \h </w:instrText>
      </w:r>
      <w:r w:rsidR="00316C88">
        <w:fldChar w:fldCharType="separate"/>
      </w:r>
      <w:r w:rsidR="00B37785">
        <w:t xml:space="preserve">Figure </w:t>
      </w:r>
      <w:r w:rsidR="00B37785">
        <w:rPr>
          <w:noProof/>
        </w:rPr>
        <w:t>18</w:t>
      </w:r>
      <w:r w:rsidR="00316C88">
        <w:fldChar w:fldCharType="end"/>
      </w:r>
      <w:r w:rsidR="00D37F6E">
        <w:t>.</w:t>
      </w:r>
      <w:r w:rsidR="008E3B7F" w:rsidRPr="00DC41C3">
        <w:t xml:space="preserve"> </w:t>
      </w:r>
      <w:r w:rsidR="005376CD">
        <w:br w:type="page"/>
      </w:r>
    </w:p>
    <w:p w14:paraId="3AACB26E" w14:textId="422A0586" w:rsidR="00DC41C3" w:rsidRDefault="00DC41C3" w:rsidP="00DC41C3">
      <w:pPr>
        <w:pStyle w:val="Caption"/>
      </w:pPr>
      <w:bookmarkStart w:id="168" w:name="_Ref24127860"/>
      <w:bookmarkEnd w:id="163"/>
      <w:r>
        <w:lastRenderedPageBreak/>
        <w:t xml:space="preserve">Figure </w:t>
      </w:r>
      <w:r w:rsidR="00B76790">
        <w:fldChar w:fldCharType="begin"/>
      </w:r>
      <w:r w:rsidR="00B76790">
        <w:instrText xml:space="preserve"> SEQ Figure \* ARABIC </w:instrText>
      </w:r>
      <w:r w:rsidR="00B76790">
        <w:fldChar w:fldCharType="separate"/>
      </w:r>
      <w:r w:rsidR="00B37785">
        <w:rPr>
          <w:noProof/>
        </w:rPr>
        <w:t>18</w:t>
      </w:r>
      <w:r w:rsidR="00B76790">
        <w:fldChar w:fldCharType="end"/>
      </w:r>
      <w:bookmarkEnd w:id="168"/>
      <w:r>
        <w:t xml:space="preserve"> | </w:t>
      </w:r>
      <w:r w:rsidRPr="00226F6C">
        <w:t xml:space="preserve">Hourly fees </w:t>
      </w:r>
      <w:r>
        <w:t xml:space="preserve">vary </w:t>
      </w:r>
      <w:r w:rsidRPr="00226F6C">
        <w:t>by service delivery type</w:t>
      </w:r>
      <w:r>
        <w:rPr>
          <w:rStyle w:val="FootnoteReference"/>
        </w:rPr>
        <w:footnoteReference w:id="73"/>
      </w:r>
    </w:p>
    <w:p w14:paraId="2F4AC372" w14:textId="77777777" w:rsidR="00DC41C3" w:rsidRDefault="00DC41C3" w:rsidP="00DC41C3">
      <w:pPr>
        <w:pStyle w:val="Bullet"/>
        <w:jc w:val="center"/>
      </w:pPr>
      <w:r w:rsidRPr="002658B2">
        <w:rPr>
          <w:noProof/>
        </w:rPr>
        <w:drawing>
          <wp:inline distT="0" distB="0" distL="0" distR="0" wp14:anchorId="0DA011A1" wp14:editId="25BDE44C">
            <wp:extent cx="5670550" cy="3073400"/>
            <wp:effectExtent l="0" t="0" r="6350" b="0"/>
            <wp:docPr id="16" name="Picture 16" descr="Graph showing the hourly fees by service delivery type by different pric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the hourly fees by service delivery type by different price bracke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0550" cy="3073400"/>
                    </a:xfrm>
                    <a:prstGeom prst="rect">
                      <a:avLst/>
                    </a:prstGeom>
                    <a:solidFill>
                      <a:schemeClr val="accent5"/>
                    </a:solidFill>
                    <a:ln>
                      <a:noFill/>
                    </a:ln>
                  </pic:spPr>
                </pic:pic>
              </a:graphicData>
            </a:graphic>
          </wp:inline>
        </w:drawing>
      </w:r>
    </w:p>
    <w:tbl>
      <w:tblPr>
        <w:tblStyle w:val="NousTableTopandside"/>
        <w:tblW w:w="0" w:type="auto"/>
        <w:tblLook w:val="04A0" w:firstRow="1" w:lastRow="0" w:firstColumn="1" w:lastColumn="0" w:noHBand="0" w:noVBand="1"/>
      </w:tblPr>
      <w:tblGrid>
        <w:gridCol w:w="851"/>
        <w:gridCol w:w="1807"/>
        <w:gridCol w:w="1807"/>
        <w:gridCol w:w="1807"/>
        <w:gridCol w:w="1808"/>
        <w:gridCol w:w="850"/>
      </w:tblGrid>
      <w:tr w:rsidR="00DC41C3" w14:paraId="4AA85914" w14:textId="77777777" w:rsidTr="007A6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right w:val="none" w:sz="0" w:space="0" w:color="auto"/>
            </w:tcBorders>
            <w:vAlign w:val="bottom"/>
          </w:tcPr>
          <w:p w14:paraId="6238C3A1"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Hourly fees</w:t>
            </w:r>
          </w:p>
        </w:tc>
        <w:tc>
          <w:tcPr>
            <w:tcW w:w="1807" w:type="dxa"/>
            <w:tcBorders>
              <w:top w:val="none" w:sz="0" w:space="0" w:color="auto"/>
              <w:left w:val="none" w:sz="0" w:space="0" w:color="auto"/>
              <w:right w:val="none" w:sz="0" w:space="0" w:color="auto"/>
            </w:tcBorders>
            <w:vAlign w:val="top"/>
          </w:tcPr>
          <w:p w14:paraId="36B5E1D0" w14:textId="77777777" w:rsidR="00DC41C3" w:rsidRDefault="00DC41C3" w:rsidP="007A65AC">
            <w:pPr>
              <w:pStyle w:val="TableNText"/>
              <w:spacing w:before="0" w:after="0"/>
              <w:cnfStyle w:val="100000000000" w:firstRow="1" w:lastRow="0" w:firstColumn="0" w:lastColumn="0" w:oddVBand="0" w:evenVBand="0" w:oddHBand="0" w:evenHBand="0" w:firstRowFirstColumn="0" w:firstRowLastColumn="0" w:lastRowFirstColumn="0" w:lastRowLastColumn="0"/>
            </w:pPr>
            <w:r w:rsidRPr="0C5679B2">
              <w:rPr>
                <w:rFonts w:asciiTheme="majorHAnsi" w:hAnsiTheme="majorHAnsi" w:cstheme="majorBidi"/>
              </w:rPr>
              <w:t>Government preschool</w:t>
            </w:r>
          </w:p>
        </w:tc>
        <w:tc>
          <w:tcPr>
            <w:tcW w:w="1807" w:type="dxa"/>
            <w:tcBorders>
              <w:top w:val="none" w:sz="0" w:space="0" w:color="auto"/>
              <w:left w:val="none" w:sz="0" w:space="0" w:color="auto"/>
              <w:right w:val="none" w:sz="0" w:space="0" w:color="auto"/>
            </w:tcBorders>
            <w:vAlign w:val="top"/>
          </w:tcPr>
          <w:p w14:paraId="7AA4B8BC" w14:textId="77777777" w:rsidR="00DC41C3" w:rsidRDefault="00DC41C3" w:rsidP="007A65AC">
            <w:pPr>
              <w:pStyle w:val="TableNText"/>
              <w:spacing w:before="0" w:after="0"/>
              <w:cnfStyle w:val="100000000000" w:firstRow="1" w:lastRow="0" w:firstColumn="0" w:lastColumn="0" w:oddVBand="0" w:evenVBand="0" w:oddHBand="0" w:evenHBand="0" w:firstRowFirstColumn="0" w:firstRowLastColumn="0" w:lastRowFirstColumn="0" w:lastRowLastColumn="0"/>
            </w:pPr>
            <w:r w:rsidRPr="0C5679B2">
              <w:rPr>
                <w:rFonts w:asciiTheme="majorHAnsi" w:hAnsiTheme="majorHAnsi" w:cstheme="majorBidi"/>
              </w:rPr>
              <w:t>Non-government preschool</w:t>
            </w:r>
          </w:p>
        </w:tc>
        <w:tc>
          <w:tcPr>
            <w:tcW w:w="1807" w:type="dxa"/>
            <w:tcBorders>
              <w:top w:val="none" w:sz="0" w:space="0" w:color="auto"/>
              <w:left w:val="none" w:sz="0" w:space="0" w:color="auto"/>
              <w:right w:val="none" w:sz="0" w:space="0" w:color="auto"/>
            </w:tcBorders>
            <w:vAlign w:val="bottom"/>
          </w:tcPr>
          <w:p w14:paraId="1C4FEBC6" w14:textId="77777777" w:rsidR="00DC41C3" w:rsidRDefault="00DC41C3" w:rsidP="007A65AC">
            <w:pPr>
              <w:pStyle w:val="TableNText"/>
              <w:spacing w:before="0" w:after="0"/>
              <w:cnfStyle w:val="100000000000" w:firstRow="1" w:lastRow="0" w:firstColumn="0" w:lastColumn="0" w:oddVBand="0" w:evenVBand="0" w:oddHBand="0" w:evenHBand="0" w:firstRowFirstColumn="0" w:firstRowLastColumn="0" w:lastRowFirstColumn="0" w:lastRowLastColumn="0"/>
            </w:pPr>
            <w:r w:rsidRPr="0C5679B2">
              <w:rPr>
                <w:rFonts w:asciiTheme="majorHAnsi" w:hAnsiTheme="majorHAnsi" w:cstheme="majorBidi"/>
              </w:rPr>
              <w:t>Preschool program within government CBDC</w:t>
            </w:r>
          </w:p>
        </w:tc>
        <w:tc>
          <w:tcPr>
            <w:tcW w:w="1808" w:type="dxa"/>
            <w:tcBorders>
              <w:top w:val="none" w:sz="0" w:space="0" w:color="auto"/>
              <w:left w:val="none" w:sz="0" w:space="0" w:color="auto"/>
              <w:right w:val="none" w:sz="0" w:space="0" w:color="auto"/>
            </w:tcBorders>
            <w:vAlign w:val="bottom"/>
          </w:tcPr>
          <w:p w14:paraId="4114DEED" w14:textId="77777777" w:rsidR="00DC41C3" w:rsidRDefault="00DC41C3" w:rsidP="007A65AC">
            <w:pPr>
              <w:pStyle w:val="TableNText"/>
              <w:spacing w:before="0" w:after="0"/>
              <w:cnfStyle w:val="100000000000" w:firstRow="1" w:lastRow="0" w:firstColumn="0" w:lastColumn="0" w:oddVBand="0" w:evenVBand="0" w:oddHBand="0" w:evenHBand="0" w:firstRowFirstColumn="0" w:firstRowLastColumn="0" w:lastRowFirstColumn="0" w:lastRowLastColumn="0"/>
            </w:pPr>
            <w:r w:rsidRPr="0C5679B2">
              <w:rPr>
                <w:rFonts w:asciiTheme="majorHAnsi" w:hAnsiTheme="majorHAnsi" w:cstheme="majorBidi"/>
              </w:rPr>
              <w:t>Preschool programs within non-government CBDC</w:t>
            </w:r>
          </w:p>
        </w:tc>
        <w:tc>
          <w:tcPr>
            <w:tcW w:w="850" w:type="dxa"/>
            <w:tcBorders>
              <w:top w:val="none" w:sz="0" w:space="0" w:color="auto"/>
              <w:left w:val="none" w:sz="0" w:space="0" w:color="auto"/>
            </w:tcBorders>
            <w:vAlign w:val="bottom"/>
          </w:tcPr>
          <w:p w14:paraId="58B8F553" w14:textId="77777777" w:rsidR="00DC41C3" w:rsidRDefault="00DC41C3" w:rsidP="007A65AC">
            <w:pPr>
              <w:pStyle w:val="TableNText"/>
              <w:spacing w:before="0" w:after="0"/>
              <w:cnfStyle w:val="100000000000" w:firstRow="1" w:lastRow="0" w:firstColumn="0" w:lastColumn="0" w:oddVBand="0" w:evenVBand="0" w:oddHBand="0" w:evenHBand="0" w:firstRowFirstColumn="0" w:firstRowLastColumn="0" w:lastRowFirstColumn="0" w:lastRowLastColumn="0"/>
            </w:pPr>
            <w:r w:rsidRPr="0C5679B2">
              <w:rPr>
                <w:rFonts w:asciiTheme="majorHAnsi" w:hAnsiTheme="majorHAnsi" w:cstheme="majorBidi"/>
              </w:rPr>
              <w:t>All</w:t>
            </w:r>
          </w:p>
        </w:tc>
      </w:tr>
      <w:tr w:rsidR="00DC41C3" w14:paraId="3565B3C9"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376E2BA2"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$0</w:t>
            </w:r>
          </w:p>
        </w:tc>
        <w:tc>
          <w:tcPr>
            <w:tcW w:w="1807" w:type="dxa"/>
          </w:tcPr>
          <w:p w14:paraId="188CB7C0"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82%</w:t>
            </w:r>
          </w:p>
        </w:tc>
        <w:tc>
          <w:tcPr>
            <w:tcW w:w="1807" w:type="dxa"/>
          </w:tcPr>
          <w:p w14:paraId="697208AE"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21%</w:t>
            </w:r>
          </w:p>
        </w:tc>
        <w:tc>
          <w:tcPr>
            <w:tcW w:w="1807" w:type="dxa"/>
          </w:tcPr>
          <w:p w14:paraId="56C3E36F"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26%</w:t>
            </w:r>
          </w:p>
        </w:tc>
        <w:tc>
          <w:tcPr>
            <w:tcW w:w="1808" w:type="dxa"/>
          </w:tcPr>
          <w:p w14:paraId="33F90C91"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5%</w:t>
            </w:r>
          </w:p>
        </w:tc>
        <w:tc>
          <w:tcPr>
            <w:tcW w:w="850" w:type="dxa"/>
          </w:tcPr>
          <w:p w14:paraId="7463D816"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22%</w:t>
            </w:r>
          </w:p>
        </w:tc>
      </w:tr>
      <w:tr w:rsidR="00DC41C3" w14:paraId="076BC55A"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19AF0029"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$1-$4</w:t>
            </w:r>
          </w:p>
        </w:tc>
        <w:tc>
          <w:tcPr>
            <w:tcW w:w="1807" w:type="dxa"/>
          </w:tcPr>
          <w:p w14:paraId="69A5EC13"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16%</w:t>
            </w:r>
          </w:p>
        </w:tc>
        <w:tc>
          <w:tcPr>
            <w:tcW w:w="1807" w:type="dxa"/>
          </w:tcPr>
          <w:p w14:paraId="1D5E842C"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52%</w:t>
            </w:r>
          </w:p>
        </w:tc>
        <w:tc>
          <w:tcPr>
            <w:tcW w:w="1807" w:type="dxa"/>
          </w:tcPr>
          <w:p w14:paraId="4E015BB5"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54%</w:t>
            </w:r>
          </w:p>
        </w:tc>
        <w:tc>
          <w:tcPr>
            <w:tcW w:w="1808" w:type="dxa"/>
          </w:tcPr>
          <w:p w14:paraId="252812C9"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58%</w:t>
            </w:r>
          </w:p>
        </w:tc>
        <w:tc>
          <w:tcPr>
            <w:tcW w:w="850" w:type="dxa"/>
          </w:tcPr>
          <w:p w14:paraId="0D656F4E"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51%</w:t>
            </w:r>
          </w:p>
        </w:tc>
      </w:tr>
      <w:tr w:rsidR="00DC41C3" w14:paraId="4D11678D"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4C7EC225"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$5-$9</w:t>
            </w:r>
          </w:p>
        </w:tc>
        <w:tc>
          <w:tcPr>
            <w:tcW w:w="1807" w:type="dxa"/>
          </w:tcPr>
          <w:p w14:paraId="35EAE4FA"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w:t>
            </w:r>
          </w:p>
        </w:tc>
        <w:tc>
          <w:tcPr>
            <w:tcW w:w="1807" w:type="dxa"/>
          </w:tcPr>
          <w:p w14:paraId="0F5F1501"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24%</w:t>
            </w:r>
          </w:p>
        </w:tc>
        <w:tc>
          <w:tcPr>
            <w:tcW w:w="1807" w:type="dxa"/>
          </w:tcPr>
          <w:p w14:paraId="4DB57418"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16%</w:t>
            </w:r>
          </w:p>
        </w:tc>
        <w:tc>
          <w:tcPr>
            <w:tcW w:w="1808" w:type="dxa"/>
          </w:tcPr>
          <w:p w14:paraId="4533A76B"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27%</w:t>
            </w:r>
          </w:p>
        </w:tc>
        <w:tc>
          <w:tcPr>
            <w:tcW w:w="850" w:type="dxa"/>
          </w:tcPr>
          <w:p w14:paraId="69AA8085"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21%</w:t>
            </w:r>
          </w:p>
        </w:tc>
      </w:tr>
      <w:tr w:rsidR="00DC41C3" w14:paraId="58477777"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2FBE6204"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$10-$14</w:t>
            </w:r>
          </w:p>
        </w:tc>
        <w:tc>
          <w:tcPr>
            <w:tcW w:w="1807" w:type="dxa"/>
          </w:tcPr>
          <w:p w14:paraId="35C30C78"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0%</w:t>
            </w:r>
          </w:p>
        </w:tc>
        <w:tc>
          <w:tcPr>
            <w:tcW w:w="1807" w:type="dxa"/>
          </w:tcPr>
          <w:p w14:paraId="16C22958"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w:t>
            </w:r>
          </w:p>
        </w:tc>
        <w:tc>
          <w:tcPr>
            <w:tcW w:w="1807" w:type="dxa"/>
          </w:tcPr>
          <w:p w14:paraId="31B8CEF7"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3%</w:t>
            </w:r>
          </w:p>
        </w:tc>
        <w:tc>
          <w:tcPr>
            <w:tcW w:w="1808" w:type="dxa"/>
          </w:tcPr>
          <w:p w14:paraId="19E8A3D6"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7%</w:t>
            </w:r>
          </w:p>
        </w:tc>
        <w:tc>
          <w:tcPr>
            <w:tcW w:w="850" w:type="dxa"/>
          </w:tcPr>
          <w:p w14:paraId="0CE214DF"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4%</w:t>
            </w:r>
          </w:p>
        </w:tc>
      </w:tr>
      <w:tr w:rsidR="00DC41C3" w14:paraId="6A1E40E3"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48BF02DF"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$15-$19</w:t>
            </w:r>
          </w:p>
        </w:tc>
        <w:tc>
          <w:tcPr>
            <w:tcW w:w="1807" w:type="dxa"/>
          </w:tcPr>
          <w:p w14:paraId="62DDFB67"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rsidRPr="004B0199">
              <w:t>0%</w:t>
            </w:r>
          </w:p>
        </w:tc>
        <w:tc>
          <w:tcPr>
            <w:tcW w:w="1807" w:type="dxa"/>
          </w:tcPr>
          <w:p w14:paraId="790288D0"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w:t>
            </w:r>
          </w:p>
        </w:tc>
        <w:tc>
          <w:tcPr>
            <w:tcW w:w="1807" w:type="dxa"/>
          </w:tcPr>
          <w:p w14:paraId="71479111"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w:t>
            </w:r>
          </w:p>
        </w:tc>
        <w:tc>
          <w:tcPr>
            <w:tcW w:w="1808" w:type="dxa"/>
          </w:tcPr>
          <w:p w14:paraId="61951C9B"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2%</w:t>
            </w:r>
          </w:p>
        </w:tc>
        <w:tc>
          <w:tcPr>
            <w:tcW w:w="850" w:type="dxa"/>
          </w:tcPr>
          <w:p w14:paraId="307741A6"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w:t>
            </w:r>
          </w:p>
        </w:tc>
      </w:tr>
      <w:tr w:rsidR="00DC41C3" w14:paraId="55A22047" w14:textId="77777777" w:rsidTr="007A65AC">
        <w:tc>
          <w:tcPr>
            <w:cnfStyle w:val="001000000000" w:firstRow="0" w:lastRow="0" w:firstColumn="1" w:lastColumn="0" w:oddVBand="0" w:evenVBand="0" w:oddHBand="0" w:evenHBand="0" w:firstRowFirstColumn="0" w:firstRowLastColumn="0" w:lastRowFirstColumn="0" w:lastRowLastColumn="0"/>
            <w:tcW w:w="851" w:type="dxa"/>
          </w:tcPr>
          <w:p w14:paraId="25AC3E86" w14:textId="77777777" w:rsidR="00DC41C3" w:rsidRPr="00B50A46" w:rsidRDefault="00DC41C3" w:rsidP="007A65AC">
            <w:pPr>
              <w:pStyle w:val="TableNText"/>
              <w:spacing w:before="0" w:after="0"/>
              <w:rPr>
                <w:rFonts w:asciiTheme="majorHAnsi" w:hAnsiTheme="majorHAnsi" w:cstheme="majorBidi"/>
              </w:rPr>
            </w:pPr>
            <w:r w:rsidRPr="0C5679B2">
              <w:rPr>
                <w:rFonts w:asciiTheme="majorHAnsi" w:hAnsiTheme="majorHAnsi" w:cstheme="majorBidi"/>
              </w:rPr>
              <w:t>$20+</w:t>
            </w:r>
          </w:p>
        </w:tc>
        <w:tc>
          <w:tcPr>
            <w:tcW w:w="1807" w:type="dxa"/>
          </w:tcPr>
          <w:p w14:paraId="5BE77065"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rsidRPr="004B0199">
              <w:t>0%</w:t>
            </w:r>
          </w:p>
        </w:tc>
        <w:tc>
          <w:tcPr>
            <w:tcW w:w="1807" w:type="dxa"/>
          </w:tcPr>
          <w:p w14:paraId="58CFCB1A"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rsidRPr="00B915B0">
              <w:t>0%</w:t>
            </w:r>
          </w:p>
        </w:tc>
        <w:tc>
          <w:tcPr>
            <w:tcW w:w="1807" w:type="dxa"/>
          </w:tcPr>
          <w:p w14:paraId="36AF7A50"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rsidRPr="00B915B0">
              <w:t>0%</w:t>
            </w:r>
          </w:p>
        </w:tc>
        <w:tc>
          <w:tcPr>
            <w:tcW w:w="1808" w:type="dxa"/>
          </w:tcPr>
          <w:p w14:paraId="04F42F0D"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1%</w:t>
            </w:r>
          </w:p>
        </w:tc>
        <w:tc>
          <w:tcPr>
            <w:tcW w:w="850" w:type="dxa"/>
          </w:tcPr>
          <w:p w14:paraId="26BDACFD" w14:textId="77777777" w:rsidR="00DC41C3" w:rsidRPr="00242100" w:rsidRDefault="00DC41C3" w:rsidP="007A65AC">
            <w:pPr>
              <w:pStyle w:val="TableNText"/>
              <w:spacing w:before="0" w:after="0"/>
              <w:cnfStyle w:val="000000000000" w:firstRow="0" w:lastRow="0" w:firstColumn="0" w:lastColumn="0" w:oddVBand="0" w:evenVBand="0" w:oddHBand="0" w:evenHBand="0" w:firstRowFirstColumn="0" w:firstRowLastColumn="0" w:lastRowFirstColumn="0" w:lastRowLastColumn="0"/>
            </w:pPr>
            <w:r>
              <w:t>0%</w:t>
            </w:r>
          </w:p>
        </w:tc>
      </w:tr>
    </w:tbl>
    <w:p w14:paraId="47BD30BD" w14:textId="77777777" w:rsidR="00461ED0" w:rsidRDefault="00461ED0" w:rsidP="00322015"/>
    <w:p w14:paraId="6632E530" w14:textId="77777777" w:rsidR="0097181B" w:rsidRDefault="00105F99" w:rsidP="00894930">
      <w:pPr>
        <w:pStyle w:val="Heading1"/>
      </w:pPr>
      <w:bookmarkStart w:id="169" w:name="_Toc33622701"/>
      <w:bookmarkStart w:id="170" w:name="_Toc24559596"/>
      <w:bookmarkStart w:id="171" w:name="_Toc54597785"/>
      <w:bookmarkEnd w:id="169"/>
      <w:r w:rsidRPr="004D4BF8">
        <w:lastRenderedPageBreak/>
        <w:t>Th</w:t>
      </w:r>
      <w:r w:rsidR="00652023">
        <w:t xml:space="preserve">ere </w:t>
      </w:r>
      <w:r w:rsidR="00AC580A">
        <w:t>are</w:t>
      </w:r>
      <w:r w:rsidR="00652023">
        <w:t xml:space="preserve"> opportunities </w:t>
      </w:r>
      <w:r w:rsidR="00AC580A">
        <w:t>to</w:t>
      </w:r>
      <w:r w:rsidR="00652023">
        <w:t xml:space="preserve"> improve</w:t>
      </w:r>
      <w:r w:rsidR="00CC1F8A">
        <w:t xml:space="preserve"> </w:t>
      </w:r>
      <w:r w:rsidR="00207A20">
        <w:t>UANP</w:t>
      </w:r>
      <w:r w:rsidR="00CC1F8A">
        <w:t xml:space="preserve"> indicators, </w:t>
      </w:r>
      <w:proofErr w:type="gramStart"/>
      <w:r w:rsidR="00CC1F8A">
        <w:t>targets</w:t>
      </w:r>
      <w:proofErr w:type="gramEnd"/>
      <w:r w:rsidR="00CC1F8A">
        <w:t xml:space="preserve"> and measurement</w:t>
      </w:r>
      <w:bookmarkEnd w:id="170"/>
      <w:bookmarkEnd w:id="171"/>
      <w:r w:rsidR="00652023">
        <w:t xml:space="preserve"> </w:t>
      </w:r>
    </w:p>
    <w:p w14:paraId="498F4378" w14:textId="77777777" w:rsidR="00652023" w:rsidRDefault="00652023" w:rsidP="00CC0638">
      <w:pPr>
        <w:pStyle w:val="Bullet"/>
      </w:pPr>
      <w:r>
        <w:t xml:space="preserve">The UANP performance framework defines the outcomes, outputs, </w:t>
      </w:r>
      <w:r w:rsidR="00FC42C6">
        <w:t>p</w:t>
      </w:r>
      <w:r w:rsidR="00BD5115">
        <w:t xml:space="preserve">erformance </w:t>
      </w:r>
      <w:r w:rsidR="00FC42C6">
        <w:t>i</w:t>
      </w:r>
      <w:r w:rsidR="00BD5115">
        <w:t>ndicator</w:t>
      </w:r>
      <w:r>
        <w:t xml:space="preserve">s and targets </w:t>
      </w:r>
      <w:r w:rsidR="00CC1F8A">
        <w:t xml:space="preserve">that governments have agreed to </w:t>
      </w:r>
      <w:r w:rsidR="006769B3">
        <w:t>pursue</w:t>
      </w:r>
      <w:r w:rsidR="00A946F0">
        <w:t xml:space="preserve"> (see</w:t>
      </w:r>
      <w:r w:rsidR="009E65D2">
        <w:t xml:space="preserve"> Appendix D</w:t>
      </w:r>
      <w:r w:rsidR="00A946F0">
        <w:t>)</w:t>
      </w:r>
      <w:r>
        <w:t xml:space="preserve">. </w:t>
      </w:r>
      <w:r w:rsidR="00A2566D">
        <w:t>Performance monitoring and measurement performs multiple purposes including to inform policy system management, to measure progress, and to distribute funding from the Australian Government to States and Territories</w:t>
      </w:r>
      <w:r w:rsidR="008A62BA">
        <w:t>.</w:t>
      </w:r>
    </w:p>
    <w:p w14:paraId="181C350D" w14:textId="77777777" w:rsidR="003A3CBF" w:rsidRDefault="00B058BE" w:rsidP="00CC0638">
      <w:pPr>
        <w:pStyle w:val="Bullet"/>
      </w:pPr>
      <w:bookmarkStart w:id="172" w:name="_Hlk24292795"/>
      <w:r>
        <w:t>To address T</w:t>
      </w:r>
      <w:r w:rsidR="00574B34">
        <w:t>erm of Reference</w:t>
      </w:r>
      <w:r>
        <w:t xml:space="preserve"> 2, t</w:t>
      </w:r>
      <w:r w:rsidR="002B3729">
        <w:t xml:space="preserve">his </w:t>
      </w:r>
      <w:r>
        <w:t>chapter</w:t>
      </w:r>
      <w:r w:rsidR="002B3729">
        <w:t xml:space="preserve"> </w:t>
      </w:r>
      <w:r w:rsidR="00CC1F8A">
        <w:t xml:space="preserve">analyses the appropriateness of the performance framework, </w:t>
      </w:r>
      <w:r w:rsidR="006769B3">
        <w:t>with reference to</w:t>
      </w:r>
      <w:r w:rsidR="00DE5305">
        <w:t xml:space="preserve"> whether</w:t>
      </w:r>
      <w:r w:rsidR="003A3CBF">
        <w:t>:</w:t>
      </w:r>
    </w:p>
    <w:p w14:paraId="0D2C0121" w14:textId="77777777" w:rsidR="00601E18" w:rsidRDefault="009F7D47" w:rsidP="00196B73">
      <w:pPr>
        <w:pStyle w:val="Bullet"/>
        <w:numPr>
          <w:ilvl w:val="0"/>
          <w:numId w:val="22"/>
        </w:numPr>
      </w:pPr>
      <w:r>
        <w:t xml:space="preserve">the performance framework adopts the right </w:t>
      </w:r>
      <w:r w:rsidR="009A4A19">
        <w:t>indicator</w:t>
      </w:r>
      <w:r w:rsidR="00CC1F8A">
        <w:t>s</w:t>
      </w:r>
    </w:p>
    <w:p w14:paraId="6C33F473" w14:textId="77777777" w:rsidR="00014790" w:rsidRDefault="00014790" w:rsidP="00196B73">
      <w:pPr>
        <w:pStyle w:val="Bullet"/>
        <w:numPr>
          <w:ilvl w:val="0"/>
          <w:numId w:val="22"/>
        </w:numPr>
        <w:spacing w:line="256" w:lineRule="auto"/>
      </w:pPr>
      <w:r>
        <w:t>the measurement of performance is sound, including whether it is based on robust data</w:t>
      </w:r>
    </w:p>
    <w:p w14:paraId="2035D917" w14:textId="77777777" w:rsidR="00E268CB" w:rsidRDefault="00E268CB" w:rsidP="00196B73">
      <w:pPr>
        <w:pStyle w:val="Bullet"/>
        <w:numPr>
          <w:ilvl w:val="0"/>
          <w:numId w:val="22"/>
        </w:numPr>
        <w:spacing w:line="256" w:lineRule="auto"/>
      </w:pPr>
      <w:r>
        <w:t>the benchmarks/targets are set at an appropriate level</w:t>
      </w:r>
    </w:p>
    <w:p w14:paraId="4CD5FDD4" w14:textId="77777777" w:rsidR="00601E18" w:rsidRDefault="00475675" w:rsidP="00196B73">
      <w:pPr>
        <w:pStyle w:val="Bullet"/>
        <w:numPr>
          <w:ilvl w:val="0"/>
          <w:numId w:val="22"/>
        </w:numPr>
      </w:pPr>
      <w:bookmarkStart w:id="173" w:name="_Ref24470368"/>
      <w:r>
        <w:t xml:space="preserve">the use of the current performance framework and </w:t>
      </w:r>
      <w:r w:rsidR="00AE4761">
        <w:t xml:space="preserve">whether </w:t>
      </w:r>
      <w:r>
        <w:t xml:space="preserve">its benchmarks/ targets are appropriate to make </w:t>
      </w:r>
      <w:r w:rsidR="00277258">
        <w:t>performance-based</w:t>
      </w:r>
      <w:r>
        <w:t xml:space="preserve"> payments</w:t>
      </w:r>
      <w:r w:rsidR="00CC1F8A">
        <w:t>.</w:t>
      </w:r>
      <w:bookmarkEnd w:id="173"/>
    </w:p>
    <w:bookmarkEnd w:id="172"/>
    <w:p w14:paraId="487789E1" w14:textId="77777777" w:rsidR="006769B3" w:rsidRDefault="006769B3" w:rsidP="00CC0638">
      <w:pPr>
        <w:pStyle w:val="Bullet"/>
      </w:pPr>
      <w:r>
        <w:t>‘A</w:t>
      </w:r>
      <w:r w:rsidR="00CC1F8A">
        <w:t>ppropriateness</w:t>
      </w:r>
      <w:r>
        <w:t xml:space="preserve">’ here is considered </w:t>
      </w:r>
      <w:r w:rsidR="000427DE">
        <w:t xml:space="preserve">a </w:t>
      </w:r>
      <w:r>
        <w:t>function of</w:t>
      </w:r>
      <w:r w:rsidR="00CC1F8A">
        <w:t xml:space="preserve"> </w:t>
      </w:r>
      <w:r>
        <w:t>how well the performance framework stimulates action, focuses investment where it will have the most impact, and provides accountability.</w:t>
      </w:r>
    </w:p>
    <w:p w14:paraId="2CF14ABD" w14:textId="77777777" w:rsidR="00637BBA" w:rsidRPr="001A34DA" w:rsidRDefault="001A34DA" w:rsidP="00637BBA">
      <w:pPr>
        <w:pStyle w:val="Heading2"/>
      </w:pPr>
      <w:bookmarkStart w:id="174" w:name="_Toc24559597"/>
      <w:bookmarkStart w:id="175" w:name="_Toc54597786"/>
      <w:r w:rsidRPr="001A34DA">
        <w:t>T</w:t>
      </w:r>
      <w:r w:rsidR="00637BBA" w:rsidRPr="001A34DA">
        <w:t xml:space="preserve">he </w:t>
      </w:r>
      <w:r w:rsidRPr="001A34DA">
        <w:t xml:space="preserve">UANP’s </w:t>
      </w:r>
      <w:r w:rsidR="00637BBA" w:rsidRPr="001A34DA">
        <w:t xml:space="preserve">performance framework </w:t>
      </w:r>
      <w:r w:rsidRPr="001A34DA">
        <w:t xml:space="preserve">has served it well, but there </w:t>
      </w:r>
      <w:r w:rsidR="007B1919">
        <w:t xml:space="preserve">is room </w:t>
      </w:r>
      <w:r w:rsidRPr="001A34DA">
        <w:t xml:space="preserve">for </w:t>
      </w:r>
      <w:r w:rsidR="006076C2">
        <w:t>improvement</w:t>
      </w:r>
      <w:bookmarkEnd w:id="174"/>
      <w:bookmarkEnd w:id="175"/>
    </w:p>
    <w:p w14:paraId="3FCD11DF" w14:textId="77777777" w:rsidR="00D15C74" w:rsidRDefault="00D15C74" w:rsidP="00D15C74">
      <w:pPr>
        <w:pStyle w:val="Bullet"/>
      </w:pPr>
      <w:r>
        <w:t xml:space="preserve">The UANP’s performance framework has four </w:t>
      </w:r>
      <w:r w:rsidR="00FC42C6">
        <w:t>p</w:t>
      </w:r>
      <w:r>
        <w:t xml:space="preserve">erformance </w:t>
      </w:r>
      <w:r w:rsidR="00FC42C6">
        <w:t>i</w:t>
      </w:r>
      <w:r>
        <w:t>ndicators:</w:t>
      </w:r>
    </w:p>
    <w:p w14:paraId="3933705A" w14:textId="77777777" w:rsidR="00F06105" w:rsidRDefault="000543B9" w:rsidP="00CC0638">
      <w:pPr>
        <w:pStyle w:val="Bullet"/>
      </w:pPr>
      <w:r w:rsidRPr="000543B9">
        <w:rPr>
          <w:noProof/>
        </w:rPr>
        <w:drawing>
          <wp:inline distT="0" distB="0" distL="0" distR="0" wp14:anchorId="2C217542" wp14:editId="22BA87C9">
            <wp:extent cx="5670000" cy="2023200"/>
            <wp:effectExtent l="0" t="0" r="6985" b="0"/>
            <wp:docPr id="20" name="Picture 20" descr="1. Teacher qualifications: the proportion of early childhood education programs delivered by a degree qualified ECT who meets the NQF requirements. &#10;2. Access to quality program: the proportion of children enrolled in quality early childhood education program(s) in the year before fulltime school.&#10;3. Access to a quality 600 hour program: the proportion of children enrolled in quality early childhood education program(s) for 600 hours per year, in the year before fulltime school.&#10;4. Attendance: the proportion of enrolled children who attend quality early childhood education program(s) for 600 hours per year, in the year before fulltim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 Teacher qualifications: the proportion of early childhood education programs delivered by a degree qualified ECT who meets the NQF requirements. &#10;2. Access to quality program: the proportion of children enrolled in quality early childhood education program(s) in the year before fulltime school.&#10;3. Access to a quality 600 hour program: the proportion of children enrolled in quality early childhood education program(s) for 600 hours per year, in the year before fulltime school.&#10;4. Attendance: the proportion of enrolled children who attend quality early childhood education program(s) for 600 hours per year, in the year before fulltime school."/>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670000" cy="2023200"/>
                    </a:xfrm>
                    <a:prstGeom prst="rect">
                      <a:avLst/>
                    </a:prstGeom>
                    <a:noFill/>
                    <a:ln>
                      <a:noFill/>
                    </a:ln>
                  </pic:spPr>
                </pic:pic>
              </a:graphicData>
            </a:graphic>
          </wp:inline>
        </w:drawing>
      </w:r>
    </w:p>
    <w:p w14:paraId="056A0C75" w14:textId="77777777" w:rsidR="00CA7807" w:rsidRPr="00CA7807" w:rsidRDefault="00CA7807" w:rsidP="00CC0638">
      <w:pPr>
        <w:pStyle w:val="Bullet"/>
      </w:pPr>
      <w:r w:rsidRPr="00CA7807">
        <w:t>This section considers whether the</w:t>
      </w:r>
      <w:r w:rsidR="003857D1">
        <w:t>se</w:t>
      </w:r>
      <w:r w:rsidRPr="00CA7807">
        <w:t xml:space="preserve"> </w:t>
      </w:r>
      <w:r w:rsidR="00AC553D">
        <w:t>PIs</w:t>
      </w:r>
      <w:r w:rsidR="003857D1" w:rsidRPr="00CA7807">
        <w:t xml:space="preserve"> </w:t>
      </w:r>
      <w:r w:rsidR="003857D1">
        <w:t xml:space="preserve">are the </w:t>
      </w:r>
      <w:r w:rsidR="00CB7C31" w:rsidRPr="00CA7807">
        <w:t>right</w:t>
      </w:r>
      <w:r w:rsidR="003857D1">
        <w:t xml:space="preserve"> ones</w:t>
      </w:r>
      <w:r w:rsidR="00CB7C31" w:rsidRPr="00CA7807">
        <w:t>.</w:t>
      </w:r>
    </w:p>
    <w:p w14:paraId="506C9D39" w14:textId="77777777" w:rsidR="00601E18" w:rsidRDefault="00601E18" w:rsidP="00506D80">
      <w:pPr>
        <w:pStyle w:val="Heading4"/>
      </w:pPr>
      <w:r>
        <w:t xml:space="preserve">The </w:t>
      </w:r>
      <w:r w:rsidR="00ED2078">
        <w:t xml:space="preserve">UANP’s </w:t>
      </w:r>
      <w:r>
        <w:t xml:space="preserve">objectives </w:t>
      </w:r>
      <w:r w:rsidR="00ED2078">
        <w:t>are</w:t>
      </w:r>
      <w:r>
        <w:t xml:space="preserve"> interpreted and measured in terms of</w:t>
      </w:r>
      <w:r w:rsidR="00014790" w:rsidRPr="00014790">
        <w:t xml:space="preserve"> </w:t>
      </w:r>
      <w:r w:rsidR="00014790">
        <w:t>inputs and outputs</w:t>
      </w:r>
      <w:r w:rsidR="00E268CB">
        <w:t>, not outcomes</w:t>
      </w:r>
    </w:p>
    <w:p w14:paraId="71D880CD" w14:textId="77777777" w:rsidR="00435E05" w:rsidRDefault="00B5427B" w:rsidP="00E268CB">
      <w:pPr>
        <w:pStyle w:val="Bullet"/>
      </w:pPr>
      <w:r>
        <w:t>The UANP’s</w:t>
      </w:r>
      <w:r w:rsidR="00601E18">
        <w:t xml:space="preserve"> performance framework </w:t>
      </w:r>
      <w:r w:rsidR="00CB7C31">
        <w:t>measures inputs to, and outputs from, the preschool sector</w:t>
      </w:r>
      <w:r w:rsidR="00993083">
        <w:t>. It</w:t>
      </w:r>
      <w:r>
        <w:t xml:space="preserve"> does this </w:t>
      </w:r>
      <w:r w:rsidR="00601E18">
        <w:t xml:space="preserve">in terms of </w:t>
      </w:r>
      <w:r w:rsidR="007B1919">
        <w:t xml:space="preserve">the </w:t>
      </w:r>
      <w:r w:rsidR="00601E18">
        <w:t xml:space="preserve">changes in preschool </w:t>
      </w:r>
      <w:r w:rsidR="009F7D47">
        <w:t xml:space="preserve">provision and participation </w:t>
      </w:r>
      <w:r w:rsidR="00601E18">
        <w:t xml:space="preserve">that can be measured contemporaneously </w:t>
      </w:r>
      <w:r>
        <w:t>with</w:t>
      </w:r>
      <w:r w:rsidR="00601E18">
        <w:t xml:space="preserve"> the funding </w:t>
      </w:r>
      <w:r>
        <w:t>provided</w:t>
      </w:r>
      <w:r w:rsidR="00601E18">
        <w:t xml:space="preserve">. </w:t>
      </w:r>
    </w:p>
    <w:p w14:paraId="19D2244C" w14:textId="77777777" w:rsidR="00601E18" w:rsidRDefault="00435E05" w:rsidP="006B084D">
      <w:pPr>
        <w:pStyle w:val="Bullet"/>
      </w:pPr>
      <w:r>
        <w:lastRenderedPageBreak/>
        <w:t>Th</w:t>
      </w:r>
      <w:r w:rsidR="00A4453C">
        <w:t>ese are</w:t>
      </w:r>
      <w:r>
        <w:t xml:space="preserve"> distinct from </w:t>
      </w:r>
      <w:r w:rsidR="009F7D47">
        <w:t xml:space="preserve">the </w:t>
      </w:r>
      <w:r w:rsidR="00C53FC9">
        <w:t xml:space="preserve">UANP’s </w:t>
      </w:r>
      <w:r w:rsidR="009F7D47">
        <w:t xml:space="preserve">higher-level objectives, </w:t>
      </w:r>
      <w:r w:rsidR="00D31A4B">
        <w:t xml:space="preserve">which </w:t>
      </w:r>
      <w:r w:rsidR="009F7D47">
        <w:t>relate to children’s early learning</w:t>
      </w:r>
      <w:r w:rsidR="004963B1">
        <w:t xml:space="preserve">, </w:t>
      </w:r>
      <w:proofErr w:type="gramStart"/>
      <w:r w:rsidR="004963B1">
        <w:t>socialisation</w:t>
      </w:r>
      <w:proofErr w:type="gramEnd"/>
      <w:r w:rsidR="009F7D47">
        <w:t xml:space="preserve"> and development.</w:t>
      </w:r>
      <w:r w:rsidR="00D31A4B">
        <w:t xml:space="preserve"> For this reason, the UANP’s </w:t>
      </w:r>
      <w:r w:rsidR="00601E18">
        <w:t xml:space="preserve">performance framework </w:t>
      </w:r>
      <w:r w:rsidR="00D31A4B">
        <w:t>centres</w:t>
      </w:r>
      <w:r w:rsidR="00601E18">
        <w:t xml:space="preserve"> on </w:t>
      </w:r>
      <w:r w:rsidR="007B1919">
        <w:t xml:space="preserve">PIs </w:t>
      </w:r>
      <w:r w:rsidR="00601E18">
        <w:t>that clearly show the within-year operation of the UANP in terms of</w:t>
      </w:r>
      <w:r w:rsidR="007B1919">
        <w:t xml:space="preserve"> the</w:t>
      </w:r>
      <w:r w:rsidR="00601E18">
        <w:t>:</w:t>
      </w:r>
    </w:p>
    <w:p w14:paraId="2DC739C6" w14:textId="77777777" w:rsidR="00993083" w:rsidRDefault="00993083" w:rsidP="0076358F">
      <w:pPr>
        <w:pStyle w:val="Bullet"/>
        <w:numPr>
          <w:ilvl w:val="0"/>
          <w:numId w:val="13"/>
        </w:numPr>
        <w:ind w:left="340" w:hanging="340"/>
      </w:pPr>
      <w:r>
        <w:t xml:space="preserve">proportion of eligible </w:t>
      </w:r>
      <w:r w:rsidR="00601E18">
        <w:t>children participating in preschool, both in terms of enrol</w:t>
      </w:r>
      <w:r>
        <w:t>ment and attendance</w:t>
      </w:r>
    </w:p>
    <w:p w14:paraId="4F002351" w14:textId="77777777" w:rsidR="00601E18" w:rsidRDefault="00993083" w:rsidP="0076358F">
      <w:pPr>
        <w:pStyle w:val="Bullet"/>
        <w:numPr>
          <w:ilvl w:val="0"/>
          <w:numId w:val="13"/>
        </w:numPr>
        <w:ind w:left="340" w:hanging="340"/>
      </w:pPr>
      <w:r>
        <w:t xml:space="preserve">extent to which the available preschool programs </w:t>
      </w:r>
      <w:r w:rsidR="00601E18">
        <w:t xml:space="preserve">are </w:t>
      </w:r>
      <w:r w:rsidR="007B1919">
        <w:t xml:space="preserve">considered to meet the UANP’s </w:t>
      </w:r>
      <w:r w:rsidR="00CB7C31">
        <w:t xml:space="preserve">quality </w:t>
      </w:r>
      <w:r w:rsidR="007B1919">
        <w:t>requirement</w:t>
      </w:r>
      <w:r w:rsidR="00CB7C31">
        <w:t>s</w:t>
      </w:r>
      <w:r w:rsidR="0076358F">
        <w:t>.</w:t>
      </w:r>
    </w:p>
    <w:p w14:paraId="5357B1B7" w14:textId="77777777" w:rsidR="00DC41C3" w:rsidRDefault="00A4453C" w:rsidP="006B084D">
      <w:pPr>
        <w:pStyle w:val="Bullet"/>
      </w:pPr>
      <w:r>
        <w:t xml:space="preserve">Both sets of </w:t>
      </w:r>
      <w:r w:rsidR="006076C2">
        <w:t>indicators</w:t>
      </w:r>
      <w:r>
        <w:t xml:space="preserve"> are discussed below.</w:t>
      </w:r>
    </w:p>
    <w:p w14:paraId="6649AAC5" w14:textId="77777777" w:rsidR="00E268CB" w:rsidRPr="00A4453C" w:rsidRDefault="00E268CB" w:rsidP="00E268CB">
      <w:pPr>
        <w:pStyle w:val="Heading5"/>
      </w:pPr>
      <w:r>
        <w:t xml:space="preserve">Performance Indicator 1 </w:t>
      </w:r>
      <w:r w:rsidR="00BC2CE8">
        <w:t xml:space="preserve">is </w:t>
      </w:r>
      <w:r>
        <w:t>focused on delivery by a qualified ECT</w:t>
      </w:r>
    </w:p>
    <w:p w14:paraId="332939FC" w14:textId="77777777" w:rsidR="00E268CB" w:rsidRPr="0072380E" w:rsidRDefault="00E268CB" w:rsidP="00E268CB">
      <w:pPr>
        <w:pStyle w:val="Bullet"/>
      </w:pPr>
      <w:r>
        <w:t>The UANP’s emphasis on the need for quality programs is well supported by published research.</w:t>
      </w:r>
      <w:r>
        <w:rPr>
          <w:rStyle w:val="FootnoteReference"/>
        </w:rPr>
        <w:footnoteReference w:id="74"/>
      </w:r>
      <w:r>
        <w:t xml:space="preserve"> Given the weight of the evidence base, </w:t>
      </w:r>
      <w:r w:rsidRPr="0072380E">
        <w:t xml:space="preserve">it is reasonable to regard participation in quality preschool as a leading indicator for improved educational outcomes. </w:t>
      </w:r>
    </w:p>
    <w:p w14:paraId="1D993BAC" w14:textId="77777777" w:rsidR="00E268CB" w:rsidRDefault="00E268CB" w:rsidP="00E268CB">
      <w:pPr>
        <w:pStyle w:val="Bullet"/>
      </w:pPr>
      <w:r>
        <w:t>T</w:t>
      </w:r>
      <w:r w:rsidRPr="0029471C">
        <w:t>he notion of quality incorporates ‘the interactions between children and their caregivers, their environment and other children’, as well as the structural factors that facilitate these interactions</w:t>
      </w:r>
      <w:r>
        <w:t>.</w:t>
      </w:r>
      <w:r>
        <w:rPr>
          <w:rStyle w:val="FootnoteReference"/>
        </w:rPr>
        <w:footnoteReference w:id="75"/>
      </w:r>
      <w:r w:rsidRPr="0029471C">
        <w:t xml:space="preserve"> </w:t>
      </w:r>
      <w:r>
        <w:t xml:space="preserve">The NQS encompasses a range of benchmarks spanning several dimensions of quality. Importantly, quality does not denote a specific service type. </w:t>
      </w:r>
    </w:p>
    <w:p w14:paraId="106D5DA3" w14:textId="77777777" w:rsidR="00E268CB" w:rsidRPr="00782D70" w:rsidRDefault="00E268CB" w:rsidP="00E268CB">
      <w:pPr>
        <w:pStyle w:val="Bullet"/>
        <w:rPr>
          <w:rFonts w:asciiTheme="minorHAnsi" w:hAnsiTheme="minorHAnsi" w:cstheme="minorBidi"/>
        </w:rPr>
      </w:pPr>
      <w:r>
        <w:t xml:space="preserve">For the purposes of the UANP performance framework, quality is assessed by reference to delivery by qualified ECT, through </w:t>
      </w:r>
      <w:r w:rsidR="00E565ED">
        <w:t>Performance Indicator</w:t>
      </w:r>
      <w:r>
        <w:t xml:space="preserve"> 1. This is consistent with the generally accepted view that workforce is the key determinant of preschool program quality.</w:t>
      </w:r>
      <w:r>
        <w:rPr>
          <w:rStyle w:val="FootnoteReference"/>
        </w:rPr>
        <w:footnoteReference w:id="76"/>
      </w:r>
    </w:p>
    <w:p w14:paraId="0399FE11" w14:textId="77777777" w:rsidR="00A4453C" w:rsidRDefault="00E268CB" w:rsidP="00506D80">
      <w:pPr>
        <w:pStyle w:val="Heading5"/>
      </w:pPr>
      <w:r>
        <w:t>Performance I</w:t>
      </w:r>
      <w:r w:rsidR="006076C2">
        <w:t>ndicators</w:t>
      </w:r>
      <w:r>
        <w:t xml:space="preserve"> 2, 3 and 4 cover </w:t>
      </w:r>
      <w:r w:rsidR="00A4453C">
        <w:t>enrolment and attendance</w:t>
      </w:r>
    </w:p>
    <w:p w14:paraId="45B491B7" w14:textId="77777777" w:rsidR="00771346" w:rsidRDefault="00014790" w:rsidP="006B084D">
      <w:pPr>
        <w:pStyle w:val="Bullet"/>
      </w:pPr>
      <w:r>
        <w:t>The focus on enrolment and attendance in the UANP</w:t>
      </w:r>
      <w:r w:rsidR="00E565ED">
        <w:t>’s performance indicators</w:t>
      </w:r>
      <w:r>
        <w:t xml:space="preserve"> has been appropriate. The two enrolment indicators—enrolment rates, and enrolment rates in programs for 600 hours in the YBFS—provide information about children’s access to preschool programs in the first place, and the increase in hours available. While there are issues with the attendance </w:t>
      </w:r>
      <w:r w:rsidR="00E565ED">
        <w:t xml:space="preserve">performance indicator </w:t>
      </w:r>
      <w:r>
        <w:t>(discussed below and the reason why funding is not linked with this measure), attendance rates are highly appropriate to measure to assess not just access, but regular participation.</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014790" w14:paraId="3E74688C" w14:textId="77777777" w:rsidTr="00A806ED">
        <w:tc>
          <w:tcPr>
            <w:tcW w:w="7285" w:type="dxa"/>
          </w:tcPr>
          <w:p w14:paraId="3B46F485" w14:textId="77777777" w:rsidR="001A6E75" w:rsidRPr="001A6E75" w:rsidRDefault="00014790" w:rsidP="001A6E75">
            <w:pPr>
              <w:pStyle w:val="Longformcallout"/>
              <w:rPr>
                <w:rFonts w:asciiTheme="majorHAnsi" w:hAnsiTheme="majorHAnsi" w:cstheme="majorHAnsi"/>
              </w:rPr>
            </w:pPr>
            <w:r w:rsidRPr="001A6E75">
              <w:rPr>
                <w:rFonts w:asciiTheme="majorHAnsi" w:hAnsiTheme="majorHAnsi" w:cstheme="majorHAnsi"/>
              </w:rPr>
              <w:t xml:space="preserve">The National Early Childhood Education and Care Collection (the National Collection) is the </w:t>
            </w:r>
            <w:r w:rsidR="001A6E75" w:rsidRPr="001A6E75">
              <w:rPr>
                <w:rFonts w:asciiTheme="majorHAnsi" w:hAnsiTheme="majorHAnsi" w:cstheme="majorHAnsi"/>
              </w:rPr>
              <w:t>source of data used</w:t>
            </w:r>
            <w:r w:rsidRPr="001A6E75">
              <w:rPr>
                <w:rFonts w:asciiTheme="majorHAnsi" w:hAnsiTheme="majorHAnsi" w:cstheme="majorHAnsi"/>
              </w:rPr>
              <w:t xml:space="preserve"> to assess enrolment and attendance performance</w:t>
            </w:r>
            <w:r w:rsidR="001A6E75" w:rsidRPr="001A6E75">
              <w:rPr>
                <w:rFonts w:asciiTheme="majorHAnsi" w:hAnsiTheme="majorHAnsi" w:cstheme="majorHAnsi"/>
              </w:rPr>
              <w:t xml:space="preserve"> under the UANP. </w:t>
            </w:r>
          </w:p>
          <w:p w14:paraId="2C1F6065" w14:textId="77777777" w:rsidR="001A6E75" w:rsidRPr="001A6E75" w:rsidRDefault="00014790" w:rsidP="001A6E75">
            <w:pPr>
              <w:pStyle w:val="Longformcallout"/>
            </w:pPr>
            <w:r w:rsidRPr="00477313">
              <w:t xml:space="preserve">The National Collection </w:t>
            </w:r>
            <w:r w:rsidR="001A6E75" w:rsidRPr="001A6E75">
              <w:t>provides an annual</w:t>
            </w:r>
            <w:r w:rsidRPr="00477313">
              <w:t xml:space="preserve"> ‘snapshot’ of </w:t>
            </w:r>
            <w:r w:rsidR="001A6E75" w:rsidRPr="001A6E75">
              <w:t xml:space="preserve">preschool participation and delivery </w:t>
            </w:r>
            <w:r w:rsidRPr="00477313">
              <w:t xml:space="preserve">across the country and is published as the Australian Bureau of Statistics’ (ABS) Preschool Education, Australia publication. </w:t>
            </w:r>
            <w:r w:rsidR="001A6E75" w:rsidRPr="001A6E75">
              <w:t>The National Collection is compiled from administrative data from the Australian Government, and State and Territory Governments collected annually and collated by the ABS. The collection period for all jurisdictions relates to a reference week</w:t>
            </w:r>
            <w:r w:rsidR="001A6E75" w:rsidRPr="001A6E75">
              <w:rPr>
                <w:rStyle w:val="FootnoteReference"/>
                <w:rFonts w:asciiTheme="minorHAnsi" w:hAnsiTheme="minorHAnsi" w:cstheme="minorHAnsi"/>
              </w:rPr>
              <w:footnoteReference w:id="77"/>
            </w:r>
            <w:r w:rsidR="001A6E75" w:rsidRPr="001A6E75">
              <w:t xml:space="preserve"> in early August, and generally covers information on children’s enrolment and attendance in preschool, broken down by, inter alia, jurisdiction, delivery setting, socio-economic disadvantage, Indigenous </w:t>
            </w:r>
            <w:proofErr w:type="gramStart"/>
            <w:r w:rsidR="001A6E75" w:rsidRPr="001A6E75">
              <w:t>status</w:t>
            </w:r>
            <w:proofErr w:type="gramEnd"/>
            <w:r w:rsidR="001A6E75" w:rsidRPr="001A6E75">
              <w:t xml:space="preserve"> and geo-location. </w:t>
            </w:r>
          </w:p>
          <w:p w14:paraId="06030F73" w14:textId="77777777" w:rsidR="00014790" w:rsidRPr="002B7A6E" w:rsidRDefault="001A6E75" w:rsidP="00771346">
            <w:pPr>
              <w:pStyle w:val="longformcalloutnumber"/>
              <w:numPr>
                <w:ilvl w:val="0"/>
                <w:numId w:val="0"/>
              </w:numPr>
              <w:rPr>
                <w:b/>
              </w:rPr>
            </w:pPr>
            <w:r w:rsidRPr="001A6E75">
              <w:t xml:space="preserve">Data is collected and validated by each jurisdiction prior to submission to the ABS. The timeframe for this varies, but generally takes around 2 to 3 months. The ABS then </w:t>
            </w:r>
            <w:proofErr w:type="gramStart"/>
            <w:r w:rsidRPr="001A6E75">
              <w:t>collates</w:t>
            </w:r>
            <w:proofErr w:type="gramEnd"/>
            <w:r w:rsidRPr="001A6E75">
              <w:t xml:space="preserve"> the dataset, verifies data </w:t>
            </w:r>
            <w:r w:rsidRPr="001A6E75">
              <w:lastRenderedPageBreak/>
              <w:t xml:space="preserve">with jurisdictions, and prepares the collection for publication. The first publication of a year’s preschool data occurs in February the following year, with summary data tables released (which relate to the UANP </w:t>
            </w:r>
            <w:r w:rsidR="00E565ED">
              <w:t>performance indicator</w:t>
            </w:r>
            <w:r w:rsidR="00E565ED" w:rsidRPr="001A6E75">
              <w:t xml:space="preserve"> </w:t>
            </w:r>
            <w:r w:rsidRPr="001A6E75">
              <w:t>measures). Following this, the full publication is made available in March.</w:t>
            </w:r>
          </w:p>
        </w:tc>
      </w:tr>
    </w:tbl>
    <w:p w14:paraId="12DB9E6D" w14:textId="77777777" w:rsidR="00F129B5" w:rsidRDefault="00F129B5" w:rsidP="00F129B5">
      <w:pPr>
        <w:pStyle w:val="Bullet"/>
        <w:spacing w:after="0"/>
      </w:pPr>
    </w:p>
    <w:p w14:paraId="0E596DBA" w14:textId="77777777" w:rsidR="00A3311E" w:rsidRDefault="00F2397C" w:rsidP="006B084D">
      <w:pPr>
        <w:pStyle w:val="Bullet"/>
      </w:pPr>
      <w:r w:rsidRPr="001A6E75">
        <w:t xml:space="preserve">While the National Collection provides the best source of national preschool data, there are some limitations in its use. For example, up to the start of 2019, CBDCs were not required to report actual attendance data, so hours enrolled was used as a proxy for that indicator. For assessing UANP performance, States and Territories </w:t>
      </w:r>
      <w:r w:rsidR="00277258" w:rsidRPr="001A6E75">
        <w:t>can</w:t>
      </w:r>
      <w:r w:rsidRPr="001A6E75">
        <w:t xml:space="preserve"> supplement National Collection data with additional information. Many jurisdictions do provide such data, for example, the ACT uses information from the AEDC for calculating performance in relation to enrolment by vulnerable and disadvantaged children, and the NT provides additional data relating to children’s participation in Families as First Teachers for inclusion. The outcome of this process results in a final performance assessment for each State and Territory against </w:t>
      </w:r>
      <w:r w:rsidR="00E565ED">
        <w:t>Performance Indicators</w:t>
      </w:r>
      <w:r w:rsidR="00E565ED" w:rsidRPr="001A6E75">
        <w:t xml:space="preserve"> </w:t>
      </w:r>
      <w:r w:rsidRPr="001A6E75">
        <w:t xml:space="preserve">2 and 3 (for which payments are tied, including in relation to target cohorts) and </w:t>
      </w:r>
      <w:r w:rsidR="00E565ED">
        <w:t>Performance Indicator</w:t>
      </w:r>
      <w:r w:rsidR="00E565ED" w:rsidRPr="001A6E75">
        <w:t xml:space="preserve"> </w:t>
      </w:r>
      <w:r w:rsidRPr="001A6E75">
        <w:t xml:space="preserve">4 relating to attendance. </w:t>
      </w:r>
    </w:p>
    <w:p w14:paraId="17D33FE8" w14:textId="77777777" w:rsidR="00477313" w:rsidRPr="001663C8" w:rsidRDefault="00CB7C31" w:rsidP="00F2397C">
      <w:pPr>
        <w:pStyle w:val="Bullet"/>
      </w:pPr>
      <w:r w:rsidRPr="00477313">
        <w:t xml:space="preserve">The measurement of </w:t>
      </w:r>
      <w:r w:rsidR="00E565ED">
        <w:t>Performance Indicator</w:t>
      </w:r>
      <w:r w:rsidR="00E565ED" w:rsidRPr="00477313">
        <w:t xml:space="preserve"> </w:t>
      </w:r>
      <w:r w:rsidRPr="00477313">
        <w:t xml:space="preserve">4 </w:t>
      </w:r>
      <w:r w:rsidR="00AC553D">
        <w:t xml:space="preserve">(attendance) </w:t>
      </w:r>
      <w:r w:rsidRPr="00477313">
        <w:t xml:space="preserve">is </w:t>
      </w:r>
      <w:r w:rsidR="00BB3FD2">
        <w:t xml:space="preserve">highly problematic. </w:t>
      </w:r>
      <w:r w:rsidR="00AC553D">
        <w:t>D</w:t>
      </w:r>
      <w:r w:rsidR="00BB3FD2">
        <w:t xml:space="preserve">ue to differences in </w:t>
      </w:r>
      <w:r w:rsidR="00AC553D">
        <w:t xml:space="preserve">the </w:t>
      </w:r>
      <w:r w:rsidR="00BB3FD2">
        <w:t xml:space="preserve">reliability of attendance data across provider-types and jurisdictions, the </w:t>
      </w:r>
      <w:r w:rsidR="00574CEF">
        <w:t>UANP</w:t>
      </w:r>
      <w:r w:rsidR="00BB3FD2">
        <w:t xml:space="preserve"> </w:t>
      </w:r>
      <w:r w:rsidR="00014790">
        <w:t xml:space="preserve">measures </w:t>
      </w:r>
      <w:r w:rsidR="00BB3FD2">
        <w:t>the</w:t>
      </w:r>
      <w:r w:rsidR="00477313" w:rsidRPr="00477313" w:rsidDel="00014790">
        <w:t xml:space="preserve"> </w:t>
      </w:r>
      <w:r w:rsidR="00014790">
        <w:t xml:space="preserve">Attendance </w:t>
      </w:r>
      <w:r w:rsidR="00E565ED">
        <w:t xml:space="preserve">performance indicator </w:t>
      </w:r>
      <w:r w:rsidR="00014790">
        <w:t xml:space="preserve">as the proportion </w:t>
      </w:r>
      <w:r w:rsidR="00477313" w:rsidRPr="00477313">
        <w:t xml:space="preserve">of </w:t>
      </w:r>
      <w:r w:rsidR="00BB3FD2">
        <w:t>attendance in preschool programs</w:t>
      </w:r>
      <w:r w:rsidR="00477313" w:rsidRPr="00477313">
        <w:t xml:space="preserve"> for at least </w:t>
      </w:r>
      <w:r w:rsidR="00BB3FD2" w:rsidRPr="00CD1B5A">
        <w:t>1</w:t>
      </w:r>
      <w:r w:rsidR="00477313" w:rsidRPr="00477313">
        <w:t xml:space="preserve"> hour </w:t>
      </w:r>
      <w:r w:rsidR="00BB3FD2" w:rsidRPr="00CD1B5A">
        <w:t>in</w:t>
      </w:r>
      <w:r w:rsidR="00477313" w:rsidRPr="00477313">
        <w:t xml:space="preserve"> the reference week</w:t>
      </w:r>
      <w:r w:rsidR="00525FC5">
        <w:t xml:space="preserve"> as </w:t>
      </w:r>
      <w:r w:rsidR="00BB3FD2" w:rsidRPr="00CD1B5A">
        <w:t>agreed to by jurisdictions</w:t>
      </w:r>
      <w:r w:rsidR="00BB3FD2">
        <w:t xml:space="preserve">. This </w:t>
      </w:r>
      <w:r w:rsidR="00BB3FD2" w:rsidRPr="00FF7361">
        <w:t>definition</w:t>
      </w:r>
      <w:r w:rsidR="00525FC5">
        <w:t xml:space="preserve"> is </w:t>
      </w:r>
      <w:r w:rsidR="00BB3FD2" w:rsidRPr="00FF7361">
        <w:t xml:space="preserve">essentially an enrolment proxy, designed to eliminate any enrolments of children </w:t>
      </w:r>
      <w:r w:rsidR="00014790">
        <w:t xml:space="preserve">who </w:t>
      </w:r>
      <w:r w:rsidR="00BB3FD2" w:rsidRPr="00FF7361">
        <w:t>do not attend at all</w:t>
      </w:r>
      <w:r w:rsidR="00BB3FD2">
        <w:t>, and fails to capture</w:t>
      </w:r>
      <w:r w:rsidR="00525FC5">
        <w:t xml:space="preserve"> the </w:t>
      </w:r>
      <w:r w:rsidR="00BB3FD2">
        <w:t xml:space="preserve">intent of </w:t>
      </w:r>
      <w:r w:rsidR="007B1919">
        <w:t xml:space="preserve">the </w:t>
      </w:r>
      <w:r w:rsidR="00574CEF">
        <w:t>UANP</w:t>
      </w:r>
      <w:r w:rsidR="00BB3FD2">
        <w:t xml:space="preserve"> to </w:t>
      </w:r>
      <w:r w:rsidR="00BB3FD2" w:rsidRPr="00FF7361">
        <w:t>ensur</w:t>
      </w:r>
      <w:r w:rsidR="00BB3FD2">
        <w:t>e</w:t>
      </w:r>
      <w:r w:rsidR="00BB3FD2" w:rsidRPr="00FF7361">
        <w:t xml:space="preserve"> that children </w:t>
      </w:r>
      <w:r w:rsidR="00BF6112">
        <w:t>participate regularly to gain the benefits that come from preschool</w:t>
      </w:r>
      <w:r w:rsidR="00BB3FD2">
        <w:t>.</w:t>
      </w:r>
      <w:r w:rsidR="00525FC5" w:rsidRPr="00477313">
        <w:t xml:space="preserve"> </w:t>
      </w:r>
      <w:r w:rsidR="00477313" w:rsidRPr="00477313">
        <w:t xml:space="preserve">Noting the limitations of this measure, and </w:t>
      </w:r>
      <w:r w:rsidR="007B1919">
        <w:t xml:space="preserve">recognising </w:t>
      </w:r>
      <w:r w:rsidR="00477313" w:rsidRPr="00477313">
        <w:t>that preschool is not compulsory, progress against this indicator is reported but not tied to payments.</w:t>
      </w:r>
    </w:p>
    <w:p w14:paraId="1E4757C3" w14:textId="77777777" w:rsidR="00F2397C" w:rsidRPr="001663C8" w:rsidRDefault="00F2397C" w:rsidP="00F2397C">
      <w:pPr>
        <w:pStyle w:val="Heading5"/>
      </w:pPr>
      <w:bookmarkStart w:id="176" w:name="_Hlk24563441"/>
      <w:r w:rsidRPr="001663C8">
        <w:t>There is a lack of outcomes</w:t>
      </w:r>
      <w:r w:rsidR="007E4FE8">
        <w:t xml:space="preserve"> </w:t>
      </w:r>
      <w:r w:rsidRPr="001663C8">
        <w:t xml:space="preserve">measures </w:t>
      </w:r>
    </w:p>
    <w:bookmarkEnd w:id="176"/>
    <w:p w14:paraId="31FE9B53" w14:textId="63340B59" w:rsidR="001663C8" w:rsidRDefault="001663C8" w:rsidP="009138D0">
      <w:pPr>
        <w:pStyle w:val="Bullet"/>
        <w:spacing w:after="240"/>
      </w:pPr>
      <w:r w:rsidRPr="001663C8">
        <w:t xml:space="preserve">The UANP and related investments have contributed to positive outcomes and have largely maintained the initial </w:t>
      </w:r>
      <w:r w:rsidRPr="007178FF">
        <w:t xml:space="preserve">gains in preschool enrolment and attendance across Australia. </w:t>
      </w:r>
      <w:r w:rsidR="00463EF7" w:rsidRPr="007178FF">
        <w:t xml:space="preserve">While this is important, it is only part of the picture. </w:t>
      </w:r>
      <w:r w:rsidR="00463EF7">
        <w:t>A</w:t>
      </w:r>
      <w:r w:rsidR="00463EF7" w:rsidRPr="001663C8">
        <w:t xml:space="preserve"> lack of outcome-focused measures limits the ability to demonstrate a child’s genuine development and progress. </w:t>
      </w:r>
      <w:r w:rsidRPr="007178FF">
        <w:t xml:space="preserve">There is no longitudinal measure at the individual level or measures </w:t>
      </w:r>
      <w:r w:rsidR="007E4FE8">
        <w:t>for</w:t>
      </w:r>
      <w:r w:rsidRPr="007178FF">
        <w:t xml:space="preserve"> engagement t</w:t>
      </w:r>
      <w:r w:rsidR="007E4FE8">
        <w:t xml:space="preserve">hat provide insight into </w:t>
      </w:r>
      <w:r w:rsidRPr="007178FF">
        <w:t xml:space="preserve">the extent to which preschool is having an impact (and why). </w:t>
      </w:r>
      <w:r w:rsidR="007E4FE8">
        <w:t>I</w:t>
      </w:r>
      <w:r w:rsidRPr="007178FF">
        <w:t xml:space="preserve">n </w:t>
      </w:r>
      <w:r w:rsidR="008F7577">
        <w:t>Chapter</w:t>
      </w:r>
      <w:r w:rsidR="008F7577" w:rsidRPr="00272ABB">
        <w:t xml:space="preserve"> </w:t>
      </w:r>
      <w:r w:rsidR="00F84117" w:rsidRPr="000841B6">
        <w:fldChar w:fldCharType="begin"/>
      </w:r>
      <w:r w:rsidR="00F84117" w:rsidRPr="000841B6">
        <w:instrText xml:space="preserve"> REF _Ref24557211 \r \h </w:instrText>
      </w:r>
      <w:r w:rsidR="000841B6">
        <w:instrText xml:space="preserve"> \* MERGEFORMAT </w:instrText>
      </w:r>
      <w:r w:rsidR="00F84117" w:rsidRPr="000841B6">
        <w:fldChar w:fldCharType="separate"/>
      </w:r>
      <w:r w:rsidR="00B37785">
        <w:t>6.4</w:t>
      </w:r>
      <w:r w:rsidR="00F84117" w:rsidRPr="000841B6">
        <w:fldChar w:fldCharType="end"/>
      </w:r>
      <w:r w:rsidR="00F84117" w:rsidRPr="000841B6">
        <w:rPr>
          <w:rFonts w:eastAsiaTheme="minorHAnsi"/>
        </w:rPr>
        <w:t>,</w:t>
      </w:r>
      <w:r w:rsidRPr="000841B6">
        <w:rPr>
          <w:rFonts w:eastAsiaTheme="minorHAnsi"/>
        </w:rPr>
        <w:t xml:space="preserve"> </w:t>
      </w:r>
      <w:r w:rsidRPr="007178FF">
        <w:t xml:space="preserve">we </w:t>
      </w:r>
      <w:r w:rsidR="00017838">
        <w:t xml:space="preserve">further </w:t>
      </w:r>
      <w:r w:rsidR="007E4FE8">
        <w:t>discuss the need to address this.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811AE9" w14:paraId="6E37CE51" w14:textId="77777777" w:rsidTr="00941D01">
        <w:tc>
          <w:tcPr>
            <w:tcW w:w="8930" w:type="dxa"/>
            <w:shd w:val="clear" w:color="auto" w:fill="00264D" w:themeFill="background2"/>
          </w:tcPr>
          <w:p w14:paraId="0F997D92" w14:textId="77777777" w:rsidR="00811AE9" w:rsidRPr="006C71B3" w:rsidRDefault="00811AE9" w:rsidP="00941D01">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5</w:t>
            </w:r>
          </w:p>
          <w:p w14:paraId="0E730948" w14:textId="77777777" w:rsidR="00811AE9" w:rsidRPr="00030D73" w:rsidRDefault="00811AE9" w:rsidP="00941D01">
            <w:pPr>
              <w:pStyle w:val="Longformcallout"/>
              <w:spacing w:after="0"/>
              <w:rPr>
                <w:rFonts w:asciiTheme="majorHAnsi" w:hAnsiTheme="majorHAnsi" w:cstheme="majorBidi"/>
                <w:sz w:val="24"/>
                <w:szCs w:val="24"/>
              </w:rPr>
            </w:pPr>
            <w:r w:rsidRPr="00811AE9">
              <w:rPr>
                <w:rFonts w:asciiTheme="majorHAnsi" w:hAnsiTheme="majorHAnsi" w:cstheme="majorBidi"/>
                <w:color w:val="FFFFFF" w:themeColor="background1"/>
                <w:sz w:val="20"/>
                <w:szCs w:val="20"/>
              </w:rPr>
              <w:t xml:space="preserve">The UANP’s </w:t>
            </w:r>
            <w:r w:rsidR="00FC42C6">
              <w:rPr>
                <w:rFonts w:asciiTheme="majorHAnsi" w:hAnsiTheme="majorHAnsi" w:cstheme="majorBidi"/>
                <w:color w:val="FFFFFF" w:themeColor="background1"/>
                <w:sz w:val="20"/>
                <w:szCs w:val="20"/>
              </w:rPr>
              <w:t>p</w:t>
            </w:r>
            <w:r w:rsidRPr="00811AE9">
              <w:rPr>
                <w:rFonts w:asciiTheme="majorHAnsi" w:hAnsiTheme="majorHAnsi" w:cstheme="majorBidi"/>
                <w:color w:val="FFFFFF" w:themeColor="background1"/>
                <w:sz w:val="20"/>
                <w:szCs w:val="20"/>
              </w:rPr>
              <w:t xml:space="preserve">erformance </w:t>
            </w:r>
            <w:r w:rsidR="00FC42C6">
              <w:rPr>
                <w:rFonts w:asciiTheme="majorHAnsi" w:hAnsiTheme="majorHAnsi" w:cstheme="majorBidi"/>
                <w:color w:val="FFFFFF" w:themeColor="background1"/>
                <w:sz w:val="20"/>
                <w:szCs w:val="20"/>
              </w:rPr>
              <w:t>i</w:t>
            </w:r>
            <w:r w:rsidRPr="00811AE9">
              <w:rPr>
                <w:rFonts w:asciiTheme="majorHAnsi" w:hAnsiTheme="majorHAnsi" w:cstheme="majorBidi"/>
                <w:color w:val="FFFFFF" w:themeColor="background1"/>
                <w:sz w:val="20"/>
                <w:szCs w:val="20"/>
              </w:rPr>
              <w:t xml:space="preserve">ndicators are </w:t>
            </w:r>
            <w:r w:rsidR="00B60F56">
              <w:rPr>
                <w:rFonts w:asciiTheme="majorHAnsi" w:hAnsiTheme="majorHAnsi" w:cstheme="majorBidi"/>
                <w:color w:val="FFFFFF" w:themeColor="background1"/>
                <w:sz w:val="20"/>
                <w:szCs w:val="20"/>
              </w:rPr>
              <w:t>relevant</w:t>
            </w:r>
            <w:r w:rsidR="007E4FE8">
              <w:rPr>
                <w:rFonts w:asciiTheme="majorHAnsi" w:hAnsiTheme="majorHAnsi" w:cstheme="majorBidi"/>
                <w:color w:val="FFFFFF" w:themeColor="background1"/>
                <w:sz w:val="20"/>
                <w:szCs w:val="20"/>
              </w:rPr>
              <w:t xml:space="preserve">, if lacking any </w:t>
            </w:r>
            <w:r w:rsidRPr="00811AE9">
              <w:rPr>
                <w:rFonts w:asciiTheme="majorHAnsi" w:hAnsiTheme="majorHAnsi" w:cstheme="majorBidi"/>
                <w:color w:val="FFFFFF" w:themeColor="background1"/>
                <w:sz w:val="20"/>
                <w:szCs w:val="20"/>
              </w:rPr>
              <w:t>outcome measures</w:t>
            </w:r>
            <w:r w:rsidRPr="0C5679B2">
              <w:rPr>
                <w:rFonts w:asciiTheme="majorHAnsi" w:hAnsiTheme="majorHAnsi" w:cstheme="majorBidi"/>
                <w:color w:val="FFFFFF" w:themeColor="background1"/>
                <w:sz w:val="20"/>
                <w:szCs w:val="20"/>
              </w:rPr>
              <w:t>.</w:t>
            </w:r>
          </w:p>
        </w:tc>
      </w:tr>
    </w:tbl>
    <w:p w14:paraId="6DF2FE59" w14:textId="77777777" w:rsidR="00D15CAA" w:rsidRDefault="00E268CB" w:rsidP="00C226A9">
      <w:pPr>
        <w:pStyle w:val="Heading2"/>
      </w:pPr>
      <w:bookmarkStart w:id="177" w:name="_Toc24550657"/>
      <w:bookmarkStart w:id="178" w:name="_Ref24091085"/>
      <w:bookmarkStart w:id="179" w:name="_Toc24559599"/>
      <w:bookmarkStart w:id="180" w:name="_Toc54597787"/>
      <w:bookmarkEnd w:id="177"/>
      <w:r>
        <w:t xml:space="preserve">The </w:t>
      </w:r>
      <w:r w:rsidR="00AF43D1">
        <w:t xml:space="preserve">UANP’s quality, enrolment and attendance </w:t>
      </w:r>
      <w:r>
        <w:t xml:space="preserve">measures raise </w:t>
      </w:r>
      <w:r w:rsidR="00277258">
        <w:t>several</w:t>
      </w:r>
      <w:r>
        <w:t xml:space="preserve"> challenges</w:t>
      </w:r>
      <w:bookmarkEnd w:id="178"/>
      <w:bookmarkEnd w:id="179"/>
      <w:bookmarkEnd w:id="180"/>
    </w:p>
    <w:p w14:paraId="1E147F2A" w14:textId="77777777" w:rsidR="00B204CD" w:rsidRPr="00B204CD" w:rsidRDefault="00D15CAA" w:rsidP="00C16E13">
      <w:pPr>
        <w:pStyle w:val="Bullet"/>
      </w:pPr>
      <w:r>
        <w:t>T</w:t>
      </w:r>
      <w:r w:rsidR="007F0C4F">
        <w:t xml:space="preserve">he </w:t>
      </w:r>
      <w:r w:rsidR="009B251A">
        <w:t xml:space="preserve">introduction of </w:t>
      </w:r>
      <w:r w:rsidR="007F0C4F">
        <w:t xml:space="preserve">the </w:t>
      </w:r>
      <w:r w:rsidR="00DD6CD4">
        <w:t>UANP</w:t>
      </w:r>
      <w:r w:rsidR="007F0C4F">
        <w:t xml:space="preserve"> in </w:t>
      </w:r>
      <w:r w:rsidR="009B251A">
        <w:t>2008</w:t>
      </w:r>
      <w:r w:rsidR="007F0C4F">
        <w:t xml:space="preserve">, </w:t>
      </w:r>
      <w:r w:rsidR="00B204CD" w:rsidRPr="00B204CD">
        <w:t>and complementary major reforms of the preschool sector</w:t>
      </w:r>
      <w:r w:rsidR="00675470">
        <w:t xml:space="preserve"> in the broader early childhood education and care sector (including preschool)</w:t>
      </w:r>
      <w:r w:rsidR="00B204CD" w:rsidRPr="00B204CD">
        <w:t xml:space="preserve"> </w:t>
      </w:r>
      <w:r>
        <w:t xml:space="preserve">have driven national improvements in </w:t>
      </w:r>
      <w:r w:rsidR="00675470">
        <w:t xml:space="preserve">data collection, </w:t>
      </w:r>
      <w:proofErr w:type="gramStart"/>
      <w:r>
        <w:t>measurement</w:t>
      </w:r>
      <w:proofErr w:type="gramEnd"/>
      <w:r>
        <w:t xml:space="preserve"> and reporting. </w:t>
      </w:r>
      <w:r w:rsidR="00362C31">
        <w:t>National data is important to build a consistent picture of progress that jurisdiction-level data cannot provide due to inconsistent methods and approaches</w:t>
      </w:r>
      <w:r w:rsidR="00E268CB">
        <w:t xml:space="preserve"> and</w:t>
      </w:r>
      <w:r w:rsidR="00362C31">
        <w:t xml:space="preserve"> </w:t>
      </w:r>
      <w:r w:rsidR="00E268CB">
        <w:t>t</w:t>
      </w:r>
      <w:r w:rsidR="00362C31">
        <w:t>he Australian Government has committed funding to data development as part of the U</w:t>
      </w:r>
      <w:r w:rsidR="00560BE0">
        <w:t>AN</w:t>
      </w:r>
      <w:r w:rsidR="00362C31">
        <w:t>P.</w:t>
      </w:r>
    </w:p>
    <w:p w14:paraId="135F3837" w14:textId="77777777" w:rsidR="00B2322F" w:rsidRPr="00B204CD" w:rsidRDefault="00B204CD" w:rsidP="00C16E13">
      <w:pPr>
        <w:pStyle w:val="Bullet"/>
      </w:pPr>
      <w:r w:rsidRPr="00B204CD">
        <w:t xml:space="preserve">This section </w:t>
      </w:r>
      <w:r w:rsidR="00D15CAA">
        <w:t xml:space="preserve">focuses </w:t>
      </w:r>
      <w:r w:rsidR="00675470">
        <w:t>whether the measurement of performance is sound, including whether it is based on robust data</w:t>
      </w:r>
      <w:r w:rsidR="00B2322F" w:rsidRPr="00B204CD">
        <w:t>.</w:t>
      </w:r>
    </w:p>
    <w:p w14:paraId="46FC542C" w14:textId="77777777" w:rsidR="00F2397C" w:rsidRPr="009D67C2" w:rsidRDefault="00F2397C" w:rsidP="00F2397C">
      <w:pPr>
        <w:pStyle w:val="Heading4"/>
      </w:pPr>
      <w:r>
        <w:lastRenderedPageBreak/>
        <w:t>Measurement of t</w:t>
      </w:r>
      <w:r w:rsidRPr="009D67C2">
        <w:t xml:space="preserve">he UANP’s teacher qualification </w:t>
      </w:r>
      <w:r w:rsidR="00FC42C6">
        <w:t>p</w:t>
      </w:r>
      <w:r>
        <w:t xml:space="preserve">erformance </w:t>
      </w:r>
      <w:r w:rsidR="00FC42C6">
        <w:t>i</w:t>
      </w:r>
      <w:r>
        <w:t>ndicator</w:t>
      </w:r>
      <w:r w:rsidRPr="009D67C2">
        <w:t xml:space="preserve"> has resulted in inconsistency</w:t>
      </w:r>
      <w:r>
        <w:t xml:space="preserve"> between service types</w:t>
      </w:r>
    </w:p>
    <w:p w14:paraId="5935ECAE" w14:textId="2C2F1BE6" w:rsidR="00E268CB" w:rsidRDefault="00E268CB" w:rsidP="00E268CB">
      <w:pPr>
        <w:pStyle w:val="Bullet"/>
      </w:pPr>
      <w:r>
        <w:t xml:space="preserve">Performance Indicator 1 uses the level of qualifications held by the preschool educator as a proxy measure of quality, measuring the proportion of preschool programs delivered by a degree qualified ECT. </w:t>
      </w:r>
      <w:r w:rsidRPr="0093484E">
        <w:t>Since 1</w:t>
      </w:r>
      <w:r>
        <w:t> </w:t>
      </w:r>
      <w:r w:rsidRPr="0093484E">
        <w:t>January</w:t>
      </w:r>
      <w:r>
        <w:t> </w:t>
      </w:r>
      <w:r w:rsidRPr="0093484E">
        <w:t xml:space="preserve">2014, changes to the </w:t>
      </w:r>
      <w:r>
        <w:t>NQF</w:t>
      </w:r>
      <w:r w:rsidRPr="0093484E">
        <w:t xml:space="preserve"> resulted in a requirement that all </w:t>
      </w:r>
      <w:r>
        <w:t xml:space="preserve">CBDC and </w:t>
      </w:r>
      <w:r w:rsidRPr="0093484E">
        <w:t xml:space="preserve">preschool services providing care must have access to an </w:t>
      </w:r>
      <w:r>
        <w:t>ECT</w:t>
      </w:r>
      <w:r w:rsidRPr="0093484E">
        <w:t>. Consequently, for the purpose of the UANP</w:t>
      </w:r>
      <w:r>
        <w:t>,</w:t>
      </w:r>
      <w:r w:rsidRPr="0093484E">
        <w:t xml:space="preserve"> </w:t>
      </w:r>
      <w:r w:rsidR="00E565ED">
        <w:t>Performance</w:t>
      </w:r>
      <w:r w:rsidR="000535D6">
        <w:t> </w:t>
      </w:r>
      <w:r w:rsidR="00E565ED">
        <w:t>Indicator</w:t>
      </w:r>
      <w:r w:rsidR="00E565ED" w:rsidRPr="0093484E">
        <w:t xml:space="preserve"> </w:t>
      </w:r>
      <w:r w:rsidRPr="0093484E">
        <w:t>1 is taken as achieved</w:t>
      </w:r>
      <w:r>
        <w:t xml:space="preserve"> on the basis that the NQF requires services to have access to an ECT</w:t>
      </w:r>
      <w:r w:rsidRPr="0093484E">
        <w:t>.</w:t>
      </w:r>
      <w:r>
        <w:t xml:space="preserve"> This assumes that:</w:t>
      </w:r>
    </w:p>
    <w:p w14:paraId="04C5C11B" w14:textId="77777777" w:rsidR="00E268CB" w:rsidRDefault="00E268CB" w:rsidP="00196B73">
      <w:pPr>
        <w:pStyle w:val="Bullet"/>
        <w:numPr>
          <w:ilvl w:val="0"/>
          <w:numId w:val="23"/>
        </w:numPr>
      </w:pPr>
      <w:r>
        <w:t>the NQF requirement of access to a qualified ECT is equivalent to the UANP objective of the program being delivered by a qualified ECT; and</w:t>
      </w:r>
    </w:p>
    <w:p w14:paraId="318DDFE2" w14:textId="77777777" w:rsidR="00E268CB" w:rsidRDefault="00E268CB" w:rsidP="00196B73">
      <w:pPr>
        <w:pStyle w:val="Bullet"/>
        <w:numPr>
          <w:ilvl w:val="0"/>
          <w:numId w:val="23"/>
        </w:numPr>
      </w:pPr>
      <w:r>
        <w:t>all providers of a preschool program are compliant with the NQF requirement.</w:t>
      </w:r>
    </w:p>
    <w:p w14:paraId="2AD2A7FC" w14:textId="5F66EFF8" w:rsidR="00E268CB" w:rsidRDefault="00E268CB" w:rsidP="00E268CB">
      <w:pPr>
        <w:pStyle w:val="Bullet"/>
      </w:pPr>
      <w:r>
        <w:t>T</w:t>
      </w:r>
      <w:r w:rsidRPr="009D67C2">
        <w:t>here is a clear definitional difference between the program being ‘delivered by’ a qualified ECT and the NQF</w:t>
      </w:r>
      <w:r>
        <w:t>’s</w:t>
      </w:r>
      <w:r w:rsidRPr="009D67C2">
        <w:t xml:space="preserve"> requirements for ‘centre-based services educating and caring for children preschool age and under’ (i.e. including CBDCs and preschools) to ‘engage or have access to’ an ECT based on the number and age of children at the service. For example, under the NQF, services with </w:t>
      </w:r>
      <w:r>
        <w:t>fewer</w:t>
      </w:r>
      <w:r w:rsidRPr="009D67C2">
        <w:t xml:space="preserve"> than 25 children need only have access to a</w:t>
      </w:r>
      <w:r w:rsidR="007E3A5E">
        <w:t xml:space="preserve"> qualified</w:t>
      </w:r>
      <w:r w:rsidRPr="009D67C2">
        <w:t xml:space="preserve"> ECT for 20 per cent of the time the service is operating, and this can include access through an information communication technology solution. </w:t>
      </w:r>
      <w:r w:rsidR="0060128E">
        <w:t>Further, u</w:t>
      </w:r>
      <w:r w:rsidR="0060128E" w:rsidRPr="0060128E">
        <w:t xml:space="preserve">nder the current UANP data specifications, all program hours delivered </w:t>
      </w:r>
      <w:r w:rsidR="0002533B">
        <w:t xml:space="preserve">by a qualified </w:t>
      </w:r>
      <w:r w:rsidR="00402190">
        <w:t>ECT</w:t>
      </w:r>
      <w:r w:rsidR="0002533B">
        <w:t xml:space="preserve"> and in accordance with the National Quality Standard </w:t>
      </w:r>
      <w:r w:rsidR="0060128E" w:rsidRPr="0060128E">
        <w:t xml:space="preserve">are counted as quality preschool. For the program hours to be counted, it is only necessary for an </w:t>
      </w:r>
      <w:r w:rsidR="00832109">
        <w:t>ECT</w:t>
      </w:r>
      <w:r w:rsidR="0060128E" w:rsidRPr="0060128E">
        <w:t xml:space="preserve"> to be present at the service for one hour or more per week, and this requirement can be </w:t>
      </w:r>
      <w:r w:rsidR="00DC3625">
        <w:t xml:space="preserve">satisfied </w:t>
      </w:r>
      <w:r w:rsidR="0060128E" w:rsidRPr="0060128E">
        <w:t>through a waiver.</w:t>
      </w:r>
    </w:p>
    <w:p w14:paraId="6E8341F1" w14:textId="77777777" w:rsidR="00F2397C" w:rsidRDefault="00F2397C" w:rsidP="00E268CB">
      <w:pPr>
        <w:pStyle w:val="Bullet"/>
      </w:pPr>
      <w:r>
        <w:t xml:space="preserve">In terms of data available to measure this indicator, while the National Collection retains an indicator relating to ‘delivered by an ECT’, the data quality is limited. Most notably, the </w:t>
      </w:r>
      <w:r w:rsidR="0041413D">
        <w:t>CCS</w:t>
      </w:r>
      <w:r>
        <w:t xml:space="preserve"> administrative data does not fully capture the extent to which a preschool program is actually delivered by a qualified teacher.</w:t>
      </w:r>
    </w:p>
    <w:p w14:paraId="3C859AC2" w14:textId="012F3F37" w:rsidR="0060128E" w:rsidRDefault="00E268CB" w:rsidP="0060128E">
      <w:pPr>
        <w:pStyle w:val="Bullet"/>
      </w:pPr>
      <w:r w:rsidRPr="009D67C2">
        <w:t>This means that UANP-funded preschool programs are not necessarily being delivered by a qualified ECT.</w:t>
      </w:r>
      <w:r>
        <w:rPr>
          <w:rStyle w:val="FootnoteReference"/>
        </w:rPr>
        <w:footnoteReference w:id="78"/>
      </w:r>
      <w:r w:rsidRPr="00F9585B">
        <w:t xml:space="preserve"> </w:t>
      </w:r>
      <w:r w:rsidR="003E52E4">
        <w:t>Not all jurisdictions</w:t>
      </w:r>
      <w:r>
        <w:t xml:space="preserve"> </w:t>
      </w:r>
      <w:r w:rsidR="00EF6D17">
        <w:t xml:space="preserve">verify </w:t>
      </w:r>
      <w:r>
        <w:t xml:space="preserve">direct delivery by a qualified ECT. </w:t>
      </w:r>
      <w:proofErr w:type="gramStart"/>
      <w:r w:rsidR="0060128E">
        <w:t>T</w:t>
      </w:r>
      <w:r w:rsidR="0060128E" w:rsidRPr="0060128E">
        <w:t>h</w:t>
      </w:r>
      <w:r w:rsidR="003E52E4">
        <w:t>is</w:t>
      </w:r>
      <w:r w:rsidR="0060128E" w:rsidRPr="0060128E">
        <w:t xml:space="preserve"> mask</w:t>
      </w:r>
      <w:r w:rsidR="003E52E4">
        <w:t>s</w:t>
      </w:r>
      <w:proofErr w:type="gramEnd"/>
      <w:r w:rsidR="0060128E" w:rsidRPr="0060128E">
        <w:t xml:space="preserve"> a </w:t>
      </w:r>
      <w:r w:rsidR="0060128E">
        <w:t xml:space="preserve">potential </w:t>
      </w:r>
      <w:r w:rsidR="0060128E" w:rsidRPr="0060128E">
        <w:t xml:space="preserve">shortcoming of current provision, and this is unlikely to be addressed unless more stringent </w:t>
      </w:r>
      <w:r w:rsidR="000535D6">
        <w:t>requirements</w:t>
      </w:r>
      <w:r w:rsidR="0060128E" w:rsidRPr="0060128E">
        <w:t xml:space="preserve"> are introduced to ensure that all program hours are planned and delivered by degree</w:t>
      </w:r>
      <w:r w:rsidR="00402190">
        <w:t>-</w:t>
      </w:r>
      <w:r w:rsidR="0060128E" w:rsidRPr="0060128E">
        <w:t>qualified teachers.</w:t>
      </w:r>
      <w:r w:rsidR="00184316">
        <w:t xml:space="preserve"> </w:t>
      </w:r>
    </w:p>
    <w:p w14:paraId="41410C19" w14:textId="77777777" w:rsidR="0060128E" w:rsidRDefault="0060128E" w:rsidP="0060128E">
      <w:pPr>
        <w:pStyle w:val="Bullet"/>
      </w:pPr>
      <w:r>
        <w:t>Finally, t</w:t>
      </w:r>
      <w:r w:rsidR="00E268CB">
        <w:t>he UANP only measures the quality of instructional inputs, notably the qualifications of the professionals delivering the preschool programs, but quality must also consider the quality of the setting, including whether the facilities are safe and conducive to an enriching experience and that the staff ratios are appropriate.</w:t>
      </w:r>
    </w:p>
    <w:p w14:paraId="7779E2EF" w14:textId="77777777" w:rsidR="00D31F8E" w:rsidRDefault="00386E25" w:rsidP="00506D80">
      <w:pPr>
        <w:pStyle w:val="Heading4"/>
      </w:pPr>
      <w:r>
        <w:t xml:space="preserve">Enrolment is </w:t>
      </w:r>
      <w:r w:rsidR="00D31F8E">
        <w:t xml:space="preserve">seen as an </w:t>
      </w:r>
      <w:r>
        <w:t>important</w:t>
      </w:r>
      <w:r w:rsidR="00C226A9">
        <w:t xml:space="preserve"> indicator of progress, but </w:t>
      </w:r>
      <w:r w:rsidR="00C226A9" w:rsidRPr="00C226A9">
        <w:t xml:space="preserve">enrolment calculations for the </w:t>
      </w:r>
      <w:r w:rsidR="00574CEF">
        <w:t>UANP</w:t>
      </w:r>
      <w:r w:rsidR="00C226A9" w:rsidRPr="00C226A9">
        <w:t xml:space="preserve"> are flawed</w:t>
      </w:r>
    </w:p>
    <w:p w14:paraId="1A03F272" w14:textId="77777777" w:rsidR="00DD6CD4" w:rsidRDefault="007F0C4F" w:rsidP="00C16E13">
      <w:pPr>
        <w:pStyle w:val="Bullet"/>
      </w:pPr>
      <w:r>
        <w:t>It is widely accepted that e</w:t>
      </w:r>
      <w:r w:rsidR="007123B2">
        <w:t xml:space="preserve">nrolment </w:t>
      </w:r>
      <w:r w:rsidR="00C226A9">
        <w:t xml:space="preserve">is an important </w:t>
      </w:r>
      <w:r w:rsidR="000356C3">
        <w:t>measure in assessing the progress of universal access</w:t>
      </w:r>
      <w:r>
        <w:t>.</w:t>
      </w:r>
      <w:r w:rsidR="00D51CA6">
        <w:t xml:space="preserve"> </w:t>
      </w:r>
      <w:r w:rsidR="00386E25">
        <w:t xml:space="preserve">Enrolment measures under the </w:t>
      </w:r>
      <w:r w:rsidR="00376D06">
        <w:t>UA</w:t>
      </w:r>
      <w:r w:rsidR="00386E25">
        <w:t xml:space="preserve">NP covers </w:t>
      </w:r>
      <w:r w:rsidR="007123B2">
        <w:t>two related but separate concepts</w:t>
      </w:r>
      <w:r w:rsidR="00386E25">
        <w:t>:</w:t>
      </w:r>
    </w:p>
    <w:p w14:paraId="2478D090" w14:textId="76702728" w:rsidR="00DD6CD4" w:rsidRDefault="007123B2" w:rsidP="0076358F">
      <w:pPr>
        <w:pStyle w:val="Bullet"/>
        <w:numPr>
          <w:ilvl w:val="0"/>
          <w:numId w:val="13"/>
        </w:numPr>
        <w:ind w:left="340" w:hanging="340"/>
      </w:pPr>
      <w:r>
        <w:t>Measuring whether parents are willing</w:t>
      </w:r>
      <w:r w:rsidR="00675470">
        <w:t xml:space="preserve"> and able</w:t>
      </w:r>
      <w:r>
        <w:t xml:space="preserve"> to enrol children in preschool (enrolment rate)</w:t>
      </w:r>
      <w:r w:rsidR="009C6BB8">
        <w:t>.</w:t>
      </w:r>
      <w:r>
        <w:t xml:space="preserve"> </w:t>
      </w:r>
    </w:p>
    <w:p w14:paraId="49E5F349" w14:textId="77777777" w:rsidR="00DD6CD4" w:rsidRDefault="007123B2" w:rsidP="0076358F">
      <w:pPr>
        <w:pStyle w:val="Bullet"/>
        <w:numPr>
          <w:ilvl w:val="0"/>
          <w:numId w:val="13"/>
        </w:numPr>
        <w:ind w:left="340" w:hanging="340"/>
      </w:pPr>
      <w:r>
        <w:t>Measuring the intensity of that enrolment (</w:t>
      </w:r>
      <w:r w:rsidR="00675470">
        <w:t xml:space="preserve">proportion </w:t>
      </w:r>
      <w:r w:rsidR="00620471">
        <w:t>of enrolled children who are enrolled for</w:t>
      </w:r>
      <w:r>
        <w:t xml:space="preserve"> 600 hours or more). </w:t>
      </w:r>
    </w:p>
    <w:p w14:paraId="15B32298" w14:textId="77777777" w:rsidR="00386E25" w:rsidRDefault="000356C3" w:rsidP="008F71D1">
      <w:pPr>
        <w:pStyle w:val="Bullet"/>
      </w:pPr>
      <w:r>
        <w:lastRenderedPageBreak/>
        <w:t xml:space="preserve">The </w:t>
      </w:r>
      <w:r w:rsidR="00574CEF">
        <w:t>UANP</w:t>
      </w:r>
      <w:r>
        <w:t xml:space="preserve"> also e</w:t>
      </w:r>
      <w:r w:rsidR="007123B2">
        <w:t>xamin</w:t>
      </w:r>
      <w:r>
        <w:t>es</w:t>
      </w:r>
      <w:r w:rsidR="007123B2">
        <w:t xml:space="preserve"> specific </w:t>
      </w:r>
      <w:r w:rsidR="007C06CC">
        <w:t xml:space="preserve">target </w:t>
      </w:r>
      <w:r w:rsidR="007123B2">
        <w:t>cohorts</w:t>
      </w:r>
      <w:r w:rsidR="007C06CC">
        <w:t>,</w:t>
      </w:r>
      <w:r>
        <w:t xml:space="preserve"> </w:t>
      </w:r>
      <w:r w:rsidR="004E76E5">
        <w:t>I</w:t>
      </w:r>
      <w:r w:rsidR="007123B2">
        <w:t>ndigenous</w:t>
      </w:r>
      <w:r>
        <w:t xml:space="preserve"> children</w:t>
      </w:r>
      <w:r w:rsidR="007123B2">
        <w:t xml:space="preserve"> </w:t>
      </w:r>
      <w:r>
        <w:t xml:space="preserve">and children who are </w:t>
      </w:r>
      <w:r w:rsidR="007123B2">
        <w:t xml:space="preserve">vulnerable </w:t>
      </w:r>
      <w:r>
        <w:t>and/or disadvantage</w:t>
      </w:r>
      <w:r w:rsidR="005779B8">
        <w:t>d</w:t>
      </w:r>
      <w:r>
        <w:t xml:space="preserve">. Unfortunately, the fundamental approach to enrolment calculations using the </w:t>
      </w:r>
      <w:r w:rsidR="00E76C6E">
        <w:t>PIs</w:t>
      </w:r>
      <w:r>
        <w:t xml:space="preserve"> is flawed</w:t>
      </w:r>
      <w:r w:rsidR="001E73FA">
        <w:t xml:space="preserve">. </w:t>
      </w:r>
    </w:p>
    <w:p w14:paraId="1442EA5A" w14:textId="77777777" w:rsidR="000356C3" w:rsidRDefault="006C6A09" w:rsidP="00506D80">
      <w:pPr>
        <w:pStyle w:val="Heading5"/>
      </w:pPr>
      <w:r>
        <w:t xml:space="preserve">Differences in school starting ages </w:t>
      </w:r>
      <w:r w:rsidR="000356C3">
        <w:t>ha</w:t>
      </w:r>
      <w:r w:rsidR="00E76C6E">
        <w:t>ve</w:t>
      </w:r>
      <w:r w:rsidR="000356C3">
        <w:t xml:space="preserve"> led to a</w:t>
      </w:r>
      <w:r w:rsidR="00E76C6E">
        <w:t xml:space="preserve"> flawed</w:t>
      </w:r>
      <w:r w:rsidR="000356C3">
        <w:t xml:space="preserve"> approach to </w:t>
      </w:r>
      <w:r w:rsidR="007669D1">
        <w:t>enrolment</w:t>
      </w:r>
      <w:r w:rsidR="000356C3">
        <w:t xml:space="preserve"> calc</w:t>
      </w:r>
      <w:r w:rsidR="007669D1">
        <w:t>ul</w:t>
      </w:r>
      <w:r w:rsidR="000356C3">
        <w:t xml:space="preserve">ations </w:t>
      </w:r>
    </w:p>
    <w:p w14:paraId="66253CF5" w14:textId="77777777" w:rsidR="008E5A75" w:rsidRDefault="00F2397C" w:rsidP="00C6540F">
      <w:bookmarkStart w:id="181" w:name="_Hlk24540584"/>
      <w:r>
        <w:t xml:space="preserve">The UANP enrolment measure uses the proxy of the number of </w:t>
      </w:r>
      <w:proofErr w:type="gramStart"/>
      <w:r>
        <w:t>four and five</w:t>
      </w:r>
      <w:r w:rsidR="00017CCB">
        <w:t xml:space="preserve"> </w:t>
      </w:r>
      <w:r>
        <w:t>year</w:t>
      </w:r>
      <w:proofErr w:type="gramEnd"/>
      <w:r w:rsidR="00017CCB">
        <w:t xml:space="preserve"> </w:t>
      </w:r>
      <w:proofErr w:type="spellStart"/>
      <w:r>
        <w:t>olds</w:t>
      </w:r>
      <w:proofErr w:type="spellEnd"/>
      <w:r>
        <w:t xml:space="preserve"> enrolled in preschool, divided by the estimated population of four</w:t>
      </w:r>
      <w:r w:rsidR="00017CCB">
        <w:t xml:space="preserve"> </w:t>
      </w:r>
      <w:r>
        <w:t>year</w:t>
      </w:r>
      <w:r w:rsidR="00017CCB">
        <w:t xml:space="preserve"> </w:t>
      </w:r>
      <w:proofErr w:type="spellStart"/>
      <w:r>
        <w:t>olds</w:t>
      </w:r>
      <w:proofErr w:type="spellEnd"/>
      <w:r>
        <w:t xml:space="preserve">, to provide an enrolment rate. </w:t>
      </w:r>
      <w:r w:rsidR="008E5A75">
        <w:t>This creates two substantive issues:</w:t>
      </w:r>
    </w:p>
    <w:p w14:paraId="3DA08109" w14:textId="77777777" w:rsidR="008E5A75" w:rsidRDefault="008E5A75" w:rsidP="00AA3ABC">
      <w:pPr>
        <w:pStyle w:val="Bullet"/>
        <w:numPr>
          <w:ilvl w:val="0"/>
          <w:numId w:val="13"/>
        </w:numPr>
        <w:ind w:left="340" w:hanging="340"/>
      </w:pPr>
      <w:r>
        <w:t>It overstates the total number of children enrolled in preschool due to the potential for children to be counted as enrolled in YBFS in multiple years</w:t>
      </w:r>
      <w:r w:rsidR="009E1BD6">
        <w:t>, which is sometimes referred to as the ‘repeaters’ issue</w:t>
      </w:r>
      <w:r>
        <w:t>.</w:t>
      </w:r>
    </w:p>
    <w:p w14:paraId="5182FDAD" w14:textId="77777777" w:rsidR="008E5A75" w:rsidRDefault="008E5A75" w:rsidP="00AA3ABC">
      <w:pPr>
        <w:pStyle w:val="Bullet"/>
        <w:numPr>
          <w:ilvl w:val="0"/>
          <w:numId w:val="13"/>
        </w:numPr>
        <w:ind w:left="340" w:hanging="340"/>
      </w:pPr>
      <w:r>
        <w:t>It overstates the proportion of children enrolled for the purposes of PI2, sometimes referred to as the ‘numerator-</w:t>
      </w:r>
      <w:r w:rsidR="00AA3ABC">
        <w:t>denominator</w:t>
      </w:r>
      <w:r>
        <w:t>’ issue</w:t>
      </w:r>
      <w:r w:rsidR="007E3A5E">
        <w:t>,</w:t>
      </w:r>
      <w:r>
        <w:t xml:space="preserve"> due to the use of </w:t>
      </w:r>
      <w:r w:rsidR="00017CCB">
        <w:t xml:space="preserve">four </w:t>
      </w:r>
      <w:r>
        <w:t xml:space="preserve">and </w:t>
      </w:r>
      <w:r w:rsidR="00017CCB">
        <w:t>five</w:t>
      </w:r>
      <w:r>
        <w:t xml:space="preserve"> year old enrolment counts in the numerator, but only </w:t>
      </w:r>
      <w:r w:rsidR="00017CCB">
        <w:t xml:space="preserve">four </w:t>
      </w:r>
      <w:r>
        <w:t>year</w:t>
      </w:r>
      <w:r w:rsidR="00017CCB">
        <w:t xml:space="preserve"> </w:t>
      </w:r>
      <w:r>
        <w:t xml:space="preserve">old </w:t>
      </w:r>
      <w:r w:rsidR="008C620B">
        <w:t>population estimates in the denominator.</w:t>
      </w:r>
      <w:r w:rsidR="00F2397C">
        <w:t xml:space="preserve"> The cohort difference in the numerator and denominator for this measure leads to results over 100 per cent.</w:t>
      </w:r>
    </w:p>
    <w:p w14:paraId="294AB3A9" w14:textId="77777777" w:rsidR="00C6540F" w:rsidRDefault="00C6540F" w:rsidP="00C6540F">
      <w:r w:rsidRPr="0C5679B2">
        <w:t>The ABS ha</w:t>
      </w:r>
      <w:r w:rsidR="00F129B5">
        <w:t>s</w:t>
      </w:r>
      <w:r w:rsidRPr="0C5679B2">
        <w:t xml:space="preserve"> attempted to address the</w:t>
      </w:r>
      <w:r w:rsidR="008C620B">
        <w:t>se</w:t>
      </w:r>
      <w:r w:rsidRPr="0C5679B2">
        <w:t xml:space="preserve"> issue</w:t>
      </w:r>
      <w:r w:rsidR="008C620B">
        <w:t>s</w:t>
      </w:r>
      <w:r w:rsidRPr="0C5679B2" w:rsidDel="008C620B">
        <w:t xml:space="preserve"> </w:t>
      </w:r>
      <w:r w:rsidRPr="0C5679B2">
        <w:t xml:space="preserve">by creating </w:t>
      </w:r>
      <w:proofErr w:type="gramStart"/>
      <w:r w:rsidRPr="0C5679B2">
        <w:t>state-specific</w:t>
      </w:r>
      <w:proofErr w:type="gramEnd"/>
      <w:r w:rsidRPr="0C5679B2">
        <w:t xml:space="preserve"> YBFS estimates, which has been used in recent years by the Productivity Commission for </w:t>
      </w:r>
      <w:r w:rsidR="007E3A5E">
        <w:t>its</w:t>
      </w:r>
      <w:r w:rsidRPr="0C5679B2">
        <w:t xml:space="preserve"> annual </w:t>
      </w:r>
      <w:r w:rsidRPr="3CBBCAF8">
        <w:rPr>
          <w:i/>
        </w:rPr>
        <w:t>Report on Government Services</w:t>
      </w:r>
      <w:r w:rsidRPr="0C5679B2">
        <w:t xml:space="preserve">. These estimates use each </w:t>
      </w:r>
      <w:r w:rsidR="007E3A5E">
        <w:t>s</w:t>
      </w:r>
      <w:r w:rsidRPr="0C5679B2">
        <w:t xml:space="preserve">tate and </w:t>
      </w:r>
      <w:r w:rsidR="007E3A5E">
        <w:t>t</w:t>
      </w:r>
      <w:r w:rsidRPr="0C5679B2">
        <w:t xml:space="preserve">erritory’s preschool and school starting ages to define the cohort of children in the ‘YBFS’. For most jurisdictions, children born over a single year are included. However, for NSW and Victoria—given the flexibility in school starting age—the 12 months is slightly broader to account for the rates at which the youngest children proceed from preschool to school (see table below). This means that </w:t>
      </w:r>
      <w:r w:rsidR="00277258">
        <w:t>some</w:t>
      </w:r>
      <w:r w:rsidRPr="0C5679B2">
        <w:t xml:space="preserve"> actual enrolments are not counted. </w:t>
      </w:r>
    </w:p>
    <w:bookmarkEnd w:id="181"/>
    <w:p w14:paraId="31DB1DC2" w14:textId="46D0A564" w:rsidR="00BD311D" w:rsidRDefault="00782CD7" w:rsidP="00C6540F">
      <w:r>
        <w:fldChar w:fldCharType="begin"/>
      </w:r>
      <w:r>
        <w:instrText xml:space="preserve"> REF _Ref24381293 \h </w:instrText>
      </w:r>
      <w:r>
        <w:fldChar w:fldCharType="separate"/>
      </w:r>
      <w:r w:rsidR="00B37785">
        <w:t xml:space="preserve">Table </w:t>
      </w:r>
      <w:r w:rsidR="00B37785">
        <w:rPr>
          <w:noProof/>
        </w:rPr>
        <w:t>3</w:t>
      </w:r>
      <w:r>
        <w:fldChar w:fldCharType="end"/>
      </w:r>
      <w:r>
        <w:t xml:space="preserve"> </w:t>
      </w:r>
      <w:r w:rsidR="00BD311D" w:rsidRPr="258FC39A">
        <w:t xml:space="preserve">details the approach taken to develop the </w:t>
      </w:r>
      <w:proofErr w:type="gramStart"/>
      <w:r w:rsidR="00BD311D" w:rsidRPr="258FC39A">
        <w:t>state-specific</w:t>
      </w:r>
      <w:proofErr w:type="gramEnd"/>
      <w:r w:rsidR="00BD311D" w:rsidRPr="258FC39A">
        <w:t xml:space="preserve"> YBFS methodology</w:t>
      </w:r>
      <w:r w:rsidR="00B530BB">
        <w:t>.</w:t>
      </w:r>
    </w:p>
    <w:p w14:paraId="3E115A44" w14:textId="03CF9132" w:rsidR="00BD311D" w:rsidRDefault="00BD311D" w:rsidP="00BD311D">
      <w:pPr>
        <w:pStyle w:val="Caption"/>
      </w:pPr>
      <w:bookmarkStart w:id="182" w:name="_Ref24381293"/>
      <w:bookmarkStart w:id="183" w:name="_Hlk25245812"/>
      <w:r>
        <w:t xml:space="preserve">Table </w:t>
      </w:r>
      <w:r>
        <w:fldChar w:fldCharType="begin"/>
      </w:r>
      <w:r>
        <w:instrText xml:space="preserve"> SEQ Table \* ARABIC </w:instrText>
      </w:r>
      <w:r>
        <w:fldChar w:fldCharType="separate"/>
      </w:r>
      <w:r w:rsidR="00B37785">
        <w:rPr>
          <w:noProof/>
        </w:rPr>
        <w:t>3</w:t>
      </w:r>
      <w:r>
        <w:fldChar w:fldCharType="end"/>
      </w:r>
      <w:bookmarkEnd w:id="182"/>
      <w:r>
        <w:t xml:space="preserve"> | </w:t>
      </w:r>
      <w:r w:rsidRPr="00BD311D">
        <w:t>S</w:t>
      </w:r>
      <w:r>
        <w:t>tate</w:t>
      </w:r>
      <w:r w:rsidRPr="00BD311D">
        <w:t>-</w:t>
      </w:r>
      <w:r>
        <w:t>specific</w:t>
      </w:r>
      <w:r w:rsidRPr="00BD311D">
        <w:t xml:space="preserve"> YBFS </w:t>
      </w:r>
      <w:r>
        <w:t>age</w:t>
      </w:r>
      <w:r w:rsidRPr="00BD311D">
        <w:t xml:space="preserve"> </w:t>
      </w:r>
      <w:r>
        <w:t>cohorts based on months and years of birth</w:t>
      </w:r>
      <w:r>
        <w:rPr>
          <w:rStyle w:val="FootnoteReference"/>
        </w:rPr>
        <w:footnoteReference w:id="79"/>
      </w:r>
    </w:p>
    <w:tbl>
      <w:tblPr>
        <w:tblStyle w:val="TableGrid"/>
        <w:tblW w:w="9015" w:type="dxa"/>
        <w:tblLook w:val="04A0" w:firstRow="1" w:lastRow="0" w:firstColumn="1" w:lastColumn="0" w:noHBand="0" w:noVBand="1"/>
      </w:tblPr>
      <w:tblGrid>
        <w:gridCol w:w="1806"/>
        <w:gridCol w:w="7209"/>
      </w:tblGrid>
      <w:tr w:rsidR="00181265" w14:paraId="235D554C" w14:textId="77777777" w:rsidTr="00181265">
        <w:trPr>
          <w:cnfStyle w:val="100000000000" w:firstRow="1" w:lastRow="0" w:firstColumn="0" w:lastColumn="0" w:oddVBand="0" w:evenVBand="0" w:oddHBand="0" w:evenHBand="0" w:firstRowFirstColumn="0" w:firstRowLastColumn="0" w:lastRowFirstColumn="0" w:lastRowLastColumn="0"/>
        </w:trPr>
        <w:tc>
          <w:tcPr>
            <w:tcW w:w="1806" w:type="dxa"/>
            <w:shd w:val="clear" w:color="auto" w:fill="D9D9D9" w:themeFill="background1" w:themeFillShade="D9"/>
          </w:tcPr>
          <w:p w14:paraId="381B2948" w14:textId="2333D2EA" w:rsidR="00181265" w:rsidRPr="00BD311D" w:rsidRDefault="00181265" w:rsidP="00BD311D">
            <w:pPr>
              <w:pStyle w:val="TableNText"/>
            </w:pPr>
            <w:r w:rsidRPr="00181265">
              <w:rPr>
                <w:rFonts w:ascii="Segoe UI Semibold" w:hAnsi="Segoe UI Semibold"/>
                <w:sz w:val="18"/>
                <w:lang w:eastAsia="en-AU"/>
              </w:rPr>
              <w:t>State or Territory</w:t>
            </w:r>
          </w:p>
        </w:tc>
        <w:tc>
          <w:tcPr>
            <w:tcW w:w="7209" w:type="dxa"/>
            <w:shd w:val="clear" w:color="auto" w:fill="D9D9D9" w:themeFill="background1" w:themeFillShade="D9"/>
          </w:tcPr>
          <w:p w14:paraId="050B7392" w14:textId="1E70FF70" w:rsidR="00181265" w:rsidRPr="00BD311D" w:rsidRDefault="00181265" w:rsidP="00BD311D">
            <w:pPr>
              <w:pStyle w:val="TableNText"/>
            </w:pPr>
            <w:r w:rsidRPr="00181265">
              <w:rPr>
                <w:rFonts w:ascii="Segoe UI Semibold" w:hAnsi="Segoe UI Semibold"/>
                <w:sz w:val="18"/>
                <w:lang w:eastAsia="en-AU"/>
              </w:rPr>
              <w:t>Age cohorts by month and year of birth</w:t>
            </w:r>
          </w:p>
        </w:tc>
      </w:tr>
      <w:tr w:rsidR="00BD311D" w14:paraId="1CF7F2D0" w14:textId="77777777" w:rsidTr="001F7C67">
        <w:trPr>
          <w:cnfStyle w:val="000000100000" w:firstRow="0" w:lastRow="0" w:firstColumn="0" w:lastColumn="0" w:oddVBand="0" w:evenVBand="0" w:oddHBand="1" w:evenHBand="0" w:firstRowFirstColumn="0" w:firstRowLastColumn="0" w:lastRowFirstColumn="0" w:lastRowLastColumn="0"/>
        </w:trPr>
        <w:tc>
          <w:tcPr>
            <w:tcW w:w="1806" w:type="dxa"/>
          </w:tcPr>
          <w:p w14:paraId="5B86B3C4" w14:textId="77777777" w:rsidR="00BD311D" w:rsidRPr="00BD311D" w:rsidRDefault="00BD311D" w:rsidP="00BD311D">
            <w:pPr>
              <w:pStyle w:val="TableNText"/>
            </w:pPr>
            <w:r w:rsidRPr="00BD311D">
              <w:t>NSW</w:t>
            </w:r>
          </w:p>
        </w:tc>
        <w:tc>
          <w:tcPr>
            <w:tcW w:w="7209" w:type="dxa"/>
          </w:tcPr>
          <w:p w14:paraId="59AB5565" w14:textId="77777777" w:rsidR="00BD311D" w:rsidRPr="00BD311D" w:rsidRDefault="00BD311D" w:rsidP="00BD311D">
            <w:pPr>
              <w:pStyle w:val="TableNText"/>
            </w:pPr>
            <w:bookmarkStart w:id="184" w:name="_Hlk25246329"/>
            <w:r w:rsidRPr="00BD311D">
              <w:t>All children born 2 July 2012 - 31 December 2013 and adjusted counts for children born in the interval 1 January 2014 - 31 July 2014 (56%</w:t>
            </w:r>
            <w:r w:rsidR="0030642E">
              <w:t xml:space="preserve"> of </w:t>
            </w:r>
            <w:r w:rsidR="0030642E" w:rsidRPr="0030642E">
              <w:t xml:space="preserve">children born in </w:t>
            </w:r>
            <w:r w:rsidR="0030642E">
              <w:t>the latter period are</w:t>
            </w:r>
            <w:r w:rsidR="0030642E" w:rsidRPr="0030642E">
              <w:t xml:space="preserve"> counted as SS-YBFS</w:t>
            </w:r>
            <w:r w:rsidR="0030642E">
              <w:t>)</w:t>
            </w:r>
            <w:bookmarkEnd w:id="184"/>
          </w:p>
        </w:tc>
      </w:tr>
      <w:tr w:rsidR="00BD311D" w14:paraId="2BD7C8EB" w14:textId="77777777" w:rsidTr="001F7C67">
        <w:trPr>
          <w:cnfStyle w:val="000000010000" w:firstRow="0" w:lastRow="0" w:firstColumn="0" w:lastColumn="0" w:oddVBand="0" w:evenVBand="0" w:oddHBand="0" w:evenHBand="1" w:firstRowFirstColumn="0" w:firstRowLastColumn="0" w:lastRowFirstColumn="0" w:lastRowLastColumn="0"/>
        </w:trPr>
        <w:tc>
          <w:tcPr>
            <w:tcW w:w="1806" w:type="dxa"/>
          </w:tcPr>
          <w:p w14:paraId="6F2AD759" w14:textId="77777777" w:rsidR="00BD311D" w:rsidRPr="00BD311D" w:rsidRDefault="00BD311D" w:rsidP="00BD311D">
            <w:pPr>
              <w:pStyle w:val="TableNText"/>
            </w:pPr>
            <w:r w:rsidRPr="00BD311D">
              <w:t>Vic</w:t>
            </w:r>
          </w:p>
        </w:tc>
        <w:tc>
          <w:tcPr>
            <w:tcW w:w="7209" w:type="dxa"/>
          </w:tcPr>
          <w:p w14:paraId="59945D9A" w14:textId="77777777" w:rsidR="00BD311D" w:rsidRPr="00BD311D" w:rsidRDefault="00BD311D" w:rsidP="00BD311D">
            <w:pPr>
              <w:pStyle w:val="TableNText"/>
            </w:pPr>
            <w:r w:rsidRPr="00BD311D">
              <w:t>All children born 2 July 2012 - 31 December 2013 and adjusted counts for children born in January 2014 (74%), February 2014 (63%), March 2014 (52%), April 2014 (41%)</w:t>
            </w:r>
          </w:p>
        </w:tc>
      </w:tr>
      <w:tr w:rsidR="00BD311D" w14:paraId="69FFA698" w14:textId="77777777" w:rsidTr="001F7C67">
        <w:trPr>
          <w:cnfStyle w:val="000000100000" w:firstRow="0" w:lastRow="0" w:firstColumn="0" w:lastColumn="0" w:oddVBand="0" w:evenVBand="0" w:oddHBand="1" w:evenHBand="0" w:firstRowFirstColumn="0" w:firstRowLastColumn="0" w:lastRowFirstColumn="0" w:lastRowLastColumn="0"/>
        </w:trPr>
        <w:tc>
          <w:tcPr>
            <w:tcW w:w="1806" w:type="dxa"/>
          </w:tcPr>
          <w:p w14:paraId="1043AF66" w14:textId="77777777" w:rsidR="00BD311D" w:rsidRPr="00BD311D" w:rsidRDefault="00BD311D" w:rsidP="00BD311D">
            <w:pPr>
              <w:pStyle w:val="TableNText"/>
            </w:pPr>
            <w:r w:rsidRPr="00BD311D">
              <w:t>Qld, WA, NT</w:t>
            </w:r>
          </w:p>
        </w:tc>
        <w:tc>
          <w:tcPr>
            <w:tcW w:w="7209" w:type="dxa"/>
          </w:tcPr>
          <w:p w14:paraId="0FAC8F3C" w14:textId="77777777" w:rsidR="00BD311D" w:rsidRPr="00BD311D" w:rsidRDefault="00BD311D" w:rsidP="00BD311D">
            <w:pPr>
              <w:pStyle w:val="TableNText"/>
            </w:pPr>
            <w:r w:rsidRPr="00BD311D">
              <w:t>All children born 1 July 2013 – 30 June 2014</w:t>
            </w:r>
          </w:p>
        </w:tc>
      </w:tr>
      <w:tr w:rsidR="00BD311D" w14:paraId="3471D741" w14:textId="77777777" w:rsidTr="001F7C67">
        <w:trPr>
          <w:cnfStyle w:val="000000010000" w:firstRow="0" w:lastRow="0" w:firstColumn="0" w:lastColumn="0" w:oddVBand="0" w:evenVBand="0" w:oddHBand="0" w:evenHBand="1" w:firstRowFirstColumn="0" w:firstRowLastColumn="0" w:lastRowFirstColumn="0" w:lastRowLastColumn="0"/>
        </w:trPr>
        <w:tc>
          <w:tcPr>
            <w:tcW w:w="1806" w:type="dxa"/>
          </w:tcPr>
          <w:p w14:paraId="0FA6FF18" w14:textId="77777777" w:rsidR="00BD311D" w:rsidRPr="00BD311D" w:rsidRDefault="00BD311D" w:rsidP="00BD311D">
            <w:pPr>
              <w:pStyle w:val="TableNText"/>
            </w:pPr>
            <w:r w:rsidRPr="00BD311D">
              <w:t>SA and ACT</w:t>
            </w:r>
          </w:p>
        </w:tc>
        <w:tc>
          <w:tcPr>
            <w:tcW w:w="7209" w:type="dxa"/>
          </w:tcPr>
          <w:p w14:paraId="14950873" w14:textId="77777777" w:rsidR="00BD311D" w:rsidRPr="00BD311D" w:rsidRDefault="00BD311D" w:rsidP="00BD311D">
            <w:pPr>
              <w:pStyle w:val="TableNText"/>
            </w:pPr>
            <w:r w:rsidRPr="00BD311D">
              <w:t>All children born 1 May 2013 – 30 April 2014</w:t>
            </w:r>
          </w:p>
        </w:tc>
      </w:tr>
      <w:tr w:rsidR="00BD311D" w14:paraId="432437DF" w14:textId="77777777" w:rsidTr="001F7C67">
        <w:trPr>
          <w:cnfStyle w:val="000000100000" w:firstRow="0" w:lastRow="0" w:firstColumn="0" w:lastColumn="0" w:oddVBand="0" w:evenVBand="0" w:oddHBand="1" w:evenHBand="0" w:firstRowFirstColumn="0" w:firstRowLastColumn="0" w:lastRowFirstColumn="0" w:lastRowLastColumn="0"/>
        </w:trPr>
        <w:tc>
          <w:tcPr>
            <w:tcW w:w="1806" w:type="dxa"/>
          </w:tcPr>
          <w:p w14:paraId="0E5BAA4A" w14:textId="77777777" w:rsidR="00BD311D" w:rsidRPr="00BD311D" w:rsidRDefault="00BD311D" w:rsidP="00BD311D">
            <w:pPr>
              <w:pStyle w:val="TableNText"/>
            </w:pPr>
            <w:r w:rsidRPr="00BD311D">
              <w:t>Tas</w:t>
            </w:r>
          </w:p>
        </w:tc>
        <w:tc>
          <w:tcPr>
            <w:tcW w:w="7209" w:type="dxa"/>
          </w:tcPr>
          <w:p w14:paraId="6DA08BE8" w14:textId="77777777" w:rsidR="00BD311D" w:rsidRPr="00BD311D" w:rsidRDefault="00BD311D" w:rsidP="00BD311D">
            <w:pPr>
              <w:pStyle w:val="TableNText"/>
            </w:pPr>
            <w:r w:rsidRPr="00BD311D">
              <w:t>All children born 1 January 2013 – 31 December 2013</w:t>
            </w:r>
          </w:p>
        </w:tc>
      </w:tr>
    </w:tbl>
    <w:bookmarkEnd w:id="183"/>
    <w:p w14:paraId="5F8031C3" w14:textId="7BDE95DA" w:rsidR="007E3A5E" w:rsidRDefault="001F7C67" w:rsidP="00771346">
      <w:pPr>
        <w:pStyle w:val="Bullet"/>
        <w:spacing w:before="120"/>
      </w:pPr>
      <w:r>
        <w:t xml:space="preserve">The count of enrolments using </w:t>
      </w:r>
      <w:proofErr w:type="gramStart"/>
      <w:r w:rsidR="00D51CA6">
        <w:t>four and five</w:t>
      </w:r>
      <w:r w:rsidR="005A42BF">
        <w:t xml:space="preserve"> year</w:t>
      </w:r>
      <w:proofErr w:type="gramEnd"/>
      <w:r w:rsidR="005A42BF">
        <w:t xml:space="preserve"> </w:t>
      </w:r>
      <w:proofErr w:type="spellStart"/>
      <w:r w:rsidR="005A42BF">
        <w:t>olds</w:t>
      </w:r>
      <w:proofErr w:type="spellEnd"/>
      <w:r w:rsidR="005A42BF">
        <w:t xml:space="preserve"> </w:t>
      </w:r>
      <w:r>
        <w:t xml:space="preserve">is compared against the state-specific YBFS methodology for 2018 in Table </w:t>
      </w:r>
      <w:r w:rsidR="005A42BF">
        <w:t>4</w:t>
      </w:r>
      <w:r>
        <w:t xml:space="preserve">. It shows that the </w:t>
      </w:r>
      <w:r w:rsidR="005A42BF">
        <w:t xml:space="preserve">current approach </w:t>
      </w:r>
      <w:r>
        <w:t>estimates total enrolment counts 15</w:t>
      </w:r>
      <w:r w:rsidR="007E3A5E">
        <w:t xml:space="preserve"> per cent</w:t>
      </w:r>
      <w:r>
        <w:t xml:space="preserve"> higher than using </w:t>
      </w:r>
      <w:proofErr w:type="gramStart"/>
      <w:r>
        <w:t>state-specific</w:t>
      </w:r>
      <w:proofErr w:type="gramEnd"/>
      <w:r>
        <w:t xml:space="preserve"> YBFS. This inflated enrolment count varies considerably across jurisdictions.</w:t>
      </w:r>
    </w:p>
    <w:p w14:paraId="2527BAB7" w14:textId="77777777" w:rsidR="005376CD" w:rsidRDefault="005376CD" w:rsidP="00771346">
      <w:pPr>
        <w:pStyle w:val="Bullet"/>
        <w:spacing w:before="120"/>
      </w:pPr>
    </w:p>
    <w:p w14:paraId="5401F82E" w14:textId="588398A7" w:rsidR="008E5A75" w:rsidRDefault="008E5A75" w:rsidP="008E5A75">
      <w:pPr>
        <w:pStyle w:val="Caption"/>
      </w:pPr>
      <w:r>
        <w:lastRenderedPageBreak/>
        <w:t xml:space="preserve">Table </w:t>
      </w:r>
      <w:r>
        <w:fldChar w:fldCharType="begin"/>
      </w:r>
      <w:r>
        <w:instrText xml:space="preserve"> SEQ Table \* ARABIC </w:instrText>
      </w:r>
      <w:r>
        <w:fldChar w:fldCharType="separate"/>
      </w:r>
      <w:r w:rsidR="00B37785">
        <w:rPr>
          <w:noProof/>
        </w:rPr>
        <w:t>4</w:t>
      </w:r>
      <w:r>
        <w:fldChar w:fldCharType="end"/>
      </w:r>
      <w:r>
        <w:t xml:space="preserve"> | Count of enrolments, PI2 measure compared to ABS </w:t>
      </w:r>
      <w:proofErr w:type="gramStart"/>
      <w:r>
        <w:t>state-specific</w:t>
      </w:r>
      <w:proofErr w:type="gramEnd"/>
      <w:r>
        <w:t xml:space="preserve"> YBFS methodology</w:t>
      </w:r>
    </w:p>
    <w:tbl>
      <w:tblPr>
        <w:tblStyle w:val="NousTableTopandside"/>
        <w:tblW w:w="0" w:type="auto"/>
        <w:tblLook w:val="04A0" w:firstRow="1" w:lastRow="0" w:firstColumn="1" w:lastColumn="0" w:noHBand="0" w:noVBand="1"/>
      </w:tblPr>
      <w:tblGrid>
        <w:gridCol w:w="1978"/>
        <w:gridCol w:w="772"/>
        <w:gridCol w:w="772"/>
        <w:gridCol w:w="773"/>
        <w:gridCol w:w="772"/>
        <w:gridCol w:w="773"/>
        <w:gridCol w:w="772"/>
        <w:gridCol w:w="773"/>
        <w:gridCol w:w="772"/>
        <w:gridCol w:w="773"/>
      </w:tblGrid>
      <w:tr w:rsidR="001F7C67" w:rsidRPr="00E35F7E" w14:paraId="26AC2073" w14:textId="77777777" w:rsidTr="00AE6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8" w:type="dxa"/>
            <w:tcBorders>
              <w:top w:val="none" w:sz="0" w:space="0" w:color="auto"/>
              <w:left w:val="none" w:sz="0" w:space="0" w:color="auto"/>
              <w:right w:val="none" w:sz="0" w:space="0" w:color="auto"/>
            </w:tcBorders>
            <w:vAlign w:val="top"/>
          </w:tcPr>
          <w:p w14:paraId="6A9ADD97" w14:textId="77777777" w:rsidR="001F7C67" w:rsidRPr="00E35F7E" w:rsidRDefault="001F7C67" w:rsidP="008C620B">
            <w:pPr>
              <w:pStyle w:val="TableNText"/>
              <w:spacing w:before="0" w:after="0"/>
              <w:rPr>
                <w:rFonts w:asciiTheme="majorHAnsi" w:hAnsiTheme="majorHAnsi" w:cstheme="majorBidi"/>
                <w:sz w:val="18"/>
                <w:szCs w:val="18"/>
              </w:rPr>
            </w:pPr>
            <w:bookmarkStart w:id="185" w:name="_Hlk24396821"/>
            <w:r w:rsidRPr="4E25D2DC">
              <w:rPr>
                <w:rFonts w:asciiTheme="majorHAnsi" w:hAnsiTheme="majorHAnsi" w:cstheme="majorBidi"/>
                <w:sz w:val="18"/>
                <w:szCs w:val="18"/>
              </w:rPr>
              <w:t>Year</w:t>
            </w:r>
          </w:p>
        </w:tc>
        <w:tc>
          <w:tcPr>
            <w:tcW w:w="772" w:type="dxa"/>
            <w:tcBorders>
              <w:top w:val="none" w:sz="0" w:space="0" w:color="auto"/>
              <w:left w:val="none" w:sz="0" w:space="0" w:color="auto"/>
              <w:right w:val="none" w:sz="0" w:space="0" w:color="auto"/>
            </w:tcBorders>
            <w:vAlign w:val="top"/>
          </w:tcPr>
          <w:p w14:paraId="5233E4BD"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Aust.</w:t>
            </w:r>
          </w:p>
        </w:tc>
        <w:tc>
          <w:tcPr>
            <w:tcW w:w="772" w:type="dxa"/>
            <w:tcBorders>
              <w:top w:val="none" w:sz="0" w:space="0" w:color="auto"/>
              <w:left w:val="none" w:sz="0" w:space="0" w:color="auto"/>
              <w:right w:val="none" w:sz="0" w:space="0" w:color="auto"/>
            </w:tcBorders>
            <w:vAlign w:val="top"/>
          </w:tcPr>
          <w:p w14:paraId="2BDAFC4E"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NSW</w:t>
            </w:r>
          </w:p>
        </w:tc>
        <w:tc>
          <w:tcPr>
            <w:tcW w:w="773" w:type="dxa"/>
            <w:tcBorders>
              <w:top w:val="none" w:sz="0" w:space="0" w:color="auto"/>
              <w:left w:val="none" w:sz="0" w:space="0" w:color="auto"/>
              <w:right w:val="none" w:sz="0" w:space="0" w:color="auto"/>
            </w:tcBorders>
            <w:vAlign w:val="top"/>
          </w:tcPr>
          <w:p w14:paraId="0B0E076B"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Vic.</w:t>
            </w:r>
          </w:p>
        </w:tc>
        <w:tc>
          <w:tcPr>
            <w:tcW w:w="772" w:type="dxa"/>
            <w:tcBorders>
              <w:top w:val="none" w:sz="0" w:space="0" w:color="auto"/>
              <w:left w:val="none" w:sz="0" w:space="0" w:color="auto"/>
              <w:right w:val="none" w:sz="0" w:space="0" w:color="auto"/>
            </w:tcBorders>
            <w:vAlign w:val="top"/>
          </w:tcPr>
          <w:p w14:paraId="343F477F"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Qld</w:t>
            </w:r>
          </w:p>
        </w:tc>
        <w:tc>
          <w:tcPr>
            <w:tcW w:w="773" w:type="dxa"/>
            <w:tcBorders>
              <w:top w:val="none" w:sz="0" w:space="0" w:color="auto"/>
              <w:left w:val="none" w:sz="0" w:space="0" w:color="auto"/>
              <w:right w:val="none" w:sz="0" w:space="0" w:color="auto"/>
            </w:tcBorders>
            <w:vAlign w:val="top"/>
          </w:tcPr>
          <w:p w14:paraId="7AA6B2BE"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SA</w:t>
            </w:r>
          </w:p>
        </w:tc>
        <w:tc>
          <w:tcPr>
            <w:tcW w:w="772" w:type="dxa"/>
            <w:tcBorders>
              <w:top w:val="none" w:sz="0" w:space="0" w:color="auto"/>
              <w:left w:val="none" w:sz="0" w:space="0" w:color="auto"/>
              <w:right w:val="none" w:sz="0" w:space="0" w:color="auto"/>
            </w:tcBorders>
            <w:vAlign w:val="top"/>
          </w:tcPr>
          <w:p w14:paraId="68241A88"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WA</w:t>
            </w:r>
          </w:p>
        </w:tc>
        <w:tc>
          <w:tcPr>
            <w:tcW w:w="773" w:type="dxa"/>
            <w:tcBorders>
              <w:top w:val="none" w:sz="0" w:space="0" w:color="auto"/>
              <w:left w:val="none" w:sz="0" w:space="0" w:color="auto"/>
              <w:right w:val="none" w:sz="0" w:space="0" w:color="auto"/>
            </w:tcBorders>
            <w:vAlign w:val="top"/>
          </w:tcPr>
          <w:p w14:paraId="4C1AC8D2"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Tas.</w:t>
            </w:r>
          </w:p>
        </w:tc>
        <w:tc>
          <w:tcPr>
            <w:tcW w:w="772" w:type="dxa"/>
            <w:tcBorders>
              <w:top w:val="none" w:sz="0" w:space="0" w:color="auto"/>
              <w:left w:val="none" w:sz="0" w:space="0" w:color="auto"/>
              <w:right w:val="none" w:sz="0" w:space="0" w:color="auto"/>
            </w:tcBorders>
            <w:vAlign w:val="top"/>
          </w:tcPr>
          <w:p w14:paraId="3A96EBF8"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NT</w:t>
            </w:r>
          </w:p>
        </w:tc>
        <w:tc>
          <w:tcPr>
            <w:tcW w:w="773" w:type="dxa"/>
            <w:tcBorders>
              <w:top w:val="none" w:sz="0" w:space="0" w:color="auto"/>
              <w:left w:val="none" w:sz="0" w:space="0" w:color="auto"/>
            </w:tcBorders>
            <w:vAlign w:val="top"/>
          </w:tcPr>
          <w:p w14:paraId="4AE74E1A" w14:textId="77777777" w:rsidR="001F7C67" w:rsidRPr="00E35F7E" w:rsidRDefault="001F7C67" w:rsidP="008C620B">
            <w:pPr>
              <w:pStyle w:val="TableNText"/>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18"/>
                <w:szCs w:val="18"/>
              </w:rPr>
            </w:pPr>
            <w:r w:rsidRPr="4E25D2DC">
              <w:rPr>
                <w:rFonts w:asciiTheme="majorHAnsi" w:hAnsiTheme="majorHAnsi" w:cstheme="majorBidi"/>
                <w:sz w:val="18"/>
                <w:szCs w:val="18"/>
              </w:rPr>
              <w:t>ACT</w:t>
            </w:r>
          </w:p>
        </w:tc>
      </w:tr>
      <w:tr w:rsidR="008E5A75" w14:paraId="52B79915" w14:textId="77777777" w:rsidTr="00AE6FCC">
        <w:tc>
          <w:tcPr>
            <w:cnfStyle w:val="001000000000" w:firstRow="0" w:lastRow="0" w:firstColumn="1" w:lastColumn="0" w:oddVBand="0" w:evenVBand="0" w:oddHBand="0" w:evenHBand="0" w:firstRowFirstColumn="0" w:firstRowLastColumn="0" w:lastRowFirstColumn="0" w:lastRowLastColumn="0"/>
            <w:tcW w:w="1978" w:type="dxa"/>
          </w:tcPr>
          <w:p w14:paraId="3465AFEC" w14:textId="77777777" w:rsidR="008E5A75" w:rsidRPr="00B50A46" w:rsidRDefault="00017CCB" w:rsidP="008E5A75">
            <w:pPr>
              <w:pStyle w:val="TableNText"/>
              <w:spacing w:before="0" w:after="0"/>
              <w:rPr>
                <w:rFonts w:asciiTheme="majorHAnsi" w:hAnsiTheme="majorHAnsi" w:cstheme="majorBidi"/>
              </w:rPr>
            </w:pPr>
            <w:r>
              <w:rPr>
                <w:rFonts w:asciiTheme="majorHAnsi" w:hAnsiTheme="majorHAnsi" w:cstheme="majorBidi"/>
              </w:rPr>
              <w:t>Four</w:t>
            </w:r>
            <w:r w:rsidR="008E5A75">
              <w:rPr>
                <w:rFonts w:asciiTheme="majorHAnsi" w:hAnsiTheme="majorHAnsi" w:cstheme="majorBidi"/>
              </w:rPr>
              <w:t xml:space="preserve"> and </w:t>
            </w:r>
            <w:proofErr w:type="gramStart"/>
            <w:r>
              <w:rPr>
                <w:rFonts w:asciiTheme="majorHAnsi" w:hAnsiTheme="majorHAnsi" w:cstheme="majorBidi"/>
              </w:rPr>
              <w:t>five</w:t>
            </w:r>
            <w:r w:rsidR="008E5A75">
              <w:rPr>
                <w:rFonts w:asciiTheme="majorHAnsi" w:hAnsiTheme="majorHAnsi" w:cstheme="majorBidi"/>
              </w:rPr>
              <w:t xml:space="preserve"> year old</w:t>
            </w:r>
            <w:proofErr w:type="gramEnd"/>
            <w:r w:rsidR="008E5A75">
              <w:rPr>
                <w:rFonts w:asciiTheme="majorHAnsi" w:hAnsiTheme="majorHAnsi" w:cstheme="majorBidi"/>
              </w:rPr>
              <w:t xml:space="preserve"> </w:t>
            </w:r>
            <w:r w:rsidR="00AE6FCC">
              <w:rPr>
                <w:rFonts w:asciiTheme="majorHAnsi" w:hAnsiTheme="majorHAnsi" w:cstheme="majorBidi"/>
              </w:rPr>
              <w:t>enrolments</w:t>
            </w:r>
          </w:p>
        </w:tc>
        <w:tc>
          <w:tcPr>
            <w:tcW w:w="772" w:type="dxa"/>
          </w:tcPr>
          <w:p w14:paraId="3C1AC9E6" w14:textId="77777777" w:rsidR="008E5A75" w:rsidRPr="00A50D6A"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B804C7">
              <w:t>342,464</w:t>
            </w:r>
          </w:p>
        </w:tc>
        <w:tc>
          <w:tcPr>
            <w:tcW w:w="772" w:type="dxa"/>
          </w:tcPr>
          <w:p w14:paraId="6AC05C3C"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104,695</w:t>
            </w:r>
          </w:p>
        </w:tc>
        <w:tc>
          <w:tcPr>
            <w:tcW w:w="773" w:type="dxa"/>
          </w:tcPr>
          <w:p w14:paraId="709F6846"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95,454</w:t>
            </w:r>
          </w:p>
        </w:tc>
        <w:tc>
          <w:tcPr>
            <w:tcW w:w="772" w:type="dxa"/>
          </w:tcPr>
          <w:p w14:paraId="2E7036A6"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66,276</w:t>
            </w:r>
          </w:p>
        </w:tc>
        <w:tc>
          <w:tcPr>
            <w:tcW w:w="773" w:type="dxa"/>
          </w:tcPr>
          <w:p w14:paraId="21ED4377"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22,333</w:t>
            </w:r>
          </w:p>
        </w:tc>
        <w:tc>
          <w:tcPr>
            <w:tcW w:w="772" w:type="dxa"/>
          </w:tcPr>
          <w:p w14:paraId="2641F8CF"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35,018</w:t>
            </w:r>
          </w:p>
        </w:tc>
        <w:tc>
          <w:tcPr>
            <w:tcW w:w="773" w:type="dxa"/>
          </w:tcPr>
          <w:p w14:paraId="4BF2E91A"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7,912</w:t>
            </w:r>
          </w:p>
        </w:tc>
        <w:tc>
          <w:tcPr>
            <w:tcW w:w="772" w:type="dxa"/>
          </w:tcPr>
          <w:p w14:paraId="40E5645C"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3,543</w:t>
            </w:r>
          </w:p>
        </w:tc>
        <w:tc>
          <w:tcPr>
            <w:tcW w:w="773" w:type="dxa"/>
          </w:tcPr>
          <w:p w14:paraId="3B47F610"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7,241</w:t>
            </w:r>
          </w:p>
        </w:tc>
      </w:tr>
      <w:tr w:rsidR="008E5A75" w14:paraId="5B8607F2" w14:textId="77777777" w:rsidTr="00AE6FCC">
        <w:tc>
          <w:tcPr>
            <w:cnfStyle w:val="001000000000" w:firstRow="0" w:lastRow="0" w:firstColumn="1" w:lastColumn="0" w:oddVBand="0" w:evenVBand="0" w:oddHBand="0" w:evenHBand="0" w:firstRowFirstColumn="0" w:firstRowLastColumn="0" w:lastRowFirstColumn="0" w:lastRowLastColumn="0"/>
            <w:tcW w:w="1978" w:type="dxa"/>
          </w:tcPr>
          <w:p w14:paraId="6878893A" w14:textId="77777777" w:rsidR="008E5A75" w:rsidRPr="00B50A46" w:rsidRDefault="008E5A75" w:rsidP="008E5A75">
            <w:pPr>
              <w:pStyle w:val="TableNText"/>
              <w:spacing w:before="0" w:after="0"/>
              <w:rPr>
                <w:rFonts w:asciiTheme="majorHAnsi" w:hAnsiTheme="majorHAnsi" w:cstheme="majorBidi"/>
              </w:rPr>
            </w:pPr>
            <w:r>
              <w:rPr>
                <w:rFonts w:asciiTheme="majorHAnsi" w:hAnsiTheme="majorHAnsi" w:cstheme="majorBidi"/>
              </w:rPr>
              <w:t>State- specific YBFS enrolments</w:t>
            </w:r>
          </w:p>
        </w:tc>
        <w:tc>
          <w:tcPr>
            <w:tcW w:w="772" w:type="dxa"/>
          </w:tcPr>
          <w:p w14:paraId="733564A9"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B804C7">
              <w:t>296,932</w:t>
            </w:r>
          </w:p>
        </w:tc>
        <w:tc>
          <w:tcPr>
            <w:tcW w:w="772" w:type="dxa"/>
          </w:tcPr>
          <w:p w14:paraId="6263AB7E" w14:textId="77777777" w:rsidR="008E5A75" w:rsidRPr="00EB6014"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90,661</w:t>
            </w:r>
          </w:p>
        </w:tc>
        <w:tc>
          <w:tcPr>
            <w:tcW w:w="773" w:type="dxa"/>
          </w:tcPr>
          <w:p w14:paraId="24B6E39B"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79,120</w:t>
            </w:r>
          </w:p>
        </w:tc>
        <w:tc>
          <w:tcPr>
            <w:tcW w:w="772" w:type="dxa"/>
          </w:tcPr>
          <w:p w14:paraId="17467B31"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58,409</w:t>
            </w:r>
          </w:p>
        </w:tc>
        <w:tc>
          <w:tcPr>
            <w:tcW w:w="773" w:type="dxa"/>
          </w:tcPr>
          <w:p w14:paraId="05F0BE07"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19,723</w:t>
            </w:r>
          </w:p>
        </w:tc>
        <w:tc>
          <w:tcPr>
            <w:tcW w:w="772" w:type="dxa"/>
          </w:tcPr>
          <w:p w14:paraId="7FB6C0FF"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33,831</w:t>
            </w:r>
          </w:p>
        </w:tc>
        <w:tc>
          <w:tcPr>
            <w:tcW w:w="773" w:type="dxa"/>
          </w:tcPr>
          <w:p w14:paraId="2116E828"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6,238</w:t>
            </w:r>
          </w:p>
        </w:tc>
        <w:tc>
          <w:tcPr>
            <w:tcW w:w="772" w:type="dxa"/>
          </w:tcPr>
          <w:p w14:paraId="06D50134"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3,220</w:t>
            </w:r>
          </w:p>
        </w:tc>
        <w:tc>
          <w:tcPr>
            <w:tcW w:w="773" w:type="dxa"/>
          </w:tcPr>
          <w:p w14:paraId="349BE3FC"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76317A">
              <w:t>5,699</w:t>
            </w:r>
          </w:p>
        </w:tc>
      </w:tr>
      <w:tr w:rsidR="008E5A75" w14:paraId="3342B412" w14:textId="77777777" w:rsidTr="00AE6FCC">
        <w:tc>
          <w:tcPr>
            <w:cnfStyle w:val="001000000000" w:firstRow="0" w:lastRow="0" w:firstColumn="1" w:lastColumn="0" w:oddVBand="0" w:evenVBand="0" w:oddHBand="0" w:evenHBand="0" w:firstRowFirstColumn="0" w:firstRowLastColumn="0" w:lastRowFirstColumn="0" w:lastRowLastColumn="0"/>
            <w:tcW w:w="1978" w:type="dxa"/>
          </w:tcPr>
          <w:p w14:paraId="3FEBC11B" w14:textId="77777777" w:rsidR="008E5A75" w:rsidRPr="00B50A46" w:rsidRDefault="008E5A75" w:rsidP="008E5A75">
            <w:pPr>
              <w:pStyle w:val="TableNText"/>
              <w:spacing w:before="0" w:after="0"/>
              <w:rPr>
                <w:rFonts w:asciiTheme="majorHAnsi" w:hAnsiTheme="majorHAnsi" w:cstheme="majorBidi"/>
              </w:rPr>
            </w:pPr>
            <w:r>
              <w:rPr>
                <w:rFonts w:asciiTheme="majorHAnsi" w:hAnsiTheme="majorHAnsi" w:cstheme="majorBidi"/>
              </w:rPr>
              <w:t>Differen</w:t>
            </w:r>
            <w:r w:rsidR="002A315C">
              <w:rPr>
                <w:rFonts w:asciiTheme="majorHAnsi" w:hAnsiTheme="majorHAnsi" w:cstheme="majorBidi"/>
              </w:rPr>
              <w:t>ce</w:t>
            </w:r>
            <w:r>
              <w:rPr>
                <w:rFonts w:asciiTheme="majorHAnsi" w:hAnsiTheme="majorHAnsi" w:cstheme="majorBidi"/>
              </w:rPr>
              <w:t xml:space="preserve"> (as a %)</w:t>
            </w:r>
          </w:p>
        </w:tc>
        <w:tc>
          <w:tcPr>
            <w:tcW w:w="772" w:type="dxa"/>
          </w:tcPr>
          <w:p w14:paraId="525BFBC1"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-15%</w:t>
            </w:r>
          </w:p>
        </w:tc>
        <w:tc>
          <w:tcPr>
            <w:tcW w:w="772" w:type="dxa"/>
          </w:tcPr>
          <w:p w14:paraId="2DD5F7E0" w14:textId="77777777" w:rsidR="008E5A75" w:rsidRPr="00EB6014"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-15%</w:t>
            </w:r>
          </w:p>
        </w:tc>
        <w:tc>
          <w:tcPr>
            <w:tcW w:w="773" w:type="dxa"/>
          </w:tcPr>
          <w:p w14:paraId="04932146"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-21%</w:t>
            </w:r>
          </w:p>
        </w:tc>
        <w:tc>
          <w:tcPr>
            <w:tcW w:w="772" w:type="dxa"/>
          </w:tcPr>
          <w:p w14:paraId="1B702631"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-13%</w:t>
            </w:r>
          </w:p>
        </w:tc>
        <w:tc>
          <w:tcPr>
            <w:tcW w:w="773" w:type="dxa"/>
          </w:tcPr>
          <w:p w14:paraId="3875DC46"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-13%</w:t>
            </w:r>
          </w:p>
        </w:tc>
        <w:tc>
          <w:tcPr>
            <w:tcW w:w="772" w:type="dxa"/>
          </w:tcPr>
          <w:p w14:paraId="1C90454B"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-4%</w:t>
            </w:r>
          </w:p>
        </w:tc>
        <w:tc>
          <w:tcPr>
            <w:tcW w:w="773" w:type="dxa"/>
          </w:tcPr>
          <w:p w14:paraId="65BF1C3F"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-27%</w:t>
            </w:r>
          </w:p>
        </w:tc>
        <w:tc>
          <w:tcPr>
            <w:tcW w:w="772" w:type="dxa"/>
          </w:tcPr>
          <w:p w14:paraId="6FAB7A18"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-10%</w:t>
            </w:r>
          </w:p>
        </w:tc>
        <w:tc>
          <w:tcPr>
            <w:tcW w:w="773" w:type="dxa"/>
          </w:tcPr>
          <w:p w14:paraId="2077E96D" w14:textId="77777777" w:rsidR="008E5A75" w:rsidRDefault="008E5A75" w:rsidP="008E5A75">
            <w:pPr>
              <w:pStyle w:val="TableNText"/>
              <w:spacing w:before="0" w:after="0"/>
              <w:cnfStyle w:val="000000000000" w:firstRow="0" w:lastRow="0" w:firstColumn="0" w:lastColumn="0" w:oddVBand="0" w:evenVBand="0" w:oddHBand="0" w:evenHBand="0" w:firstRowFirstColumn="0" w:firstRowLastColumn="0" w:lastRowFirstColumn="0" w:lastRowLastColumn="0"/>
            </w:pPr>
            <w:r w:rsidRPr="00181D82">
              <w:t>-27%</w:t>
            </w:r>
          </w:p>
        </w:tc>
      </w:tr>
    </w:tbl>
    <w:bookmarkEnd w:id="185"/>
    <w:p w14:paraId="2102D63B" w14:textId="7BFCE703" w:rsidR="007F0C4F" w:rsidRDefault="006C6A09" w:rsidP="00771346">
      <w:pPr>
        <w:pStyle w:val="Bullet"/>
        <w:spacing w:before="120"/>
      </w:pPr>
      <w:r>
        <w:t>T</w:t>
      </w:r>
      <w:r w:rsidR="00811F20">
        <w:t xml:space="preserve">he proportion of enrolments using the </w:t>
      </w:r>
      <w:r w:rsidR="00E565ED">
        <w:t xml:space="preserve">Performance Indicator </w:t>
      </w:r>
      <w:r w:rsidR="00C94C3D">
        <w:t>2</w:t>
      </w:r>
      <w:r w:rsidR="00811F20">
        <w:t xml:space="preserve"> method </w:t>
      </w:r>
      <w:r>
        <w:t xml:space="preserve">is compared </w:t>
      </w:r>
      <w:r w:rsidR="00811F20">
        <w:t xml:space="preserve">against a </w:t>
      </w:r>
      <w:proofErr w:type="gramStart"/>
      <w:r w:rsidR="00811F20">
        <w:t>state-specific</w:t>
      </w:r>
      <w:proofErr w:type="gramEnd"/>
      <w:r w:rsidR="00811F20">
        <w:t xml:space="preserve"> YBFS methodology</w:t>
      </w:r>
      <w:r w:rsidR="00782CD7">
        <w:t xml:space="preserve"> in</w:t>
      </w:r>
      <w:r w:rsidR="00811F20">
        <w:t xml:space="preserve"> </w:t>
      </w:r>
      <w:r w:rsidR="00782CD7">
        <w:fldChar w:fldCharType="begin"/>
      </w:r>
      <w:r w:rsidR="00782CD7">
        <w:instrText xml:space="preserve"> REF _Ref24381316 \h </w:instrText>
      </w:r>
      <w:r w:rsidR="00782CD7">
        <w:fldChar w:fldCharType="separate"/>
      </w:r>
      <w:r w:rsidR="00B37785">
        <w:t xml:space="preserve">Table </w:t>
      </w:r>
      <w:r w:rsidR="00B37785">
        <w:rPr>
          <w:noProof/>
        </w:rPr>
        <w:t>5</w:t>
      </w:r>
      <w:r w:rsidR="00782CD7">
        <w:fldChar w:fldCharType="end"/>
      </w:r>
      <w:r w:rsidR="006B48C1" w:rsidRPr="4E25D2DC">
        <w:rPr>
          <w:rFonts w:asciiTheme="minorHAnsi" w:hAnsiTheme="minorHAnsi" w:cstheme="minorBidi"/>
        </w:rPr>
        <w:t>.</w:t>
      </w:r>
      <w:r w:rsidR="00811F20">
        <w:t xml:space="preserve"> </w:t>
      </w:r>
      <w:r w:rsidR="006B48C1">
        <w:t>It shows that</w:t>
      </w:r>
      <w:r w:rsidR="00811F20">
        <w:t xml:space="preserve"> </w:t>
      </w:r>
      <w:r w:rsidR="00E565ED">
        <w:t xml:space="preserve">Performance Indicator </w:t>
      </w:r>
      <w:r w:rsidR="00BF6112">
        <w:t>2 records participation rates at</w:t>
      </w:r>
      <w:r w:rsidR="007F0C4F">
        <w:t xml:space="preserve"> </w:t>
      </w:r>
      <w:r w:rsidR="00D7006A">
        <w:t>12</w:t>
      </w:r>
      <w:r w:rsidR="00A30673">
        <w:t xml:space="preserve"> and </w:t>
      </w:r>
      <w:r w:rsidR="00FA3D8D">
        <w:t xml:space="preserve">14 </w:t>
      </w:r>
      <w:r w:rsidR="00FC2CBD">
        <w:t>percentage points</w:t>
      </w:r>
      <w:r w:rsidR="00BA4216">
        <w:t xml:space="preserve"> higher</w:t>
      </w:r>
      <w:r w:rsidR="00FA3D8D">
        <w:t xml:space="preserve">, </w:t>
      </w:r>
      <w:r>
        <w:t xml:space="preserve">with </w:t>
      </w:r>
      <w:r w:rsidR="00811F20">
        <w:t xml:space="preserve">similarly significant </w:t>
      </w:r>
      <w:r w:rsidR="0086115D">
        <w:t xml:space="preserve">variations across the </w:t>
      </w:r>
      <w:r w:rsidR="00811F20">
        <w:t>jurisdiction</w:t>
      </w:r>
      <w:r w:rsidR="0086115D">
        <w:t>s</w:t>
      </w:r>
      <w:r w:rsidR="00811F20">
        <w:t>.</w:t>
      </w:r>
    </w:p>
    <w:p w14:paraId="04E1580C" w14:textId="0D2C393D" w:rsidR="00675470" w:rsidRDefault="00675470" w:rsidP="00675470">
      <w:pPr>
        <w:pStyle w:val="Caption"/>
      </w:pPr>
      <w:bookmarkStart w:id="186" w:name="_Ref24381316"/>
      <w:r>
        <w:t xml:space="preserve">Table </w:t>
      </w:r>
      <w:r>
        <w:fldChar w:fldCharType="begin"/>
      </w:r>
      <w:r>
        <w:instrText xml:space="preserve"> SEQ Table \* ARABIC </w:instrText>
      </w:r>
      <w:r>
        <w:fldChar w:fldCharType="separate"/>
      </w:r>
      <w:r w:rsidR="00B37785">
        <w:rPr>
          <w:noProof/>
        </w:rPr>
        <w:t>5</w:t>
      </w:r>
      <w:r>
        <w:fldChar w:fldCharType="end"/>
      </w:r>
      <w:bookmarkEnd w:id="186"/>
      <w:r>
        <w:t xml:space="preserve"> | </w:t>
      </w:r>
      <w:r w:rsidRPr="0055215C">
        <w:t xml:space="preserve">Proportion of enrolments, PI2 measure compared to ABS </w:t>
      </w:r>
      <w:proofErr w:type="gramStart"/>
      <w:r w:rsidRPr="0055215C">
        <w:t>state-specific</w:t>
      </w:r>
      <w:proofErr w:type="gramEnd"/>
      <w:r w:rsidRPr="0055215C">
        <w:t xml:space="preserve"> YBFS methodology</w:t>
      </w:r>
      <w:r>
        <w:rPr>
          <w:rStyle w:val="FootnoteReference"/>
        </w:rPr>
        <w:footnoteReference w:id="80"/>
      </w:r>
      <w:r w:rsidRPr="004C01F3">
        <w:rPr>
          <w:vertAlign w:val="superscript"/>
        </w:rPr>
        <w:t>,</w:t>
      </w:r>
      <w:r>
        <w:rPr>
          <w:rStyle w:val="FootnoteReference"/>
        </w:rPr>
        <w:footnoteReference w:id="81"/>
      </w:r>
    </w:p>
    <w:tbl>
      <w:tblPr>
        <w:tblStyle w:val="NousTableTopandside"/>
        <w:tblW w:w="5000" w:type="pct"/>
        <w:tblLook w:val="04A0" w:firstRow="1" w:lastRow="0" w:firstColumn="1" w:lastColumn="0" w:noHBand="0" w:noVBand="1"/>
      </w:tblPr>
      <w:tblGrid>
        <w:gridCol w:w="2978"/>
        <w:gridCol w:w="1984"/>
        <w:gridCol w:w="1984"/>
        <w:gridCol w:w="1984"/>
      </w:tblGrid>
      <w:tr w:rsidR="00675470" w:rsidRPr="00FA3D8D" w14:paraId="4C622264" w14:textId="77777777" w:rsidTr="00A53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bottom"/>
          </w:tcPr>
          <w:p w14:paraId="0DCBF91D" w14:textId="77777777" w:rsidR="00675470" w:rsidRPr="00FA3D8D" w:rsidRDefault="00675470" w:rsidP="00A53BA1">
            <w:pPr>
              <w:pStyle w:val="TableNheader"/>
            </w:pPr>
            <w:r w:rsidRPr="006F0792">
              <w:t>Method</w:t>
            </w:r>
          </w:p>
        </w:tc>
        <w:tc>
          <w:tcPr>
            <w:tcW w:w="1111" w:type="pct"/>
            <w:vAlign w:val="bottom"/>
          </w:tcPr>
          <w:p w14:paraId="6520849B" w14:textId="77777777" w:rsidR="00675470" w:rsidRPr="00FA3D8D" w:rsidRDefault="00675470" w:rsidP="00A53BA1">
            <w:pPr>
              <w:pStyle w:val="TableNheader"/>
              <w:cnfStyle w:val="100000000000" w:firstRow="1" w:lastRow="0" w:firstColumn="0" w:lastColumn="0" w:oddVBand="0" w:evenVBand="0" w:oddHBand="0" w:evenHBand="0" w:firstRowFirstColumn="0" w:firstRowLastColumn="0" w:lastRowFirstColumn="0" w:lastRowLastColumn="0"/>
            </w:pPr>
            <w:r w:rsidRPr="006F0792">
              <w:t>2016</w:t>
            </w:r>
          </w:p>
        </w:tc>
        <w:tc>
          <w:tcPr>
            <w:tcW w:w="1111" w:type="pct"/>
            <w:vAlign w:val="bottom"/>
          </w:tcPr>
          <w:p w14:paraId="2B8C1B8E" w14:textId="77777777" w:rsidR="00675470" w:rsidRPr="00FA3D8D" w:rsidRDefault="00675470" w:rsidP="00A53BA1">
            <w:pPr>
              <w:pStyle w:val="TableNheader"/>
              <w:cnfStyle w:val="100000000000" w:firstRow="1" w:lastRow="0" w:firstColumn="0" w:lastColumn="0" w:oddVBand="0" w:evenVBand="0" w:oddHBand="0" w:evenHBand="0" w:firstRowFirstColumn="0" w:firstRowLastColumn="0" w:lastRowFirstColumn="0" w:lastRowLastColumn="0"/>
            </w:pPr>
            <w:r w:rsidRPr="006F0792">
              <w:t>2017</w:t>
            </w:r>
          </w:p>
        </w:tc>
        <w:tc>
          <w:tcPr>
            <w:tcW w:w="1111" w:type="pct"/>
            <w:vAlign w:val="bottom"/>
          </w:tcPr>
          <w:p w14:paraId="3909E9FB" w14:textId="77777777" w:rsidR="00675470" w:rsidRPr="00FA3D8D" w:rsidRDefault="00675470" w:rsidP="00A53BA1">
            <w:pPr>
              <w:pStyle w:val="TableNheader"/>
              <w:cnfStyle w:val="100000000000" w:firstRow="1" w:lastRow="0" w:firstColumn="0" w:lastColumn="0" w:oddVBand="0" w:evenVBand="0" w:oddHBand="0" w:evenHBand="0" w:firstRowFirstColumn="0" w:firstRowLastColumn="0" w:lastRowFirstColumn="0" w:lastRowLastColumn="0"/>
            </w:pPr>
            <w:r w:rsidRPr="006F0792">
              <w:t>2018</w:t>
            </w:r>
          </w:p>
        </w:tc>
      </w:tr>
      <w:tr w:rsidR="00675470" w:rsidRPr="00FA3D8D" w14:paraId="1959598A" w14:textId="77777777" w:rsidTr="00A53BA1">
        <w:tc>
          <w:tcPr>
            <w:cnfStyle w:val="001000000000" w:firstRow="0" w:lastRow="0" w:firstColumn="1" w:lastColumn="0" w:oddVBand="0" w:evenVBand="0" w:oddHBand="0" w:evenHBand="0" w:firstRowFirstColumn="0" w:firstRowLastColumn="0" w:lastRowFirstColumn="0" w:lastRowLastColumn="0"/>
            <w:tcW w:w="1667" w:type="pct"/>
          </w:tcPr>
          <w:p w14:paraId="6BCE38DB" w14:textId="77777777" w:rsidR="00675470" w:rsidRPr="006F0792" w:rsidRDefault="00675470" w:rsidP="00A53BA1">
            <w:pPr>
              <w:pStyle w:val="TableNheader"/>
              <w:rPr>
                <w:szCs w:val="17"/>
              </w:rPr>
            </w:pPr>
            <w:r w:rsidRPr="00FA3D8D">
              <w:t>PI2 method</w:t>
            </w:r>
          </w:p>
        </w:tc>
        <w:tc>
          <w:tcPr>
            <w:tcW w:w="1111" w:type="pct"/>
          </w:tcPr>
          <w:p w14:paraId="6168244A" w14:textId="77777777" w:rsidR="00675470" w:rsidRPr="006F0792" w:rsidRDefault="00675470" w:rsidP="00A53BA1">
            <w:pPr>
              <w:pStyle w:val="TableNText"/>
              <w:cnfStyle w:val="000000000000" w:firstRow="0" w:lastRow="0" w:firstColumn="0" w:lastColumn="0" w:oddVBand="0" w:evenVBand="0" w:oddHBand="0" w:evenHBand="0" w:firstRowFirstColumn="0" w:firstRowLastColumn="0" w:lastRowFirstColumn="0" w:lastRowLastColumn="0"/>
              <w:rPr>
                <w:szCs w:val="17"/>
              </w:rPr>
            </w:pPr>
            <w:r w:rsidRPr="00FA3D8D">
              <w:t>107.2%</w:t>
            </w:r>
          </w:p>
        </w:tc>
        <w:tc>
          <w:tcPr>
            <w:tcW w:w="1111" w:type="pct"/>
          </w:tcPr>
          <w:p w14:paraId="73451919" w14:textId="77777777" w:rsidR="00675470" w:rsidRPr="006F0792" w:rsidRDefault="00675470" w:rsidP="00A53BA1">
            <w:pPr>
              <w:pStyle w:val="TableNText"/>
              <w:cnfStyle w:val="000000000000" w:firstRow="0" w:lastRow="0" w:firstColumn="0" w:lastColumn="0" w:oddVBand="0" w:evenVBand="0" w:oddHBand="0" w:evenHBand="0" w:firstRowFirstColumn="0" w:firstRowLastColumn="0" w:lastRowFirstColumn="0" w:lastRowLastColumn="0"/>
              <w:rPr>
                <w:szCs w:val="17"/>
              </w:rPr>
            </w:pPr>
            <w:r w:rsidRPr="00FA3D8D">
              <w:t>103.6%</w:t>
            </w:r>
          </w:p>
        </w:tc>
        <w:tc>
          <w:tcPr>
            <w:tcW w:w="1111" w:type="pct"/>
          </w:tcPr>
          <w:p w14:paraId="3CE0DBB4" w14:textId="77777777" w:rsidR="00675470" w:rsidRPr="006F0792" w:rsidRDefault="00675470" w:rsidP="00A53BA1">
            <w:pPr>
              <w:pStyle w:val="TableNText"/>
              <w:cnfStyle w:val="000000000000" w:firstRow="0" w:lastRow="0" w:firstColumn="0" w:lastColumn="0" w:oddVBand="0" w:evenVBand="0" w:oddHBand="0" w:evenHBand="0" w:firstRowFirstColumn="0" w:firstRowLastColumn="0" w:lastRowFirstColumn="0" w:lastRowLastColumn="0"/>
              <w:rPr>
                <w:szCs w:val="17"/>
              </w:rPr>
            </w:pPr>
            <w:r w:rsidRPr="00FA3D8D">
              <w:t>107.7%</w:t>
            </w:r>
          </w:p>
        </w:tc>
      </w:tr>
      <w:tr w:rsidR="00675470" w:rsidRPr="00FA3D8D" w14:paraId="6A02E87A" w14:textId="77777777" w:rsidTr="00A53BA1">
        <w:tc>
          <w:tcPr>
            <w:cnfStyle w:val="001000000000" w:firstRow="0" w:lastRow="0" w:firstColumn="1" w:lastColumn="0" w:oddVBand="0" w:evenVBand="0" w:oddHBand="0" w:evenHBand="0" w:firstRowFirstColumn="0" w:firstRowLastColumn="0" w:lastRowFirstColumn="0" w:lastRowLastColumn="0"/>
            <w:tcW w:w="1667" w:type="pct"/>
          </w:tcPr>
          <w:p w14:paraId="13CCD21C" w14:textId="77777777" w:rsidR="00675470" w:rsidRPr="00FA3D8D" w:rsidRDefault="00675470" w:rsidP="00A53BA1">
            <w:pPr>
              <w:pStyle w:val="TableNheader"/>
            </w:pPr>
            <w:r w:rsidRPr="00FA3D8D">
              <w:t xml:space="preserve">ABS </w:t>
            </w:r>
            <w:r w:rsidR="0086115D">
              <w:t xml:space="preserve">state specific </w:t>
            </w:r>
            <w:r w:rsidRPr="00FA3D8D">
              <w:t>YBFS method</w:t>
            </w:r>
          </w:p>
        </w:tc>
        <w:tc>
          <w:tcPr>
            <w:tcW w:w="1111" w:type="pct"/>
          </w:tcPr>
          <w:p w14:paraId="33A540E2" w14:textId="77777777" w:rsidR="00675470" w:rsidRPr="00FA3D8D" w:rsidRDefault="00675470" w:rsidP="00A53BA1">
            <w:pPr>
              <w:pStyle w:val="TableNText"/>
              <w:cnfStyle w:val="000000000000" w:firstRow="0" w:lastRow="0" w:firstColumn="0" w:lastColumn="0" w:oddVBand="0" w:evenVBand="0" w:oddHBand="0" w:evenHBand="0" w:firstRowFirstColumn="0" w:firstRowLastColumn="0" w:lastRowFirstColumn="0" w:lastRowLastColumn="0"/>
            </w:pPr>
            <w:r w:rsidRPr="00FA3D8D">
              <w:t>95%</w:t>
            </w:r>
          </w:p>
        </w:tc>
        <w:tc>
          <w:tcPr>
            <w:tcW w:w="1111" w:type="pct"/>
          </w:tcPr>
          <w:p w14:paraId="65B6E73B" w14:textId="77777777" w:rsidR="00675470" w:rsidRPr="00FA3D8D" w:rsidRDefault="00675470" w:rsidP="00A53BA1">
            <w:pPr>
              <w:pStyle w:val="TableNText"/>
              <w:cnfStyle w:val="000000000000" w:firstRow="0" w:lastRow="0" w:firstColumn="0" w:lastColumn="0" w:oddVBand="0" w:evenVBand="0" w:oddHBand="0" w:evenHBand="0" w:firstRowFirstColumn="0" w:firstRowLastColumn="0" w:lastRowFirstColumn="0" w:lastRowLastColumn="0"/>
            </w:pPr>
            <w:r w:rsidRPr="00FA3D8D">
              <w:t>92%</w:t>
            </w:r>
          </w:p>
        </w:tc>
        <w:tc>
          <w:tcPr>
            <w:tcW w:w="1111" w:type="pct"/>
          </w:tcPr>
          <w:p w14:paraId="34D1A710" w14:textId="77777777" w:rsidR="00675470" w:rsidRPr="00FA3D8D" w:rsidRDefault="00675470" w:rsidP="00A53BA1">
            <w:pPr>
              <w:pStyle w:val="TableNText"/>
              <w:cnfStyle w:val="000000000000" w:firstRow="0" w:lastRow="0" w:firstColumn="0" w:lastColumn="0" w:oddVBand="0" w:evenVBand="0" w:oddHBand="0" w:evenHBand="0" w:firstRowFirstColumn="0" w:firstRowLastColumn="0" w:lastRowFirstColumn="0" w:lastRowLastColumn="0"/>
            </w:pPr>
            <w:r w:rsidRPr="00FA3D8D">
              <w:t>93%</w:t>
            </w:r>
          </w:p>
        </w:tc>
      </w:tr>
      <w:tr w:rsidR="00675470" w:rsidRPr="00FA3D8D" w14:paraId="574E4152" w14:textId="77777777" w:rsidTr="00A53BA1">
        <w:tc>
          <w:tcPr>
            <w:cnfStyle w:val="001000000000" w:firstRow="0" w:lastRow="0" w:firstColumn="1" w:lastColumn="0" w:oddVBand="0" w:evenVBand="0" w:oddHBand="0" w:evenHBand="0" w:firstRowFirstColumn="0" w:firstRowLastColumn="0" w:lastRowFirstColumn="0" w:lastRowLastColumn="0"/>
            <w:tcW w:w="1667" w:type="pct"/>
          </w:tcPr>
          <w:p w14:paraId="0C9D7E18" w14:textId="77777777" w:rsidR="00675470" w:rsidRPr="00A53BA1" w:rsidRDefault="00675470" w:rsidP="00A53BA1">
            <w:pPr>
              <w:pStyle w:val="TableNheader"/>
              <w:rPr>
                <w:rFonts w:asciiTheme="majorHAnsi" w:hAnsiTheme="majorHAnsi" w:cstheme="majorBidi"/>
              </w:rPr>
            </w:pPr>
            <w:r w:rsidRPr="00A53BA1">
              <w:rPr>
                <w:rFonts w:asciiTheme="majorHAnsi" w:hAnsiTheme="majorHAnsi" w:cstheme="majorBidi"/>
              </w:rPr>
              <w:t>Over-estimate of the PI2 method</w:t>
            </w:r>
          </w:p>
        </w:tc>
        <w:tc>
          <w:tcPr>
            <w:tcW w:w="1111" w:type="pct"/>
          </w:tcPr>
          <w:p w14:paraId="10FB162B" w14:textId="77777777" w:rsidR="00675470" w:rsidRPr="0087116A" w:rsidRDefault="00675470" w:rsidP="00A53B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C5679B2">
              <w:rPr>
                <w:rFonts w:asciiTheme="majorHAnsi" w:hAnsiTheme="majorHAnsi" w:cstheme="majorBidi"/>
              </w:rPr>
              <w:t>+11.8%</w:t>
            </w:r>
          </w:p>
        </w:tc>
        <w:tc>
          <w:tcPr>
            <w:tcW w:w="1111" w:type="pct"/>
          </w:tcPr>
          <w:p w14:paraId="0B8E32FC" w14:textId="77777777" w:rsidR="00675470" w:rsidRPr="0087116A" w:rsidRDefault="00675470" w:rsidP="00A53B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C5679B2">
              <w:rPr>
                <w:rFonts w:asciiTheme="majorHAnsi" w:hAnsiTheme="majorHAnsi" w:cstheme="majorBidi"/>
              </w:rPr>
              <w:t>+11.5%</w:t>
            </w:r>
          </w:p>
        </w:tc>
        <w:tc>
          <w:tcPr>
            <w:tcW w:w="1111" w:type="pct"/>
          </w:tcPr>
          <w:p w14:paraId="6946AC56" w14:textId="77777777" w:rsidR="00675470" w:rsidRPr="0087116A" w:rsidRDefault="00675470" w:rsidP="00A53BA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C5679B2">
              <w:rPr>
                <w:rFonts w:asciiTheme="majorHAnsi" w:hAnsiTheme="majorHAnsi" w:cstheme="majorBidi"/>
              </w:rPr>
              <w:t>+14.4%</w:t>
            </w:r>
          </w:p>
        </w:tc>
      </w:tr>
    </w:tbl>
    <w:p w14:paraId="702CDE13" w14:textId="77777777" w:rsidR="00F129B5" w:rsidRDefault="00F129B5" w:rsidP="00F129B5">
      <w:pPr>
        <w:spacing w:after="0"/>
      </w:pPr>
      <w:bookmarkStart w:id="187" w:name="_Hlk24539281"/>
    </w:p>
    <w:p w14:paraId="04505F57" w14:textId="5B669D58" w:rsidR="00F129B5" w:rsidRPr="00C340CC" w:rsidRDefault="00F129B5" w:rsidP="00F129B5">
      <w:r>
        <w:t>As noted earlier, u</w:t>
      </w:r>
      <w:r w:rsidRPr="00C340CC">
        <w:t xml:space="preserve">nder the </w:t>
      </w:r>
      <w:r w:rsidR="0002533B">
        <w:t xml:space="preserve">alternative </w:t>
      </w:r>
      <w:r>
        <w:t xml:space="preserve">ABS </w:t>
      </w:r>
      <w:r w:rsidRPr="00C340CC">
        <w:t xml:space="preserve">methodology, nearly </w:t>
      </w:r>
      <w:r w:rsidR="003141F7">
        <w:t>10</w:t>
      </w:r>
      <w:r w:rsidR="00FD5778">
        <w:t xml:space="preserve"> per cent</w:t>
      </w:r>
      <w:r w:rsidR="003141F7">
        <w:t xml:space="preserve"> of </w:t>
      </w:r>
      <w:r w:rsidRPr="00C340CC">
        <w:t xml:space="preserve">eligible children are not enrolled in preschool, and national data indicates that </w:t>
      </w:r>
      <w:r w:rsidR="003141F7" w:rsidRPr="00C340CC">
        <w:t>2</w:t>
      </w:r>
      <w:r w:rsidR="003141F7">
        <w:t>5</w:t>
      </w:r>
      <w:r w:rsidRPr="00C340CC">
        <w:t xml:space="preserve"> per cent of children are not attending regularly for the full 15 hours</w:t>
      </w:r>
      <w:r w:rsidR="00E17E1A">
        <w:rPr>
          <w:rStyle w:val="FootnoteReference"/>
        </w:rPr>
        <w:footnoteReference w:id="82"/>
      </w:r>
    </w:p>
    <w:p w14:paraId="5E67C64D" w14:textId="38789D8C" w:rsidR="00F129B5" w:rsidRDefault="000A0B6B" w:rsidP="00F129B5">
      <w:r>
        <w:t>W</w:t>
      </w:r>
      <w:r w:rsidR="00F129B5" w:rsidRPr="0C5679B2">
        <w:t xml:space="preserve">hile these estimates are the most accurate available, there is still a reasonable margin for error and </w:t>
      </w:r>
      <w:r w:rsidR="00F129B5">
        <w:t xml:space="preserve">therefore </w:t>
      </w:r>
      <w:r w:rsidR="00F129B5" w:rsidRPr="0C5679B2">
        <w:t xml:space="preserve">room for improvement as a measure of preschool enrolment rates in the YBFS. For example, the population data used in the denominator for the measure—whether </w:t>
      </w:r>
      <w:r w:rsidR="00F129B5">
        <w:t xml:space="preserve">using </w:t>
      </w:r>
      <w:r w:rsidR="00F129B5" w:rsidRPr="0C5679B2">
        <w:t xml:space="preserve">the UANP methodology or the </w:t>
      </w:r>
      <w:r w:rsidR="00F129B5" w:rsidRPr="00FC42C6">
        <w:t xml:space="preserve">state-specific </w:t>
      </w:r>
      <w:r w:rsidR="00F129B5" w:rsidRPr="0C5679B2">
        <w:t xml:space="preserve">YBFS methodology—has inherent limitations because of its use of </w:t>
      </w:r>
      <w:proofErr w:type="gramStart"/>
      <w:r w:rsidR="00F129B5" w:rsidRPr="0C5679B2">
        <w:t>projections</w:t>
      </w:r>
      <w:r w:rsidR="00F129B5">
        <w:t>,</w:t>
      </w:r>
      <w:r w:rsidR="00F129B5" w:rsidRPr="0C5679B2">
        <w:t xml:space="preserve"> and</w:t>
      </w:r>
      <w:proofErr w:type="gramEnd"/>
      <w:r w:rsidR="00F129B5" w:rsidRPr="0C5679B2">
        <w:t xml:space="preserve"> becomes less reliable over the five-year </w:t>
      </w:r>
      <w:r w:rsidR="00F129B5">
        <w:t xml:space="preserve">national </w:t>
      </w:r>
      <w:r w:rsidR="00F129B5" w:rsidRPr="0C5679B2">
        <w:t>Census cycle.</w:t>
      </w:r>
    </w:p>
    <w:p w14:paraId="4E2F630B" w14:textId="77777777" w:rsidR="00D31F8E" w:rsidRDefault="00D15CAA" w:rsidP="00506D80">
      <w:pPr>
        <w:pStyle w:val="Heading4"/>
      </w:pPr>
      <w:r>
        <w:t>T</w:t>
      </w:r>
      <w:r w:rsidR="00D31F8E">
        <w:t xml:space="preserve">he </w:t>
      </w:r>
      <w:r w:rsidR="007F0C4F">
        <w:t xml:space="preserve">current approach to </w:t>
      </w:r>
      <w:r w:rsidR="00D31F8E">
        <w:t xml:space="preserve">attendance </w:t>
      </w:r>
      <w:r w:rsidR="00A67210">
        <w:t xml:space="preserve">data collection and </w:t>
      </w:r>
      <w:r w:rsidR="00D31F8E">
        <w:t>measure</w:t>
      </w:r>
      <w:r w:rsidR="007F0C4F">
        <w:t>ment</w:t>
      </w:r>
      <w:r w:rsidR="00D31F8E">
        <w:t xml:space="preserve"> is </w:t>
      </w:r>
      <w:r w:rsidR="000356C3">
        <w:t xml:space="preserve">highly </w:t>
      </w:r>
      <w:r w:rsidR="00C226A9">
        <w:t>problematic</w:t>
      </w:r>
    </w:p>
    <w:bookmarkEnd w:id="187"/>
    <w:p w14:paraId="0AF78C7E" w14:textId="77777777" w:rsidR="000356C3" w:rsidRDefault="000356C3" w:rsidP="008F71D1">
      <w:pPr>
        <w:pStyle w:val="Bullet"/>
      </w:pPr>
      <w:r>
        <w:t xml:space="preserve">There are two critical drawbacks with the current approach to attendance data collection, </w:t>
      </w:r>
      <w:proofErr w:type="gramStart"/>
      <w:r>
        <w:t>measurement</w:t>
      </w:r>
      <w:proofErr w:type="gramEnd"/>
      <w:r>
        <w:t xml:space="preserve"> and reporting:</w:t>
      </w:r>
    </w:p>
    <w:p w14:paraId="55D57C0A" w14:textId="77777777" w:rsidR="000356C3" w:rsidRDefault="000356C3" w:rsidP="0076358F">
      <w:pPr>
        <w:pStyle w:val="Bullet"/>
        <w:numPr>
          <w:ilvl w:val="0"/>
          <w:numId w:val="13"/>
        </w:numPr>
        <w:ind w:left="340" w:hanging="340"/>
      </w:pPr>
      <w:r>
        <w:t xml:space="preserve">Attendance measures under the UANP fail to reflect the intent of the </w:t>
      </w:r>
      <w:r w:rsidR="00574CEF">
        <w:t>UANP</w:t>
      </w:r>
      <w:r>
        <w:t xml:space="preserve">. </w:t>
      </w:r>
    </w:p>
    <w:p w14:paraId="7A04634C" w14:textId="77777777" w:rsidR="000356C3" w:rsidRDefault="000356C3" w:rsidP="0076358F">
      <w:pPr>
        <w:pStyle w:val="Bullet"/>
        <w:numPr>
          <w:ilvl w:val="0"/>
          <w:numId w:val="13"/>
        </w:numPr>
        <w:ind w:left="340" w:hanging="340"/>
      </w:pPr>
      <w:r>
        <w:t>T</w:t>
      </w:r>
      <w:r w:rsidRPr="00700268">
        <w:t xml:space="preserve">he reliance on a single annual measurement period </w:t>
      </w:r>
      <w:r>
        <w:t xml:space="preserve">also does not </w:t>
      </w:r>
      <w:r w:rsidRPr="00700268">
        <w:t>adequately reflect how preschool is delivered and operat</w:t>
      </w:r>
      <w:r>
        <w:t>ed</w:t>
      </w:r>
      <w:r w:rsidR="0076358F">
        <w:t>.</w:t>
      </w:r>
    </w:p>
    <w:p w14:paraId="15624862" w14:textId="77777777" w:rsidR="000356C3" w:rsidRDefault="006C6A09" w:rsidP="00506D80">
      <w:pPr>
        <w:pStyle w:val="Heading5"/>
      </w:pPr>
      <w:r>
        <w:t xml:space="preserve">Attendance measures under the UANP </w:t>
      </w:r>
      <w:r w:rsidR="000356C3">
        <w:t xml:space="preserve">fail to reflect the intent of the </w:t>
      </w:r>
      <w:r w:rsidR="00574CEF">
        <w:t>UANP</w:t>
      </w:r>
    </w:p>
    <w:p w14:paraId="767F8F1F" w14:textId="77777777" w:rsidR="000B723A" w:rsidRDefault="006C6A09" w:rsidP="00D7006A">
      <w:pPr>
        <w:pStyle w:val="Bullet"/>
      </w:pPr>
      <w:r>
        <w:t>Prior to 2015, children were taken to be attending a program if they attended for at least one hour in the reference week.</w:t>
      </w:r>
      <w:r w:rsidR="008F71D1">
        <w:t xml:space="preserve"> </w:t>
      </w:r>
      <w:r w:rsidR="00D7006A">
        <w:t xml:space="preserve">In the 2015 agreement, the wording of the measure changed slightly, and the calculation methodology was altered to count children attending for the full 15 hours in the reference week. While </w:t>
      </w:r>
      <w:r w:rsidR="00D7006A">
        <w:lastRenderedPageBreak/>
        <w:t xml:space="preserve">this is the methodology recorded in the agreement the ‘one hour’ </w:t>
      </w:r>
      <w:r w:rsidR="001C7D70">
        <w:t xml:space="preserve">data continues to be used for the </w:t>
      </w:r>
      <w:r w:rsidR="00D7006A">
        <w:t>measure</w:t>
      </w:r>
      <w:r w:rsidR="001C7D70">
        <w:t xml:space="preserve"> of </w:t>
      </w:r>
      <w:r w:rsidR="00D7006A">
        <w:t xml:space="preserve">attendance. </w:t>
      </w:r>
      <w:r w:rsidR="000B723A">
        <w:t>This is a limited view o</w:t>
      </w:r>
      <w:r w:rsidR="004B7D58">
        <w:t>f</w:t>
      </w:r>
      <w:r w:rsidR="000B723A">
        <w:t xml:space="preserve"> participation at a definitional level and does not capture the variation in hours of attendance for children in a service, or whether continual attendance is observed among children over a longer period. It also does not capture </w:t>
      </w:r>
      <w:r w:rsidR="004764A2">
        <w:t>the reasons for any absences</w:t>
      </w:r>
      <w:r w:rsidR="000B723A">
        <w:t xml:space="preserve">. </w:t>
      </w:r>
    </w:p>
    <w:p w14:paraId="16A288F5" w14:textId="77777777" w:rsidR="007504E8" w:rsidRDefault="007504E8" w:rsidP="007504E8">
      <w:r>
        <w:t xml:space="preserve">There have been considerable efforts to collect and report more reliable and accurate attendance data. Many jurisdictions collect reliable attendance data from government preschool providers, and these efforts will continue to inform better attendance measurement. Until the end of 2018, data on attendance in CBDC was based on </w:t>
      </w:r>
      <w:r w:rsidR="00BA4216">
        <w:t xml:space="preserve">session </w:t>
      </w:r>
      <w:r>
        <w:t xml:space="preserve">hours, so did not accurately reflect </w:t>
      </w:r>
      <w:r w:rsidR="00BA4216">
        <w:t xml:space="preserve">hours </w:t>
      </w:r>
      <w:r>
        <w:t>actual</w:t>
      </w:r>
      <w:r w:rsidR="00BA4216">
        <w:t>ly</w:t>
      </w:r>
      <w:r>
        <w:t xml:space="preserve"> </w:t>
      </w:r>
      <w:r w:rsidR="00BA4216">
        <w:t>attended (where children were only present for part of a session)</w:t>
      </w:r>
      <w:r>
        <w:t>.</w:t>
      </w:r>
      <w:r w:rsidDel="0064214B">
        <w:t xml:space="preserve"> </w:t>
      </w:r>
      <w:r>
        <w:t xml:space="preserve">Since </w:t>
      </w:r>
      <w:r w:rsidR="00BA4216">
        <w:t>14</w:t>
      </w:r>
      <w:r>
        <w:t xml:space="preserve"> January 2019, following introduction of the new child care system in July 2018, CBDC services have been required to report </w:t>
      </w:r>
      <w:r w:rsidRPr="007031D3">
        <w:t>‘in’ and ‘out’ times</w:t>
      </w:r>
      <w:r>
        <w:t xml:space="preserve"> for children whose families are accessing CCS payments. Data the Australian Government collects from CBDC providers is typically shared with States and Territories through the National Collection, which is published in February of the following year. States and Territories can make arrangements to access the data more frequently, and a number have done or are doing so. Subject to legislative restrictions, there would be potential to expand earlier access to CBDC data collected under the new system through a national arrangement involving all States and Territories.</w:t>
      </w:r>
    </w:p>
    <w:p w14:paraId="746CD9AB" w14:textId="77777777" w:rsidR="000914D3" w:rsidRDefault="000914D3" w:rsidP="00506D80">
      <w:pPr>
        <w:pStyle w:val="Heading5"/>
      </w:pPr>
      <w:r>
        <w:t>T</w:t>
      </w:r>
      <w:r w:rsidRPr="00700268">
        <w:t xml:space="preserve">he reliance on a single annual measurement period </w:t>
      </w:r>
      <w:r>
        <w:t xml:space="preserve">also does not </w:t>
      </w:r>
      <w:r w:rsidRPr="00700268">
        <w:t>adequately reflect how preschool is delivered and operat</w:t>
      </w:r>
      <w:r>
        <w:t>ed</w:t>
      </w:r>
    </w:p>
    <w:p w14:paraId="0EE77DF2" w14:textId="77777777" w:rsidR="008F71D1" w:rsidRDefault="000356C3" w:rsidP="00091E69">
      <w:r>
        <w:t xml:space="preserve">The National Collection collects data through </w:t>
      </w:r>
      <w:r w:rsidR="00D7006A">
        <w:t>combination of data collections from different jurisdictions</w:t>
      </w:r>
      <w:r>
        <w:t xml:space="preserve"> where the results are extrapolated (to 600 hours) from </w:t>
      </w:r>
      <w:r w:rsidR="00D7006A">
        <w:t xml:space="preserve">either a </w:t>
      </w:r>
      <w:r>
        <w:t xml:space="preserve">single reference week </w:t>
      </w:r>
      <w:r w:rsidR="00D7006A">
        <w:t xml:space="preserve">or fortnight </w:t>
      </w:r>
      <w:r>
        <w:t>in August. T</w:t>
      </w:r>
      <w:r w:rsidR="00700268" w:rsidRPr="00700268">
        <w:t xml:space="preserve">he reliance on a single annual measurement period </w:t>
      </w:r>
      <w:r>
        <w:t xml:space="preserve">does not </w:t>
      </w:r>
      <w:r w:rsidR="00700268" w:rsidRPr="00700268">
        <w:t>adequately reflect how preschool is delivered and operat</w:t>
      </w:r>
      <w:r>
        <w:t>ed</w:t>
      </w:r>
      <w:r w:rsidR="00700268" w:rsidRPr="00700268">
        <w:t xml:space="preserve"> within each state and territory</w:t>
      </w:r>
      <w:r>
        <w:t>, leading to unreliable attendance data</w:t>
      </w:r>
      <w:r w:rsidR="00700268" w:rsidRPr="00700268">
        <w:t>.</w:t>
      </w:r>
      <w:r w:rsidR="008F71D1">
        <w:t xml:space="preserve"> </w:t>
      </w:r>
    </w:p>
    <w:p w14:paraId="61D7541A" w14:textId="77777777" w:rsidR="006C6A09" w:rsidRDefault="00D7006A" w:rsidP="00091E69">
      <w:r w:rsidRPr="00091E69">
        <w:rPr>
          <w:rStyle w:val="CommentReference"/>
          <w:sz w:val="19"/>
          <w:szCs w:val="19"/>
        </w:rPr>
        <w:t xml:space="preserve">Although collection of attendance patterns across a week is an improvement on the limited attendance data available prior to the National Collection, it does not provide detailed information about regular attendance across the year, </w:t>
      </w:r>
      <w:r w:rsidR="004764A2">
        <w:rPr>
          <w:rStyle w:val="CommentReference"/>
          <w:sz w:val="19"/>
          <w:szCs w:val="19"/>
        </w:rPr>
        <w:t>the reasons for</w:t>
      </w:r>
      <w:r w:rsidRPr="00091E69">
        <w:rPr>
          <w:rStyle w:val="CommentReference"/>
          <w:sz w:val="19"/>
          <w:szCs w:val="19"/>
        </w:rPr>
        <w:t xml:space="preserve"> absences, </w:t>
      </w:r>
      <w:r w:rsidR="007F78C6" w:rsidRPr="00091E69">
        <w:rPr>
          <w:rStyle w:val="CommentReference"/>
          <w:sz w:val="19"/>
          <w:szCs w:val="19"/>
        </w:rPr>
        <w:t xml:space="preserve">and </w:t>
      </w:r>
      <w:r w:rsidR="006C6A09" w:rsidRPr="006C6A09">
        <w:t>is an insufficient method.</w:t>
      </w:r>
      <w:r w:rsidR="008F71D1">
        <w:t xml:space="preserve"> </w:t>
      </w:r>
      <w:r w:rsidR="006C6A09">
        <w:t xml:space="preserve">Further, the </w:t>
      </w:r>
      <w:r w:rsidR="00795797">
        <w:t xml:space="preserve">timing of the census </w:t>
      </w:r>
      <w:r w:rsidR="00974CC0">
        <w:t xml:space="preserve">in August </w:t>
      </w:r>
      <w:r w:rsidR="00795797">
        <w:t xml:space="preserve">may also understate attendance. </w:t>
      </w:r>
    </w:p>
    <w:p w14:paraId="1CC24336" w14:textId="77777777" w:rsidR="006C6A09" w:rsidRDefault="00700268" w:rsidP="0076358F">
      <w:pPr>
        <w:pStyle w:val="Bullet"/>
        <w:numPr>
          <w:ilvl w:val="0"/>
          <w:numId w:val="13"/>
        </w:numPr>
        <w:ind w:left="340" w:hanging="340"/>
      </w:pPr>
      <w:r w:rsidRPr="00700268">
        <w:t xml:space="preserve">In specific </w:t>
      </w:r>
      <w:r w:rsidR="00F129B5">
        <w:t>jurisdictions</w:t>
      </w:r>
      <w:r w:rsidR="00F129B5" w:rsidRPr="00700268">
        <w:t xml:space="preserve"> </w:t>
      </w:r>
      <w:r w:rsidRPr="00700268">
        <w:t xml:space="preserve">(notably </w:t>
      </w:r>
      <w:r w:rsidR="00C555DD">
        <w:t>Northern Territory</w:t>
      </w:r>
      <w:r w:rsidR="00C555DD" w:rsidRPr="00700268">
        <w:t xml:space="preserve"> </w:t>
      </w:r>
      <w:r w:rsidR="00C555DD">
        <w:t xml:space="preserve">and </w:t>
      </w:r>
      <w:r w:rsidRPr="00700268">
        <w:t xml:space="preserve">Tasmania) there are demonstrable challenges in that the census </w:t>
      </w:r>
      <w:r w:rsidR="004B7D58">
        <w:t>is conducted</w:t>
      </w:r>
      <w:r w:rsidRPr="00700268">
        <w:t xml:space="preserve"> during predictably lower attendance weeks</w:t>
      </w:r>
      <w:r w:rsidR="00E75010">
        <w:t xml:space="preserve">. </w:t>
      </w:r>
    </w:p>
    <w:p w14:paraId="63993952" w14:textId="77777777" w:rsidR="006C6A09" w:rsidRDefault="006C6A09" w:rsidP="0076358F">
      <w:pPr>
        <w:pStyle w:val="Bullet"/>
        <w:numPr>
          <w:ilvl w:val="0"/>
          <w:numId w:val="13"/>
        </w:numPr>
        <w:ind w:left="340" w:hanging="340"/>
      </w:pPr>
      <w:r>
        <w:t xml:space="preserve">Public and religious holidays and alternative </w:t>
      </w:r>
      <w:r w:rsidR="00E0176F">
        <w:t>programming</w:t>
      </w:r>
      <w:r>
        <w:t xml:space="preserve"> during the reference week also have an impact on the accuracy of the measure. </w:t>
      </w:r>
    </w:p>
    <w:p w14:paraId="0838DC4E" w14:textId="109F26BF" w:rsidR="006C6A09" w:rsidRDefault="006C6A09" w:rsidP="0076358F">
      <w:pPr>
        <w:pStyle w:val="Bullet"/>
        <w:numPr>
          <w:ilvl w:val="0"/>
          <w:numId w:val="13"/>
        </w:numPr>
        <w:ind w:left="340" w:hanging="340"/>
      </w:pPr>
      <w:r>
        <w:t xml:space="preserve">Similarly, </w:t>
      </w:r>
      <w:r w:rsidR="000839E1">
        <w:t>p</w:t>
      </w:r>
      <w:r>
        <w:t>reschool</w:t>
      </w:r>
      <w:r w:rsidR="00D157E8">
        <w:t>-</w:t>
      </w:r>
      <w:r w:rsidR="009040C6">
        <w:t xml:space="preserve">aged </w:t>
      </w:r>
      <w:r>
        <w:t xml:space="preserve">children are prone to illness. </w:t>
      </w:r>
    </w:p>
    <w:p w14:paraId="086843D4" w14:textId="77777777" w:rsidR="00700268" w:rsidRPr="00700268" w:rsidRDefault="00E75010" w:rsidP="008F71D1">
      <w:pPr>
        <w:pStyle w:val="Bullet"/>
      </w:pPr>
      <w:r>
        <w:t xml:space="preserve">In </w:t>
      </w:r>
      <w:r w:rsidR="00700268" w:rsidRPr="00700268">
        <w:t>addition</w:t>
      </w:r>
      <w:r>
        <w:t xml:space="preserve"> to consistently predictable lower attendance (for which adjustments could be made)</w:t>
      </w:r>
      <w:r w:rsidR="00700268" w:rsidRPr="00700268">
        <w:t xml:space="preserve"> there </w:t>
      </w:r>
      <w:r>
        <w:t xml:space="preserve">are problems with unexpected or atypical large-scale absences during the </w:t>
      </w:r>
      <w:r w:rsidR="00700268" w:rsidRPr="00700268">
        <w:t>reference week</w:t>
      </w:r>
      <w:r>
        <w:t xml:space="preserve">. </w:t>
      </w:r>
      <w:r w:rsidR="00700268" w:rsidRPr="00700268">
        <w:t>Th</w:t>
      </w:r>
      <w:r>
        <w:t>e</w:t>
      </w:r>
      <w:r w:rsidR="00700268" w:rsidRPr="00700268">
        <w:t xml:space="preserve"> effect may be particularly pronounced for smaller cohorts, such as vulnerable and disadvantaged children and </w:t>
      </w:r>
      <w:r w:rsidR="00DD6CD4">
        <w:t>I</w:t>
      </w:r>
      <w:r w:rsidR="00700268" w:rsidRPr="00700268">
        <w:t xml:space="preserve">ndigenous children. Given the focus within the UANP on these groups, distortions in measures are of particular concern </w:t>
      </w:r>
      <w:r w:rsidR="004E76E5">
        <w:t>to</w:t>
      </w:r>
      <w:r w:rsidR="00700268" w:rsidRPr="00700268">
        <w:t xml:space="preserve"> </w:t>
      </w:r>
      <w:r>
        <w:t>several</w:t>
      </w:r>
      <w:r w:rsidR="00DD6CD4">
        <w:t xml:space="preserve"> governments</w:t>
      </w:r>
      <w:r w:rsidR="00700268" w:rsidRPr="00700268">
        <w:t xml:space="preserve">. </w:t>
      </w:r>
    </w:p>
    <w:p w14:paraId="22FEC4EE" w14:textId="77777777" w:rsidR="007F78C6" w:rsidRDefault="00E7398F" w:rsidP="009138D0">
      <w:pPr>
        <w:pStyle w:val="Bullet"/>
        <w:spacing w:after="240"/>
      </w:pPr>
      <w:r>
        <w:t xml:space="preserve">Moreover, </w:t>
      </w:r>
      <w:r w:rsidRPr="00E7398F">
        <w:t xml:space="preserve">the current measure does not effectively </w:t>
      </w:r>
      <w:r w:rsidR="00E75010">
        <w:t>capture reasons for</w:t>
      </w:r>
      <w:r w:rsidRPr="00E7398F">
        <w:t xml:space="preserve"> non</w:t>
      </w:r>
      <w:r w:rsidR="004E76E5">
        <w:t>-</w:t>
      </w:r>
      <w:r w:rsidRPr="00E7398F">
        <w:t>attendance</w:t>
      </w:r>
      <w:r w:rsidR="00F5590A">
        <w:t>, which is important to understand in terms of developing potential policy responses.</w:t>
      </w:r>
      <w:r w:rsidR="007F78C6">
        <w:t xml:space="preserve"> For example, school attendance reporting includes a range of information including explained and unexplained absences.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811AE9" w14:paraId="33138C79" w14:textId="77777777" w:rsidTr="00941D01">
        <w:tc>
          <w:tcPr>
            <w:tcW w:w="8930" w:type="dxa"/>
            <w:shd w:val="clear" w:color="auto" w:fill="00264D" w:themeFill="background2"/>
          </w:tcPr>
          <w:p w14:paraId="22D598AF" w14:textId="77777777" w:rsidR="00811AE9" w:rsidRPr="006C71B3" w:rsidRDefault="00811AE9" w:rsidP="00941D01">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6</w:t>
            </w:r>
          </w:p>
          <w:p w14:paraId="774F2A38" w14:textId="77777777" w:rsidR="00811AE9" w:rsidRPr="00030D73" w:rsidRDefault="00FC74BE" w:rsidP="00941D01">
            <w:pPr>
              <w:pStyle w:val="Longformcallout"/>
              <w:spacing w:after="0"/>
              <w:rPr>
                <w:rFonts w:asciiTheme="majorHAnsi" w:hAnsiTheme="majorHAnsi" w:cstheme="majorBidi"/>
                <w:sz w:val="24"/>
                <w:szCs w:val="24"/>
              </w:rPr>
            </w:pPr>
            <w:r w:rsidRPr="00FC74BE">
              <w:rPr>
                <w:rFonts w:asciiTheme="majorHAnsi" w:hAnsiTheme="majorHAnsi" w:cstheme="majorBidi"/>
                <w:color w:val="FFFFFF" w:themeColor="background1"/>
                <w:sz w:val="20"/>
                <w:szCs w:val="20"/>
              </w:rPr>
              <w:t>The current approach to attendance data collection and measurement is problematic and the UANP’s reported levels of attendance are unreliable</w:t>
            </w:r>
            <w:r w:rsidR="00811AE9" w:rsidRPr="0C5679B2">
              <w:rPr>
                <w:rFonts w:asciiTheme="majorHAnsi" w:hAnsiTheme="majorHAnsi" w:cstheme="majorBidi"/>
                <w:color w:val="FFFFFF" w:themeColor="background1"/>
                <w:sz w:val="20"/>
                <w:szCs w:val="20"/>
              </w:rPr>
              <w:t>.</w:t>
            </w:r>
          </w:p>
        </w:tc>
      </w:tr>
    </w:tbl>
    <w:p w14:paraId="1000C79D" w14:textId="77777777" w:rsidR="00E268CB" w:rsidRDefault="00E268CB" w:rsidP="00E268CB">
      <w:pPr>
        <w:pStyle w:val="Heading2"/>
      </w:pPr>
      <w:bookmarkStart w:id="188" w:name="_Ref24557082"/>
      <w:bookmarkStart w:id="189" w:name="_Toc24559600"/>
      <w:bookmarkStart w:id="190" w:name="_Toc54597788"/>
      <w:r>
        <w:lastRenderedPageBreak/>
        <w:t>There is a threshold issue about whether benchmarks are set at the appropriate levels</w:t>
      </w:r>
      <w:bookmarkEnd w:id="188"/>
      <w:bookmarkEnd w:id="189"/>
      <w:bookmarkEnd w:id="190"/>
    </w:p>
    <w:p w14:paraId="08F69AB8" w14:textId="77777777" w:rsidR="00E268CB" w:rsidRPr="00CA7807" w:rsidRDefault="00E268CB" w:rsidP="00E268CB">
      <w:pPr>
        <w:pStyle w:val="Bullet"/>
      </w:pPr>
      <w:r>
        <w:t>This section considers whether the UANP’s benchmarks/targets are set at an appropriate level.</w:t>
      </w:r>
    </w:p>
    <w:p w14:paraId="779A3FA9" w14:textId="77777777" w:rsidR="00E268CB" w:rsidRDefault="00E268CB" w:rsidP="00E268CB">
      <w:pPr>
        <w:pStyle w:val="Heading4"/>
      </w:pPr>
      <w:r>
        <w:t>Targets focused on enrolment, particularly for 600 hours, have driven significant progress</w:t>
      </w:r>
    </w:p>
    <w:p w14:paraId="738926C9" w14:textId="77777777" w:rsidR="00E268CB" w:rsidRDefault="00E268CB" w:rsidP="00E268CB">
      <w:pPr>
        <w:pStyle w:val="Bullet"/>
      </w:pPr>
      <w:r>
        <w:t>The significant progress to reach and maintain 95 per cent-plus enrolment rates and widespread enrolment in 600 hours or more of preschool has been fundamental to the success of the UANP. The Review heard</w:t>
      </w:r>
      <w:r w:rsidDel="00014790">
        <w:t xml:space="preserve"> </w:t>
      </w:r>
      <w:r>
        <w:t>evidence that this target changed the perception of parents, service providers and governments. The Review also recognises the need to continue the focused effort to lift participation by children experiencing vulnerability and disadvantage, and Indigenous children, and that a range of other cohorts may need more focused attention.</w:t>
      </w:r>
    </w:p>
    <w:p w14:paraId="6FA1D88A" w14:textId="77777777" w:rsidR="00E268CB" w:rsidRDefault="00E268CB" w:rsidP="00E268CB">
      <w:pPr>
        <w:pStyle w:val="Heading4"/>
      </w:pPr>
      <w:r>
        <w:t>A 90 per cent target for attendance is unrealistically high and poorly measured</w:t>
      </w:r>
    </w:p>
    <w:p w14:paraId="2EFD1926" w14:textId="77777777" w:rsidR="00E268CB" w:rsidRDefault="00E268CB" w:rsidP="00E268CB">
      <w:pPr>
        <w:pStyle w:val="Bullet"/>
      </w:pPr>
      <w:r>
        <w:t>The aspiration for 90 per cent of children enrolled in preschool to attend the full 600 hours is unrealistically high in a non-compulsory, and not universally-free system. Stakeholders in government and in the sector compared the attendance rate in preschool to that in school.</w:t>
      </w:r>
      <w:r w:rsidRPr="00C61B2F">
        <w:t xml:space="preserve"> </w:t>
      </w:r>
      <w:r w:rsidR="00202A68">
        <w:t>In</w:t>
      </w:r>
      <w:r>
        <w:t xml:space="preserve"> the </w:t>
      </w:r>
      <w:proofErr w:type="gramStart"/>
      <w:r w:rsidR="00202A68">
        <w:t>schools</w:t>
      </w:r>
      <w:proofErr w:type="gramEnd"/>
      <w:r>
        <w:t xml:space="preserve"> sector, attendance rates averages 91.9 per cent attendance nationally in a compulsory setting.</w:t>
      </w:r>
      <w:r>
        <w:rPr>
          <w:rStyle w:val="FootnoteReference"/>
        </w:rPr>
        <w:footnoteReference w:id="83"/>
      </w:r>
      <w:r>
        <w:t xml:space="preserve"> The attendance figure for schooling also considers explainable absences. </w:t>
      </w:r>
    </w:p>
    <w:p w14:paraId="17A93784" w14:textId="77777777" w:rsidR="007F78C6" w:rsidRDefault="007F78C6" w:rsidP="007F78C6">
      <w:pPr>
        <w:pStyle w:val="Heading2"/>
      </w:pPr>
      <w:bookmarkStart w:id="191" w:name="_Toc24559601"/>
      <w:bookmarkStart w:id="192" w:name="_Toc54597789"/>
      <w:r>
        <w:t>States and Territories are concerned that data limitations are compromising their own planning and funding decisions</w:t>
      </w:r>
      <w:bookmarkEnd w:id="191"/>
      <w:bookmarkEnd w:id="192"/>
    </w:p>
    <w:p w14:paraId="51C3717C" w14:textId="77777777" w:rsidR="00D303E0" w:rsidRPr="00475675" w:rsidRDefault="00D303E0" w:rsidP="008F71D1">
      <w:pPr>
        <w:pStyle w:val="Bullet"/>
      </w:pPr>
      <w:r w:rsidRPr="00CA7807">
        <w:t xml:space="preserve">This section </w:t>
      </w:r>
      <w:r w:rsidRPr="00475675">
        <w:t xml:space="preserve">considers </w:t>
      </w:r>
      <w:r w:rsidRPr="001A34DA">
        <w:t xml:space="preserve">whether the use of the current performance framework and its benchmarks/ targets are appropriate to </w:t>
      </w:r>
      <w:r w:rsidR="00620471">
        <w:t xml:space="preserve">inform decision making and to </w:t>
      </w:r>
      <w:r w:rsidRPr="001A34DA">
        <w:t xml:space="preserve">make </w:t>
      </w:r>
      <w:r w:rsidR="00277258" w:rsidRPr="001A34DA">
        <w:t>performance</w:t>
      </w:r>
      <w:r w:rsidR="00277258">
        <w:t>-based</w:t>
      </w:r>
      <w:r w:rsidRPr="001A34DA">
        <w:t xml:space="preserve"> payments</w:t>
      </w:r>
      <w:r>
        <w:t>.</w:t>
      </w:r>
    </w:p>
    <w:p w14:paraId="51E5742B" w14:textId="77777777" w:rsidR="00D303E0" w:rsidRDefault="00D303E0" w:rsidP="00506D80">
      <w:pPr>
        <w:pStyle w:val="Heading4"/>
      </w:pPr>
      <w:r>
        <w:t>Delays in data and reporting limit</w:t>
      </w:r>
      <w:r w:rsidR="00620471">
        <w:t>s</w:t>
      </w:r>
      <w:r>
        <w:t xml:space="preserve"> States and Territories ability to </w:t>
      </w:r>
      <w:r w:rsidR="00620471">
        <w:t xml:space="preserve">effectively </w:t>
      </w:r>
      <w:r>
        <w:t>use funding</w:t>
      </w:r>
    </w:p>
    <w:p w14:paraId="6AA67274" w14:textId="77777777" w:rsidR="007F78C6" w:rsidRDefault="007F78C6" w:rsidP="007F78C6">
      <w:pPr>
        <w:pStyle w:val="Bullet"/>
      </w:pPr>
      <w:r>
        <w:t xml:space="preserve">States and Territories do not get access to performance data from the previous year, including CBDC figures, until the </w:t>
      </w:r>
      <w:r w:rsidR="00013270">
        <w:t>February</w:t>
      </w:r>
      <w:r>
        <w:t xml:space="preserve"> ABS release. This means there is a </w:t>
      </w:r>
      <w:r w:rsidR="00013270">
        <w:t>lag such that</w:t>
      </w:r>
      <w:r>
        <w:t xml:space="preserve"> children in the collection have already started school and following year’s cohort is already attending preschool.</w:t>
      </w:r>
    </w:p>
    <w:p w14:paraId="0E81CE5F" w14:textId="77777777" w:rsidR="000914D3" w:rsidRDefault="00D303E0" w:rsidP="008F71D1">
      <w:pPr>
        <w:pStyle w:val="Bullet"/>
      </w:pPr>
      <w:r>
        <w:t xml:space="preserve">When </w:t>
      </w:r>
      <w:r w:rsidR="00650A65">
        <w:t xml:space="preserve">considered alongside the fact </w:t>
      </w:r>
      <w:r w:rsidRPr="00270534">
        <w:t>that around 70</w:t>
      </w:r>
      <w:r w:rsidR="003B1500">
        <w:t xml:space="preserve"> per cent</w:t>
      </w:r>
      <w:r w:rsidRPr="00270534">
        <w:t xml:space="preserve"> of UANP funding is held in arrears, jurisdictions </w:t>
      </w:r>
      <w:r w:rsidR="00650A65">
        <w:t>become risk-averse, for they cannot b</w:t>
      </w:r>
      <w:r w:rsidR="00C5218E">
        <w:t>e</w:t>
      </w:r>
      <w:r w:rsidR="00650A65">
        <w:t xml:space="preserve"> fully confident of receiving the balance of the amount.</w:t>
      </w:r>
      <w:r w:rsidR="008F71D1">
        <w:t xml:space="preserve"> </w:t>
      </w:r>
      <w:r w:rsidR="00650A65">
        <w:t xml:space="preserve">The point was made </w:t>
      </w:r>
      <w:r w:rsidR="00F129B5">
        <w:t>strongly</w:t>
      </w:r>
      <w:r w:rsidR="00650A65">
        <w:t xml:space="preserve"> by several jurisdictions that there is a reluctance to innovate or to provide longer</w:t>
      </w:r>
      <w:r w:rsidR="00C5218E">
        <w:noBreakHyphen/>
      </w:r>
      <w:r w:rsidR="00650A65">
        <w:t xml:space="preserve">term commitments in complementary program areas in such situations of funding uncertainty. </w:t>
      </w:r>
    </w:p>
    <w:p w14:paraId="24D6BA27" w14:textId="77777777" w:rsidR="00D303E0" w:rsidRPr="003429DF" w:rsidRDefault="002D517E" w:rsidP="00506D80">
      <w:pPr>
        <w:pStyle w:val="Heading4"/>
      </w:pPr>
      <w:r>
        <w:t>D</w:t>
      </w:r>
      <w:r w:rsidR="00D303E0" w:rsidRPr="00763336">
        <w:t xml:space="preserve">eficiencies in the collection and use of data </w:t>
      </w:r>
      <w:r>
        <w:t xml:space="preserve">heighten concerns of their usefulness </w:t>
      </w:r>
      <w:r w:rsidR="00D303E0" w:rsidRPr="00763336">
        <w:t xml:space="preserve">for the purpose of </w:t>
      </w:r>
      <w:r w:rsidR="00277258">
        <w:t>performance-based</w:t>
      </w:r>
      <w:r w:rsidR="00D303E0" w:rsidRPr="00763336">
        <w:t xml:space="preserve"> payments</w:t>
      </w:r>
      <w:r>
        <w:t xml:space="preserve"> </w:t>
      </w:r>
    </w:p>
    <w:p w14:paraId="5CB02104" w14:textId="77777777" w:rsidR="007F78C6" w:rsidRPr="007F78C6" w:rsidRDefault="00091E69" w:rsidP="007F78C6">
      <w:pPr>
        <w:pStyle w:val="Bullet"/>
      </w:pPr>
      <w:r>
        <w:t>P</w:t>
      </w:r>
      <w:r w:rsidR="00C118F2">
        <w:t xml:space="preserve">erformance-related funding is a </w:t>
      </w:r>
      <w:r w:rsidR="007F78C6">
        <w:t>defining feature of</w:t>
      </w:r>
      <w:r w:rsidR="007F78C6" w:rsidRPr="00C118F2">
        <w:t xml:space="preserve"> </w:t>
      </w:r>
      <w:r w:rsidR="00C118F2" w:rsidRPr="00C118F2">
        <w:t>N</w:t>
      </w:r>
      <w:r w:rsidR="00500A18">
        <w:t xml:space="preserve">ational </w:t>
      </w:r>
      <w:r w:rsidR="00C118F2" w:rsidRPr="00C118F2">
        <w:t>P</w:t>
      </w:r>
      <w:r w:rsidR="00500A18">
        <w:t>artnership</w:t>
      </w:r>
      <w:r w:rsidR="00C118F2" w:rsidRPr="00C118F2">
        <w:t>s</w:t>
      </w:r>
      <w:r w:rsidR="00C118F2">
        <w:t xml:space="preserve">, </w:t>
      </w:r>
      <w:r w:rsidR="00E9057A">
        <w:t>but</w:t>
      </w:r>
      <w:r>
        <w:t xml:space="preserve"> </w:t>
      </w:r>
      <w:r w:rsidR="002D517E">
        <w:t xml:space="preserve">data concerns limit the appropriateness of </w:t>
      </w:r>
      <w:r w:rsidR="00D303E0">
        <w:t xml:space="preserve">fixed targets </w:t>
      </w:r>
      <w:r w:rsidR="002D517E">
        <w:t xml:space="preserve">that </w:t>
      </w:r>
      <w:r w:rsidR="00D303E0">
        <w:t xml:space="preserve">do not make </w:t>
      </w:r>
      <w:r w:rsidR="00650A65">
        <w:t>sufficient</w:t>
      </w:r>
      <w:r w:rsidR="00D303E0">
        <w:t xml:space="preserve"> allowance for margins of error</w:t>
      </w:r>
      <w:r w:rsidR="00D303E0" w:rsidRPr="003429DF">
        <w:t xml:space="preserve">. </w:t>
      </w:r>
      <w:r>
        <w:t>J</w:t>
      </w:r>
      <w:r w:rsidR="007F78C6">
        <w:t xml:space="preserve">urisdictions do provide supplementary data that can lead to adjustments, thereby addressing (at least in part) data limitations, </w:t>
      </w:r>
      <w:r>
        <w:t xml:space="preserve">however </w:t>
      </w:r>
      <w:r w:rsidR="007F78C6">
        <w:t xml:space="preserve">the use of </w:t>
      </w:r>
      <w:r w:rsidR="00A20182">
        <w:t xml:space="preserve">tiered </w:t>
      </w:r>
      <w:r w:rsidR="007F78C6">
        <w:t xml:space="preserve">targets tied to funding will continue to be a point of contention. </w:t>
      </w:r>
    </w:p>
    <w:p w14:paraId="6BEF6ECB" w14:textId="77777777" w:rsidR="00D303E0" w:rsidRPr="003429DF" w:rsidRDefault="00C118F2" w:rsidP="008F71D1">
      <w:pPr>
        <w:pStyle w:val="Bullet"/>
      </w:pPr>
      <w:r>
        <w:lastRenderedPageBreak/>
        <w:t xml:space="preserve">A key issue for </w:t>
      </w:r>
      <w:r w:rsidR="00C5218E">
        <w:t>smaller</w:t>
      </w:r>
      <w:r>
        <w:t xml:space="preserve"> jurisdictions is that s</w:t>
      </w:r>
      <w:r w:rsidR="00D303E0" w:rsidRPr="003429DF">
        <w:t xml:space="preserve">mall fluctuations can radically shift the percentage value of the </w:t>
      </w:r>
      <w:r w:rsidR="00FC42C6">
        <w:t>p</w:t>
      </w:r>
      <w:r w:rsidR="00BD5115">
        <w:t xml:space="preserve">erformance </w:t>
      </w:r>
      <w:r w:rsidR="00FC42C6">
        <w:t>i</w:t>
      </w:r>
      <w:r w:rsidR="00BD5115">
        <w:t>ndicator</w:t>
      </w:r>
      <w:r w:rsidR="00D303E0" w:rsidRPr="003429DF">
        <w:t xml:space="preserve">. This is particularly acute in relation to </w:t>
      </w:r>
      <w:r>
        <w:t xml:space="preserve">the </w:t>
      </w:r>
      <w:r w:rsidR="00D303E0" w:rsidRPr="003429DF">
        <w:t>target cohorts</w:t>
      </w:r>
      <w:r>
        <w:t xml:space="preserve"> of Indigenous, </w:t>
      </w:r>
      <w:proofErr w:type="gramStart"/>
      <w:r>
        <w:t>vulnerable</w:t>
      </w:r>
      <w:proofErr w:type="gramEnd"/>
      <w:r>
        <w:t xml:space="preserve"> and disadvantaged children</w:t>
      </w:r>
      <w:r w:rsidR="00D303E0" w:rsidRPr="003429DF">
        <w:t xml:space="preserve">. </w:t>
      </w:r>
    </w:p>
    <w:p w14:paraId="5B7A4181" w14:textId="77777777" w:rsidR="0006674D" w:rsidRDefault="002D517E" w:rsidP="008F71D1">
      <w:pPr>
        <w:pStyle w:val="Bullet"/>
      </w:pPr>
      <w:r>
        <w:t>Changes</w:t>
      </w:r>
      <w:r w:rsidR="00C118F2">
        <w:t xml:space="preserve"> to </w:t>
      </w:r>
      <w:r>
        <w:t>metrics have been considered by governments across the life of the UANP</w:t>
      </w:r>
      <w:r w:rsidR="0085147C">
        <w:t xml:space="preserve"> and</w:t>
      </w:r>
      <w:r w:rsidR="00C118F2">
        <w:t xml:space="preserve"> there has been significant progress to identify more robust </w:t>
      </w:r>
      <w:r w:rsidR="008F71D1">
        <w:t>measures</w:t>
      </w:r>
      <w:r w:rsidR="0085147C">
        <w:t xml:space="preserve">. However, the </w:t>
      </w:r>
      <w:r w:rsidR="0085147C" w:rsidRPr="00B204CD">
        <w:t>adopt</w:t>
      </w:r>
      <w:r w:rsidR="0085147C">
        <w:t>ion</w:t>
      </w:r>
      <w:r w:rsidR="0085147C" w:rsidRPr="00B204CD">
        <w:t xml:space="preserve"> </w:t>
      </w:r>
      <w:r w:rsidR="00FC116C">
        <w:t>of</w:t>
      </w:r>
      <w:r w:rsidR="0085147C" w:rsidRPr="00B204CD">
        <w:t xml:space="preserve"> new metrics</w:t>
      </w:r>
      <w:r w:rsidR="0085147C">
        <w:t xml:space="preserve"> has been limited due to the direct impact on </w:t>
      </w:r>
      <w:r w:rsidR="0085147C" w:rsidRPr="00B204CD">
        <w:t>funding</w:t>
      </w:r>
      <w:r w:rsidR="00A20182">
        <w:t xml:space="preserve"> and because a </w:t>
      </w:r>
      <w:r w:rsidR="00A20182">
        <w:rPr>
          <w:i/>
        </w:rPr>
        <w:t>new</w:t>
      </w:r>
      <w:r w:rsidR="00A20182">
        <w:t xml:space="preserve"> agreement has not been negotiated in years – it has been the same agreement, with same limitations, extended each time for short periods. This has not focused any reform effort or driven any new reform</w:t>
      </w:r>
      <w:r w:rsidR="00C118F2">
        <w:t>. The risk is that policy insight is compromised as jurisdictions continue with sub-optimal data.</w:t>
      </w:r>
    </w:p>
    <w:p w14:paraId="7C2FD118" w14:textId="77777777" w:rsidR="00A20182" w:rsidRDefault="00A20182" w:rsidP="00A20182">
      <w:pPr>
        <w:pStyle w:val="Heading4"/>
      </w:pPr>
      <w:r>
        <w:t>Jurisdictions and the sector seek and would benefit from improved data sharing</w:t>
      </w:r>
    </w:p>
    <w:p w14:paraId="517580C0" w14:textId="77777777" w:rsidR="00A20182" w:rsidRDefault="00A20182" w:rsidP="00A20182">
      <w:pPr>
        <w:pStyle w:val="Bullet"/>
      </w:pPr>
      <w:r w:rsidRPr="0C5679B2">
        <w:rPr>
          <w:rFonts w:asciiTheme="minorHAnsi" w:hAnsiTheme="minorHAnsi" w:cstheme="minorBidi"/>
        </w:rPr>
        <w:t>Governments, preschool providers</w:t>
      </w:r>
      <w:r w:rsidR="003F1830">
        <w:rPr>
          <w:rFonts w:asciiTheme="minorHAnsi" w:hAnsiTheme="minorHAnsi" w:cstheme="minorBidi"/>
        </w:rPr>
        <w:t>,</w:t>
      </w:r>
      <w:r w:rsidRPr="0C5679B2">
        <w:rPr>
          <w:rFonts w:asciiTheme="minorHAnsi" w:hAnsiTheme="minorHAnsi" w:cstheme="minorBidi"/>
        </w:rPr>
        <w:t xml:space="preserve"> sector representatives and researchers have told the Review that there are opportunities to </w:t>
      </w:r>
      <w:r>
        <w:t>share more data held by different stakeholders, in a more timely and transparent way:</w:t>
      </w:r>
    </w:p>
    <w:p w14:paraId="23D9297B" w14:textId="77777777" w:rsidR="00A20182" w:rsidRDefault="00A20182" w:rsidP="00DD2F6F">
      <w:pPr>
        <w:pStyle w:val="Bullet"/>
        <w:numPr>
          <w:ilvl w:val="0"/>
          <w:numId w:val="13"/>
        </w:numPr>
        <w:spacing w:line="256" w:lineRule="auto"/>
        <w:ind w:left="340" w:hanging="340"/>
      </w:pPr>
      <w:r>
        <w:t>The Australian Government seeks more timely and granular data on preschool delivered outside of CBDC, to give it further transparency on its UANP investment.</w:t>
      </w:r>
    </w:p>
    <w:p w14:paraId="5D192474" w14:textId="77777777" w:rsidR="00A20182" w:rsidRDefault="00A20182" w:rsidP="00DD2F6F">
      <w:pPr>
        <w:pStyle w:val="Bullet"/>
        <w:numPr>
          <w:ilvl w:val="0"/>
          <w:numId w:val="13"/>
        </w:numPr>
        <w:spacing w:line="256" w:lineRule="auto"/>
        <w:ind w:left="340" w:hanging="340"/>
      </w:pPr>
      <w:r>
        <w:t xml:space="preserve">States and Territories want enhanced access to the CBDC data held by the Australian Government to give them the information they need to perform their system manager role. The introduction of the Child Care Subsidy system and its associated monitoring mechanisms provides an opportunity to accurately collect and share data, as appropriate, between governments and the sector and to do so in a timelier way. </w:t>
      </w:r>
    </w:p>
    <w:p w14:paraId="28986F00" w14:textId="77777777" w:rsidR="00A20182" w:rsidRDefault="00A20182" w:rsidP="00DD2F6F">
      <w:pPr>
        <w:pStyle w:val="Bullet"/>
        <w:numPr>
          <w:ilvl w:val="0"/>
          <w:numId w:val="13"/>
        </w:numPr>
        <w:spacing w:line="256" w:lineRule="auto"/>
        <w:ind w:left="340" w:hanging="340"/>
      </w:pPr>
      <w:r>
        <w:t>Preschool providers also seek more contemporary and granular data on preschool and other early childhood education and care settings to enable them to improve service provision and invest.</w:t>
      </w:r>
    </w:p>
    <w:p w14:paraId="7AE72C50" w14:textId="77777777" w:rsidR="0006674D" w:rsidRDefault="003F1830" w:rsidP="008F71D1">
      <w:pPr>
        <w:pStyle w:val="Bullet"/>
        <w:numPr>
          <w:ilvl w:val="0"/>
          <w:numId w:val="13"/>
        </w:numPr>
        <w:spacing w:line="256" w:lineRule="auto"/>
        <w:ind w:left="340" w:hanging="340"/>
      </w:pPr>
      <w:r>
        <w:rPr>
          <w:rFonts w:asciiTheme="minorHAnsi" w:hAnsiTheme="minorHAnsi" w:cstheme="minorBidi"/>
        </w:rPr>
        <w:t>S</w:t>
      </w:r>
      <w:r w:rsidRPr="0C5679B2">
        <w:rPr>
          <w:rFonts w:asciiTheme="minorHAnsi" w:hAnsiTheme="minorHAnsi" w:cstheme="minorBidi"/>
        </w:rPr>
        <w:t>ector representatives</w:t>
      </w:r>
      <w:r w:rsidR="00A20182" w:rsidRPr="0C5679B2">
        <w:rPr>
          <w:rFonts w:asciiTheme="minorHAnsi" w:hAnsiTheme="minorHAnsi" w:cstheme="minorBidi"/>
        </w:rPr>
        <w:t xml:space="preserve"> </w:t>
      </w:r>
      <w:r w:rsidR="00A20182">
        <w:t>and researchers believe that more collaborative data sharing will enable research and innovation.</w:t>
      </w:r>
    </w:p>
    <w:p w14:paraId="119BE6B0" w14:textId="77777777" w:rsidR="009569F6" w:rsidRDefault="00AD1EA3" w:rsidP="009569F6">
      <w:pPr>
        <w:pStyle w:val="Bullet"/>
        <w:rPr>
          <w:rFonts w:asciiTheme="minorHAnsi" w:hAnsiTheme="minorHAnsi" w:cstheme="minorBidi"/>
        </w:rPr>
      </w:pPr>
      <w:r w:rsidRPr="0C5679B2">
        <w:rPr>
          <w:rFonts w:asciiTheme="minorHAnsi" w:hAnsiTheme="minorHAnsi" w:cstheme="minorBidi"/>
        </w:rPr>
        <w:t>Governments, preschool providers</w:t>
      </w:r>
      <w:r>
        <w:rPr>
          <w:rFonts w:asciiTheme="minorHAnsi" w:hAnsiTheme="minorHAnsi" w:cstheme="minorBidi"/>
        </w:rPr>
        <w:t xml:space="preserve">, </w:t>
      </w:r>
      <w:r w:rsidRPr="0C5679B2">
        <w:rPr>
          <w:rFonts w:asciiTheme="minorHAnsi" w:hAnsiTheme="minorHAnsi" w:cstheme="minorBidi"/>
        </w:rPr>
        <w:t xml:space="preserve">sector representatives and researchers </w:t>
      </w:r>
      <w:r>
        <w:rPr>
          <w:rFonts w:asciiTheme="minorHAnsi" w:hAnsiTheme="minorHAnsi" w:cstheme="minorBidi"/>
        </w:rPr>
        <w:t>would also benefit from improvements to the agreement on sharing of data. Since t</w:t>
      </w:r>
      <w:r w:rsidR="009569F6" w:rsidRPr="009569F6">
        <w:rPr>
          <w:rFonts w:asciiTheme="minorHAnsi" w:hAnsiTheme="minorHAnsi" w:cstheme="minorBidi"/>
        </w:rPr>
        <w:t xml:space="preserve">he National Collection is </w:t>
      </w:r>
      <w:r>
        <w:rPr>
          <w:rFonts w:asciiTheme="minorHAnsi" w:hAnsiTheme="minorHAnsi" w:cstheme="minorBidi"/>
        </w:rPr>
        <w:t>comprised</w:t>
      </w:r>
      <w:r w:rsidR="009569F6" w:rsidRPr="009569F6">
        <w:rPr>
          <w:rFonts w:asciiTheme="minorHAnsi" w:hAnsiTheme="minorHAnsi" w:cstheme="minorBidi"/>
        </w:rPr>
        <w:t xml:space="preserve"> of data </w:t>
      </w:r>
      <w:r>
        <w:rPr>
          <w:rFonts w:asciiTheme="minorHAnsi" w:hAnsiTheme="minorHAnsi" w:cstheme="minorBidi"/>
        </w:rPr>
        <w:t xml:space="preserve">owned by </w:t>
      </w:r>
      <w:r w:rsidR="009569F6" w:rsidRPr="009569F6">
        <w:rPr>
          <w:rFonts w:asciiTheme="minorHAnsi" w:hAnsiTheme="minorHAnsi" w:cstheme="minorBidi"/>
        </w:rPr>
        <w:t>all jurisdictions, it is jointly owned</w:t>
      </w:r>
      <w:r>
        <w:rPr>
          <w:rFonts w:asciiTheme="minorHAnsi" w:hAnsiTheme="minorHAnsi" w:cstheme="minorBidi"/>
        </w:rPr>
        <w:t>, and</w:t>
      </w:r>
      <w:r w:rsidR="009569F6" w:rsidRPr="009569F6">
        <w:rPr>
          <w:rFonts w:asciiTheme="minorHAnsi" w:hAnsiTheme="minorHAnsi" w:cstheme="minorBidi"/>
        </w:rPr>
        <w:t xml:space="preserve"> any linkage projects and </w:t>
      </w:r>
      <w:r>
        <w:rPr>
          <w:rFonts w:asciiTheme="minorHAnsi" w:hAnsiTheme="minorHAnsi" w:cstheme="minorBidi"/>
        </w:rPr>
        <w:t>the use</w:t>
      </w:r>
      <w:r w:rsidR="009569F6" w:rsidRPr="009569F6">
        <w:rPr>
          <w:rFonts w:asciiTheme="minorHAnsi" w:hAnsiTheme="minorHAnsi" w:cstheme="minorBidi"/>
        </w:rPr>
        <w:t xml:space="preserve"> of linked data require</w:t>
      </w:r>
      <w:r>
        <w:rPr>
          <w:rFonts w:asciiTheme="minorHAnsi" w:hAnsiTheme="minorHAnsi" w:cstheme="minorBidi"/>
        </w:rPr>
        <w:t>s</w:t>
      </w:r>
      <w:r w:rsidR="009569F6" w:rsidRPr="009569F6">
        <w:rPr>
          <w:rFonts w:asciiTheme="minorHAnsi" w:hAnsiTheme="minorHAnsi" w:cstheme="minorBidi"/>
        </w:rPr>
        <w:t xml:space="preserve"> lengthy processes of getting agreement from all jurisdictions. This restricts all governments’ ability to use available data effectively to inform policy in a timely way. </w:t>
      </w:r>
    </w:p>
    <w:p w14:paraId="24ED9786" w14:textId="77777777" w:rsidR="00B52288" w:rsidRPr="00EF0FEA" w:rsidRDefault="00B52288" w:rsidP="00B52288">
      <w:pPr>
        <w:pStyle w:val="Callout"/>
        <w:rPr>
          <w:sz w:val="18"/>
          <w:szCs w:val="18"/>
        </w:rPr>
      </w:pPr>
      <w:r w:rsidRPr="00EF0FEA">
        <w:rPr>
          <w:sz w:val="18"/>
          <w:szCs w:val="18"/>
        </w:rPr>
        <w:t>“More detailed data would support a greater understanding of who accesses early learning, of what quality, and at what level.” (Community Early Learning Australia (CELA), NSW Mobile Children’s Association (MCSA), Early Start University of Wollongong submission)</w:t>
      </w:r>
    </w:p>
    <w:p w14:paraId="49DAC240" w14:textId="77777777" w:rsidR="003F1830" w:rsidRPr="009569F6" w:rsidRDefault="00AD1EA3" w:rsidP="009569F6">
      <w:pPr>
        <w:pStyle w:val="Bullet"/>
        <w:rPr>
          <w:rFonts w:asciiTheme="minorHAnsi" w:hAnsiTheme="minorHAnsi" w:cstheme="minorBidi"/>
        </w:rPr>
      </w:pPr>
      <w:r>
        <w:rPr>
          <w:rFonts w:asciiTheme="minorHAnsi" w:hAnsiTheme="minorHAnsi" w:cstheme="minorBidi"/>
        </w:rPr>
        <w:t xml:space="preserve">The Review notes that these issues are not </w:t>
      </w:r>
      <w:r w:rsidR="003F1830">
        <w:t>unique to preschool</w:t>
      </w:r>
      <w:r w:rsidR="0053482C">
        <w:t xml:space="preserve"> data</w:t>
      </w:r>
      <w:r w:rsidR="003F1830">
        <w:t xml:space="preserve"> or the </w:t>
      </w:r>
      <w:r>
        <w:t>N</w:t>
      </w:r>
      <w:r w:rsidR="003F1830">
        <w:t xml:space="preserve">ational </w:t>
      </w:r>
      <w:r>
        <w:t>C</w:t>
      </w:r>
      <w:r w:rsidR="003F1830">
        <w:t>ollection</w:t>
      </w:r>
      <w:r w:rsidR="00E35E5A">
        <w:t>.</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E87932" w14:paraId="4997AF87" w14:textId="77777777" w:rsidTr="0083580F">
        <w:tc>
          <w:tcPr>
            <w:tcW w:w="8930" w:type="dxa"/>
            <w:shd w:val="clear" w:color="auto" w:fill="00264D" w:themeFill="background2"/>
          </w:tcPr>
          <w:p w14:paraId="685AF188" w14:textId="77777777" w:rsidR="00E87932" w:rsidRPr="006C71B3" w:rsidRDefault="00E87932" w:rsidP="0083580F">
            <w:pPr>
              <w:pStyle w:val="Longformcallout"/>
              <w:spacing w:before="0"/>
              <w:rPr>
                <w:rFonts w:asciiTheme="minorHAnsi" w:hAnsiTheme="minorHAnsi"/>
                <w:b/>
                <w:color w:val="25B3E0" w:themeColor="accent6"/>
                <w:sz w:val="20"/>
                <w:szCs w:val="20"/>
              </w:rPr>
            </w:pPr>
            <w:bookmarkStart w:id="193" w:name="_Hlk24292892"/>
            <w:r w:rsidRPr="0C5679B2">
              <w:rPr>
                <w:rFonts w:asciiTheme="minorHAnsi" w:hAnsiTheme="minorHAnsi"/>
                <w:b/>
                <w:color w:val="25B3E0" w:themeColor="accent6"/>
                <w:sz w:val="20"/>
                <w:szCs w:val="20"/>
              </w:rPr>
              <w:t xml:space="preserve">KEY FINDING </w:t>
            </w:r>
            <w:r w:rsidR="004E7DC0">
              <w:rPr>
                <w:rFonts w:asciiTheme="minorHAnsi" w:hAnsiTheme="minorHAnsi"/>
                <w:b/>
                <w:color w:val="25B3E0" w:themeColor="accent6"/>
                <w:sz w:val="20"/>
                <w:szCs w:val="20"/>
              </w:rPr>
              <w:t>7</w:t>
            </w:r>
          </w:p>
          <w:p w14:paraId="03F0D7E9" w14:textId="77777777" w:rsidR="00E87932" w:rsidRPr="00030D73" w:rsidRDefault="00FC74BE" w:rsidP="0083580F">
            <w:pPr>
              <w:pStyle w:val="Longformcallout"/>
              <w:spacing w:after="0"/>
              <w:rPr>
                <w:rFonts w:asciiTheme="majorHAnsi" w:hAnsiTheme="majorHAnsi" w:cstheme="majorBidi"/>
                <w:sz w:val="24"/>
                <w:szCs w:val="24"/>
              </w:rPr>
            </w:pPr>
            <w:r w:rsidRPr="00FC74BE">
              <w:rPr>
                <w:rFonts w:asciiTheme="majorHAnsi" w:hAnsiTheme="majorHAnsi" w:cstheme="majorBidi"/>
                <w:color w:val="FFFFFF" w:themeColor="background1"/>
                <w:sz w:val="20"/>
                <w:szCs w:val="20"/>
              </w:rPr>
              <w:t>Major strides have been made to develop preschool data collections and improve measurement of performance, but there are a range of issues yet to be resolved</w:t>
            </w:r>
            <w:bookmarkEnd w:id="193"/>
            <w:r w:rsidR="00E87932" w:rsidRPr="0C5679B2">
              <w:rPr>
                <w:rFonts w:asciiTheme="majorHAnsi" w:hAnsiTheme="majorHAnsi" w:cstheme="majorBidi"/>
                <w:color w:val="FFFFFF" w:themeColor="background1"/>
                <w:sz w:val="20"/>
                <w:szCs w:val="20"/>
              </w:rPr>
              <w:t>.</w:t>
            </w:r>
          </w:p>
        </w:tc>
      </w:tr>
    </w:tbl>
    <w:p w14:paraId="5B35BC7C" w14:textId="77777777" w:rsidR="00E87932" w:rsidRPr="00B204CD" w:rsidRDefault="00E87932" w:rsidP="00E87932">
      <w:pPr>
        <w:pStyle w:val="Bullet"/>
        <w:spacing w:line="256" w:lineRule="auto"/>
      </w:pPr>
    </w:p>
    <w:p w14:paraId="378CD736" w14:textId="77777777" w:rsidR="00105F99" w:rsidRDefault="008C56E4" w:rsidP="00894930">
      <w:pPr>
        <w:pStyle w:val="Heading1"/>
      </w:pPr>
      <w:bookmarkStart w:id="194" w:name="_Toc24559602"/>
      <w:bookmarkStart w:id="195" w:name="_Toc54597790"/>
      <w:bookmarkStart w:id="196" w:name="_Hlk24610726"/>
      <w:r>
        <w:lastRenderedPageBreak/>
        <w:t>F</w:t>
      </w:r>
      <w:r w:rsidR="000642C5" w:rsidRPr="000642C5">
        <w:t xml:space="preserve">unding arrangements </w:t>
      </w:r>
      <w:r w:rsidR="00CE0FD9">
        <w:t xml:space="preserve">have been effective and efficient, but </w:t>
      </w:r>
      <w:r w:rsidR="00DE6F08">
        <w:t>may</w:t>
      </w:r>
      <w:r w:rsidR="00D377B0">
        <w:t xml:space="preserve"> no longer</w:t>
      </w:r>
      <w:r w:rsidR="000642C5" w:rsidRPr="000642C5">
        <w:t xml:space="preserve"> </w:t>
      </w:r>
      <w:r w:rsidR="00DE6F08">
        <w:t xml:space="preserve">be </w:t>
      </w:r>
      <w:r w:rsidR="008D62D1">
        <w:t>fit-for-purpose</w:t>
      </w:r>
      <w:bookmarkEnd w:id="194"/>
      <w:bookmarkEnd w:id="195"/>
    </w:p>
    <w:p w14:paraId="3128F741" w14:textId="77777777" w:rsidR="00810683" w:rsidRDefault="00D91A06" w:rsidP="00474E40">
      <w:r>
        <w:t xml:space="preserve">This chapter </w:t>
      </w:r>
      <w:r w:rsidR="000E5747">
        <w:rPr>
          <w:lang w:eastAsia="en-AU"/>
        </w:rPr>
        <w:t>addresses T</w:t>
      </w:r>
      <w:r w:rsidR="00932E9C">
        <w:rPr>
          <w:lang w:eastAsia="en-AU"/>
        </w:rPr>
        <w:t>erm</w:t>
      </w:r>
      <w:r w:rsidR="00D51CA6">
        <w:rPr>
          <w:lang w:eastAsia="en-AU"/>
        </w:rPr>
        <w:t xml:space="preserve"> </w:t>
      </w:r>
      <w:r w:rsidR="00932E9C">
        <w:rPr>
          <w:lang w:eastAsia="en-AU"/>
        </w:rPr>
        <w:t>of Reference</w:t>
      </w:r>
      <w:r w:rsidR="000E5747">
        <w:rPr>
          <w:lang w:eastAsia="en-AU"/>
        </w:rPr>
        <w:t xml:space="preserve"> 3. It </w:t>
      </w:r>
      <w:r w:rsidR="00810683">
        <w:t>assesses</w:t>
      </w:r>
      <w:r w:rsidR="000E5747">
        <w:t xml:space="preserve"> the efficiency and effectiveness of</w:t>
      </w:r>
      <w:r>
        <w:t xml:space="preserve"> the funding relationship between the Australian Government and States and Territories</w:t>
      </w:r>
      <w:r w:rsidR="00D377B0">
        <w:t xml:space="preserve"> under the UANP</w:t>
      </w:r>
      <w:r w:rsidR="009D3E76">
        <w:t>, with specific regard to</w:t>
      </w:r>
      <w:r w:rsidRPr="009877A5">
        <w:t>:</w:t>
      </w:r>
      <w:r w:rsidR="008E7250">
        <w:t xml:space="preserve"> </w:t>
      </w:r>
    </w:p>
    <w:p w14:paraId="0BA23AC7" w14:textId="77777777" w:rsidR="00810683" w:rsidRDefault="00F57418" w:rsidP="001C3D79">
      <w:pPr>
        <w:pStyle w:val="Bullet"/>
        <w:numPr>
          <w:ilvl w:val="0"/>
          <w:numId w:val="24"/>
        </w:numPr>
      </w:pPr>
      <w:r w:rsidRPr="00F57418">
        <w:t xml:space="preserve">the </w:t>
      </w:r>
      <w:r w:rsidR="001D3AC1">
        <w:t>adequacy</w:t>
      </w:r>
      <w:r>
        <w:t xml:space="preserve"> </w:t>
      </w:r>
      <w:r w:rsidR="009D3E76">
        <w:t xml:space="preserve">and equity </w:t>
      </w:r>
      <w:r w:rsidR="00CA1B6D">
        <w:t xml:space="preserve">of </w:t>
      </w:r>
      <w:r w:rsidRPr="00F57418">
        <w:t xml:space="preserve">the </w:t>
      </w:r>
      <w:r>
        <w:t>Australian Government</w:t>
      </w:r>
      <w:r w:rsidRPr="00F57418">
        <w:t xml:space="preserve"> contribution</w:t>
      </w:r>
      <w:r w:rsidR="009D3E76">
        <w:t xml:space="preserve"> under the UANP</w:t>
      </w:r>
      <w:r w:rsidR="00810683" w:rsidRPr="00A23ED3">
        <w:t xml:space="preserve"> </w:t>
      </w:r>
    </w:p>
    <w:p w14:paraId="69B5A6AD" w14:textId="77777777" w:rsidR="009D3E76" w:rsidRDefault="00A23ED3" w:rsidP="001C3D79">
      <w:pPr>
        <w:pStyle w:val="Bullet"/>
        <w:numPr>
          <w:ilvl w:val="0"/>
          <w:numId w:val="24"/>
        </w:numPr>
      </w:pPr>
      <w:r w:rsidRPr="00C43D9C">
        <w:t>the</w:t>
      </w:r>
      <w:r w:rsidR="001D3AC1">
        <w:t xml:space="preserve"> appropriateness of </w:t>
      </w:r>
      <w:r w:rsidRPr="00C43D9C">
        <w:t>the methodology for allocating funding</w:t>
      </w:r>
      <w:r w:rsidR="00810683">
        <w:t xml:space="preserve"> </w:t>
      </w:r>
      <w:r w:rsidR="009D3E76">
        <w:t>between</w:t>
      </w:r>
      <w:r w:rsidR="00810683">
        <w:t xml:space="preserve"> States and Territories</w:t>
      </w:r>
    </w:p>
    <w:p w14:paraId="78C83880" w14:textId="77777777" w:rsidR="00810683" w:rsidRDefault="00D91A06" w:rsidP="001C3D79">
      <w:pPr>
        <w:pStyle w:val="Bullet"/>
        <w:numPr>
          <w:ilvl w:val="0"/>
          <w:numId w:val="24"/>
        </w:numPr>
      </w:pPr>
      <w:r>
        <w:t xml:space="preserve">the </w:t>
      </w:r>
      <w:r w:rsidR="009D3E76">
        <w:t xml:space="preserve">appropriateness of the </w:t>
      </w:r>
      <w:r>
        <w:t>terms on which funding is provided</w:t>
      </w:r>
      <w:r w:rsidR="00D377B0">
        <w:t xml:space="preserve"> </w:t>
      </w:r>
      <w:r w:rsidR="00810683">
        <w:t xml:space="preserve">(including </w:t>
      </w:r>
      <w:r w:rsidR="009D3E76">
        <w:t xml:space="preserve">with respect to the </w:t>
      </w:r>
      <w:r w:rsidR="00277258">
        <w:t>performance-based</w:t>
      </w:r>
      <w:r w:rsidR="009D3E76">
        <w:t xml:space="preserve"> payment framework, transparency and accountability, and funding certainty) </w:t>
      </w:r>
    </w:p>
    <w:p w14:paraId="342C77CB" w14:textId="77777777" w:rsidR="00810683" w:rsidRDefault="00810683" w:rsidP="001C3D79">
      <w:pPr>
        <w:pStyle w:val="Bullet"/>
        <w:numPr>
          <w:ilvl w:val="0"/>
          <w:numId w:val="24"/>
        </w:numPr>
      </w:pPr>
      <w:r>
        <w:t>the National Partnership mechanism.</w:t>
      </w:r>
    </w:p>
    <w:p w14:paraId="28FC72CD" w14:textId="3075AE68" w:rsidR="00474E40" w:rsidRPr="00474E40" w:rsidRDefault="00244C88" w:rsidP="00474E40">
      <w:r w:rsidRPr="0C5679B2">
        <w:rPr>
          <w:rFonts w:asciiTheme="minorHAnsi" w:hAnsiTheme="minorHAnsi"/>
        </w:rPr>
        <w:t xml:space="preserve">The evolution of UANP funding arrangements is canvassed in </w:t>
      </w:r>
      <w:r w:rsidR="00F6258C">
        <w:rPr>
          <w:rFonts w:asciiTheme="minorHAnsi" w:hAnsiTheme="minorHAnsi"/>
        </w:rPr>
        <w:fldChar w:fldCharType="begin"/>
      </w:r>
      <w:r w:rsidR="00F6258C">
        <w:rPr>
          <w:rFonts w:asciiTheme="minorHAnsi" w:hAnsiTheme="minorHAnsi"/>
        </w:rPr>
        <w:instrText xml:space="preserve"> REF _Ref24558910 \n \h </w:instrText>
      </w:r>
      <w:r w:rsidR="00F6258C">
        <w:rPr>
          <w:rFonts w:asciiTheme="minorHAnsi" w:hAnsiTheme="minorHAnsi"/>
        </w:rPr>
      </w:r>
      <w:r w:rsidR="00F6258C">
        <w:rPr>
          <w:rFonts w:asciiTheme="minorHAnsi" w:hAnsiTheme="minorHAnsi"/>
        </w:rPr>
        <w:fldChar w:fldCharType="separate"/>
      </w:r>
      <w:r w:rsidR="00B37785">
        <w:rPr>
          <w:rFonts w:asciiTheme="minorHAnsi" w:hAnsiTheme="minorHAnsi"/>
        </w:rPr>
        <w:t>Appendix E</w:t>
      </w:r>
      <w:r w:rsidR="00F6258C">
        <w:rPr>
          <w:rFonts w:asciiTheme="minorHAnsi" w:hAnsiTheme="minorHAnsi"/>
        </w:rPr>
        <w:fldChar w:fldCharType="end"/>
      </w:r>
      <w:r w:rsidRPr="0C5679B2">
        <w:rPr>
          <w:rFonts w:asciiTheme="minorHAnsi" w:hAnsiTheme="minorHAnsi"/>
        </w:rPr>
        <w:t xml:space="preserve">. </w:t>
      </w:r>
      <w:r w:rsidR="00474E40" w:rsidRPr="0C5679B2">
        <w:rPr>
          <w:rFonts w:asciiTheme="minorHAnsi" w:hAnsiTheme="minorHAnsi"/>
        </w:rPr>
        <w:t xml:space="preserve">Findings regarding future funding arrangements are discussed in </w:t>
      </w:r>
      <w:r w:rsidR="008F7577">
        <w:t>Chapter</w:t>
      </w:r>
      <w:r w:rsidR="008F7577" w:rsidRPr="00272ABB">
        <w:t xml:space="preserve"> </w:t>
      </w:r>
      <w:r w:rsidR="00AA64F4">
        <w:rPr>
          <w:rFonts w:asciiTheme="minorHAnsi" w:hAnsiTheme="minorHAnsi"/>
        </w:rPr>
        <w:fldChar w:fldCharType="begin"/>
      </w:r>
      <w:r w:rsidR="00AA64F4">
        <w:rPr>
          <w:rFonts w:asciiTheme="minorHAnsi" w:hAnsiTheme="minorHAnsi"/>
        </w:rPr>
        <w:instrText xml:space="preserve"> REF _Ref24557242 \r \h </w:instrText>
      </w:r>
      <w:r w:rsidR="00AA64F4">
        <w:rPr>
          <w:rFonts w:asciiTheme="minorHAnsi" w:hAnsiTheme="minorHAnsi"/>
        </w:rPr>
      </w:r>
      <w:r w:rsidR="00AA64F4">
        <w:rPr>
          <w:rFonts w:asciiTheme="minorHAnsi" w:hAnsiTheme="minorHAnsi"/>
        </w:rPr>
        <w:fldChar w:fldCharType="separate"/>
      </w:r>
      <w:r w:rsidR="00B37785">
        <w:rPr>
          <w:rFonts w:asciiTheme="minorHAnsi" w:hAnsiTheme="minorHAnsi"/>
        </w:rPr>
        <w:t>6.2</w:t>
      </w:r>
      <w:r w:rsidR="00AA64F4">
        <w:rPr>
          <w:rFonts w:asciiTheme="minorHAnsi" w:hAnsiTheme="minorHAnsi"/>
        </w:rPr>
        <w:fldChar w:fldCharType="end"/>
      </w:r>
      <w:r w:rsidRPr="0C5679B2">
        <w:rPr>
          <w:rFonts w:asciiTheme="minorHAnsi" w:hAnsiTheme="minorHAnsi"/>
        </w:rPr>
        <w:t>,</w:t>
      </w:r>
      <w:r w:rsidR="00474E40" w:rsidRPr="0C5679B2">
        <w:rPr>
          <w:rFonts w:asciiTheme="minorHAnsi" w:hAnsiTheme="minorHAnsi"/>
        </w:rPr>
        <w:t xml:space="preserve"> in the context of Term of Reference 5.</w:t>
      </w:r>
    </w:p>
    <w:p w14:paraId="77CCE3F5" w14:textId="77777777" w:rsidR="00F57418" w:rsidRDefault="00F57418" w:rsidP="00D377B0">
      <w:pPr>
        <w:pStyle w:val="Heading2"/>
      </w:pPr>
      <w:bookmarkStart w:id="197" w:name="_Toc24559603"/>
      <w:bookmarkStart w:id="198" w:name="_Toc54597791"/>
      <w:r w:rsidRPr="006079F1">
        <w:t>Efficient and effective arrangements</w:t>
      </w:r>
      <w:r w:rsidR="00C046E8">
        <w:t xml:space="preserve"> </w:t>
      </w:r>
      <w:r w:rsidR="0010424A">
        <w:t xml:space="preserve">provide </w:t>
      </w:r>
      <w:r w:rsidR="002C2769">
        <w:t>sufficient</w:t>
      </w:r>
      <w:r w:rsidR="0010424A">
        <w:t xml:space="preserve"> resources while</w:t>
      </w:r>
      <w:r w:rsidR="00C046E8">
        <w:t xml:space="preserve"> </w:t>
      </w:r>
      <w:r w:rsidR="0010424A">
        <w:t>creating the right incentives for governments</w:t>
      </w:r>
      <w:bookmarkEnd w:id="197"/>
      <w:bookmarkEnd w:id="198"/>
    </w:p>
    <w:p w14:paraId="0A5224C5" w14:textId="323CC4B8" w:rsidR="00474E40" w:rsidRPr="00C046E8" w:rsidRDefault="00474E40" w:rsidP="00474E40">
      <w:pPr>
        <w:pStyle w:val="Bullet"/>
      </w:pPr>
      <w:r>
        <w:t>T</w:t>
      </w:r>
      <w:r w:rsidR="00C046E8">
        <w:t>he Review considers that efficient and effective funding arrangements are those that</w:t>
      </w:r>
      <w:r>
        <w:t xml:space="preserve"> have the features set out in </w:t>
      </w:r>
      <w:r w:rsidR="00D91306">
        <w:fldChar w:fldCharType="begin"/>
      </w:r>
      <w:r w:rsidR="00D91306">
        <w:instrText xml:space="preserve"> REF _Ref24382037 \h </w:instrText>
      </w:r>
      <w:r w:rsidR="00D91306">
        <w:fldChar w:fldCharType="separate"/>
      </w:r>
      <w:r w:rsidR="00B37785">
        <w:t xml:space="preserve">Figure </w:t>
      </w:r>
      <w:r w:rsidR="00B37785">
        <w:rPr>
          <w:noProof/>
        </w:rPr>
        <w:t>19</w:t>
      </w:r>
      <w:r w:rsidR="00D91306">
        <w:fldChar w:fldCharType="end"/>
      </w:r>
      <w:r w:rsidR="00D91306">
        <w:t xml:space="preserve">. </w:t>
      </w:r>
      <w:r>
        <w:t xml:space="preserve">These features are consistent with </w:t>
      </w:r>
      <w:r w:rsidR="0088293E">
        <w:t xml:space="preserve">the </w:t>
      </w:r>
      <w:r w:rsidR="00BA4216">
        <w:t>Intergovernmental Agreement on Federal Financial Relations (</w:t>
      </w:r>
      <w:r>
        <w:t>IGAFFR</w:t>
      </w:r>
      <w:r w:rsidR="00BA4216">
        <w:t>)</w:t>
      </w:r>
      <w:r w:rsidR="0088293E">
        <w:t xml:space="preserve">, which </w:t>
      </w:r>
      <w:r>
        <w:t xml:space="preserve">aims </w:t>
      </w:r>
      <w:r w:rsidR="0088293E">
        <w:t>t</w:t>
      </w:r>
      <w:r>
        <w:t>o improve the efficiency and effectiveness of services by reducing Australian Government prescription, clarifying governments’ roles, and enhancing public accountability for the delivery of outcomes.</w:t>
      </w:r>
      <w:r>
        <w:rPr>
          <w:rStyle w:val="FootnoteReference"/>
        </w:rPr>
        <w:footnoteReference w:id="84"/>
      </w:r>
      <w:r>
        <w:t xml:space="preserve"> The features also reflect feedback from governments about the implementation of the UANP</w:t>
      </w:r>
      <w:r w:rsidR="0088293E">
        <w:t xml:space="preserve"> and</w:t>
      </w:r>
      <w:r w:rsidRPr="00F80290">
        <w:t xml:space="preserve"> the Review</w:t>
      </w:r>
      <w:r w:rsidR="0088293E">
        <w:t xml:space="preserve">’s view that </w:t>
      </w:r>
      <w:r w:rsidRPr="00F80290">
        <w:t xml:space="preserve">equity </w:t>
      </w:r>
      <w:r w:rsidR="0088293E">
        <w:t>is</w:t>
      </w:r>
      <w:r w:rsidRPr="00F80290">
        <w:t xml:space="preserve"> an essential component of effectiveness</w:t>
      </w:r>
      <w:r w:rsidR="0088293E">
        <w:t xml:space="preserve"> – that is, f</w:t>
      </w:r>
      <w:r w:rsidRPr="00F80290">
        <w:t>unding arrangements are effective where they achieve equitable outcomes for children.</w:t>
      </w:r>
      <w:r>
        <w:t xml:space="preserve"> </w:t>
      </w:r>
    </w:p>
    <w:p w14:paraId="585DB722" w14:textId="60694B48" w:rsidR="00474E40" w:rsidRDefault="00474E40" w:rsidP="00474E40">
      <w:pPr>
        <w:pStyle w:val="Caption"/>
      </w:pPr>
      <w:bookmarkStart w:id="199" w:name="_Ref24382037"/>
      <w:r>
        <w:t xml:space="preserve">Figure </w:t>
      </w:r>
      <w:r w:rsidR="00B76790">
        <w:fldChar w:fldCharType="begin"/>
      </w:r>
      <w:r w:rsidR="00B76790">
        <w:instrText xml:space="preserve"> SEQ Figure \* ARABIC </w:instrText>
      </w:r>
      <w:r w:rsidR="00B76790">
        <w:fldChar w:fldCharType="separate"/>
      </w:r>
      <w:r w:rsidR="00B37785">
        <w:rPr>
          <w:noProof/>
        </w:rPr>
        <w:t>19</w:t>
      </w:r>
      <w:r w:rsidR="00B76790">
        <w:fldChar w:fldCharType="end"/>
      </w:r>
      <w:bookmarkEnd w:id="199"/>
      <w:r>
        <w:t xml:space="preserve"> | </w:t>
      </w:r>
      <w:r w:rsidR="0088293E">
        <w:t>T</w:t>
      </w:r>
      <w:r>
        <w:t>he Review</w:t>
      </w:r>
      <w:r w:rsidR="0088293E">
        <w:t xml:space="preserve">’s definition of </w:t>
      </w:r>
      <w:r>
        <w:t xml:space="preserve">effectiveness and efficiency in the context of assessing </w:t>
      </w:r>
      <w:r w:rsidR="0088293E">
        <w:t xml:space="preserve">UANP </w:t>
      </w:r>
      <w:r>
        <w:t>funding</w:t>
      </w:r>
    </w:p>
    <w:p w14:paraId="1E477AFB" w14:textId="77777777" w:rsidR="00FD3270" w:rsidRPr="00FD3270" w:rsidRDefault="002C2769" w:rsidP="00FD3270">
      <w:r w:rsidRPr="002C2769">
        <w:rPr>
          <w:noProof/>
          <w:lang w:eastAsia="en-AU"/>
        </w:rPr>
        <w:drawing>
          <wp:inline distT="0" distB="0" distL="0" distR="0" wp14:anchorId="0C5B4867" wp14:editId="54449FAD">
            <wp:extent cx="5670550" cy="2400935"/>
            <wp:effectExtent l="0" t="0" r="6350" b="0"/>
            <wp:docPr id="23" name="Picture 23" descr="Effective:&#10;1. provides sufficient resources for the realisation of the agreed outcomes&#10;2. incentivises and mobilises collective effort towards agreed outcomes&#10;3. supports delivery of services that meet the needs and preferences of families and communities while promoting continuous improvement.&#10;4. Strives for equitable outcomes by ensuring that children in all circumstances have the same level of access to a similar quality service that meets their needs.&#10;&#10;Efficient&#10;1. leverages existing assets and capabilities&#10;2. promotes sufficient competition to keep downward pressure on prices&#10;3. provides accountability for public expenditure while minimising administrative cost&#10;4. Ensures enough certainty to enable long term planning and innovation&#10;5. avoids duplication or overlap of funding by two or more layers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ffective:&#10;1. provides sufficient resources for the realisation of the agreed outcomes&#10;2. incentivises and mobilises collective effort towards agreed outcomes&#10;3. supports delivery of services that meet the needs and preferences of families and communities while promoting continuous improvement.&#10;4. Strives for equitable outcomes by ensuring that children in all circumstances have the same level of access to a similar quality service that meets their needs.&#10;&#10;Efficient&#10;1. leverages existing assets and capabilities&#10;2. promotes sufficient competition to keep downward pressure on prices&#10;3. provides accountability for public expenditure while minimising administrative cost&#10;4. Ensures enough certainty to enable long term planning and innovation&#10;5. avoids duplication or overlap of funding by two or more layers of govern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0550" cy="2400935"/>
                    </a:xfrm>
                    <a:prstGeom prst="rect">
                      <a:avLst/>
                    </a:prstGeom>
                    <a:noFill/>
                    <a:ln>
                      <a:noFill/>
                    </a:ln>
                  </pic:spPr>
                </pic:pic>
              </a:graphicData>
            </a:graphic>
          </wp:inline>
        </w:drawing>
      </w:r>
    </w:p>
    <w:p w14:paraId="3745AAAD" w14:textId="77777777" w:rsidR="0042066B" w:rsidRDefault="0042066B" w:rsidP="0042066B">
      <w:pPr>
        <w:pStyle w:val="Heading2"/>
      </w:pPr>
      <w:bookmarkStart w:id="200" w:name="_Toc24559604"/>
      <w:bookmarkStart w:id="201" w:name="_Ref31212689"/>
      <w:bookmarkStart w:id="202" w:name="_Toc54597792"/>
      <w:bookmarkStart w:id="203" w:name="_Hlk24539593"/>
      <w:r w:rsidRPr="0042066B">
        <w:lastRenderedPageBreak/>
        <w:t>UANP funding has been effective in achieving the agreed outcomes, with some room for improvement</w:t>
      </w:r>
      <w:bookmarkEnd w:id="200"/>
      <w:bookmarkEnd w:id="201"/>
      <w:bookmarkEnd w:id="202"/>
    </w:p>
    <w:bookmarkEnd w:id="203"/>
    <w:p w14:paraId="06B1913B" w14:textId="77777777" w:rsidR="001D1C64" w:rsidRDefault="001D1C64" w:rsidP="00F85AB6">
      <w:pPr>
        <w:pStyle w:val="Heading4"/>
      </w:pPr>
      <w:r>
        <w:t xml:space="preserve">Funding arrangements have provided sufficient resources to achieve agreed outcomes </w:t>
      </w:r>
    </w:p>
    <w:p w14:paraId="651D4ADD" w14:textId="77777777" w:rsidR="002749D9" w:rsidRDefault="001D1C64" w:rsidP="001D1C64">
      <w:pPr>
        <w:pStyle w:val="Bullet"/>
        <w:rPr>
          <w:rFonts w:asciiTheme="minorHAnsi" w:hAnsiTheme="minorHAnsi" w:cstheme="minorBidi"/>
        </w:rPr>
      </w:pPr>
      <w:r w:rsidRPr="0C5679B2">
        <w:rPr>
          <w:rFonts w:asciiTheme="minorHAnsi" w:hAnsiTheme="minorHAnsi" w:cstheme="minorBidi"/>
        </w:rPr>
        <w:t xml:space="preserve">Sufficiency is a key component of effective funding arrangements. Governments must collectively provide enough resources for the agreed outcomes to be realised. </w:t>
      </w:r>
    </w:p>
    <w:p w14:paraId="2FCDF699" w14:textId="2201ED43" w:rsidR="002749D9" w:rsidRDefault="002749D9" w:rsidP="002749D9">
      <w:pPr>
        <w:pStyle w:val="Bullet"/>
        <w:rPr>
          <w:rFonts w:asciiTheme="minorHAnsi" w:hAnsiTheme="minorHAnsi" w:cstheme="minorBidi"/>
        </w:rPr>
      </w:pPr>
      <w:r w:rsidRPr="0C5679B2">
        <w:rPr>
          <w:rFonts w:asciiTheme="minorHAnsi" w:hAnsiTheme="minorHAnsi" w:cstheme="minorBidi"/>
        </w:rPr>
        <w:t xml:space="preserve">Under Australia’s federal arrangements, preschool provision is a State and Territory responsibility. The </w:t>
      </w:r>
      <w:r w:rsidR="00E629F4" w:rsidRPr="0C5679B2">
        <w:rPr>
          <w:rFonts w:asciiTheme="minorHAnsi" w:hAnsiTheme="minorHAnsi" w:cstheme="minorBidi"/>
        </w:rPr>
        <w:t>Australian Government</w:t>
      </w:r>
      <w:r w:rsidRPr="0C5679B2">
        <w:rPr>
          <w:rFonts w:asciiTheme="minorHAnsi" w:hAnsiTheme="minorHAnsi" w:cstheme="minorBidi"/>
        </w:rPr>
        <w:t xml:space="preserve"> makes a contribution via the UANP to </w:t>
      </w:r>
      <w:r w:rsidR="00A34243">
        <w:rPr>
          <w:rFonts w:asciiTheme="minorHAnsi" w:hAnsiTheme="minorHAnsi" w:cstheme="minorBidi"/>
        </w:rPr>
        <w:t>contribute to</w:t>
      </w:r>
      <w:r w:rsidRPr="0C5679B2">
        <w:rPr>
          <w:rFonts w:asciiTheme="minorHAnsi" w:hAnsiTheme="minorHAnsi" w:cstheme="minorBidi"/>
        </w:rPr>
        <w:t xml:space="preserve"> State and Territory funding. The Australian Government contribution under the first predecessor to the UANP was not based on the estimated cost of achieving target outcomes</w:t>
      </w:r>
      <w:r w:rsidR="000559D2" w:rsidRPr="0C5679B2">
        <w:rPr>
          <w:rFonts w:asciiTheme="minorHAnsi" w:hAnsiTheme="minorHAnsi" w:cstheme="minorBidi"/>
        </w:rPr>
        <w:t>; rather, it</w:t>
      </w:r>
      <w:r w:rsidRPr="0C5679B2">
        <w:rPr>
          <w:rFonts w:asciiTheme="minorHAnsi" w:hAnsiTheme="minorHAnsi" w:cstheme="minorBidi"/>
        </w:rPr>
        <w:t xml:space="preserve"> was a discretionary funding commitment to support the realisation of universal access. Funding offered under subsequent agreements has been relatively stable (see</w:t>
      </w:r>
      <w:r w:rsidR="006A1758">
        <w:t xml:space="preserve"> </w:t>
      </w:r>
      <w:r w:rsidR="006A1758">
        <w:fldChar w:fldCharType="begin"/>
      </w:r>
      <w:r w:rsidR="006A1758">
        <w:instrText xml:space="preserve"> REF _Ref24382102 \h </w:instrText>
      </w:r>
      <w:r w:rsidR="006A1758">
        <w:fldChar w:fldCharType="separate"/>
      </w:r>
      <w:r w:rsidR="00B37785">
        <w:t xml:space="preserve">Figure </w:t>
      </w:r>
      <w:r w:rsidR="00B37785">
        <w:rPr>
          <w:noProof/>
        </w:rPr>
        <w:t>20</w:t>
      </w:r>
      <w:r w:rsidR="006A1758">
        <w:fldChar w:fldCharType="end"/>
      </w:r>
      <w:r w:rsidRPr="0C5679B2">
        <w:rPr>
          <w:rFonts w:asciiTheme="minorHAnsi" w:hAnsiTheme="minorHAnsi" w:cstheme="minorBidi"/>
        </w:rPr>
        <w:t xml:space="preserve">). </w:t>
      </w:r>
    </w:p>
    <w:p w14:paraId="0B7A1E28" w14:textId="77777777" w:rsidR="002749D9" w:rsidRDefault="002749D9" w:rsidP="002749D9">
      <w:pPr>
        <w:pStyle w:val="Bullet"/>
        <w:rPr>
          <w:rFonts w:asciiTheme="minorHAnsi" w:hAnsiTheme="minorHAnsi" w:cstheme="minorBidi"/>
        </w:rPr>
      </w:pPr>
      <w:r w:rsidRPr="0C5679B2">
        <w:rPr>
          <w:rFonts w:asciiTheme="minorHAnsi" w:hAnsiTheme="minorHAnsi" w:cstheme="minorBidi"/>
        </w:rPr>
        <w:t xml:space="preserve">Until 2018 (incorporating the 2016-17 agreement), the </w:t>
      </w:r>
      <w:r w:rsidR="00E629F4" w:rsidRPr="0C5679B2">
        <w:rPr>
          <w:rFonts w:asciiTheme="minorHAnsi" w:hAnsiTheme="minorHAnsi" w:cstheme="minorBidi"/>
        </w:rPr>
        <w:t>Australian Government</w:t>
      </w:r>
      <w:r w:rsidRPr="0C5679B2">
        <w:rPr>
          <w:rFonts w:asciiTheme="minorHAnsi" w:hAnsiTheme="minorHAnsi" w:cstheme="minorBidi"/>
        </w:rPr>
        <w:t xml:space="preserve"> contribution was based on the funding available under the previous agreement (indexed at CPI). In the current UANP, th</w:t>
      </w:r>
      <w:r w:rsidR="000559D2" w:rsidRPr="0C5679B2">
        <w:rPr>
          <w:rFonts w:asciiTheme="minorHAnsi" w:hAnsiTheme="minorHAnsi" w:cstheme="minorBidi"/>
        </w:rPr>
        <w:t>is</w:t>
      </w:r>
      <w:r w:rsidRPr="0C5679B2">
        <w:rPr>
          <w:rFonts w:asciiTheme="minorHAnsi" w:hAnsiTheme="minorHAnsi" w:cstheme="minorBidi"/>
        </w:rPr>
        <w:t xml:space="preserve"> contribution is calculated on the basis of projected enrolments, with each enrolment attracting the per</w:t>
      </w:r>
      <w:r w:rsidR="009040C6">
        <w:rPr>
          <w:rFonts w:asciiTheme="minorHAnsi" w:hAnsiTheme="minorHAnsi" w:cstheme="minorHAnsi"/>
        </w:rPr>
        <w:noBreakHyphen/>
      </w:r>
      <w:r w:rsidRPr="0C5679B2">
        <w:rPr>
          <w:rFonts w:asciiTheme="minorHAnsi" w:hAnsiTheme="minorHAnsi" w:cstheme="minorBidi"/>
        </w:rPr>
        <w:t>child amount available under previous agreements (indexed at CPI).</w:t>
      </w:r>
    </w:p>
    <w:p w14:paraId="66E39E73" w14:textId="56A7F9D2" w:rsidR="002749D9" w:rsidRDefault="006A1758" w:rsidP="006A1758">
      <w:pPr>
        <w:pStyle w:val="Caption"/>
      </w:pPr>
      <w:bookmarkStart w:id="204" w:name="_Ref24382102"/>
      <w:r>
        <w:t xml:space="preserve">Figure </w:t>
      </w:r>
      <w:r w:rsidR="00B76790">
        <w:fldChar w:fldCharType="begin"/>
      </w:r>
      <w:r w:rsidR="00B76790">
        <w:instrText xml:space="preserve"> SEQ Figure \* ARABIC </w:instrText>
      </w:r>
      <w:r w:rsidR="00B76790">
        <w:fldChar w:fldCharType="separate"/>
      </w:r>
      <w:r w:rsidR="00B37785">
        <w:rPr>
          <w:noProof/>
        </w:rPr>
        <w:t>20</w:t>
      </w:r>
      <w:r w:rsidR="00B76790">
        <w:fldChar w:fldCharType="end"/>
      </w:r>
      <w:bookmarkEnd w:id="204"/>
      <w:r>
        <w:t xml:space="preserve"> | </w:t>
      </w:r>
      <w:r w:rsidRPr="00FE46F6">
        <w:t>Real Australian Government funding to State and Territory governments under the UANP ($000</w:t>
      </w:r>
      <w:r w:rsidR="002749D9" w:rsidRPr="00FE46F6">
        <w:t>)</w:t>
      </w:r>
      <w:r w:rsidR="002749D9">
        <w:rPr>
          <w:rStyle w:val="FootnoteReference"/>
        </w:rPr>
        <w:footnoteReference w:id="85"/>
      </w:r>
      <w:r w:rsidR="002749D9" w:rsidRPr="000D57B4">
        <w:rPr>
          <w:vertAlign w:val="superscript"/>
        </w:rPr>
        <w:t>,</w:t>
      </w:r>
      <w:r w:rsidR="002749D9">
        <w:rPr>
          <w:rStyle w:val="FootnoteReference"/>
        </w:rPr>
        <w:footnoteReference w:id="86"/>
      </w:r>
    </w:p>
    <w:p w14:paraId="24A9B514" w14:textId="77777777" w:rsidR="002749D9" w:rsidRDefault="00585E78" w:rsidP="002749D9">
      <w:pPr>
        <w:pStyle w:val="Bullet"/>
        <w:rPr>
          <w:rFonts w:asciiTheme="majorHAnsi" w:hAnsiTheme="majorHAnsi" w:cstheme="majorHAnsi"/>
        </w:rPr>
      </w:pPr>
      <w:r w:rsidRPr="00585E78">
        <w:rPr>
          <w:noProof/>
        </w:rPr>
        <w:drawing>
          <wp:inline distT="0" distB="0" distL="0" distR="0" wp14:anchorId="1B8EACE5" wp14:editId="0805E820">
            <wp:extent cx="5670000" cy="2869200"/>
            <wp:effectExtent l="0" t="0" r="6985" b="7620"/>
            <wp:docPr id="27" name="Picture 27" descr="Graph showing Real Australian Government funding to State and Territory governments under the UANP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Real Australian Government funding to State and Territory governments under the UANP ($0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0000" cy="2869200"/>
                    </a:xfrm>
                    <a:prstGeom prst="rect">
                      <a:avLst/>
                    </a:prstGeom>
                    <a:solidFill>
                      <a:schemeClr val="accent5"/>
                    </a:solidFill>
                    <a:ln>
                      <a:noFill/>
                    </a:ln>
                  </pic:spPr>
                </pic:pic>
              </a:graphicData>
            </a:graphic>
          </wp:inline>
        </w:drawing>
      </w:r>
    </w:p>
    <w:tbl>
      <w:tblPr>
        <w:tblStyle w:val="NousTableTopandside"/>
        <w:tblW w:w="8931" w:type="dxa"/>
        <w:tblLook w:val="04A0" w:firstRow="1" w:lastRow="0" w:firstColumn="1" w:lastColumn="0" w:noHBand="0" w:noVBand="1"/>
      </w:tblPr>
      <w:tblGrid>
        <w:gridCol w:w="878"/>
        <w:gridCol w:w="983"/>
        <w:gridCol w:w="982"/>
        <w:gridCol w:w="982"/>
        <w:gridCol w:w="872"/>
        <w:gridCol w:w="872"/>
        <w:gridCol w:w="872"/>
        <w:gridCol w:w="763"/>
        <w:gridCol w:w="763"/>
        <w:gridCol w:w="964"/>
      </w:tblGrid>
      <w:tr w:rsidR="002749D9" w:rsidRPr="005F6634" w14:paraId="31925DDF" w14:textId="77777777" w:rsidTr="00EB5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left w:val="none" w:sz="0" w:space="0" w:color="auto"/>
              <w:right w:val="none" w:sz="0" w:space="0" w:color="auto"/>
            </w:tcBorders>
            <w:vAlign w:val="top"/>
          </w:tcPr>
          <w:p w14:paraId="1D949011" w14:textId="77777777" w:rsidR="002749D9" w:rsidRPr="005F6634" w:rsidRDefault="002749D9" w:rsidP="0025182A">
            <w:pPr>
              <w:pStyle w:val="TableNheader"/>
              <w:spacing w:before="0" w:after="0"/>
              <w:rPr>
                <w:sz w:val="17"/>
                <w:szCs w:val="17"/>
              </w:rPr>
            </w:pPr>
            <w:r>
              <w:rPr>
                <w:sz w:val="17"/>
                <w:szCs w:val="17"/>
              </w:rPr>
              <w:t>Financial year</w:t>
            </w:r>
          </w:p>
        </w:tc>
        <w:tc>
          <w:tcPr>
            <w:tcW w:w="983" w:type="dxa"/>
            <w:tcBorders>
              <w:top w:val="none" w:sz="0" w:space="0" w:color="auto"/>
              <w:left w:val="none" w:sz="0" w:space="0" w:color="auto"/>
              <w:right w:val="none" w:sz="0" w:space="0" w:color="auto"/>
            </w:tcBorders>
            <w:vAlign w:val="top"/>
          </w:tcPr>
          <w:p w14:paraId="6767A0CF"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NSW</w:t>
            </w:r>
          </w:p>
        </w:tc>
        <w:tc>
          <w:tcPr>
            <w:tcW w:w="982" w:type="dxa"/>
            <w:tcBorders>
              <w:top w:val="none" w:sz="0" w:space="0" w:color="auto"/>
              <w:left w:val="none" w:sz="0" w:space="0" w:color="auto"/>
              <w:right w:val="none" w:sz="0" w:space="0" w:color="auto"/>
            </w:tcBorders>
            <w:vAlign w:val="top"/>
          </w:tcPr>
          <w:p w14:paraId="0D910DBA"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Vic</w:t>
            </w:r>
          </w:p>
        </w:tc>
        <w:tc>
          <w:tcPr>
            <w:tcW w:w="982" w:type="dxa"/>
            <w:tcBorders>
              <w:top w:val="none" w:sz="0" w:space="0" w:color="auto"/>
              <w:left w:val="none" w:sz="0" w:space="0" w:color="auto"/>
              <w:right w:val="none" w:sz="0" w:space="0" w:color="auto"/>
            </w:tcBorders>
            <w:vAlign w:val="top"/>
          </w:tcPr>
          <w:p w14:paraId="10C85AF6"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Qld</w:t>
            </w:r>
          </w:p>
        </w:tc>
        <w:tc>
          <w:tcPr>
            <w:tcW w:w="872" w:type="dxa"/>
            <w:tcBorders>
              <w:top w:val="none" w:sz="0" w:space="0" w:color="auto"/>
              <w:left w:val="none" w:sz="0" w:space="0" w:color="auto"/>
              <w:right w:val="none" w:sz="0" w:space="0" w:color="auto"/>
            </w:tcBorders>
            <w:vAlign w:val="top"/>
          </w:tcPr>
          <w:p w14:paraId="7156404B"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WA</w:t>
            </w:r>
          </w:p>
        </w:tc>
        <w:tc>
          <w:tcPr>
            <w:tcW w:w="872" w:type="dxa"/>
            <w:tcBorders>
              <w:top w:val="none" w:sz="0" w:space="0" w:color="auto"/>
              <w:left w:val="none" w:sz="0" w:space="0" w:color="auto"/>
              <w:right w:val="none" w:sz="0" w:space="0" w:color="auto"/>
            </w:tcBorders>
            <w:vAlign w:val="top"/>
          </w:tcPr>
          <w:p w14:paraId="14ED6E8A"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SA</w:t>
            </w:r>
          </w:p>
        </w:tc>
        <w:tc>
          <w:tcPr>
            <w:tcW w:w="872" w:type="dxa"/>
            <w:tcBorders>
              <w:top w:val="none" w:sz="0" w:space="0" w:color="auto"/>
              <w:left w:val="none" w:sz="0" w:space="0" w:color="auto"/>
              <w:right w:val="none" w:sz="0" w:space="0" w:color="auto"/>
            </w:tcBorders>
            <w:vAlign w:val="top"/>
          </w:tcPr>
          <w:p w14:paraId="73B6702F"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Tas</w:t>
            </w:r>
          </w:p>
        </w:tc>
        <w:tc>
          <w:tcPr>
            <w:tcW w:w="763" w:type="dxa"/>
            <w:tcBorders>
              <w:top w:val="none" w:sz="0" w:space="0" w:color="auto"/>
              <w:left w:val="none" w:sz="0" w:space="0" w:color="auto"/>
              <w:right w:val="none" w:sz="0" w:space="0" w:color="auto"/>
            </w:tcBorders>
            <w:vAlign w:val="top"/>
          </w:tcPr>
          <w:p w14:paraId="38FAA2ED"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ACT</w:t>
            </w:r>
          </w:p>
        </w:tc>
        <w:tc>
          <w:tcPr>
            <w:tcW w:w="763" w:type="dxa"/>
            <w:tcBorders>
              <w:top w:val="none" w:sz="0" w:space="0" w:color="auto"/>
              <w:left w:val="none" w:sz="0" w:space="0" w:color="auto"/>
              <w:right w:val="none" w:sz="0" w:space="0" w:color="auto"/>
            </w:tcBorders>
            <w:vAlign w:val="top"/>
          </w:tcPr>
          <w:p w14:paraId="02492EA6"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NT</w:t>
            </w:r>
          </w:p>
        </w:tc>
        <w:tc>
          <w:tcPr>
            <w:tcW w:w="964" w:type="dxa"/>
            <w:tcBorders>
              <w:top w:val="none" w:sz="0" w:space="0" w:color="auto"/>
              <w:left w:val="none" w:sz="0" w:space="0" w:color="auto"/>
            </w:tcBorders>
            <w:vAlign w:val="top"/>
          </w:tcPr>
          <w:p w14:paraId="4C8F53E5" w14:textId="77777777" w:rsidR="002749D9" w:rsidRPr="005F6634" w:rsidRDefault="002749D9" w:rsidP="0025182A">
            <w:pPr>
              <w:pStyle w:val="TableN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5F6634">
              <w:rPr>
                <w:sz w:val="17"/>
                <w:szCs w:val="17"/>
              </w:rPr>
              <w:t>Total</w:t>
            </w:r>
          </w:p>
        </w:tc>
      </w:tr>
      <w:tr w:rsidR="002749D9" w:rsidRPr="005F6634" w14:paraId="6D7A33AB"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57281126"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2009-10</w:t>
            </w:r>
          </w:p>
        </w:tc>
        <w:tc>
          <w:tcPr>
            <w:tcW w:w="983" w:type="dxa"/>
          </w:tcPr>
          <w:p w14:paraId="3726B02D"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$24.715 </w:t>
            </w:r>
          </w:p>
        </w:tc>
        <w:tc>
          <w:tcPr>
            <w:tcW w:w="982" w:type="dxa"/>
          </w:tcPr>
          <w:p w14:paraId="6241923A"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$17,756 </w:t>
            </w:r>
          </w:p>
        </w:tc>
        <w:tc>
          <w:tcPr>
            <w:tcW w:w="982" w:type="dxa"/>
          </w:tcPr>
          <w:p w14:paraId="089399C9"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$27,124 </w:t>
            </w:r>
          </w:p>
        </w:tc>
        <w:tc>
          <w:tcPr>
            <w:tcW w:w="872" w:type="dxa"/>
          </w:tcPr>
          <w:p w14:paraId="217F57EA"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$8,922 </w:t>
            </w:r>
          </w:p>
        </w:tc>
        <w:tc>
          <w:tcPr>
            <w:tcW w:w="872" w:type="dxa"/>
          </w:tcPr>
          <w:p w14:paraId="2D5C5FB6"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$6,067 </w:t>
            </w:r>
          </w:p>
        </w:tc>
        <w:tc>
          <w:tcPr>
            <w:tcW w:w="872" w:type="dxa"/>
          </w:tcPr>
          <w:p w14:paraId="4BD0895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$1,784 </w:t>
            </w:r>
          </w:p>
        </w:tc>
        <w:tc>
          <w:tcPr>
            <w:tcW w:w="763" w:type="dxa"/>
          </w:tcPr>
          <w:p w14:paraId="1A314EE8"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$1,071 </w:t>
            </w:r>
          </w:p>
        </w:tc>
        <w:tc>
          <w:tcPr>
            <w:tcW w:w="763" w:type="dxa"/>
          </w:tcPr>
          <w:p w14:paraId="70ACE9A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$1,784 </w:t>
            </w:r>
          </w:p>
        </w:tc>
        <w:tc>
          <w:tcPr>
            <w:tcW w:w="964" w:type="dxa"/>
          </w:tcPr>
          <w:p w14:paraId="348BAD0A"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$89,224 </w:t>
            </w:r>
          </w:p>
        </w:tc>
      </w:tr>
      <w:tr w:rsidR="002749D9" w:rsidRPr="005F6634" w14:paraId="35A251DE"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041D1B90"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2010-11</w:t>
            </w:r>
          </w:p>
        </w:tc>
        <w:tc>
          <w:tcPr>
            <w:tcW w:w="983" w:type="dxa"/>
          </w:tcPr>
          <w:p w14:paraId="6BB72147"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$29,888 </w:t>
            </w:r>
          </w:p>
        </w:tc>
        <w:tc>
          <w:tcPr>
            <w:tcW w:w="982" w:type="dxa"/>
          </w:tcPr>
          <w:p w14:paraId="6B8482F2"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$21,472 </w:t>
            </w:r>
          </w:p>
        </w:tc>
        <w:tc>
          <w:tcPr>
            <w:tcW w:w="982" w:type="dxa"/>
          </w:tcPr>
          <w:p w14:paraId="55A07C5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$32,801 </w:t>
            </w:r>
          </w:p>
        </w:tc>
        <w:tc>
          <w:tcPr>
            <w:tcW w:w="872" w:type="dxa"/>
          </w:tcPr>
          <w:p w14:paraId="08CE19C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$10,790 </w:t>
            </w:r>
          </w:p>
        </w:tc>
        <w:tc>
          <w:tcPr>
            <w:tcW w:w="872" w:type="dxa"/>
          </w:tcPr>
          <w:p w14:paraId="65BEAAEC"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$7,337 </w:t>
            </w:r>
          </w:p>
        </w:tc>
        <w:tc>
          <w:tcPr>
            <w:tcW w:w="872" w:type="dxa"/>
          </w:tcPr>
          <w:p w14:paraId="5EB0073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$2,158 </w:t>
            </w:r>
          </w:p>
        </w:tc>
        <w:tc>
          <w:tcPr>
            <w:tcW w:w="763" w:type="dxa"/>
          </w:tcPr>
          <w:p w14:paraId="2211768A"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$1,295 </w:t>
            </w:r>
          </w:p>
        </w:tc>
        <w:tc>
          <w:tcPr>
            <w:tcW w:w="763" w:type="dxa"/>
          </w:tcPr>
          <w:p w14:paraId="12FD506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$2,158 </w:t>
            </w:r>
          </w:p>
        </w:tc>
        <w:tc>
          <w:tcPr>
            <w:tcW w:w="964" w:type="dxa"/>
          </w:tcPr>
          <w:p w14:paraId="1B01F86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$107,898 </w:t>
            </w:r>
          </w:p>
        </w:tc>
      </w:tr>
      <w:tr w:rsidR="002749D9" w:rsidRPr="005F6634" w14:paraId="2F49A4BF"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2F2B8711"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2011-12</w:t>
            </w:r>
          </w:p>
        </w:tc>
        <w:tc>
          <w:tcPr>
            <w:tcW w:w="983" w:type="dxa"/>
          </w:tcPr>
          <w:p w14:paraId="33E973B7"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$88,748 </w:t>
            </w:r>
          </w:p>
        </w:tc>
        <w:tc>
          <w:tcPr>
            <w:tcW w:w="982" w:type="dxa"/>
          </w:tcPr>
          <w:p w14:paraId="1E08F379"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$63,757 </w:t>
            </w:r>
          </w:p>
        </w:tc>
        <w:tc>
          <w:tcPr>
            <w:tcW w:w="982" w:type="dxa"/>
          </w:tcPr>
          <w:p w14:paraId="58712114"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$97,398 </w:t>
            </w:r>
          </w:p>
        </w:tc>
        <w:tc>
          <w:tcPr>
            <w:tcW w:w="872" w:type="dxa"/>
          </w:tcPr>
          <w:p w14:paraId="070ED7FB"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$32,039 </w:t>
            </w:r>
          </w:p>
        </w:tc>
        <w:tc>
          <w:tcPr>
            <w:tcW w:w="872" w:type="dxa"/>
          </w:tcPr>
          <w:p w14:paraId="5F80783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$21,786 </w:t>
            </w:r>
          </w:p>
        </w:tc>
        <w:tc>
          <w:tcPr>
            <w:tcW w:w="872" w:type="dxa"/>
          </w:tcPr>
          <w:p w14:paraId="5E91EE5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$6,408 </w:t>
            </w:r>
          </w:p>
        </w:tc>
        <w:tc>
          <w:tcPr>
            <w:tcW w:w="763" w:type="dxa"/>
          </w:tcPr>
          <w:p w14:paraId="1F715733"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$3,845 </w:t>
            </w:r>
          </w:p>
        </w:tc>
        <w:tc>
          <w:tcPr>
            <w:tcW w:w="763" w:type="dxa"/>
          </w:tcPr>
          <w:p w14:paraId="5A2AFFF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$6,408 </w:t>
            </w:r>
          </w:p>
        </w:tc>
        <w:tc>
          <w:tcPr>
            <w:tcW w:w="964" w:type="dxa"/>
          </w:tcPr>
          <w:p w14:paraId="3EAA88AA"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$320,388 </w:t>
            </w:r>
          </w:p>
        </w:tc>
      </w:tr>
      <w:tr w:rsidR="002749D9" w:rsidRPr="005F6634" w14:paraId="3FCD46B2"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3741F5B3"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2012-13</w:t>
            </w:r>
          </w:p>
        </w:tc>
        <w:tc>
          <w:tcPr>
            <w:tcW w:w="983" w:type="dxa"/>
          </w:tcPr>
          <w:p w14:paraId="787BA459"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$151,922 </w:t>
            </w:r>
          </w:p>
        </w:tc>
        <w:tc>
          <w:tcPr>
            <w:tcW w:w="982" w:type="dxa"/>
          </w:tcPr>
          <w:p w14:paraId="3A5CDFB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$120,425 </w:t>
            </w:r>
          </w:p>
        </w:tc>
        <w:tc>
          <w:tcPr>
            <w:tcW w:w="982" w:type="dxa"/>
          </w:tcPr>
          <w:p w14:paraId="18006E24"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$107,214 </w:t>
            </w:r>
          </w:p>
        </w:tc>
        <w:tc>
          <w:tcPr>
            <w:tcW w:w="872" w:type="dxa"/>
          </w:tcPr>
          <w:p w14:paraId="638E270E"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$52,384 </w:t>
            </w:r>
          </w:p>
        </w:tc>
        <w:tc>
          <w:tcPr>
            <w:tcW w:w="872" w:type="dxa"/>
          </w:tcPr>
          <w:p w14:paraId="5F7D24F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$33,988 </w:t>
            </w:r>
          </w:p>
        </w:tc>
        <w:tc>
          <w:tcPr>
            <w:tcW w:w="872" w:type="dxa"/>
          </w:tcPr>
          <w:p w14:paraId="5F00129C"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$11,440 </w:t>
            </w:r>
          </w:p>
        </w:tc>
        <w:tc>
          <w:tcPr>
            <w:tcW w:w="763" w:type="dxa"/>
          </w:tcPr>
          <w:p w14:paraId="20D6E6AE"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$7,788 </w:t>
            </w:r>
          </w:p>
        </w:tc>
        <w:tc>
          <w:tcPr>
            <w:tcW w:w="763" w:type="dxa"/>
          </w:tcPr>
          <w:p w14:paraId="6F5C6C49"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$6,530 </w:t>
            </w:r>
          </w:p>
        </w:tc>
        <w:tc>
          <w:tcPr>
            <w:tcW w:w="964" w:type="dxa"/>
          </w:tcPr>
          <w:p w14:paraId="47B32CD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$491,692 </w:t>
            </w:r>
          </w:p>
        </w:tc>
      </w:tr>
      <w:tr w:rsidR="002749D9" w:rsidRPr="005F6634" w14:paraId="5EFE079B"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411DF2C8"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lastRenderedPageBreak/>
              <w:t>2013-14</w:t>
            </w:r>
          </w:p>
        </w:tc>
        <w:tc>
          <w:tcPr>
            <w:tcW w:w="983" w:type="dxa"/>
          </w:tcPr>
          <w:p w14:paraId="34F7AD83"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$137,576 </w:t>
            </w:r>
          </w:p>
        </w:tc>
        <w:tc>
          <w:tcPr>
            <w:tcW w:w="982" w:type="dxa"/>
          </w:tcPr>
          <w:p w14:paraId="1CC83FAD"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$102,519 </w:t>
            </w:r>
          </w:p>
        </w:tc>
        <w:tc>
          <w:tcPr>
            <w:tcW w:w="982" w:type="dxa"/>
          </w:tcPr>
          <w:p w14:paraId="493F957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$88,987 </w:t>
            </w:r>
          </w:p>
        </w:tc>
        <w:tc>
          <w:tcPr>
            <w:tcW w:w="872" w:type="dxa"/>
          </w:tcPr>
          <w:p w14:paraId="2755798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$45,908 </w:t>
            </w:r>
          </w:p>
        </w:tc>
        <w:tc>
          <w:tcPr>
            <w:tcW w:w="872" w:type="dxa"/>
          </w:tcPr>
          <w:p w14:paraId="15240996"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$28,575 </w:t>
            </w:r>
          </w:p>
        </w:tc>
        <w:tc>
          <w:tcPr>
            <w:tcW w:w="872" w:type="dxa"/>
          </w:tcPr>
          <w:p w14:paraId="2290754B"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$10,506 </w:t>
            </w:r>
          </w:p>
        </w:tc>
        <w:tc>
          <w:tcPr>
            <w:tcW w:w="763" w:type="dxa"/>
          </w:tcPr>
          <w:p w14:paraId="1AF081C2"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$6,748 </w:t>
            </w:r>
          </w:p>
        </w:tc>
        <w:tc>
          <w:tcPr>
            <w:tcW w:w="763" w:type="dxa"/>
          </w:tcPr>
          <w:p w14:paraId="17AEBC3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$5,359 </w:t>
            </w:r>
          </w:p>
        </w:tc>
        <w:tc>
          <w:tcPr>
            <w:tcW w:w="964" w:type="dxa"/>
          </w:tcPr>
          <w:p w14:paraId="2576F0BB"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$426,178 </w:t>
            </w:r>
          </w:p>
        </w:tc>
      </w:tr>
      <w:tr w:rsidR="002749D9" w:rsidRPr="005F6634" w14:paraId="4E1DD04B"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52769EB2"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2014-15</w:t>
            </w:r>
          </w:p>
        </w:tc>
        <w:tc>
          <w:tcPr>
            <w:tcW w:w="983" w:type="dxa"/>
          </w:tcPr>
          <w:p w14:paraId="2BB30741"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$118,764 </w:t>
            </w:r>
          </w:p>
        </w:tc>
        <w:tc>
          <w:tcPr>
            <w:tcW w:w="982" w:type="dxa"/>
          </w:tcPr>
          <w:p w14:paraId="0E2A145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$88,787 </w:t>
            </w:r>
          </w:p>
        </w:tc>
        <w:tc>
          <w:tcPr>
            <w:tcW w:w="982" w:type="dxa"/>
          </w:tcPr>
          <w:p w14:paraId="7F5C261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$77,407 </w:t>
            </w:r>
          </w:p>
        </w:tc>
        <w:tc>
          <w:tcPr>
            <w:tcW w:w="872" w:type="dxa"/>
          </w:tcPr>
          <w:p w14:paraId="0D2F7A83"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$40,079 </w:t>
            </w:r>
          </w:p>
        </w:tc>
        <w:tc>
          <w:tcPr>
            <w:tcW w:w="872" w:type="dxa"/>
          </w:tcPr>
          <w:p w14:paraId="717BA1D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$24,705 </w:t>
            </w:r>
          </w:p>
        </w:tc>
        <w:tc>
          <w:tcPr>
            <w:tcW w:w="872" w:type="dxa"/>
          </w:tcPr>
          <w:p w14:paraId="2EFBD1E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$8,124 </w:t>
            </w:r>
          </w:p>
        </w:tc>
        <w:tc>
          <w:tcPr>
            <w:tcW w:w="763" w:type="dxa"/>
          </w:tcPr>
          <w:p w14:paraId="0DB051E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$5,947 </w:t>
            </w:r>
          </w:p>
        </w:tc>
        <w:tc>
          <w:tcPr>
            <w:tcW w:w="763" w:type="dxa"/>
          </w:tcPr>
          <w:p w14:paraId="4041D8BD"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$4,593 </w:t>
            </w:r>
          </w:p>
        </w:tc>
        <w:tc>
          <w:tcPr>
            <w:tcW w:w="964" w:type="dxa"/>
          </w:tcPr>
          <w:p w14:paraId="3924A6B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$368,406 </w:t>
            </w:r>
          </w:p>
        </w:tc>
      </w:tr>
      <w:tr w:rsidR="002749D9" w:rsidRPr="005F6634" w14:paraId="72923F07"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68CC9E17"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2015-16</w:t>
            </w:r>
          </w:p>
        </w:tc>
        <w:tc>
          <w:tcPr>
            <w:tcW w:w="983" w:type="dxa"/>
          </w:tcPr>
          <w:p w14:paraId="0CD9D830"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0455F1F">
              <w:t xml:space="preserve">$133,134 </w:t>
            </w:r>
          </w:p>
        </w:tc>
        <w:tc>
          <w:tcPr>
            <w:tcW w:w="982" w:type="dxa"/>
          </w:tcPr>
          <w:p w14:paraId="1C475845"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$100,440 </w:t>
            </w:r>
          </w:p>
        </w:tc>
        <w:tc>
          <w:tcPr>
            <w:tcW w:w="982" w:type="dxa"/>
          </w:tcPr>
          <w:p w14:paraId="781216B2"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$87,743 </w:t>
            </w:r>
          </w:p>
        </w:tc>
        <w:tc>
          <w:tcPr>
            <w:tcW w:w="872" w:type="dxa"/>
          </w:tcPr>
          <w:p w14:paraId="68FD9D61"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$46,058 </w:t>
            </w:r>
          </w:p>
        </w:tc>
        <w:tc>
          <w:tcPr>
            <w:tcW w:w="872" w:type="dxa"/>
          </w:tcPr>
          <w:p w14:paraId="648B6FAC"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$27,664 </w:t>
            </w:r>
          </w:p>
        </w:tc>
        <w:tc>
          <w:tcPr>
            <w:tcW w:w="872" w:type="dxa"/>
          </w:tcPr>
          <w:p w14:paraId="544806BB"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$8,869 </w:t>
            </w:r>
          </w:p>
        </w:tc>
        <w:tc>
          <w:tcPr>
            <w:tcW w:w="763" w:type="dxa"/>
          </w:tcPr>
          <w:p w14:paraId="6A370754"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$6,989 </w:t>
            </w:r>
          </w:p>
        </w:tc>
        <w:tc>
          <w:tcPr>
            <w:tcW w:w="763" w:type="dxa"/>
          </w:tcPr>
          <w:p w14:paraId="5C2101B9"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$5,077 </w:t>
            </w:r>
          </w:p>
        </w:tc>
        <w:tc>
          <w:tcPr>
            <w:tcW w:w="964" w:type="dxa"/>
          </w:tcPr>
          <w:p w14:paraId="794BF8BC"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$415,974 </w:t>
            </w:r>
          </w:p>
        </w:tc>
      </w:tr>
      <w:tr w:rsidR="002749D9" w:rsidRPr="005F6634" w14:paraId="40ECDAE6"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6F88DDC3"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2016-17</w:t>
            </w:r>
          </w:p>
        </w:tc>
        <w:tc>
          <w:tcPr>
            <w:tcW w:w="983" w:type="dxa"/>
          </w:tcPr>
          <w:p w14:paraId="70B0632B" w14:textId="77777777" w:rsidR="002749D9" w:rsidRPr="00455F1F"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pPr>
            <w:r w:rsidRPr="0C5679B2">
              <w:t xml:space="preserve">$135,069 </w:t>
            </w:r>
          </w:p>
        </w:tc>
        <w:tc>
          <w:tcPr>
            <w:tcW w:w="982" w:type="dxa"/>
          </w:tcPr>
          <w:p w14:paraId="39D9670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$102,554 </w:t>
            </w:r>
          </w:p>
        </w:tc>
        <w:tc>
          <w:tcPr>
            <w:tcW w:w="982" w:type="dxa"/>
          </w:tcPr>
          <w:p w14:paraId="64523B80"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$88,281 </w:t>
            </w:r>
          </w:p>
        </w:tc>
        <w:tc>
          <w:tcPr>
            <w:tcW w:w="872" w:type="dxa"/>
          </w:tcPr>
          <w:p w14:paraId="41C19409"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$47,063 </w:t>
            </w:r>
          </w:p>
        </w:tc>
        <w:tc>
          <w:tcPr>
            <w:tcW w:w="872" w:type="dxa"/>
          </w:tcPr>
          <w:p w14:paraId="3A5904B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$27,807 </w:t>
            </w:r>
          </w:p>
        </w:tc>
        <w:tc>
          <w:tcPr>
            <w:tcW w:w="872" w:type="dxa"/>
          </w:tcPr>
          <w:p w14:paraId="0417E74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$8,656 </w:t>
            </w:r>
          </w:p>
        </w:tc>
        <w:tc>
          <w:tcPr>
            <w:tcW w:w="763" w:type="dxa"/>
          </w:tcPr>
          <w:p w14:paraId="241185F6"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$7,215 </w:t>
            </w:r>
          </w:p>
        </w:tc>
        <w:tc>
          <w:tcPr>
            <w:tcW w:w="763" w:type="dxa"/>
          </w:tcPr>
          <w:p w14:paraId="4F4CF40D"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$5,157 </w:t>
            </w:r>
          </w:p>
        </w:tc>
        <w:tc>
          <w:tcPr>
            <w:tcW w:w="964" w:type="dxa"/>
          </w:tcPr>
          <w:p w14:paraId="563B6DB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$421,801 </w:t>
            </w:r>
          </w:p>
        </w:tc>
      </w:tr>
      <w:tr w:rsidR="002749D9" w:rsidRPr="005F6634" w14:paraId="7F583F67" w14:textId="77777777" w:rsidTr="00EB56A7">
        <w:tc>
          <w:tcPr>
            <w:cnfStyle w:val="001000000000" w:firstRow="0" w:lastRow="0" w:firstColumn="1" w:lastColumn="0" w:oddVBand="0" w:evenVBand="0" w:oddHBand="0" w:evenHBand="0" w:firstRowFirstColumn="0" w:firstRowLastColumn="0" w:lastRowFirstColumn="0" w:lastRowLastColumn="0"/>
            <w:tcW w:w="878" w:type="dxa"/>
          </w:tcPr>
          <w:p w14:paraId="59968617" w14:textId="77777777" w:rsidR="002749D9" w:rsidRPr="00F26281" w:rsidRDefault="002749D9" w:rsidP="0025182A">
            <w:pPr>
              <w:pStyle w:val="TableNText"/>
              <w:spacing w:before="0" w:after="0"/>
              <w:rPr>
                <w:rFonts w:asciiTheme="majorHAnsi" w:hAnsiTheme="majorHAnsi" w:cstheme="majorBidi"/>
              </w:rPr>
            </w:pPr>
            <w:r w:rsidRPr="0C5679B2">
              <w:rPr>
                <w:rFonts w:asciiTheme="majorHAnsi" w:hAnsiTheme="majorHAnsi" w:cstheme="majorBidi"/>
              </w:rPr>
              <w:t>2017-18</w:t>
            </w:r>
          </w:p>
        </w:tc>
        <w:tc>
          <w:tcPr>
            <w:tcW w:w="983" w:type="dxa"/>
          </w:tcPr>
          <w:p w14:paraId="7EA306B4"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$132,233 </w:t>
            </w:r>
          </w:p>
        </w:tc>
        <w:tc>
          <w:tcPr>
            <w:tcW w:w="982" w:type="dxa"/>
          </w:tcPr>
          <w:p w14:paraId="4F452C3D"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$108,204 </w:t>
            </w:r>
          </w:p>
        </w:tc>
        <w:tc>
          <w:tcPr>
            <w:tcW w:w="982" w:type="dxa"/>
          </w:tcPr>
          <w:p w14:paraId="2BBEFBF3"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$88,622 </w:t>
            </w:r>
          </w:p>
        </w:tc>
        <w:tc>
          <w:tcPr>
            <w:tcW w:w="872" w:type="dxa"/>
          </w:tcPr>
          <w:p w14:paraId="58D4604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$46,987 </w:t>
            </w:r>
          </w:p>
        </w:tc>
        <w:tc>
          <w:tcPr>
            <w:tcW w:w="872" w:type="dxa"/>
          </w:tcPr>
          <w:p w14:paraId="667F9807"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$28,044 </w:t>
            </w:r>
          </w:p>
        </w:tc>
        <w:tc>
          <w:tcPr>
            <w:tcW w:w="872" w:type="dxa"/>
          </w:tcPr>
          <w:p w14:paraId="47F842DF"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$8,892 </w:t>
            </w:r>
          </w:p>
        </w:tc>
        <w:tc>
          <w:tcPr>
            <w:tcW w:w="763" w:type="dxa"/>
          </w:tcPr>
          <w:p w14:paraId="1A2A484B"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$7,797 </w:t>
            </w:r>
          </w:p>
        </w:tc>
        <w:tc>
          <w:tcPr>
            <w:tcW w:w="763" w:type="dxa"/>
          </w:tcPr>
          <w:p w14:paraId="63243292"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$5,065 </w:t>
            </w:r>
          </w:p>
        </w:tc>
        <w:tc>
          <w:tcPr>
            <w:tcW w:w="964" w:type="dxa"/>
          </w:tcPr>
          <w:p w14:paraId="7EB4F642" w14:textId="77777777" w:rsidR="002749D9" w:rsidRPr="005F6634" w:rsidRDefault="002749D9" w:rsidP="0025182A">
            <w:pPr>
              <w:pStyle w:val="TableNText"/>
              <w:spacing w:before="0" w:after="0"/>
              <w:cnfStyle w:val="000000000000" w:firstRow="0" w:lastRow="0" w:firstColumn="0" w:lastColumn="0" w:oddVBand="0" w:evenVBand="0" w:oddHBand="0" w:evenHBand="0" w:firstRowFirstColumn="0" w:firstRowLastColumn="0" w:lastRowFirstColumn="0" w:lastRowLastColumn="0"/>
              <w:rPr>
                <w:szCs w:val="17"/>
              </w:rPr>
            </w:pPr>
            <w:r w:rsidRPr="0C5679B2">
              <w:t xml:space="preserve">$425,844 </w:t>
            </w:r>
          </w:p>
        </w:tc>
      </w:tr>
    </w:tbl>
    <w:p w14:paraId="77855551" w14:textId="77777777" w:rsidR="002749D9" w:rsidRDefault="002749D9" w:rsidP="001D1C64">
      <w:pPr>
        <w:pStyle w:val="Bullet"/>
        <w:rPr>
          <w:rFonts w:asciiTheme="minorHAnsi" w:hAnsiTheme="minorHAnsi" w:cstheme="minorHAnsi"/>
        </w:rPr>
      </w:pPr>
    </w:p>
    <w:p w14:paraId="5126EADA" w14:textId="77777777" w:rsidR="001D1C64" w:rsidRDefault="001D1C64" w:rsidP="001D1C64">
      <w:pPr>
        <w:pStyle w:val="Bullet"/>
        <w:rPr>
          <w:rFonts w:asciiTheme="minorHAnsi" w:hAnsiTheme="minorHAnsi" w:cstheme="minorBidi"/>
        </w:rPr>
      </w:pPr>
      <w:r w:rsidRPr="0C5679B2">
        <w:rPr>
          <w:rFonts w:asciiTheme="minorHAnsi" w:hAnsiTheme="minorHAnsi" w:cstheme="minorBidi"/>
        </w:rPr>
        <w:t xml:space="preserve">Since </w:t>
      </w:r>
      <w:r w:rsidR="000559D2" w:rsidRPr="0C5679B2">
        <w:rPr>
          <w:rFonts w:asciiTheme="minorHAnsi" w:hAnsiTheme="minorHAnsi" w:cstheme="minorBidi"/>
        </w:rPr>
        <w:t xml:space="preserve">the </w:t>
      </w:r>
      <w:r w:rsidR="00E629F4" w:rsidRPr="0C5679B2">
        <w:rPr>
          <w:rFonts w:asciiTheme="minorHAnsi" w:hAnsiTheme="minorHAnsi" w:cstheme="minorBidi"/>
        </w:rPr>
        <w:t>Australian Government’s</w:t>
      </w:r>
      <w:r w:rsidR="000559D2" w:rsidRPr="0C5679B2">
        <w:rPr>
          <w:rFonts w:asciiTheme="minorHAnsi" w:hAnsiTheme="minorHAnsi" w:cstheme="minorBidi"/>
        </w:rPr>
        <w:t xml:space="preserve"> </w:t>
      </w:r>
      <w:r w:rsidRPr="0C5679B2">
        <w:rPr>
          <w:rFonts w:asciiTheme="minorHAnsi" w:hAnsiTheme="minorHAnsi" w:cstheme="minorBidi"/>
        </w:rPr>
        <w:t>funding is supplementary and does not purport to meet a specific proportion of the cost of achieving the agreed outcomes, its adequacy must be considered in the context of whether it supports sufficient collective investment</w:t>
      </w:r>
      <w:r w:rsidR="0042066B" w:rsidRPr="0C5679B2">
        <w:rPr>
          <w:rFonts w:asciiTheme="minorHAnsi" w:hAnsiTheme="minorHAnsi" w:cstheme="minorBidi"/>
        </w:rPr>
        <w:t xml:space="preserve">, including by establishing incentives for States and Territories. </w:t>
      </w:r>
    </w:p>
    <w:p w14:paraId="5D0C92B9" w14:textId="77777777" w:rsidR="0042066B" w:rsidRDefault="0042066B" w:rsidP="001D1C64">
      <w:pPr>
        <w:pStyle w:val="Bullet"/>
        <w:rPr>
          <w:rFonts w:asciiTheme="minorHAnsi" w:hAnsiTheme="minorHAnsi" w:cstheme="minorBidi"/>
        </w:rPr>
      </w:pPr>
      <w:r w:rsidRPr="0C5679B2">
        <w:rPr>
          <w:rFonts w:asciiTheme="minorHAnsi" w:hAnsiTheme="minorHAnsi" w:cstheme="minorBidi"/>
        </w:rPr>
        <w:t xml:space="preserve">The </w:t>
      </w:r>
      <w:r w:rsidR="000559D2" w:rsidRPr="0C5679B2">
        <w:rPr>
          <w:rFonts w:asciiTheme="minorHAnsi" w:hAnsiTheme="minorHAnsi" w:cstheme="minorBidi"/>
        </w:rPr>
        <w:t xml:space="preserve">Review finds that </w:t>
      </w:r>
      <w:r w:rsidRPr="0C5679B2">
        <w:rPr>
          <w:rFonts w:asciiTheme="minorHAnsi" w:hAnsiTheme="minorHAnsi" w:cstheme="minorBidi"/>
        </w:rPr>
        <w:t xml:space="preserve">achievement of the agreed outcomes is evidence that governments’ collective investment has been sufficient. As intended, the UANP has precipitated universal access to 600 hours of quality, affordable preschool in the YBFS for children in all jurisdictions. On this basis, the Review deems the Australian Government contribution to have been adequate. </w:t>
      </w:r>
    </w:p>
    <w:p w14:paraId="4665A1C4" w14:textId="77777777" w:rsidR="001D1C64" w:rsidRDefault="002730BD" w:rsidP="00F85AB6">
      <w:pPr>
        <w:pStyle w:val="Heading4"/>
      </w:pPr>
      <w:r>
        <w:t>The UANP has</w:t>
      </w:r>
      <w:r w:rsidR="001D1C64">
        <w:t xml:space="preserve"> mobilised significant effort, but variation in State and Territory funding warrants further consideration </w:t>
      </w:r>
    </w:p>
    <w:p w14:paraId="43FBBEE2" w14:textId="77777777" w:rsidR="00F87001" w:rsidRDefault="00F87001" w:rsidP="001D1C64">
      <w:pPr>
        <w:pStyle w:val="Bullet"/>
        <w:rPr>
          <w:rFonts w:asciiTheme="minorHAnsi" w:hAnsiTheme="minorHAnsi" w:cstheme="minorBidi"/>
        </w:rPr>
      </w:pPr>
      <w:r w:rsidRPr="0C5679B2">
        <w:rPr>
          <w:rFonts w:asciiTheme="minorHAnsi" w:hAnsiTheme="minorHAnsi" w:cstheme="minorBidi"/>
        </w:rPr>
        <w:t xml:space="preserve">The UANP aims to create incentives for States and Territories to deliver universal access through the offer of reward payments. There is </w:t>
      </w:r>
      <w:r w:rsidR="00F80290">
        <w:rPr>
          <w:rFonts w:asciiTheme="minorHAnsi" w:hAnsiTheme="minorHAnsi" w:cstheme="minorBidi"/>
        </w:rPr>
        <w:t>currently</w:t>
      </w:r>
      <w:r w:rsidRPr="0C5679B2">
        <w:rPr>
          <w:rFonts w:asciiTheme="minorHAnsi" w:hAnsiTheme="minorHAnsi" w:cstheme="minorBidi"/>
        </w:rPr>
        <w:t xml:space="preserve"> no co-investment obligation</w:t>
      </w:r>
      <w:r w:rsidR="00333DDD">
        <w:rPr>
          <w:rFonts w:asciiTheme="minorHAnsi" w:hAnsiTheme="minorHAnsi" w:cstheme="minorBidi"/>
        </w:rPr>
        <w:t>.</w:t>
      </w:r>
      <w:r w:rsidRPr="0C5679B2">
        <w:rPr>
          <w:rFonts w:asciiTheme="minorHAnsi" w:hAnsiTheme="minorHAnsi" w:cstheme="minorBidi"/>
        </w:rPr>
        <w:t xml:space="preserve"> States and Territories </w:t>
      </w:r>
      <w:r w:rsidR="00FA02CF">
        <w:rPr>
          <w:rFonts w:asciiTheme="minorHAnsi" w:hAnsiTheme="minorHAnsi" w:cstheme="minorBidi"/>
        </w:rPr>
        <w:t xml:space="preserve">therefore </w:t>
      </w:r>
      <w:r w:rsidRPr="0C5679B2">
        <w:rPr>
          <w:rFonts w:asciiTheme="minorHAnsi" w:hAnsiTheme="minorHAnsi" w:cstheme="minorBidi"/>
        </w:rPr>
        <w:t xml:space="preserve">benefit from implementing reforms efficiently. </w:t>
      </w:r>
    </w:p>
    <w:p w14:paraId="2BD6C669" w14:textId="23171023" w:rsidR="0042066B" w:rsidRPr="00B82E7E" w:rsidRDefault="00922474" w:rsidP="0003670C">
      <w:pPr>
        <w:pStyle w:val="Bullet"/>
        <w:rPr>
          <w:rFonts w:asciiTheme="minorHAnsi" w:hAnsiTheme="minorHAnsi" w:cstheme="minorBidi"/>
        </w:rPr>
      </w:pPr>
      <w:r w:rsidRPr="0C5679B2">
        <w:rPr>
          <w:rFonts w:asciiTheme="minorHAnsi" w:hAnsiTheme="minorHAnsi" w:cstheme="minorBidi"/>
        </w:rPr>
        <w:t xml:space="preserve">As </w:t>
      </w:r>
      <w:r w:rsidR="00FA02CF">
        <w:rPr>
          <w:rFonts w:asciiTheme="minorHAnsi" w:hAnsiTheme="minorHAnsi" w:cstheme="minorBidi"/>
        </w:rPr>
        <w:t>discussed</w:t>
      </w:r>
      <w:r w:rsidRPr="0C5679B2">
        <w:rPr>
          <w:rFonts w:asciiTheme="minorHAnsi" w:hAnsiTheme="minorHAnsi" w:cstheme="minorBidi"/>
        </w:rPr>
        <w:t xml:space="preserve"> in </w:t>
      </w:r>
      <w:r w:rsidR="008F7577">
        <w:t>Chapter</w:t>
      </w:r>
      <w:r w:rsidR="008F7577" w:rsidRPr="00272ABB">
        <w:t xml:space="preserve"> </w:t>
      </w:r>
      <w:r w:rsidRPr="007774E3">
        <w:fldChar w:fldCharType="begin"/>
      </w:r>
      <w:r w:rsidRPr="007774E3">
        <w:rPr>
          <w:rFonts w:asciiTheme="minorHAnsi" w:hAnsiTheme="minorHAnsi" w:cstheme="minorHAnsi"/>
        </w:rPr>
        <w:instrText xml:space="preserve"> REF _Ref23719481 \r \h </w:instrText>
      </w:r>
      <w:r w:rsidR="009E768C" w:rsidRPr="007774E3">
        <w:instrText xml:space="preserve"> \* MERGEFORMAT </w:instrText>
      </w:r>
      <w:r w:rsidRPr="007774E3">
        <w:rPr>
          <w:rFonts w:asciiTheme="minorHAnsi" w:hAnsiTheme="minorHAnsi" w:cstheme="minorHAnsi"/>
        </w:rPr>
        <w:fldChar w:fldCharType="separate"/>
      </w:r>
      <w:r w:rsidR="00B37785">
        <w:rPr>
          <w:rFonts w:asciiTheme="minorHAnsi" w:hAnsiTheme="minorHAnsi" w:cstheme="minorHAnsi"/>
        </w:rPr>
        <w:t>2</w:t>
      </w:r>
      <w:r w:rsidRPr="007774E3">
        <w:fldChar w:fldCharType="end"/>
      </w:r>
      <w:r w:rsidR="007327C1">
        <w:t>.4</w:t>
      </w:r>
      <w:r w:rsidRPr="0C5679B2">
        <w:rPr>
          <w:rFonts w:asciiTheme="minorHAnsi" w:hAnsiTheme="minorHAnsi" w:cstheme="minorBidi"/>
        </w:rPr>
        <w:t>, there is significant variation in State and Territory funding for preschool</w:t>
      </w:r>
      <w:r>
        <w:rPr>
          <w:rFonts w:asciiTheme="minorHAnsi" w:hAnsiTheme="minorHAnsi" w:cstheme="minorBidi"/>
        </w:rPr>
        <w:t xml:space="preserve"> in the YBFS</w:t>
      </w:r>
      <w:r w:rsidRPr="0C5679B2">
        <w:rPr>
          <w:rFonts w:asciiTheme="minorHAnsi" w:hAnsiTheme="minorHAnsi" w:cstheme="minorBidi"/>
        </w:rPr>
        <w:t>.</w:t>
      </w:r>
      <w:r>
        <w:rPr>
          <w:rFonts w:asciiTheme="minorHAnsi" w:hAnsiTheme="minorHAnsi" w:cstheme="minorBidi"/>
        </w:rPr>
        <w:t xml:space="preserve"> </w:t>
      </w:r>
      <w:r w:rsidR="00333DDD">
        <w:rPr>
          <w:rFonts w:asciiTheme="minorHAnsi" w:hAnsiTheme="minorHAnsi" w:cstheme="minorBidi"/>
        </w:rPr>
        <w:t>Jurisdictions</w:t>
      </w:r>
      <w:r w:rsidR="0042066B" w:rsidRPr="0C5679B2">
        <w:rPr>
          <w:rFonts w:asciiTheme="minorHAnsi" w:hAnsiTheme="minorHAnsi" w:cstheme="minorBidi"/>
        </w:rPr>
        <w:t xml:space="preserve"> with a higher prevalence of enrolments in CBDC</w:t>
      </w:r>
      <w:r w:rsidR="004313DF">
        <w:rPr>
          <w:rFonts w:asciiTheme="minorHAnsi" w:hAnsiTheme="minorHAnsi" w:cstheme="minorHAnsi"/>
        </w:rPr>
        <w:t xml:space="preserve"> appear to </w:t>
      </w:r>
      <w:r w:rsidR="004313DF" w:rsidRPr="0C5679B2">
        <w:rPr>
          <w:rFonts w:asciiTheme="minorHAnsi" w:hAnsiTheme="minorHAnsi" w:cstheme="minorBidi"/>
        </w:rPr>
        <w:t>invest less</w:t>
      </w:r>
      <w:r w:rsidR="00D47BBD">
        <w:rPr>
          <w:rFonts w:asciiTheme="minorHAnsi" w:hAnsiTheme="minorHAnsi" w:cstheme="minorBidi"/>
        </w:rPr>
        <w:t>.</w:t>
      </w:r>
      <w:r w:rsidR="00F3650D" w:rsidRPr="0C5679B2">
        <w:rPr>
          <w:rFonts w:asciiTheme="minorHAnsi" w:hAnsiTheme="minorHAnsi" w:cstheme="minorBidi"/>
        </w:rPr>
        <w:t xml:space="preserve"> </w:t>
      </w:r>
      <w:r w:rsidR="0042066B" w:rsidRPr="0C5679B2">
        <w:rPr>
          <w:rFonts w:asciiTheme="minorHAnsi" w:hAnsiTheme="minorHAnsi" w:cstheme="minorBidi"/>
        </w:rPr>
        <w:t xml:space="preserve">Conversely, States and Territories that </w:t>
      </w:r>
      <w:r w:rsidR="004B156F">
        <w:rPr>
          <w:rFonts w:asciiTheme="minorHAnsi" w:hAnsiTheme="minorHAnsi" w:cstheme="minorBidi"/>
        </w:rPr>
        <w:t>favour</w:t>
      </w:r>
      <w:r w:rsidR="0042066B" w:rsidRPr="0C5679B2">
        <w:rPr>
          <w:rFonts w:asciiTheme="minorHAnsi" w:hAnsiTheme="minorHAnsi" w:cstheme="minorBidi"/>
        </w:rPr>
        <w:t xml:space="preserve"> preschool provision in schools or </w:t>
      </w:r>
      <w:r w:rsidR="00BC0C44">
        <w:t>standalone</w:t>
      </w:r>
      <w:r w:rsidR="0042066B" w:rsidRPr="00952E50">
        <w:t xml:space="preserve"> </w:t>
      </w:r>
      <w:r w:rsidR="0042066B" w:rsidRPr="0C5679B2">
        <w:rPr>
          <w:rFonts w:asciiTheme="minorHAnsi" w:hAnsiTheme="minorHAnsi" w:cstheme="minorBidi"/>
        </w:rPr>
        <w:t xml:space="preserve">services </w:t>
      </w:r>
      <w:r w:rsidR="00B81F5B">
        <w:rPr>
          <w:rFonts w:asciiTheme="minorHAnsi" w:hAnsiTheme="minorHAnsi" w:cstheme="minorBidi"/>
        </w:rPr>
        <w:t>appear</w:t>
      </w:r>
      <w:r w:rsidR="0042066B" w:rsidRPr="0C5679B2">
        <w:rPr>
          <w:rFonts w:asciiTheme="minorHAnsi" w:hAnsiTheme="minorHAnsi" w:cstheme="minorBidi"/>
        </w:rPr>
        <w:t xml:space="preserve"> to commit more of their own funding</w:t>
      </w:r>
      <w:r w:rsidR="00634DE1">
        <w:rPr>
          <w:rFonts w:asciiTheme="minorHAnsi" w:hAnsiTheme="minorHAnsi" w:cstheme="minorBidi"/>
        </w:rPr>
        <w:t xml:space="preserve"> (as depicted</w:t>
      </w:r>
      <w:r w:rsidR="00F3650D" w:rsidRPr="0C5679B2">
        <w:rPr>
          <w:rFonts w:asciiTheme="minorHAnsi" w:hAnsiTheme="minorHAnsi" w:cstheme="minorBidi"/>
        </w:rPr>
        <w:t xml:space="preserve"> in</w:t>
      </w:r>
      <w:r w:rsidR="00F80290">
        <w:rPr>
          <w:rFonts w:asciiTheme="minorHAnsi" w:hAnsiTheme="minorHAnsi" w:cstheme="minorBidi"/>
        </w:rPr>
        <w:t xml:space="preserve"> </w:t>
      </w:r>
      <w:r w:rsidR="00F80290">
        <w:rPr>
          <w:rFonts w:asciiTheme="minorHAnsi" w:hAnsiTheme="minorHAnsi" w:cstheme="minorBidi"/>
        </w:rPr>
        <w:fldChar w:fldCharType="begin"/>
      </w:r>
      <w:r w:rsidR="00F80290">
        <w:rPr>
          <w:rFonts w:asciiTheme="minorHAnsi" w:hAnsiTheme="minorHAnsi" w:cstheme="minorBidi"/>
        </w:rPr>
        <w:instrText xml:space="preserve"> REF _Ref24381771 \h </w:instrText>
      </w:r>
      <w:r w:rsidR="00AB5360">
        <w:rPr>
          <w:rFonts w:asciiTheme="minorHAnsi" w:hAnsiTheme="minorHAnsi" w:cstheme="minorBidi"/>
        </w:rPr>
        <w:instrText xml:space="preserve"> \* MERGEFORMAT </w:instrText>
      </w:r>
      <w:r w:rsidR="00F80290">
        <w:rPr>
          <w:rFonts w:asciiTheme="minorHAnsi" w:hAnsiTheme="minorHAnsi" w:cstheme="minorBidi"/>
        </w:rPr>
      </w:r>
      <w:r w:rsidR="00F80290">
        <w:rPr>
          <w:rFonts w:asciiTheme="minorHAnsi" w:hAnsiTheme="minorHAnsi" w:cstheme="minorBidi"/>
        </w:rPr>
        <w:fldChar w:fldCharType="separate"/>
      </w:r>
      <w:r w:rsidR="00B37785">
        <w:t xml:space="preserve">Figure </w:t>
      </w:r>
      <w:r w:rsidR="00B37785">
        <w:rPr>
          <w:noProof/>
        </w:rPr>
        <w:t>10</w:t>
      </w:r>
      <w:r w:rsidR="00F80290">
        <w:rPr>
          <w:rFonts w:asciiTheme="minorHAnsi" w:hAnsiTheme="minorHAnsi" w:cstheme="minorBidi"/>
        </w:rPr>
        <w:fldChar w:fldCharType="end"/>
      </w:r>
      <w:r w:rsidR="00634DE1">
        <w:rPr>
          <w:rFonts w:asciiTheme="minorHAnsi" w:hAnsiTheme="minorHAnsi" w:cstheme="minorBidi"/>
        </w:rPr>
        <w:t>)</w:t>
      </w:r>
      <w:r w:rsidR="00F3650D" w:rsidRPr="0C5679B2">
        <w:rPr>
          <w:rFonts w:asciiTheme="minorHAnsi" w:hAnsiTheme="minorHAnsi" w:cstheme="minorBidi"/>
        </w:rPr>
        <w:t xml:space="preserve">. </w:t>
      </w:r>
      <w:r w:rsidR="00FA02CF">
        <w:rPr>
          <w:rFonts w:asciiTheme="minorHAnsi" w:hAnsiTheme="minorHAnsi" w:cstheme="minorBidi"/>
        </w:rPr>
        <w:t>T</w:t>
      </w:r>
      <w:r w:rsidR="00634DE1">
        <w:rPr>
          <w:rFonts w:asciiTheme="minorHAnsi" w:hAnsiTheme="minorHAnsi" w:cstheme="minorBidi"/>
        </w:rPr>
        <w:t>his</w:t>
      </w:r>
      <w:r w:rsidR="00B81F5B">
        <w:rPr>
          <w:rFonts w:asciiTheme="minorHAnsi" w:hAnsiTheme="minorHAnsi" w:cstheme="minorBidi"/>
        </w:rPr>
        <w:t xml:space="preserve"> raises questions about whether </w:t>
      </w:r>
      <w:r w:rsidR="00333DDD">
        <w:rPr>
          <w:rFonts w:asciiTheme="minorHAnsi" w:hAnsiTheme="minorHAnsi" w:cstheme="minorBidi"/>
        </w:rPr>
        <w:t>funding is equitable</w:t>
      </w:r>
      <w:r w:rsidR="00B81F5B">
        <w:rPr>
          <w:rFonts w:asciiTheme="minorHAnsi" w:hAnsiTheme="minorHAnsi" w:cstheme="minorBidi"/>
        </w:rPr>
        <w:t xml:space="preserve"> at the jurisdictional level (as opposed to the service or child level).</w:t>
      </w:r>
    </w:p>
    <w:p w14:paraId="6986699B" w14:textId="77777777" w:rsidR="00291B03" w:rsidRPr="007774E3" w:rsidDel="00552FCD" w:rsidRDefault="00922474" w:rsidP="00FA02CF">
      <w:r w:rsidRPr="007774E3">
        <w:t>O</w:t>
      </w:r>
      <w:r w:rsidR="0042066B" w:rsidRPr="007774E3">
        <w:t xml:space="preserve">n the information available, it is not possible to determine whether the relatively low level of funding </w:t>
      </w:r>
      <w:r w:rsidR="00FA02CF">
        <w:t>provided by some States and Territories</w:t>
      </w:r>
      <w:r w:rsidR="0042066B" w:rsidRPr="007774E3">
        <w:t xml:space="preserve"> </w:t>
      </w:r>
      <w:r w:rsidR="00FA02CF">
        <w:t>is</w:t>
      </w:r>
      <w:r w:rsidR="00544776">
        <w:t xml:space="preserve"> </w:t>
      </w:r>
      <w:r w:rsidR="0042066B" w:rsidRPr="007774E3">
        <w:t>attributable to</w:t>
      </w:r>
      <w:r w:rsidR="007774E3">
        <w:t>:</w:t>
      </w:r>
      <w:r w:rsidR="0042066B" w:rsidRPr="007774E3">
        <w:t xml:space="preserve"> </w:t>
      </w:r>
      <w:r w:rsidR="00AB5360" w:rsidRPr="007774E3">
        <w:t>efficiencies in program and service delivery</w:t>
      </w:r>
      <w:r w:rsidR="007774E3">
        <w:t>;</w:t>
      </w:r>
      <w:r w:rsidR="0042066B" w:rsidRPr="007774E3">
        <w:t xml:space="preserve"> </w:t>
      </w:r>
      <w:r w:rsidR="00E3105A" w:rsidRPr="007774E3">
        <w:t>favourable cost drivers</w:t>
      </w:r>
      <w:r w:rsidR="007774E3">
        <w:t>;</w:t>
      </w:r>
      <w:r w:rsidR="00AB5360" w:rsidRPr="007774E3">
        <w:t xml:space="preserve"> </w:t>
      </w:r>
      <w:r w:rsidR="00E3105A" w:rsidRPr="007774E3">
        <w:t xml:space="preserve">the </w:t>
      </w:r>
      <w:r w:rsidR="00AB5360" w:rsidRPr="007774E3">
        <w:t xml:space="preserve">leveraging </w:t>
      </w:r>
      <w:r w:rsidR="00E3105A" w:rsidRPr="007774E3">
        <w:t>of alternative sources of funding</w:t>
      </w:r>
      <w:r w:rsidR="007774E3">
        <w:t>;</w:t>
      </w:r>
      <w:r w:rsidR="00E3105A" w:rsidRPr="007774E3">
        <w:t xml:space="preserve"> </w:t>
      </w:r>
      <w:r w:rsidR="0042066B" w:rsidRPr="007774E3">
        <w:t xml:space="preserve">or differing </w:t>
      </w:r>
      <w:r w:rsidR="00FA02CF">
        <w:t>outcomes</w:t>
      </w:r>
      <w:r w:rsidR="0042066B" w:rsidRPr="007774E3">
        <w:t>.</w:t>
      </w:r>
      <w:r w:rsidR="00BC2A42">
        <w:t xml:space="preserve"> </w:t>
      </w:r>
      <w:r w:rsidR="00755BEB" w:rsidRPr="00755BEB">
        <w:t xml:space="preserve">A further challenge is that </w:t>
      </w:r>
      <w:r w:rsidR="00FA02CF">
        <w:t xml:space="preserve">reported </w:t>
      </w:r>
      <w:r w:rsidR="00755BEB" w:rsidRPr="00755BEB">
        <w:t xml:space="preserve">State and Territory expenditure is not directly comparable across </w:t>
      </w:r>
      <w:proofErr w:type="gramStart"/>
      <w:r w:rsidR="00755BEB" w:rsidRPr="00755BEB">
        <w:t>jurisdictions</w:t>
      </w:r>
      <w:r w:rsidR="00FA02CF">
        <w:t>, and</w:t>
      </w:r>
      <w:proofErr w:type="gramEnd"/>
      <w:r w:rsidR="00FA02CF">
        <w:t xml:space="preserve"> may not capture all initiatives that contribute to meeting the </w:t>
      </w:r>
      <w:r w:rsidR="000C59E5">
        <w:t xml:space="preserve">UANP’s </w:t>
      </w:r>
      <w:r w:rsidR="00FA02CF">
        <w:t>objectives</w:t>
      </w:r>
      <w:r w:rsidR="00553251">
        <w:t>.</w:t>
      </w:r>
      <w:r w:rsidR="008300CE">
        <w:rPr>
          <w:rStyle w:val="FootnoteReference"/>
        </w:rPr>
        <w:footnoteReference w:id="87"/>
      </w:r>
      <w:r w:rsidR="00FA02CF">
        <w:t xml:space="preserve"> </w:t>
      </w:r>
    </w:p>
    <w:p w14:paraId="4415A038" w14:textId="77777777" w:rsidR="00F578DA" w:rsidRDefault="00B81F5B" w:rsidP="00FA02CF">
      <w:r>
        <w:t xml:space="preserve">Such considerations underline the challenges in developing a definitive view </w:t>
      </w:r>
      <w:proofErr w:type="gramStart"/>
      <w:r>
        <w:t>on</w:t>
      </w:r>
      <w:r w:rsidR="00DE2CB8">
        <w:t>:</w:t>
      </w:r>
      <w:proofErr w:type="gramEnd"/>
      <w:r>
        <w:t xml:space="preserve"> </w:t>
      </w:r>
      <w:r w:rsidR="00F578DA">
        <w:t xml:space="preserve">a) </w:t>
      </w:r>
      <w:r w:rsidR="00F578DA" w:rsidRPr="00F578DA">
        <w:t xml:space="preserve">the extent to which </w:t>
      </w:r>
      <w:r w:rsidR="00F578DA">
        <w:t>funding contributions are ranging as widely as appears</w:t>
      </w:r>
      <w:r w:rsidR="00DE2CB8">
        <w:t>;</w:t>
      </w:r>
      <w:r w:rsidR="00F578DA">
        <w:t xml:space="preserve"> b) the drivers of such variations</w:t>
      </w:r>
      <w:r w:rsidR="00DE2CB8">
        <w:t>;</w:t>
      </w:r>
      <w:r w:rsidR="00F578DA">
        <w:t xml:space="preserve"> and c) the </w:t>
      </w:r>
      <w:r w:rsidR="00544776">
        <w:t>implications for funding efficiency and effectiveness</w:t>
      </w:r>
      <w:r w:rsidR="00F578DA">
        <w:t>.</w:t>
      </w:r>
    </w:p>
    <w:p w14:paraId="0CB06827" w14:textId="77777777" w:rsidR="00B81F5B" w:rsidRPr="007774E3" w:rsidRDefault="00544776" w:rsidP="00F578DA">
      <w:pPr>
        <w:spacing w:after="240"/>
      </w:pPr>
      <w:r>
        <w:t>T</w:t>
      </w:r>
      <w:r w:rsidR="00B81F5B" w:rsidRPr="00B81F5B">
        <w:t>he Review considers State</w:t>
      </w:r>
      <w:r w:rsidR="005731D6">
        <w:t xml:space="preserve"> and </w:t>
      </w:r>
      <w:r w:rsidR="00B81F5B" w:rsidRPr="00B81F5B">
        <w:t>Territor</w:t>
      </w:r>
      <w:r w:rsidR="00F578DA">
        <w:t xml:space="preserve">y flexibility in </w:t>
      </w:r>
      <w:r w:rsidR="00B81F5B" w:rsidRPr="00B81F5B">
        <w:t>implement</w:t>
      </w:r>
      <w:r w:rsidR="00F578DA">
        <w:t>ing</w:t>
      </w:r>
      <w:r w:rsidR="00B81F5B" w:rsidRPr="00B81F5B">
        <w:t xml:space="preserve"> universal access</w:t>
      </w:r>
      <w:r w:rsidR="00F578DA">
        <w:t xml:space="preserve"> to be</w:t>
      </w:r>
      <w:r w:rsidR="00B81F5B" w:rsidRPr="00B81F5B">
        <w:t xml:space="preserve"> imperative, and notes that this is consistent with jurisdictions leveraging alternative sources of funding. </w:t>
      </w:r>
      <w:r w:rsidR="00F578DA">
        <w:t>(</w:t>
      </w:r>
      <w:r w:rsidR="00B81F5B" w:rsidRPr="00B81F5B">
        <w:t>These issues are discussed further in the context of efficiency, below.</w:t>
      </w:r>
      <w:r w:rsidR="00F578DA">
        <w:t>)</w:t>
      </w:r>
      <w:r w:rsidR="00B81F5B" w:rsidRPr="00B81F5B">
        <w:t xml:space="preserve"> The Review </w:t>
      </w:r>
      <w:r w:rsidR="00F578DA">
        <w:t xml:space="preserve">also </w:t>
      </w:r>
      <w:r w:rsidR="00B81F5B" w:rsidRPr="00B81F5B">
        <w:t>accepts the need to better understand and address</w:t>
      </w:r>
      <w:r w:rsidR="00F578DA">
        <w:t xml:space="preserve"> apparent unevenness in State and Territory contributions and what this may indicate in terms of</w:t>
      </w:r>
      <w:r w:rsidR="00B81F5B" w:rsidRPr="00B81F5B">
        <w:t xml:space="preserve"> potential underinvestment</w:t>
      </w:r>
      <w:r w:rsidR="00F578DA">
        <w:t xml:space="preserve"> by some and/or inefficient expenditure by others</w:t>
      </w:r>
      <w:r w:rsidR="00B81F5B" w:rsidRPr="00B81F5B">
        <w:t xml:space="preserve">. Opportunities to do so are canvassed in Chapter 6. </w:t>
      </w:r>
    </w:p>
    <w:p w14:paraId="6698518B" w14:textId="62D42BDC" w:rsidR="004E7DC0" w:rsidRPr="00EF0FEA" w:rsidRDefault="00084F2E" w:rsidP="00084F2E">
      <w:pPr>
        <w:pStyle w:val="Callout"/>
        <w:rPr>
          <w:sz w:val="18"/>
          <w:szCs w:val="18"/>
        </w:rPr>
      </w:pPr>
      <w:r w:rsidRPr="00EF0FEA">
        <w:rPr>
          <w:sz w:val="18"/>
          <w:szCs w:val="18"/>
        </w:rPr>
        <w:t>“</w:t>
      </w:r>
      <w:r w:rsidR="00C336E8" w:rsidRPr="00EF0FEA">
        <w:rPr>
          <w:sz w:val="18"/>
          <w:szCs w:val="18"/>
        </w:rPr>
        <w:t xml:space="preserve">There are several reasons for the variation in achieving the UANP objectives, including the historical development and current composition of the early childhood education and care sector in each </w:t>
      </w:r>
      <w:r w:rsidR="001975C0">
        <w:rPr>
          <w:sz w:val="18"/>
          <w:szCs w:val="18"/>
        </w:rPr>
        <w:t>S</w:t>
      </w:r>
      <w:r w:rsidR="00C336E8" w:rsidRPr="00EF0FEA">
        <w:rPr>
          <w:sz w:val="18"/>
          <w:szCs w:val="18"/>
        </w:rPr>
        <w:t xml:space="preserve">tate and </w:t>
      </w:r>
      <w:r w:rsidR="001975C0">
        <w:rPr>
          <w:sz w:val="18"/>
          <w:szCs w:val="18"/>
        </w:rPr>
        <w:t>T</w:t>
      </w:r>
      <w:r w:rsidR="00C336E8" w:rsidRPr="00EF0FEA">
        <w:rPr>
          <w:sz w:val="18"/>
          <w:szCs w:val="18"/>
        </w:rPr>
        <w:t xml:space="preserve">erritory. Financial investment in preschool is also a critical factor. </w:t>
      </w:r>
      <w:r w:rsidRPr="00EF0FEA">
        <w:rPr>
          <w:sz w:val="18"/>
          <w:szCs w:val="18"/>
        </w:rPr>
        <w:t xml:space="preserve">State and territory expenditure on preschool services responds to </w:t>
      </w:r>
      <w:r w:rsidRPr="00EF0FEA">
        <w:rPr>
          <w:sz w:val="18"/>
          <w:szCs w:val="18"/>
        </w:rPr>
        <w:lastRenderedPageBreak/>
        <w:t>the unique circumstances in each jurisdiction, but it also shapes outcomes for children. Expenditure on preschool services (per child enrolled) varies widely.” (</w:t>
      </w:r>
      <w:bookmarkStart w:id="205" w:name="_Hlk30664660"/>
      <w:r w:rsidRPr="00EF0FEA">
        <w:rPr>
          <w:sz w:val="18"/>
          <w:szCs w:val="18"/>
        </w:rPr>
        <w:t xml:space="preserve">Early Childhood Australia </w:t>
      </w:r>
      <w:bookmarkEnd w:id="205"/>
      <w:r w:rsidR="00E3105A" w:rsidRPr="00EF0FEA">
        <w:rPr>
          <w:sz w:val="18"/>
          <w:szCs w:val="18"/>
        </w:rPr>
        <w:t>s</w:t>
      </w:r>
      <w:r w:rsidRPr="00EF0FEA">
        <w:rPr>
          <w:sz w:val="18"/>
          <w:szCs w:val="18"/>
        </w:rPr>
        <w:t>ubmission)</w:t>
      </w:r>
    </w:p>
    <w:p w14:paraId="7C7D363B" w14:textId="77777777" w:rsidR="001D1C64" w:rsidRDefault="008C56E4" w:rsidP="00F85AB6">
      <w:pPr>
        <w:pStyle w:val="Heading4"/>
      </w:pPr>
      <w:r>
        <w:t xml:space="preserve">States and Territories have flexibility to </w:t>
      </w:r>
      <w:r w:rsidR="00E3105A">
        <w:t>align</w:t>
      </w:r>
      <w:r w:rsidR="001D1C64">
        <w:t xml:space="preserve"> services t</w:t>
      </w:r>
      <w:r w:rsidR="00E3105A">
        <w:t>o</w:t>
      </w:r>
      <w:r w:rsidR="001D1C64">
        <w:t xml:space="preserve"> community needs</w:t>
      </w:r>
      <w:r w:rsidR="00A37536">
        <w:t xml:space="preserve">, </w:t>
      </w:r>
      <w:r w:rsidR="005D269F">
        <w:t>but uncertainty dampens investment and curbs innovation</w:t>
      </w:r>
    </w:p>
    <w:p w14:paraId="6A96757C" w14:textId="77777777" w:rsidR="00244C88" w:rsidRDefault="003566A5" w:rsidP="00244C88">
      <w:pPr>
        <w:rPr>
          <w:rFonts w:asciiTheme="minorHAnsi" w:hAnsiTheme="minorHAnsi"/>
        </w:rPr>
      </w:pPr>
      <w:r w:rsidRPr="0C5679B2">
        <w:rPr>
          <w:rFonts w:asciiTheme="minorHAnsi" w:hAnsiTheme="minorHAnsi"/>
        </w:rPr>
        <w:t xml:space="preserve">Under the UANP, States and Territories decide how funding should be deployed. </w:t>
      </w:r>
      <w:r w:rsidR="00244C88" w:rsidRPr="0C5679B2">
        <w:rPr>
          <w:rFonts w:asciiTheme="minorHAnsi" w:hAnsiTheme="minorHAnsi"/>
        </w:rPr>
        <w:t xml:space="preserve">Each State and Territory has responsibility for the development of </w:t>
      </w:r>
      <w:r w:rsidRPr="0C5679B2">
        <w:rPr>
          <w:rFonts w:asciiTheme="minorHAnsi" w:hAnsiTheme="minorHAnsi"/>
        </w:rPr>
        <w:t>an</w:t>
      </w:r>
      <w:r w:rsidR="00244C88" w:rsidRPr="0C5679B2">
        <w:rPr>
          <w:rFonts w:asciiTheme="minorHAnsi" w:hAnsiTheme="minorHAnsi"/>
        </w:rPr>
        <w:t xml:space="preserve"> Implementation Plan which sets out a strategy for delivering on the specified outcomes within their respective jurisdiction. </w:t>
      </w:r>
      <w:r w:rsidRPr="0C5679B2">
        <w:rPr>
          <w:rFonts w:asciiTheme="minorHAnsi" w:hAnsiTheme="minorHAnsi"/>
        </w:rPr>
        <w:t xml:space="preserve">The Review finds that </w:t>
      </w:r>
      <w:r>
        <w:t xml:space="preserve">the flexibility afforded to States and Territories under the UANP has enabled funding to be responsive to community need. </w:t>
      </w:r>
    </w:p>
    <w:p w14:paraId="29260039" w14:textId="77777777" w:rsidR="00544776" w:rsidRDefault="0042066B" w:rsidP="00D47BBD">
      <w:r w:rsidRPr="00D47BBD">
        <w:t>The Review finds</w:t>
      </w:r>
      <w:r w:rsidR="00B20929">
        <w:t>, however,</w:t>
      </w:r>
      <w:r w:rsidRPr="00D47BBD">
        <w:t xml:space="preserve"> that a constraint on continuous improvement of services has been the lack of funding certainty </w:t>
      </w:r>
      <w:r w:rsidR="004548D8">
        <w:t>associated with</w:t>
      </w:r>
      <w:r w:rsidRPr="00D47BBD">
        <w:t xml:space="preserve"> performance</w:t>
      </w:r>
      <w:r w:rsidR="00FD5FB8">
        <w:t xml:space="preserve"> </w:t>
      </w:r>
      <w:r w:rsidR="008C609D">
        <w:t>payments</w:t>
      </w:r>
      <w:r w:rsidR="006D7781">
        <w:t xml:space="preserve">, the reliance on short term agreements (discussed </w:t>
      </w:r>
      <w:r w:rsidR="009A67E7">
        <w:t>in Chapter 5.3</w:t>
      </w:r>
      <w:r w:rsidR="000C76AF">
        <w:t xml:space="preserve"> </w:t>
      </w:r>
      <w:r w:rsidR="00E43440">
        <w:t>below</w:t>
      </w:r>
      <w:r w:rsidR="006D7781">
        <w:t>),</w:t>
      </w:r>
      <w:r w:rsidR="00B20929">
        <w:t xml:space="preserve"> </w:t>
      </w:r>
      <w:r w:rsidR="00544776">
        <w:t>and, in some instances, the timing of payments (</w:t>
      </w:r>
      <w:r w:rsidR="00544776" w:rsidRPr="00D47BBD">
        <w:t>which can be made several months after the service delivery period)</w:t>
      </w:r>
      <w:r w:rsidRPr="00D47BBD">
        <w:t xml:space="preserve">. </w:t>
      </w:r>
    </w:p>
    <w:p w14:paraId="31E34CF2" w14:textId="1F5E3AE0" w:rsidR="00B20929" w:rsidRDefault="00544776" w:rsidP="00544776">
      <w:pPr>
        <w:pStyle w:val="Bullet"/>
      </w:pPr>
      <w:r>
        <w:t xml:space="preserve">Australian Government funding under the UANP is contingent on States and Territories meeting certain </w:t>
      </w:r>
      <w:r w:rsidR="009D1AE7">
        <w:t>obligations.</w:t>
      </w:r>
      <w:r w:rsidR="0042066B" w:rsidRPr="00D47BBD">
        <w:t xml:space="preserve"> </w:t>
      </w:r>
      <w:r w:rsidR="00244C88" w:rsidRPr="00D47BBD">
        <w:t xml:space="preserve">Currently, </w:t>
      </w:r>
      <w:r w:rsidR="00BB375C" w:rsidRPr="00D47BBD">
        <w:t xml:space="preserve">30 per cent of the funding available to each State and Territory </w:t>
      </w:r>
      <w:r w:rsidR="008D4875" w:rsidRPr="00D47BBD">
        <w:t xml:space="preserve">under the UANP </w:t>
      </w:r>
      <w:r w:rsidR="00BB375C" w:rsidRPr="00D47BBD">
        <w:t xml:space="preserve">is paid when the Australian Government agrees to the Implementation Plan. The remaining 70 per cent is </w:t>
      </w:r>
      <w:r w:rsidR="00891735" w:rsidRPr="00D47BBD">
        <w:t>contingent on the achievement of</w:t>
      </w:r>
      <w:r w:rsidR="00BB375C" w:rsidRPr="00D47BBD">
        <w:t xml:space="preserve"> performance</w:t>
      </w:r>
      <w:r w:rsidR="00891735" w:rsidRPr="00D47BBD">
        <w:t xml:space="preserve"> targets</w:t>
      </w:r>
      <w:r w:rsidR="007102A7" w:rsidRPr="00D47BBD">
        <w:t xml:space="preserve"> (see </w:t>
      </w:r>
      <w:r w:rsidR="00844A0D">
        <w:fldChar w:fldCharType="begin"/>
      </w:r>
      <w:r w:rsidR="00844A0D">
        <w:instrText xml:space="preserve"> REF _Ref24534961 \h </w:instrText>
      </w:r>
      <w:r w:rsidR="00844A0D">
        <w:fldChar w:fldCharType="separate"/>
      </w:r>
      <w:r w:rsidR="00B37785">
        <w:t xml:space="preserve">Table </w:t>
      </w:r>
      <w:r w:rsidR="00B37785">
        <w:rPr>
          <w:noProof/>
        </w:rPr>
        <w:t>6</w:t>
      </w:r>
      <w:r w:rsidR="00844A0D">
        <w:fldChar w:fldCharType="end"/>
      </w:r>
      <w:r w:rsidR="00844A0D">
        <w:t xml:space="preserve"> </w:t>
      </w:r>
      <w:r w:rsidR="003E4BAE" w:rsidRPr="00D47BBD">
        <w:t>)</w:t>
      </w:r>
      <w:r w:rsidR="003E4BAE">
        <w:t xml:space="preserve">. These are payments in arrears based on jurisdictions’ achievement of performance targets. </w:t>
      </w:r>
    </w:p>
    <w:p w14:paraId="780BA944" w14:textId="77777777" w:rsidR="00544776" w:rsidRPr="009D1AE7" w:rsidRDefault="00544776" w:rsidP="00544776">
      <w:pPr>
        <w:pStyle w:val="Bullet"/>
      </w:pPr>
      <w:r w:rsidRPr="0C5679B2">
        <w:rPr>
          <w:rFonts w:asciiTheme="minorHAnsi" w:hAnsiTheme="minorHAnsi" w:cstheme="minorBidi"/>
        </w:rPr>
        <w:t xml:space="preserve">Performance funding is evenly split between six </w:t>
      </w:r>
      <w:r>
        <w:rPr>
          <w:rFonts w:asciiTheme="minorHAnsi" w:hAnsiTheme="minorHAnsi" w:cstheme="minorBidi"/>
        </w:rPr>
        <w:t>p</w:t>
      </w:r>
      <w:r w:rsidRPr="0C5679B2">
        <w:rPr>
          <w:rFonts w:asciiTheme="minorHAnsi" w:hAnsiTheme="minorHAnsi" w:cstheme="minorBidi"/>
        </w:rPr>
        <w:t xml:space="preserve">erformance </w:t>
      </w:r>
      <w:r>
        <w:rPr>
          <w:rFonts w:asciiTheme="minorHAnsi" w:hAnsiTheme="minorHAnsi" w:cstheme="minorBidi"/>
        </w:rPr>
        <w:t>i</w:t>
      </w:r>
      <w:r w:rsidRPr="0C5679B2">
        <w:rPr>
          <w:rFonts w:asciiTheme="minorHAnsi" w:hAnsiTheme="minorHAnsi" w:cstheme="minorBidi"/>
        </w:rPr>
        <w:t xml:space="preserve">ndicators related to ‘Access to Quality Program’ (PI2) and ‘Access to a Quality 600-hour Program’ (PI3). </w:t>
      </w:r>
      <w:r>
        <w:rPr>
          <w:rFonts w:asciiTheme="minorHAnsi" w:hAnsiTheme="minorHAnsi" w:cstheme="minorBidi"/>
        </w:rPr>
        <w:t>(</w:t>
      </w:r>
      <w:r w:rsidRPr="0C5679B2">
        <w:rPr>
          <w:rFonts w:asciiTheme="minorHAnsi" w:hAnsiTheme="minorHAnsi" w:cstheme="minorBidi"/>
        </w:rPr>
        <w:t>‘Teacher qualifications’ (PI1) and ‘Attendance’ (PI4) are not linked to performance</w:t>
      </w:r>
      <w:r>
        <w:t xml:space="preserve"> payments.)</w:t>
      </w:r>
      <w:r w:rsidRPr="0C5679B2">
        <w:rPr>
          <w:rFonts w:asciiTheme="minorHAnsi" w:hAnsiTheme="minorHAnsi" w:cstheme="minorBidi"/>
        </w:rPr>
        <w:t xml:space="preserve"> </w:t>
      </w:r>
    </w:p>
    <w:p w14:paraId="72698F3C" w14:textId="16EDF3E9" w:rsidR="008D4875" w:rsidRPr="00D47BBD" w:rsidRDefault="006F07D4" w:rsidP="00D47BBD">
      <w:r w:rsidRPr="00D47BBD">
        <w:t>The UANP adopts a tiered performance payment structure</w:t>
      </w:r>
      <w:r w:rsidR="00F80290" w:rsidRPr="00D47BBD">
        <w:t xml:space="preserve"> </w:t>
      </w:r>
      <w:r w:rsidR="00844A0D" w:rsidRPr="00D47BBD">
        <w:t xml:space="preserve">(see </w:t>
      </w:r>
      <w:r w:rsidR="00844A0D" w:rsidRPr="00D47BBD">
        <w:fldChar w:fldCharType="begin"/>
      </w:r>
      <w:r w:rsidR="00844A0D" w:rsidRPr="00D47BBD">
        <w:instrText xml:space="preserve"> REF _Ref24069752 \h  \* MERGEFORMAT </w:instrText>
      </w:r>
      <w:r w:rsidR="00844A0D" w:rsidRPr="00D47BBD">
        <w:fldChar w:fldCharType="separate"/>
      </w:r>
      <w:r w:rsidR="00B37785">
        <w:t>Table 7</w:t>
      </w:r>
      <w:r w:rsidR="00844A0D" w:rsidRPr="00D47BBD">
        <w:fldChar w:fldCharType="end"/>
      </w:r>
      <w:r w:rsidR="00844A0D" w:rsidRPr="00D47BBD">
        <w:t>)</w:t>
      </w:r>
      <w:r w:rsidR="00941D01">
        <w:t>,</w:t>
      </w:r>
      <w:r w:rsidR="00F80290" w:rsidRPr="00D47BBD">
        <w:t xml:space="preserve"> </w:t>
      </w:r>
      <w:r w:rsidR="008C609D">
        <w:t xml:space="preserve">which reduces the </w:t>
      </w:r>
      <w:r w:rsidR="00474A8B">
        <w:t xml:space="preserve">impact of uncertainty by limiting the amount of funding that is forfeited when performance falls below the target. </w:t>
      </w:r>
      <w:r w:rsidR="00544776">
        <w:t>There is</w:t>
      </w:r>
      <w:r w:rsidR="00F80290" w:rsidRPr="00D47BBD">
        <w:t xml:space="preserve"> a minimum requirement for </w:t>
      </w:r>
      <w:r w:rsidR="00844A0D">
        <w:t>jurisdictions</w:t>
      </w:r>
      <w:r w:rsidR="00F80290" w:rsidRPr="00D47BBD">
        <w:t xml:space="preserve"> to maintain performance (allowing for a decline of 3 percentage points to account for data volatility) to receiv</w:t>
      </w:r>
      <w:r w:rsidR="00844A0D">
        <w:t>e funding</w:t>
      </w:r>
      <w:r w:rsidR="00CA2381" w:rsidRPr="00D47BBD">
        <w:t xml:space="preserve">. </w:t>
      </w:r>
      <w:r w:rsidR="00844A0D">
        <w:t>To receive</w:t>
      </w:r>
      <w:r w:rsidR="00E22B58" w:rsidRPr="00D47BBD">
        <w:t xml:space="preserve"> the </w:t>
      </w:r>
      <w:r w:rsidR="00844A0D">
        <w:t>full amount of</w:t>
      </w:r>
      <w:r w:rsidR="00E22B58" w:rsidRPr="00D47BBD">
        <w:t xml:space="preserve"> performance funding</w:t>
      </w:r>
      <w:r w:rsidR="00844A0D">
        <w:t>,</w:t>
      </w:r>
      <w:r w:rsidR="00E22B58" w:rsidRPr="00D47BBD">
        <w:t xml:space="preserve"> States and Territories </w:t>
      </w:r>
      <w:r w:rsidR="00844A0D">
        <w:t>must</w:t>
      </w:r>
      <w:r w:rsidR="00E22B58" w:rsidRPr="00D47BBD">
        <w:t xml:space="preserve"> meet the Tier 1 performance benchmark for each </w:t>
      </w:r>
      <w:r w:rsidR="00FC42C6">
        <w:t>p</w:t>
      </w:r>
      <w:r w:rsidR="00E22B58" w:rsidRPr="00D47BBD">
        <w:t xml:space="preserve">erformance </w:t>
      </w:r>
      <w:r w:rsidR="00FC42C6">
        <w:t>i</w:t>
      </w:r>
      <w:r w:rsidR="00E22B58" w:rsidRPr="00D47BBD">
        <w:t xml:space="preserve">ndicator (95 per cent). </w:t>
      </w:r>
    </w:p>
    <w:p w14:paraId="56A8E29D" w14:textId="27AFA47F" w:rsidR="000559D2" w:rsidRDefault="00782CD7" w:rsidP="00782CD7">
      <w:pPr>
        <w:pStyle w:val="Caption"/>
      </w:pPr>
      <w:bookmarkStart w:id="206" w:name="_Ref24534961"/>
      <w:r>
        <w:t xml:space="preserve">Table </w:t>
      </w:r>
      <w:r>
        <w:fldChar w:fldCharType="begin"/>
      </w:r>
      <w:r>
        <w:instrText xml:space="preserve"> SEQ Table \* ARABIC </w:instrText>
      </w:r>
      <w:r>
        <w:fldChar w:fldCharType="separate"/>
      </w:r>
      <w:r w:rsidR="00B37785">
        <w:rPr>
          <w:noProof/>
        </w:rPr>
        <w:t>6</w:t>
      </w:r>
      <w:r>
        <w:fldChar w:fldCharType="end"/>
      </w:r>
      <w:bookmarkEnd w:id="206"/>
      <w:r w:rsidRPr="00753FC4">
        <w:rPr>
          <w:lang w:eastAsia="en-AU"/>
        </w:rPr>
        <w:t xml:space="preserve"> </w:t>
      </w:r>
      <w:r>
        <w:t xml:space="preserve">| </w:t>
      </w:r>
      <w:r>
        <w:rPr>
          <w:lang w:eastAsia="en-AU"/>
        </w:rPr>
        <w:t xml:space="preserve">Performance </w:t>
      </w:r>
      <w:r w:rsidR="00FC42C6">
        <w:rPr>
          <w:lang w:eastAsia="en-AU"/>
        </w:rPr>
        <w:t>i</w:t>
      </w:r>
      <w:r>
        <w:rPr>
          <w:lang w:eastAsia="en-AU"/>
        </w:rPr>
        <w:t>ndicators linked to payments</w:t>
      </w:r>
    </w:p>
    <w:tbl>
      <w:tblPr>
        <w:tblStyle w:val="TableGrid"/>
        <w:tblW w:w="8931" w:type="dxa"/>
        <w:tblLook w:val="04A0" w:firstRow="1" w:lastRow="0" w:firstColumn="1" w:lastColumn="0" w:noHBand="0" w:noVBand="1"/>
      </w:tblPr>
      <w:tblGrid>
        <w:gridCol w:w="769"/>
        <w:gridCol w:w="8162"/>
      </w:tblGrid>
      <w:tr w:rsidR="00F57418" w14:paraId="1BCC3390" w14:textId="77777777" w:rsidTr="007E3A5E">
        <w:trPr>
          <w:cnfStyle w:val="100000000000" w:firstRow="1" w:lastRow="0" w:firstColumn="0" w:lastColumn="0" w:oddVBand="0" w:evenVBand="0" w:oddHBand="0" w:evenHBand="0" w:firstRowFirstColumn="0" w:firstRowLastColumn="0" w:lastRowFirstColumn="0" w:lastRowLastColumn="0"/>
          <w:cantSplit w:val="0"/>
          <w:tblHeader w:val="0"/>
        </w:trPr>
        <w:tc>
          <w:tcPr>
            <w:tcW w:w="7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A7794" w14:textId="77777777" w:rsidR="00F57418" w:rsidRPr="00A57CE2" w:rsidRDefault="00F57418" w:rsidP="00D53469">
            <w:pPr>
              <w:rPr>
                <w:rFonts w:asciiTheme="majorHAnsi" w:hAnsiTheme="majorHAnsi" w:cstheme="majorBidi"/>
                <w:sz w:val="17"/>
                <w:szCs w:val="17"/>
                <w:lang w:eastAsia="en-AU"/>
              </w:rPr>
            </w:pPr>
            <w:r w:rsidRPr="0C5679B2">
              <w:rPr>
                <w:rFonts w:asciiTheme="majorHAnsi" w:hAnsiTheme="majorHAnsi" w:cstheme="majorBidi"/>
                <w:sz w:val="17"/>
                <w:szCs w:val="17"/>
                <w:lang w:eastAsia="en-AU"/>
              </w:rPr>
              <w:t>2</w:t>
            </w:r>
          </w:p>
        </w:tc>
        <w:tc>
          <w:tcPr>
            <w:tcW w:w="81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9A3ABD" w14:textId="77777777" w:rsidR="00F57418" w:rsidRPr="00A57CE2" w:rsidRDefault="00F57418" w:rsidP="00D53469">
            <w:pPr>
              <w:rPr>
                <w:rFonts w:asciiTheme="majorHAnsi" w:hAnsiTheme="majorHAnsi" w:cstheme="majorBidi"/>
                <w:sz w:val="17"/>
                <w:szCs w:val="17"/>
                <w:lang w:eastAsia="en-AU"/>
              </w:rPr>
            </w:pPr>
            <w:r w:rsidRPr="0C5679B2">
              <w:rPr>
                <w:rFonts w:asciiTheme="majorHAnsi" w:hAnsiTheme="majorHAnsi" w:cstheme="majorBidi"/>
                <w:sz w:val="17"/>
                <w:szCs w:val="17"/>
                <w:lang w:eastAsia="en-AU"/>
              </w:rPr>
              <w:t>Access to Quality Program</w:t>
            </w:r>
          </w:p>
        </w:tc>
      </w:tr>
      <w:tr w:rsidR="00F57418" w14:paraId="13F8B680" w14:textId="77777777" w:rsidTr="007E3A5E">
        <w:trPr>
          <w:cnfStyle w:val="000000100000" w:firstRow="0" w:lastRow="0" w:firstColumn="0" w:lastColumn="0" w:oddVBand="0" w:evenVBand="0" w:oddHBand="1" w:evenHBand="0" w:firstRowFirstColumn="0" w:firstRowLastColumn="0" w:lastRowFirstColumn="0" w:lastRowLastColumn="0"/>
        </w:trPr>
        <w:tc>
          <w:tcPr>
            <w:tcW w:w="769" w:type="dxa"/>
            <w:shd w:val="clear" w:color="auto" w:fill="auto"/>
          </w:tcPr>
          <w:p w14:paraId="03E2D90F"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2.1</w:t>
            </w:r>
          </w:p>
        </w:tc>
        <w:tc>
          <w:tcPr>
            <w:tcW w:w="8162" w:type="dxa"/>
            <w:shd w:val="clear" w:color="auto" w:fill="auto"/>
          </w:tcPr>
          <w:p w14:paraId="30ADBB57"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Proportion of </w:t>
            </w:r>
            <w:r w:rsidRPr="007E3A5E">
              <w:rPr>
                <w:rFonts w:asciiTheme="majorHAnsi" w:hAnsiTheme="majorHAnsi" w:cstheme="majorBidi"/>
                <w:sz w:val="17"/>
                <w:szCs w:val="17"/>
                <w:lang w:eastAsia="en-AU"/>
              </w:rPr>
              <w:t>children</w:t>
            </w:r>
            <w:r w:rsidRPr="007E3A5E">
              <w:rPr>
                <w:rFonts w:asciiTheme="minorHAnsi" w:hAnsiTheme="minorHAnsi"/>
                <w:sz w:val="17"/>
                <w:szCs w:val="17"/>
                <w:lang w:eastAsia="en-AU"/>
              </w:rPr>
              <w:t xml:space="preserve"> enrolled in quality ECE program(s) in the YBFS</w:t>
            </w:r>
          </w:p>
        </w:tc>
      </w:tr>
      <w:tr w:rsidR="00F57418" w14:paraId="1C378C33" w14:textId="77777777" w:rsidTr="007E3A5E">
        <w:trPr>
          <w:cnfStyle w:val="000000010000" w:firstRow="0" w:lastRow="0" w:firstColumn="0" w:lastColumn="0" w:oddVBand="0" w:evenVBand="0" w:oddHBand="0" w:evenHBand="1" w:firstRowFirstColumn="0" w:firstRowLastColumn="0" w:lastRowFirstColumn="0" w:lastRowLastColumn="0"/>
        </w:trPr>
        <w:tc>
          <w:tcPr>
            <w:tcW w:w="769" w:type="dxa"/>
            <w:shd w:val="clear" w:color="auto" w:fill="auto"/>
          </w:tcPr>
          <w:p w14:paraId="477E0153"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2.2</w:t>
            </w:r>
          </w:p>
        </w:tc>
        <w:tc>
          <w:tcPr>
            <w:tcW w:w="8162" w:type="dxa"/>
            <w:shd w:val="clear" w:color="auto" w:fill="auto"/>
          </w:tcPr>
          <w:p w14:paraId="4805A92A"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Proportion of </w:t>
            </w:r>
            <w:r w:rsidRPr="007E3A5E">
              <w:rPr>
                <w:rFonts w:asciiTheme="majorHAnsi" w:hAnsiTheme="majorHAnsi" w:cstheme="majorBidi"/>
                <w:sz w:val="17"/>
                <w:szCs w:val="17"/>
                <w:lang w:eastAsia="en-AU"/>
              </w:rPr>
              <w:t>Indigenous children</w:t>
            </w:r>
            <w:r w:rsidRPr="007E3A5E">
              <w:rPr>
                <w:rFonts w:asciiTheme="minorHAnsi" w:hAnsiTheme="minorHAnsi"/>
                <w:sz w:val="17"/>
                <w:szCs w:val="17"/>
                <w:lang w:eastAsia="en-AU"/>
              </w:rPr>
              <w:t xml:space="preserve"> enrolled in quality ECE program(s) in the YBFS</w:t>
            </w:r>
          </w:p>
        </w:tc>
      </w:tr>
      <w:tr w:rsidR="00F57418" w14:paraId="221A3BC5" w14:textId="77777777" w:rsidTr="007E3A5E">
        <w:trPr>
          <w:cnfStyle w:val="000000100000" w:firstRow="0" w:lastRow="0" w:firstColumn="0" w:lastColumn="0" w:oddVBand="0" w:evenVBand="0" w:oddHBand="1" w:evenHBand="0" w:firstRowFirstColumn="0" w:firstRowLastColumn="0" w:lastRowFirstColumn="0" w:lastRowLastColumn="0"/>
        </w:trPr>
        <w:tc>
          <w:tcPr>
            <w:tcW w:w="769" w:type="dxa"/>
            <w:shd w:val="clear" w:color="auto" w:fill="auto"/>
          </w:tcPr>
          <w:p w14:paraId="1A0A2F23"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2.3</w:t>
            </w:r>
          </w:p>
        </w:tc>
        <w:tc>
          <w:tcPr>
            <w:tcW w:w="8162" w:type="dxa"/>
            <w:shd w:val="clear" w:color="auto" w:fill="auto"/>
          </w:tcPr>
          <w:p w14:paraId="13BF0472"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Proportion of </w:t>
            </w:r>
            <w:r w:rsidRPr="007E3A5E">
              <w:rPr>
                <w:rFonts w:asciiTheme="majorHAnsi" w:hAnsiTheme="majorHAnsi" w:cstheme="majorBidi"/>
                <w:sz w:val="17"/>
                <w:szCs w:val="17"/>
                <w:lang w:eastAsia="en-AU"/>
              </w:rPr>
              <w:t>vulnerable and disadvantaged children</w:t>
            </w:r>
            <w:r w:rsidRPr="007E3A5E">
              <w:rPr>
                <w:rFonts w:asciiTheme="minorHAnsi" w:hAnsiTheme="minorHAnsi"/>
                <w:sz w:val="17"/>
                <w:szCs w:val="17"/>
                <w:lang w:eastAsia="en-AU"/>
              </w:rPr>
              <w:t xml:space="preserve"> enrolled in quality ECE program(s) in the YBFS</w:t>
            </w:r>
          </w:p>
        </w:tc>
      </w:tr>
      <w:tr w:rsidR="00F57418" w14:paraId="2EB5D903" w14:textId="77777777" w:rsidTr="007E3A5E">
        <w:trPr>
          <w:cnfStyle w:val="000000010000" w:firstRow="0" w:lastRow="0" w:firstColumn="0" w:lastColumn="0" w:oddVBand="0" w:evenVBand="0" w:oddHBand="0" w:evenHBand="1" w:firstRowFirstColumn="0" w:firstRowLastColumn="0" w:lastRowFirstColumn="0" w:lastRowLastColumn="0"/>
        </w:trPr>
        <w:tc>
          <w:tcPr>
            <w:tcW w:w="769" w:type="dxa"/>
            <w:shd w:val="clear" w:color="auto" w:fill="E6E6E1" w:themeFill="accent5"/>
          </w:tcPr>
          <w:p w14:paraId="6373AA70" w14:textId="77777777" w:rsidR="00F57418" w:rsidRPr="00A57CE2" w:rsidRDefault="00F57418" w:rsidP="00D53469">
            <w:pPr>
              <w:rPr>
                <w:rFonts w:asciiTheme="majorHAnsi" w:hAnsiTheme="majorHAnsi" w:cstheme="majorBidi"/>
                <w:color w:val="00264D" w:themeColor="background2"/>
                <w:sz w:val="17"/>
                <w:szCs w:val="17"/>
                <w:lang w:eastAsia="en-AU"/>
              </w:rPr>
            </w:pPr>
            <w:r w:rsidRPr="0C5679B2">
              <w:rPr>
                <w:rFonts w:asciiTheme="majorHAnsi" w:hAnsiTheme="majorHAnsi" w:cstheme="majorBidi"/>
                <w:color w:val="00264D" w:themeColor="background2"/>
                <w:sz w:val="17"/>
                <w:szCs w:val="17"/>
                <w:lang w:eastAsia="en-AU"/>
              </w:rPr>
              <w:t>3</w:t>
            </w:r>
          </w:p>
        </w:tc>
        <w:tc>
          <w:tcPr>
            <w:tcW w:w="8162" w:type="dxa"/>
            <w:shd w:val="clear" w:color="auto" w:fill="E6E6E1" w:themeFill="accent5"/>
          </w:tcPr>
          <w:p w14:paraId="675E7B87" w14:textId="77777777" w:rsidR="00F57418" w:rsidRPr="00A57CE2" w:rsidRDefault="00F57418" w:rsidP="00D53469">
            <w:pPr>
              <w:rPr>
                <w:rFonts w:asciiTheme="majorHAnsi" w:hAnsiTheme="majorHAnsi" w:cstheme="majorBidi"/>
                <w:color w:val="00264D" w:themeColor="background2"/>
                <w:sz w:val="17"/>
                <w:szCs w:val="17"/>
                <w:lang w:eastAsia="en-AU"/>
              </w:rPr>
            </w:pPr>
            <w:r w:rsidRPr="0C5679B2">
              <w:rPr>
                <w:rFonts w:asciiTheme="majorHAnsi" w:hAnsiTheme="majorHAnsi" w:cstheme="majorBidi"/>
                <w:color w:val="00264D" w:themeColor="background2"/>
                <w:sz w:val="17"/>
                <w:szCs w:val="17"/>
                <w:lang w:eastAsia="en-AU"/>
              </w:rPr>
              <w:t>Access to a Quality 600-hour Program</w:t>
            </w:r>
          </w:p>
        </w:tc>
      </w:tr>
      <w:tr w:rsidR="00F57418" w14:paraId="6E18F831" w14:textId="77777777" w:rsidTr="007E3A5E">
        <w:trPr>
          <w:cnfStyle w:val="000000100000" w:firstRow="0" w:lastRow="0" w:firstColumn="0" w:lastColumn="0" w:oddVBand="0" w:evenVBand="0" w:oddHBand="1" w:evenHBand="0" w:firstRowFirstColumn="0" w:firstRowLastColumn="0" w:lastRowFirstColumn="0" w:lastRowLastColumn="0"/>
        </w:trPr>
        <w:tc>
          <w:tcPr>
            <w:tcW w:w="769" w:type="dxa"/>
          </w:tcPr>
          <w:p w14:paraId="1153224F"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3.1</w:t>
            </w:r>
          </w:p>
        </w:tc>
        <w:tc>
          <w:tcPr>
            <w:tcW w:w="8162" w:type="dxa"/>
          </w:tcPr>
          <w:p w14:paraId="3D57D87D"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The proportion of </w:t>
            </w:r>
            <w:r w:rsidRPr="007E3A5E">
              <w:rPr>
                <w:rFonts w:asciiTheme="majorHAnsi" w:hAnsiTheme="majorHAnsi" w:cstheme="majorBidi"/>
                <w:sz w:val="17"/>
                <w:szCs w:val="17"/>
                <w:lang w:eastAsia="en-AU"/>
              </w:rPr>
              <w:t>children</w:t>
            </w:r>
            <w:r w:rsidRPr="007E3A5E">
              <w:rPr>
                <w:rFonts w:asciiTheme="minorHAnsi" w:hAnsiTheme="minorHAnsi"/>
                <w:sz w:val="17"/>
                <w:szCs w:val="17"/>
                <w:lang w:eastAsia="en-AU"/>
              </w:rPr>
              <w:t xml:space="preserve"> enrolled in quality ECE program(s) for 600 hours per year, in the YBFS.</w:t>
            </w:r>
          </w:p>
        </w:tc>
      </w:tr>
      <w:tr w:rsidR="00F57418" w14:paraId="5C0354BE" w14:textId="77777777" w:rsidTr="007E3A5E">
        <w:trPr>
          <w:cnfStyle w:val="000000010000" w:firstRow="0" w:lastRow="0" w:firstColumn="0" w:lastColumn="0" w:oddVBand="0" w:evenVBand="0" w:oddHBand="0" w:evenHBand="1" w:firstRowFirstColumn="0" w:firstRowLastColumn="0" w:lastRowFirstColumn="0" w:lastRowLastColumn="0"/>
        </w:trPr>
        <w:tc>
          <w:tcPr>
            <w:tcW w:w="769" w:type="dxa"/>
          </w:tcPr>
          <w:p w14:paraId="4EF66643"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3.2</w:t>
            </w:r>
          </w:p>
        </w:tc>
        <w:tc>
          <w:tcPr>
            <w:tcW w:w="8162" w:type="dxa"/>
          </w:tcPr>
          <w:p w14:paraId="5DBDF8EC"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The proportion of </w:t>
            </w:r>
            <w:r w:rsidRPr="007E3A5E">
              <w:rPr>
                <w:rFonts w:asciiTheme="majorHAnsi" w:hAnsiTheme="majorHAnsi" w:cstheme="majorBidi"/>
                <w:sz w:val="17"/>
                <w:szCs w:val="17"/>
                <w:lang w:eastAsia="en-AU"/>
              </w:rPr>
              <w:t>Indigenous children</w:t>
            </w:r>
            <w:r w:rsidRPr="007E3A5E">
              <w:rPr>
                <w:rFonts w:asciiTheme="minorHAnsi" w:hAnsiTheme="minorHAnsi"/>
                <w:sz w:val="17"/>
                <w:szCs w:val="17"/>
                <w:lang w:eastAsia="en-AU"/>
              </w:rPr>
              <w:t xml:space="preserve"> enrolled in quality ECE program(s) for 600 hours per year, in the YBFS.</w:t>
            </w:r>
          </w:p>
        </w:tc>
      </w:tr>
      <w:tr w:rsidR="00F57418" w14:paraId="16233F77" w14:textId="77777777" w:rsidTr="007E3A5E">
        <w:trPr>
          <w:cnfStyle w:val="000000100000" w:firstRow="0" w:lastRow="0" w:firstColumn="0" w:lastColumn="0" w:oddVBand="0" w:evenVBand="0" w:oddHBand="1" w:evenHBand="0" w:firstRowFirstColumn="0" w:firstRowLastColumn="0" w:lastRowFirstColumn="0" w:lastRowLastColumn="0"/>
        </w:trPr>
        <w:tc>
          <w:tcPr>
            <w:tcW w:w="769" w:type="dxa"/>
          </w:tcPr>
          <w:p w14:paraId="06D6E328" w14:textId="77777777" w:rsidR="00F57418" w:rsidRPr="007E3A5E" w:rsidRDefault="00F57418" w:rsidP="00D53469">
            <w:pPr>
              <w:rPr>
                <w:rFonts w:asciiTheme="majorHAnsi" w:hAnsiTheme="majorHAnsi" w:cstheme="majorBidi"/>
                <w:sz w:val="17"/>
                <w:szCs w:val="17"/>
                <w:lang w:eastAsia="en-AU"/>
              </w:rPr>
            </w:pPr>
            <w:r w:rsidRPr="007E3A5E">
              <w:rPr>
                <w:rFonts w:asciiTheme="majorHAnsi" w:hAnsiTheme="majorHAnsi" w:cstheme="majorBidi"/>
                <w:sz w:val="17"/>
                <w:szCs w:val="17"/>
                <w:lang w:eastAsia="en-AU"/>
              </w:rPr>
              <w:t>3.3</w:t>
            </w:r>
          </w:p>
        </w:tc>
        <w:tc>
          <w:tcPr>
            <w:tcW w:w="8162" w:type="dxa"/>
          </w:tcPr>
          <w:p w14:paraId="7CD518BF" w14:textId="77777777" w:rsidR="00F57418" w:rsidRPr="007E3A5E" w:rsidRDefault="00F57418" w:rsidP="00D53469">
            <w:pPr>
              <w:rPr>
                <w:rFonts w:asciiTheme="minorHAnsi" w:hAnsiTheme="minorHAnsi"/>
                <w:sz w:val="17"/>
                <w:szCs w:val="17"/>
                <w:lang w:eastAsia="en-AU"/>
              </w:rPr>
            </w:pPr>
            <w:r w:rsidRPr="007E3A5E">
              <w:rPr>
                <w:rFonts w:asciiTheme="minorHAnsi" w:hAnsiTheme="minorHAnsi"/>
                <w:sz w:val="17"/>
                <w:szCs w:val="17"/>
                <w:lang w:eastAsia="en-AU"/>
              </w:rPr>
              <w:t xml:space="preserve">The proportion of </w:t>
            </w:r>
            <w:r w:rsidRPr="007E3A5E">
              <w:rPr>
                <w:rFonts w:asciiTheme="majorHAnsi" w:hAnsiTheme="majorHAnsi" w:cstheme="majorBidi"/>
                <w:sz w:val="17"/>
                <w:szCs w:val="17"/>
                <w:lang w:eastAsia="en-AU"/>
              </w:rPr>
              <w:t>vulnerable and disadvantaged children</w:t>
            </w:r>
            <w:r w:rsidRPr="007E3A5E">
              <w:rPr>
                <w:rFonts w:asciiTheme="minorHAnsi" w:hAnsiTheme="minorHAnsi"/>
                <w:sz w:val="17"/>
                <w:szCs w:val="17"/>
                <w:lang w:eastAsia="en-AU"/>
              </w:rPr>
              <w:t xml:space="preserve"> enrolled in quality ECE program(s) for 600 hours per year, in the YBFS.</w:t>
            </w:r>
          </w:p>
        </w:tc>
      </w:tr>
    </w:tbl>
    <w:p w14:paraId="6146773E" w14:textId="0E60E196" w:rsidR="00F57418" w:rsidRDefault="00F57418" w:rsidP="00F57418">
      <w:pPr>
        <w:pStyle w:val="Caption"/>
      </w:pPr>
      <w:bookmarkStart w:id="207" w:name="_Ref24069752"/>
      <w:r>
        <w:lastRenderedPageBreak/>
        <w:t xml:space="preserve">Table </w:t>
      </w:r>
      <w:r>
        <w:fldChar w:fldCharType="begin"/>
      </w:r>
      <w:r>
        <w:instrText xml:space="preserve"> SEQ Table \* ARABIC </w:instrText>
      </w:r>
      <w:r>
        <w:fldChar w:fldCharType="separate"/>
      </w:r>
      <w:r w:rsidR="00B37785">
        <w:rPr>
          <w:noProof/>
        </w:rPr>
        <w:t>7</w:t>
      </w:r>
      <w:r>
        <w:fldChar w:fldCharType="end"/>
      </w:r>
      <w:bookmarkEnd w:id="207"/>
      <w:r>
        <w:t xml:space="preserve"> </w:t>
      </w:r>
      <w:r w:rsidR="00E91D87">
        <w:t xml:space="preserve">| </w:t>
      </w:r>
      <w:r>
        <w:t>Performance requirements for funding</w:t>
      </w:r>
    </w:p>
    <w:tbl>
      <w:tblPr>
        <w:tblStyle w:val="TableGrid"/>
        <w:tblW w:w="8931" w:type="dxa"/>
        <w:tblLayout w:type="fixed"/>
        <w:tblLook w:val="04A0" w:firstRow="1" w:lastRow="0" w:firstColumn="1" w:lastColumn="0" w:noHBand="0" w:noVBand="1"/>
      </w:tblPr>
      <w:tblGrid>
        <w:gridCol w:w="1843"/>
        <w:gridCol w:w="1772"/>
        <w:gridCol w:w="1772"/>
        <w:gridCol w:w="1772"/>
        <w:gridCol w:w="1772"/>
      </w:tblGrid>
      <w:tr w:rsidR="00DC078B" w14:paraId="26099F72" w14:textId="77777777" w:rsidTr="00EB5E4A">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67597C82" w14:textId="77777777" w:rsidR="00DC078B" w:rsidRDefault="00DC078B">
            <w:pPr>
              <w:spacing w:after="0"/>
              <w:rPr>
                <w:rFonts w:ascii="Times New Roman" w:hAnsi="Times New Roman"/>
                <w:sz w:val="20"/>
              </w:rPr>
            </w:pPr>
          </w:p>
        </w:tc>
        <w:tc>
          <w:tcPr>
            <w:tcW w:w="1772" w:type="dxa"/>
            <w:tcBorders>
              <w:right w:val="single" w:sz="4" w:space="0" w:color="F8981D"/>
            </w:tcBorders>
            <w:shd w:val="clear" w:color="auto" w:fill="00264D" w:themeFill="background2"/>
            <w:noWrap/>
            <w:hideMark/>
          </w:tcPr>
          <w:p w14:paraId="447B0980" w14:textId="77777777" w:rsidR="00DC078B" w:rsidRPr="0002011A" w:rsidRDefault="00DC078B">
            <w:pPr>
              <w:jc w:val="center"/>
              <w:rPr>
                <w:rFonts w:ascii="Calibri" w:hAnsi="Calibri" w:cs="Calibri"/>
                <w:b/>
                <w:bCs/>
                <w:color w:val="FFFFFF" w:themeColor="background1"/>
                <w:sz w:val="22"/>
                <w:lang w:eastAsia="en-AU"/>
              </w:rPr>
            </w:pPr>
            <w:r w:rsidRPr="0002011A">
              <w:rPr>
                <w:b/>
                <w:bCs/>
                <w:color w:val="FFFFFF" w:themeColor="background1"/>
                <w:lang w:eastAsia="en-AU"/>
              </w:rPr>
              <w:t>% performance funding available</w:t>
            </w:r>
          </w:p>
        </w:tc>
        <w:tc>
          <w:tcPr>
            <w:tcW w:w="1772" w:type="dxa"/>
            <w:tcBorders>
              <w:right w:val="single" w:sz="4" w:space="0" w:color="F8981D"/>
            </w:tcBorders>
            <w:shd w:val="clear" w:color="auto" w:fill="00264D" w:themeFill="background2"/>
          </w:tcPr>
          <w:p w14:paraId="6F0A7226" w14:textId="34ABF8F8" w:rsidR="00DC078B" w:rsidRPr="0002011A" w:rsidRDefault="00DC078B">
            <w:pPr>
              <w:jc w:val="center"/>
              <w:rPr>
                <w:rFonts w:ascii="Calibri" w:hAnsi="Calibri" w:cs="Calibri"/>
                <w:b/>
                <w:bCs/>
                <w:color w:val="FFFFFF" w:themeColor="background1"/>
                <w:sz w:val="22"/>
                <w:lang w:eastAsia="en-AU"/>
              </w:rPr>
            </w:pPr>
          </w:p>
        </w:tc>
        <w:tc>
          <w:tcPr>
            <w:tcW w:w="1772" w:type="dxa"/>
            <w:tcBorders>
              <w:left w:val="single" w:sz="4" w:space="0" w:color="F8981D"/>
            </w:tcBorders>
            <w:shd w:val="clear" w:color="auto" w:fill="00264D" w:themeFill="background2"/>
            <w:noWrap/>
            <w:hideMark/>
          </w:tcPr>
          <w:p w14:paraId="13C54C98" w14:textId="77777777" w:rsidR="00DC078B" w:rsidRPr="0002011A" w:rsidRDefault="00DC078B">
            <w:pPr>
              <w:jc w:val="center"/>
              <w:rPr>
                <w:b/>
                <w:bCs/>
                <w:color w:val="FFFFFF" w:themeColor="background1"/>
                <w:lang w:eastAsia="en-AU"/>
              </w:rPr>
            </w:pPr>
            <w:r w:rsidRPr="0002011A">
              <w:rPr>
                <w:b/>
                <w:bCs/>
                <w:color w:val="FFFFFF" w:themeColor="background1"/>
                <w:lang w:eastAsia="en-AU"/>
              </w:rPr>
              <w:t>% calendar year funding available</w:t>
            </w:r>
          </w:p>
        </w:tc>
        <w:tc>
          <w:tcPr>
            <w:tcW w:w="1772" w:type="dxa"/>
            <w:tcBorders>
              <w:left w:val="single" w:sz="4" w:space="0" w:color="F8981D"/>
            </w:tcBorders>
            <w:shd w:val="clear" w:color="auto" w:fill="00264D" w:themeFill="background2"/>
          </w:tcPr>
          <w:p w14:paraId="7EC9FD5C" w14:textId="45060A48" w:rsidR="00DC078B" w:rsidRPr="0002011A" w:rsidRDefault="00DC078B">
            <w:pPr>
              <w:jc w:val="center"/>
              <w:rPr>
                <w:b/>
                <w:bCs/>
                <w:color w:val="FFFFFF" w:themeColor="background1"/>
                <w:lang w:eastAsia="en-AU"/>
              </w:rPr>
            </w:pPr>
          </w:p>
        </w:tc>
      </w:tr>
      <w:tr w:rsidR="0002011A" w14:paraId="7745D318" w14:textId="77777777" w:rsidTr="0C5679B2">
        <w:trPr>
          <w:cnfStyle w:val="000000100000" w:firstRow="0" w:lastRow="0" w:firstColumn="0" w:lastColumn="0" w:oddVBand="0" w:evenVBand="0" w:oddHBand="1" w:evenHBand="0" w:firstRowFirstColumn="0" w:firstRowLastColumn="0" w:lastRowFirstColumn="0" w:lastRowLastColumn="0"/>
          <w:trHeight w:val="900"/>
        </w:trPr>
        <w:tc>
          <w:tcPr>
            <w:tcW w:w="1843" w:type="dxa"/>
            <w:tcBorders>
              <w:bottom w:val="single" w:sz="4" w:space="0" w:color="F8981D" w:themeColor="accent3"/>
              <w:right w:val="single" w:sz="4" w:space="0" w:color="F8981D" w:themeColor="accent3"/>
            </w:tcBorders>
            <w:shd w:val="clear" w:color="auto" w:fill="E6E6E1" w:themeFill="accent5"/>
            <w:noWrap/>
            <w:hideMark/>
          </w:tcPr>
          <w:p w14:paraId="5A3696FA" w14:textId="77777777" w:rsidR="0002011A" w:rsidRPr="0002011A" w:rsidRDefault="0002011A" w:rsidP="0002011A">
            <w:pPr>
              <w:spacing w:after="0"/>
              <w:jc w:val="center"/>
              <w:rPr>
                <w:b/>
                <w:color w:val="000000"/>
                <w:sz w:val="18"/>
                <w:szCs w:val="18"/>
                <w:lang w:eastAsia="en-AU"/>
              </w:rPr>
            </w:pPr>
            <w:r w:rsidRPr="0C5679B2">
              <w:rPr>
                <w:rFonts w:asciiTheme="majorHAnsi" w:hAnsiTheme="majorHAnsi" w:cstheme="majorBidi"/>
                <w:color w:val="00264D" w:themeColor="background2"/>
                <w:sz w:val="18"/>
                <w:szCs w:val="18"/>
                <w:lang w:eastAsia="en-AU"/>
              </w:rPr>
              <w:t>Payment tiers</w:t>
            </w:r>
          </w:p>
        </w:tc>
        <w:tc>
          <w:tcPr>
            <w:tcW w:w="1772" w:type="dxa"/>
            <w:tcBorders>
              <w:left w:val="single" w:sz="4" w:space="0" w:color="F8981D" w:themeColor="accent3"/>
              <w:bottom w:val="single" w:sz="4" w:space="0" w:color="F8981D" w:themeColor="accent3"/>
            </w:tcBorders>
            <w:shd w:val="clear" w:color="auto" w:fill="E6E6E1" w:themeFill="accent5"/>
            <w:hideMark/>
          </w:tcPr>
          <w:p w14:paraId="7B4AE85B" w14:textId="77777777" w:rsidR="0002011A" w:rsidRPr="0002011A"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 xml:space="preserve">Total % if all results within tier </w:t>
            </w:r>
          </w:p>
        </w:tc>
        <w:tc>
          <w:tcPr>
            <w:tcW w:w="1772" w:type="dxa"/>
            <w:tcBorders>
              <w:bottom w:val="single" w:sz="4" w:space="0" w:color="F8981D" w:themeColor="accent3"/>
              <w:right w:val="single" w:sz="4" w:space="0" w:color="F8981D" w:themeColor="accent3"/>
            </w:tcBorders>
            <w:shd w:val="clear" w:color="auto" w:fill="E6E6E1" w:themeFill="accent5"/>
            <w:hideMark/>
          </w:tcPr>
          <w:p w14:paraId="03C0EEB6" w14:textId="77777777" w:rsidR="00E565ED"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 xml:space="preserve">Total % per </w:t>
            </w:r>
            <w:r w:rsidR="00E565ED" w:rsidRPr="00E565ED">
              <w:rPr>
                <w:rFonts w:asciiTheme="majorHAnsi" w:hAnsiTheme="majorHAnsi" w:cstheme="majorBidi"/>
                <w:color w:val="00264D" w:themeColor="background2"/>
                <w:sz w:val="18"/>
                <w:szCs w:val="18"/>
                <w:lang w:eastAsia="en-AU"/>
              </w:rPr>
              <w:t xml:space="preserve">Performance Indicator </w:t>
            </w:r>
          </w:p>
          <w:p w14:paraId="1B927524" w14:textId="77777777" w:rsidR="0002011A" w:rsidRPr="0002011A"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(Total divided by six</w:t>
            </w:r>
            <w:r w:rsidR="000839E1" w:rsidRPr="0C5679B2">
              <w:rPr>
                <w:rFonts w:asciiTheme="majorHAnsi" w:hAnsiTheme="majorHAnsi" w:cstheme="majorBidi"/>
                <w:color w:val="00264D" w:themeColor="background2"/>
                <w:sz w:val="18"/>
                <w:szCs w:val="18"/>
                <w:lang w:eastAsia="en-AU"/>
              </w:rPr>
              <w:t>- as per UANP</w:t>
            </w:r>
            <w:r w:rsidRPr="0C5679B2">
              <w:rPr>
                <w:rFonts w:asciiTheme="majorHAnsi" w:hAnsiTheme="majorHAnsi" w:cstheme="majorBidi"/>
                <w:color w:val="00264D" w:themeColor="background2"/>
                <w:sz w:val="18"/>
                <w:szCs w:val="18"/>
                <w:lang w:eastAsia="en-AU"/>
              </w:rPr>
              <w:t>)</w:t>
            </w:r>
          </w:p>
        </w:tc>
        <w:tc>
          <w:tcPr>
            <w:tcW w:w="1772" w:type="dxa"/>
            <w:tcBorders>
              <w:left w:val="single" w:sz="4" w:space="0" w:color="F8981D" w:themeColor="accent3"/>
              <w:bottom w:val="single" w:sz="4" w:space="0" w:color="F8981D" w:themeColor="accent3"/>
            </w:tcBorders>
            <w:shd w:val="clear" w:color="auto" w:fill="E6E6E1" w:themeFill="accent5"/>
            <w:hideMark/>
          </w:tcPr>
          <w:p w14:paraId="5CA4A252" w14:textId="77777777" w:rsidR="0002011A" w:rsidRPr="0002011A"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 xml:space="preserve">Total % if all results within tier </w:t>
            </w:r>
          </w:p>
        </w:tc>
        <w:tc>
          <w:tcPr>
            <w:tcW w:w="1772" w:type="dxa"/>
            <w:tcBorders>
              <w:bottom w:val="single" w:sz="4" w:space="0" w:color="F8981D" w:themeColor="accent3"/>
            </w:tcBorders>
            <w:shd w:val="clear" w:color="auto" w:fill="E6E6E1" w:themeFill="accent5"/>
            <w:hideMark/>
          </w:tcPr>
          <w:p w14:paraId="32F3FF21" w14:textId="77777777" w:rsidR="00E565ED"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 xml:space="preserve">Total % per </w:t>
            </w:r>
            <w:r w:rsidR="00E565ED" w:rsidRPr="00E565ED">
              <w:rPr>
                <w:rFonts w:asciiTheme="majorHAnsi" w:hAnsiTheme="majorHAnsi" w:cstheme="majorBidi"/>
                <w:color w:val="00264D" w:themeColor="background2"/>
                <w:sz w:val="18"/>
                <w:szCs w:val="18"/>
                <w:lang w:eastAsia="en-AU"/>
              </w:rPr>
              <w:t xml:space="preserve">Performance Indicator </w:t>
            </w:r>
          </w:p>
          <w:p w14:paraId="558F5893" w14:textId="77777777" w:rsidR="0002011A" w:rsidRPr="0002011A" w:rsidRDefault="0002011A" w:rsidP="0002011A">
            <w:pPr>
              <w:spacing w:after="0"/>
              <w:jc w:val="center"/>
              <w:rPr>
                <w:rFonts w:asciiTheme="majorHAnsi" w:hAnsiTheme="majorHAnsi" w:cstheme="majorBidi"/>
                <w:color w:val="00264D" w:themeColor="background2"/>
                <w:sz w:val="18"/>
                <w:szCs w:val="18"/>
                <w:lang w:eastAsia="en-AU"/>
              </w:rPr>
            </w:pPr>
            <w:r w:rsidRPr="0C5679B2">
              <w:rPr>
                <w:rFonts w:asciiTheme="majorHAnsi" w:hAnsiTheme="majorHAnsi" w:cstheme="majorBidi"/>
                <w:color w:val="00264D" w:themeColor="background2"/>
                <w:sz w:val="18"/>
                <w:szCs w:val="18"/>
                <w:lang w:eastAsia="en-AU"/>
              </w:rPr>
              <w:t>(</w:t>
            </w:r>
            <w:r w:rsidR="000839E1" w:rsidRPr="0C5679B2">
              <w:rPr>
                <w:rFonts w:asciiTheme="majorHAnsi" w:hAnsiTheme="majorHAnsi" w:cstheme="majorBidi"/>
                <w:color w:val="00264D" w:themeColor="background2"/>
                <w:sz w:val="18"/>
                <w:szCs w:val="18"/>
                <w:lang w:eastAsia="en-AU"/>
              </w:rPr>
              <w:t>T</w:t>
            </w:r>
            <w:r w:rsidRPr="0C5679B2">
              <w:rPr>
                <w:rFonts w:asciiTheme="majorHAnsi" w:hAnsiTheme="majorHAnsi" w:cstheme="majorBidi"/>
                <w:color w:val="00264D" w:themeColor="background2"/>
                <w:sz w:val="18"/>
                <w:szCs w:val="18"/>
                <w:lang w:eastAsia="en-AU"/>
              </w:rPr>
              <w:t>otal divided by six - as per UANP)</w:t>
            </w:r>
          </w:p>
        </w:tc>
      </w:tr>
      <w:tr w:rsidR="0002011A" w14:paraId="6AB812A2" w14:textId="77777777" w:rsidTr="0C5679B2">
        <w:trPr>
          <w:cnfStyle w:val="000000010000" w:firstRow="0" w:lastRow="0" w:firstColumn="0" w:lastColumn="0" w:oddVBand="0" w:evenVBand="0" w:oddHBand="0" w:evenHBand="1" w:firstRowFirstColumn="0" w:firstRowLastColumn="0" w:lastRowFirstColumn="0" w:lastRowLastColumn="0"/>
          <w:trHeight w:val="300"/>
        </w:trPr>
        <w:tc>
          <w:tcPr>
            <w:tcW w:w="1843" w:type="dxa"/>
            <w:tcBorders>
              <w:top w:val="single" w:sz="4" w:space="0" w:color="F8981D" w:themeColor="accent3"/>
              <w:right w:val="single" w:sz="4" w:space="0" w:color="F8981D" w:themeColor="accent3"/>
            </w:tcBorders>
            <w:shd w:val="clear" w:color="auto" w:fill="E6E6E1" w:themeFill="accent5"/>
            <w:noWrap/>
            <w:hideMark/>
          </w:tcPr>
          <w:p w14:paraId="4CC03BCD" w14:textId="77777777" w:rsidR="0002011A" w:rsidRPr="0002011A" w:rsidRDefault="0002011A" w:rsidP="0002011A">
            <w:pPr>
              <w:spacing w:after="0"/>
              <w:jc w:val="center"/>
              <w:rPr>
                <w:rFonts w:asciiTheme="majorHAnsi" w:hAnsiTheme="majorHAnsi" w:cstheme="majorBidi"/>
                <w:color w:val="00264D" w:themeColor="background2"/>
                <w:sz w:val="17"/>
                <w:szCs w:val="17"/>
                <w:lang w:eastAsia="en-AU"/>
              </w:rPr>
            </w:pPr>
            <w:r w:rsidRPr="0C5679B2">
              <w:rPr>
                <w:rFonts w:asciiTheme="majorHAnsi" w:hAnsiTheme="majorHAnsi" w:cstheme="majorBidi"/>
                <w:color w:val="00264D" w:themeColor="background2"/>
                <w:sz w:val="17"/>
                <w:szCs w:val="17"/>
                <w:lang w:eastAsia="en-AU"/>
              </w:rPr>
              <w:t>Tier 1 (&gt;95%)</w:t>
            </w:r>
          </w:p>
        </w:tc>
        <w:tc>
          <w:tcPr>
            <w:tcW w:w="1772" w:type="dxa"/>
            <w:tcBorders>
              <w:top w:val="single" w:sz="4" w:space="0" w:color="F8981D" w:themeColor="accent3"/>
              <w:left w:val="single" w:sz="4" w:space="0" w:color="F8981D" w:themeColor="accent3"/>
            </w:tcBorders>
            <w:noWrap/>
            <w:hideMark/>
          </w:tcPr>
          <w:p w14:paraId="05C2F986" w14:textId="77777777" w:rsidR="0002011A" w:rsidRPr="0002011A" w:rsidRDefault="0002011A">
            <w:pPr>
              <w:jc w:val="center"/>
              <w:rPr>
                <w:color w:val="000000"/>
                <w:lang w:eastAsia="en-AU"/>
              </w:rPr>
            </w:pPr>
            <w:r w:rsidRPr="0002011A">
              <w:rPr>
                <w:color w:val="000000"/>
                <w:lang w:eastAsia="en-AU"/>
              </w:rPr>
              <w:t>100%</w:t>
            </w:r>
          </w:p>
        </w:tc>
        <w:tc>
          <w:tcPr>
            <w:tcW w:w="1772" w:type="dxa"/>
            <w:tcBorders>
              <w:top w:val="single" w:sz="4" w:space="0" w:color="F8981D" w:themeColor="accent3"/>
              <w:right w:val="single" w:sz="4" w:space="0" w:color="F8981D" w:themeColor="accent3"/>
            </w:tcBorders>
            <w:noWrap/>
            <w:hideMark/>
          </w:tcPr>
          <w:p w14:paraId="23EB3930" w14:textId="77777777" w:rsidR="0002011A" w:rsidRPr="0002011A" w:rsidRDefault="0002011A">
            <w:pPr>
              <w:jc w:val="center"/>
              <w:rPr>
                <w:color w:val="000000"/>
                <w:lang w:eastAsia="en-AU"/>
              </w:rPr>
            </w:pPr>
            <w:r w:rsidRPr="0002011A">
              <w:rPr>
                <w:color w:val="000000"/>
                <w:lang w:eastAsia="en-AU"/>
              </w:rPr>
              <w:t>16.67%</w:t>
            </w:r>
          </w:p>
        </w:tc>
        <w:tc>
          <w:tcPr>
            <w:tcW w:w="1772" w:type="dxa"/>
            <w:tcBorders>
              <w:top w:val="single" w:sz="4" w:space="0" w:color="F8981D" w:themeColor="accent3"/>
              <w:left w:val="single" w:sz="4" w:space="0" w:color="F8981D" w:themeColor="accent3"/>
            </w:tcBorders>
            <w:noWrap/>
            <w:hideMark/>
          </w:tcPr>
          <w:p w14:paraId="11FDA00F" w14:textId="77777777" w:rsidR="0002011A" w:rsidRPr="0002011A" w:rsidRDefault="0002011A">
            <w:pPr>
              <w:jc w:val="center"/>
              <w:rPr>
                <w:color w:val="000000"/>
                <w:lang w:eastAsia="en-AU"/>
              </w:rPr>
            </w:pPr>
            <w:r w:rsidRPr="0002011A">
              <w:rPr>
                <w:color w:val="000000"/>
                <w:lang w:eastAsia="en-AU"/>
              </w:rPr>
              <w:t>70%</w:t>
            </w:r>
          </w:p>
        </w:tc>
        <w:tc>
          <w:tcPr>
            <w:tcW w:w="1772" w:type="dxa"/>
            <w:tcBorders>
              <w:top w:val="single" w:sz="4" w:space="0" w:color="F8981D" w:themeColor="accent3"/>
            </w:tcBorders>
            <w:noWrap/>
            <w:hideMark/>
          </w:tcPr>
          <w:p w14:paraId="49F22D13" w14:textId="77777777" w:rsidR="0002011A" w:rsidRPr="0002011A" w:rsidRDefault="0002011A">
            <w:pPr>
              <w:jc w:val="center"/>
              <w:rPr>
                <w:color w:val="000000"/>
                <w:lang w:eastAsia="en-AU"/>
              </w:rPr>
            </w:pPr>
            <w:r w:rsidRPr="0002011A">
              <w:rPr>
                <w:color w:val="000000"/>
                <w:lang w:eastAsia="en-AU"/>
              </w:rPr>
              <w:t>11.7%</w:t>
            </w:r>
          </w:p>
        </w:tc>
      </w:tr>
      <w:tr w:rsidR="0002011A" w14:paraId="5E847BE1" w14:textId="77777777" w:rsidTr="0C5679B2">
        <w:trPr>
          <w:cnfStyle w:val="000000100000" w:firstRow="0" w:lastRow="0" w:firstColumn="0" w:lastColumn="0" w:oddVBand="0" w:evenVBand="0" w:oddHBand="1" w:evenHBand="0" w:firstRowFirstColumn="0" w:firstRowLastColumn="0" w:lastRowFirstColumn="0" w:lastRowLastColumn="0"/>
          <w:trHeight w:val="300"/>
        </w:trPr>
        <w:tc>
          <w:tcPr>
            <w:tcW w:w="1843" w:type="dxa"/>
            <w:tcBorders>
              <w:right w:val="single" w:sz="4" w:space="0" w:color="F8981D" w:themeColor="accent3"/>
            </w:tcBorders>
            <w:shd w:val="clear" w:color="auto" w:fill="E6E6E1" w:themeFill="accent5"/>
            <w:noWrap/>
            <w:hideMark/>
          </w:tcPr>
          <w:p w14:paraId="32AFBDCC" w14:textId="77777777" w:rsidR="0002011A" w:rsidRPr="0002011A" w:rsidRDefault="0002011A" w:rsidP="0002011A">
            <w:pPr>
              <w:spacing w:after="0"/>
              <w:jc w:val="center"/>
              <w:rPr>
                <w:rFonts w:asciiTheme="majorHAnsi" w:hAnsiTheme="majorHAnsi" w:cstheme="majorBidi"/>
                <w:color w:val="00264D" w:themeColor="background2"/>
                <w:sz w:val="17"/>
                <w:szCs w:val="17"/>
                <w:lang w:eastAsia="en-AU"/>
              </w:rPr>
            </w:pPr>
            <w:r w:rsidRPr="0C5679B2">
              <w:rPr>
                <w:rFonts w:asciiTheme="majorHAnsi" w:hAnsiTheme="majorHAnsi" w:cstheme="majorBidi"/>
                <w:color w:val="00264D" w:themeColor="background2"/>
                <w:sz w:val="17"/>
                <w:szCs w:val="17"/>
                <w:lang w:eastAsia="en-AU"/>
              </w:rPr>
              <w:t>Tier 2 (90-95%)</w:t>
            </w:r>
          </w:p>
        </w:tc>
        <w:tc>
          <w:tcPr>
            <w:tcW w:w="1772" w:type="dxa"/>
            <w:tcBorders>
              <w:left w:val="single" w:sz="4" w:space="0" w:color="F8981D" w:themeColor="accent3"/>
            </w:tcBorders>
            <w:noWrap/>
            <w:hideMark/>
          </w:tcPr>
          <w:p w14:paraId="1B1118FF" w14:textId="77777777" w:rsidR="0002011A" w:rsidRPr="0002011A" w:rsidRDefault="0002011A">
            <w:pPr>
              <w:jc w:val="center"/>
              <w:rPr>
                <w:color w:val="000000"/>
                <w:lang w:eastAsia="en-AU"/>
              </w:rPr>
            </w:pPr>
            <w:r w:rsidRPr="0002011A">
              <w:rPr>
                <w:color w:val="000000"/>
                <w:lang w:eastAsia="en-AU"/>
              </w:rPr>
              <w:t>90%</w:t>
            </w:r>
          </w:p>
        </w:tc>
        <w:tc>
          <w:tcPr>
            <w:tcW w:w="1772" w:type="dxa"/>
            <w:tcBorders>
              <w:right w:val="single" w:sz="4" w:space="0" w:color="F8981D" w:themeColor="accent3"/>
            </w:tcBorders>
            <w:noWrap/>
            <w:hideMark/>
          </w:tcPr>
          <w:p w14:paraId="79F8B8F6" w14:textId="77777777" w:rsidR="0002011A" w:rsidRPr="0002011A" w:rsidRDefault="0002011A">
            <w:pPr>
              <w:jc w:val="center"/>
              <w:rPr>
                <w:color w:val="000000"/>
                <w:lang w:eastAsia="en-AU"/>
              </w:rPr>
            </w:pPr>
            <w:r w:rsidRPr="0002011A">
              <w:rPr>
                <w:color w:val="000000"/>
                <w:lang w:eastAsia="en-AU"/>
              </w:rPr>
              <w:t>15.00%</w:t>
            </w:r>
          </w:p>
        </w:tc>
        <w:tc>
          <w:tcPr>
            <w:tcW w:w="1772" w:type="dxa"/>
            <w:tcBorders>
              <w:left w:val="single" w:sz="4" w:space="0" w:color="F8981D" w:themeColor="accent3"/>
            </w:tcBorders>
            <w:noWrap/>
            <w:hideMark/>
          </w:tcPr>
          <w:p w14:paraId="55DCBCC3" w14:textId="77777777" w:rsidR="0002011A" w:rsidRPr="0002011A" w:rsidRDefault="0002011A">
            <w:pPr>
              <w:jc w:val="center"/>
              <w:rPr>
                <w:color w:val="000000"/>
                <w:lang w:eastAsia="en-AU"/>
              </w:rPr>
            </w:pPr>
            <w:r w:rsidRPr="0002011A">
              <w:rPr>
                <w:color w:val="000000"/>
                <w:lang w:eastAsia="en-AU"/>
              </w:rPr>
              <w:t>63%</w:t>
            </w:r>
          </w:p>
        </w:tc>
        <w:tc>
          <w:tcPr>
            <w:tcW w:w="1772" w:type="dxa"/>
            <w:noWrap/>
            <w:hideMark/>
          </w:tcPr>
          <w:p w14:paraId="10426760" w14:textId="77777777" w:rsidR="0002011A" w:rsidRPr="0002011A" w:rsidRDefault="0002011A">
            <w:pPr>
              <w:jc w:val="center"/>
              <w:rPr>
                <w:color w:val="000000"/>
                <w:lang w:eastAsia="en-AU"/>
              </w:rPr>
            </w:pPr>
            <w:r w:rsidRPr="0002011A">
              <w:rPr>
                <w:color w:val="000000"/>
                <w:lang w:eastAsia="en-AU"/>
              </w:rPr>
              <w:t>10.5%</w:t>
            </w:r>
          </w:p>
        </w:tc>
      </w:tr>
      <w:tr w:rsidR="0002011A" w14:paraId="62B3FED5" w14:textId="77777777" w:rsidTr="0C5679B2">
        <w:trPr>
          <w:cnfStyle w:val="000000010000" w:firstRow="0" w:lastRow="0" w:firstColumn="0" w:lastColumn="0" w:oddVBand="0" w:evenVBand="0" w:oddHBand="0" w:evenHBand="1" w:firstRowFirstColumn="0" w:firstRowLastColumn="0" w:lastRowFirstColumn="0" w:lastRowLastColumn="0"/>
          <w:trHeight w:val="300"/>
        </w:trPr>
        <w:tc>
          <w:tcPr>
            <w:tcW w:w="1843" w:type="dxa"/>
            <w:tcBorders>
              <w:right w:val="single" w:sz="4" w:space="0" w:color="F8981D" w:themeColor="accent3"/>
            </w:tcBorders>
            <w:shd w:val="clear" w:color="auto" w:fill="E6E6E1" w:themeFill="accent5"/>
            <w:noWrap/>
            <w:hideMark/>
          </w:tcPr>
          <w:p w14:paraId="1B9154CF" w14:textId="77777777" w:rsidR="0002011A" w:rsidRDefault="0002011A" w:rsidP="0002011A">
            <w:pPr>
              <w:spacing w:after="0"/>
              <w:jc w:val="center"/>
              <w:rPr>
                <w:color w:val="000000"/>
                <w:lang w:eastAsia="en-AU"/>
              </w:rPr>
            </w:pPr>
            <w:r w:rsidRPr="0C5679B2">
              <w:rPr>
                <w:rFonts w:asciiTheme="majorHAnsi" w:hAnsiTheme="majorHAnsi" w:cstheme="majorBidi"/>
                <w:color w:val="00264D" w:themeColor="background2"/>
                <w:sz w:val="17"/>
                <w:szCs w:val="17"/>
                <w:lang w:eastAsia="en-AU"/>
              </w:rPr>
              <w:t>Tier 3</w:t>
            </w:r>
            <w:r w:rsidR="000839E1" w:rsidRPr="0C5679B2">
              <w:rPr>
                <w:rFonts w:asciiTheme="majorHAnsi" w:hAnsiTheme="majorHAnsi" w:cstheme="majorBidi"/>
                <w:color w:val="00264D" w:themeColor="background2"/>
                <w:sz w:val="17"/>
                <w:szCs w:val="17"/>
                <w:lang w:eastAsia="en-AU"/>
              </w:rPr>
              <w:t xml:space="preserve"> </w:t>
            </w:r>
            <w:r w:rsidRPr="0C5679B2">
              <w:rPr>
                <w:rFonts w:asciiTheme="majorHAnsi" w:hAnsiTheme="majorHAnsi" w:cstheme="majorBidi"/>
                <w:color w:val="00264D" w:themeColor="background2"/>
                <w:sz w:val="17"/>
                <w:szCs w:val="17"/>
                <w:lang w:eastAsia="en-AU"/>
              </w:rPr>
              <w:t>(improve by 3% or more)</w:t>
            </w:r>
          </w:p>
        </w:tc>
        <w:tc>
          <w:tcPr>
            <w:tcW w:w="1772" w:type="dxa"/>
            <w:tcBorders>
              <w:left w:val="single" w:sz="4" w:space="0" w:color="F8981D" w:themeColor="accent3"/>
            </w:tcBorders>
            <w:noWrap/>
            <w:hideMark/>
          </w:tcPr>
          <w:p w14:paraId="316F5C85" w14:textId="77777777" w:rsidR="0002011A" w:rsidRPr="0002011A" w:rsidRDefault="0002011A">
            <w:pPr>
              <w:jc w:val="center"/>
              <w:rPr>
                <w:color w:val="000000"/>
                <w:lang w:eastAsia="en-AU"/>
              </w:rPr>
            </w:pPr>
            <w:r w:rsidRPr="0002011A">
              <w:rPr>
                <w:color w:val="000000"/>
                <w:lang w:eastAsia="en-AU"/>
              </w:rPr>
              <w:t>70%</w:t>
            </w:r>
          </w:p>
        </w:tc>
        <w:tc>
          <w:tcPr>
            <w:tcW w:w="1772" w:type="dxa"/>
            <w:tcBorders>
              <w:right w:val="single" w:sz="4" w:space="0" w:color="F8981D" w:themeColor="accent3"/>
            </w:tcBorders>
            <w:noWrap/>
            <w:hideMark/>
          </w:tcPr>
          <w:p w14:paraId="183D338F" w14:textId="77777777" w:rsidR="0002011A" w:rsidRPr="0002011A" w:rsidRDefault="0002011A">
            <w:pPr>
              <w:jc w:val="center"/>
              <w:rPr>
                <w:color w:val="000000"/>
                <w:lang w:eastAsia="en-AU"/>
              </w:rPr>
            </w:pPr>
            <w:r w:rsidRPr="0002011A">
              <w:rPr>
                <w:color w:val="000000"/>
                <w:lang w:eastAsia="en-AU"/>
              </w:rPr>
              <w:t>11.67%</w:t>
            </w:r>
          </w:p>
        </w:tc>
        <w:tc>
          <w:tcPr>
            <w:tcW w:w="1772" w:type="dxa"/>
            <w:tcBorders>
              <w:left w:val="single" w:sz="4" w:space="0" w:color="F8981D" w:themeColor="accent3"/>
            </w:tcBorders>
            <w:noWrap/>
            <w:hideMark/>
          </w:tcPr>
          <w:p w14:paraId="7EEFB53C" w14:textId="77777777" w:rsidR="0002011A" w:rsidRPr="0002011A" w:rsidRDefault="0002011A">
            <w:pPr>
              <w:jc w:val="center"/>
              <w:rPr>
                <w:color w:val="000000"/>
                <w:lang w:eastAsia="en-AU"/>
              </w:rPr>
            </w:pPr>
            <w:r w:rsidRPr="0002011A">
              <w:rPr>
                <w:color w:val="000000"/>
                <w:lang w:eastAsia="en-AU"/>
              </w:rPr>
              <w:t>49%</w:t>
            </w:r>
          </w:p>
        </w:tc>
        <w:tc>
          <w:tcPr>
            <w:tcW w:w="1772" w:type="dxa"/>
            <w:noWrap/>
            <w:hideMark/>
          </w:tcPr>
          <w:p w14:paraId="4D08B928" w14:textId="77777777" w:rsidR="0002011A" w:rsidRPr="0002011A" w:rsidRDefault="0002011A">
            <w:pPr>
              <w:jc w:val="center"/>
              <w:rPr>
                <w:color w:val="000000"/>
                <w:lang w:eastAsia="en-AU"/>
              </w:rPr>
            </w:pPr>
            <w:r w:rsidRPr="0002011A">
              <w:rPr>
                <w:color w:val="000000"/>
                <w:lang w:eastAsia="en-AU"/>
              </w:rPr>
              <w:t>8.2%</w:t>
            </w:r>
          </w:p>
        </w:tc>
      </w:tr>
      <w:tr w:rsidR="0002011A" w14:paraId="7AE6E88E" w14:textId="77777777" w:rsidTr="0C5679B2">
        <w:trPr>
          <w:cnfStyle w:val="000000100000" w:firstRow="0" w:lastRow="0" w:firstColumn="0" w:lastColumn="0" w:oddVBand="0" w:evenVBand="0" w:oddHBand="1" w:evenHBand="0" w:firstRowFirstColumn="0" w:firstRowLastColumn="0" w:lastRowFirstColumn="0" w:lastRowLastColumn="0"/>
          <w:trHeight w:val="300"/>
        </w:trPr>
        <w:tc>
          <w:tcPr>
            <w:tcW w:w="1843" w:type="dxa"/>
            <w:tcBorders>
              <w:right w:val="single" w:sz="4" w:space="0" w:color="F8981D" w:themeColor="accent3"/>
            </w:tcBorders>
            <w:shd w:val="clear" w:color="auto" w:fill="E6E6E1" w:themeFill="accent5"/>
            <w:noWrap/>
            <w:hideMark/>
          </w:tcPr>
          <w:p w14:paraId="2E442046" w14:textId="77777777" w:rsidR="0002011A" w:rsidRDefault="0002011A" w:rsidP="0002011A">
            <w:pPr>
              <w:spacing w:after="0"/>
              <w:jc w:val="center"/>
              <w:rPr>
                <w:color w:val="000000"/>
                <w:lang w:eastAsia="en-AU"/>
              </w:rPr>
            </w:pPr>
            <w:r w:rsidRPr="0C5679B2">
              <w:rPr>
                <w:rFonts w:asciiTheme="majorHAnsi" w:hAnsiTheme="majorHAnsi" w:cstheme="majorBidi"/>
                <w:color w:val="00264D" w:themeColor="background2"/>
                <w:sz w:val="17"/>
                <w:szCs w:val="17"/>
                <w:lang w:eastAsia="en-AU"/>
              </w:rPr>
              <w:t>Tier 4 (maintain achievement*)</w:t>
            </w:r>
          </w:p>
        </w:tc>
        <w:tc>
          <w:tcPr>
            <w:tcW w:w="1772" w:type="dxa"/>
            <w:tcBorders>
              <w:left w:val="single" w:sz="4" w:space="0" w:color="F8981D" w:themeColor="accent3"/>
            </w:tcBorders>
            <w:noWrap/>
            <w:hideMark/>
          </w:tcPr>
          <w:p w14:paraId="0696F0AE" w14:textId="77777777" w:rsidR="0002011A" w:rsidRPr="0002011A" w:rsidRDefault="0002011A">
            <w:pPr>
              <w:jc w:val="center"/>
              <w:rPr>
                <w:color w:val="000000"/>
                <w:lang w:eastAsia="en-AU"/>
              </w:rPr>
            </w:pPr>
            <w:r w:rsidRPr="0002011A">
              <w:rPr>
                <w:color w:val="000000"/>
                <w:lang w:eastAsia="en-AU"/>
              </w:rPr>
              <w:t>50%</w:t>
            </w:r>
          </w:p>
        </w:tc>
        <w:tc>
          <w:tcPr>
            <w:tcW w:w="1772" w:type="dxa"/>
            <w:tcBorders>
              <w:right w:val="single" w:sz="4" w:space="0" w:color="F8981D" w:themeColor="accent3"/>
            </w:tcBorders>
            <w:noWrap/>
            <w:hideMark/>
          </w:tcPr>
          <w:p w14:paraId="679BEF1E" w14:textId="77777777" w:rsidR="0002011A" w:rsidRPr="0002011A" w:rsidRDefault="0002011A">
            <w:pPr>
              <w:jc w:val="center"/>
              <w:rPr>
                <w:color w:val="000000"/>
                <w:lang w:eastAsia="en-AU"/>
              </w:rPr>
            </w:pPr>
            <w:r w:rsidRPr="0002011A">
              <w:rPr>
                <w:color w:val="000000"/>
                <w:lang w:eastAsia="en-AU"/>
              </w:rPr>
              <w:t>8.33%</w:t>
            </w:r>
          </w:p>
        </w:tc>
        <w:tc>
          <w:tcPr>
            <w:tcW w:w="1772" w:type="dxa"/>
            <w:tcBorders>
              <w:left w:val="single" w:sz="4" w:space="0" w:color="F8981D" w:themeColor="accent3"/>
            </w:tcBorders>
            <w:noWrap/>
            <w:hideMark/>
          </w:tcPr>
          <w:p w14:paraId="64313CAB" w14:textId="77777777" w:rsidR="0002011A" w:rsidRPr="0002011A" w:rsidRDefault="0002011A">
            <w:pPr>
              <w:jc w:val="center"/>
              <w:rPr>
                <w:color w:val="000000"/>
                <w:lang w:eastAsia="en-AU"/>
              </w:rPr>
            </w:pPr>
            <w:r w:rsidRPr="0002011A">
              <w:rPr>
                <w:color w:val="000000"/>
                <w:lang w:eastAsia="en-AU"/>
              </w:rPr>
              <w:t>35%</w:t>
            </w:r>
          </w:p>
        </w:tc>
        <w:tc>
          <w:tcPr>
            <w:tcW w:w="1772" w:type="dxa"/>
            <w:noWrap/>
            <w:hideMark/>
          </w:tcPr>
          <w:p w14:paraId="4FF1661B" w14:textId="77777777" w:rsidR="0002011A" w:rsidRPr="0002011A" w:rsidRDefault="0002011A">
            <w:pPr>
              <w:jc w:val="center"/>
              <w:rPr>
                <w:color w:val="000000"/>
                <w:lang w:eastAsia="en-AU"/>
              </w:rPr>
            </w:pPr>
            <w:r w:rsidRPr="0002011A">
              <w:rPr>
                <w:color w:val="000000"/>
                <w:lang w:eastAsia="en-AU"/>
              </w:rPr>
              <w:t>5.8%</w:t>
            </w:r>
          </w:p>
        </w:tc>
      </w:tr>
    </w:tbl>
    <w:p w14:paraId="07748C1F" w14:textId="77777777" w:rsidR="00F57418" w:rsidRPr="000D66BB" w:rsidRDefault="000D66BB" w:rsidP="00F57418">
      <w:pPr>
        <w:pStyle w:val="Bullet"/>
        <w:ind w:left="340"/>
        <w:rPr>
          <w:color w:val="00264D" w:themeColor="background2"/>
          <w:sz w:val="18"/>
          <w:szCs w:val="18"/>
        </w:rPr>
      </w:pPr>
      <w:r w:rsidRPr="0C5679B2">
        <w:rPr>
          <w:color w:val="00264D" w:themeColor="background2"/>
          <w:sz w:val="18"/>
          <w:szCs w:val="18"/>
        </w:rPr>
        <w:t xml:space="preserve">* </w:t>
      </w:r>
      <w:r w:rsidRPr="0C5679B2">
        <w:rPr>
          <w:i/>
          <w:color w:val="00264D" w:themeColor="background2"/>
          <w:sz w:val="18"/>
          <w:szCs w:val="18"/>
        </w:rPr>
        <w:t>includes a margin that allows a 3</w:t>
      </w:r>
      <w:r w:rsidR="00133E53">
        <w:rPr>
          <w:i/>
          <w:color w:val="00264D" w:themeColor="background2"/>
          <w:sz w:val="18"/>
          <w:szCs w:val="18"/>
        </w:rPr>
        <w:t xml:space="preserve"> per cent</w:t>
      </w:r>
      <w:r w:rsidR="00133E53" w:rsidRPr="0C5679B2">
        <w:rPr>
          <w:i/>
          <w:color w:val="00264D" w:themeColor="background2"/>
          <w:sz w:val="18"/>
          <w:szCs w:val="18"/>
        </w:rPr>
        <w:t xml:space="preserve"> </w:t>
      </w:r>
      <w:r w:rsidRPr="0C5679B2">
        <w:rPr>
          <w:i/>
          <w:color w:val="00264D" w:themeColor="background2"/>
          <w:sz w:val="18"/>
          <w:szCs w:val="18"/>
        </w:rPr>
        <w:t>drop below previous year’s performance</w:t>
      </w:r>
    </w:p>
    <w:p w14:paraId="1D30308B" w14:textId="09EC86D4" w:rsidR="0042066B" w:rsidRDefault="0042066B" w:rsidP="001D1C64">
      <w:pPr>
        <w:pStyle w:val="Bullet"/>
        <w:rPr>
          <w:rFonts w:asciiTheme="minorHAnsi" w:hAnsiTheme="minorHAnsi" w:cstheme="minorBidi"/>
        </w:rPr>
      </w:pPr>
      <w:r w:rsidRPr="0C5679B2">
        <w:rPr>
          <w:rFonts w:asciiTheme="minorHAnsi" w:hAnsiTheme="minorHAnsi" w:cstheme="minorBidi"/>
        </w:rPr>
        <w:t>The Review finds that there is strong policy momentum, well</w:t>
      </w:r>
      <w:r w:rsidRPr="0C5679B2">
        <w:rPr>
          <w:rFonts w:asciiTheme="minorHAnsi" w:hAnsiTheme="minorHAnsi" w:cstheme="minorBidi"/>
        </w:rPr>
        <w:noBreakHyphen/>
        <w:t xml:space="preserve">entrenched systems and mature markets in all jurisdictions which minimise the need to incentivise major reform effort </w:t>
      </w:r>
      <w:r w:rsidR="00892781">
        <w:rPr>
          <w:rFonts w:asciiTheme="minorHAnsi" w:hAnsiTheme="minorHAnsi" w:cstheme="minorBidi"/>
        </w:rPr>
        <w:t xml:space="preserve">through </w:t>
      </w:r>
      <w:r w:rsidR="00277258">
        <w:rPr>
          <w:rFonts w:asciiTheme="minorHAnsi" w:hAnsiTheme="minorHAnsi" w:cstheme="minorBidi"/>
        </w:rPr>
        <w:t>performance-based</w:t>
      </w:r>
      <w:r w:rsidR="00892781">
        <w:rPr>
          <w:rFonts w:asciiTheme="minorHAnsi" w:hAnsiTheme="minorHAnsi" w:cstheme="minorBidi"/>
        </w:rPr>
        <w:t xml:space="preserve"> funding</w:t>
      </w:r>
      <w:r w:rsidRPr="0C5679B2">
        <w:rPr>
          <w:rFonts w:asciiTheme="minorHAnsi" w:hAnsiTheme="minorHAnsi" w:cstheme="minorBidi"/>
        </w:rPr>
        <w:t xml:space="preserve">. The focus in the past five years has switched, appropriately, from achieving outcomes to sustaining them, albeit with further work to be done to improve attendance. While there </w:t>
      </w:r>
      <w:r w:rsidR="007C2D68" w:rsidRPr="0C5679B2">
        <w:rPr>
          <w:rFonts w:asciiTheme="minorHAnsi" w:hAnsiTheme="minorHAnsi" w:cstheme="minorBidi"/>
        </w:rPr>
        <w:t>remains</w:t>
      </w:r>
      <w:r w:rsidRPr="0C5679B2">
        <w:rPr>
          <w:rFonts w:asciiTheme="minorHAnsi" w:hAnsiTheme="minorHAnsi" w:cstheme="minorBidi"/>
        </w:rPr>
        <w:t xml:space="preserve"> a case for rewarding targeted reform, the bulk of UANP funding is </w:t>
      </w:r>
      <w:r w:rsidR="00445D21">
        <w:rPr>
          <w:rFonts w:asciiTheme="minorHAnsi" w:hAnsiTheme="minorHAnsi" w:cstheme="minorBidi"/>
        </w:rPr>
        <w:t xml:space="preserve">being </w:t>
      </w:r>
      <w:r w:rsidRPr="0C5679B2">
        <w:rPr>
          <w:rFonts w:asciiTheme="minorHAnsi" w:hAnsiTheme="minorHAnsi" w:cstheme="minorBidi"/>
        </w:rPr>
        <w:t xml:space="preserve">used for ongoing </w:t>
      </w:r>
      <w:r w:rsidR="0080279B">
        <w:rPr>
          <w:rFonts w:asciiTheme="minorHAnsi" w:hAnsiTheme="minorHAnsi" w:cstheme="minorBidi"/>
        </w:rPr>
        <w:t xml:space="preserve">service </w:t>
      </w:r>
      <w:r w:rsidRPr="0C5679B2">
        <w:rPr>
          <w:rFonts w:asciiTheme="minorHAnsi" w:hAnsiTheme="minorHAnsi" w:cstheme="minorBidi"/>
        </w:rPr>
        <w:t xml:space="preserve">delivery, which suggests that </w:t>
      </w:r>
      <w:r w:rsidR="00E22B58">
        <w:rPr>
          <w:rFonts w:asciiTheme="minorHAnsi" w:hAnsiTheme="minorHAnsi" w:cstheme="minorBidi"/>
        </w:rPr>
        <w:t>a</w:t>
      </w:r>
      <w:r w:rsidR="0080279B">
        <w:rPr>
          <w:rFonts w:asciiTheme="minorHAnsi" w:hAnsiTheme="minorHAnsi" w:cstheme="minorBidi"/>
        </w:rPr>
        <w:t xml:space="preserve"> larger</w:t>
      </w:r>
      <w:r w:rsidR="00E22B58">
        <w:rPr>
          <w:rFonts w:asciiTheme="minorHAnsi" w:hAnsiTheme="minorHAnsi" w:cstheme="minorBidi"/>
        </w:rPr>
        <w:t xml:space="preserve"> proportion</w:t>
      </w:r>
      <w:r w:rsidR="0080279B">
        <w:rPr>
          <w:rFonts w:asciiTheme="minorHAnsi" w:hAnsiTheme="minorHAnsi" w:cstheme="minorBidi"/>
        </w:rPr>
        <w:t xml:space="preserve"> of the payments should not be </w:t>
      </w:r>
      <w:r w:rsidR="009D1AE7">
        <w:rPr>
          <w:rFonts w:asciiTheme="minorHAnsi" w:hAnsiTheme="minorHAnsi" w:cstheme="minorBidi"/>
        </w:rPr>
        <w:t>tied to</w:t>
      </w:r>
      <w:r w:rsidR="00277258">
        <w:rPr>
          <w:rFonts w:asciiTheme="minorHAnsi" w:hAnsiTheme="minorHAnsi" w:cstheme="minorBidi"/>
        </w:rPr>
        <w:t xml:space="preserve"> </w:t>
      </w:r>
      <w:r w:rsidR="00474A8B">
        <w:rPr>
          <w:rFonts w:asciiTheme="minorHAnsi" w:hAnsiTheme="minorHAnsi" w:cstheme="minorBidi"/>
        </w:rPr>
        <w:t>performance</w:t>
      </w:r>
      <w:r w:rsidR="009D1AE7">
        <w:rPr>
          <w:rFonts w:asciiTheme="minorHAnsi" w:hAnsiTheme="minorHAnsi" w:cstheme="minorBidi"/>
        </w:rPr>
        <w:t xml:space="preserve"> targets</w:t>
      </w:r>
      <w:r w:rsidR="00C361BC">
        <w:rPr>
          <w:rFonts w:asciiTheme="minorHAnsi" w:hAnsiTheme="minorHAnsi" w:cstheme="minorBidi"/>
        </w:rPr>
        <w:t>.</w:t>
      </w:r>
      <w:r w:rsidR="00474A8B">
        <w:rPr>
          <w:rFonts w:asciiTheme="minorHAnsi" w:hAnsiTheme="minorHAnsi" w:cstheme="minorBidi"/>
        </w:rPr>
        <w:t xml:space="preserve"> These issues are</w:t>
      </w:r>
      <w:r w:rsidR="00445D21">
        <w:rPr>
          <w:rFonts w:asciiTheme="minorHAnsi" w:hAnsiTheme="minorHAnsi" w:cstheme="minorBidi"/>
        </w:rPr>
        <w:t xml:space="preserve"> discussed further in Chapter </w:t>
      </w:r>
      <w:r w:rsidR="00445D21">
        <w:rPr>
          <w:rFonts w:asciiTheme="minorHAnsi" w:hAnsiTheme="minorHAnsi" w:cstheme="minorBidi"/>
        </w:rPr>
        <w:fldChar w:fldCharType="begin"/>
      </w:r>
      <w:r w:rsidR="00445D21">
        <w:rPr>
          <w:rFonts w:asciiTheme="minorHAnsi" w:hAnsiTheme="minorHAnsi" w:cstheme="minorBidi"/>
        </w:rPr>
        <w:instrText xml:space="preserve"> REF _Ref24086391 \r \h </w:instrText>
      </w:r>
      <w:r w:rsidR="00445D21">
        <w:rPr>
          <w:rFonts w:asciiTheme="minorHAnsi" w:hAnsiTheme="minorHAnsi" w:cstheme="minorBidi"/>
        </w:rPr>
      </w:r>
      <w:r w:rsidR="00445D21">
        <w:rPr>
          <w:rFonts w:asciiTheme="minorHAnsi" w:hAnsiTheme="minorHAnsi" w:cstheme="minorBidi"/>
        </w:rPr>
        <w:fldChar w:fldCharType="separate"/>
      </w:r>
      <w:r w:rsidR="00B37785">
        <w:rPr>
          <w:rFonts w:asciiTheme="minorHAnsi" w:hAnsiTheme="minorHAnsi" w:cstheme="minorBidi"/>
        </w:rPr>
        <w:t>6</w:t>
      </w:r>
      <w:r w:rsidR="00445D21">
        <w:rPr>
          <w:rFonts w:asciiTheme="minorHAnsi" w:hAnsiTheme="minorHAnsi" w:cstheme="minorBidi"/>
        </w:rPr>
        <w:fldChar w:fldCharType="end"/>
      </w:r>
      <w:r w:rsidRPr="0C5679B2">
        <w:rPr>
          <w:rFonts w:asciiTheme="minorHAnsi" w:hAnsiTheme="minorHAnsi" w:cstheme="minorBidi"/>
        </w:rPr>
        <w:t>.</w:t>
      </w:r>
      <w:r w:rsidR="008D4875" w:rsidRPr="0C5679B2">
        <w:rPr>
          <w:rFonts w:asciiTheme="minorHAnsi" w:hAnsiTheme="minorHAnsi" w:cstheme="minorBidi"/>
        </w:rPr>
        <w:t xml:space="preserve"> </w:t>
      </w:r>
    </w:p>
    <w:p w14:paraId="5CC30F93" w14:textId="77777777" w:rsidR="00133C08" w:rsidRPr="00133C08" w:rsidRDefault="00133C08" w:rsidP="00133C08">
      <w:pPr>
        <w:pStyle w:val="Heading4"/>
      </w:pPr>
      <w:r>
        <w:t>The methodology for allocating funding between States and Territories has proved to be effective</w:t>
      </w:r>
    </w:p>
    <w:p w14:paraId="42395464" w14:textId="4FE60C01" w:rsidR="00133C08" w:rsidRPr="00133C08" w:rsidRDefault="00133C08" w:rsidP="00133C08">
      <w:pPr>
        <w:pStyle w:val="Bullet"/>
        <w:rPr>
          <w:rFonts w:asciiTheme="minorHAnsi" w:hAnsiTheme="minorHAnsi" w:cstheme="minorBidi"/>
        </w:rPr>
      </w:pPr>
      <w:r w:rsidRPr="0C5679B2">
        <w:rPr>
          <w:rFonts w:asciiTheme="minorHAnsi" w:hAnsiTheme="minorHAnsi" w:cstheme="minorBidi"/>
        </w:rPr>
        <w:t xml:space="preserve">UANP funding does not take account of the cost of achieving the agreed outcomes in each jurisdiction—for example, structural cost drivers related to geography and demography. </w:t>
      </w:r>
      <w:r w:rsidR="00806DC4" w:rsidRPr="0C5679B2">
        <w:rPr>
          <w:rFonts w:asciiTheme="minorHAnsi" w:hAnsiTheme="minorHAnsi" w:cstheme="minorBidi"/>
        </w:rPr>
        <w:t xml:space="preserve">The </w:t>
      </w:r>
      <w:r w:rsidR="00E629F4" w:rsidRPr="0C5679B2">
        <w:rPr>
          <w:rFonts w:asciiTheme="minorHAnsi" w:hAnsiTheme="minorHAnsi" w:cstheme="minorBidi"/>
        </w:rPr>
        <w:t>Australian Government</w:t>
      </w:r>
      <w:r w:rsidR="00806DC4" w:rsidRPr="0C5679B2">
        <w:rPr>
          <w:rFonts w:asciiTheme="minorHAnsi" w:hAnsiTheme="minorHAnsi" w:cstheme="minorBidi"/>
        </w:rPr>
        <w:t xml:space="preserve"> contribution </w:t>
      </w:r>
      <w:r>
        <w:t>was initially</w:t>
      </w:r>
      <w:r w:rsidRPr="005F7441">
        <w:t xml:space="preserve"> </w:t>
      </w:r>
      <w:r>
        <w:t xml:space="preserve">allocated with </w:t>
      </w:r>
      <w:r w:rsidR="004C7794">
        <w:t xml:space="preserve">a </w:t>
      </w:r>
      <w:r>
        <w:t>view to assisting jurisdictions that were further behind</w:t>
      </w:r>
      <w:r w:rsidRPr="005F7441">
        <w:t xml:space="preserve"> </w:t>
      </w:r>
      <w:r>
        <w:t xml:space="preserve">and faced greater challenges in delivering universal access. This changed in the final year of the first agreement, when funding allocations were based on each jurisdiction’s share of the ERP of </w:t>
      </w:r>
      <w:proofErr w:type="gramStart"/>
      <w:r>
        <w:t>four year</w:t>
      </w:r>
      <w:proofErr w:type="gramEnd"/>
      <w:r>
        <w:t xml:space="preserve"> </w:t>
      </w:r>
      <w:proofErr w:type="spellStart"/>
      <w:r>
        <w:t>olds</w:t>
      </w:r>
      <w:proofErr w:type="spellEnd"/>
      <w:r>
        <w:t xml:space="preserve">. </w:t>
      </w:r>
      <w:r w:rsidR="000559D2">
        <w:t>As noted above, t</w:t>
      </w:r>
      <w:r>
        <w:t xml:space="preserve">his methodology remained in place until 2018. Funding is now allocated </w:t>
      </w:r>
      <w:r w:rsidRPr="0C5679B2">
        <w:rPr>
          <w:rFonts w:asciiTheme="minorHAnsi" w:hAnsiTheme="minorHAnsi" w:cstheme="minorBidi"/>
        </w:rPr>
        <w:t xml:space="preserve">on the basis of projected enrolments. Each enrolment attracts the per child amount distributed under previous agreements, indexed at CPI. </w:t>
      </w:r>
      <w:r w:rsidR="00782CD7">
        <w:fldChar w:fldCharType="begin"/>
      </w:r>
      <w:r w:rsidR="00782CD7">
        <w:rPr>
          <w:rFonts w:asciiTheme="minorHAnsi" w:hAnsiTheme="minorHAnsi" w:cstheme="minorBidi"/>
        </w:rPr>
        <w:instrText xml:space="preserve"> REF _Ref24381448 \h </w:instrText>
      </w:r>
      <w:r w:rsidR="00782CD7">
        <w:fldChar w:fldCharType="separate"/>
      </w:r>
      <w:r w:rsidR="00B37785">
        <w:t xml:space="preserve">Table </w:t>
      </w:r>
      <w:r w:rsidR="00B37785">
        <w:rPr>
          <w:noProof/>
        </w:rPr>
        <w:t>8</w:t>
      </w:r>
      <w:r w:rsidR="00782CD7">
        <w:fldChar w:fldCharType="end"/>
      </w:r>
      <w:r w:rsidRPr="0C5679B2">
        <w:rPr>
          <w:rFonts w:asciiTheme="minorHAnsi" w:hAnsiTheme="minorHAnsi" w:cstheme="minorBidi"/>
        </w:rPr>
        <w:t xml:space="preserve"> </w:t>
      </w:r>
      <w:r>
        <w:t xml:space="preserve">sets out the current methodology in more detail. </w:t>
      </w:r>
    </w:p>
    <w:p w14:paraId="2C675FF0" w14:textId="1091BED5" w:rsidR="00133C08" w:rsidRPr="005F7441" w:rsidRDefault="00782CD7" w:rsidP="00782CD7">
      <w:pPr>
        <w:pStyle w:val="Caption"/>
        <w:rPr>
          <w:lang w:eastAsia="en-AU"/>
        </w:rPr>
      </w:pPr>
      <w:bookmarkStart w:id="208" w:name="_Ref24381448"/>
      <w:r>
        <w:t xml:space="preserve">Table </w:t>
      </w:r>
      <w:r>
        <w:fldChar w:fldCharType="begin"/>
      </w:r>
      <w:r>
        <w:instrText xml:space="preserve"> SEQ Table \* ARABIC </w:instrText>
      </w:r>
      <w:r>
        <w:fldChar w:fldCharType="separate"/>
      </w:r>
      <w:r w:rsidR="00B37785">
        <w:rPr>
          <w:noProof/>
        </w:rPr>
        <w:t>8</w:t>
      </w:r>
      <w:r>
        <w:fldChar w:fldCharType="end"/>
      </w:r>
      <w:bookmarkEnd w:id="208"/>
      <w:r w:rsidRPr="005F7441">
        <w:t xml:space="preserve"> </w:t>
      </w:r>
      <w:r w:rsidRPr="00A143EA">
        <w:t>|</w:t>
      </w:r>
      <w:r>
        <w:t xml:space="preserve"> Current m</w:t>
      </w:r>
      <w:r w:rsidRPr="005F7441">
        <w:t>ethodology for allocating funding between States and Territories</w:t>
      </w:r>
      <w:r w:rsidR="00F64952">
        <w:rPr>
          <w:rStyle w:val="FootnoteReference"/>
        </w:rPr>
        <w:footnoteReference w:id="88"/>
      </w:r>
      <w:r w:rsidRPr="005F7441">
        <w:t xml:space="preserve"> </w:t>
      </w:r>
    </w:p>
    <w:tbl>
      <w:tblPr>
        <w:tblStyle w:val="TableGrid"/>
        <w:tblW w:w="0" w:type="auto"/>
        <w:tblLook w:val="04A0" w:firstRow="1" w:lastRow="0" w:firstColumn="1" w:lastColumn="0" w:noHBand="0" w:noVBand="1"/>
      </w:tblPr>
      <w:tblGrid>
        <w:gridCol w:w="2268"/>
        <w:gridCol w:w="6521"/>
      </w:tblGrid>
      <w:tr w:rsidR="00133C08" w:rsidRPr="005F7441" w14:paraId="573D0037" w14:textId="77777777" w:rsidTr="0025182A">
        <w:trPr>
          <w:cnfStyle w:val="100000000000" w:firstRow="1" w:lastRow="0" w:firstColumn="0" w:lastColumn="0" w:oddVBand="0" w:evenVBand="0" w:oddHBand="0" w:evenHBand="0" w:firstRowFirstColumn="0" w:firstRowLastColumn="0" w:lastRowFirstColumn="0" w:lastRowLastColumn="0"/>
          <w:cantSplit w:val="0"/>
          <w:tblHeader w:val="0"/>
        </w:trPr>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CEF137" w14:textId="77777777" w:rsidR="00133C08" w:rsidRPr="005F7441" w:rsidRDefault="00133C08" w:rsidP="0025182A">
            <w:pPr>
              <w:rPr>
                <w:rFonts w:asciiTheme="majorHAnsi" w:hAnsiTheme="majorHAnsi" w:cstheme="majorBidi"/>
                <w:sz w:val="16"/>
                <w:szCs w:val="16"/>
                <w:lang w:eastAsia="en-AU"/>
              </w:rPr>
            </w:pPr>
            <w:r w:rsidRPr="0C5679B2">
              <w:rPr>
                <w:rFonts w:asciiTheme="majorHAnsi" w:hAnsiTheme="majorHAnsi" w:cstheme="majorBidi"/>
                <w:sz w:val="16"/>
                <w:szCs w:val="16"/>
                <w:lang w:eastAsia="en-AU"/>
              </w:rPr>
              <w:t xml:space="preserve">Funding available to each jurisdiction </w:t>
            </w:r>
          </w:p>
        </w:tc>
        <w:tc>
          <w:tcPr>
            <w:tcW w:w="65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08B60E" w14:textId="77777777" w:rsidR="00133C08" w:rsidRPr="005F7441" w:rsidRDefault="00133C08" w:rsidP="0025182A">
            <w:pPr>
              <w:rPr>
                <w:rFonts w:asciiTheme="majorHAnsi" w:hAnsiTheme="majorHAnsi" w:cstheme="majorBidi"/>
                <w:sz w:val="16"/>
                <w:szCs w:val="16"/>
                <w:lang w:eastAsia="en-AU"/>
              </w:rPr>
            </w:pPr>
            <w:r w:rsidRPr="0C5679B2">
              <w:rPr>
                <w:rFonts w:asciiTheme="majorHAnsi" w:hAnsiTheme="majorHAnsi" w:cstheme="majorBidi"/>
                <w:sz w:val="16"/>
                <w:szCs w:val="16"/>
                <w:lang w:eastAsia="en-AU"/>
              </w:rPr>
              <w:t>= per child amount x projected enrolment</w:t>
            </w:r>
          </w:p>
        </w:tc>
      </w:tr>
      <w:tr w:rsidR="00133C08" w:rsidRPr="005F7441" w14:paraId="6F74DB02" w14:textId="77777777" w:rsidTr="0025182A">
        <w:trPr>
          <w:cnfStyle w:val="000000100000" w:firstRow="0" w:lastRow="0" w:firstColumn="0" w:lastColumn="0" w:oddVBand="0" w:evenVBand="0" w:oddHBand="1" w:evenHBand="0" w:firstRowFirstColumn="0" w:firstRowLastColumn="0" w:lastRowFirstColumn="0" w:lastRowLastColumn="0"/>
        </w:trPr>
        <w:tc>
          <w:tcPr>
            <w:tcW w:w="2268" w:type="dxa"/>
          </w:tcPr>
          <w:p w14:paraId="5A3E229C" w14:textId="77777777" w:rsidR="00133C08" w:rsidRPr="005F7441" w:rsidRDefault="00133C08" w:rsidP="0025182A">
            <w:pPr>
              <w:rPr>
                <w:rFonts w:asciiTheme="majorHAnsi" w:hAnsiTheme="majorHAnsi" w:cstheme="majorBidi"/>
                <w:color w:val="00264D" w:themeColor="background2"/>
                <w:sz w:val="16"/>
                <w:szCs w:val="16"/>
                <w:lang w:eastAsia="en-AU"/>
              </w:rPr>
            </w:pPr>
            <w:r w:rsidRPr="0C5679B2">
              <w:rPr>
                <w:rFonts w:asciiTheme="majorHAnsi" w:hAnsiTheme="majorHAnsi" w:cstheme="majorBidi"/>
                <w:color w:val="00264D" w:themeColor="background2"/>
                <w:sz w:val="16"/>
                <w:szCs w:val="16"/>
                <w:lang w:eastAsia="en-AU"/>
              </w:rPr>
              <w:t xml:space="preserve">Per child amount </w:t>
            </w:r>
          </w:p>
        </w:tc>
        <w:tc>
          <w:tcPr>
            <w:tcW w:w="6521" w:type="dxa"/>
          </w:tcPr>
          <w:p w14:paraId="1CC29257" w14:textId="77777777" w:rsidR="00133C08" w:rsidRPr="00C81F63" w:rsidRDefault="00133C08" w:rsidP="0025182A">
            <w:pPr>
              <w:rPr>
                <w:color w:val="00264D" w:themeColor="background2"/>
                <w:sz w:val="16"/>
                <w:szCs w:val="16"/>
                <w:lang w:eastAsia="en-AU"/>
              </w:rPr>
            </w:pPr>
            <w:r w:rsidRPr="0C5679B2">
              <w:rPr>
                <w:color w:val="00264D" w:themeColor="background2"/>
                <w:sz w:val="16"/>
                <w:szCs w:val="16"/>
                <w:lang w:eastAsia="en-AU"/>
              </w:rPr>
              <w:t xml:space="preserve">= per child amount allocated in the previous year, indexed at CPI </w:t>
            </w:r>
          </w:p>
        </w:tc>
      </w:tr>
      <w:tr w:rsidR="00133C08" w:rsidRPr="00981934" w14:paraId="3E97DD06" w14:textId="77777777" w:rsidTr="0025182A">
        <w:trPr>
          <w:cnfStyle w:val="000000010000" w:firstRow="0" w:lastRow="0" w:firstColumn="0" w:lastColumn="0" w:oddVBand="0" w:evenVBand="0" w:oddHBand="0" w:evenHBand="1" w:firstRowFirstColumn="0" w:firstRowLastColumn="0" w:lastRowFirstColumn="0" w:lastRowLastColumn="0"/>
        </w:trPr>
        <w:tc>
          <w:tcPr>
            <w:tcW w:w="2268" w:type="dxa"/>
          </w:tcPr>
          <w:p w14:paraId="7102DFE6" w14:textId="77777777" w:rsidR="00133C08" w:rsidRPr="005F7441" w:rsidRDefault="00133C08" w:rsidP="0025182A">
            <w:pPr>
              <w:rPr>
                <w:rFonts w:asciiTheme="majorHAnsi" w:hAnsiTheme="majorHAnsi" w:cstheme="majorBidi"/>
                <w:lang w:eastAsia="en-AU"/>
              </w:rPr>
            </w:pPr>
            <w:r w:rsidRPr="0C5679B2">
              <w:rPr>
                <w:rFonts w:asciiTheme="majorHAnsi" w:hAnsiTheme="majorHAnsi" w:cstheme="majorBidi"/>
                <w:color w:val="00264D" w:themeColor="background2"/>
                <w:sz w:val="16"/>
                <w:szCs w:val="16"/>
                <w:lang w:eastAsia="en-AU"/>
              </w:rPr>
              <w:t>Projected enrolment</w:t>
            </w:r>
          </w:p>
        </w:tc>
        <w:tc>
          <w:tcPr>
            <w:tcW w:w="6521" w:type="dxa"/>
          </w:tcPr>
          <w:p w14:paraId="16546448" w14:textId="77777777" w:rsidR="00133C08" w:rsidRPr="00C81F63" w:rsidRDefault="00133C08" w:rsidP="0025182A">
            <w:pPr>
              <w:rPr>
                <w:color w:val="00264D" w:themeColor="background2"/>
                <w:sz w:val="16"/>
                <w:szCs w:val="16"/>
                <w:lang w:eastAsia="en-AU"/>
              </w:rPr>
            </w:pPr>
            <w:r w:rsidRPr="0C5679B2">
              <w:rPr>
                <w:color w:val="00264D" w:themeColor="background2"/>
                <w:sz w:val="16"/>
                <w:szCs w:val="16"/>
                <w:lang w:eastAsia="en-AU"/>
              </w:rPr>
              <w:t xml:space="preserve">= </w:t>
            </w:r>
            <w:r w:rsidR="007D2E9B">
              <w:rPr>
                <w:color w:val="00264D" w:themeColor="background2"/>
                <w:sz w:val="16"/>
                <w:szCs w:val="16"/>
                <w:lang w:eastAsia="en-AU"/>
              </w:rPr>
              <w:t>a</w:t>
            </w:r>
            <w:r w:rsidR="007D2E9B" w:rsidRPr="0C5679B2">
              <w:rPr>
                <w:color w:val="00264D" w:themeColor="background2"/>
                <w:sz w:val="16"/>
                <w:szCs w:val="16"/>
                <w:lang w:eastAsia="en-AU"/>
              </w:rPr>
              <w:t xml:space="preserve">ctual </w:t>
            </w:r>
            <w:r w:rsidRPr="0C5679B2">
              <w:rPr>
                <w:color w:val="00264D" w:themeColor="background2"/>
                <w:sz w:val="16"/>
                <w:szCs w:val="16"/>
                <w:lang w:eastAsia="en-AU"/>
              </w:rPr>
              <w:t xml:space="preserve">enrolments (which includes some </w:t>
            </w:r>
            <w:proofErr w:type="gramStart"/>
            <w:r w:rsidRPr="0C5679B2">
              <w:rPr>
                <w:color w:val="00264D" w:themeColor="background2"/>
                <w:sz w:val="16"/>
                <w:szCs w:val="16"/>
                <w:lang w:eastAsia="en-AU"/>
              </w:rPr>
              <w:t>five</w:t>
            </w:r>
            <w:r w:rsidR="00017CCB">
              <w:rPr>
                <w:color w:val="00264D" w:themeColor="background2"/>
                <w:sz w:val="16"/>
                <w:szCs w:val="16"/>
                <w:lang w:eastAsia="en-AU"/>
              </w:rPr>
              <w:t xml:space="preserve"> </w:t>
            </w:r>
            <w:r w:rsidRPr="0C5679B2">
              <w:rPr>
                <w:color w:val="00264D" w:themeColor="background2"/>
                <w:sz w:val="16"/>
                <w:szCs w:val="16"/>
                <w:lang w:eastAsia="en-AU"/>
              </w:rPr>
              <w:t>year</w:t>
            </w:r>
            <w:r w:rsidR="00017CCB">
              <w:rPr>
                <w:color w:val="00264D" w:themeColor="background2"/>
                <w:sz w:val="16"/>
                <w:szCs w:val="16"/>
                <w:lang w:eastAsia="en-AU"/>
              </w:rPr>
              <w:t xml:space="preserve"> </w:t>
            </w:r>
            <w:r w:rsidRPr="0C5679B2">
              <w:rPr>
                <w:color w:val="00264D" w:themeColor="background2"/>
                <w:sz w:val="16"/>
                <w:szCs w:val="16"/>
                <w:lang w:eastAsia="en-AU"/>
              </w:rPr>
              <w:t>old</w:t>
            </w:r>
            <w:proofErr w:type="gramEnd"/>
            <w:r w:rsidRPr="0C5679B2">
              <w:rPr>
                <w:color w:val="00264D" w:themeColor="background2"/>
                <w:sz w:val="16"/>
                <w:szCs w:val="16"/>
                <w:lang w:eastAsia="en-AU"/>
              </w:rPr>
              <w:t xml:space="preserve"> children), multiplied by a growth factor based on the change in the ERP of four year </w:t>
            </w:r>
            <w:proofErr w:type="spellStart"/>
            <w:r w:rsidRPr="0C5679B2">
              <w:rPr>
                <w:color w:val="00264D" w:themeColor="background2"/>
                <w:sz w:val="16"/>
                <w:szCs w:val="16"/>
                <w:lang w:eastAsia="en-AU"/>
              </w:rPr>
              <w:t>olds</w:t>
            </w:r>
            <w:proofErr w:type="spellEnd"/>
            <w:r w:rsidRPr="0C5679B2">
              <w:rPr>
                <w:color w:val="00264D" w:themeColor="background2"/>
                <w:sz w:val="16"/>
                <w:szCs w:val="16"/>
                <w:lang w:eastAsia="en-AU"/>
              </w:rPr>
              <w:t xml:space="preserve"> (inferred from the historical birth rate)</w:t>
            </w:r>
          </w:p>
        </w:tc>
      </w:tr>
    </w:tbl>
    <w:p w14:paraId="6306F1DD" w14:textId="77777777" w:rsidR="00133C08" w:rsidRPr="00A17138" w:rsidRDefault="00133C08" w:rsidP="00133C08">
      <w:pPr>
        <w:pStyle w:val="NousFooter"/>
      </w:pPr>
    </w:p>
    <w:p w14:paraId="1C799E74" w14:textId="77777777" w:rsidR="0050186F" w:rsidRDefault="00133C08" w:rsidP="00133C08">
      <w:pPr>
        <w:rPr>
          <w:rFonts w:asciiTheme="minorHAnsi" w:hAnsiTheme="minorHAnsi"/>
        </w:rPr>
      </w:pPr>
      <w:bookmarkStart w:id="209" w:name="_Hlk24541652"/>
      <w:r w:rsidRPr="0C5679B2">
        <w:rPr>
          <w:rFonts w:asciiTheme="minorHAnsi" w:hAnsiTheme="minorHAnsi"/>
        </w:rPr>
        <w:t>The Review does not see the allocation of funding on a per</w:t>
      </w:r>
      <w:r w:rsidR="000559D2" w:rsidRPr="0C5679B2">
        <w:rPr>
          <w:rFonts w:asciiTheme="minorHAnsi" w:hAnsiTheme="minorHAnsi"/>
        </w:rPr>
        <w:t>-</w:t>
      </w:r>
      <w:r w:rsidRPr="0C5679B2">
        <w:rPr>
          <w:rFonts w:asciiTheme="minorHAnsi" w:hAnsiTheme="minorHAnsi"/>
        </w:rPr>
        <w:t xml:space="preserve">enrolment basis as an impediment to effectiveness, given the outcomes that have been achieved. </w:t>
      </w:r>
      <w:bookmarkEnd w:id="209"/>
      <w:r w:rsidR="009D1AE7">
        <w:rPr>
          <w:rFonts w:asciiTheme="minorHAnsi" w:hAnsiTheme="minorHAnsi"/>
        </w:rPr>
        <w:t>(</w:t>
      </w:r>
      <w:r w:rsidRPr="0C5679B2">
        <w:rPr>
          <w:rFonts w:asciiTheme="minorHAnsi" w:hAnsiTheme="minorHAnsi"/>
        </w:rPr>
        <w:t>Moreover, we note</w:t>
      </w:r>
      <w:r w:rsidR="000559D2" w:rsidRPr="0C5679B2">
        <w:rPr>
          <w:rFonts w:cs="Segoe UI"/>
          <w:i/>
        </w:rPr>
        <w:t xml:space="preserve"> </w:t>
      </w:r>
      <w:r w:rsidR="000559D2" w:rsidRPr="0C5679B2">
        <w:rPr>
          <w:rFonts w:asciiTheme="minorHAnsi" w:hAnsiTheme="minorHAnsi"/>
        </w:rPr>
        <w:t xml:space="preserve">that fiscal equalisation through general revenue assistance is </w:t>
      </w:r>
      <w:r w:rsidR="00445D21">
        <w:rPr>
          <w:rFonts w:asciiTheme="minorHAnsi" w:hAnsiTheme="minorHAnsi"/>
        </w:rPr>
        <w:t xml:space="preserve">intended </w:t>
      </w:r>
      <w:r w:rsidRPr="0C5679B2">
        <w:rPr>
          <w:rFonts w:asciiTheme="minorHAnsi" w:hAnsiTheme="minorHAnsi"/>
        </w:rPr>
        <w:t xml:space="preserve">to compensate for </w:t>
      </w:r>
      <w:r w:rsidR="00806DC4" w:rsidRPr="0C5679B2">
        <w:rPr>
          <w:rFonts w:asciiTheme="minorHAnsi" w:hAnsiTheme="minorHAnsi"/>
        </w:rPr>
        <w:t>different geographic and demographic</w:t>
      </w:r>
      <w:r w:rsidRPr="0C5679B2">
        <w:rPr>
          <w:rFonts w:asciiTheme="minorHAnsi" w:hAnsiTheme="minorHAnsi"/>
        </w:rPr>
        <w:t xml:space="preserve"> cost </w:t>
      </w:r>
      <w:r w:rsidR="00806DC4" w:rsidRPr="0C5679B2">
        <w:rPr>
          <w:rFonts w:asciiTheme="minorHAnsi" w:hAnsiTheme="minorHAnsi"/>
        </w:rPr>
        <w:t>drivers</w:t>
      </w:r>
      <w:r w:rsidRPr="0C5679B2">
        <w:rPr>
          <w:rFonts w:asciiTheme="minorHAnsi" w:hAnsiTheme="minorHAnsi"/>
        </w:rPr>
        <w:t>.</w:t>
      </w:r>
      <w:r w:rsidR="009D1AE7">
        <w:rPr>
          <w:rFonts w:asciiTheme="minorHAnsi" w:hAnsiTheme="minorHAnsi"/>
        </w:rPr>
        <w:t>)</w:t>
      </w:r>
      <w:r w:rsidRPr="0C5679B2">
        <w:rPr>
          <w:rFonts w:asciiTheme="minorHAnsi" w:hAnsiTheme="minorHAnsi"/>
        </w:rPr>
        <w:t xml:space="preserve"> </w:t>
      </w:r>
    </w:p>
    <w:p w14:paraId="00C08297" w14:textId="77777777" w:rsidR="009D1AE7" w:rsidRDefault="00133C08" w:rsidP="00133C08">
      <w:pPr>
        <w:rPr>
          <w:rFonts w:asciiTheme="minorHAnsi" w:hAnsiTheme="minorHAnsi"/>
        </w:rPr>
      </w:pPr>
      <w:r w:rsidRPr="0C5679B2" w:rsidDel="006F6595">
        <w:rPr>
          <w:rFonts w:asciiTheme="minorHAnsi" w:hAnsiTheme="minorHAnsi"/>
        </w:rPr>
        <w:t>This is not to say</w:t>
      </w:r>
      <w:r w:rsidR="009D1AE7">
        <w:rPr>
          <w:rFonts w:asciiTheme="minorHAnsi" w:hAnsiTheme="minorHAnsi"/>
        </w:rPr>
        <w:t>, however,</w:t>
      </w:r>
      <w:r w:rsidRPr="0C5679B2" w:rsidDel="006F6595">
        <w:rPr>
          <w:rFonts w:asciiTheme="minorHAnsi" w:hAnsiTheme="minorHAnsi"/>
        </w:rPr>
        <w:t xml:space="preserve"> that </w:t>
      </w:r>
      <w:r w:rsidRPr="0C5679B2">
        <w:rPr>
          <w:rFonts w:asciiTheme="minorHAnsi" w:hAnsiTheme="minorHAnsi"/>
        </w:rPr>
        <w:t xml:space="preserve">grounds </w:t>
      </w:r>
      <w:r w:rsidR="005415FD">
        <w:rPr>
          <w:rFonts w:asciiTheme="minorHAnsi" w:hAnsiTheme="minorHAnsi"/>
        </w:rPr>
        <w:t>do</w:t>
      </w:r>
      <w:r w:rsidR="00BC121A">
        <w:rPr>
          <w:rFonts w:asciiTheme="minorHAnsi" w:hAnsiTheme="minorHAnsi"/>
        </w:rPr>
        <w:t xml:space="preserve"> no</w:t>
      </w:r>
      <w:r w:rsidR="005415FD">
        <w:rPr>
          <w:rFonts w:asciiTheme="minorHAnsi" w:hAnsiTheme="minorHAnsi"/>
        </w:rPr>
        <w:t>t exist</w:t>
      </w:r>
      <w:r w:rsidRPr="0C5679B2">
        <w:rPr>
          <w:rFonts w:asciiTheme="minorHAnsi" w:hAnsiTheme="minorHAnsi"/>
        </w:rPr>
        <w:t xml:space="preserve"> for future targeted investments </w:t>
      </w:r>
      <w:r w:rsidR="000559D2" w:rsidRPr="0C5679B2">
        <w:rPr>
          <w:rFonts w:asciiTheme="minorHAnsi" w:hAnsiTheme="minorHAnsi"/>
        </w:rPr>
        <w:t xml:space="preserve">by governments </w:t>
      </w:r>
      <w:r w:rsidR="00445D21">
        <w:rPr>
          <w:rFonts w:asciiTheme="minorHAnsi" w:hAnsiTheme="minorHAnsi"/>
        </w:rPr>
        <w:t xml:space="preserve">directed towards </w:t>
      </w:r>
      <w:r w:rsidRPr="0C5679B2">
        <w:rPr>
          <w:rFonts w:asciiTheme="minorHAnsi" w:hAnsiTheme="minorHAnsi"/>
        </w:rPr>
        <w:t xml:space="preserve">children </w:t>
      </w:r>
      <w:r w:rsidR="00445D21">
        <w:rPr>
          <w:rFonts w:asciiTheme="minorHAnsi" w:hAnsiTheme="minorHAnsi"/>
        </w:rPr>
        <w:t>and</w:t>
      </w:r>
      <w:r w:rsidRPr="0C5679B2">
        <w:rPr>
          <w:rFonts w:asciiTheme="minorHAnsi" w:hAnsiTheme="minorHAnsi"/>
        </w:rPr>
        <w:t xml:space="preserve"> communities who have been harder to engage. </w:t>
      </w:r>
      <w:r w:rsidR="00445D21">
        <w:rPr>
          <w:rFonts w:asciiTheme="minorHAnsi" w:hAnsiTheme="minorHAnsi"/>
        </w:rPr>
        <w:t>(</w:t>
      </w:r>
      <w:r w:rsidR="0050186F">
        <w:rPr>
          <w:rFonts w:asciiTheme="minorHAnsi" w:hAnsiTheme="minorHAnsi"/>
        </w:rPr>
        <w:t>And i</w:t>
      </w:r>
      <w:r w:rsidRPr="0C5679B2">
        <w:rPr>
          <w:rFonts w:asciiTheme="minorHAnsi" w:hAnsiTheme="minorHAnsi"/>
        </w:rPr>
        <w:t xml:space="preserve">n this context, </w:t>
      </w:r>
      <w:r w:rsidR="00806DC4" w:rsidRPr="0C5679B2">
        <w:rPr>
          <w:rFonts w:asciiTheme="minorHAnsi" w:hAnsiTheme="minorHAnsi"/>
        </w:rPr>
        <w:t xml:space="preserve">we </w:t>
      </w:r>
      <w:r w:rsidR="00445D21">
        <w:rPr>
          <w:rFonts w:asciiTheme="minorHAnsi" w:hAnsiTheme="minorHAnsi"/>
        </w:rPr>
        <w:t>acknowledge</w:t>
      </w:r>
      <w:r w:rsidRPr="0C5679B2">
        <w:rPr>
          <w:rFonts w:asciiTheme="minorHAnsi" w:hAnsiTheme="minorHAnsi"/>
        </w:rPr>
        <w:t xml:space="preserve"> that further progress with respect to children with more complex barriers</w:t>
      </w:r>
      <w:r w:rsidR="00806DC4" w:rsidRPr="0C5679B2">
        <w:rPr>
          <w:rFonts w:asciiTheme="minorHAnsi" w:hAnsiTheme="minorHAnsi"/>
        </w:rPr>
        <w:t>,</w:t>
      </w:r>
      <w:r w:rsidRPr="0C5679B2">
        <w:rPr>
          <w:rFonts w:asciiTheme="minorHAnsi" w:hAnsiTheme="minorHAnsi"/>
        </w:rPr>
        <w:t xml:space="preserve"> </w:t>
      </w:r>
      <w:r w:rsidR="00806DC4" w:rsidRPr="0C5679B2">
        <w:rPr>
          <w:rFonts w:asciiTheme="minorHAnsi" w:hAnsiTheme="minorHAnsi"/>
        </w:rPr>
        <w:t xml:space="preserve">or </w:t>
      </w:r>
      <w:r w:rsidR="00445D21">
        <w:rPr>
          <w:rFonts w:asciiTheme="minorHAnsi" w:hAnsiTheme="minorHAnsi"/>
        </w:rPr>
        <w:t xml:space="preserve">who reside </w:t>
      </w:r>
      <w:r w:rsidR="00806DC4" w:rsidRPr="0C5679B2">
        <w:rPr>
          <w:rFonts w:asciiTheme="minorHAnsi" w:hAnsiTheme="minorHAnsi"/>
        </w:rPr>
        <w:t xml:space="preserve">in more remote communities that are difficult to resource, </w:t>
      </w:r>
      <w:r w:rsidRPr="0C5679B2">
        <w:rPr>
          <w:rFonts w:asciiTheme="minorHAnsi" w:hAnsiTheme="minorHAnsi"/>
        </w:rPr>
        <w:t>will</w:t>
      </w:r>
      <w:r w:rsidR="00445D21">
        <w:rPr>
          <w:rFonts w:asciiTheme="minorHAnsi" w:hAnsiTheme="minorHAnsi"/>
        </w:rPr>
        <w:t xml:space="preserve"> require more intensive effort that may produce </w:t>
      </w:r>
      <w:r w:rsidRPr="0C5679B2">
        <w:rPr>
          <w:rFonts w:asciiTheme="minorHAnsi" w:hAnsiTheme="minorHAnsi"/>
        </w:rPr>
        <w:t>more incremental</w:t>
      </w:r>
      <w:r w:rsidR="00445D21">
        <w:rPr>
          <w:rFonts w:asciiTheme="minorHAnsi" w:hAnsiTheme="minorHAnsi"/>
        </w:rPr>
        <w:t xml:space="preserve"> results</w:t>
      </w:r>
      <w:r w:rsidRPr="0C5679B2">
        <w:rPr>
          <w:rFonts w:asciiTheme="minorHAnsi" w:hAnsiTheme="minorHAnsi"/>
        </w:rPr>
        <w:t>.</w:t>
      </w:r>
      <w:r w:rsidR="0050186F">
        <w:rPr>
          <w:rFonts w:asciiTheme="minorHAnsi" w:hAnsiTheme="minorHAnsi"/>
        </w:rPr>
        <w:t>)</w:t>
      </w:r>
      <w:r w:rsidR="006F6595">
        <w:rPr>
          <w:rFonts w:asciiTheme="minorHAnsi" w:hAnsiTheme="minorHAnsi"/>
        </w:rPr>
        <w:t xml:space="preserve"> </w:t>
      </w:r>
    </w:p>
    <w:p w14:paraId="745E820A" w14:textId="628E30F8" w:rsidR="0050186F" w:rsidRDefault="009D1AE7" w:rsidP="00133C08">
      <w:pPr>
        <w:rPr>
          <w:rFonts w:asciiTheme="minorHAnsi" w:hAnsiTheme="minorHAnsi"/>
        </w:rPr>
      </w:pPr>
      <w:r>
        <w:rPr>
          <w:rFonts w:asciiTheme="minorHAnsi" w:hAnsiTheme="minorHAnsi"/>
        </w:rPr>
        <w:t>F</w:t>
      </w:r>
      <w:r w:rsidR="0050186F">
        <w:rPr>
          <w:rFonts w:asciiTheme="minorHAnsi" w:hAnsiTheme="minorHAnsi"/>
        </w:rPr>
        <w:t xml:space="preserve">urther work could usefully be done to </w:t>
      </w:r>
      <w:r w:rsidRPr="005B469E">
        <w:rPr>
          <w:rFonts w:eastAsia="Times New Roman"/>
          <w:lang w:eastAsia="en-AU"/>
        </w:rPr>
        <w:t>quantify the impact of different child and service characteristics on the cost of provision</w:t>
      </w:r>
      <w:r>
        <w:rPr>
          <w:rFonts w:asciiTheme="minorHAnsi" w:hAnsiTheme="minorHAnsi"/>
        </w:rPr>
        <w:t xml:space="preserve"> and model </w:t>
      </w:r>
      <w:r w:rsidRPr="00D3733F">
        <w:rPr>
          <w:rFonts w:eastAsia="Times New Roman"/>
          <w:lang w:eastAsia="en-AU"/>
        </w:rPr>
        <w:t xml:space="preserve">the efficient cost of delivering preschool in different </w:t>
      </w:r>
      <w:r>
        <w:rPr>
          <w:rFonts w:eastAsia="Times New Roman"/>
          <w:lang w:eastAsia="en-AU"/>
        </w:rPr>
        <w:t>jurisdictional contexts.</w:t>
      </w:r>
      <w:r w:rsidRPr="00D3733F">
        <w:rPr>
          <w:rFonts w:eastAsia="Times New Roman"/>
          <w:lang w:eastAsia="en-AU"/>
        </w:rPr>
        <w:t xml:space="preserve"> </w:t>
      </w:r>
      <w:r>
        <w:rPr>
          <w:rFonts w:asciiTheme="minorHAnsi" w:hAnsiTheme="minorHAnsi"/>
        </w:rPr>
        <w:t>The</w:t>
      </w:r>
      <w:r w:rsidR="0050186F">
        <w:rPr>
          <w:rFonts w:asciiTheme="minorHAnsi" w:hAnsiTheme="minorHAnsi"/>
        </w:rPr>
        <w:t xml:space="preserve"> Review finds that examin</w:t>
      </w:r>
      <w:r w:rsidR="00870CBB">
        <w:rPr>
          <w:rFonts w:asciiTheme="minorHAnsi" w:hAnsiTheme="minorHAnsi"/>
        </w:rPr>
        <w:t>ing</w:t>
      </w:r>
      <w:r w:rsidR="0050186F">
        <w:rPr>
          <w:rFonts w:asciiTheme="minorHAnsi" w:hAnsiTheme="minorHAnsi"/>
        </w:rPr>
        <w:t xml:space="preserve"> this would be of significant value </w:t>
      </w:r>
      <w:r w:rsidR="00870CBB">
        <w:rPr>
          <w:rFonts w:asciiTheme="minorHAnsi" w:hAnsiTheme="minorHAnsi"/>
        </w:rPr>
        <w:t xml:space="preserve">(see </w:t>
      </w:r>
      <w:r w:rsidR="00634DE1">
        <w:rPr>
          <w:rFonts w:asciiTheme="minorHAnsi" w:hAnsiTheme="minorHAnsi"/>
        </w:rPr>
        <w:t>discussion of</w:t>
      </w:r>
      <w:r w:rsidR="00870CBB">
        <w:rPr>
          <w:rFonts w:asciiTheme="minorHAnsi" w:hAnsiTheme="minorHAnsi"/>
        </w:rPr>
        <w:t xml:space="preserve"> Key Finding </w:t>
      </w:r>
      <w:r w:rsidR="00A734E9">
        <w:rPr>
          <w:rFonts w:asciiTheme="minorHAnsi" w:hAnsiTheme="minorHAnsi"/>
        </w:rPr>
        <w:t>25</w:t>
      </w:r>
      <w:r w:rsidR="00634DE1">
        <w:rPr>
          <w:rFonts w:asciiTheme="minorHAnsi" w:hAnsiTheme="minorHAnsi"/>
        </w:rPr>
        <w:t xml:space="preserve"> in Chapter </w:t>
      </w:r>
      <w:r w:rsidR="00634DE1">
        <w:rPr>
          <w:rFonts w:asciiTheme="minorHAnsi" w:hAnsiTheme="minorHAnsi"/>
        </w:rPr>
        <w:fldChar w:fldCharType="begin"/>
      </w:r>
      <w:r w:rsidR="00634DE1">
        <w:rPr>
          <w:rFonts w:asciiTheme="minorHAnsi" w:hAnsiTheme="minorHAnsi"/>
        </w:rPr>
        <w:instrText xml:space="preserve"> REF _Ref24086391 \r \h </w:instrText>
      </w:r>
      <w:r w:rsidR="00634DE1">
        <w:rPr>
          <w:rFonts w:asciiTheme="minorHAnsi" w:hAnsiTheme="minorHAnsi"/>
        </w:rPr>
      </w:r>
      <w:r w:rsidR="00634DE1">
        <w:rPr>
          <w:rFonts w:asciiTheme="minorHAnsi" w:hAnsiTheme="minorHAnsi"/>
        </w:rPr>
        <w:fldChar w:fldCharType="separate"/>
      </w:r>
      <w:r w:rsidR="00B37785">
        <w:rPr>
          <w:rFonts w:asciiTheme="minorHAnsi" w:hAnsiTheme="minorHAnsi"/>
        </w:rPr>
        <w:t>6</w:t>
      </w:r>
      <w:r w:rsidR="00634DE1">
        <w:rPr>
          <w:rFonts w:asciiTheme="minorHAnsi" w:hAnsiTheme="minorHAnsi"/>
        </w:rPr>
        <w:fldChar w:fldCharType="end"/>
      </w:r>
      <w:r w:rsidR="00870CBB">
        <w:rPr>
          <w:rFonts w:asciiTheme="minorHAnsi" w:hAnsiTheme="minorHAnsi"/>
        </w:rPr>
        <w:t>)</w:t>
      </w:r>
      <w:r w:rsidR="0050186F">
        <w:rPr>
          <w:rFonts w:asciiTheme="minorHAnsi" w:hAnsiTheme="minorHAnsi"/>
        </w:rPr>
        <w:t>.</w:t>
      </w:r>
    </w:p>
    <w:p w14:paraId="68AFB9C2" w14:textId="77777777" w:rsidR="00B16263" w:rsidRDefault="005D269F" w:rsidP="00B16263">
      <w:pPr>
        <w:pStyle w:val="Heading4"/>
      </w:pPr>
      <w:r>
        <w:t xml:space="preserve">Funding arrangements </w:t>
      </w:r>
      <w:r w:rsidR="008D4875">
        <w:t>may</w:t>
      </w:r>
      <w:r>
        <w:t xml:space="preserve"> not promote </w:t>
      </w:r>
      <w:r w:rsidR="0042066B" w:rsidRPr="005D269F">
        <w:t>equitable outcomes for all childre</w:t>
      </w:r>
      <w:r>
        <w:t>n</w:t>
      </w:r>
    </w:p>
    <w:p w14:paraId="38764415" w14:textId="13B64B70" w:rsidR="00084F2E" w:rsidRDefault="00A17138" w:rsidP="00110864">
      <w:pPr>
        <w:pStyle w:val="Bullet"/>
        <w:rPr>
          <w:rFonts w:asciiTheme="minorHAnsi" w:hAnsiTheme="minorHAnsi" w:cstheme="minorBidi"/>
        </w:rPr>
      </w:pPr>
      <w:r w:rsidRPr="0C5679B2">
        <w:rPr>
          <w:rFonts w:asciiTheme="minorHAnsi" w:hAnsiTheme="minorHAnsi" w:cstheme="minorBidi"/>
        </w:rPr>
        <w:t xml:space="preserve">The Review finds that some children face significant barriers to realising the benefits of 600 hours of preschool in the YBFS. This includes some children who are not captured by the target cohorts in the UANP. </w:t>
      </w:r>
      <w:r w:rsidR="00806DC4" w:rsidRPr="0C5679B2">
        <w:rPr>
          <w:rFonts w:asciiTheme="minorHAnsi" w:hAnsiTheme="minorHAnsi" w:cstheme="minorBidi"/>
        </w:rPr>
        <w:t>As discussed in Chapter</w:t>
      </w:r>
      <w:r w:rsidR="00806DC4" w:rsidRPr="00AB0502">
        <w:rPr>
          <w:rFonts w:asciiTheme="minorHAnsi" w:eastAsiaTheme="minorHAnsi" w:hAnsiTheme="minorHAnsi" w:cstheme="minorBidi"/>
        </w:rPr>
        <w:t xml:space="preserve"> </w:t>
      </w:r>
      <w:r w:rsidR="002102D8" w:rsidRPr="00AB0502">
        <w:rPr>
          <w:rFonts w:asciiTheme="minorHAnsi" w:hAnsiTheme="minorHAnsi" w:cstheme="minorBidi"/>
        </w:rPr>
        <w:fldChar w:fldCharType="begin"/>
      </w:r>
      <w:r w:rsidR="002102D8" w:rsidRPr="00AB0502">
        <w:rPr>
          <w:rFonts w:asciiTheme="minorHAnsi" w:hAnsiTheme="minorHAnsi" w:cstheme="minorBidi"/>
        </w:rPr>
        <w:instrText xml:space="preserve"> REF _Ref24557274 \r \h </w:instrText>
      </w:r>
      <w:r w:rsidR="00AB0502">
        <w:rPr>
          <w:rFonts w:asciiTheme="minorHAnsi" w:hAnsiTheme="minorHAnsi" w:cstheme="minorBidi"/>
        </w:rPr>
        <w:instrText xml:space="preserve"> \* MERGEFORMAT </w:instrText>
      </w:r>
      <w:r w:rsidR="002102D8" w:rsidRPr="00AB0502">
        <w:rPr>
          <w:rFonts w:asciiTheme="minorHAnsi" w:hAnsiTheme="minorHAnsi" w:cstheme="minorBidi"/>
        </w:rPr>
      </w:r>
      <w:r w:rsidR="002102D8" w:rsidRPr="00AB0502">
        <w:rPr>
          <w:rFonts w:asciiTheme="minorHAnsi" w:hAnsiTheme="minorHAnsi" w:cstheme="minorBidi"/>
        </w:rPr>
        <w:fldChar w:fldCharType="separate"/>
      </w:r>
      <w:r w:rsidR="00B37785">
        <w:rPr>
          <w:rFonts w:asciiTheme="minorHAnsi" w:hAnsiTheme="minorHAnsi" w:cstheme="minorBidi"/>
        </w:rPr>
        <w:t>3.4</w:t>
      </w:r>
      <w:r w:rsidR="002102D8" w:rsidRPr="00AB0502">
        <w:rPr>
          <w:rFonts w:asciiTheme="minorHAnsi" w:hAnsiTheme="minorHAnsi" w:cstheme="minorBidi"/>
        </w:rPr>
        <w:fldChar w:fldCharType="end"/>
      </w:r>
      <w:r w:rsidR="00806DC4" w:rsidRPr="00AB0502">
        <w:rPr>
          <w:rFonts w:asciiTheme="minorHAnsi" w:eastAsiaTheme="minorHAnsi" w:hAnsiTheme="minorHAnsi" w:cstheme="minorBidi"/>
        </w:rPr>
        <w:t xml:space="preserve">, </w:t>
      </w:r>
      <w:r w:rsidR="00806DC4" w:rsidRPr="0C5679B2">
        <w:rPr>
          <w:rFonts w:asciiTheme="minorHAnsi" w:hAnsiTheme="minorHAnsi" w:cstheme="minorBidi"/>
        </w:rPr>
        <w:t>b</w:t>
      </w:r>
      <w:r w:rsidRPr="0C5679B2">
        <w:rPr>
          <w:rFonts w:asciiTheme="minorHAnsi" w:hAnsiTheme="minorHAnsi" w:cstheme="minorBidi"/>
        </w:rPr>
        <w:t xml:space="preserve">arriers are typically </w:t>
      </w:r>
      <w:r w:rsidR="00445D21">
        <w:rPr>
          <w:rFonts w:asciiTheme="minorHAnsi" w:hAnsiTheme="minorHAnsi" w:cstheme="minorBidi"/>
        </w:rPr>
        <w:t>un</w:t>
      </w:r>
      <w:r w:rsidRPr="0C5679B2">
        <w:rPr>
          <w:rFonts w:asciiTheme="minorHAnsi" w:hAnsiTheme="minorHAnsi" w:cstheme="minorBidi"/>
        </w:rPr>
        <w:t xml:space="preserve">related to fees. </w:t>
      </w:r>
      <w:r w:rsidR="00806DC4" w:rsidRPr="0C5679B2">
        <w:rPr>
          <w:rFonts w:asciiTheme="minorHAnsi" w:hAnsiTheme="minorHAnsi" w:cstheme="minorBidi"/>
        </w:rPr>
        <w:t>Access to services of a suitable q</w:t>
      </w:r>
      <w:r w:rsidRPr="0C5679B2">
        <w:rPr>
          <w:rFonts w:asciiTheme="minorHAnsi" w:hAnsiTheme="minorHAnsi" w:cstheme="minorBidi"/>
        </w:rPr>
        <w:t>uality</w:t>
      </w:r>
      <w:r w:rsidR="00806DC4" w:rsidRPr="0C5679B2">
        <w:rPr>
          <w:rFonts w:asciiTheme="minorHAnsi" w:hAnsiTheme="minorHAnsi" w:cstheme="minorBidi"/>
        </w:rPr>
        <w:t xml:space="preserve"> also</w:t>
      </w:r>
      <w:r w:rsidRPr="0C5679B2">
        <w:rPr>
          <w:rFonts w:asciiTheme="minorHAnsi" w:hAnsiTheme="minorHAnsi" w:cstheme="minorBidi"/>
        </w:rPr>
        <w:t xml:space="preserve"> can be inequitable. </w:t>
      </w:r>
      <w:r w:rsidR="00B530BB" w:rsidRPr="0C5679B2">
        <w:rPr>
          <w:rFonts w:asciiTheme="minorHAnsi" w:hAnsiTheme="minorHAnsi" w:cstheme="minorBidi"/>
        </w:rPr>
        <w:t xml:space="preserve">For example, </w:t>
      </w:r>
      <w:r w:rsidR="00445D21">
        <w:rPr>
          <w:rFonts w:asciiTheme="minorHAnsi" w:hAnsiTheme="minorHAnsi" w:cstheme="minorBidi"/>
        </w:rPr>
        <w:t>preschool programs</w:t>
      </w:r>
      <w:r w:rsidR="00B530BB">
        <w:rPr>
          <w:rFonts w:asciiTheme="minorHAnsi" w:hAnsiTheme="minorHAnsi" w:cstheme="minorBidi"/>
        </w:rPr>
        <w:t xml:space="preserve"> in some locations and service categories are more likely to need </w:t>
      </w:r>
      <w:r w:rsidR="00B530BB" w:rsidRPr="0C5679B2">
        <w:rPr>
          <w:rFonts w:asciiTheme="minorHAnsi" w:hAnsiTheme="minorHAnsi" w:cstheme="minorBidi"/>
        </w:rPr>
        <w:t xml:space="preserve">waivers </w:t>
      </w:r>
      <w:r w:rsidR="00B530BB">
        <w:rPr>
          <w:rFonts w:asciiTheme="minorHAnsi" w:hAnsiTheme="minorHAnsi" w:cstheme="minorBidi"/>
        </w:rPr>
        <w:t xml:space="preserve">from NQF </w:t>
      </w:r>
      <w:r w:rsidR="00B530BB" w:rsidRPr="0C5679B2">
        <w:rPr>
          <w:rFonts w:asciiTheme="minorHAnsi" w:hAnsiTheme="minorHAnsi" w:cstheme="minorBidi"/>
        </w:rPr>
        <w:t>workforce requirements</w:t>
      </w:r>
      <w:r w:rsidR="00AB0502">
        <w:rPr>
          <w:rFonts w:asciiTheme="minorHAnsi" w:hAnsiTheme="minorHAnsi" w:cstheme="minorBidi"/>
        </w:rPr>
        <w:t xml:space="preserve"> (as discussed in Chapter 3.3)</w:t>
      </w:r>
      <w:r w:rsidR="00B530BB" w:rsidRPr="0C5679B2">
        <w:rPr>
          <w:rFonts w:asciiTheme="minorHAnsi" w:hAnsiTheme="minorHAnsi" w:cstheme="minorBidi"/>
        </w:rPr>
        <w:t xml:space="preserve">. </w:t>
      </w:r>
    </w:p>
    <w:p w14:paraId="2C1EB618" w14:textId="3B8E9040" w:rsidR="00B77046" w:rsidRPr="00B77046" w:rsidRDefault="00B77046" w:rsidP="00B77046">
      <w:pPr>
        <w:rPr>
          <w:rFonts w:asciiTheme="minorHAnsi" w:hAnsiTheme="minorHAnsi"/>
        </w:rPr>
      </w:pPr>
      <w:r>
        <w:rPr>
          <w:rFonts w:asciiTheme="minorHAnsi" w:hAnsiTheme="minorHAnsi"/>
        </w:rPr>
        <w:t>The Review notes that efforts to enhance equity at the child-level do not necessarily require a departure from State and Territory policy autonomy and funding flexibility. Funding can be aligned with cost (or need) at a jurisdictional level, with a view to States and Territories distributing funding on this basis. This approach reflects th</w:t>
      </w:r>
      <w:r w:rsidR="00D5633A">
        <w:rPr>
          <w:rFonts w:asciiTheme="minorHAnsi" w:hAnsiTheme="minorHAnsi"/>
        </w:rPr>
        <w:t>e position that</w:t>
      </w:r>
      <w:r>
        <w:rPr>
          <w:rFonts w:asciiTheme="minorHAnsi" w:hAnsiTheme="minorHAnsi"/>
        </w:rPr>
        <w:t xml:space="preserve"> States and Territories are best placed to ensure equitable outcomes within their respective jurisdictions.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811AE9" w14:paraId="2E53740B" w14:textId="77777777" w:rsidTr="00941D01">
        <w:tc>
          <w:tcPr>
            <w:tcW w:w="8930" w:type="dxa"/>
            <w:shd w:val="clear" w:color="auto" w:fill="00264D" w:themeFill="background2"/>
          </w:tcPr>
          <w:p w14:paraId="313C6FBE" w14:textId="77777777" w:rsidR="00811AE9" w:rsidRPr="006C71B3" w:rsidRDefault="00811AE9" w:rsidP="00941D01">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2265F7">
              <w:rPr>
                <w:rFonts w:asciiTheme="minorHAnsi" w:hAnsiTheme="minorHAnsi"/>
                <w:b/>
                <w:color w:val="25B3E0" w:themeColor="accent6"/>
                <w:sz w:val="20"/>
                <w:szCs w:val="20"/>
              </w:rPr>
              <w:t>8</w:t>
            </w:r>
          </w:p>
          <w:p w14:paraId="76978843" w14:textId="77777777" w:rsidR="00811AE9" w:rsidRPr="002C54BC" w:rsidRDefault="00811AE9" w:rsidP="00941D01">
            <w:pPr>
              <w:pStyle w:val="Longformcallout"/>
              <w:spacing w:after="0"/>
              <w:rPr>
                <w:rFonts w:asciiTheme="majorHAnsi" w:hAnsiTheme="majorHAnsi" w:cstheme="majorBidi"/>
                <w:color w:val="FFFFFF" w:themeColor="background1"/>
                <w:sz w:val="20"/>
                <w:szCs w:val="20"/>
              </w:rPr>
            </w:pPr>
            <w:r w:rsidRPr="00811AE9">
              <w:rPr>
                <w:rFonts w:asciiTheme="majorHAnsi" w:hAnsiTheme="majorHAnsi" w:cstheme="majorBidi"/>
                <w:color w:val="FFFFFF" w:themeColor="background1"/>
                <w:sz w:val="20"/>
                <w:szCs w:val="20"/>
              </w:rPr>
              <w:t xml:space="preserve">UANP funding </w:t>
            </w:r>
            <w:r w:rsidR="00356222">
              <w:rPr>
                <w:rFonts w:asciiTheme="majorHAnsi" w:hAnsiTheme="majorHAnsi" w:cstheme="majorBidi"/>
                <w:color w:val="FFFFFF" w:themeColor="background1"/>
                <w:sz w:val="20"/>
                <w:szCs w:val="20"/>
              </w:rPr>
              <w:t xml:space="preserve">arrangements </w:t>
            </w:r>
            <w:r w:rsidRPr="00811AE9">
              <w:rPr>
                <w:rFonts w:asciiTheme="majorHAnsi" w:hAnsiTheme="majorHAnsi" w:cstheme="majorBidi"/>
                <w:color w:val="FFFFFF" w:themeColor="background1"/>
                <w:sz w:val="20"/>
                <w:szCs w:val="20"/>
              </w:rPr>
              <w:t>ha</w:t>
            </w:r>
            <w:r w:rsidR="00356222">
              <w:rPr>
                <w:rFonts w:asciiTheme="majorHAnsi" w:hAnsiTheme="majorHAnsi" w:cstheme="majorBidi"/>
                <w:color w:val="FFFFFF" w:themeColor="background1"/>
                <w:sz w:val="20"/>
                <w:szCs w:val="20"/>
              </w:rPr>
              <w:t>ve</w:t>
            </w:r>
            <w:r w:rsidRPr="00811AE9">
              <w:rPr>
                <w:rFonts w:asciiTheme="majorHAnsi" w:hAnsiTheme="majorHAnsi" w:cstheme="majorBidi"/>
                <w:color w:val="FFFFFF" w:themeColor="background1"/>
                <w:sz w:val="20"/>
                <w:szCs w:val="20"/>
              </w:rPr>
              <w:t xml:space="preserve"> been effective in achieving the agreed outcomes, with some room for improvement</w:t>
            </w:r>
            <w:r w:rsidRPr="0C5679B2">
              <w:rPr>
                <w:rFonts w:asciiTheme="majorHAnsi" w:hAnsiTheme="majorHAnsi" w:cstheme="majorBidi"/>
                <w:color w:val="FFFFFF" w:themeColor="background1"/>
                <w:sz w:val="20"/>
                <w:szCs w:val="20"/>
              </w:rPr>
              <w:t>.</w:t>
            </w:r>
          </w:p>
        </w:tc>
      </w:tr>
    </w:tbl>
    <w:p w14:paraId="52978DA8" w14:textId="77777777" w:rsidR="005D269F" w:rsidRPr="005D269F" w:rsidRDefault="005D269F" w:rsidP="005D269F">
      <w:pPr>
        <w:pStyle w:val="Heading2"/>
      </w:pPr>
      <w:bookmarkStart w:id="210" w:name="_Toc24550664"/>
      <w:bookmarkStart w:id="211" w:name="_Toc24559605"/>
      <w:bookmarkStart w:id="212" w:name="_Toc54597793"/>
      <w:bookmarkEnd w:id="210"/>
      <w:r w:rsidRPr="005D269F">
        <w:t xml:space="preserve">UANP funding </w:t>
      </w:r>
      <w:r w:rsidR="00DE07B3">
        <w:t>arrangements are efficient</w:t>
      </w:r>
      <w:r w:rsidRPr="005D269F">
        <w:t xml:space="preserve">, but </w:t>
      </w:r>
      <w:r w:rsidR="000452CA">
        <w:t>longer-term arrangements</w:t>
      </w:r>
      <w:r w:rsidRPr="005D269F">
        <w:t xml:space="preserve"> </w:t>
      </w:r>
      <w:r w:rsidR="00DE07B3">
        <w:t>would</w:t>
      </w:r>
      <w:r w:rsidRPr="005D269F">
        <w:t xml:space="preserve"> </w:t>
      </w:r>
      <w:r w:rsidR="000452CA">
        <w:t>enable</w:t>
      </w:r>
      <w:r w:rsidRPr="005D269F">
        <w:t xml:space="preserve"> </w:t>
      </w:r>
      <w:r w:rsidR="00DE07B3">
        <w:t xml:space="preserve">better </w:t>
      </w:r>
      <w:r w:rsidRPr="005D269F">
        <w:t>planning</w:t>
      </w:r>
      <w:bookmarkEnd w:id="211"/>
      <w:bookmarkEnd w:id="212"/>
      <w:r w:rsidRPr="005D269F">
        <w:t xml:space="preserve"> </w:t>
      </w:r>
    </w:p>
    <w:p w14:paraId="1B2240B2" w14:textId="77777777" w:rsidR="003701D8" w:rsidRDefault="00D8395A" w:rsidP="00F85AB6">
      <w:pPr>
        <w:pStyle w:val="Heading4"/>
      </w:pPr>
      <w:r>
        <w:t>L</w:t>
      </w:r>
      <w:r w:rsidR="003701D8" w:rsidRPr="003701D8">
        <w:t>everag</w:t>
      </w:r>
      <w:r>
        <w:t>ing</w:t>
      </w:r>
      <w:r w:rsidR="003701D8" w:rsidRPr="003701D8">
        <w:t xml:space="preserve"> existing assets</w:t>
      </w:r>
      <w:r>
        <w:t xml:space="preserve"> to provide preschool </w:t>
      </w:r>
      <w:r w:rsidR="00A17138">
        <w:t>can be</w:t>
      </w:r>
      <w:r>
        <w:t xml:space="preserve"> efficient</w:t>
      </w:r>
    </w:p>
    <w:p w14:paraId="0C18BE44" w14:textId="729C1F2B" w:rsidR="00634DE1" w:rsidRDefault="003701D8" w:rsidP="003701D8">
      <w:pPr>
        <w:pStyle w:val="Bullet"/>
        <w:rPr>
          <w:rFonts w:asciiTheme="minorHAnsi" w:hAnsiTheme="minorHAnsi" w:cstheme="minorBidi"/>
        </w:rPr>
      </w:pPr>
      <w:r w:rsidRPr="0C5679B2">
        <w:rPr>
          <w:rFonts w:asciiTheme="minorHAnsi" w:hAnsiTheme="minorHAnsi" w:cstheme="minorBidi"/>
        </w:rPr>
        <w:t xml:space="preserve">The Review finds that the capacity for States and Territories to leverage existing services does not render current arrangements inefficient. </w:t>
      </w:r>
      <w:r w:rsidR="003B6453" w:rsidRPr="0C5679B2">
        <w:rPr>
          <w:rFonts w:asciiTheme="minorHAnsi" w:hAnsiTheme="minorHAnsi" w:cstheme="minorBidi"/>
        </w:rPr>
        <w:t xml:space="preserve">Relying on CBDC providers to deliver preschool programs may be efficient in some jurisdictions. </w:t>
      </w:r>
      <w:r w:rsidR="003B6453">
        <w:rPr>
          <w:rFonts w:asciiTheme="minorHAnsi" w:hAnsiTheme="minorHAnsi" w:cstheme="minorBidi"/>
        </w:rPr>
        <w:t>Similarly, leveraging school infrastructure, particularly in thin markets</w:t>
      </w:r>
      <w:r w:rsidR="00001A24" w:rsidRPr="00001A24">
        <w:rPr>
          <w:rFonts w:asciiTheme="minorHAnsi" w:hAnsiTheme="minorHAnsi" w:cstheme="minorHAnsi"/>
          <w:color w:val="00264D" w:themeColor="background2"/>
        </w:rPr>
        <w:t xml:space="preserve"> </w:t>
      </w:r>
      <w:r w:rsidR="00001A24" w:rsidRPr="00D04AFF">
        <w:rPr>
          <w:rFonts w:asciiTheme="minorHAnsi" w:hAnsiTheme="minorHAnsi" w:cstheme="minorHAnsi"/>
          <w:color w:val="00264D" w:themeColor="background2"/>
        </w:rPr>
        <w:t>or communities with high proportions of children experiencing vulnerability and disadvantage</w:t>
      </w:r>
      <w:r w:rsidR="003B6453">
        <w:rPr>
          <w:rFonts w:asciiTheme="minorHAnsi" w:hAnsiTheme="minorHAnsi" w:cstheme="minorBidi"/>
        </w:rPr>
        <w:t xml:space="preserve">, </w:t>
      </w:r>
      <w:r w:rsidR="00440904">
        <w:rPr>
          <w:rFonts w:asciiTheme="minorHAnsi" w:hAnsiTheme="minorHAnsi" w:cstheme="minorBidi"/>
        </w:rPr>
        <w:t xml:space="preserve">may represent </w:t>
      </w:r>
      <w:r w:rsidR="003B6453">
        <w:rPr>
          <w:rFonts w:asciiTheme="minorHAnsi" w:hAnsiTheme="minorHAnsi" w:cstheme="minorBidi"/>
        </w:rPr>
        <w:t xml:space="preserve">an efficient way to </w:t>
      </w:r>
      <w:r w:rsidR="00440904">
        <w:rPr>
          <w:rFonts w:asciiTheme="minorHAnsi" w:hAnsiTheme="minorHAnsi" w:cstheme="minorBidi"/>
        </w:rPr>
        <w:t>achieve universal preschool provision</w:t>
      </w:r>
      <w:r w:rsidR="003B6453">
        <w:rPr>
          <w:rFonts w:asciiTheme="minorHAnsi" w:hAnsiTheme="minorHAnsi" w:cstheme="minorBidi"/>
        </w:rPr>
        <w:t>.</w:t>
      </w:r>
    </w:p>
    <w:p w14:paraId="2C47E2C3" w14:textId="77777777" w:rsidR="003B6453" w:rsidRPr="003701D8" w:rsidRDefault="00634DE1" w:rsidP="003701D8">
      <w:pPr>
        <w:pStyle w:val="Bullet"/>
        <w:rPr>
          <w:rFonts w:asciiTheme="minorHAnsi" w:hAnsiTheme="minorHAnsi" w:cstheme="minorBidi"/>
        </w:rPr>
      </w:pPr>
      <w:r>
        <w:rPr>
          <w:rFonts w:asciiTheme="minorHAnsi" w:hAnsiTheme="minorHAnsi" w:cstheme="minorBidi"/>
        </w:rPr>
        <w:t>Moreover, t</w:t>
      </w:r>
      <w:r w:rsidRPr="0C5679B2">
        <w:rPr>
          <w:rFonts w:asciiTheme="minorHAnsi" w:hAnsiTheme="minorHAnsi" w:cstheme="minorBidi"/>
        </w:rPr>
        <w:t>he UANP was expressly designed to allow each State and Territory to decide how funding is deployed within their respective jurisdictions. This principle could not be applied if the policy decisions of States and Territories were to influence the amount of</w:t>
      </w:r>
      <w:r>
        <w:rPr>
          <w:rFonts w:asciiTheme="minorHAnsi" w:hAnsiTheme="minorHAnsi" w:cstheme="minorBidi"/>
        </w:rPr>
        <w:t xml:space="preserve"> Australian Government</w:t>
      </w:r>
      <w:r w:rsidRPr="0C5679B2">
        <w:rPr>
          <w:rFonts w:asciiTheme="minorHAnsi" w:hAnsiTheme="minorHAnsi" w:cstheme="minorBidi"/>
        </w:rPr>
        <w:t xml:space="preserve"> funding available to them under the </w:t>
      </w:r>
      <w:r w:rsidR="007222AD">
        <w:rPr>
          <w:rFonts w:asciiTheme="minorHAnsi" w:hAnsiTheme="minorHAnsi" w:cstheme="minorBidi"/>
        </w:rPr>
        <w:t>A</w:t>
      </w:r>
      <w:r w:rsidRPr="0C5679B2">
        <w:rPr>
          <w:rFonts w:asciiTheme="minorHAnsi" w:hAnsiTheme="minorHAnsi" w:cstheme="minorBidi"/>
        </w:rPr>
        <w:t>greement.</w:t>
      </w:r>
    </w:p>
    <w:p w14:paraId="5CD3252F" w14:textId="77777777" w:rsidR="003701D8" w:rsidRPr="003701D8" w:rsidRDefault="008C6A45" w:rsidP="00F85AB6">
      <w:pPr>
        <w:pStyle w:val="Heading4"/>
      </w:pPr>
      <w:r>
        <w:lastRenderedPageBreak/>
        <w:t>Current funding arrangements p</w:t>
      </w:r>
      <w:r w:rsidR="003701D8" w:rsidRPr="003701D8">
        <w:t xml:space="preserve">romote </w:t>
      </w:r>
      <w:r w:rsidR="00552F37">
        <w:t>a degree of competition which, in turn, can promote efficiency</w:t>
      </w:r>
    </w:p>
    <w:p w14:paraId="2B466DD1" w14:textId="45627148" w:rsidR="003701D8" w:rsidRDefault="00BE741A" w:rsidP="003701D8">
      <w:pPr>
        <w:pStyle w:val="Bullet"/>
        <w:rPr>
          <w:rFonts w:asciiTheme="minorHAnsi" w:hAnsiTheme="minorHAnsi" w:cstheme="minorBidi"/>
        </w:rPr>
      </w:pPr>
      <w:r>
        <w:rPr>
          <w:rFonts w:asciiTheme="minorHAnsi" w:hAnsiTheme="minorHAnsi"/>
        </w:rPr>
        <w:t>T</w:t>
      </w:r>
      <w:r w:rsidRPr="0C5679B2">
        <w:rPr>
          <w:rFonts w:asciiTheme="minorHAnsi" w:hAnsiTheme="minorHAnsi"/>
        </w:rPr>
        <w:t xml:space="preserve">he Review </w:t>
      </w:r>
      <w:r>
        <w:rPr>
          <w:rFonts w:asciiTheme="minorHAnsi" w:hAnsiTheme="minorHAnsi"/>
        </w:rPr>
        <w:t>did not measure the effect of UANP funding on preschool fees. However, the ability of most families to choose between multiple preschool providers suggests that fees would be to some extent constrained by competition between providers.</w:t>
      </w:r>
      <w:r>
        <w:rPr>
          <w:rFonts w:asciiTheme="minorHAnsi" w:hAnsiTheme="minorHAnsi" w:cstheme="minorBidi"/>
        </w:rPr>
        <w:t xml:space="preserve"> </w:t>
      </w:r>
      <w:r w:rsidR="00390A4C">
        <w:rPr>
          <w:rFonts w:asciiTheme="minorHAnsi" w:hAnsiTheme="minorHAnsi" w:cstheme="minorBidi"/>
        </w:rPr>
        <w:t>We therefore believe that such</w:t>
      </w:r>
      <w:r w:rsidR="003701D8" w:rsidRPr="0C5679B2">
        <w:rPr>
          <w:rFonts w:asciiTheme="minorHAnsi" w:hAnsiTheme="minorHAnsi" w:cstheme="minorBidi"/>
        </w:rPr>
        <w:t xml:space="preserve"> </w:t>
      </w:r>
      <w:r w:rsidR="00390A4C">
        <w:rPr>
          <w:rFonts w:asciiTheme="minorHAnsi" w:hAnsiTheme="minorHAnsi" w:cstheme="minorBidi"/>
        </w:rPr>
        <w:t xml:space="preserve">downward fee pressure </w:t>
      </w:r>
      <w:r w:rsidR="003701D8" w:rsidRPr="0C5679B2">
        <w:rPr>
          <w:rFonts w:asciiTheme="minorHAnsi" w:hAnsiTheme="minorHAnsi" w:cstheme="minorBidi"/>
        </w:rPr>
        <w:t>is</w:t>
      </w:r>
      <w:r w:rsidR="00552F37">
        <w:rPr>
          <w:rFonts w:asciiTheme="minorHAnsi" w:hAnsiTheme="minorHAnsi" w:cstheme="minorBidi"/>
        </w:rPr>
        <w:t xml:space="preserve"> likely to be</w:t>
      </w:r>
      <w:r w:rsidR="003701D8" w:rsidRPr="0C5679B2">
        <w:rPr>
          <w:rFonts w:asciiTheme="minorHAnsi" w:hAnsiTheme="minorHAnsi" w:cstheme="minorBidi"/>
        </w:rPr>
        <w:t xml:space="preserve"> maintained through the availability of options for most parents in most situations. While </w:t>
      </w:r>
      <w:r w:rsidR="00634DE1">
        <w:rPr>
          <w:rFonts w:asciiTheme="minorHAnsi" w:hAnsiTheme="minorHAnsi" w:cstheme="minorBidi"/>
        </w:rPr>
        <w:t>certain</w:t>
      </w:r>
      <w:r w:rsidR="003701D8" w:rsidRPr="0C5679B2">
        <w:rPr>
          <w:rFonts w:asciiTheme="minorHAnsi" w:hAnsiTheme="minorHAnsi" w:cstheme="minorBidi"/>
        </w:rPr>
        <w:t xml:space="preserve"> markets are more diverse than others, parents </w:t>
      </w:r>
      <w:r w:rsidR="00552F37">
        <w:rPr>
          <w:rFonts w:asciiTheme="minorHAnsi" w:hAnsiTheme="minorHAnsi" w:cstheme="minorBidi"/>
        </w:rPr>
        <w:t xml:space="preserve">often </w:t>
      </w:r>
      <w:r w:rsidR="003701D8" w:rsidRPr="0C5679B2">
        <w:rPr>
          <w:rFonts w:asciiTheme="minorHAnsi" w:hAnsiTheme="minorHAnsi" w:cstheme="minorBidi"/>
        </w:rPr>
        <w:t>can choose between more than one provider. For-profit providers must compete against not-for-profit providers, with anecdotal evidence suggesting there is some internal cross-subsidisation from other child</w:t>
      </w:r>
      <w:r w:rsidR="00AD1EA3">
        <w:rPr>
          <w:rFonts w:asciiTheme="minorHAnsi" w:hAnsiTheme="minorHAnsi" w:cstheme="minorBidi"/>
        </w:rPr>
        <w:t xml:space="preserve"> </w:t>
      </w:r>
      <w:r w:rsidR="003701D8" w:rsidRPr="0C5679B2">
        <w:rPr>
          <w:rFonts w:asciiTheme="minorHAnsi" w:hAnsiTheme="minorHAnsi" w:cstheme="minorBidi"/>
        </w:rPr>
        <w:t xml:space="preserve">care supports to preschool rooms. We were told, too, that fee-charging </w:t>
      </w:r>
      <w:r w:rsidR="00390A4C">
        <w:rPr>
          <w:rFonts w:asciiTheme="minorHAnsi" w:hAnsiTheme="minorHAnsi" w:cstheme="minorBidi"/>
        </w:rPr>
        <w:t>pre</w:t>
      </w:r>
      <w:r w:rsidR="003701D8" w:rsidRPr="0C5679B2">
        <w:rPr>
          <w:rFonts w:asciiTheme="minorHAnsi" w:hAnsiTheme="minorHAnsi" w:cstheme="minorBidi"/>
        </w:rPr>
        <w:t xml:space="preserve">school providers similarly cross-subsidise those in more marginally viable </w:t>
      </w:r>
      <w:r w:rsidR="003701D8" w:rsidRPr="00E22B58">
        <w:rPr>
          <w:rFonts w:asciiTheme="minorHAnsi" w:hAnsiTheme="minorHAnsi" w:cstheme="minorBidi"/>
        </w:rPr>
        <w:t xml:space="preserve">areas. </w:t>
      </w:r>
      <w:r w:rsidR="00552F37">
        <w:rPr>
          <w:rFonts w:asciiTheme="minorHAnsi" w:hAnsiTheme="minorHAnsi" w:cstheme="minorBidi"/>
        </w:rPr>
        <w:t xml:space="preserve">While some providers will still </w:t>
      </w:r>
      <w:r w:rsidR="0088293E">
        <w:rPr>
          <w:rFonts w:asciiTheme="minorHAnsi" w:hAnsiTheme="minorHAnsi" w:cstheme="minorBidi"/>
        </w:rPr>
        <w:t>seek to compete on quality or access to different school pathways, the Review did not perceive there to be much</w:t>
      </w:r>
      <w:r w:rsidR="003701D8" w:rsidRPr="00E22B58">
        <w:rPr>
          <w:rFonts w:asciiTheme="minorHAnsi" w:hAnsiTheme="minorHAnsi" w:cstheme="minorBidi"/>
        </w:rPr>
        <w:t xml:space="preserve"> </w:t>
      </w:r>
      <w:r w:rsidR="0012330A" w:rsidRPr="00E22B58">
        <w:rPr>
          <w:rFonts w:asciiTheme="minorHAnsi" w:hAnsiTheme="minorHAnsi" w:cstheme="minorBidi"/>
        </w:rPr>
        <w:t>opportunit</w:t>
      </w:r>
      <w:r w:rsidR="0088293E">
        <w:rPr>
          <w:rFonts w:asciiTheme="minorHAnsi" w:hAnsiTheme="minorHAnsi" w:cstheme="minorBidi"/>
        </w:rPr>
        <w:t>y</w:t>
      </w:r>
      <w:r w:rsidR="0012330A" w:rsidRPr="00E22B58">
        <w:rPr>
          <w:rFonts w:asciiTheme="minorHAnsi" w:hAnsiTheme="minorHAnsi" w:cstheme="minorBidi"/>
        </w:rPr>
        <w:t xml:space="preserve"> for providers to </w:t>
      </w:r>
      <w:r w:rsidR="00552F37">
        <w:rPr>
          <w:rFonts w:asciiTheme="minorHAnsi" w:hAnsiTheme="minorHAnsi" w:cstheme="minorBidi"/>
        </w:rPr>
        <w:t xml:space="preserve">exploit </w:t>
      </w:r>
      <w:r w:rsidR="0012330A" w:rsidRPr="00E22B58">
        <w:rPr>
          <w:rFonts w:asciiTheme="minorHAnsi" w:hAnsiTheme="minorHAnsi" w:cstheme="minorBidi"/>
        </w:rPr>
        <w:t xml:space="preserve">preschool </w:t>
      </w:r>
      <w:r w:rsidR="003A6AE6" w:rsidRPr="00E22B58">
        <w:rPr>
          <w:rFonts w:asciiTheme="minorHAnsi" w:hAnsiTheme="minorHAnsi" w:cstheme="minorBidi"/>
        </w:rPr>
        <w:t>fundi</w:t>
      </w:r>
      <w:r w:rsidR="0012330A" w:rsidRPr="00E22B58">
        <w:rPr>
          <w:rFonts w:asciiTheme="minorHAnsi" w:hAnsiTheme="minorHAnsi" w:cstheme="minorBidi"/>
        </w:rPr>
        <w:t>n</w:t>
      </w:r>
      <w:r w:rsidR="003A6AE6" w:rsidRPr="00E22B58">
        <w:rPr>
          <w:rFonts w:asciiTheme="minorHAnsi" w:hAnsiTheme="minorHAnsi" w:cstheme="minorBidi"/>
        </w:rPr>
        <w:t>g</w:t>
      </w:r>
      <w:r w:rsidR="00552F37">
        <w:rPr>
          <w:rFonts w:asciiTheme="minorHAnsi" w:hAnsiTheme="minorHAnsi" w:cstheme="minorBidi"/>
        </w:rPr>
        <w:t xml:space="preserve"> for unreasonable commercial gai</w:t>
      </w:r>
      <w:r w:rsidR="0088293E">
        <w:rPr>
          <w:rFonts w:asciiTheme="minorHAnsi" w:hAnsiTheme="minorHAnsi" w:cstheme="minorBidi"/>
        </w:rPr>
        <w:t>n.</w:t>
      </w:r>
    </w:p>
    <w:p w14:paraId="47EFBA6D" w14:textId="77777777" w:rsidR="003155FC" w:rsidRPr="003155FC" w:rsidRDefault="003155FC" w:rsidP="003155FC">
      <w:pPr>
        <w:keepNext/>
        <w:spacing w:before="240" w:after="60"/>
        <w:outlineLvl w:val="3"/>
        <w:rPr>
          <w:rFonts w:ascii="Segoe UI Semibold" w:eastAsia="Times New Roman" w:hAnsi="Segoe UI Semibold" w:cs="Times New Roman"/>
          <w:color w:val="00264D" w:themeColor="background2"/>
          <w:sz w:val="22"/>
          <w:szCs w:val="19"/>
          <w:lang w:eastAsia="en-AU"/>
        </w:rPr>
      </w:pPr>
      <w:r w:rsidRPr="003155FC">
        <w:rPr>
          <w:rFonts w:ascii="Segoe UI Semibold" w:eastAsia="Times New Roman" w:hAnsi="Segoe UI Semibold" w:cs="Times New Roman"/>
          <w:color w:val="00264D" w:themeColor="background2"/>
          <w:sz w:val="22"/>
          <w:szCs w:val="19"/>
          <w:lang w:eastAsia="en-AU"/>
        </w:rPr>
        <w:t>The administrative burden to providers associated with current funding arrangements is not excessive</w:t>
      </w:r>
    </w:p>
    <w:p w14:paraId="52CFB6B9" w14:textId="77777777" w:rsidR="003155FC" w:rsidRPr="003155FC" w:rsidRDefault="003155FC" w:rsidP="003155FC">
      <w:pPr>
        <w:suppressAutoHyphens/>
        <w:rPr>
          <w:rFonts w:asciiTheme="minorHAnsi" w:eastAsia="Times New Roman" w:hAnsiTheme="minorHAnsi"/>
          <w:szCs w:val="19"/>
          <w:lang w:eastAsia="en-AU"/>
        </w:rPr>
      </w:pPr>
      <w:r w:rsidRPr="003155FC">
        <w:rPr>
          <w:rFonts w:asciiTheme="minorHAnsi" w:eastAsia="Times New Roman" w:hAnsiTheme="minorHAnsi"/>
          <w:szCs w:val="19"/>
          <w:lang w:eastAsia="en-AU"/>
        </w:rPr>
        <w:t>The Review finds that the reporting burden on providers related to compliance with UANP and associated requirements is not a point of contention. No stakeholders raised this as an issue. We did hear during consultations that some CBDC providers have chosen not to seek State or Territory funding for preschool because of the administrative overhead, but this appears to be a very small minority.</w:t>
      </w:r>
    </w:p>
    <w:p w14:paraId="05A1A9DB" w14:textId="77777777" w:rsidR="003155FC" w:rsidRPr="003155FC" w:rsidRDefault="003155FC" w:rsidP="003155FC">
      <w:pPr>
        <w:suppressAutoHyphens/>
        <w:rPr>
          <w:rFonts w:asciiTheme="minorHAnsi" w:eastAsia="Times New Roman" w:hAnsiTheme="minorHAnsi"/>
          <w:szCs w:val="19"/>
          <w:lang w:eastAsia="en-AU"/>
        </w:rPr>
      </w:pPr>
      <w:r w:rsidRPr="003155FC">
        <w:rPr>
          <w:rFonts w:asciiTheme="minorHAnsi" w:eastAsia="Times New Roman" w:hAnsiTheme="minorHAnsi"/>
          <w:szCs w:val="19"/>
          <w:lang w:eastAsia="en-AU"/>
        </w:rPr>
        <w:t>From a government perspective, there is an issue with the administrative load of having short-term renewal of funding arrangements.</w:t>
      </w:r>
      <w:r w:rsidRPr="003155FC">
        <w:rPr>
          <w:rFonts w:asciiTheme="minorHAnsi" w:hAnsiTheme="minorHAnsi"/>
        </w:rPr>
        <w:t xml:space="preserve"> </w:t>
      </w:r>
      <w:r w:rsidRPr="003155FC">
        <w:rPr>
          <w:rFonts w:asciiTheme="minorHAnsi" w:eastAsia="Times New Roman" w:hAnsiTheme="minorHAnsi"/>
          <w:szCs w:val="19"/>
          <w:lang w:eastAsia="en-AU"/>
        </w:rPr>
        <w:t>The UANP has been renewed or extended six times, with the more recent extensions being of a short duration. (The most recent extension to the UANP covers the 2020 calendar year.) Each renegotiation of a new agreement imposes a significant cost in time and effort.</w:t>
      </w:r>
    </w:p>
    <w:p w14:paraId="25FDF773" w14:textId="77777777" w:rsidR="003701D8" w:rsidRPr="003701D8" w:rsidRDefault="008C6A45" w:rsidP="00F85AB6">
      <w:pPr>
        <w:pStyle w:val="Heading4"/>
      </w:pPr>
      <w:r>
        <w:t xml:space="preserve">Current funding arrangements do not provide </w:t>
      </w:r>
      <w:r w:rsidR="003701D8" w:rsidRPr="003701D8">
        <w:t xml:space="preserve">certainty </w:t>
      </w:r>
      <w:r>
        <w:t>to facilitate</w:t>
      </w:r>
      <w:r w:rsidR="003701D8" w:rsidRPr="003701D8">
        <w:t xml:space="preserve"> long-term planning</w:t>
      </w:r>
    </w:p>
    <w:p w14:paraId="1B0AB5CB" w14:textId="77777777" w:rsidR="005D2A94" w:rsidRDefault="00F92299" w:rsidP="003701D8">
      <w:pPr>
        <w:pStyle w:val="Bullet"/>
        <w:rPr>
          <w:rFonts w:asciiTheme="minorHAnsi" w:hAnsiTheme="minorHAnsi" w:cstheme="minorBidi"/>
        </w:rPr>
      </w:pPr>
      <w:r>
        <w:rPr>
          <w:rFonts w:asciiTheme="minorHAnsi" w:hAnsiTheme="minorHAnsi" w:cstheme="minorBidi"/>
        </w:rPr>
        <w:t>T</w:t>
      </w:r>
      <w:r w:rsidR="003701D8" w:rsidRPr="0C5679B2">
        <w:rPr>
          <w:rFonts w:asciiTheme="minorHAnsi" w:hAnsiTheme="minorHAnsi" w:cstheme="minorBidi"/>
        </w:rPr>
        <w:t xml:space="preserve">he Review finds that the short-term nature of the UANP has </w:t>
      </w:r>
      <w:r w:rsidR="0012330A">
        <w:rPr>
          <w:rFonts w:asciiTheme="minorHAnsi" w:hAnsiTheme="minorHAnsi" w:cstheme="minorBidi"/>
        </w:rPr>
        <w:t>adversely affected</w:t>
      </w:r>
      <w:r w:rsidR="003701D8" w:rsidRPr="0C5679B2">
        <w:rPr>
          <w:rFonts w:asciiTheme="minorHAnsi" w:hAnsiTheme="minorHAnsi" w:cstheme="minorBidi"/>
        </w:rPr>
        <w:t xml:space="preserve"> the </w:t>
      </w:r>
      <w:r w:rsidR="0012330A">
        <w:rPr>
          <w:rFonts w:asciiTheme="minorHAnsi" w:hAnsiTheme="minorHAnsi" w:cstheme="minorBidi"/>
        </w:rPr>
        <w:t>efficiency of funding arrangement</w:t>
      </w:r>
      <w:r>
        <w:rPr>
          <w:rFonts w:asciiTheme="minorHAnsi" w:hAnsiTheme="minorHAnsi" w:cstheme="minorBidi"/>
        </w:rPr>
        <w:t xml:space="preserve">s in </w:t>
      </w:r>
      <w:r w:rsidR="005D2A94">
        <w:rPr>
          <w:rFonts w:asciiTheme="minorHAnsi" w:hAnsiTheme="minorHAnsi" w:cstheme="minorBidi"/>
        </w:rPr>
        <w:t>that</w:t>
      </w:r>
      <w:r>
        <w:rPr>
          <w:rFonts w:asciiTheme="minorHAnsi" w:hAnsiTheme="minorHAnsi" w:cstheme="minorBidi"/>
        </w:rPr>
        <w:t xml:space="preserve"> it</w:t>
      </w:r>
      <w:r w:rsidR="003701D8" w:rsidRPr="0C5679B2">
        <w:rPr>
          <w:rFonts w:asciiTheme="minorHAnsi" w:hAnsiTheme="minorHAnsi" w:cstheme="minorBidi"/>
        </w:rPr>
        <w:t xml:space="preserve"> has led to cautious decision-making about investment in programs and in </w:t>
      </w:r>
      <w:r w:rsidR="00277258" w:rsidRPr="0C5679B2">
        <w:rPr>
          <w:rFonts w:asciiTheme="minorHAnsi" w:hAnsiTheme="minorHAnsi" w:cstheme="minorBidi"/>
        </w:rPr>
        <w:t>staff and</w:t>
      </w:r>
      <w:r w:rsidR="003701D8" w:rsidRPr="0C5679B2">
        <w:rPr>
          <w:rFonts w:asciiTheme="minorHAnsi" w:hAnsiTheme="minorHAnsi" w:cstheme="minorBidi"/>
        </w:rPr>
        <w:t xml:space="preserve"> has compromised the ability to plan effectively. This means, for example, </w:t>
      </w:r>
      <w:r w:rsidR="00592636" w:rsidRPr="0C5679B2">
        <w:rPr>
          <w:rFonts w:asciiTheme="minorHAnsi" w:hAnsiTheme="minorHAnsi" w:cstheme="minorBidi"/>
        </w:rPr>
        <w:t xml:space="preserve">that </w:t>
      </w:r>
      <w:r w:rsidR="003701D8" w:rsidRPr="0C5679B2">
        <w:rPr>
          <w:rFonts w:asciiTheme="minorHAnsi" w:hAnsiTheme="minorHAnsi" w:cstheme="minorBidi"/>
        </w:rPr>
        <w:t>good staff cannot be retained, due to an inability to promise them longer term</w:t>
      </w:r>
      <w:r w:rsidR="00A17138" w:rsidRPr="0C5679B2">
        <w:rPr>
          <w:rFonts w:asciiTheme="minorHAnsi" w:hAnsiTheme="minorHAnsi" w:cstheme="minorBidi"/>
        </w:rPr>
        <w:t xml:space="preserve"> employment</w:t>
      </w:r>
      <w:r w:rsidR="003701D8" w:rsidRPr="0C5679B2">
        <w:rPr>
          <w:rFonts w:asciiTheme="minorHAnsi" w:hAnsiTheme="minorHAnsi" w:cstheme="minorBidi"/>
        </w:rPr>
        <w:t>, which in turn leads to higher turnover</w:t>
      </w:r>
      <w:r w:rsidR="00592636" w:rsidRPr="0C5679B2">
        <w:rPr>
          <w:rFonts w:asciiTheme="minorHAnsi" w:hAnsiTheme="minorHAnsi" w:cstheme="minorBidi"/>
        </w:rPr>
        <w:t xml:space="preserve"> and associated administrative inefficiencies</w:t>
      </w:r>
      <w:r w:rsidR="005D2A94">
        <w:rPr>
          <w:rFonts w:asciiTheme="minorHAnsi" w:hAnsiTheme="minorHAnsi" w:cstheme="minorBidi"/>
        </w:rPr>
        <w:t xml:space="preserve"> (in addition to </w:t>
      </w:r>
      <w:r w:rsidR="00892781">
        <w:rPr>
          <w:rFonts w:asciiTheme="minorHAnsi" w:hAnsiTheme="minorHAnsi" w:cstheme="minorBidi"/>
        </w:rPr>
        <w:t>affecting the</w:t>
      </w:r>
      <w:r w:rsidR="005D2A94">
        <w:rPr>
          <w:rFonts w:asciiTheme="minorHAnsi" w:hAnsiTheme="minorHAnsi" w:cstheme="minorBidi"/>
        </w:rPr>
        <w:t xml:space="preserve"> </w:t>
      </w:r>
      <w:r w:rsidR="0012330A">
        <w:rPr>
          <w:rFonts w:asciiTheme="minorHAnsi" w:hAnsiTheme="minorHAnsi" w:cstheme="minorBidi"/>
        </w:rPr>
        <w:t xml:space="preserve">quality </w:t>
      </w:r>
      <w:r w:rsidR="00892781">
        <w:rPr>
          <w:rFonts w:asciiTheme="minorHAnsi" w:hAnsiTheme="minorHAnsi" w:cstheme="minorBidi"/>
        </w:rPr>
        <w:t xml:space="preserve">of </w:t>
      </w:r>
      <w:r w:rsidR="005D2A94">
        <w:rPr>
          <w:rFonts w:asciiTheme="minorHAnsi" w:hAnsiTheme="minorHAnsi" w:cstheme="minorBidi"/>
        </w:rPr>
        <w:t>provision)</w:t>
      </w:r>
      <w:r w:rsidR="00592636" w:rsidRPr="0C5679B2">
        <w:rPr>
          <w:rFonts w:asciiTheme="minorHAnsi" w:hAnsiTheme="minorHAnsi" w:cstheme="minorBidi"/>
        </w:rPr>
        <w:t>.</w:t>
      </w:r>
      <w:r w:rsidR="0012330A">
        <w:rPr>
          <w:rFonts w:asciiTheme="minorHAnsi" w:hAnsiTheme="minorHAnsi" w:cstheme="minorBidi"/>
        </w:rPr>
        <w:t xml:space="preserve"> </w:t>
      </w:r>
    </w:p>
    <w:p w14:paraId="04ECFD5F" w14:textId="2838E3EB" w:rsidR="00D25A17" w:rsidRPr="00EF0FEA" w:rsidRDefault="00F54878" w:rsidP="00A901A1">
      <w:pPr>
        <w:pStyle w:val="Callout"/>
        <w:rPr>
          <w:sz w:val="18"/>
          <w:szCs w:val="18"/>
        </w:rPr>
      </w:pPr>
      <w:r w:rsidRPr="00EF0FEA">
        <w:rPr>
          <w:sz w:val="18"/>
          <w:szCs w:val="18"/>
        </w:rPr>
        <w:t xml:space="preserve">“Australia needs to build and strengthen its early childhood education system for the long term. However, UANP agreements since 2013 have been short term, creating uncertainty for parents and their children, as well as for the sector, and for </w:t>
      </w:r>
      <w:r w:rsidR="001975C0">
        <w:rPr>
          <w:sz w:val="18"/>
          <w:szCs w:val="18"/>
        </w:rPr>
        <w:t>S</w:t>
      </w:r>
      <w:r w:rsidRPr="00EF0FEA">
        <w:rPr>
          <w:sz w:val="18"/>
          <w:szCs w:val="18"/>
        </w:rPr>
        <w:t xml:space="preserve">tate and </w:t>
      </w:r>
      <w:r w:rsidR="001975C0">
        <w:rPr>
          <w:sz w:val="18"/>
          <w:szCs w:val="18"/>
        </w:rPr>
        <w:t>T</w:t>
      </w:r>
      <w:r w:rsidRPr="00EF0FEA">
        <w:rPr>
          <w:sz w:val="18"/>
          <w:szCs w:val="18"/>
        </w:rPr>
        <w:t>erritory governments.” (</w:t>
      </w:r>
      <w:bookmarkStart w:id="213" w:name="_Hlk30664666"/>
      <w:r w:rsidRPr="00EF0FEA">
        <w:rPr>
          <w:sz w:val="18"/>
          <w:szCs w:val="18"/>
        </w:rPr>
        <w:t>A</w:t>
      </w:r>
      <w:r w:rsidR="00422582" w:rsidRPr="00EF0FEA">
        <w:rPr>
          <w:sz w:val="18"/>
          <w:szCs w:val="18"/>
        </w:rPr>
        <w:t xml:space="preserve">ustralian </w:t>
      </w:r>
      <w:r w:rsidRPr="00EF0FEA">
        <w:rPr>
          <w:sz w:val="18"/>
          <w:szCs w:val="18"/>
        </w:rPr>
        <w:t>C</w:t>
      </w:r>
      <w:r w:rsidR="00422582" w:rsidRPr="00EF0FEA">
        <w:rPr>
          <w:sz w:val="18"/>
          <w:szCs w:val="18"/>
        </w:rPr>
        <w:t xml:space="preserve">ouncil of </w:t>
      </w:r>
      <w:r w:rsidRPr="00EF0FEA">
        <w:rPr>
          <w:sz w:val="18"/>
          <w:szCs w:val="18"/>
        </w:rPr>
        <w:t>S</w:t>
      </w:r>
      <w:r w:rsidR="00422582" w:rsidRPr="00EF0FEA">
        <w:rPr>
          <w:sz w:val="18"/>
          <w:szCs w:val="18"/>
        </w:rPr>
        <w:t xml:space="preserve">ocial </w:t>
      </w:r>
      <w:r w:rsidRPr="00EF0FEA">
        <w:rPr>
          <w:sz w:val="18"/>
          <w:szCs w:val="18"/>
        </w:rPr>
        <w:t>S</w:t>
      </w:r>
      <w:r w:rsidR="00422582" w:rsidRPr="00EF0FEA">
        <w:rPr>
          <w:sz w:val="18"/>
          <w:szCs w:val="18"/>
        </w:rPr>
        <w:t>ervice</w:t>
      </w:r>
      <w:r w:rsidRPr="00EF0FEA">
        <w:rPr>
          <w:sz w:val="18"/>
          <w:szCs w:val="18"/>
        </w:rPr>
        <w:t xml:space="preserve"> </w:t>
      </w:r>
      <w:bookmarkEnd w:id="213"/>
      <w:r w:rsidR="00422582" w:rsidRPr="00EF0FEA">
        <w:rPr>
          <w:sz w:val="18"/>
          <w:szCs w:val="18"/>
        </w:rPr>
        <w:t>s</w:t>
      </w:r>
      <w:r w:rsidRPr="00EF0FEA">
        <w:rPr>
          <w:sz w:val="18"/>
          <w:szCs w:val="18"/>
        </w:rPr>
        <w:t xml:space="preserve">ubmission) </w:t>
      </w:r>
    </w:p>
    <w:p w14:paraId="12C0EA13" w14:textId="77777777" w:rsidR="003701D8" w:rsidRPr="003701D8" w:rsidRDefault="00444814" w:rsidP="00F85AB6">
      <w:pPr>
        <w:pStyle w:val="Heading4"/>
      </w:pPr>
      <w:r>
        <w:t>UANP distribution appears</w:t>
      </w:r>
      <w:r w:rsidR="008C6A45">
        <w:t xml:space="preserve"> </w:t>
      </w:r>
      <w:r>
        <w:t xml:space="preserve">to </w:t>
      </w:r>
      <w:r w:rsidR="008C6A45">
        <w:t>avoid</w:t>
      </w:r>
      <w:r w:rsidR="003701D8" w:rsidRPr="003701D8">
        <w:t xml:space="preserve"> duplication of funding sources</w:t>
      </w:r>
      <w:r w:rsidR="003701D8">
        <w:t xml:space="preserve"> </w:t>
      </w:r>
      <w:r>
        <w:t>at the service level</w:t>
      </w:r>
    </w:p>
    <w:p w14:paraId="0DE09619" w14:textId="6CA0AAB8" w:rsidR="00E43440" w:rsidRDefault="00B90656" w:rsidP="00E43440">
      <w:pPr>
        <w:pStyle w:val="Bullet"/>
      </w:pPr>
      <w:r w:rsidRPr="00AD0392">
        <w:t>A</w:t>
      </w:r>
      <w:r>
        <w:t xml:space="preserve">s noted </w:t>
      </w:r>
      <w:r w:rsidR="0064553F">
        <w:t>in Chapter 2</w:t>
      </w:r>
      <w:r w:rsidR="007327C1">
        <w:t>.4</w:t>
      </w:r>
      <w:r>
        <w:t>, a</w:t>
      </w:r>
      <w:r w:rsidRPr="00AD0392">
        <w:t xml:space="preserve">pproved </w:t>
      </w:r>
      <w:r>
        <w:t>CBDC</w:t>
      </w:r>
      <w:r w:rsidRPr="00AD0392">
        <w:t xml:space="preserve"> providers receive funding (in the form of fee relief for parents) through </w:t>
      </w:r>
      <w:r>
        <w:t>the CCS</w:t>
      </w:r>
      <w:r w:rsidR="000A29C9">
        <w:t xml:space="preserve"> and the Child Care Safety net</w:t>
      </w:r>
      <w:r w:rsidRPr="00AD0392">
        <w:t xml:space="preserve">. </w:t>
      </w:r>
      <w:r w:rsidR="003923FB">
        <w:t>Many</w:t>
      </w:r>
      <w:r w:rsidRPr="00AD0392">
        <w:t xml:space="preserve"> </w:t>
      </w:r>
      <w:r>
        <w:t>CBDC</w:t>
      </w:r>
      <w:r w:rsidRPr="00AD0392">
        <w:t xml:space="preserve"> providers </w:t>
      </w:r>
      <w:r w:rsidR="003923FB">
        <w:t xml:space="preserve">also </w:t>
      </w:r>
      <w:r w:rsidRPr="00AD0392">
        <w:t xml:space="preserve">receive UANP funding (via the State or Territory </w:t>
      </w:r>
      <w:r w:rsidR="005D2A94">
        <w:t>G</w:t>
      </w:r>
      <w:r w:rsidRPr="00AD0392">
        <w:t>overnment)</w:t>
      </w:r>
      <w:r>
        <w:t xml:space="preserve">. </w:t>
      </w:r>
      <w:r w:rsidRPr="0C5679B2">
        <w:rPr>
          <w:rFonts w:asciiTheme="minorHAnsi" w:hAnsiTheme="minorHAnsi" w:cstheme="minorBidi"/>
        </w:rPr>
        <w:t>Some stakeholders argue that this arrangement equates to the Australian Government providing a higher level of funding for preschool enrolments delivered in CBDC</w:t>
      </w:r>
      <w:r>
        <w:t xml:space="preserve">. </w:t>
      </w:r>
      <w:r w:rsidRPr="4E25D2DC">
        <w:t xml:space="preserve">The Review does not support </w:t>
      </w:r>
      <w:r w:rsidR="00E43440" w:rsidRPr="4E25D2DC">
        <w:t>th</w:t>
      </w:r>
      <w:r w:rsidR="00E43440">
        <w:t>is</w:t>
      </w:r>
      <w:r w:rsidR="00E43440" w:rsidRPr="4E25D2DC">
        <w:t xml:space="preserve"> </w:t>
      </w:r>
      <w:r w:rsidRPr="4E25D2DC">
        <w:t>claim</w:t>
      </w:r>
      <w:r w:rsidR="0062471B">
        <w:t xml:space="preserve"> on the basis that these two funding streams serve different policy purposes.</w:t>
      </w:r>
    </w:p>
    <w:p w14:paraId="7BEB0396" w14:textId="6CB177D8" w:rsidR="00B90656" w:rsidRPr="00E50FC6" w:rsidRDefault="00B90656" w:rsidP="00E43440">
      <w:pPr>
        <w:pStyle w:val="Bullet"/>
      </w:pPr>
      <w:r w:rsidRPr="4E25D2DC">
        <w:t xml:space="preserve">Although child care subsidies and UANP funding can accrue to the same preschool-aged child in CBDC, these two funding streams have different policy intents. </w:t>
      </w:r>
      <w:r w:rsidR="00576B3F">
        <w:t xml:space="preserve">The </w:t>
      </w:r>
      <w:r w:rsidR="003E5F98">
        <w:t>dominant</w:t>
      </w:r>
      <w:r w:rsidR="003E5F98" w:rsidRPr="4E25D2DC">
        <w:t xml:space="preserve"> purpose</w:t>
      </w:r>
      <w:r w:rsidR="003E5F98">
        <w:t xml:space="preserve"> of child care subsidies</w:t>
      </w:r>
      <w:r w:rsidR="003E5F98" w:rsidRPr="4E25D2DC">
        <w:t xml:space="preserve"> is to facilitate workforce participation</w:t>
      </w:r>
      <w:r w:rsidR="003E5F98">
        <w:t xml:space="preserve">; however, </w:t>
      </w:r>
      <w:r w:rsidR="00576B3F">
        <w:t xml:space="preserve">the role of child care providers in supporting early development </w:t>
      </w:r>
      <w:r w:rsidR="003E5F98">
        <w:t xml:space="preserve">is also recognised, </w:t>
      </w:r>
      <w:r w:rsidR="00576B3F">
        <w:t>notably through the preschool exemption to the CCS activity test. In contra</w:t>
      </w:r>
      <w:r w:rsidR="00176EED">
        <w:t>s</w:t>
      </w:r>
      <w:r w:rsidR="00576B3F">
        <w:t>t, while preschool necessarily involves an element of care, t</w:t>
      </w:r>
      <w:r w:rsidR="00CE588F">
        <w:t>he main purpose of UANP funding is to support delivery of preschool programs for children in the YBFS.</w:t>
      </w:r>
    </w:p>
    <w:p w14:paraId="01F58EC7" w14:textId="77777777" w:rsidR="001742D7" w:rsidRDefault="00CE588F" w:rsidP="00941D01">
      <w:pPr>
        <w:rPr>
          <w:rFonts w:asciiTheme="minorHAnsi" w:hAnsiTheme="minorHAnsi"/>
        </w:rPr>
      </w:pPr>
      <w:r>
        <w:rPr>
          <w:rFonts w:asciiTheme="minorHAnsi" w:hAnsiTheme="minorHAnsi"/>
        </w:rPr>
        <w:lastRenderedPageBreak/>
        <w:t>I</w:t>
      </w:r>
      <w:r w:rsidR="00B90656" w:rsidRPr="0C5679B2">
        <w:rPr>
          <w:rFonts w:asciiTheme="minorHAnsi" w:hAnsiTheme="minorHAnsi"/>
        </w:rPr>
        <w:t xml:space="preserve">t is difficult to establish conclusively </w:t>
      </w:r>
      <w:r>
        <w:rPr>
          <w:rFonts w:asciiTheme="minorHAnsi" w:hAnsiTheme="minorHAnsi"/>
        </w:rPr>
        <w:t xml:space="preserve">the degree of potential overlap in funding without </w:t>
      </w:r>
      <w:r w:rsidRPr="00CE588F">
        <w:rPr>
          <w:rFonts w:asciiTheme="minorHAnsi" w:hAnsiTheme="minorHAnsi"/>
        </w:rPr>
        <w:t xml:space="preserve">access </w:t>
      </w:r>
      <w:r w:rsidR="00E22B58">
        <w:rPr>
          <w:rFonts w:asciiTheme="minorHAnsi" w:hAnsiTheme="minorHAnsi"/>
        </w:rPr>
        <w:t xml:space="preserve">to </w:t>
      </w:r>
      <w:r w:rsidRPr="00CE588F">
        <w:rPr>
          <w:rFonts w:asciiTheme="minorHAnsi" w:hAnsiTheme="minorHAnsi"/>
        </w:rPr>
        <w:t>detailed financial records</w:t>
      </w:r>
      <w:r>
        <w:rPr>
          <w:rFonts w:asciiTheme="minorHAnsi" w:hAnsiTheme="minorHAnsi"/>
        </w:rPr>
        <w:t xml:space="preserve">. </w:t>
      </w:r>
    </w:p>
    <w:p w14:paraId="44731061" w14:textId="42A81343" w:rsidR="001742D7" w:rsidRDefault="00B90656" w:rsidP="00E01029">
      <w:pPr>
        <w:pStyle w:val="Bullet"/>
        <w:rPr>
          <w:rFonts w:asciiTheme="minorHAnsi" w:hAnsiTheme="minorHAnsi" w:cstheme="minorBidi"/>
        </w:rPr>
      </w:pPr>
      <w:r w:rsidRPr="0C5679B2" w:rsidDel="0062471B">
        <w:rPr>
          <w:rFonts w:asciiTheme="minorHAnsi" w:hAnsiTheme="minorHAnsi" w:cstheme="minorBidi"/>
        </w:rPr>
        <w:t xml:space="preserve">CBDC providers and sector representatives assert that </w:t>
      </w:r>
      <w:r w:rsidRPr="0C5679B2">
        <w:rPr>
          <w:rFonts w:asciiTheme="minorHAnsi" w:hAnsiTheme="minorHAnsi" w:cstheme="minorBidi"/>
        </w:rPr>
        <w:t xml:space="preserve">funding provided under the UANP is exclusively applied to the delivery of preschool – typically to engage a qualified ECT and acquire preschool-specific resources. </w:t>
      </w:r>
      <w:r w:rsidR="00E43440">
        <w:rPr>
          <w:rFonts w:asciiTheme="minorHAnsi" w:hAnsiTheme="minorHAnsi" w:cstheme="minorBidi"/>
        </w:rPr>
        <w:t>(</w:t>
      </w:r>
      <w:r w:rsidRPr="0C5679B2">
        <w:rPr>
          <w:rFonts w:asciiTheme="minorHAnsi" w:hAnsiTheme="minorHAnsi" w:cstheme="minorBidi"/>
        </w:rPr>
        <w:t xml:space="preserve">Consistent with this position, several States and Territories </w:t>
      </w:r>
      <w:r w:rsidR="00CE588F">
        <w:rPr>
          <w:rFonts w:asciiTheme="minorHAnsi" w:hAnsiTheme="minorHAnsi" w:cstheme="minorBidi"/>
        </w:rPr>
        <w:t xml:space="preserve">expressly </w:t>
      </w:r>
      <w:r w:rsidRPr="0C5679B2">
        <w:rPr>
          <w:rFonts w:asciiTheme="minorHAnsi" w:hAnsiTheme="minorHAnsi" w:cstheme="minorBidi"/>
        </w:rPr>
        <w:t>prohibit cross</w:t>
      </w:r>
      <w:r>
        <w:rPr>
          <w:rFonts w:asciiTheme="minorHAnsi" w:hAnsiTheme="minorHAnsi" w:cstheme="minorHAnsi"/>
        </w:rPr>
        <w:noBreakHyphen/>
      </w:r>
      <w:r w:rsidRPr="0C5679B2">
        <w:rPr>
          <w:rFonts w:asciiTheme="minorHAnsi" w:hAnsiTheme="minorHAnsi" w:cstheme="minorBidi"/>
        </w:rPr>
        <w:t xml:space="preserve">subsidisation of child care as a condition of </w:t>
      </w:r>
      <w:r w:rsidR="00E43440">
        <w:rPr>
          <w:rFonts w:asciiTheme="minorHAnsi" w:hAnsiTheme="minorHAnsi" w:cstheme="minorBidi"/>
        </w:rPr>
        <w:t>CBDC providers receiving UANP</w:t>
      </w:r>
      <w:r w:rsidRPr="0C5679B2">
        <w:rPr>
          <w:rFonts w:asciiTheme="minorHAnsi" w:hAnsiTheme="minorHAnsi" w:cstheme="minorBidi"/>
        </w:rPr>
        <w:t xml:space="preserve"> funding.</w:t>
      </w:r>
      <w:r w:rsidR="00E43440">
        <w:rPr>
          <w:rFonts w:asciiTheme="minorHAnsi" w:hAnsiTheme="minorHAnsi" w:cstheme="minorBidi"/>
        </w:rPr>
        <w:t>)</w:t>
      </w:r>
      <w:r w:rsidR="001742D7">
        <w:rPr>
          <w:rFonts w:asciiTheme="minorHAnsi" w:hAnsiTheme="minorHAnsi" w:cstheme="minorBidi"/>
        </w:rPr>
        <w:t xml:space="preserve"> </w:t>
      </w:r>
      <w:r w:rsidR="00E43440">
        <w:rPr>
          <w:rFonts w:asciiTheme="minorHAnsi" w:hAnsiTheme="minorHAnsi" w:cstheme="minorBidi"/>
        </w:rPr>
        <w:t xml:space="preserve">Conversely, </w:t>
      </w:r>
      <w:r w:rsidR="00E43440">
        <w:rPr>
          <w:rFonts w:asciiTheme="minorHAnsi" w:hAnsiTheme="minorHAnsi" w:cstheme="minorHAnsi"/>
        </w:rPr>
        <w:t>CCS may indirectly subsidise preschool provision by contributing to the cost of resources (for example, facilities) that are used in the delivery of both preschool and child care.</w:t>
      </w:r>
      <w:r w:rsidR="00E07BCA">
        <w:rPr>
          <w:rFonts w:asciiTheme="minorHAnsi" w:hAnsiTheme="minorHAnsi" w:cstheme="minorHAnsi"/>
        </w:rPr>
        <w:t xml:space="preserve"> </w:t>
      </w:r>
      <w:r w:rsidR="00862D5B">
        <w:rPr>
          <w:rFonts w:asciiTheme="minorHAnsi" w:hAnsiTheme="minorHAnsi" w:cstheme="minorHAnsi"/>
        </w:rPr>
        <w:t xml:space="preserve">A similar argument could be made in relation to school-based preschools leveraging schools funding; however, unlike CCS, Australian Government schools funding is not allocated to children enrolled in preschool. (Interactions between the UANP and schools funding are considered in Chapter 2.4). </w:t>
      </w:r>
    </w:p>
    <w:p w14:paraId="0D4839E7" w14:textId="609FC70C" w:rsidR="00444814" w:rsidRDefault="001742D7" w:rsidP="00B90656">
      <w:pPr>
        <w:pStyle w:val="Bullet"/>
        <w:rPr>
          <w:rFonts w:asciiTheme="minorHAnsi" w:hAnsiTheme="minorHAnsi" w:cstheme="minorBidi"/>
        </w:rPr>
      </w:pPr>
      <w:r>
        <w:rPr>
          <w:rFonts w:asciiTheme="minorHAnsi" w:hAnsiTheme="minorHAnsi" w:cstheme="minorBidi"/>
        </w:rPr>
        <w:t xml:space="preserve">Ideally, the Review would be able to access better data to examine what happens in </w:t>
      </w:r>
      <w:proofErr w:type="gramStart"/>
      <w:r>
        <w:rPr>
          <w:rFonts w:asciiTheme="minorHAnsi" w:hAnsiTheme="minorHAnsi" w:cstheme="minorBidi"/>
        </w:rPr>
        <w:t>practice</w:t>
      </w:r>
      <w:r w:rsidR="00E43440">
        <w:rPr>
          <w:rFonts w:asciiTheme="minorHAnsi" w:hAnsiTheme="minorHAnsi" w:cstheme="minorBidi"/>
        </w:rPr>
        <w:t>, and</w:t>
      </w:r>
      <w:proofErr w:type="gramEnd"/>
      <w:r w:rsidR="00E43440">
        <w:rPr>
          <w:rFonts w:asciiTheme="minorHAnsi" w:hAnsiTheme="minorHAnsi" w:cstheme="minorBidi"/>
        </w:rPr>
        <w:t xml:space="preserve"> would be able to compare the contribution of different funding streams to the efficient cost of delivery</w:t>
      </w:r>
      <w:r>
        <w:rPr>
          <w:rFonts w:asciiTheme="minorHAnsi" w:hAnsiTheme="minorHAnsi" w:cstheme="minorBidi"/>
        </w:rPr>
        <w:t xml:space="preserve">. </w:t>
      </w:r>
      <w:r w:rsidDel="002E5DD1">
        <w:rPr>
          <w:rFonts w:asciiTheme="minorHAnsi" w:hAnsiTheme="minorHAnsi" w:cstheme="minorBidi"/>
        </w:rPr>
        <w:t xml:space="preserve">But even so, the question remains whether any attempt to remove the </w:t>
      </w:r>
      <w:r w:rsidR="00D67550" w:rsidDel="002E5DD1">
        <w:rPr>
          <w:rFonts w:asciiTheme="minorHAnsi" w:hAnsiTheme="minorHAnsi" w:cstheme="minorBidi"/>
        </w:rPr>
        <w:t xml:space="preserve">purported </w:t>
      </w:r>
      <w:r w:rsidDel="002E5DD1">
        <w:rPr>
          <w:rFonts w:asciiTheme="minorHAnsi" w:hAnsiTheme="minorHAnsi" w:cstheme="minorBidi"/>
        </w:rPr>
        <w:t>‘double subsidy’ would create perverse outcomes</w:t>
      </w:r>
      <w:r w:rsidR="00444814" w:rsidDel="002E5DD1">
        <w:rPr>
          <w:rFonts w:asciiTheme="minorHAnsi" w:hAnsiTheme="minorHAnsi" w:cstheme="minorBidi"/>
        </w:rPr>
        <w:t xml:space="preserve"> (including possibly fee rises, deterioration of quality, withdrawal of services).</w:t>
      </w:r>
      <w:r w:rsidR="00B61A24" w:rsidDel="002E5DD1">
        <w:rPr>
          <w:rFonts w:asciiTheme="minorHAnsi" w:hAnsiTheme="minorHAnsi" w:cstheme="minorBidi"/>
        </w:rPr>
        <w:t xml:space="preserve"> </w:t>
      </w:r>
    </w:p>
    <w:p w14:paraId="26E2032C" w14:textId="77777777" w:rsidR="005E4123" w:rsidRPr="005E4123" w:rsidRDefault="005E4123" w:rsidP="00B9280E">
      <w:pPr>
        <w:pStyle w:val="Heading4"/>
      </w:pPr>
      <w:r>
        <w:t>D</w:t>
      </w:r>
      <w:r w:rsidRPr="005E4123">
        <w:t>ifferent levels of State and Territory funding</w:t>
      </w:r>
      <w:r>
        <w:t xml:space="preserve"> are not necessarily inefficient, but warrant further attention </w:t>
      </w:r>
    </w:p>
    <w:p w14:paraId="47A087ED" w14:textId="77777777" w:rsidR="00C86FEB" w:rsidRDefault="007D4A2B" w:rsidP="007D4A2B">
      <w:pPr>
        <w:pStyle w:val="Bullet"/>
        <w:rPr>
          <w:rFonts w:asciiTheme="minorHAnsi" w:hAnsiTheme="minorHAnsi" w:cstheme="minorBidi"/>
        </w:rPr>
      </w:pPr>
      <w:r>
        <w:rPr>
          <w:rFonts w:asciiTheme="minorHAnsi" w:hAnsiTheme="minorHAnsi" w:cstheme="minorBidi"/>
        </w:rPr>
        <w:t xml:space="preserve">The interaction between </w:t>
      </w:r>
      <w:r w:rsidRPr="007D4A2B">
        <w:rPr>
          <w:rFonts w:asciiTheme="minorHAnsi" w:hAnsiTheme="minorHAnsi" w:cstheme="minorBidi"/>
        </w:rPr>
        <w:t>child care subsidies and the UANP</w:t>
      </w:r>
      <w:r>
        <w:rPr>
          <w:rFonts w:asciiTheme="minorHAnsi" w:hAnsiTheme="minorHAnsi" w:cstheme="minorBidi"/>
        </w:rPr>
        <w:t xml:space="preserve"> also has implications for the </w:t>
      </w:r>
      <w:r w:rsidRPr="007D4A2B">
        <w:rPr>
          <w:rFonts w:asciiTheme="minorHAnsi" w:hAnsiTheme="minorHAnsi" w:cstheme="minorBidi"/>
        </w:rPr>
        <w:t>demands on State and Territory funding to support preschool</w:t>
      </w:r>
      <w:r w:rsidR="003B6E0D">
        <w:rPr>
          <w:rFonts w:asciiTheme="minorHAnsi" w:hAnsiTheme="minorHAnsi" w:cstheme="minorBidi"/>
        </w:rPr>
        <w:t xml:space="preserve"> provision. </w:t>
      </w:r>
      <w:bookmarkStart w:id="214" w:name="_Hlk24611293"/>
      <w:r w:rsidR="000B1CD2">
        <w:rPr>
          <w:rFonts w:asciiTheme="minorHAnsi" w:hAnsiTheme="minorHAnsi" w:cstheme="minorBidi"/>
        </w:rPr>
        <w:t xml:space="preserve">From the </w:t>
      </w:r>
      <w:r w:rsidR="000B1CD2">
        <w:t>Australian Government</w:t>
      </w:r>
      <w:r w:rsidR="000B1CD2">
        <w:rPr>
          <w:rFonts w:asciiTheme="minorHAnsi" w:hAnsiTheme="minorHAnsi" w:cstheme="minorBidi"/>
        </w:rPr>
        <w:t xml:space="preserve">’s point of view, </w:t>
      </w:r>
      <w:r w:rsidR="00227A4D">
        <w:rPr>
          <w:rFonts w:asciiTheme="minorHAnsi" w:hAnsiTheme="minorHAnsi" w:cstheme="minorBidi"/>
        </w:rPr>
        <w:t xml:space="preserve">funding arrangements that allow or encourage some States or Territories to invest </w:t>
      </w:r>
      <w:r w:rsidR="00401CD5">
        <w:rPr>
          <w:rFonts w:asciiTheme="minorHAnsi" w:hAnsiTheme="minorHAnsi" w:cstheme="minorBidi"/>
        </w:rPr>
        <w:t>less,</w:t>
      </w:r>
      <w:r w:rsidR="00227A4D">
        <w:rPr>
          <w:rFonts w:asciiTheme="minorHAnsi" w:hAnsiTheme="minorHAnsi" w:cstheme="minorBidi"/>
        </w:rPr>
        <w:t xml:space="preserve"> relative to others, and potentially shift costs to the </w:t>
      </w:r>
      <w:r w:rsidR="00267021">
        <w:rPr>
          <w:rFonts w:asciiTheme="minorHAnsi" w:hAnsiTheme="minorHAnsi" w:cstheme="minorBidi"/>
        </w:rPr>
        <w:t>Australian Government</w:t>
      </w:r>
      <w:r w:rsidR="00227A4D">
        <w:rPr>
          <w:rFonts w:asciiTheme="minorHAnsi" w:hAnsiTheme="minorHAnsi" w:cstheme="minorBidi"/>
        </w:rPr>
        <w:t>, are undesirable from both an equity and an efficiency perspective.</w:t>
      </w:r>
      <w:bookmarkEnd w:id="214"/>
    </w:p>
    <w:p w14:paraId="748B59E0" w14:textId="77777777" w:rsidR="007D4A2B" w:rsidRDefault="007D4A2B" w:rsidP="007D4A2B">
      <w:pPr>
        <w:pStyle w:val="Bullet"/>
      </w:pPr>
      <w:bookmarkStart w:id="215" w:name="_Hlk32324737"/>
      <w:r>
        <w:rPr>
          <w:rFonts w:asciiTheme="minorHAnsi" w:hAnsiTheme="minorHAnsi" w:cstheme="minorBidi"/>
        </w:rPr>
        <w:t xml:space="preserve">This issue was raised in the 2014 </w:t>
      </w:r>
      <w:r w:rsidRPr="00435405">
        <w:rPr>
          <w:rFonts w:asciiTheme="minorHAnsi" w:hAnsiTheme="minorHAnsi" w:cstheme="minorBidi"/>
        </w:rPr>
        <w:t>Productivity Commission Inquiry into Child Care and Early Childhood Learning</w:t>
      </w:r>
      <w:r>
        <w:rPr>
          <w:rFonts w:asciiTheme="minorHAnsi" w:hAnsiTheme="minorHAnsi" w:cstheme="minorBidi"/>
        </w:rPr>
        <w:t xml:space="preserve">. The Productivity Commission </w:t>
      </w:r>
      <w:r>
        <w:t xml:space="preserve">characterised </w:t>
      </w:r>
      <w:r w:rsidR="00215451">
        <w:t>provi</w:t>
      </w:r>
      <w:r w:rsidR="00B63322">
        <w:t>sion</w:t>
      </w:r>
      <w:r w:rsidR="008D7EC8">
        <w:t xml:space="preserve"> of </w:t>
      </w:r>
      <w:r w:rsidR="00215451">
        <w:t xml:space="preserve">UANP funding to CBDC that also </w:t>
      </w:r>
      <w:r w:rsidR="008D7EC8">
        <w:t xml:space="preserve">attract </w:t>
      </w:r>
      <w:r>
        <w:t xml:space="preserve">child care subsidies as double </w:t>
      </w:r>
      <w:r w:rsidR="00215451">
        <w:t xml:space="preserve">dipping on </w:t>
      </w:r>
      <w:r w:rsidR="00AE3D06">
        <w:rPr>
          <w:rFonts w:asciiTheme="minorHAnsi" w:hAnsiTheme="minorHAnsi" w:cstheme="minorBidi"/>
        </w:rPr>
        <w:t>Commonwealth</w:t>
      </w:r>
      <w:r w:rsidR="00215451">
        <w:t xml:space="preserve"> assistance</w:t>
      </w:r>
      <w:r>
        <w:t xml:space="preserve"> and </w:t>
      </w:r>
      <w:r>
        <w:rPr>
          <w:rFonts w:asciiTheme="minorHAnsi" w:hAnsiTheme="minorHAnsi" w:cstheme="minorBidi"/>
        </w:rPr>
        <w:t xml:space="preserve">recommended that </w:t>
      </w:r>
      <w:r w:rsidR="003B6E0D">
        <w:rPr>
          <w:rFonts w:asciiTheme="minorHAnsi" w:hAnsiTheme="minorHAnsi" w:cstheme="minorBidi"/>
        </w:rPr>
        <w:t xml:space="preserve">the </w:t>
      </w:r>
      <w:r w:rsidR="003B6E0D">
        <w:t xml:space="preserve">Australian Government require </w:t>
      </w:r>
      <w:r>
        <w:rPr>
          <w:rFonts w:asciiTheme="minorHAnsi" w:hAnsiTheme="minorHAnsi" w:cstheme="minorBidi"/>
        </w:rPr>
        <w:t xml:space="preserve">States and Territories to direct payments for universal access to the </w:t>
      </w:r>
      <w:r>
        <w:t>service nominated by the family, regardless of setting.</w:t>
      </w:r>
      <w:r>
        <w:rPr>
          <w:rStyle w:val="FootnoteReference"/>
        </w:rPr>
        <w:footnoteReference w:id="89"/>
      </w:r>
      <w:r>
        <w:t xml:space="preserve"> Under the proposed arrangement, child care subsidies would </w:t>
      </w:r>
      <w:r w:rsidR="005D2A94">
        <w:t xml:space="preserve">then </w:t>
      </w:r>
      <w:r>
        <w:t>be reduced by an equivalent amount.</w:t>
      </w:r>
    </w:p>
    <w:bookmarkEnd w:id="215"/>
    <w:p w14:paraId="2DC9AF67" w14:textId="77777777" w:rsidR="00BC2A42" w:rsidRDefault="0084066D" w:rsidP="0084066D">
      <w:pPr>
        <w:pStyle w:val="Bullet"/>
        <w:rPr>
          <w:rFonts w:asciiTheme="minorHAnsi" w:hAnsiTheme="minorHAnsi" w:cstheme="minorBidi"/>
        </w:rPr>
      </w:pPr>
      <w:r>
        <w:rPr>
          <w:rFonts w:asciiTheme="minorHAnsi" w:hAnsiTheme="minorHAnsi" w:cstheme="minorBidi"/>
        </w:rPr>
        <w:t>It is true that t</w:t>
      </w:r>
      <w:r w:rsidR="00A345D8">
        <w:rPr>
          <w:rFonts w:asciiTheme="minorHAnsi" w:hAnsiTheme="minorHAnsi" w:cstheme="minorBidi"/>
        </w:rPr>
        <w:t xml:space="preserve">he </w:t>
      </w:r>
      <w:r w:rsidR="00A345D8" w:rsidRPr="00A345D8">
        <w:rPr>
          <w:rFonts w:asciiTheme="minorHAnsi" w:hAnsiTheme="minorHAnsi" w:cstheme="minorBidi"/>
        </w:rPr>
        <w:t xml:space="preserve">amount of CCS </w:t>
      </w:r>
      <w:r w:rsidR="00E9057A">
        <w:rPr>
          <w:rFonts w:asciiTheme="minorHAnsi" w:hAnsiTheme="minorHAnsi" w:cstheme="minorBidi"/>
        </w:rPr>
        <w:t xml:space="preserve">funding </w:t>
      </w:r>
      <w:r w:rsidR="00A345D8" w:rsidRPr="00A345D8">
        <w:rPr>
          <w:rFonts w:asciiTheme="minorHAnsi" w:hAnsiTheme="minorHAnsi" w:cstheme="minorBidi"/>
        </w:rPr>
        <w:t>that flow</w:t>
      </w:r>
      <w:r w:rsidR="005F3F61">
        <w:rPr>
          <w:rFonts w:asciiTheme="minorHAnsi" w:hAnsiTheme="minorHAnsi" w:cstheme="minorBidi"/>
        </w:rPr>
        <w:t>s</w:t>
      </w:r>
      <w:r w:rsidR="00A345D8" w:rsidRPr="00A345D8">
        <w:rPr>
          <w:rFonts w:asciiTheme="minorHAnsi" w:hAnsiTheme="minorHAnsi" w:cstheme="minorBidi"/>
        </w:rPr>
        <w:t xml:space="preserve"> to each jurisdiction is, in part, a function of State and Territory funding and policy decisions</w:t>
      </w:r>
      <w:r>
        <w:rPr>
          <w:rFonts w:asciiTheme="minorHAnsi" w:hAnsiTheme="minorHAnsi" w:cstheme="minorBidi"/>
        </w:rPr>
        <w:t>. However, th</w:t>
      </w:r>
      <w:r w:rsidR="00697CB0">
        <w:rPr>
          <w:rFonts w:asciiTheme="minorHAnsi" w:hAnsiTheme="minorHAnsi" w:cstheme="minorBidi"/>
        </w:rPr>
        <w:t>is is allowed under th</w:t>
      </w:r>
      <w:r>
        <w:rPr>
          <w:rFonts w:asciiTheme="minorHAnsi" w:hAnsiTheme="minorHAnsi" w:cstheme="minorBidi"/>
        </w:rPr>
        <w:t>e UANP</w:t>
      </w:r>
      <w:r w:rsidR="00697CB0">
        <w:rPr>
          <w:rFonts w:asciiTheme="minorHAnsi" w:hAnsiTheme="minorHAnsi" w:cstheme="minorBidi"/>
        </w:rPr>
        <w:t xml:space="preserve">, which </w:t>
      </w:r>
      <w:r>
        <w:rPr>
          <w:rFonts w:asciiTheme="minorHAnsi" w:hAnsiTheme="minorHAnsi" w:cstheme="minorBidi"/>
        </w:rPr>
        <w:t>has a strong</w:t>
      </w:r>
      <w:r w:rsidR="00103DA4">
        <w:rPr>
          <w:rFonts w:asciiTheme="minorHAnsi" w:hAnsiTheme="minorHAnsi" w:cstheme="minorBidi"/>
        </w:rPr>
        <w:t xml:space="preserve"> emphasis on subsidiarity and transparency to drive effort and investment</w:t>
      </w:r>
      <w:r>
        <w:rPr>
          <w:rFonts w:asciiTheme="minorHAnsi" w:hAnsiTheme="minorHAnsi" w:cstheme="minorBidi"/>
        </w:rPr>
        <w:t xml:space="preserve">. </w:t>
      </w:r>
      <w:r w:rsidR="005D2A94">
        <w:rPr>
          <w:rFonts w:asciiTheme="minorHAnsi" w:hAnsiTheme="minorHAnsi" w:cstheme="minorBidi"/>
        </w:rPr>
        <w:t>From the Review’s perspective</w:t>
      </w:r>
      <w:r w:rsidR="00813776">
        <w:rPr>
          <w:rFonts w:asciiTheme="minorHAnsi" w:hAnsiTheme="minorHAnsi" w:cstheme="minorBidi"/>
        </w:rPr>
        <w:t xml:space="preserve">, </w:t>
      </w:r>
      <w:r w:rsidR="00D37ED7">
        <w:rPr>
          <w:rFonts w:asciiTheme="minorHAnsi" w:hAnsiTheme="minorHAnsi" w:cstheme="minorBidi"/>
        </w:rPr>
        <w:t xml:space="preserve">preserving </w:t>
      </w:r>
      <w:r w:rsidR="00813776">
        <w:rPr>
          <w:rFonts w:asciiTheme="minorHAnsi" w:hAnsiTheme="minorHAnsi" w:cstheme="minorBidi"/>
        </w:rPr>
        <w:t xml:space="preserve">the </w:t>
      </w:r>
      <w:r w:rsidR="00195268">
        <w:rPr>
          <w:rFonts w:asciiTheme="minorHAnsi" w:hAnsiTheme="minorHAnsi" w:cstheme="minorBidi"/>
        </w:rPr>
        <w:t>responsiveness of preschool delivery to</w:t>
      </w:r>
      <w:r w:rsidR="00813776">
        <w:rPr>
          <w:rFonts w:asciiTheme="minorHAnsi" w:hAnsiTheme="minorHAnsi" w:cstheme="minorBidi"/>
        </w:rPr>
        <w:t xml:space="preserve"> jurisdictional context is </w:t>
      </w:r>
      <w:r w:rsidR="00D37ED7">
        <w:rPr>
          <w:rFonts w:asciiTheme="minorHAnsi" w:hAnsiTheme="minorHAnsi" w:cstheme="minorBidi"/>
        </w:rPr>
        <w:t xml:space="preserve">preferable to a model </w:t>
      </w:r>
      <w:r w:rsidR="00D37ED7" w:rsidRPr="00D37ED7">
        <w:rPr>
          <w:rFonts w:asciiTheme="minorHAnsi" w:hAnsiTheme="minorHAnsi" w:cstheme="minorBidi"/>
        </w:rPr>
        <w:t xml:space="preserve">that prioritises </w:t>
      </w:r>
      <w:proofErr w:type="gramStart"/>
      <w:r w:rsidR="00D37ED7" w:rsidRPr="00D37ED7">
        <w:rPr>
          <w:rFonts w:asciiTheme="minorHAnsi" w:hAnsiTheme="minorHAnsi" w:cstheme="minorBidi"/>
        </w:rPr>
        <w:t>jurisdictional-level</w:t>
      </w:r>
      <w:proofErr w:type="gramEnd"/>
      <w:r w:rsidR="00D37ED7" w:rsidRPr="00D37ED7">
        <w:rPr>
          <w:rFonts w:asciiTheme="minorHAnsi" w:hAnsiTheme="minorHAnsi" w:cstheme="minorBidi"/>
        </w:rPr>
        <w:t xml:space="preserve"> ‘equity’ in terms of relative total (CCS and UANP) Australian Government contributions</w:t>
      </w:r>
      <w:r w:rsidR="00267021">
        <w:rPr>
          <w:rFonts w:asciiTheme="minorHAnsi" w:hAnsiTheme="minorHAnsi" w:cstheme="minorBidi"/>
        </w:rPr>
        <w:t xml:space="preserve"> to children in the YBFS.</w:t>
      </w:r>
    </w:p>
    <w:p w14:paraId="2D5ADB5C" w14:textId="77777777" w:rsidR="00195268" w:rsidRDefault="00267021" w:rsidP="0084066D">
      <w:pPr>
        <w:pStyle w:val="Bullet"/>
        <w:rPr>
          <w:rFonts w:asciiTheme="minorHAnsi" w:hAnsiTheme="minorHAnsi" w:cstheme="minorBidi"/>
        </w:rPr>
      </w:pPr>
      <w:r>
        <w:rPr>
          <w:rFonts w:asciiTheme="minorHAnsi" w:hAnsiTheme="minorHAnsi" w:cstheme="minorBidi"/>
        </w:rPr>
        <w:t>C</w:t>
      </w:r>
      <w:r w:rsidR="0084066D">
        <w:rPr>
          <w:rFonts w:asciiTheme="minorHAnsi" w:hAnsiTheme="minorHAnsi" w:cstheme="minorBidi"/>
        </w:rPr>
        <w:t xml:space="preserve">laims of ‘double dipping’ arguably distract from </w:t>
      </w:r>
      <w:r w:rsidR="008D0572">
        <w:rPr>
          <w:rFonts w:asciiTheme="minorHAnsi" w:hAnsiTheme="minorHAnsi" w:cstheme="minorBidi"/>
        </w:rPr>
        <w:t xml:space="preserve">the </w:t>
      </w:r>
      <w:r w:rsidR="0084066D">
        <w:rPr>
          <w:rFonts w:asciiTheme="minorHAnsi" w:hAnsiTheme="minorHAnsi" w:cstheme="minorBidi"/>
        </w:rPr>
        <w:t xml:space="preserve">bigger </w:t>
      </w:r>
      <w:r w:rsidR="008260F7">
        <w:rPr>
          <w:rFonts w:asciiTheme="minorHAnsi" w:hAnsiTheme="minorHAnsi" w:cstheme="minorBidi"/>
        </w:rPr>
        <w:t>(albeit related)</w:t>
      </w:r>
      <w:r w:rsidR="0084066D">
        <w:rPr>
          <w:rFonts w:asciiTheme="minorHAnsi" w:hAnsiTheme="minorHAnsi" w:cstheme="minorBidi"/>
        </w:rPr>
        <w:t xml:space="preserve"> question</w:t>
      </w:r>
      <w:r w:rsidR="008D0572">
        <w:rPr>
          <w:rFonts w:asciiTheme="minorHAnsi" w:hAnsiTheme="minorHAnsi" w:cstheme="minorBidi"/>
        </w:rPr>
        <w:t xml:space="preserve">s of a) whether there is underinvestment by </w:t>
      </w:r>
      <w:r w:rsidR="008D0572" w:rsidRPr="008D0572">
        <w:rPr>
          <w:rFonts w:asciiTheme="minorHAnsi" w:hAnsiTheme="minorHAnsi" w:cstheme="minorBidi"/>
        </w:rPr>
        <w:t>States and Territories</w:t>
      </w:r>
      <w:r>
        <w:rPr>
          <w:rFonts w:asciiTheme="minorHAnsi" w:hAnsiTheme="minorHAnsi" w:cstheme="minorBidi"/>
        </w:rPr>
        <w:t>,</w:t>
      </w:r>
      <w:r w:rsidR="008D0572" w:rsidRPr="008D0572">
        <w:rPr>
          <w:rFonts w:asciiTheme="minorHAnsi" w:hAnsiTheme="minorHAnsi" w:cstheme="minorBidi"/>
        </w:rPr>
        <w:t xml:space="preserve"> </w:t>
      </w:r>
      <w:r w:rsidR="008D0572">
        <w:rPr>
          <w:rFonts w:asciiTheme="minorHAnsi" w:hAnsiTheme="minorHAnsi" w:cstheme="minorBidi"/>
        </w:rPr>
        <w:t xml:space="preserve">and b) what this implies for the </w:t>
      </w:r>
      <w:r w:rsidR="008260F7">
        <w:rPr>
          <w:rFonts w:asciiTheme="minorHAnsi" w:hAnsiTheme="minorHAnsi" w:cstheme="minorBidi"/>
        </w:rPr>
        <w:t>efficient</w:t>
      </w:r>
      <w:r w:rsidR="008D0572">
        <w:rPr>
          <w:rFonts w:asciiTheme="minorHAnsi" w:hAnsiTheme="minorHAnsi" w:cstheme="minorBidi"/>
        </w:rPr>
        <w:t xml:space="preserve"> and </w:t>
      </w:r>
      <w:r w:rsidR="008260F7">
        <w:rPr>
          <w:rFonts w:asciiTheme="minorHAnsi" w:hAnsiTheme="minorHAnsi" w:cstheme="minorBidi"/>
        </w:rPr>
        <w:t>equitable distribution</w:t>
      </w:r>
      <w:r w:rsidR="008D0572">
        <w:rPr>
          <w:rFonts w:asciiTheme="minorHAnsi" w:hAnsiTheme="minorHAnsi" w:cstheme="minorBidi"/>
        </w:rPr>
        <w:t xml:space="preserve"> of </w:t>
      </w:r>
      <w:r w:rsidR="008260F7">
        <w:rPr>
          <w:rFonts w:asciiTheme="minorHAnsi" w:hAnsiTheme="minorHAnsi" w:cstheme="minorBidi"/>
        </w:rPr>
        <w:t>UANP funding among jurisdictions</w:t>
      </w:r>
      <w:r w:rsidR="008D0572">
        <w:rPr>
          <w:rFonts w:asciiTheme="minorHAnsi" w:hAnsiTheme="minorHAnsi" w:cstheme="minorBidi"/>
        </w:rPr>
        <w:t xml:space="preserve"> to support achievement of the agreed objectives. </w:t>
      </w:r>
      <w:r>
        <w:rPr>
          <w:rFonts w:asciiTheme="minorHAnsi" w:hAnsiTheme="minorHAnsi" w:cstheme="minorBidi"/>
        </w:rPr>
        <w:t>U</w:t>
      </w:r>
      <w:r w:rsidR="00195268">
        <w:rPr>
          <w:rFonts w:asciiTheme="minorHAnsi" w:hAnsiTheme="minorHAnsi" w:cstheme="minorBidi"/>
        </w:rPr>
        <w:t>sing currently available data, it is not possible to conclude whether relatively low investment in some jurisdictions can be attributed to:</w:t>
      </w:r>
    </w:p>
    <w:p w14:paraId="119E2334" w14:textId="77777777" w:rsidR="00195268" w:rsidRPr="00195268" w:rsidRDefault="00267021" w:rsidP="0041353F">
      <w:pPr>
        <w:pStyle w:val="Bullet"/>
        <w:numPr>
          <w:ilvl w:val="0"/>
          <w:numId w:val="30"/>
        </w:numPr>
        <w:ind w:left="284" w:hanging="284"/>
      </w:pPr>
      <w:r>
        <w:t xml:space="preserve">higher </w:t>
      </w:r>
      <w:r w:rsidR="00195268">
        <w:t>levels of efficiency</w:t>
      </w:r>
    </w:p>
    <w:p w14:paraId="7AB94001" w14:textId="77777777" w:rsidR="00195268" w:rsidRPr="00195268" w:rsidRDefault="00195268" w:rsidP="0041353F">
      <w:pPr>
        <w:pStyle w:val="Bullet"/>
        <w:numPr>
          <w:ilvl w:val="0"/>
          <w:numId w:val="30"/>
        </w:numPr>
        <w:ind w:left="284" w:hanging="284"/>
      </w:pPr>
      <w:r w:rsidRPr="00195268">
        <w:t>lower costs of delivery</w:t>
      </w:r>
      <w:r>
        <w:t xml:space="preserve"> (for example, owing to geographic or demographic factors)</w:t>
      </w:r>
    </w:p>
    <w:p w14:paraId="2FD95675" w14:textId="0640D5E9" w:rsidR="00195268" w:rsidRPr="00195268" w:rsidRDefault="00195268" w:rsidP="0041353F">
      <w:pPr>
        <w:pStyle w:val="Bullet"/>
        <w:numPr>
          <w:ilvl w:val="0"/>
          <w:numId w:val="30"/>
        </w:numPr>
        <w:ind w:left="284" w:hanging="284"/>
      </w:pPr>
      <w:r w:rsidRPr="00195268">
        <w:t>a higher proportion of costs being met by Australian Government o</w:t>
      </w:r>
      <w:r w:rsidR="000A0B6B">
        <w:t>r</w:t>
      </w:r>
      <w:r w:rsidRPr="00195268">
        <w:t xml:space="preserve"> private </w:t>
      </w:r>
      <w:r>
        <w:t>funding sources</w:t>
      </w:r>
      <w:r w:rsidRPr="00195268">
        <w:t>, or</w:t>
      </w:r>
    </w:p>
    <w:p w14:paraId="3FD69627" w14:textId="77777777" w:rsidR="00195268" w:rsidRPr="00195268" w:rsidRDefault="00195268" w:rsidP="0041353F">
      <w:pPr>
        <w:pStyle w:val="Bullet"/>
        <w:numPr>
          <w:ilvl w:val="0"/>
          <w:numId w:val="30"/>
        </w:numPr>
        <w:ind w:left="284" w:hanging="284"/>
      </w:pPr>
      <w:r w:rsidRPr="00195268">
        <w:lastRenderedPageBreak/>
        <w:t xml:space="preserve">variation in the outcomes being achieved (such that jurisdictions spending more are delivering outcomes that exceed those measured for the purpose of the UANP). </w:t>
      </w:r>
    </w:p>
    <w:p w14:paraId="264B333B" w14:textId="5D23843A" w:rsidR="001742D7" w:rsidRDefault="00A907AA" w:rsidP="0084066D">
      <w:pPr>
        <w:pStyle w:val="Bullet"/>
        <w:rPr>
          <w:rFonts w:asciiTheme="minorHAnsi" w:hAnsiTheme="minorHAnsi" w:cstheme="minorBidi"/>
        </w:rPr>
      </w:pPr>
      <w:r>
        <w:rPr>
          <w:rFonts w:asciiTheme="minorHAnsi" w:hAnsiTheme="minorHAnsi" w:cstheme="minorBidi"/>
        </w:rPr>
        <w:t>This</w:t>
      </w:r>
      <w:r w:rsidR="008260F7">
        <w:rPr>
          <w:rFonts w:asciiTheme="minorHAnsi" w:hAnsiTheme="minorHAnsi" w:cstheme="minorBidi"/>
        </w:rPr>
        <w:t xml:space="preserve"> </w:t>
      </w:r>
      <w:r w:rsidR="00505EC0">
        <w:rPr>
          <w:rFonts w:asciiTheme="minorHAnsi" w:hAnsiTheme="minorHAnsi" w:cstheme="minorBidi"/>
        </w:rPr>
        <w:t xml:space="preserve">implies a need for </w:t>
      </w:r>
      <w:r w:rsidR="00C4234E">
        <w:rPr>
          <w:rFonts w:asciiTheme="minorHAnsi" w:hAnsiTheme="minorHAnsi" w:cstheme="minorBidi"/>
        </w:rPr>
        <w:t xml:space="preserve">a better understanding </w:t>
      </w:r>
      <w:proofErr w:type="gramStart"/>
      <w:r w:rsidR="00C4234E">
        <w:rPr>
          <w:rFonts w:asciiTheme="minorHAnsi" w:hAnsiTheme="minorHAnsi" w:cstheme="minorBidi"/>
        </w:rPr>
        <w:t>of:</w:t>
      </w:r>
      <w:proofErr w:type="gramEnd"/>
      <w:r w:rsidR="00267021">
        <w:rPr>
          <w:rFonts w:asciiTheme="minorHAnsi" w:hAnsiTheme="minorHAnsi" w:cstheme="minorBidi"/>
        </w:rPr>
        <w:t xml:space="preserve"> preschool </w:t>
      </w:r>
      <w:r w:rsidR="00862D5B">
        <w:rPr>
          <w:rFonts w:asciiTheme="minorHAnsi" w:hAnsiTheme="minorHAnsi" w:cstheme="minorBidi"/>
        </w:rPr>
        <w:t>delivery costs</w:t>
      </w:r>
      <w:r w:rsidR="00C4234E">
        <w:rPr>
          <w:rFonts w:asciiTheme="minorHAnsi" w:hAnsiTheme="minorHAnsi" w:cstheme="minorBidi"/>
        </w:rPr>
        <w:t>;</w:t>
      </w:r>
      <w:r w:rsidR="00267021">
        <w:rPr>
          <w:rFonts w:asciiTheme="minorHAnsi" w:hAnsiTheme="minorHAnsi" w:cstheme="minorBidi"/>
        </w:rPr>
        <w:t xml:space="preserve"> State and Territory spending</w:t>
      </w:r>
      <w:r w:rsidR="00C4234E">
        <w:rPr>
          <w:rFonts w:asciiTheme="minorHAnsi" w:hAnsiTheme="minorHAnsi" w:cstheme="minorBidi"/>
        </w:rPr>
        <w:t>;</w:t>
      </w:r>
      <w:r w:rsidR="00267021">
        <w:rPr>
          <w:rFonts w:asciiTheme="minorHAnsi" w:hAnsiTheme="minorHAnsi" w:cstheme="minorBidi"/>
        </w:rPr>
        <w:t xml:space="preserve"> and </w:t>
      </w:r>
      <w:r w:rsidR="008260F7">
        <w:rPr>
          <w:rFonts w:asciiTheme="minorHAnsi" w:hAnsiTheme="minorHAnsi" w:cstheme="minorBidi"/>
        </w:rPr>
        <w:t>outcomes</w:t>
      </w:r>
      <w:r w:rsidR="00862D5B">
        <w:rPr>
          <w:rFonts w:asciiTheme="minorHAnsi" w:hAnsiTheme="minorHAnsi" w:cstheme="minorBidi"/>
        </w:rPr>
        <w:t xml:space="preserve"> for children</w:t>
      </w:r>
      <w:r w:rsidR="00267021">
        <w:rPr>
          <w:rFonts w:asciiTheme="minorHAnsi" w:hAnsiTheme="minorHAnsi" w:cstheme="minorBidi"/>
        </w:rPr>
        <w:t xml:space="preserve">. </w:t>
      </w:r>
      <w:r w:rsidR="008D0572">
        <w:rPr>
          <w:rFonts w:asciiTheme="minorHAnsi" w:hAnsiTheme="minorHAnsi" w:cstheme="minorBidi"/>
        </w:rPr>
        <w:t xml:space="preserve">These issues are </w:t>
      </w:r>
      <w:r w:rsidR="008D0572" w:rsidRPr="008D0572">
        <w:rPr>
          <w:rFonts w:asciiTheme="minorHAnsi" w:hAnsiTheme="minorHAnsi" w:cstheme="minorBidi"/>
        </w:rPr>
        <w:t xml:space="preserve">considered </w:t>
      </w:r>
      <w:r w:rsidR="008D0572">
        <w:rPr>
          <w:rFonts w:asciiTheme="minorHAnsi" w:hAnsiTheme="minorHAnsi" w:cstheme="minorBidi"/>
        </w:rPr>
        <w:t xml:space="preserve">further </w:t>
      </w:r>
      <w:r w:rsidR="008D0572" w:rsidRPr="008D0572">
        <w:rPr>
          <w:rFonts w:asciiTheme="minorHAnsi" w:hAnsiTheme="minorHAnsi" w:cstheme="minorBidi"/>
        </w:rPr>
        <w:t xml:space="preserve">in Chapter </w:t>
      </w:r>
      <w:r w:rsidR="005B526C">
        <w:rPr>
          <w:rFonts w:asciiTheme="minorHAnsi" w:hAnsiTheme="minorHAnsi"/>
        </w:rPr>
        <w:fldChar w:fldCharType="begin"/>
      </w:r>
      <w:r w:rsidR="005B526C">
        <w:rPr>
          <w:rFonts w:asciiTheme="minorHAnsi" w:hAnsiTheme="minorHAnsi" w:cstheme="minorBidi"/>
        </w:rPr>
        <w:instrText xml:space="preserve"> REF _Ref24086391 \r \h </w:instrText>
      </w:r>
      <w:r w:rsidR="005B526C">
        <w:rPr>
          <w:rFonts w:asciiTheme="minorHAnsi" w:hAnsiTheme="minorHAnsi"/>
        </w:rPr>
      </w:r>
      <w:r w:rsidR="005B526C">
        <w:rPr>
          <w:rFonts w:asciiTheme="minorHAnsi" w:hAnsiTheme="minorHAnsi"/>
        </w:rPr>
        <w:fldChar w:fldCharType="separate"/>
      </w:r>
      <w:r w:rsidR="00B37785">
        <w:rPr>
          <w:rFonts w:asciiTheme="minorHAnsi" w:hAnsiTheme="minorHAnsi" w:cstheme="minorBidi"/>
        </w:rPr>
        <w:t>6</w:t>
      </w:r>
      <w:r w:rsidR="005B526C">
        <w:rPr>
          <w:rFonts w:asciiTheme="minorHAnsi" w:hAnsiTheme="minorHAnsi"/>
        </w:rPr>
        <w:fldChar w:fldCharType="end"/>
      </w:r>
      <w:r w:rsidR="008D0572" w:rsidRPr="008D0572">
        <w:rPr>
          <w:rFonts w:asciiTheme="minorHAnsi" w:hAnsiTheme="minorHAnsi" w:cstheme="minorBidi"/>
        </w:rPr>
        <w:t>.</w:t>
      </w:r>
      <w:r w:rsidR="004B71C2">
        <w:rPr>
          <w:rFonts w:asciiTheme="minorHAnsi" w:hAnsiTheme="minorHAnsi"/>
        </w:rPr>
        <w:t>2</w:t>
      </w:r>
      <w:r w:rsidR="008D0572" w:rsidRPr="008D0572">
        <w:rPr>
          <w:rFonts w:asciiTheme="minorHAnsi" w:hAnsiTheme="minorHAnsi" w:cstheme="minorBidi"/>
        </w:rPr>
        <w:t>.</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AE3D06" w14:paraId="0489C6CD" w14:textId="77777777" w:rsidTr="00604A48">
        <w:tc>
          <w:tcPr>
            <w:tcW w:w="9055" w:type="dxa"/>
          </w:tcPr>
          <w:p w14:paraId="2DF928D7" w14:textId="2BAB1C01" w:rsidR="00AE3D06" w:rsidRPr="009A598E" w:rsidRDefault="00AE3D06" w:rsidP="00EE62D0">
            <w:pPr>
              <w:pStyle w:val="Heading6"/>
              <w:keepNext w:val="0"/>
              <w:keepLines w:val="0"/>
              <w:widowControl w:val="0"/>
              <w:spacing w:before="240" w:after="120"/>
              <w:outlineLvl w:val="5"/>
              <w:rPr>
                <w:rFonts w:asciiTheme="majorHAnsi" w:hAnsiTheme="majorHAnsi" w:cstheme="majorHAnsi"/>
                <w:b w:val="0"/>
                <w:i w:val="0"/>
                <w:color w:val="00264D" w:themeColor="background2"/>
                <w:sz w:val="22"/>
                <w:szCs w:val="22"/>
              </w:rPr>
            </w:pPr>
            <w:r w:rsidRPr="009A598E">
              <w:rPr>
                <w:rFonts w:asciiTheme="majorHAnsi" w:hAnsiTheme="majorHAnsi" w:cstheme="majorHAnsi"/>
                <w:b w:val="0"/>
                <w:i w:val="0"/>
                <w:color w:val="00264D" w:themeColor="background2"/>
                <w:sz w:val="22"/>
                <w:szCs w:val="22"/>
              </w:rPr>
              <w:t>The Review</w:t>
            </w:r>
            <w:r>
              <w:rPr>
                <w:rFonts w:asciiTheme="majorHAnsi" w:hAnsiTheme="majorHAnsi" w:cstheme="majorHAnsi"/>
                <w:b w:val="0"/>
                <w:i w:val="0"/>
                <w:color w:val="00264D" w:themeColor="background2"/>
                <w:sz w:val="22"/>
                <w:szCs w:val="22"/>
              </w:rPr>
              <w:t>’s response to</w:t>
            </w:r>
            <w:r w:rsidRPr="009A598E">
              <w:rPr>
                <w:rFonts w:asciiTheme="majorHAnsi" w:hAnsiTheme="majorHAnsi" w:cstheme="majorHAnsi"/>
                <w:b w:val="0"/>
                <w:i w:val="0"/>
                <w:color w:val="00264D" w:themeColor="background2"/>
                <w:sz w:val="22"/>
                <w:szCs w:val="22"/>
              </w:rPr>
              <w:t xml:space="preserve"> concerns about funding equity between children, </w:t>
            </w:r>
            <w:proofErr w:type="gramStart"/>
            <w:r w:rsidRPr="009A598E">
              <w:rPr>
                <w:rFonts w:asciiTheme="majorHAnsi" w:hAnsiTheme="majorHAnsi" w:cstheme="majorHAnsi"/>
                <w:b w:val="0"/>
                <w:i w:val="0"/>
                <w:color w:val="00264D" w:themeColor="background2"/>
                <w:sz w:val="22"/>
                <w:szCs w:val="22"/>
              </w:rPr>
              <w:t>services</w:t>
            </w:r>
            <w:proofErr w:type="gramEnd"/>
            <w:r w:rsidRPr="009A598E">
              <w:rPr>
                <w:rFonts w:asciiTheme="majorHAnsi" w:hAnsiTheme="majorHAnsi" w:cstheme="majorHAnsi"/>
                <w:b w:val="0"/>
                <w:i w:val="0"/>
                <w:color w:val="00264D" w:themeColor="background2"/>
                <w:sz w:val="22"/>
                <w:szCs w:val="22"/>
              </w:rPr>
              <w:t xml:space="preserve"> and jurisdictions</w:t>
            </w:r>
          </w:p>
          <w:p w14:paraId="4AA081BE" w14:textId="77777777" w:rsidR="00AE3D06" w:rsidRPr="00B333EE" w:rsidRDefault="00AE3D06" w:rsidP="00604A48">
            <w:r>
              <w:t>S</w:t>
            </w:r>
            <w:r w:rsidRPr="00B333EE">
              <w:t xml:space="preserve">takeholders made </w:t>
            </w:r>
            <w:r>
              <w:t>four</w:t>
            </w:r>
            <w:r w:rsidRPr="00B333EE">
              <w:t xml:space="preserve"> claims </w:t>
            </w:r>
            <w:r>
              <w:t>about the equity of</w:t>
            </w:r>
            <w:r w:rsidRPr="00B333EE">
              <w:t xml:space="preserve"> current funding arrangements</w:t>
            </w:r>
            <w:r>
              <w:t xml:space="preserve"> to the Review</w:t>
            </w:r>
            <w:r w:rsidRPr="00B333EE">
              <w:t>:</w:t>
            </w:r>
          </w:p>
          <w:p w14:paraId="0A9E345D" w14:textId="77777777" w:rsidR="00AE3D06" w:rsidRPr="00B333EE" w:rsidRDefault="00AE3D06" w:rsidP="0041353F">
            <w:pPr>
              <w:pStyle w:val="Bullet"/>
              <w:numPr>
                <w:ilvl w:val="0"/>
                <w:numId w:val="31"/>
              </w:numPr>
            </w:pPr>
            <w:r w:rsidRPr="00B333EE">
              <w:t>Preschool delivered by some CBDC providers attracts two streams of Australian Government funding (</w:t>
            </w:r>
            <w:r>
              <w:t>CCS</w:t>
            </w:r>
            <w:r w:rsidRPr="00B333EE">
              <w:t xml:space="preserve"> and the UANP). This </w:t>
            </w:r>
            <w:r w:rsidR="001C1458">
              <w:t>is</w:t>
            </w:r>
            <w:r w:rsidRPr="00B333EE">
              <w:t xml:space="preserve"> sometimes characterised as a ‘double subsidy’. </w:t>
            </w:r>
          </w:p>
          <w:p w14:paraId="724B7B32" w14:textId="77777777" w:rsidR="00AE3D06" w:rsidRDefault="00AE3D06" w:rsidP="0041353F">
            <w:pPr>
              <w:pStyle w:val="Bullet"/>
              <w:numPr>
                <w:ilvl w:val="0"/>
                <w:numId w:val="31"/>
              </w:numPr>
            </w:pPr>
            <w:r w:rsidRPr="00B333EE">
              <w:t>A</w:t>
            </w:r>
            <w:r>
              <w:t>s a</w:t>
            </w:r>
            <w:r w:rsidRPr="00B333EE">
              <w:t xml:space="preserve"> result of this interaction between CCS and the UANP</w:t>
            </w:r>
            <w:r>
              <w:t xml:space="preserve">, </w:t>
            </w:r>
            <w:r w:rsidRPr="00B333EE">
              <w:t xml:space="preserve">the Australian Government meets a higher share of preschool costs in </w:t>
            </w:r>
            <w:r>
              <w:t>jurisdictions</w:t>
            </w:r>
            <w:r w:rsidRPr="00B333EE">
              <w:t xml:space="preserve"> that rely more heavily on CBDC providers to deliver preschool.</w:t>
            </w:r>
          </w:p>
          <w:p w14:paraId="54C21BD5" w14:textId="77777777" w:rsidR="00AE3D06" w:rsidRDefault="00AE3D06" w:rsidP="0041353F">
            <w:pPr>
              <w:pStyle w:val="Bullet"/>
              <w:numPr>
                <w:ilvl w:val="0"/>
                <w:numId w:val="31"/>
              </w:numPr>
            </w:pPr>
            <w:r>
              <w:t>T</w:t>
            </w:r>
            <w:r w:rsidRPr="00B333EE">
              <w:t xml:space="preserve">he actual cost of meeting UANP outcomes is higher in some </w:t>
            </w:r>
            <w:r>
              <w:t>States and Territories,</w:t>
            </w:r>
            <w:r w:rsidRPr="00B333EE">
              <w:t xml:space="preserve"> and this is not reflected in how much </w:t>
            </w:r>
            <w:r>
              <w:t xml:space="preserve">Australian Government </w:t>
            </w:r>
            <w:r w:rsidRPr="00B333EE">
              <w:t xml:space="preserve">funding </w:t>
            </w:r>
            <w:r>
              <w:t xml:space="preserve">these </w:t>
            </w:r>
            <w:r w:rsidRPr="00B333EE">
              <w:t>jurisdictions receive.</w:t>
            </w:r>
          </w:p>
          <w:p w14:paraId="35B29F29" w14:textId="77777777" w:rsidR="00AE3D06" w:rsidRDefault="00AE3D06" w:rsidP="0041353F">
            <w:pPr>
              <w:pStyle w:val="Bullet"/>
              <w:numPr>
                <w:ilvl w:val="0"/>
                <w:numId w:val="31"/>
              </w:numPr>
            </w:pPr>
            <w:r>
              <w:t>Individual children receive different amounts of public funding for preschool and, separately, the distribution of funding does not align with the cost of delivering preschool to different children.</w:t>
            </w:r>
          </w:p>
          <w:p w14:paraId="2090A723" w14:textId="77777777" w:rsidR="00AE3D06" w:rsidRPr="00B333EE" w:rsidRDefault="00AE3D06" w:rsidP="00604A48">
            <w:pPr>
              <w:pStyle w:val="Heading6"/>
              <w:spacing w:before="240" w:after="120"/>
              <w:outlineLvl w:val="5"/>
              <w:rPr>
                <w:rFonts w:asciiTheme="majorHAnsi" w:hAnsiTheme="majorHAnsi" w:cstheme="majorHAnsi"/>
                <w:b w:val="0"/>
                <w:i w:val="0"/>
                <w:color w:val="00264D" w:themeColor="background2"/>
              </w:rPr>
            </w:pPr>
            <w:r>
              <w:rPr>
                <w:rFonts w:asciiTheme="majorHAnsi" w:hAnsiTheme="majorHAnsi" w:cstheme="majorHAnsi"/>
                <w:b w:val="0"/>
                <w:i w:val="0"/>
                <w:color w:val="00264D" w:themeColor="background2"/>
              </w:rPr>
              <w:t>Providers do not</w:t>
            </w:r>
            <w:r w:rsidRPr="00B333EE">
              <w:rPr>
                <w:rFonts w:asciiTheme="majorHAnsi" w:hAnsiTheme="majorHAnsi" w:cstheme="majorHAnsi"/>
                <w:b w:val="0"/>
                <w:i w:val="0"/>
                <w:color w:val="00264D" w:themeColor="background2"/>
              </w:rPr>
              <w:t xml:space="preserve"> </w:t>
            </w:r>
            <w:r>
              <w:rPr>
                <w:rFonts w:asciiTheme="majorHAnsi" w:hAnsiTheme="majorHAnsi" w:cstheme="majorHAnsi"/>
                <w:b w:val="0"/>
                <w:i w:val="0"/>
                <w:color w:val="00264D" w:themeColor="background2"/>
              </w:rPr>
              <w:t>receive a ‘double subsidy’</w:t>
            </w:r>
            <w:r w:rsidRPr="00B333EE">
              <w:rPr>
                <w:rFonts w:asciiTheme="majorHAnsi" w:hAnsiTheme="majorHAnsi" w:cstheme="majorHAnsi"/>
                <w:b w:val="0"/>
                <w:i w:val="0"/>
                <w:color w:val="00264D" w:themeColor="background2"/>
              </w:rPr>
              <w:t xml:space="preserve">, but </w:t>
            </w:r>
            <w:r>
              <w:rPr>
                <w:rFonts w:asciiTheme="majorHAnsi" w:hAnsiTheme="majorHAnsi" w:cstheme="majorHAnsi"/>
                <w:b w:val="0"/>
                <w:i w:val="0"/>
                <w:color w:val="00264D" w:themeColor="background2"/>
              </w:rPr>
              <w:t>may leverage</w:t>
            </w:r>
            <w:r w:rsidRPr="00B333EE">
              <w:rPr>
                <w:rFonts w:asciiTheme="majorHAnsi" w:hAnsiTheme="majorHAnsi" w:cstheme="majorHAnsi"/>
                <w:b w:val="0"/>
                <w:i w:val="0"/>
                <w:color w:val="00264D" w:themeColor="background2"/>
              </w:rPr>
              <w:t xml:space="preserve"> other services </w:t>
            </w:r>
            <w:r>
              <w:rPr>
                <w:rFonts w:asciiTheme="majorHAnsi" w:hAnsiTheme="majorHAnsi" w:cstheme="majorHAnsi"/>
                <w:b w:val="0"/>
                <w:i w:val="0"/>
                <w:color w:val="00264D" w:themeColor="background2"/>
              </w:rPr>
              <w:t>to deliver preschool</w:t>
            </w:r>
          </w:p>
          <w:p w14:paraId="6868A8E1" w14:textId="3F866A8E" w:rsidR="00AE3D06" w:rsidRDefault="00AE3D06" w:rsidP="00604A48">
            <w:pPr>
              <w:pStyle w:val="Bullet"/>
              <w:spacing w:after="60" w:line="259" w:lineRule="auto"/>
              <w:rPr>
                <w:rFonts w:asciiTheme="minorHAnsi" w:hAnsiTheme="minorHAnsi" w:cstheme="minorHAnsi"/>
              </w:rPr>
            </w:pPr>
            <w:r w:rsidRPr="00BF23CD">
              <w:rPr>
                <w:rFonts w:asciiTheme="minorHAnsi" w:hAnsiTheme="minorHAnsi" w:cstheme="minorHAnsi"/>
              </w:rPr>
              <w:t xml:space="preserve">The </w:t>
            </w:r>
            <w:r>
              <w:rPr>
                <w:rFonts w:asciiTheme="minorHAnsi" w:hAnsiTheme="minorHAnsi" w:cstheme="minorHAnsi"/>
              </w:rPr>
              <w:t>UANP and CCS serve</w:t>
            </w:r>
            <w:r w:rsidRPr="00BF23CD">
              <w:rPr>
                <w:rFonts w:asciiTheme="minorHAnsi" w:hAnsiTheme="minorHAnsi" w:cstheme="minorHAnsi"/>
              </w:rPr>
              <w:t xml:space="preserve"> different purposes</w:t>
            </w:r>
            <w:r>
              <w:rPr>
                <w:rFonts w:asciiTheme="minorHAnsi" w:hAnsiTheme="minorHAnsi" w:cstheme="minorHAnsi"/>
              </w:rPr>
              <w:t>:</w:t>
            </w:r>
            <w:r w:rsidRPr="00BF23CD">
              <w:rPr>
                <w:rFonts w:asciiTheme="minorHAnsi" w:hAnsiTheme="minorHAnsi" w:cstheme="minorHAnsi"/>
              </w:rPr>
              <w:t xml:space="preserve"> CCS reduces the cost of child care</w:t>
            </w:r>
            <w:r w:rsidR="00AD3E2B">
              <w:rPr>
                <w:rFonts w:asciiTheme="minorHAnsi" w:hAnsiTheme="minorHAnsi" w:cstheme="minorHAnsi"/>
              </w:rPr>
              <w:t xml:space="preserve"> primarily</w:t>
            </w:r>
            <w:r w:rsidRPr="00BF23CD">
              <w:rPr>
                <w:rFonts w:asciiTheme="minorHAnsi" w:hAnsiTheme="minorHAnsi" w:cstheme="minorHAnsi"/>
              </w:rPr>
              <w:t xml:space="preserve"> to facilitat</w:t>
            </w:r>
            <w:r>
              <w:rPr>
                <w:rFonts w:asciiTheme="minorHAnsi" w:hAnsiTheme="minorHAnsi" w:cstheme="minorHAnsi"/>
              </w:rPr>
              <w:t>e</w:t>
            </w:r>
            <w:r w:rsidRPr="00BF23CD">
              <w:rPr>
                <w:rFonts w:asciiTheme="minorHAnsi" w:hAnsiTheme="minorHAnsi" w:cstheme="minorHAnsi"/>
              </w:rPr>
              <w:t xml:space="preserve"> workforce participation</w:t>
            </w:r>
            <w:r>
              <w:rPr>
                <w:rFonts w:asciiTheme="minorHAnsi" w:hAnsiTheme="minorHAnsi" w:cstheme="minorHAnsi"/>
              </w:rPr>
              <w:t>;</w:t>
            </w:r>
            <w:r w:rsidRPr="00BF23CD">
              <w:rPr>
                <w:rFonts w:asciiTheme="minorHAnsi" w:hAnsiTheme="minorHAnsi" w:cstheme="minorHAnsi"/>
              </w:rPr>
              <w:t xml:space="preserve"> the UANP is exclusively concerned with preschool</w:t>
            </w:r>
            <w:r>
              <w:rPr>
                <w:rFonts w:asciiTheme="minorHAnsi" w:hAnsiTheme="minorHAnsi" w:cstheme="minorHAnsi"/>
              </w:rPr>
              <w:t xml:space="preserve"> in the YBFS</w:t>
            </w:r>
            <w:r w:rsidRPr="00BF23CD">
              <w:rPr>
                <w:rFonts w:asciiTheme="minorHAnsi" w:hAnsiTheme="minorHAnsi" w:cstheme="minorHAnsi"/>
              </w:rPr>
              <w:t>.</w:t>
            </w:r>
            <w:r>
              <w:rPr>
                <w:rFonts w:asciiTheme="minorHAnsi" w:hAnsiTheme="minorHAnsi" w:cstheme="minorHAnsi"/>
              </w:rPr>
              <w:t xml:space="preserve"> </w:t>
            </w:r>
          </w:p>
          <w:p w14:paraId="12239E4D" w14:textId="44F7CD5A" w:rsidR="00AE3D06" w:rsidRDefault="00AE3D06" w:rsidP="00604A48">
            <w:pPr>
              <w:pStyle w:val="Bullet"/>
              <w:spacing w:after="60" w:line="259" w:lineRule="auto"/>
              <w:rPr>
                <w:rFonts w:asciiTheme="minorHAnsi" w:hAnsiTheme="minorHAnsi" w:cstheme="minorHAnsi"/>
              </w:rPr>
            </w:pPr>
            <w:r>
              <w:rPr>
                <w:rFonts w:asciiTheme="minorHAnsi" w:hAnsiTheme="minorHAnsi" w:cstheme="minorHAnsi"/>
              </w:rPr>
              <w:t>The Review heard</w:t>
            </w:r>
            <w:r w:rsidRPr="0057391C">
              <w:rPr>
                <w:rFonts w:asciiTheme="minorHAnsi" w:hAnsiTheme="minorHAnsi" w:cstheme="minorHAnsi"/>
              </w:rPr>
              <w:t xml:space="preserve"> that UANP </w:t>
            </w:r>
            <w:r>
              <w:rPr>
                <w:rFonts w:asciiTheme="minorHAnsi" w:hAnsiTheme="minorHAnsi" w:cstheme="minorHAnsi"/>
              </w:rPr>
              <w:t>funding is not used to subsidise child care. However, CCS may indirectly subsidise preschool provision by contributing to the cost of resources that are used in the delivery of both preschool and child care</w:t>
            </w:r>
            <w:r w:rsidR="00055819">
              <w:rPr>
                <w:rFonts w:asciiTheme="minorHAnsi" w:hAnsiTheme="minorHAnsi" w:cstheme="minorHAnsi"/>
              </w:rPr>
              <w:t>.</w:t>
            </w:r>
          </w:p>
          <w:p w14:paraId="7B7CAC49" w14:textId="77777777" w:rsidR="00AE3D06" w:rsidRDefault="00AE3D06" w:rsidP="00604A48">
            <w:pPr>
              <w:pStyle w:val="Bullet"/>
              <w:spacing w:after="60" w:line="259" w:lineRule="auto"/>
              <w:rPr>
                <w:rFonts w:asciiTheme="minorHAnsi" w:hAnsiTheme="minorHAnsi" w:cstheme="minorHAnsi"/>
              </w:rPr>
            </w:pPr>
            <w:r>
              <w:rPr>
                <w:rFonts w:asciiTheme="minorHAnsi" w:hAnsiTheme="minorHAnsi" w:cstheme="minorHAnsi"/>
              </w:rPr>
              <w:t xml:space="preserve">A similar argument could be made in relation to school-based preschools leveraging schools funding; however, unlike CCS, Australian Government schools funding is not allocated to children enrolled in preschool. (Interactions between the UANP and schools funding are </w:t>
            </w:r>
            <w:r w:rsidR="001C1458">
              <w:rPr>
                <w:rFonts w:asciiTheme="minorHAnsi" w:hAnsiTheme="minorHAnsi" w:cstheme="minorHAnsi"/>
              </w:rPr>
              <w:t>considered</w:t>
            </w:r>
            <w:r>
              <w:rPr>
                <w:rFonts w:asciiTheme="minorHAnsi" w:hAnsiTheme="minorHAnsi" w:cstheme="minorHAnsi"/>
              </w:rPr>
              <w:t xml:space="preserve"> in Chapter 2.4). </w:t>
            </w:r>
          </w:p>
          <w:p w14:paraId="78EA7530" w14:textId="77777777" w:rsidR="00AE3D06" w:rsidRDefault="00AE3D06" w:rsidP="00604A48">
            <w:pPr>
              <w:pStyle w:val="Bullet"/>
              <w:spacing w:after="60" w:line="259" w:lineRule="auto"/>
              <w:rPr>
                <w:rFonts w:asciiTheme="minorHAnsi" w:hAnsiTheme="minorHAnsi" w:cstheme="minorHAnsi"/>
              </w:rPr>
            </w:pPr>
            <w:r>
              <w:rPr>
                <w:rFonts w:asciiTheme="minorHAnsi" w:hAnsiTheme="minorHAnsi" w:cstheme="minorHAnsi"/>
              </w:rPr>
              <w:t xml:space="preserve">Without greater transparency about delivery costs and the distribution of funding, the extent to which different funding streams (including CCS) contribute to meeting the cost of delivering preschool in different settings cannot be quantified. </w:t>
            </w:r>
          </w:p>
          <w:p w14:paraId="559E9844" w14:textId="60F9FB5D" w:rsidR="00AE3D06" w:rsidRPr="00C44543" w:rsidRDefault="00AE3D06" w:rsidP="00604A48">
            <w:pPr>
              <w:pStyle w:val="Heading6"/>
              <w:spacing w:before="240" w:after="120"/>
              <w:outlineLvl w:val="5"/>
              <w:rPr>
                <w:rFonts w:asciiTheme="majorHAnsi" w:hAnsiTheme="majorHAnsi" w:cstheme="majorHAnsi"/>
                <w:color w:val="00264D" w:themeColor="background2"/>
              </w:rPr>
            </w:pPr>
            <w:r>
              <w:rPr>
                <w:rFonts w:asciiTheme="majorHAnsi" w:hAnsiTheme="majorHAnsi" w:cstheme="majorHAnsi"/>
                <w:b w:val="0"/>
                <w:i w:val="0"/>
                <w:color w:val="00264D" w:themeColor="background2"/>
              </w:rPr>
              <w:t>State and Territory funding for</w:t>
            </w:r>
            <w:r w:rsidRPr="00C44543">
              <w:rPr>
                <w:rFonts w:asciiTheme="majorHAnsi" w:hAnsiTheme="majorHAnsi" w:cstheme="majorHAnsi"/>
                <w:b w:val="0"/>
                <w:i w:val="0"/>
                <w:color w:val="00264D" w:themeColor="background2"/>
              </w:rPr>
              <w:t xml:space="preserve"> preschool var</w:t>
            </w:r>
            <w:r>
              <w:rPr>
                <w:rFonts w:asciiTheme="majorHAnsi" w:hAnsiTheme="majorHAnsi" w:cstheme="majorHAnsi"/>
                <w:b w:val="0"/>
                <w:i w:val="0"/>
                <w:color w:val="00264D" w:themeColor="background2"/>
              </w:rPr>
              <w:t>ies markedly</w:t>
            </w:r>
          </w:p>
          <w:p w14:paraId="40443CD9" w14:textId="74EDDB04" w:rsidR="00AE3D06" w:rsidRDefault="00AE3D06" w:rsidP="00604A48">
            <w:pPr>
              <w:rPr>
                <w:rFonts w:asciiTheme="minorHAnsi" w:hAnsiTheme="minorHAnsi" w:cstheme="minorHAnsi"/>
              </w:rPr>
            </w:pPr>
            <w:r>
              <w:rPr>
                <w:rFonts w:asciiTheme="minorHAnsi" w:hAnsiTheme="minorHAnsi" w:cstheme="minorHAnsi"/>
              </w:rPr>
              <w:t xml:space="preserve">Using currently available data, it is not possible to verify whether jurisdictions that spend less are operating more efficiently, facing lower costs, relying more heavily on other sources of funding, or achieving poorer outcomes (which may </w:t>
            </w:r>
            <w:r w:rsidR="001C1458">
              <w:rPr>
                <w:rFonts w:asciiTheme="minorHAnsi" w:hAnsiTheme="minorHAnsi" w:cstheme="minorHAnsi"/>
              </w:rPr>
              <w:t xml:space="preserve">nevertheless </w:t>
            </w:r>
            <w:r w:rsidRPr="0096238F">
              <w:rPr>
                <w:rFonts w:asciiTheme="minorHAnsi" w:hAnsiTheme="minorHAnsi" w:cstheme="minorHAnsi"/>
              </w:rPr>
              <w:t xml:space="preserve">still satisfy the </w:t>
            </w:r>
            <w:r>
              <w:rPr>
                <w:rFonts w:asciiTheme="minorHAnsi" w:hAnsiTheme="minorHAnsi" w:cstheme="minorHAnsi"/>
              </w:rPr>
              <w:t xml:space="preserve">UANP </w:t>
            </w:r>
            <w:r w:rsidRPr="0096238F">
              <w:rPr>
                <w:rFonts w:asciiTheme="minorHAnsi" w:hAnsiTheme="minorHAnsi" w:cstheme="minorHAnsi"/>
              </w:rPr>
              <w:t>performance framework</w:t>
            </w:r>
            <w:r>
              <w:rPr>
                <w:rFonts w:asciiTheme="minorHAnsi" w:hAnsiTheme="minorHAnsi" w:cstheme="minorHAnsi"/>
              </w:rPr>
              <w:t xml:space="preserve">). Similarly, </w:t>
            </w:r>
            <w:r w:rsidRPr="009558D2">
              <w:rPr>
                <w:rFonts w:asciiTheme="minorHAnsi" w:hAnsiTheme="minorHAnsi" w:cstheme="minorHAnsi"/>
              </w:rPr>
              <w:t xml:space="preserve">it is difficult </w:t>
            </w:r>
            <w:r w:rsidRPr="00311AEC">
              <w:rPr>
                <w:rFonts w:asciiTheme="minorHAnsi" w:hAnsiTheme="minorHAnsi" w:cstheme="minorHAnsi"/>
              </w:rPr>
              <w:t xml:space="preserve">to determine whether funding for individual children </w:t>
            </w:r>
            <w:r w:rsidRPr="002B3912">
              <w:rPr>
                <w:rFonts w:asciiTheme="minorHAnsi" w:hAnsiTheme="minorHAnsi" w:cstheme="minorHAnsi"/>
              </w:rPr>
              <w:t>is</w:t>
            </w:r>
            <w:r w:rsidRPr="009558D2">
              <w:rPr>
                <w:rFonts w:asciiTheme="minorHAnsi" w:hAnsiTheme="minorHAnsi" w:cstheme="minorHAnsi"/>
              </w:rPr>
              <w:t xml:space="preserve"> equitable</w:t>
            </w:r>
            <w:r w:rsidR="00AA5D9E">
              <w:rPr>
                <w:rFonts w:asciiTheme="minorHAnsi" w:hAnsiTheme="minorHAnsi" w:cstheme="minorHAnsi"/>
              </w:rPr>
              <w:t>.</w:t>
            </w:r>
          </w:p>
          <w:p w14:paraId="14DF2A00" w14:textId="77777777" w:rsidR="00AE3D06" w:rsidRPr="00C44543" w:rsidRDefault="00AE3D06" w:rsidP="00604A48">
            <w:pPr>
              <w:pStyle w:val="Heading6"/>
              <w:spacing w:before="240" w:after="120"/>
              <w:outlineLvl w:val="5"/>
              <w:rPr>
                <w:rFonts w:asciiTheme="majorHAnsi" w:hAnsiTheme="majorHAnsi" w:cstheme="majorHAnsi"/>
                <w:b w:val="0"/>
                <w:i w:val="0"/>
                <w:color w:val="00264D" w:themeColor="background2"/>
              </w:rPr>
            </w:pPr>
            <w:r w:rsidRPr="00C44543">
              <w:rPr>
                <w:rFonts w:asciiTheme="majorHAnsi" w:hAnsiTheme="majorHAnsi" w:cstheme="majorHAnsi"/>
                <w:b w:val="0"/>
                <w:i w:val="0"/>
                <w:color w:val="00264D" w:themeColor="background2"/>
              </w:rPr>
              <w:t xml:space="preserve">Making changes to </w:t>
            </w:r>
            <w:r>
              <w:rPr>
                <w:rFonts w:asciiTheme="majorHAnsi" w:hAnsiTheme="majorHAnsi" w:cstheme="majorHAnsi"/>
                <w:b w:val="0"/>
                <w:i w:val="0"/>
                <w:color w:val="00264D" w:themeColor="background2"/>
              </w:rPr>
              <w:t>address concerns about</w:t>
            </w:r>
            <w:r w:rsidRPr="00C44543">
              <w:rPr>
                <w:rFonts w:asciiTheme="majorHAnsi" w:hAnsiTheme="majorHAnsi" w:cstheme="majorHAnsi"/>
                <w:b w:val="0"/>
                <w:i w:val="0"/>
                <w:color w:val="00264D" w:themeColor="background2"/>
              </w:rPr>
              <w:t xml:space="preserve"> </w:t>
            </w:r>
            <w:r>
              <w:rPr>
                <w:rFonts w:asciiTheme="majorHAnsi" w:hAnsiTheme="majorHAnsi" w:cstheme="majorHAnsi"/>
                <w:b w:val="0"/>
                <w:i w:val="0"/>
                <w:color w:val="00264D" w:themeColor="background2"/>
              </w:rPr>
              <w:t xml:space="preserve">funding </w:t>
            </w:r>
            <w:r w:rsidRPr="00C44543">
              <w:rPr>
                <w:rFonts w:asciiTheme="majorHAnsi" w:hAnsiTheme="majorHAnsi" w:cstheme="majorHAnsi"/>
                <w:b w:val="0"/>
                <w:i w:val="0"/>
                <w:color w:val="00264D" w:themeColor="background2"/>
              </w:rPr>
              <w:t xml:space="preserve">equity is risky and involves policy trade-offs </w:t>
            </w:r>
          </w:p>
          <w:p w14:paraId="505AFB52" w14:textId="77777777" w:rsidR="00AE3D06" w:rsidRPr="004C0A05" w:rsidRDefault="00AE3D06" w:rsidP="00604A48">
            <w:r>
              <w:t xml:space="preserve">Given the complex interactions between the UANP and other funding streams, engineering more equitable arrangements would need to be approached carefully. Changes to funding could severely disrupt the sector and may disproportionately affect </w:t>
            </w:r>
            <w:proofErr w:type="gramStart"/>
            <w:r>
              <w:t>particular children</w:t>
            </w:r>
            <w:proofErr w:type="gramEnd"/>
            <w:r>
              <w:t xml:space="preserve">, services and communities. </w:t>
            </w:r>
            <w:r>
              <w:rPr>
                <w:rFonts w:asciiTheme="minorHAnsi" w:hAnsiTheme="minorHAnsi" w:cstheme="minorHAnsi"/>
              </w:rPr>
              <w:t xml:space="preserve">It may also have implications for the degree of autonomy that States and Territories exercise in deciding how to fund and deliver preschool. (Arrangements that create strong financial incentives to adopt a particular model could cause jurisdictions to depart from the service mix that is otherwise optimal.) </w:t>
            </w:r>
          </w:p>
          <w:p w14:paraId="4D6850E7" w14:textId="77777777" w:rsidR="00AE3D06" w:rsidRPr="00C44543" w:rsidRDefault="00AE3D06" w:rsidP="00604A48">
            <w:pPr>
              <w:pStyle w:val="Heading6"/>
              <w:spacing w:before="240" w:after="120"/>
              <w:outlineLvl w:val="5"/>
              <w:rPr>
                <w:rFonts w:asciiTheme="majorHAnsi" w:hAnsiTheme="majorHAnsi" w:cstheme="majorHAnsi"/>
                <w:b w:val="0"/>
                <w:i w:val="0"/>
                <w:color w:val="00264D" w:themeColor="background2"/>
              </w:rPr>
            </w:pPr>
            <w:r w:rsidRPr="00C44543">
              <w:rPr>
                <w:rFonts w:asciiTheme="majorHAnsi" w:hAnsiTheme="majorHAnsi" w:cstheme="majorHAnsi"/>
                <w:b w:val="0"/>
                <w:i w:val="0"/>
                <w:color w:val="00264D" w:themeColor="background2"/>
              </w:rPr>
              <w:lastRenderedPageBreak/>
              <w:t>In the short-term, governments should focus on improving transparency</w:t>
            </w:r>
            <w:r>
              <w:rPr>
                <w:rFonts w:asciiTheme="majorHAnsi" w:hAnsiTheme="majorHAnsi" w:cstheme="majorHAnsi"/>
                <w:b w:val="0"/>
                <w:i w:val="0"/>
                <w:color w:val="00264D" w:themeColor="background2"/>
              </w:rPr>
              <w:t xml:space="preserve"> </w:t>
            </w:r>
          </w:p>
          <w:p w14:paraId="1769C989" w14:textId="77777777" w:rsidR="00AE3D06" w:rsidRDefault="00AE3D06" w:rsidP="00604A48">
            <w:pPr>
              <w:pStyle w:val="Bullet"/>
              <w:spacing w:after="60" w:line="259" w:lineRule="auto"/>
              <w:rPr>
                <w:rFonts w:asciiTheme="minorHAnsi" w:hAnsiTheme="minorHAnsi" w:cstheme="minorHAnsi"/>
              </w:rPr>
            </w:pPr>
            <w:r w:rsidRPr="00C02633">
              <w:rPr>
                <w:rFonts w:asciiTheme="minorHAnsi" w:hAnsiTheme="minorHAnsi" w:cstheme="minorHAnsi"/>
              </w:rPr>
              <w:t xml:space="preserve">Modelling the efficient cost </w:t>
            </w:r>
            <w:r>
              <w:rPr>
                <w:rFonts w:asciiTheme="minorHAnsi" w:hAnsiTheme="minorHAnsi" w:cstheme="minorHAnsi"/>
              </w:rPr>
              <w:t xml:space="preserve">and improving the quality of expenditure and outcomes data would provide a stronger basis to scrutinise current funding arrangements and could underpin funding arrangements that align the allocation of funds with the cost of delivery. In addition, consideration could be given to </w:t>
            </w:r>
            <w:r w:rsidR="007C5B34">
              <w:rPr>
                <w:rFonts w:asciiTheme="minorHAnsi" w:hAnsiTheme="minorHAnsi" w:cstheme="minorHAnsi"/>
              </w:rPr>
              <w:t xml:space="preserve">incorporating measures that promote more equitable funding across States and Territories (e.g. </w:t>
            </w:r>
            <w:r>
              <w:rPr>
                <w:rFonts w:asciiTheme="minorHAnsi" w:hAnsiTheme="minorHAnsi" w:cstheme="minorHAnsi"/>
              </w:rPr>
              <w:t>setting expectations</w:t>
            </w:r>
            <w:r w:rsidR="007C5B34">
              <w:rPr>
                <w:rFonts w:asciiTheme="minorHAnsi" w:hAnsiTheme="minorHAnsi" w:cstheme="minorHAnsi"/>
              </w:rPr>
              <w:t xml:space="preserve"> of a minimum level of investment</w:t>
            </w:r>
            <w:r>
              <w:rPr>
                <w:rFonts w:asciiTheme="minorHAnsi" w:hAnsiTheme="minorHAnsi" w:cstheme="minorHAnsi"/>
              </w:rPr>
              <w:t>,</w:t>
            </w:r>
            <w:r w:rsidR="001D2C3A">
              <w:rPr>
                <w:rFonts w:asciiTheme="minorHAnsi" w:hAnsiTheme="minorHAnsi" w:cstheme="minorHAnsi"/>
              </w:rPr>
              <w:t xml:space="preserve"> </w:t>
            </w:r>
            <w:r>
              <w:rPr>
                <w:rFonts w:asciiTheme="minorHAnsi" w:hAnsiTheme="minorHAnsi" w:cstheme="minorHAnsi"/>
              </w:rPr>
              <w:t xml:space="preserve">or to expanding CCS eligibility so that it can be used more broadly to subsidise child care that ‘wraps around’ preschool hours in jurisdictions with school-based </w:t>
            </w:r>
            <w:r w:rsidR="005145E9">
              <w:rPr>
                <w:rFonts w:asciiTheme="minorHAnsi" w:hAnsiTheme="minorHAnsi" w:cstheme="minorHAnsi"/>
              </w:rPr>
              <w:t xml:space="preserve">and standalone </w:t>
            </w:r>
            <w:r>
              <w:rPr>
                <w:rFonts w:asciiTheme="minorHAnsi" w:hAnsiTheme="minorHAnsi" w:cstheme="minorHAnsi"/>
              </w:rPr>
              <w:t xml:space="preserve">preschool systems. </w:t>
            </w:r>
          </w:p>
          <w:p w14:paraId="35F49F23" w14:textId="57D26822" w:rsidR="00502A30" w:rsidRPr="00502A30" w:rsidRDefault="00502A30" w:rsidP="00502A30">
            <w:pPr>
              <w:rPr>
                <w:rFonts w:eastAsia="Times New Roman" w:cs="Segoe UI"/>
                <w:szCs w:val="20"/>
              </w:rPr>
            </w:pPr>
            <w:r>
              <w:t xml:space="preserve">It is important to note that </w:t>
            </w:r>
            <w:r w:rsidR="00B4094A">
              <w:t xml:space="preserve">Tasmania and Western Australia </w:t>
            </w:r>
            <w:r>
              <w:t>do not accept the Review’s findings on these issues, including key findings 9 and 10 below. While the Review appreciates these concerns, we have formed our views using the best available evidence.</w:t>
            </w:r>
          </w:p>
        </w:tc>
      </w:tr>
    </w:tbl>
    <w:p w14:paraId="349C6C15" w14:textId="77777777" w:rsidR="00AE3D06" w:rsidRDefault="00AE3D06" w:rsidP="0084066D">
      <w:pPr>
        <w:pStyle w:val="Bullet"/>
        <w:rPr>
          <w:rFonts w:asciiTheme="minorHAnsi" w:hAnsiTheme="minorHAnsi" w:cstheme="minorBidi"/>
        </w:rPr>
      </w:pP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E87932" w14:paraId="1456368F" w14:textId="77777777" w:rsidTr="0083580F">
        <w:tc>
          <w:tcPr>
            <w:tcW w:w="8930" w:type="dxa"/>
            <w:shd w:val="clear" w:color="auto" w:fill="00264D" w:themeFill="background2"/>
          </w:tcPr>
          <w:p w14:paraId="6FEB31A6" w14:textId="77777777" w:rsidR="00E87932" w:rsidRPr="006C71B3" w:rsidRDefault="00E87932" w:rsidP="0083580F">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2265F7">
              <w:rPr>
                <w:rFonts w:asciiTheme="minorHAnsi" w:hAnsiTheme="minorHAnsi"/>
                <w:b/>
                <w:color w:val="25B3E0" w:themeColor="accent6"/>
                <w:sz w:val="20"/>
                <w:szCs w:val="20"/>
              </w:rPr>
              <w:t>9</w:t>
            </w:r>
          </w:p>
          <w:p w14:paraId="2CDCAD35" w14:textId="77777777" w:rsidR="00EE3E17" w:rsidRDefault="00FC74BE" w:rsidP="0083580F">
            <w:pPr>
              <w:pStyle w:val="Longformcallout"/>
              <w:spacing w:after="0"/>
              <w:rPr>
                <w:rFonts w:asciiTheme="majorHAnsi" w:hAnsiTheme="majorHAnsi" w:cstheme="majorBidi"/>
                <w:color w:val="FFFFFF" w:themeColor="background1"/>
                <w:sz w:val="20"/>
                <w:szCs w:val="20"/>
              </w:rPr>
            </w:pPr>
            <w:r w:rsidRPr="00FC74BE">
              <w:rPr>
                <w:rFonts w:asciiTheme="majorHAnsi" w:hAnsiTheme="majorHAnsi" w:cstheme="majorBidi"/>
                <w:color w:val="FFFFFF" w:themeColor="background1"/>
                <w:sz w:val="20"/>
                <w:szCs w:val="20"/>
              </w:rPr>
              <w:t xml:space="preserve">The Review does not support the claim that some preschool enrolments benefit from a ‘double subsidy’ at a service level. </w:t>
            </w:r>
            <w:r w:rsidR="00280F12" w:rsidRPr="00280F12">
              <w:rPr>
                <w:rFonts w:asciiTheme="majorHAnsi" w:hAnsiTheme="majorHAnsi" w:cstheme="majorBidi"/>
                <w:color w:val="FFFFFF" w:themeColor="background1"/>
                <w:sz w:val="20"/>
                <w:szCs w:val="20"/>
              </w:rPr>
              <w:t>While child care subsidies and UANP funding can accrue to the same preschool-aged child in CBDC, these two funding streams have different policy intents</w:t>
            </w:r>
            <w:r w:rsidR="00E87932" w:rsidRPr="0C5679B2">
              <w:rPr>
                <w:rFonts w:asciiTheme="majorHAnsi" w:hAnsiTheme="majorHAnsi" w:cstheme="majorBidi"/>
                <w:color w:val="FFFFFF" w:themeColor="background1"/>
                <w:sz w:val="20"/>
                <w:szCs w:val="20"/>
              </w:rPr>
              <w:t>.</w:t>
            </w:r>
          </w:p>
          <w:p w14:paraId="28EDA67E" w14:textId="77777777" w:rsidR="00513C12" w:rsidRPr="00513C12" w:rsidRDefault="00513C12" w:rsidP="0083580F">
            <w:pPr>
              <w:pStyle w:val="Longformcallout"/>
              <w:spacing w:after="0"/>
              <w:rPr>
                <w:rFonts w:asciiTheme="majorHAnsi" w:hAnsiTheme="majorHAnsi" w:cstheme="majorBidi"/>
                <w:color w:val="FFFFFF" w:themeColor="background1"/>
                <w:sz w:val="20"/>
                <w:szCs w:val="20"/>
              </w:rPr>
            </w:pPr>
          </w:p>
          <w:p w14:paraId="4018FA41" w14:textId="77777777" w:rsidR="00EE3E17" w:rsidRPr="006C71B3" w:rsidRDefault="00EE3E17" w:rsidP="00EE3E17">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2265F7">
              <w:rPr>
                <w:rFonts w:asciiTheme="minorHAnsi" w:hAnsiTheme="minorHAnsi"/>
                <w:b/>
                <w:color w:val="25B3E0" w:themeColor="accent6"/>
                <w:sz w:val="20"/>
                <w:szCs w:val="20"/>
              </w:rPr>
              <w:t>10</w:t>
            </w:r>
          </w:p>
          <w:p w14:paraId="19455839" w14:textId="2C16A501" w:rsidR="00E87932" w:rsidRPr="00732C88" w:rsidRDefault="00EE3E17" w:rsidP="0083580F">
            <w:pPr>
              <w:pStyle w:val="Longformcallout"/>
              <w:spacing w:after="0"/>
              <w:rPr>
                <w:rFonts w:asciiTheme="majorHAnsi" w:hAnsiTheme="majorHAnsi" w:cstheme="majorBidi"/>
                <w:color w:val="FFFFFF" w:themeColor="background1"/>
                <w:sz w:val="20"/>
                <w:szCs w:val="20"/>
              </w:rPr>
            </w:pPr>
            <w:r w:rsidRPr="00B50889">
              <w:rPr>
                <w:rFonts w:asciiTheme="majorHAnsi" w:hAnsiTheme="majorHAnsi" w:cstheme="majorBidi"/>
                <w:color w:val="FFFFFF" w:themeColor="background1"/>
                <w:sz w:val="20"/>
                <w:szCs w:val="20"/>
              </w:rPr>
              <w:t xml:space="preserve">The Review </w:t>
            </w:r>
            <w:r w:rsidR="00505EC0">
              <w:rPr>
                <w:rFonts w:asciiTheme="majorHAnsi" w:hAnsiTheme="majorHAnsi" w:cstheme="majorBidi"/>
                <w:color w:val="FFFFFF" w:themeColor="background1"/>
                <w:sz w:val="20"/>
                <w:szCs w:val="20"/>
              </w:rPr>
              <w:t xml:space="preserve">does not accept that jurisdictions that attract relatively high amounts of </w:t>
            </w:r>
            <w:r w:rsidR="007A0ABF" w:rsidRPr="007A0ABF">
              <w:rPr>
                <w:rFonts w:asciiTheme="majorHAnsi" w:hAnsiTheme="majorHAnsi" w:cstheme="majorBidi"/>
                <w:color w:val="FFFFFF" w:themeColor="background1"/>
                <w:sz w:val="20"/>
                <w:szCs w:val="20"/>
              </w:rPr>
              <w:t>CCS</w:t>
            </w:r>
            <w:r w:rsidR="00505EC0">
              <w:rPr>
                <w:rFonts w:asciiTheme="majorHAnsi" w:hAnsiTheme="majorHAnsi" w:cstheme="majorBidi"/>
                <w:color w:val="FFFFFF" w:themeColor="background1"/>
                <w:sz w:val="20"/>
                <w:szCs w:val="20"/>
              </w:rPr>
              <w:t xml:space="preserve"> </w:t>
            </w:r>
            <w:r>
              <w:rPr>
                <w:rFonts w:asciiTheme="majorHAnsi" w:hAnsiTheme="majorHAnsi" w:cstheme="majorBidi"/>
                <w:color w:val="FFFFFF" w:themeColor="background1"/>
                <w:sz w:val="20"/>
                <w:szCs w:val="20"/>
              </w:rPr>
              <w:t>are ‘double dipping’</w:t>
            </w:r>
            <w:r w:rsidR="00505EC0">
              <w:rPr>
                <w:rFonts w:asciiTheme="majorHAnsi" w:hAnsiTheme="majorHAnsi" w:cstheme="majorBidi"/>
                <w:color w:val="FFFFFF" w:themeColor="background1"/>
                <w:sz w:val="20"/>
                <w:szCs w:val="20"/>
              </w:rPr>
              <w:t xml:space="preserve">. Funding flexibility contributes to the efficiency of current arrangements and is an accepted feature of the UANP. The apparent variation in the relative amount of State and Territory investment warrants further </w:t>
            </w:r>
            <w:r w:rsidR="007A0ABF" w:rsidRPr="007A0ABF">
              <w:rPr>
                <w:rFonts w:asciiTheme="majorHAnsi" w:hAnsiTheme="majorHAnsi" w:cstheme="majorBidi"/>
                <w:color w:val="FFFFFF" w:themeColor="background1"/>
                <w:sz w:val="20"/>
                <w:szCs w:val="20"/>
              </w:rPr>
              <w:t>analysis</w:t>
            </w:r>
            <w:r w:rsidR="00385DB6">
              <w:rPr>
                <w:rFonts w:asciiTheme="majorHAnsi" w:hAnsiTheme="majorHAnsi" w:cstheme="majorBidi"/>
                <w:color w:val="FFFFFF" w:themeColor="background1"/>
                <w:sz w:val="20"/>
                <w:szCs w:val="20"/>
              </w:rPr>
              <w:t>, however</w:t>
            </w:r>
            <w:r w:rsidR="003C788F">
              <w:rPr>
                <w:rFonts w:asciiTheme="majorHAnsi" w:hAnsiTheme="majorHAnsi" w:cstheme="majorBidi"/>
                <w:color w:val="FFFFFF" w:themeColor="background1"/>
                <w:sz w:val="20"/>
                <w:szCs w:val="20"/>
              </w:rPr>
              <w:t>.</w:t>
            </w:r>
          </w:p>
        </w:tc>
      </w:tr>
    </w:tbl>
    <w:p w14:paraId="4A77DA19" w14:textId="77777777" w:rsidR="00CE588F" w:rsidRDefault="00CE588F" w:rsidP="00B90656">
      <w:pPr>
        <w:pStyle w:val="Bullet"/>
        <w:rPr>
          <w:rFonts w:asciiTheme="minorHAnsi" w:hAnsiTheme="minorHAnsi" w:cstheme="minorBidi"/>
        </w:rPr>
      </w:pPr>
    </w:p>
    <w:p w14:paraId="72F6DC3A" w14:textId="77777777" w:rsidR="00105F99" w:rsidRPr="00C30076" w:rsidRDefault="00BB44D7" w:rsidP="008340F6">
      <w:pPr>
        <w:pStyle w:val="Heading1"/>
      </w:pPr>
      <w:bookmarkStart w:id="216" w:name="_Ref24086391"/>
      <w:bookmarkStart w:id="217" w:name="_Toc24559606"/>
      <w:bookmarkStart w:id="218" w:name="_Toc54597794"/>
      <w:bookmarkEnd w:id="196"/>
      <w:r>
        <w:lastRenderedPageBreak/>
        <w:t>Considerations for future preschool policy settings</w:t>
      </w:r>
      <w:bookmarkEnd w:id="216"/>
      <w:bookmarkEnd w:id="217"/>
      <w:bookmarkEnd w:id="218"/>
      <w:r w:rsidR="00105F99" w:rsidRPr="00C30076">
        <w:t xml:space="preserve"> </w:t>
      </w:r>
    </w:p>
    <w:p w14:paraId="036B9389" w14:textId="77777777" w:rsidR="001473CE" w:rsidRPr="00735725" w:rsidRDefault="008C3EF2" w:rsidP="00FB200C">
      <w:pPr>
        <w:pStyle w:val="Bullet"/>
        <w:rPr>
          <w:rFonts w:asciiTheme="minorHAnsi" w:hAnsiTheme="minorHAnsi" w:cstheme="minorBidi"/>
        </w:rPr>
      </w:pPr>
      <w:r w:rsidRPr="0C5679B2">
        <w:rPr>
          <w:rFonts w:asciiTheme="minorHAnsi" w:hAnsiTheme="minorHAnsi" w:cstheme="minorBidi"/>
        </w:rPr>
        <w:t xml:space="preserve">This chapter is focused on </w:t>
      </w:r>
      <w:r w:rsidR="00C43E2B" w:rsidRPr="0C5679B2">
        <w:rPr>
          <w:rFonts w:asciiTheme="minorHAnsi" w:hAnsiTheme="minorHAnsi" w:cstheme="minorBidi"/>
        </w:rPr>
        <w:t>future policy and funding arrangements</w:t>
      </w:r>
      <w:r w:rsidR="00BF05BB" w:rsidRPr="0C5679B2">
        <w:rPr>
          <w:rFonts w:asciiTheme="minorHAnsi" w:hAnsiTheme="minorHAnsi" w:cstheme="minorBidi"/>
        </w:rPr>
        <w:t>, addressing T</w:t>
      </w:r>
      <w:r w:rsidR="00E50640" w:rsidRPr="0C5679B2">
        <w:rPr>
          <w:rFonts w:asciiTheme="minorHAnsi" w:hAnsiTheme="minorHAnsi" w:cstheme="minorBidi"/>
        </w:rPr>
        <w:t>erm of Reference</w:t>
      </w:r>
      <w:r w:rsidR="00BF05BB" w:rsidRPr="0C5679B2">
        <w:rPr>
          <w:rFonts w:asciiTheme="minorHAnsi" w:hAnsiTheme="minorHAnsi" w:cstheme="minorBidi"/>
        </w:rPr>
        <w:t xml:space="preserve"> 5</w:t>
      </w:r>
      <w:r w:rsidR="0005138A" w:rsidRPr="0C5679B2">
        <w:rPr>
          <w:rFonts w:asciiTheme="minorHAnsi" w:hAnsiTheme="minorHAnsi" w:cstheme="minorBidi"/>
        </w:rPr>
        <w:t xml:space="preserve">. It </w:t>
      </w:r>
      <w:r w:rsidR="003A1626" w:rsidRPr="0C5679B2">
        <w:rPr>
          <w:rFonts w:asciiTheme="minorHAnsi" w:hAnsiTheme="minorHAnsi" w:cstheme="minorBidi"/>
        </w:rPr>
        <w:t>is informed by</w:t>
      </w:r>
      <w:r w:rsidR="0005138A" w:rsidRPr="0C5679B2">
        <w:rPr>
          <w:rFonts w:asciiTheme="minorHAnsi" w:hAnsiTheme="minorHAnsi" w:cstheme="minorBidi"/>
        </w:rPr>
        <w:t xml:space="preserve"> </w:t>
      </w:r>
      <w:r w:rsidR="00735725" w:rsidRPr="0C5679B2">
        <w:rPr>
          <w:rFonts w:asciiTheme="minorHAnsi" w:hAnsiTheme="minorHAnsi" w:cstheme="minorBidi"/>
        </w:rPr>
        <w:t>the Review’s findings</w:t>
      </w:r>
      <w:r w:rsidR="003A4C2B" w:rsidRPr="0C5679B2">
        <w:rPr>
          <w:rFonts w:asciiTheme="minorHAnsi" w:hAnsiTheme="minorHAnsi" w:cstheme="minorBidi"/>
        </w:rPr>
        <w:t xml:space="preserve"> discussed above</w:t>
      </w:r>
      <w:r w:rsidR="00BF05BB" w:rsidRPr="0C5679B2">
        <w:rPr>
          <w:rFonts w:asciiTheme="minorHAnsi" w:hAnsiTheme="minorHAnsi" w:cstheme="minorBidi"/>
        </w:rPr>
        <w:t xml:space="preserve">, and </w:t>
      </w:r>
      <w:r w:rsidR="0079367D">
        <w:t xml:space="preserve">makes a series of </w:t>
      </w:r>
      <w:r w:rsidR="0006544F">
        <w:t>key</w:t>
      </w:r>
      <w:r w:rsidR="0079367D">
        <w:t xml:space="preserve"> findings which</w:t>
      </w:r>
      <w:r w:rsidR="00F56310">
        <w:t xml:space="preserve"> should, in </w:t>
      </w:r>
      <w:r w:rsidR="00957AAF">
        <w:t>our</w:t>
      </w:r>
      <w:r w:rsidR="00F56310">
        <w:t xml:space="preserve"> view, form the basis of </w:t>
      </w:r>
      <w:r w:rsidR="00252C04">
        <w:t>future</w:t>
      </w:r>
      <w:r w:rsidR="00F56310">
        <w:t xml:space="preserve"> arrangements.</w:t>
      </w:r>
      <w:r w:rsidR="00BF05BB">
        <w:t xml:space="preserve"> </w:t>
      </w:r>
      <w:r w:rsidR="00C72D14" w:rsidRPr="0C5679B2">
        <w:rPr>
          <w:rFonts w:asciiTheme="minorHAnsi" w:hAnsiTheme="minorHAnsi" w:cstheme="minorBidi"/>
        </w:rPr>
        <w:t xml:space="preserve">This </w:t>
      </w:r>
      <w:r w:rsidR="00B058BE">
        <w:t>chapter</w:t>
      </w:r>
      <w:r w:rsidR="00C72D14">
        <w:t xml:space="preserve"> </w:t>
      </w:r>
      <w:r w:rsidR="003A4C2B" w:rsidRPr="0C5679B2">
        <w:rPr>
          <w:rFonts w:asciiTheme="minorHAnsi" w:hAnsiTheme="minorHAnsi" w:cstheme="minorBidi"/>
        </w:rPr>
        <w:t>covers</w:t>
      </w:r>
      <w:r w:rsidR="00C72D14" w:rsidRPr="0C5679B2">
        <w:rPr>
          <w:rFonts w:asciiTheme="minorHAnsi" w:hAnsiTheme="minorHAnsi" w:cstheme="minorBidi"/>
        </w:rPr>
        <w:t>:</w:t>
      </w:r>
    </w:p>
    <w:p w14:paraId="5107A8FD" w14:textId="479B2516" w:rsidR="00FB200C" w:rsidRDefault="00BF05BB" w:rsidP="00196B73">
      <w:pPr>
        <w:pStyle w:val="Bullet"/>
        <w:numPr>
          <w:ilvl w:val="0"/>
          <w:numId w:val="21"/>
        </w:numPr>
        <w:rPr>
          <w:rFonts w:asciiTheme="minorHAnsi" w:hAnsiTheme="minorHAnsi" w:cstheme="minorBidi"/>
        </w:rPr>
      </w:pPr>
      <w:r w:rsidRPr="0C5679B2">
        <w:rPr>
          <w:rFonts w:asciiTheme="majorHAnsi" w:hAnsiTheme="majorHAnsi" w:cstheme="majorBidi"/>
        </w:rPr>
        <w:t xml:space="preserve">Considerations </w:t>
      </w:r>
      <w:r w:rsidR="00D5347A" w:rsidRPr="0C5679B2">
        <w:rPr>
          <w:rFonts w:asciiTheme="majorHAnsi" w:hAnsiTheme="majorHAnsi" w:cstheme="majorBidi"/>
        </w:rPr>
        <w:t>for future policy settings</w:t>
      </w:r>
      <w:r w:rsidR="00D5347A" w:rsidRPr="0C5679B2">
        <w:rPr>
          <w:rFonts w:asciiTheme="minorHAnsi" w:hAnsiTheme="minorHAnsi" w:cstheme="minorBidi"/>
        </w:rPr>
        <w:t xml:space="preserve"> and any successor </w:t>
      </w:r>
      <w:r w:rsidR="003A1626" w:rsidRPr="0C5679B2">
        <w:rPr>
          <w:rFonts w:asciiTheme="minorHAnsi" w:hAnsiTheme="minorHAnsi" w:cstheme="minorBidi"/>
        </w:rPr>
        <w:t xml:space="preserve">intergovernmental </w:t>
      </w:r>
      <w:r w:rsidR="00D5347A" w:rsidRPr="0C5679B2">
        <w:rPr>
          <w:rFonts w:asciiTheme="minorHAnsi" w:hAnsiTheme="minorHAnsi" w:cstheme="minorBidi"/>
        </w:rPr>
        <w:t>arrangements</w:t>
      </w:r>
      <w:r w:rsidR="009C6BB8">
        <w:rPr>
          <w:rFonts w:asciiTheme="minorHAnsi" w:hAnsiTheme="minorHAnsi" w:cstheme="minorBidi"/>
        </w:rPr>
        <w:t>.</w:t>
      </w:r>
    </w:p>
    <w:p w14:paraId="2DEAD0EC" w14:textId="25EAAB10" w:rsidR="00A9220B" w:rsidRDefault="009E7EAE" w:rsidP="00196B73">
      <w:pPr>
        <w:pStyle w:val="Bullet"/>
        <w:numPr>
          <w:ilvl w:val="0"/>
          <w:numId w:val="21"/>
        </w:numPr>
        <w:rPr>
          <w:rFonts w:asciiTheme="minorHAnsi" w:hAnsiTheme="minorHAnsi" w:cstheme="minorBidi"/>
        </w:rPr>
      </w:pPr>
      <w:r w:rsidRPr="0C5679B2">
        <w:rPr>
          <w:rFonts w:asciiTheme="majorHAnsi" w:hAnsiTheme="majorHAnsi" w:cstheme="majorBidi"/>
        </w:rPr>
        <w:t>Elements of the next stage of a national approach</w:t>
      </w:r>
      <w:r w:rsidRPr="0C5679B2">
        <w:rPr>
          <w:rFonts w:asciiTheme="minorHAnsi" w:hAnsiTheme="minorHAnsi" w:cstheme="minorBidi"/>
        </w:rPr>
        <w:t xml:space="preserve"> to maximising universal benefit from access to high quality </w:t>
      </w:r>
      <w:r w:rsidR="004E1FE8" w:rsidRPr="0C5679B2">
        <w:rPr>
          <w:rFonts w:asciiTheme="minorHAnsi" w:hAnsiTheme="minorHAnsi" w:cstheme="minorBidi"/>
        </w:rPr>
        <w:t>preschool</w:t>
      </w:r>
      <w:r w:rsidRPr="0C5679B2">
        <w:rPr>
          <w:rFonts w:asciiTheme="minorHAnsi" w:hAnsiTheme="minorHAnsi" w:cstheme="minorBidi"/>
        </w:rPr>
        <w:t xml:space="preserve"> for Australian</w:t>
      </w:r>
      <w:r w:rsidR="008A42A3" w:rsidRPr="0C5679B2">
        <w:rPr>
          <w:rFonts w:asciiTheme="minorHAnsi" w:hAnsiTheme="minorHAnsi" w:cstheme="minorBidi"/>
        </w:rPr>
        <w:t xml:space="preserve"> children</w:t>
      </w:r>
      <w:r w:rsidR="00A4601F">
        <w:rPr>
          <w:rFonts w:asciiTheme="minorHAnsi" w:hAnsiTheme="minorHAnsi" w:cstheme="minorBidi"/>
        </w:rPr>
        <w:t xml:space="preserve"> in the YBFS</w:t>
      </w:r>
      <w:r w:rsidR="009C6BB8">
        <w:rPr>
          <w:rFonts w:asciiTheme="minorHAnsi" w:hAnsiTheme="minorHAnsi" w:cstheme="minorBidi"/>
        </w:rPr>
        <w:t>.</w:t>
      </w:r>
    </w:p>
    <w:p w14:paraId="245DAD80" w14:textId="36B15822" w:rsidR="00760A6E" w:rsidRDefault="009E7EAE" w:rsidP="00196B73">
      <w:pPr>
        <w:pStyle w:val="Bullet"/>
        <w:numPr>
          <w:ilvl w:val="0"/>
          <w:numId w:val="21"/>
        </w:numPr>
        <w:rPr>
          <w:rFonts w:asciiTheme="minorHAnsi" w:hAnsiTheme="minorHAnsi" w:cstheme="minorBidi"/>
        </w:rPr>
      </w:pPr>
      <w:r w:rsidRPr="0C5679B2">
        <w:rPr>
          <w:rFonts w:asciiTheme="majorHAnsi" w:hAnsiTheme="majorHAnsi" w:cstheme="majorBidi"/>
        </w:rPr>
        <w:t xml:space="preserve">Future arrangements to drive improvements in data collection, </w:t>
      </w:r>
      <w:proofErr w:type="gramStart"/>
      <w:r w:rsidRPr="0C5679B2">
        <w:rPr>
          <w:rFonts w:asciiTheme="majorHAnsi" w:hAnsiTheme="majorHAnsi" w:cstheme="majorBidi"/>
        </w:rPr>
        <w:t>measurement</w:t>
      </w:r>
      <w:proofErr w:type="gramEnd"/>
      <w:r w:rsidRPr="0C5679B2">
        <w:rPr>
          <w:rFonts w:asciiTheme="majorHAnsi" w:hAnsiTheme="majorHAnsi" w:cstheme="majorBidi"/>
        </w:rPr>
        <w:t xml:space="preserve"> and reporting</w:t>
      </w:r>
      <w:r w:rsidR="009C6BB8" w:rsidRPr="009C6BB8">
        <w:rPr>
          <w:rFonts w:asciiTheme="minorHAnsi" w:hAnsiTheme="minorHAnsi" w:cstheme="minorHAnsi"/>
        </w:rPr>
        <w:t>.</w:t>
      </w:r>
    </w:p>
    <w:p w14:paraId="38D5D115" w14:textId="77777777" w:rsidR="009E7EAE" w:rsidRDefault="009E7EAE" w:rsidP="00196B73">
      <w:pPr>
        <w:pStyle w:val="Bullet"/>
        <w:numPr>
          <w:ilvl w:val="0"/>
          <w:numId w:val="21"/>
        </w:numPr>
        <w:rPr>
          <w:rFonts w:asciiTheme="minorHAnsi" w:hAnsiTheme="minorHAnsi" w:cstheme="minorBidi"/>
        </w:rPr>
      </w:pPr>
      <w:r w:rsidRPr="0C5679B2">
        <w:rPr>
          <w:rFonts w:asciiTheme="majorHAnsi" w:hAnsiTheme="majorHAnsi" w:cstheme="majorBidi"/>
        </w:rPr>
        <w:t xml:space="preserve">Priorities to align developments in early childhood education with </w:t>
      </w:r>
      <w:r w:rsidR="00A4601F">
        <w:rPr>
          <w:rFonts w:asciiTheme="majorHAnsi" w:hAnsiTheme="majorHAnsi" w:cstheme="majorBidi"/>
        </w:rPr>
        <w:t xml:space="preserve">related policy reforms </w:t>
      </w:r>
      <w:r w:rsidRPr="00A4601F">
        <w:rPr>
          <w:rFonts w:asciiTheme="minorHAnsi" w:hAnsiTheme="minorHAnsi" w:cstheme="minorHAnsi"/>
        </w:rPr>
        <w:t xml:space="preserve">connected </w:t>
      </w:r>
      <w:r w:rsidRPr="0C5679B2">
        <w:rPr>
          <w:rFonts w:asciiTheme="minorHAnsi" w:hAnsiTheme="minorHAnsi" w:cstheme="minorBidi"/>
        </w:rPr>
        <w:t xml:space="preserve">to </w:t>
      </w:r>
      <w:r w:rsidR="00A4601F" w:rsidRPr="00A4601F">
        <w:rPr>
          <w:rFonts w:asciiTheme="minorHAnsi" w:hAnsiTheme="minorHAnsi" w:cstheme="minorHAnsi"/>
        </w:rPr>
        <w:t>early learning</w:t>
      </w:r>
      <w:r w:rsidR="00FB200C" w:rsidRPr="0C5679B2">
        <w:rPr>
          <w:rFonts w:asciiTheme="minorHAnsi" w:hAnsiTheme="minorHAnsi" w:cstheme="minorBidi"/>
        </w:rPr>
        <w:t>.</w:t>
      </w:r>
    </w:p>
    <w:p w14:paraId="7DC2D456" w14:textId="77777777" w:rsidR="009E7EAE" w:rsidRDefault="00BA402A" w:rsidP="00FB200C">
      <w:pPr>
        <w:pStyle w:val="Bullet"/>
        <w:rPr>
          <w:rFonts w:asciiTheme="minorHAnsi" w:hAnsiTheme="minorHAnsi" w:cstheme="minorBidi"/>
        </w:rPr>
      </w:pPr>
      <w:r w:rsidRPr="0C5679B2">
        <w:rPr>
          <w:rFonts w:asciiTheme="minorHAnsi" w:hAnsiTheme="minorHAnsi" w:cstheme="minorBidi"/>
        </w:rPr>
        <w:t xml:space="preserve">Some issues and priorities identified in this chapter will be best pursued in successor arrangements to the UANP. </w:t>
      </w:r>
      <w:r w:rsidR="00FC26D5" w:rsidRPr="0C5679B2">
        <w:rPr>
          <w:rFonts w:asciiTheme="minorHAnsi" w:hAnsiTheme="minorHAnsi" w:cstheme="minorBidi"/>
        </w:rPr>
        <w:t xml:space="preserve">Some may be broader in scope, so better pursued </w:t>
      </w:r>
      <w:r w:rsidR="00676201" w:rsidRPr="0C5679B2">
        <w:rPr>
          <w:rFonts w:asciiTheme="minorHAnsi" w:hAnsiTheme="minorHAnsi" w:cstheme="minorBidi"/>
        </w:rPr>
        <w:t xml:space="preserve">in parallel to successor arrangements </w:t>
      </w:r>
      <w:r w:rsidRPr="0C5679B2">
        <w:rPr>
          <w:rFonts w:asciiTheme="minorHAnsi" w:hAnsiTheme="minorHAnsi" w:cstheme="minorBidi"/>
        </w:rPr>
        <w:t>by</w:t>
      </w:r>
      <w:r w:rsidR="00FB200C" w:rsidRPr="0C5679B2">
        <w:rPr>
          <w:rFonts w:asciiTheme="minorHAnsi" w:hAnsiTheme="minorHAnsi" w:cstheme="minorBidi"/>
        </w:rPr>
        <w:t xml:space="preserve"> </w:t>
      </w:r>
      <w:r w:rsidRPr="0C5679B2">
        <w:rPr>
          <w:rFonts w:asciiTheme="minorHAnsi" w:hAnsiTheme="minorHAnsi" w:cstheme="minorBidi"/>
        </w:rPr>
        <w:t>Education Council</w:t>
      </w:r>
      <w:r w:rsidR="00676201" w:rsidRPr="0C5679B2">
        <w:rPr>
          <w:rFonts w:asciiTheme="minorHAnsi" w:hAnsiTheme="minorHAnsi" w:cstheme="minorBidi"/>
        </w:rPr>
        <w:t xml:space="preserve"> </w:t>
      </w:r>
      <w:r w:rsidR="00FC26D5" w:rsidRPr="0C5679B2">
        <w:rPr>
          <w:rFonts w:asciiTheme="minorHAnsi" w:hAnsiTheme="minorHAnsi" w:cstheme="minorBidi"/>
        </w:rPr>
        <w:t>or</w:t>
      </w:r>
      <w:r w:rsidRPr="0C5679B2">
        <w:rPr>
          <w:rFonts w:asciiTheme="minorHAnsi" w:hAnsiTheme="minorHAnsi" w:cstheme="minorBidi"/>
        </w:rPr>
        <w:t xml:space="preserve"> by individual jurisdictions.</w:t>
      </w:r>
    </w:p>
    <w:p w14:paraId="3658F2E9" w14:textId="77777777" w:rsidR="00AD77CF" w:rsidRPr="00C43E2B" w:rsidRDefault="00F55E84" w:rsidP="00AD77CF">
      <w:pPr>
        <w:pStyle w:val="Heading2"/>
      </w:pPr>
      <w:bookmarkStart w:id="219" w:name="_Toc24559607"/>
      <w:bookmarkStart w:id="220" w:name="_Toc54597795"/>
      <w:r>
        <w:t>G</w:t>
      </w:r>
      <w:r w:rsidR="00AD77CF" w:rsidRPr="00C43E2B">
        <w:t xml:space="preserve">overnments </w:t>
      </w:r>
      <w:r w:rsidR="00A82A09">
        <w:t xml:space="preserve">should </w:t>
      </w:r>
      <w:r w:rsidR="00AD77CF" w:rsidRPr="00C43E2B">
        <w:t>build on the UANP’s success</w:t>
      </w:r>
      <w:r w:rsidR="00AD77CF">
        <w:t xml:space="preserve"> </w:t>
      </w:r>
      <w:r w:rsidR="00A82A09">
        <w:t>to</w:t>
      </w:r>
      <w:r w:rsidR="00AD77CF">
        <w:t xml:space="preserve"> drive further reform</w:t>
      </w:r>
      <w:bookmarkEnd w:id="219"/>
      <w:bookmarkEnd w:id="220"/>
    </w:p>
    <w:p w14:paraId="0D6B9E4D" w14:textId="77777777" w:rsidR="00AD77CF" w:rsidRDefault="00AD77CF" w:rsidP="00AD77CF">
      <w:r>
        <w:t>As discussed in earlier sections of this report, the UANP clearly has been successful in delivering on its original intent and the envisaged outcomes have large</w:t>
      </w:r>
      <w:r w:rsidR="00FF283A">
        <w:t>ly</w:t>
      </w:r>
      <w:r>
        <w:t xml:space="preserve"> been achieved. This </w:t>
      </w:r>
      <w:r w:rsidR="00277258">
        <w:t>reflects</w:t>
      </w:r>
      <w:r>
        <w:t xml:space="preserve"> the investment of </w:t>
      </w:r>
      <w:r w:rsidR="00CF23F4">
        <w:t>State and Territory and</w:t>
      </w:r>
      <w:r>
        <w:t xml:space="preserve"> </w:t>
      </w:r>
      <w:r w:rsidR="00F779B2">
        <w:t>Australian Government</w:t>
      </w:r>
      <w:r>
        <w:t xml:space="preserve"> funding via the UANP and of the concerted effort of all jurisdictions to deploy </w:t>
      </w:r>
      <w:r w:rsidR="00CF23F4">
        <w:t>these</w:t>
      </w:r>
      <w:r>
        <w:t xml:space="preserve"> investment</w:t>
      </w:r>
      <w:r w:rsidR="00CF23F4">
        <w:t>s</w:t>
      </w:r>
      <w:r>
        <w:t xml:space="preserve"> in an efficient, </w:t>
      </w:r>
      <w:proofErr w:type="gramStart"/>
      <w:r>
        <w:t>effective</w:t>
      </w:r>
      <w:proofErr w:type="gramEnd"/>
      <w:r>
        <w:t xml:space="preserve"> and flexible way. </w:t>
      </w:r>
    </w:p>
    <w:p w14:paraId="74A4B8A6" w14:textId="77777777" w:rsidR="00252C04" w:rsidRDefault="00AD77CF" w:rsidP="00252C04">
      <w:r>
        <w:t xml:space="preserve">The immediate benefits from universal access to 600 </w:t>
      </w:r>
      <w:r w:rsidR="00F779B2">
        <w:t xml:space="preserve">hours </w:t>
      </w:r>
      <w:r>
        <w:t xml:space="preserve">of quality preschool in the YBFS are </w:t>
      </w:r>
      <w:r w:rsidR="00BF5A90">
        <w:t>be</w:t>
      </w:r>
      <w:r w:rsidR="00B501EF">
        <w:t>coming</w:t>
      </w:r>
      <w:r>
        <w:t xml:space="preserve"> clear through a correlation with improved AEDC</w:t>
      </w:r>
      <w:r w:rsidR="006F174C">
        <w:rPr>
          <w:rStyle w:val="FootnoteReference"/>
        </w:rPr>
        <w:footnoteReference w:id="90"/>
      </w:r>
      <w:r>
        <w:t xml:space="preserve"> and NAPLAN outcomes</w:t>
      </w:r>
      <w:r w:rsidR="00A80B2E">
        <w:t>.</w:t>
      </w:r>
      <w:r>
        <w:t xml:space="preserve"> </w:t>
      </w:r>
      <w:r w:rsidR="00252C04">
        <w:t xml:space="preserve">For example, researchers </w:t>
      </w:r>
      <w:r w:rsidR="00252C04" w:rsidRPr="00252C04">
        <w:t>look</w:t>
      </w:r>
      <w:r w:rsidR="00252C04">
        <w:t>ing</w:t>
      </w:r>
      <w:r w:rsidR="00252C04" w:rsidRPr="00252C04">
        <w:t xml:space="preserve"> at data of over 4</w:t>
      </w:r>
      <w:r w:rsidR="00910DEE">
        <w:t>,</w:t>
      </w:r>
      <w:r w:rsidR="00252C04" w:rsidRPr="00252C04">
        <w:t>000 Australian children involved in the Longitudinal Study of Australian Children</w:t>
      </w:r>
      <w:r w:rsidR="00252C04">
        <w:t xml:space="preserve"> f</w:t>
      </w:r>
      <w:r w:rsidR="00252C04" w:rsidRPr="00252C04">
        <w:t xml:space="preserve">ound that there was a significant positive association between attendance at a quality preschool program and </w:t>
      </w:r>
      <w:r w:rsidR="00D51CA6">
        <w:t>Y</w:t>
      </w:r>
      <w:r w:rsidR="00252C04" w:rsidRPr="00252C04">
        <w:t>ear 3 NAPLAN results.</w:t>
      </w:r>
      <w:r w:rsidR="00252C04">
        <w:t xml:space="preserve"> Those who</w:t>
      </w:r>
      <w:r w:rsidR="00252C04" w:rsidRPr="00252C04">
        <w:t xml:space="preserve"> attended pre-school scored 18 to 20 points higher in Reading, Spelling and Numeracy and 13 points higher in writing (compared to children who did not).</w:t>
      </w:r>
      <w:r w:rsidR="00252C04">
        <w:t xml:space="preserve"> </w:t>
      </w:r>
      <w:r w:rsidR="00252C04" w:rsidRPr="00252C04">
        <w:t xml:space="preserve">This represents </w:t>
      </w:r>
      <w:r w:rsidR="00252C04">
        <w:t xml:space="preserve">the equivalent </w:t>
      </w:r>
      <w:r w:rsidR="00252C04" w:rsidRPr="00252C04">
        <w:t>learning impact of one additional year of schooling.</w:t>
      </w:r>
      <w:r w:rsidR="006F174C">
        <w:rPr>
          <w:rStyle w:val="FootnoteReference"/>
        </w:rPr>
        <w:footnoteReference w:id="91"/>
      </w:r>
      <w:r w:rsidR="006F174C">
        <w:t xml:space="preserve"> There have been numerous more recent state-based studies that show a similar correlation, although (due to the short passage of time) it is not clear the extent to which th</w:t>
      </w:r>
      <w:r w:rsidR="00F50841">
        <w:t>ese</w:t>
      </w:r>
      <w:r w:rsidR="006F174C">
        <w:t xml:space="preserve"> improvements remain evident into the later secondary schooling years. </w:t>
      </w:r>
    </w:p>
    <w:p w14:paraId="7E3ECE2C" w14:textId="77777777" w:rsidR="00AD77CF" w:rsidRDefault="006F174C" w:rsidP="00AD77CF">
      <w:r>
        <w:t xml:space="preserve">The </w:t>
      </w:r>
      <w:r w:rsidR="00AD77CF">
        <w:t>intervention</w:t>
      </w:r>
      <w:r>
        <w:t xml:space="preserve"> of quality preschool</w:t>
      </w:r>
      <w:r w:rsidR="00AD77CF">
        <w:t xml:space="preserve"> to improve education for children is </w:t>
      </w:r>
      <w:r>
        <w:t xml:space="preserve">therefore </w:t>
      </w:r>
      <w:r w:rsidR="00A80B2E">
        <w:t>an</w:t>
      </w:r>
      <w:r w:rsidR="00E94B26">
        <w:t xml:space="preserve"> effective</w:t>
      </w:r>
      <w:r w:rsidR="00AD77CF">
        <w:t xml:space="preserve"> way to overcome the inequities of socioeconomic and other forms of disadvantage</w:t>
      </w:r>
      <w:r w:rsidR="00B95AC5">
        <w:t>,</w:t>
      </w:r>
      <w:r w:rsidR="00AD77CF">
        <w:t xml:space="preserve"> and </w:t>
      </w:r>
      <w:r w:rsidR="00E94B26">
        <w:t>thereby</w:t>
      </w:r>
      <w:r w:rsidR="00AD77CF">
        <w:t xml:space="preserve"> give children </w:t>
      </w:r>
      <w:r w:rsidR="00E94B26">
        <w:t>a stronger</w:t>
      </w:r>
      <w:r w:rsidR="00AD77CF">
        <w:t xml:space="preserve"> start in life.</w:t>
      </w:r>
      <w:r w:rsidR="00E94B26">
        <w:rPr>
          <w:rStyle w:val="FootnoteReference"/>
        </w:rPr>
        <w:footnoteReference w:id="92"/>
      </w:r>
    </w:p>
    <w:p w14:paraId="07986B17" w14:textId="77777777" w:rsidR="00AD77CF" w:rsidRDefault="00AD77CF" w:rsidP="00AD77CF">
      <w:r>
        <w:t xml:space="preserve">Arguably the case for maximising participation in quality preschool is only strengthening as the demands on and expectations of today’s children to engage in lifelong learning grow. Without foundational literacy, </w:t>
      </w:r>
      <w:r>
        <w:lastRenderedPageBreak/>
        <w:t xml:space="preserve">numeracy and social skills, as well as the seeds of such traits as resilience, problem-solving abilities and curiosity, it will be </w:t>
      </w:r>
      <w:r w:rsidR="00BF5A90">
        <w:t xml:space="preserve">more </w:t>
      </w:r>
      <w:r>
        <w:t>difficult for the adults of the near future to continually adapt to fast-paced changes in our economy.</w:t>
      </w:r>
      <w:r w:rsidR="003741FE">
        <w:rPr>
          <w:rStyle w:val="FootnoteReference"/>
        </w:rPr>
        <w:footnoteReference w:id="93"/>
      </w:r>
    </w:p>
    <w:p w14:paraId="27BD565B" w14:textId="77777777" w:rsidR="00A743CC" w:rsidRDefault="00A743CC" w:rsidP="009138D0">
      <w:pPr>
        <w:pStyle w:val="Bullet"/>
        <w:spacing w:after="240"/>
      </w:pPr>
      <w:r>
        <w:t xml:space="preserve">Rather than risk backsliding, it is crucial </w:t>
      </w:r>
      <w:r w:rsidR="00B12947">
        <w:t xml:space="preserve">not only </w:t>
      </w:r>
      <w:r>
        <w:t xml:space="preserve">to </w:t>
      </w:r>
      <w:r w:rsidRPr="00A743CC">
        <w:t>lock-in the returns that are starting to be realised from investment across the sector</w:t>
      </w:r>
      <w:r w:rsidR="00CF0334">
        <w:t xml:space="preserve"> but to address outstanding issues to improve impact and transparency even further</w:t>
      </w:r>
      <w:r>
        <w:t xml:space="preserve">.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D15AFB" w14:paraId="640EDF5A" w14:textId="77777777" w:rsidTr="0054493A">
        <w:trPr>
          <w:trHeight w:val="873"/>
        </w:trPr>
        <w:tc>
          <w:tcPr>
            <w:tcW w:w="8930" w:type="dxa"/>
            <w:shd w:val="clear" w:color="auto" w:fill="00264D" w:themeFill="background2"/>
          </w:tcPr>
          <w:p w14:paraId="25A6A3AC" w14:textId="77777777" w:rsidR="00D15AFB" w:rsidRPr="006C71B3" w:rsidRDefault="00D15AFB" w:rsidP="00CD7D78">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13</w:t>
            </w:r>
          </w:p>
          <w:p w14:paraId="04E1C352" w14:textId="77777777" w:rsidR="00D15AFB" w:rsidRPr="00E469A1" w:rsidRDefault="00A743CC" w:rsidP="00CD7D78">
            <w:pPr>
              <w:pStyle w:val="Longformcallout"/>
              <w:spacing w:after="0"/>
              <w:rPr>
                <w:rFonts w:asciiTheme="majorHAnsi" w:hAnsiTheme="majorHAnsi" w:cstheme="majorBidi"/>
                <w:color w:val="FFFFFF" w:themeColor="background1"/>
                <w:sz w:val="20"/>
                <w:szCs w:val="20"/>
              </w:rPr>
            </w:pPr>
            <w:r w:rsidDel="002F1886">
              <w:rPr>
                <w:rFonts w:asciiTheme="majorHAnsi" w:hAnsiTheme="majorHAnsi" w:cstheme="majorBidi"/>
                <w:color w:val="FFFFFF" w:themeColor="background1"/>
                <w:sz w:val="20"/>
                <w:szCs w:val="20"/>
              </w:rPr>
              <w:t>The collective achievement of governments in delivering universal access to quality preschool in the YBFS has been significant, and the return on this investment is starting to become apparent in children’s further developmental and educational progress</w:t>
            </w:r>
            <w:r>
              <w:rPr>
                <w:rFonts w:asciiTheme="majorHAnsi" w:hAnsiTheme="majorHAnsi" w:cstheme="majorBidi"/>
                <w:color w:val="FFFFFF" w:themeColor="background1"/>
                <w:sz w:val="20"/>
                <w:szCs w:val="20"/>
              </w:rPr>
              <w:t xml:space="preserve">. </w:t>
            </w:r>
          </w:p>
        </w:tc>
      </w:tr>
    </w:tbl>
    <w:p w14:paraId="299B733D" w14:textId="77777777" w:rsidR="009F5E54" w:rsidRDefault="009F5E54" w:rsidP="009F5E54">
      <w:pPr>
        <w:pStyle w:val="Heading4"/>
      </w:pPr>
      <w:r>
        <w:t>The UANP has contributed to effective national policy coordination and this should continue under the Early Learning Reform Principles</w:t>
      </w:r>
    </w:p>
    <w:p w14:paraId="4BA0A215" w14:textId="77777777" w:rsidR="009F5E54" w:rsidRDefault="009F5E54" w:rsidP="009F5E54">
      <w:r>
        <w:t>The UANP is about much more than the delivery of funding; it is both an expression of, and vehicle for, policy coordination in line with national commitments. It has been the lynchpin for ensuring broad consistency across jurisdictions in policy approaches, including their connections to other relevant portfolio areas. T</w:t>
      </w:r>
      <w:r w:rsidRPr="0016111C">
        <w:t xml:space="preserve">he Review has no doubt that there is a continuing need for ongoing intergovernmental arrangements to ensure universal access to preschool. This includes the Australian Government’s continued policy leadership </w:t>
      </w:r>
      <w:r>
        <w:t>as well as its</w:t>
      </w:r>
      <w:r w:rsidRPr="0016111C">
        <w:t xml:space="preserve"> funding contribution</w:t>
      </w:r>
      <w:r>
        <w:t>.</w:t>
      </w:r>
    </w:p>
    <w:p w14:paraId="6C76DEEF" w14:textId="77777777" w:rsidR="009F5E54" w:rsidRDefault="009F5E54" w:rsidP="009F5E54">
      <w:r>
        <w:t xml:space="preserve">A decade of implementing, </w:t>
      </w:r>
      <w:proofErr w:type="gramStart"/>
      <w:r>
        <w:t>renegotiating</w:t>
      </w:r>
      <w:proofErr w:type="gramEnd"/>
      <w:r>
        <w:t xml:space="preserve"> and monitoring outcomes from the agreement has produced learnings about the role of governments in supporting early childhood development and the interventions that work. Jurisdictions have been able to </w:t>
      </w:r>
      <w:r w:rsidRPr="00DC4CD0">
        <w:t>shar</w:t>
      </w:r>
      <w:r>
        <w:t xml:space="preserve">e </w:t>
      </w:r>
      <w:r w:rsidRPr="00DC4CD0">
        <w:t xml:space="preserve">best practice, </w:t>
      </w:r>
      <w:r>
        <w:t>jointly consider</w:t>
      </w:r>
      <w:r w:rsidRPr="00DC4CD0">
        <w:t xml:space="preserve"> data and </w:t>
      </w:r>
      <w:r>
        <w:t>research</w:t>
      </w:r>
      <w:r w:rsidRPr="00DC4CD0">
        <w:t>, and</w:t>
      </w:r>
      <w:r>
        <w:t xml:space="preserve"> collectively </w:t>
      </w:r>
      <w:r w:rsidRPr="00DC4CD0">
        <w:t>plan</w:t>
      </w:r>
      <w:r>
        <w:t xml:space="preserve"> areas of focus for </w:t>
      </w:r>
      <w:r w:rsidRPr="00DC4CD0">
        <w:t>future effort</w:t>
      </w:r>
      <w:r>
        <w:t>. As a result, the policy frameworks for early childhood education have evolved and data collection and measurement has improved.</w:t>
      </w:r>
    </w:p>
    <w:p w14:paraId="275378D4" w14:textId="77777777" w:rsidR="009F5E54" w:rsidRDefault="009F5E54" w:rsidP="009F5E54">
      <w:r>
        <w:t xml:space="preserve">A key reference for the sector nationally is the Early Years Learning Framework, which was developed collaboratively to serve as a practical guide for designing and delivering quality early childhood education and care services. In December 2018, a further important milestone was reached with </w:t>
      </w:r>
      <w:r w:rsidR="003900E9">
        <w:t xml:space="preserve">COAG’s </w:t>
      </w:r>
      <w:r>
        <w:t>agreement to the Early Learning Reform Principles. These recognised the “</w:t>
      </w:r>
      <w:r w:rsidRPr="008B34CE">
        <w:t>significant contribution that high-quality early learning makes to life-long educational achievement, productivity, wellbeing and success</w:t>
      </w:r>
      <w:r>
        <w:t>” and articulated a strong shared commitment by all governments to:</w:t>
      </w:r>
    </w:p>
    <w:p w14:paraId="484F1630" w14:textId="1C414F90" w:rsidR="009F5E54" w:rsidRDefault="0058204E" w:rsidP="009F5E54">
      <w:pPr>
        <w:pStyle w:val="Bullet"/>
        <w:numPr>
          <w:ilvl w:val="0"/>
          <w:numId w:val="13"/>
        </w:numPr>
        <w:ind w:left="340" w:hanging="340"/>
      </w:pPr>
      <w:r>
        <w:t>T</w:t>
      </w:r>
      <w:r w:rsidR="009F5E54" w:rsidRPr="008B34CE">
        <w:t>he national early childhood quality and participation agendas</w:t>
      </w:r>
    </w:p>
    <w:p w14:paraId="1D12F99E" w14:textId="6559D243" w:rsidR="009F5E54" w:rsidRDefault="0058204E" w:rsidP="009F5E54">
      <w:pPr>
        <w:pStyle w:val="Bullet"/>
        <w:numPr>
          <w:ilvl w:val="0"/>
          <w:numId w:val="13"/>
        </w:numPr>
        <w:ind w:left="340" w:hanging="340"/>
      </w:pPr>
      <w:r>
        <w:t>T</w:t>
      </w:r>
      <w:r w:rsidR="009F5E54" w:rsidRPr="008B34CE">
        <w:t>he provision of high</w:t>
      </w:r>
      <w:r w:rsidR="009F5E54">
        <w:t>-</w:t>
      </w:r>
      <w:r w:rsidR="009F5E54" w:rsidRPr="008B34CE">
        <w:t>quality early learning services across Australia</w:t>
      </w:r>
    </w:p>
    <w:p w14:paraId="7BFEF57E" w14:textId="6EAD6427" w:rsidR="009F5E54" w:rsidRDefault="0058204E" w:rsidP="009F5E54">
      <w:pPr>
        <w:pStyle w:val="Bullet"/>
        <w:numPr>
          <w:ilvl w:val="0"/>
          <w:numId w:val="13"/>
        </w:numPr>
        <w:ind w:left="340" w:hanging="340"/>
      </w:pPr>
      <w:r>
        <w:t>I</w:t>
      </w:r>
      <w:r w:rsidR="009F5E54" w:rsidRPr="008B34CE">
        <w:t xml:space="preserve">mprovements to the availability and sharing of data, </w:t>
      </w:r>
      <w:proofErr w:type="gramStart"/>
      <w:r w:rsidR="009F5E54" w:rsidRPr="008B34CE">
        <w:t>evidence</w:t>
      </w:r>
      <w:proofErr w:type="gramEnd"/>
      <w:r w:rsidR="009F5E54" w:rsidRPr="008B34CE">
        <w:t xml:space="preserve"> and research. </w:t>
      </w:r>
    </w:p>
    <w:p w14:paraId="7F1CCD78" w14:textId="77777777" w:rsidR="009F5E54" w:rsidRPr="008B34CE" w:rsidRDefault="009F5E54" w:rsidP="009F5E54">
      <w:r>
        <w:t xml:space="preserve">They also </w:t>
      </w:r>
      <w:r w:rsidRPr="008B34CE">
        <w:t>acknowledge th</w:t>
      </w:r>
      <w:r>
        <w:t xml:space="preserve">e value of maintaining diversity in the service provision and note the intersection between </w:t>
      </w:r>
      <w:r w:rsidRPr="008B34CE">
        <w:t>early learning with other portfolio</w:t>
      </w:r>
      <w:r>
        <w:t xml:space="preserve"> area</w:t>
      </w:r>
      <w:r w:rsidRPr="008B34CE">
        <w:t>s</w:t>
      </w:r>
      <w:r>
        <w:t>, programs and support</w:t>
      </w:r>
      <w:r w:rsidRPr="008B34CE">
        <w:t>s.</w:t>
      </w:r>
      <w:r>
        <w:rPr>
          <w:rStyle w:val="FootnoteReference"/>
        </w:rPr>
        <w:footnoteReference w:id="94"/>
      </w:r>
      <w:r w:rsidRPr="008B34CE">
        <w:t xml:space="preserve"> </w:t>
      </w:r>
    </w:p>
    <w:p w14:paraId="3C8ECF8B" w14:textId="3EA74B5D" w:rsidR="005542C7" w:rsidRDefault="009F5E54" w:rsidP="009F5E54">
      <w:r>
        <w:t xml:space="preserve">The five principles and the outcomes to which they relate are reproduced below in </w:t>
      </w:r>
      <w:r>
        <w:fldChar w:fldCharType="begin"/>
      </w:r>
      <w:r>
        <w:instrText xml:space="preserve"> REF _Ref24382187 \h </w:instrText>
      </w:r>
      <w:r>
        <w:fldChar w:fldCharType="separate"/>
      </w:r>
      <w:r w:rsidR="00B37785">
        <w:t xml:space="preserve">Figure </w:t>
      </w:r>
      <w:r w:rsidR="00B37785">
        <w:rPr>
          <w:noProof/>
        </w:rPr>
        <w:t>21</w:t>
      </w:r>
      <w:r>
        <w:fldChar w:fldCharType="end"/>
      </w:r>
      <w:r>
        <w:t>.</w:t>
      </w:r>
    </w:p>
    <w:p w14:paraId="7C93F028" w14:textId="51893673" w:rsidR="009F5E54" w:rsidRDefault="009F5E54" w:rsidP="009F5E54">
      <w:pPr>
        <w:pStyle w:val="Caption"/>
      </w:pPr>
      <w:bookmarkStart w:id="221" w:name="_Ref24382187"/>
      <w:r>
        <w:lastRenderedPageBreak/>
        <w:t xml:space="preserve">Figure </w:t>
      </w:r>
      <w:r>
        <w:fldChar w:fldCharType="begin"/>
      </w:r>
      <w:r>
        <w:instrText xml:space="preserve"> SEQ Figure \* ARABIC </w:instrText>
      </w:r>
      <w:r>
        <w:fldChar w:fldCharType="separate"/>
      </w:r>
      <w:r w:rsidR="00B37785">
        <w:rPr>
          <w:noProof/>
        </w:rPr>
        <w:t>21</w:t>
      </w:r>
      <w:r>
        <w:fldChar w:fldCharType="end"/>
      </w:r>
      <w:bookmarkEnd w:id="221"/>
      <w:r>
        <w:t xml:space="preserve"> | Design </w:t>
      </w:r>
      <w:r w:rsidR="00AB1DBD">
        <w:t>p</w:t>
      </w:r>
      <w:r>
        <w:t xml:space="preserve">rinciples and </w:t>
      </w:r>
      <w:r w:rsidR="00AB1DBD">
        <w:t>o</w:t>
      </w:r>
      <w:r>
        <w:t>utcomes of COAG's Early Learning Reform Principles</w:t>
      </w:r>
    </w:p>
    <w:p w14:paraId="527129CA" w14:textId="715E1CA7" w:rsidR="009F5E54" w:rsidRDefault="007B7377" w:rsidP="009F5E54">
      <w:pPr>
        <w:spacing w:after="240"/>
      </w:pPr>
      <w:r w:rsidRPr="007B7377">
        <w:rPr>
          <w:noProof/>
          <w:lang w:eastAsia="en-AU"/>
        </w:rPr>
        <w:drawing>
          <wp:inline distT="0" distB="0" distL="0" distR="0" wp14:anchorId="229C106E" wp14:editId="3630112D">
            <wp:extent cx="5657850" cy="2628900"/>
            <wp:effectExtent l="0" t="0" r="0" b="0"/>
            <wp:docPr id="8" name="Picture 8" descr="Design principles&#10;All jurisdictions are committed to cooperation and shared responsibility for early learning.&#10;All jurisdictions maintain flexibility to deliver services in a way that adapts to local circumstances, encourages innovation, and supports choice for families.&#10;National arrangements for early childhood are cohesive, effective and efficient; funding is sustainable and transparent; and services are high quality, accessible, equitable and inclusive.&#10;Reforms are evidence based, child and family centred, and complement existing arrangements.&#10;Roles and responsibilities are clear, and jurisdictions are accountable under agreed and measurable evaluation frameworks, which are supported by accessible, meaningful and reliable data.&#10;Outcomes:&#10;Children have the knowledge and skills for life and learning.&#10;Children's wellbeing, learning and development are supported by high quality early childhood services.&#10;Children are engaged in and benefitting from educational opportunities.&#10;Children benefit from better social inclusion and reduced disadvantage, especially Indigenous children.&#10;Families are confident and have the capabilities to support their child's development and learning as first educators.&#10;Families are supported to make informed choices and can access affordable, flexible services that meet their needs and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ign principles&#10;All jurisdictions are committed to cooperation and shared responsibility for early learning.&#10;All jurisdictions maintain flexibility to deliver services in a way that adapts to local circumstances, encourages innovation, and supports choice for families.&#10;National arrangements for early childhood are cohesive, effective and efficient; funding is sustainable and transparent; and services are high quality, accessible, equitable and inclusive.&#10;Reforms are evidence based, child and family centred, and complement existing arrangements.&#10;Roles and responsibilities are clear, and jurisdictions are accountable under agreed and measurable evaluation frameworks, which are supported by accessible, meaningful and reliable data.&#10;Outcomes:&#10;Children have the knowledge and skills for life and learning.&#10;Children's wellbeing, learning and development are supported by high quality early childhood services.&#10;Children are engaged in and benefitting from educational opportunities.&#10;Children benefit from better social inclusion and reduced disadvantage, especially Indigenous children.&#10;Families are confident and have the capabilities to support their child's development and learning as first educators.&#10;Families are supported to make informed choices and can access affordable, flexible services that meet their needs and preferenc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7850" cy="2628900"/>
                    </a:xfrm>
                    <a:prstGeom prst="rect">
                      <a:avLst/>
                    </a:prstGeom>
                    <a:noFill/>
                    <a:ln>
                      <a:noFill/>
                    </a:ln>
                  </pic:spPr>
                </pic:pic>
              </a:graphicData>
            </a:graphic>
          </wp:inline>
        </w:drawing>
      </w:r>
    </w:p>
    <w:p w14:paraId="5A5CFC94" w14:textId="77777777" w:rsidR="009F5E54" w:rsidRDefault="009F5E54" w:rsidP="009F5E54">
      <w:r>
        <w:t xml:space="preserve">The Review finds that the design principles of the Early Learning Reform Principles should, to the extent to which they relate specifically to preschool in the YBFS, be the prime reference for further policy development that, in turn, will inform future funding arrangements. </w:t>
      </w:r>
    </w:p>
    <w:p w14:paraId="3C529D92" w14:textId="273ED8AB" w:rsidR="009F5E54" w:rsidRDefault="009F5E54" w:rsidP="009F5E54">
      <w:pPr>
        <w:pStyle w:val="Bullet"/>
        <w:spacing w:after="240"/>
      </w:pPr>
      <w:r>
        <w:t xml:space="preserve">As noted throughout this report, there is need for continued reform to ensure all Australian children receive the full benefits of quality preschool in the YBFS. Such reforms should focus on the ongoing delivery of preschool during that critical year, with a focus on addressing remaining quality and accessibility gaps. The latter implies a need to promote strong connections to the complementary supports provided during the YBFS, and to the transitions and preparation that occurs beforehand. As noted earlier in Chapter </w:t>
      </w:r>
      <w:r>
        <w:fldChar w:fldCharType="begin"/>
      </w:r>
      <w:r>
        <w:instrText xml:space="preserve"> REF _Ref24470368 \r \h </w:instrText>
      </w:r>
      <w:r>
        <w:fldChar w:fldCharType="separate"/>
      </w:r>
      <w:r w:rsidR="00B37785">
        <w:t>4</w:t>
      </w:r>
      <w:r>
        <w:fldChar w:fldCharType="end"/>
      </w:r>
      <w:r>
        <w:t xml:space="preserve"> (and discussed in more detail below in </w:t>
      </w:r>
      <w:r w:rsidR="008F7577">
        <w:t>Chapter</w:t>
      </w:r>
      <w:r w:rsidR="008F7577" w:rsidRPr="00272ABB">
        <w:t xml:space="preserve"> </w:t>
      </w:r>
      <w:r w:rsidR="00155FB9">
        <w:t>6.3</w:t>
      </w:r>
      <w:r>
        <w:t xml:space="preserve">), there is also ongoing work required to improve data collection, measurement and reporting. The Early Learning Reform Principles can usefully inform how such reforms are prioritised, </w:t>
      </w:r>
      <w:proofErr w:type="gramStart"/>
      <w:r>
        <w:t>designed</w:t>
      </w:r>
      <w:proofErr w:type="gramEnd"/>
      <w:r>
        <w:t xml:space="preserve"> and resourced.</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9F5E54" w14:paraId="2A81E099" w14:textId="77777777" w:rsidTr="009E1BD6">
        <w:trPr>
          <w:trHeight w:val="873"/>
        </w:trPr>
        <w:tc>
          <w:tcPr>
            <w:tcW w:w="8818" w:type="dxa"/>
            <w:shd w:val="clear" w:color="auto" w:fill="00264D" w:themeFill="background2"/>
          </w:tcPr>
          <w:p w14:paraId="4873C1C8" w14:textId="77777777" w:rsidR="009F5E54" w:rsidRPr="006C71B3" w:rsidRDefault="009F5E54" w:rsidP="009E1BD6">
            <w:pPr>
              <w:pStyle w:val="Longformcallout"/>
              <w:spacing w:before="0"/>
              <w:rPr>
                <w:rFonts w:asciiTheme="minorHAnsi" w:hAnsiTheme="minorHAnsi"/>
                <w:b/>
                <w:color w:val="25B3E0" w:themeColor="accent6"/>
                <w:sz w:val="20"/>
                <w:szCs w:val="20"/>
              </w:rPr>
            </w:pPr>
            <w:bookmarkStart w:id="222" w:name="_Hlk30433695"/>
            <w:bookmarkStart w:id="223" w:name="_Hlk24069805"/>
            <w:r w:rsidRPr="0C5679B2">
              <w:rPr>
                <w:rFonts w:asciiTheme="minorHAnsi" w:hAnsiTheme="minorHAnsi"/>
                <w:b/>
                <w:color w:val="25B3E0" w:themeColor="accent6"/>
                <w:sz w:val="20"/>
                <w:szCs w:val="20"/>
              </w:rPr>
              <w:t xml:space="preserve">KEY FINDING </w:t>
            </w:r>
            <w:r>
              <w:rPr>
                <w:rFonts w:asciiTheme="minorHAnsi" w:hAnsiTheme="minorHAnsi"/>
                <w:b/>
                <w:color w:val="25B3E0" w:themeColor="accent6"/>
                <w:sz w:val="20"/>
                <w:szCs w:val="20"/>
              </w:rPr>
              <w:t>14</w:t>
            </w:r>
          </w:p>
          <w:p w14:paraId="1BDDE409" w14:textId="77777777" w:rsidR="009F5E54" w:rsidRPr="00E469A1" w:rsidRDefault="009F5E54" w:rsidP="009E1BD6">
            <w:pPr>
              <w:pStyle w:val="Longformcallout"/>
              <w:spacing w:after="0"/>
              <w:rPr>
                <w:rFonts w:asciiTheme="majorHAnsi" w:hAnsiTheme="majorHAnsi" w:cstheme="majorBidi"/>
                <w:color w:val="FFFFFF" w:themeColor="background1"/>
                <w:sz w:val="20"/>
                <w:szCs w:val="20"/>
              </w:rPr>
            </w:pPr>
            <w:r w:rsidRPr="0C5679B2" w:rsidDel="002F1886">
              <w:rPr>
                <w:rFonts w:asciiTheme="majorHAnsi" w:hAnsiTheme="majorHAnsi" w:cstheme="majorBidi"/>
                <w:color w:val="FFFFFF" w:themeColor="background1"/>
                <w:sz w:val="20"/>
                <w:szCs w:val="20"/>
              </w:rPr>
              <w:t>The Early Learning Reform Principles should</w:t>
            </w:r>
            <w:r w:rsidDel="002F1886">
              <w:rPr>
                <w:rFonts w:asciiTheme="majorHAnsi" w:hAnsiTheme="majorHAnsi" w:cstheme="majorBidi"/>
                <w:color w:val="FFFFFF" w:themeColor="background1"/>
                <w:sz w:val="20"/>
                <w:szCs w:val="20"/>
              </w:rPr>
              <w:t xml:space="preserve"> </w:t>
            </w:r>
            <w:r w:rsidRPr="0C5679B2" w:rsidDel="002F1886">
              <w:rPr>
                <w:rFonts w:asciiTheme="majorHAnsi" w:hAnsiTheme="majorHAnsi" w:cstheme="majorBidi"/>
                <w:color w:val="FFFFFF" w:themeColor="background1"/>
                <w:sz w:val="20"/>
                <w:szCs w:val="20"/>
              </w:rPr>
              <w:t xml:space="preserve">be a guiding light for future </w:t>
            </w:r>
            <w:r w:rsidDel="002F1886">
              <w:rPr>
                <w:rFonts w:asciiTheme="majorHAnsi" w:hAnsiTheme="majorHAnsi" w:cstheme="majorBidi"/>
                <w:color w:val="FFFFFF" w:themeColor="background1"/>
                <w:sz w:val="20"/>
                <w:szCs w:val="20"/>
              </w:rPr>
              <w:t xml:space="preserve">preschool </w:t>
            </w:r>
            <w:r w:rsidRPr="0C5679B2" w:rsidDel="002F1886">
              <w:rPr>
                <w:rFonts w:asciiTheme="majorHAnsi" w:hAnsiTheme="majorHAnsi" w:cstheme="majorBidi"/>
                <w:color w:val="FFFFFF" w:themeColor="background1"/>
                <w:sz w:val="20"/>
                <w:szCs w:val="20"/>
              </w:rPr>
              <w:t>policy development</w:t>
            </w:r>
            <w:r w:rsidDel="002F1886">
              <w:rPr>
                <w:rFonts w:asciiTheme="majorHAnsi" w:hAnsiTheme="majorHAnsi" w:cstheme="majorBidi"/>
                <w:color w:val="FFFFFF" w:themeColor="background1"/>
                <w:sz w:val="20"/>
                <w:szCs w:val="20"/>
              </w:rPr>
              <w:t>s</w:t>
            </w:r>
            <w:r w:rsidRPr="0C5679B2" w:rsidDel="002F1886">
              <w:rPr>
                <w:rFonts w:asciiTheme="majorHAnsi" w:hAnsiTheme="majorHAnsi" w:cstheme="majorBidi"/>
                <w:color w:val="FFFFFF" w:themeColor="background1"/>
                <w:sz w:val="20"/>
                <w:szCs w:val="20"/>
              </w:rPr>
              <w:t xml:space="preserve"> and a key reference for prioritising future reforms and funding commitments</w:t>
            </w:r>
            <w:bookmarkEnd w:id="222"/>
            <w:r w:rsidRPr="0C5679B2">
              <w:rPr>
                <w:rFonts w:asciiTheme="majorHAnsi" w:hAnsiTheme="majorHAnsi" w:cstheme="majorBidi"/>
                <w:color w:val="FFFFFF" w:themeColor="background1"/>
                <w:sz w:val="20"/>
                <w:szCs w:val="20"/>
              </w:rPr>
              <w:t>.</w:t>
            </w:r>
          </w:p>
        </w:tc>
      </w:tr>
    </w:tbl>
    <w:bookmarkEnd w:id="223"/>
    <w:p w14:paraId="53921151" w14:textId="2E270AA7" w:rsidR="0054493A" w:rsidRDefault="00860F51" w:rsidP="0054493A">
      <w:pPr>
        <w:pStyle w:val="Heading4"/>
      </w:pPr>
      <w:r>
        <w:t xml:space="preserve">Any reduction or removal of Australian Government UANP funding would result in negative consequences for children, families, the </w:t>
      </w:r>
      <w:proofErr w:type="gramStart"/>
      <w:r>
        <w:t>sector</w:t>
      </w:r>
      <w:proofErr w:type="gramEnd"/>
      <w:r>
        <w:t xml:space="preserve"> and other government programs</w:t>
      </w:r>
    </w:p>
    <w:p w14:paraId="25AF320F" w14:textId="77777777" w:rsidR="00582BC6" w:rsidRDefault="00582BC6" w:rsidP="00582BC6">
      <w:bookmarkStart w:id="224" w:name="_Hlk30593120"/>
      <w:r>
        <w:t xml:space="preserve">The Australian Government’s contribution and leadership has been essential to the achievement and maintenance of universal access. Its UANP </w:t>
      </w:r>
      <w:r w:rsidR="00134199">
        <w:t xml:space="preserve">participation </w:t>
      </w:r>
      <w:r>
        <w:t>has not just contributed to</w:t>
      </w:r>
      <w:r w:rsidR="00134199">
        <w:t xml:space="preserve"> the</w:t>
      </w:r>
      <w:r>
        <w:t xml:space="preserve"> costs of preschool delivery, but has</w:t>
      </w:r>
      <w:r w:rsidR="00987C30">
        <w:t>:</w:t>
      </w:r>
      <w:r>
        <w:t xml:space="preserve"> </w:t>
      </w:r>
    </w:p>
    <w:p w14:paraId="4D2036ED" w14:textId="06749585" w:rsidR="00582BC6" w:rsidRDefault="00582BC6" w:rsidP="00987C30">
      <w:pPr>
        <w:pStyle w:val="Bullet"/>
        <w:numPr>
          <w:ilvl w:val="0"/>
          <w:numId w:val="13"/>
        </w:numPr>
        <w:ind w:left="340" w:hanging="340"/>
      </w:pPr>
      <w:bookmarkStart w:id="225" w:name="_Hlk30596383"/>
      <w:r>
        <w:t xml:space="preserve">Driven additional </w:t>
      </w:r>
      <w:r w:rsidR="00987C30">
        <w:t xml:space="preserve">preschool </w:t>
      </w:r>
      <w:r>
        <w:t xml:space="preserve">investments </w:t>
      </w:r>
      <w:r w:rsidR="00987C30">
        <w:t>and reforms</w:t>
      </w:r>
      <w:r>
        <w:t xml:space="preserve"> by </w:t>
      </w:r>
      <w:r w:rsidR="0058204E">
        <w:t>S</w:t>
      </w:r>
      <w:r>
        <w:t xml:space="preserve">tates and </w:t>
      </w:r>
      <w:r w:rsidR="0058204E">
        <w:t>T</w:t>
      </w:r>
      <w:r>
        <w:t>erritories</w:t>
      </w:r>
      <w:r w:rsidR="00C409B6">
        <w:t>.</w:t>
      </w:r>
    </w:p>
    <w:p w14:paraId="67E7F4E4" w14:textId="1F151287" w:rsidR="00392770" w:rsidRDefault="00392770" w:rsidP="00987C30">
      <w:pPr>
        <w:pStyle w:val="Bullet"/>
        <w:numPr>
          <w:ilvl w:val="0"/>
          <w:numId w:val="13"/>
        </w:numPr>
        <w:ind w:left="340" w:hanging="340"/>
      </w:pPr>
      <w:r>
        <w:t>Ensured a minimum level of consistency across Australia—increasing hours, coverage for all groups of children, and access in underserved locations—so that all children have the opportunity to benefit from preschool</w:t>
      </w:r>
      <w:r w:rsidR="00C409B6">
        <w:t>.</w:t>
      </w:r>
    </w:p>
    <w:p w14:paraId="48AAC404" w14:textId="77777777" w:rsidR="00582BC6" w:rsidRDefault="00987C30" w:rsidP="00987C30">
      <w:pPr>
        <w:pStyle w:val="Bullet"/>
        <w:numPr>
          <w:ilvl w:val="0"/>
          <w:numId w:val="13"/>
        </w:numPr>
        <w:ind w:left="340" w:hanging="340"/>
      </w:pPr>
      <w:bookmarkStart w:id="226" w:name="_Hlk30597556"/>
      <w:r>
        <w:t>Signalled</w:t>
      </w:r>
      <w:r w:rsidR="00582BC6">
        <w:t xml:space="preserve"> the importance of early learning before school</w:t>
      </w:r>
      <w:r w:rsidR="00134199">
        <w:t xml:space="preserve"> to families and communities</w:t>
      </w:r>
      <w:r w:rsidR="00582BC6">
        <w:t xml:space="preserve"> through </w:t>
      </w:r>
      <w:r>
        <w:t xml:space="preserve">the influence of </w:t>
      </w:r>
      <w:r w:rsidR="00134199">
        <w:t xml:space="preserve">its </w:t>
      </w:r>
      <w:r w:rsidR="00582BC6">
        <w:t>national leadership</w:t>
      </w:r>
      <w:r w:rsidR="00392770">
        <w:t>.</w:t>
      </w:r>
    </w:p>
    <w:bookmarkEnd w:id="225"/>
    <w:bookmarkEnd w:id="226"/>
    <w:p w14:paraId="5A2EAA96" w14:textId="77777777" w:rsidR="00167FBC" w:rsidRDefault="0054493A" w:rsidP="0054493A">
      <w:pPr>
        <w:pStyle w:val="Bullet"/>
      </w:pPr>
      <w:r>
        <w:lastRenderedPageBreak/>
        <w:t>Reducing</w:t>
      </w:r>
      <w:r w:rsidR="00AD77CF">
        <w:t xml:space="preserve"> or removing the Australian Government’s contribution would </w:t>
      </w:r>
      <w:r w:rsidR="00EA2EB4">
        <w:t>be</w:t>
      </w:r>
      <w:r w:rsidR="00F779B2">
        <w:t xml:space="preserve"> </w:t>
      </w:r>
      <w:r w:rsidR="00AD77CF">
        <w:t xml:space="preserve">a major step backwards </w:t>
      </w:r>
      <w:r w:rsidR="00F779B2">
        <w:t>for</w:t>
      </w:r>
      <w:r w:rsidR="00AD77CF">
        <w:t xml:space="preserve"> preschool </w:t>
      </w:r>
      <w:r w:rsidR="00F779B2">
        <w:t>access and quality</w:t>
      </w:r>
      <w:r w:rsidR="00C41366">
        <w:t xml:space="preserve">, with </w:t>
      </w:r>
      <w:r w:rsidR="00A611BD">
        <w:t xml:space="preserve">both </w:t>
      </w:r>
      <w:r w:rsidR="00C41366">
        <w:t>immediate and longer-term consequences</w:t>
      </w:r>
      <w:r>
        <w:t xml:space="preserve">. </w:t>
      </w:r>
      <w:r w:rsidR="00A611BD">
        <w:t xml:space="preserve">Universal access to </w:t>
      </w:r>
      <w:r>
        <w:t>at least 600 hours per year of preschool in the YBFS</w:t>
      </w:r>
      <w:r w:rsidR="00A611BD">
        <w:t xml:space="preserve"> would be significantly compromised, with any </w:t>
      </w:r>
      <w:r>
        <w:t xml:space="preserve">reduction </w:t>
      </w:r>
      <w:r w:rsidR="00A611BD">
        <w:t xml:space="preserve">in, </w:t>
      </w:r>
      <w:r>
        <w:t>or discontinuation of</w:t>
      </w:r>
      <w:r w:rsidR="00A611BD">
        <w:t>,</w:t>
      </w:r>
      <w:r>
        <w:t xml:space="preserve"> preschool funding </w:t>
      </w:r>
      <w:r w:rsidR="00A611BD">
        <w:t xml:space="preserve">leading </w:t>
      </w:r>
      <w:r>
        <w:t xml:space="preserve">to </w:t>
      </w:r>
      <w:r w:rsidRPr="009F7BD1">
        <w:t xml:space="preserve">inconsistent and inequitable </w:t>
      </w:r>
      <w:r w:rsidR="00A611BD">
        <w:t xml:space="preserve">outcomes </w:t>
      </w:r>
      <w:r w:rsidRPr="009F7BD1">
        <w:t>across Australia.</w:t>
      </w:r>
      <w:r w:rsidR="00A611BD">
        <w:t xml:space="preserve"> </w:t>
      </w:r>
    </w:p>
    <w:p w14:paraId="4B53343A" w14:textId="6900BF38" w:rsidR="0054493A" w:rsidRDefault="00A611BD" w:rsidP="0054493A">
      <w:pPr>
        <w:pStyle w:val="Bullet"/>
      </w:pPr>
      <w:r>
        <w:t xml:space="preserve">These and other impacts are </w:t>
      </w:r>
      <w:r w:rsidR="0054493A">
        <w:t>outlined in</w:t>
      </w:r>
      <w:r w:rsidR="006A1758">
        <w:t xml:space="preserve"> </w:t>
      </w:r>
      <w:r w:rsidR="006A1758">
        <w:fldChar w:fldCharType="begin"/>
      </w:r>
      <w:r w:rsidR="006A1758">
        <w:instrText xml:space="preserve"> REF _Ref24382165 \h </w:instrText>
      </w:r>
      <w:r w:rsidR="006A1758">
        <w:fldChar w:fldCharType="separate"/>
      </w:r>
      <w:r w:rsidR="00B37785">
        <w:t xml:space="preserve">Figure </w:t>
      </w:r>
      <w:r w:rsidR="00B37785">
        <w:rPr>
          <w:noProof/>
        </w:rPr>
        <w:t>22</w:t>
      </w:r>
      <w:r w:rsidR="006A1758">
        <w:fldChar w:fldCharType="end"/>
      </w:r>
      <w:r w:rsidR="006A1758">
        <w:t>,</w:t>
      </w:r>
      <w:r>
        <w:t xml:space="preserve"> which is based on feedback provided from a</w:t>
      </w:r>
      <w:r w:rsidRPr="00A611BD">
        <w:t xml:space="preserve"> broad range of stakeholders. </w:t>
      </w:r>
      <w:r>
        <w:t>Note</w:t>
      </w:r>
      <w:r w:rsidR="0054493A">
        <w:t xml:space="preserve"> that </w:t>
      </w:r>
      <w:r>
        <w:t xml:space="preserve">the </w:t>
      </w:r>
      <w:r w:rsidR="0054493A">
        <w:t xml:space="preserve">Review </w:t>
      </w:r>
      <w:r w:rsidR="00744FDF">
        <w:t>did not have an opportunity to</w:t>
      </w:r>
      <w:r w:rsidR="0054493A">
        <w:t xml:space="preserve"> quantify these impacts.</w:t>
      </w:r>
      <w:r w:rsidR="00167FBC">
        <w:t xml:space="preserve"> We </w:t>
      </w:r>
      <w:r w:rsidR="002E1E63">
        <w:t>do</w:t>
      </w:r>
      <w:r w:rsidR="00167FBC">
        <w:t>, however, highlight examples of two of the potential consequences:</w:t>
      </w:r>
    </w:p>
    <w:p w14:paraId="520778F3" w14:textId="3C3EE10A" w:rsidR="00167FBC" w:rsidRDefault="00682B51" w:rsidP="001C3D79">
      <w:pPr>
        <w:pStyle w:val="Bullet"/>
        <w:numPr>
          <w:ilvl w:val="0"/>
          <w:numId w:val="28"/>
        </w:numPr>
      </w:pPr>
      <w:r>
        <w:t>S</w:t>
      </w:r>
      <w:r w:rsidR="0084423A">
        <w:t>ervices may increase their fees to compensate for loss of UANP funding, or, if</w:t>
      </w:r>
      <w:r w:rsidR="00167FBC">
        <w:t xml:space="preserve"> market pressures compel providers to limit fee increases, then quality will likely suffer. </w:t>
      </w:r>
      <w:r w:rsidR="0084423A">
        <w:t>T</w:t>
      </w:r>
      <w:r w:rsidR="00167FBC">
        <w:t xml:space="preserve">o </w:t>
      </w:r>
      <w:r w:rsidR="00D51CA6">
        <w:t xml:space="preserve">adhere </w:t>
      </w:r>
      <w:r w:rsidR="0084423A">
        <w:t xml:space="preserve">to the </w:t>
      </w:r>
      <w:r w:rsidR="00AE2A1C">
        <w:t>NQS</w:t>
      </w:r>
      <w:r w:rsidR="00167FBC">
        <w:t xml:space="preserve">, the challenges of attracting and retaining qualified staff to deliver the programs will increase. There will be fewer resources for learning materials in preschool rooms and </w:t>
      </w:r>
      <w:r w:rsidR="00A460AB">
        <w:t xml:space="preserve">fewer </w:t>
      </w:r>
      <w:r w:rsidR="00167FBC">
        <w:t>opportunities for special enriching activities.</w:t>
      </w:r>
    </w:p>
    <w:p w14:paraId="03B7E0FE" w14:textId="534C0683" w:rsidR="00167FBC" w:rsidRDefault="00167FBC" w:rsidP="001C3D79">
      <w:pPr>
        <w:pStyle w:val="Bullet"/>
        <w:numPr>
          <w:ilvl w:val="0"/>
          <w:numId w:val="28"/>
        </w:numPr>
      </w:pPr>
      <w:r>
        <w:t xml:space="preserve">If standalone providers are forced to close or reduce hours, more parents would be driven into CBDC providers putting pressure on their capacity and on CSS funding from the Australian Government. </w:t>
      </w:r>
    </w:p>
    <w:p w14:paraId="403F142A" w14:textId="754CE897" w:rsidR="0054493A" w:rsidRDefault="0054493A" w:rsidP="0054493A">
      <w:pPr>
        <w:pStyle w:val="Caption"/>
      </w:pPr>
      <w:bookmarkStart w:id="227" w:name="_Ref24382165"/>
      <w:bookmarkEnd w:id="224"/>
      <w:r>
        <w:t xml:space="preserve">Figure </w:t>
      </w:r>
      <w:r w:rsidR="00B76790">
        <w:fldChar w:fldCharType="begin"/>
      </w:r>
      <w:r w:rsidR="00B76790">
        <w:instrText xml:space="preserve"> SEQ Figure \* ARABIC </w:instrText>
      </w:r>
      <w:r w:rsidR="00B76790">
        <w:fldChar w:fldCharType="separate"/>
      </w:r>
      <w:r w:rsidR="00B37785">
        <w:rPr>
          <w:noProof/>
        </w:rPr>
        <w:t>22</w:t>
      </w:r>
      <w:r w:rsidR="00B76790">
        <w:fldChar w:fldCharType="end"/>
      </w:r>
      <w:bookmarkEnd w:id="227"/>
      <w:r>
        <w:t xml:space="preserve"> | The potential immediate and longer-term consequences of the Australian Government not renewing preschool funding</w:t>
      </w:r>
    </w:p>
    <w:p w14:paraId="4EF56952" w14:textId="77777777" w:rsidR="003F0325" w:rsidRPr="003F0325" w:rsidRDefault="008F7577" w:rsidP="00B64110">
      <w:pPr>
        <w:spacing w:before="120" w:after="240"/>
      </w:pPr>
      <w:r w:rsidRPr="008F7577">
        <w:rPr>
          <w:noProof/>
          <w:lang w:eastAsia="en-AU"/>
        </w:rPr>
        <w:drawing>
          <wp:inline distT="0" distB="0" distL="0" distR="0" wp14:anchorId="484AE100" wp14:editId="29CA912C">
            <wp:extent cx="5670550" cy="3263900"/>
            <wp:effectExtent l="0" t="0" r="6350" b="0"/>
            <wp:docPr id="21" name="Picture 21" descr="The immediate consequences would likely include some or all of the following:&#10;- a weakening of national leadership and stepping away from a unified set of agreed national objectives, and a de-prioritisation or a widely accepted agenda for early intervention.&#10;- a reduction in hours offered to children, including a potential reversion to 'baseline' provision of hours in some jurisdictions.&#10;- lower preschool participation, particularly in disadvantaged communities and rural and remote areas.&#10;- closure/reduced access to government and NFP services, leading to increased use of CBDC programs and increased CCS payments.&#10;- reduced quality and/or increased fees in NFP CBDC based programs as services seek to compensate for loss of government subsidy towards the cost of an ECT and staff to meet NQF requirements.&#10;- the inability of providers in some settings and areas to engage and retain qualified ECTs because of being unable to match conditions in other settings.&#10;- closure of services that are struggling with financial viability.&#10;- job losses due to reductions in hours offered and/or service closures.&#10;&#10;The longer term consequences may include:&#10;- declines in school education outcomes, with consequences for employment, labour productivity and competitiveness. &#10;- decline in other indicators of economic and social development, with consequences for social mobility, citizen engagement, equity and the burden on welfare and justice systems.&#10;- reduced parental workforce participation, with impacts on skills supply and economic prosperity. &#10;- discontinuation of work to advance the evidence base.&#10;- significant weakening of national preschool policy development and coordination.&#10;- a misalignment with broader trends across the OECD in thi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immediate consequences would likely include some or all of the following:&#10;- a weakening of national leadership and stepping away from a unified set of agreed national objectives, and a de-prioritisation or a widely accepted agenda for early intervention.&#10;- a reduction in hours offered to children, including a potential reversion to 'baseline' provision of hours in some jurisdictions.&#10;- lower preschool participation, particularly in disadvantaged communities and rural and remote areas.&#10;- closure/reduced access to government and NFP services, leading to increased use of CBDC programs and increased CCS payments.&#10;- reduced quality and/or increased fees in NFP CBDC based programs as services seek to compensate for loss of government subsidy towards the cost of an ECT and staff to meet NQF requirements.&#10;- the inability of providers in some settings and areas to engage and retain qualified ECTs because of being unable to match conditions in other settings.&#10;- closure of services that are struggling with financial viability.&#10;- job losses due to reductions in hours offered and/or service closures.&#10;&#10;The longer term consequences may include:&#10;- declines in school education outcomes, with consequences for employment, labour productivity and competitiveness. &#10;- decline in other indicators of economic and social development, with consequences for social mobility, citizen engagement, equity and the burden on welfare and justice systems.&#10;- reduced parental workforce participation, with impacts on skills supply and economic prosperity. &#10;- discontinuation of work to advance the evidence base.&#10;- significant weakening of national preschool policy development and coordination.&#10;- a misalignment with broader trends across the OECD in this are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0" cy="3263900"/>
                    </a:xfrm>
                    <a:prstGeom prst="rect">
                      <a:avLst/>
                    </a:prstGeom>
                    <a:noFill/>
                    <a:ln>
                      <a:noFill/>
                    </a:ln>
                  </pic:spPr>
                </pic:pic>
              </a:graphicData>
            </a:graphic>
          </wp:inline>
        </w:drawing>
      </w:r>
    </w:p>
    <w:p w14:paraId="37D6555E" w14:textId="48241341" w:rsidR="00760A0C" w:rsidRDefault="00167FBC" w:rsidP="0054493A">
      <w:pPr>
        <w:pStyle w:val="Bullet"/>
      </w:pPr>
      <w:r>
        <w:t xml:space="preserve">If Australian Government funding were to continue at a lower rate, many of the </w:t>
      </w:r>
      <w:r w:rsidR="00760A0C">
        <w:t>consequences</w:t>
      </w:r>
      <w:r>
        <w:t xml:space="preserve"> of non-renewal would likely still apply. </w:t>
      </w:r>
      <w:r w:rsidR="00760A0C">
        <w:t>Given the range and seriousness of these risks, t</w:t>
      </w:r>
      <w:r>
        <w:t xml:space="preserve">he Review finds that </w:t>
      </w:r>
      <w:r w:rsidR="00760A0C">
        <w:t xml:space="preserve">the impacts of </w:t>
      </w:r>
      <w:r>
        <w:t xml:space="preserve">any </w:t>
      </w:r>
      <w:r w:rsidR="00280F1D">
        <w:t xml:space="preserve">reduction </w:t>
      </w:r>
      <w:r w:rsidR="00760A0C">
        <w:t xml:space="preserve">in the </w:t>
      </w:r>
      <w:r w:rsidRPr="00FF283A">
        <w:t>current funding amounts</w:t>
      </w:r>
      <w:r>
        <w:t>—</w:t>
      </w:r>
      <w:r w:rsidRPr="00FF283A">
        <w:t xml:space="preserve">either a per-capita reduction or </w:t>
      </w:r>
      <w:r w:rsidR="00760A0C">
        <w:t xml:space="preserve">introduction of a new formula based on </w:t>
      </w:r>
      <w:r w:rsidRPr="00FF283A">
        <w:t>different provider types</w:t>
      </w:r>
      <w:r>
        <w:t>—</w:t>
      </w:r>
      <w:r w:rsidR="00760A0C">
        <w:t xml:space="preserve">should first be modelled. This impact assessment should include consideration of the flow-on effects to CCS uptake. </w:t>
      </w:r>
    </w:p>
    <w:p w14:paraId="3495C42D" w14:textId="00FE2F53" w:rsidR="00167FBC" w:rsidRDefault="00760A0C" w:rsidP="003A3A6E">
      <w:pPr>
        <w:pStyle w:val="Bullet"/>
        <w:spacing w:after="240"/>
      </w:pPr>
      <w:r>
        <w:t xml:space="preserve">Further, should </w:t>
      </w:r>
      <w:r w:rsidR="00167FBC">
        <w:t xml:space="preserve">the Australian Government </w:t>
      </w:r>
      <w:r>
        <w:t>propose to</w:t>
      </w:r>
      <w:r w:rsidR="00167FBC">
        <w:t xml:space="preserve"> reduce or distribute funding</w:t>
      </w:r>
      <w:r w:rsidR="004358D8">
        <w:t xml:space="preserve"> differently</w:t>
      </w:r>
      <w:r w:rsidR="00167FBC">
        <w:t xml:space="preserve">, it would need to stage any transition and monitor impact across </w:t>
      </w:r>
      <w:r w:rsidR="001975C0">
        <w:t>S</w:t>
      </w:r>
      <w:r w:rsidR="00167FBC">
        <w:t>tates</w:t>
      </w:r>
      <w:r w:rsidR="00B66935">
        <w:t xml:space="preserve"> and </w:t>
      </w:r>
      <w:r w:rsidR="001975C0">
        <w:t>T</w:t>
      </w:r>
      <w:r w:rsidR="00B66935">
        <w:t>erritories</w:t>
      </w:r>
      <w:r w:rsidR="00167FBC">
        <w:t xml:space="preserve">, </w:t>
      </w:r>
      <w:proofErr w:type="gramStart"/>
      <w:r w:rsidR="00167FBC">
        <w:t>sectors</w:t>
      </w:r>
      <w:proofErr w:type="gramEnd"/>
      <w:r w:rsidR="00167FBC">
        <w:t xml:space="preserve"> and regions so as to avoid and/or respond to unintended outcomes.</w:t>
      </w:r>
    </w:p>
    <w:p w14:paraId="7093C1B2" w14:textId="77777777" w:rsidR="0054493A" w:rsidRPr="00EF0FEA" w:rsidRDefault="0054493A" w:rsidP="0054493A">
      <w:pPr>
        <w:pStyle w:val="Callout"/>
        <w:rPr>
          <w:sz w:val="18"/>
          <w:szCs w:val="18"/>
        </w:rPr>
      </w:pPr>
      <w:r w:rsidRPr="00EF0FEA">
        <w:rPr>
          <w:sz w:val="18"/>
          <w:szCs w:val="18"/>
        </w:rPr>
        <w:lastRenderedPageBreak/>
        <w:t>“A reduction or withdrawal of preschool funding in LDCs would inevitably see providers pass preschool costs onto families, which would erode any improvements in the affordability of child care achieved since the introduction of the Child Care Subsidy. This would increase cost barriers for families facing disadvantage and depress participation rates further among children who stand to benefit most from access to ECE. Still worse, providers may discontinue their preschool program to remain viable, resulting in a loss of choice for working families.” (</w:t>
      </w:r>
      <w:bookmarkStart w:id="228" w:name="_Hlk30664671"/>
      <w:proofErr w:type="spellStart"/>
      <w:r w:rsidRPr="00EF0FEA">
        <w:rPr>
          <w:sz w:val="18"/>
          <w:szCs w:val="18"/>
        </w:rPr>
        <w:t>Goodstart</w:t>
      </w:r>
      <w:proofErr w:type="spellEnd"/>
      <w:r w:rsidRPr="00EF0FEA">
        <w:rPr>
          <w:sz w:val="18"/>
          <w:szCs w:val="18"/>
        </w:rPr>
        <w:t xml:space="preserve"> Early Learning </w:t>
      </w:r>
      <w:bookmarkEnd w:id="228"/>
      <w:r w:rsidRPr="00EF0FEA">
        <w:rPr>
          <w:sz w:val="18"/>
          <w:szCs w:val="18"/>
        </w:rPr>
        <w:t>submission)</w:t>
      </w:r>
    </w:p>
    <w:p w14:paraId="6F7AB136" w14:textId="14C770D4" w:rsidR="004605E2" w:rsidRDefault="004605E2" w:rsidP="004605E2">
      <w:bookmarkStart w:id="229" w:name="_Hlk33601505"/>
      <w:r>
        <w:t>It is also important to consider how State and Territory governments would respond to any reduction or non-renewal of Australian Government funding</w:t>
      </w:r>
      <w:r w:rsidR="00A4541F">
        <w:t xml:space="preserve">. The </w:t>
      </w:r>
      <w:r w:rsidR="00A4541F" w:rsidRPr="00CB6F7E">
        <w:t xml:space="preserve">Australian Government </w:t>
      </w:r>
      <w:r w:rsidR="00A4541F" w:rsidRPr="00B906ED">
        <w:t>contribution under the UANP</w:t>
      </w:r>
      <w:r w:rsidR="00A4541F">
        <w:t xml:space="preserve"> </w:t>
      </w:r>
      <w:r w:rsidR="00682B51">
        <w:t>forms a significant portion</w:t>
      </w:r>
      <w:r w:rsidR="00A4541F">
        <w:t xml:space="preserve"> (</w:t>
      </w:r>
      <w:r w:rsidR="003948B5">
        <w:t xml:space="preserve">estimated to be </w:t>
      </w:r>
      <w:r w:rsidR="00A4541F">
        <w:t>between</w:t>
      </w:r>
      <w:r w:rsidR="00214253">
        <w:t xml:space="preserve"> approximately</w:t>
      </w:r>
      <w:r w:rsidR="00A4541F">
        <w:t xml:space="preserve"> 12 and </w:t>
      </w:r>
      <w:r w:rsidR="00091A25">
        <w:t xml:space="preserve">19 </w:t>
      </w:r>
      <w:r w:rsidR="00A4541F">
        <w:t>per cent)</w:t>
      </w:r>
      <w:r w:rsidR="00682B51">
        <w:t xml:space="preserve"> of </w:t>
      </w:r>
      <w:r w:rsidR="00A4541F" w:rsidRPr="004F37CE">
        <w:t>funding to</w:t>
      </w:r>
      <w:r w:rsidR="00A4541F">
        <w:t xml:space="preserve"> YBFS</w:t>
      </w:r>
      <w:r w:rsidR="00A4541F" w:rsidRPr="004F37CE">
        <w:t xml:space="preserve"> preschool </w:t>
      </w:r>
      <w:r w:rsidR="00A4541F">
        <w:t xml:space="preserve">in </w:t>
      </w:r>
      <w:r w:rsidR="00682B51">
        <w:t>each jurisdiction</w:t>
      </w:r>
      <w:r w:rsidR="007C5B34">
        <w:t xml:space="preserve"> (see </w:t>
      </w:r>
      <w:r w:rsidR="00682B51">
        <w:t xml:space="preserve">Figure 10 in </w:t>
      </w:r>
      <w:r w:rsidR="00D4721D">
        <w:t>Chapter</w:t>
      </w:r>
      <w:r w:rsidR="00682B51">
        <w:t xml:space="preserve"> 2.4</w:t>
      </w:r>
      <w:r w:rsidR="007C5B34">
        <w:t>)</w:t>
      </w:r>
      <w:r>
        <w:t xml:space="preserve">. While we did not model </w:t>
      </w:r>
      <w:r w:rsidR="0041353F">
        <w:t xml:space="preserve">the impact of a reduction in Australian Government </w:t>
      </w:r>
      <w:r w:rsidR="00FF74A1">
        <w:t xml:space="preserve">UANP </w:t>
      </w:r>
      <w:r w:rsidR="0041353F">
        <w:t>funding</w:t>
      </w:r>
      <w:r>
        <w:t>, the Review’s consultations with State and Territory officials and the broader sector representatives suggest that:</w:t>
      </w:r>
    </w:p>
    <w:bookmarkEnd w:id="229"/>
    <w:p w14:paraId="50ED6605" w14:textId="2FC17009" w:rsidR="004605E2" w:rsidRDefault="004605E2" w:rsidP="004605E2">
      <w:pPr>
        <w:pStyle w:val="Bullet"/>
        <w:numPr>
          <w:ilvl w:val="0"/>
          <w:numId w:val="13"/>
        </w:numPr>
        <w:spacing w:line="254" w:lineRule="auto"/>
        <w:ind w:left="340" w:hanging="340"/>
      </w:pPr>
      <w:r>
        <w:t xml:space="preserve">State and Territory resources are already stretched, and the Australian Government’s participation in a national agreement helps to focus national effort where </w:t>
      </w:r>
      <w:r w:rsidR="001975C0">
        <w:t>S</w:t>
      </w:r>
      <w:r>
        <w:t xml:space="preserve">tates might otherwise respond to competing priorities. </w:t>
      </w:r>
    </w:p>
    <w:p w14:paraId="3E6F9BF8" w14:textId="60CD73BD" w:rsidR="004605E2" w:rsidRDefault="004605E2" w:rsidP="004605E2">
      <w:pPr>
        <w:pStyle w:val="Bullet"/>
        <w:numPr>
          <w:ilvl w:val="0"/>
          <w:numId w:val="13"/>
        </w:numPr>
        <w:spacing w:line="254" w:lineRule="auto"/>
        <w:ind w:left="340" w:hanging="340"/>
      </w:pPr>
      <w:r>
        <w:t xml:space="preserve">If State and Territory governments increased their investments in universal access to meet any shortfall, this could result in reduced effort for complementary programs (e.g. the expansion of preschool for </w:t>
      </w:r>
      <w:proofErr w:type="gramStart"/>
      <w:r>
        <w:t>three year</w:t>
      </w:r>
      <w:proofErr w:type="gramEnd"/>
      <w:r>
        <w:t xml:space="preserve"> </w:t>
      </w:r>
      <w:proofErr w:type="spellStart"/>
      <w:r>
        <w:t>olds</w:t>
      </w:r>
      <w:proofErr w:type="spellEnd"/>
      <w:r>
        <w:t xml:space="preserve">). Alternatively, the </w:t>
      </w:r>
      <w:r w:rsidR="003951BE">
        <w:t>S</w:t>
      </w:r>
      <w:r>
        <w:t>tates that currently allocated UANP funding to CBDC providers could withdraw this support, leaving the Australian Government and parents to meet this shortfall through the CCS and fees, and negatively affecting access, quality, and the viability of providers.</w:t>
      </w:r>
    </w:p>
    <w:p w14:paraId="5ABF3DE0" w14:textId="0EE51E0D" w:rsidR="004605E2" w:rsidRDefault="004605E2" w:rsidP="004605E2">
      <w:pPr>
        <w:pStyle w:val="Bullet"/>
        <w:numPr>
          <w:ilvl w:val="0"/>
          <w:numId w:val="13"/>
        </w:numPr>
        <w:spacing w:line="254" w:lineRule="auto"/>
        <w:ind w:left="340" w:hanging="340"/>
      </w:pPr>
      <w:r>
        <w:t xml:space="preserve">Without the UANP’s national commitment, </w:t>
      </w:r>
      <w:r w:rsidR="001975C0">
        <w:t>S</w:t>
      </w:r>
      <w:r>
        <w:t xml:space="preserve">tates and </w:t>
      </w:r>
      <w:r w:rsidR="001975C0">
        <w:t>T</w:t>
      </w:r>
      <w:r>
        <w:t>erritories would determine their own policy directions, risking the unwinding of the nationally consistent approach that ensures all children have a minimum level of access to quality preschool.</w:t>
      </w:r>
    </w:p>
    <w:p w14:paraId="75B5B0D5" w14:textId="77777777" w:rsidR="00AD77CF" w:rsidRPr="00EE07A5" w:rsidRDefault="00B66935" w:rsidP="0054493A">
      <w:pPr>
        <w:pStyle w:val="Bullet"/>
      </w:pPr>
      <w:r>
        <w:t>Finally, it is important to note that any n</w:t>
      </w:r>
      <w:r w:rsidRPr="00AF1157">
        <w:t>on-renewal or reduction of the Australian Government’s preschool contributions</w:t>
      </w:r>
      <w:r>
        <w:t xml:space="preserve"> would run counter to the Early Learning Reform Principles agreed by COAG in December 2018. These principles commit all governments to shared responsibility for early learning.</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AD77CF" w14:paraId="27B8C622" w14:textId="77777777" w:rsidTr="002B04E4">
        <w:trPr>
          <w:trHeight w:val="873"/>
        </w:trPr>
        <w:tc>
          <w:tcPr>
            <w:tcW w:w="8930" w:type="dxa"/>
            <w:shd w:val="clear" w:color="auto" w:fill="00264D" w:themeFill="background2"/>
          </w:tcPr>
          <w:p w14:paraId="564DE240" w14:textId="77777777" w:rsidR="00A80B2E" w:rsidRPr="006C71B3" w:rsidRDefault="00A80B2E" w:rsidP="00A80B2E">
            <w:pPr>
              <w:pStyle w:val="Longformcallout"/>
              <w:spacing w:before="0"/>
              <w:rPr>
                <w:rFonts w:asciiTheme="minorHAnsi" w:hAnsiTheme="minorHAnsi"/>
                <w:b/>
                <w:color w:val="25B3E0" w:themeColor="accent6"/>
                <w:sz w:val="20"/>
                <w:szCs w:val="20"/>
              </w:rPr>
            </w:pPr>
            <w:bookmarkStart w:id="230" w:name="_Hlk30433688"/>
            <w:r w:rsidRPr="0C5679B2">
              <w:rPr>
                <w:rFonts w:asciiTheme="minorHAnsi" w:hAnsiTheme="minorHAnsi"/>
                <w:b/>
                <w:color w:val="25B3E0" w:themeColor="accent6"/>
                <w:sz w:val="20"/>
                <w:szCs w:val="20"/>
              </w:rPr>
              <w:t xml:space="preserve">KEY FINDING </w:t>
            </w:r>
            <w:r w:rsidR="009F5E54">
              <w:rPr>
                <w:rFonts w:asciiTheme="minorHAnsi" w:hAnsiTheme="minorHAnsi"/>
                <w:b/>
                <w:color w:val="25B3E0" w:themeColor="accent6"/>
                <w:sz w:val="20"/>
                <w:szCs w:val="20"/>
              </w:rPr>
              <w:t>15</w:t>
            </w:r>
          </w:p>
          <w:p w14:paraId="04ED894B" w14:textId="18975B87" w:rsidR="00D62A89" w:rsidRPr="00E469A1" w:rsidRDefault="002F1886" w:rsidP="003741FE">
            <w:pPr>
              <w:pStyle w:val="Longformcallout"/>
              <w:spacing w:after="0"/>
              <w:rPr>
                <w:rFonts w:asciiTheme="majorHAnsi" w:hAnsiTheme="majorHAnsi" w:cstheme="majorBidi"/>
                <w:color w:val="FFFFFF" w:themeColor="background1"/>
                <w:sz w:val="20"/>
                <w:szCs w:val="20"/>
              </w:rPr>
            </w:pPr>
            <w:r w:rsidRPr="002F1886">
              <w:rPr>
                <w:rFonts w:asciiTheme="majorHAnsi" w:hAnsiTheme="majorHAnsi" w:cstheme="majorBidi"/>
                <w:color w:val="FFFFFF" w:themeColor="background1"/>
                <w:sz w:val="20"/>
                <w:szCs w:val="20"/>
              </w:rPr>
              <w:t>To build on progress</w:t>
            </w:r>
            <w:r w:rsidR="004453AB">
              <w:rPr>
                <w:rFonts w:asciiTheme="majorHAnsi" w:hAnsiTheme="majorHAnsi" w:cstheme="majorBidi"/>
                <w:color w:val="FFFFFF" w:themeColor="background1"/>
                <w:sz w:val="20"/>
                <w:szCs w:val="20"/>
              </w:rPr>
              <w:t>, meet the needs of parents and communities</w:t>
            </w:r>
            <w:r w:rsidR="00D62A89">
              <w:rPr>
                <w:rFonts w:asciiTheme="majorHAnsi" w:hAnsiTheme="majorHAnsi" w:cstheme="majorBidi"/>
                <w:color w:val="FFFFFF" w:themeColor="background1"/>
                <w:sz w:val="20"/>
                <w:szCs w:val="20"/>
              </w:rPr>
              <w:t>,</w:t>
            </w:r>
            <w:r w:rsidRPr="002F1886">
              <w:rPr>
                <w:rFonts w:asciiTheme="majorHAnsi" w:hAnsiTheme="majorHAnsi" w:cstheme="majorBidi"/>
                <w:color w:val="FFFFFF" w:themeColor="background1"/>
                <w:sz w:val="20"/>
                <w:szCs w:val="20"/>
              </w:rPr>
              <w:t xml:space="preserve"> and avoid risks to universal access</w:t>
            </w:r>
            <w:r w:rsidR="004453AB">
              <w:rPr>
                <w:rFonts w:asciiTheme="majorHAnsi" w:hAnsiTheme="majorHAnsi" w:cstheme="majorBidi"/>
                <w:color w:val="FFFFFF" w:themeColor="background1"/>
                <w:sz w:val="20"/>
                <w:szCs w:val="20"/>
              </w:rPr>
              <w:t xml:space="preserve"> and</w:t>
            </w:r>
            <w:r w:rsidR="004453AB" w:rsidRPr="002F1886">
              <w:rPr>
                <w:rFonts w:asciiTheme="majorHAnsi" w:hAnsiTheme="majorHAnsi" w:cstheme="majorBidi"/>
                <w:color w:val="FFFFFF" w:themeColor="background1"/>
                <w:sz w:val="20"/>
                <w:szCs w:val="20"/>
              </w:rPr>
              <w:t xml:space="preserve"> </w:t>
            </w:r>
            <w:r w:rsidRPr="002F1886">
              <w:rPr>
                <w:rFonts w:asciiTheme="majorHAnsi" w:hAnsiTheme="majorHAnsi" w:cstheme="majorBidi"/>
                <w:color w:val="FFFFFF" w:themeColor="background1"/>
                <w:sz w:val="20"/>
                <w:szCs w:val="20"/>
              </w:rPr>
              <w:t>quality, governments should maintain</w:t>
            </w:r>
            <w:r w:rsidR="00385DB6">
              <w:rPr>
                <w:rFonts w:asciiTheme="majorHAnsi" w:hAnsiTheme="majorHAnsi" w:cstheme="majorBidi"/>
                <w:color w:val="FFFFFF" w:themeColor="background1"/>
                <w:sz w:val="20"/>
                <w:szCs w:val="20"/>
              </w:rPr>
              <w:t xml:space="preserve"> their commitment to</w:t>
            </w:r>
            <w:r w:rsidRPr="002F1886">
              <w:rPr>
                <w:rFonts w:asciiTheme="majorHAnsi" w:hAnsiTheme="majorHAnsi" w:cstheme="majorBidi"/>
                <w:color w:val="FFFFFF" w:themeColor="background1"/>
                <w:sz w:val="20"/>
                <w:szCs w:val="20"/>
              </w:rPr>
              <w:t xml:space="preserve"> funding universal preschool in the YBFS</w:t>
            </w:r>
            <w:r w:rsidR="00AD77CF" w:rsidRPr="0C5679B2">
              <w:rPr>
                <w:rFonts w:asciiTheme="majorHAnsi" w:hAnsiTheme="majorHAnsi" w:cstheme="majorBidi"/>
                <w:color w:val="FFFFFF" w:themeColor="background1"/>
                <w:sz w:val="20"/>
                <w:szCs w:val="20"/>
              </w:rPr>
              <w:t>.</w:t>
            </w:r>
          </w:p>
        </w:tc>
      </w:tr>
      <w:tr w:rsidR="002B04E4" w14:paraId="3084EC9F" w14:textId="77777777" w:rsidTr="005A215B">
        <w:trPr>
          <w:trHeight w:val="1175"/>
        </w:trPr>
        <w:tc>
          <w:tcPr>
            <w:tcW w:w="8930" w:type="dxa"/>
            <w:shd w:val="clear" w:color="auto" w:fill="00264D" w:themeFill="background2"/>
          </w:tcPr>
          <w:p w14:paraId="7695CF8E" w14:textId="77777777" w:rsidR="002B04E4" w:rsidRPr="006C71B3" w:rsidRDefault="002B04E4" w:rsidP="00494894">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9F5E54">
              <w:rPr>
                <w:rFonts w:asciiTheme="minorHAnsi" w:hAnsiTheme="minorHAnsi"/>
                <w:b/>
                <w:color w:val="25B3E0" w:themeColor="accent6"/>
                <w:sz w:val="20"/>
                <w:szCs w:val="20"/>
              </w:rPr>
              <w:t>16</w:t>
            </w:r>
          </w:p>
          <w:p w14:paraId="6C48662E" w14:textId="0F24743D" w:rsidR="002B04E4" w:rsidRPr="00E469A1" w:rsidRDefault="002F1886" w:rsidP="00494894">
            <w:pPr>
              <w:pStyle w:val="Longformcallout"/>
              <w:spacing w:after="0"/>
              <w:rPr>
                <w:rFonts w:asciiTheme="majorHAnsi" w:hAnsiTheme="majorHAnsi" w:cstheme="majorBidi"/>
                <w:color w:val="FFFFFF" w:themeColor="background1"/>
                <w:sz w:val="20"/>
                <w:szCs w:val="20"/>
              </w:rPr>
            </w:pPr>
            <w:r w:rsidRPr="002F1886">
              <w:rPr>
                <w:rFonts w:asciiTheme="majorHAnsi" w:hAnsiTheme="majorHAnsi" w:cstheme="majorBidi"/>
                <w:color w:val="FFFFFF" w:themeColor="background1"/>
                <w:sz w:val="20"/>
                <w:szCs w:val="20"/>
              </w:rPr>
              <w:t xml:space="preserve">Any </w:t>
            </w:r>
            <w:r w:rsidR="00280F1D">
              <w:rPr>
                <w:rFonts w:asciiTheme="majorHAnsi" w:hAnsiTheme="majorHAnsi" w:cstheme="majorBidi"/>
                <w:color w:val="FFFFFF" w:themeColor="background1"/>
                <w:sz w:val="20"/>
                <w:szCs w:val="20"/>
              </w:rPr>
              <w:t>reduction</w:t>
            </w:r>
            <w:r w:rsidR="00280F1D" w:rsidRPr="002F1886">
              <w:rPr>
                <w:rFonts w:asciiTheme="majorHAnsi" w:hAnsiTheme="majorHAnsi" w:cstheme="majorBidi"/>
                <w:color w:val="FFFFFF" w:themeColor="background1"/>
                <w:sz w:val="20"/>
                <w:szCs w:val="20"/>
              </w:rPr>
              <w:t xml:space="preserve"> </w:t>
            </w:r>
            <w:r w:rsidRPr="002F1886">
              <w:rPr>
                <w:rFonts w:asciiTheme="majorHAnsi" w:hAnsiTheme="majorHAnsi" w:cstheme="majorBidi"/>
                <w:color w:val="FFFFFF" w:themeColor="background1"/>
                <w:sz w:val="20"/>
                <w:szCs w:val="20"/>
              </w:rPr>
              <w:t xml:space="preserve">in Australian Government funding </w:t>
            </w:r>
            <w:r w:rsidR="00D51CA6">
              <w:rPr>
                <w:rFonts w:asciiTheme="majorHAnsi" w:hAnsiTheme="majorHAnsi" w:cstheme="majorBidi"/>
                <w:color w:val="FFFFFF" w:themeColor="background1"/>
                <w:sz w:val="20"/>
                <w:szCs w:val="20"/>
              </w:rPr>
              <w:t>for</w:t>
            </w:r>
            <w:r w:rsidRPr="002F1886">
              <w:rPr>
                <w:rFonts w:asciiTheme="majorHAnsi" w:hAnsiTheme="majorHAnsi" w:cstheme="majorBidi"/>
                <w:color w:val="FFFFFF" w:themeColor="background1"/>
                <w:sz w:val="20"/>
                <w:szCs w:val="20"/>
              </w:rPr>
              <w:t xml:space="preserve"> YBFS preschool would trigger immediate and longer-term consequences. </w:t>
            </w:r>
            <w:r w:rsidR="007A0ABF" w:rsidRPr="007A0ABF">
              <w:rPr>
                <w:rFonts w:asciiTheme="majorHAnsi" w:hAnsiTheme="majorHAnsi" w:cstheme="majorBidi"/>
                <w:color w:val="FFFFFF" w:themeColor="background1"/>
                <w:sz w:val="20"/>
                <w:szCs w:val="20"/>
              </w:rPr>
              <w:t xml:space="preserve">If changes were to be considered, the impacts, including on fees and the CCS, should be </w:t>
            </w:r>
            <w:r w:rsidR="00F962AF">
              <w:rPr>
                <w:rFonts w:asciiTheme="majorHAnsi" w:hAnsiTheme="majorHAnsi" w:cstheme="majorBidi"/>
                <w:color w:val="FFFFFF" w:themeColor="background1"/>
                <w:sz w:val="20"/>
                <w:szCs w:val="20"/>
              </w:rPr>
              <w:t>modelled</w:t>
            </w:r>
            <w:r w:rsidR="002B04E4">
              <w:rPr>
                <w:rFonts w:asciiTheme="majorHAnsi" w:hAnsiTheme="majorHAnsi" w:cstheme="majorBidi"/>
                <w:color w:val="FFFFFF" w:themeColor="background1"/>
                <w:sz w:val="20"/>
                <w:szCs w:val="20"/>
              </w:rPr>
              <w:t>.</w:t>
            </w:r>
          </w:p>
        </w:tc>
      </w:tr>
    </w:tbl>
    <w:bookmarkEnd w:id="230"/>
    <w:p w14:paraId="7676579D" w14:textId="6DD59DFA" w:rsidR="00AD77CF" w:rsidRDefault="00AD77CF" w:rsidP="00AD77CF">
      <w:pPr>
        <w:pStyle w:val="Heading4"/>
      </w:pPr>
      <w:r w:rsidRPr="007301B2">
        <w:t xml:space="preserve">The design of </w:t>
      </w:r>
      <w:r>
        <w:t>successor arrangements</w:t>
      </w:r>
      <w:r w:rsidRPr="007301B2">
        <w:t xml:space="preserve"> </w:t>
      </w:r>
      <w:r w:rsidR="00897683">
        <w:t>should reflect and build on learnings that derive from the diversity in YBFS preschool provision</w:t>
      </w:r>
    </w:p>
    <w:p w14:paraId="350C29A8" w14:textId="77777777" w:rsidR="00AD77CF" w:rsidRPr="00837C58" w:rsidRDefault="00AD77CF" w:rsidP="00ED1AFA">
      <w:pPr>
        <w:pStyle w:val="Bullet"/>
      </w:pPr>
      <w:r w:rsidRPr="0C5679B2">
        <w:rPr>
          <w:rFonts w:eastAsiaTheme="minorEastAsia" w:cstheme="minorBidi"/>
        </w:rPr>
        <w:t>In co</w:t>
      </w:r>
      <w:r>
        <w:t xml:space="preserve">nsidering future arrangements, it is worth </w:t>
      </w:r>
      <w:r w:rsidR="00ED1AFA">
        <w:t>understanding</w:t>
      </w:r>
      <w:r>
        <w:t xml:space="preserve"> how the broader economic and social policy context has changed in the past decade</w:t>
      </w:r>
      <w:r w:rsidR="00ED1AFA">
        <w:t>, as outlined</w:t>
      </w:r>
      <w:r w:rsidRPr="00837C58">
        <w:t xml:space="preserve"> in </w:t>
      </w:r>
      <w:r w:rsidR="00ED1AFA">
        <w:t xml:space="preserve">Chapter </w:t>
      </w:r>
      <w:r>
        <w:t>1</w:t>
      </w:r>
      <w:r w:rsidR="00ED1AFA">
        <w:t>.</w:t>
      </w:r>
      <w:r w:rsidRPr="00837C58">
        <w:t>3</w:t>
      </w:r>
      <w:r w:rsidR="00ED1AFA">
        <w:t xml:space="preserve">. </w:t>
      </w:r>
      <w:r>
        <w:t xml:space="preserve">Such developments should inform not only the content of any successor </w:t>
      </w:r>
      <w:r w:rsidR="00407421">
        <w:t>arrangements</w:t>
      </w:r>
      <w:r>
        <w:t xml:space="preserve"> to the UANP, but also the mechanism by which any continued funding from the </w:t>
      </w:r>
      <w:r w:rsidR="00AA50B6">
        <w:t>Australian Government</w:t>
      </w:r>
      <w:r>
        <w:t xml:space="preserve"> should be designed.</w:t>
      </w:r>
    </w:p>
    <w:p w14:paraId="2EA6E32E" w14:textId="698729C6" w:rsidR="0056321F" w:rsidRDefault="00AD77CF" w:rsidP="0056321F">
      <w:pPr>
        <w:pStyle w:val="Bullet"/>
      </w:pPr>
      <w:r>
        <w:lastRenderedPageBreak/>
        <w:t>On the question of the content of agreement, a key challenge is the need for governments to weigh up competing objectives</w:t>
      </w:r>
      <w:r w:rsidR="00814A95">
        <w:t xml:space="preserve"> or ‘public </w:t>
      </w:r>
      <w:proofErr w:type="gramStart"/>
      <w:r w:rsidR="00814A95">
        <w:t>goods’</w:t>
      </w:r>
      <w:proofErr w:type="gramEnd"/>
      <w:r>
        <w:t xml:space="preserve">. </w:t>
      </w:r>
      <w:r w:rsidR="0056321F">
        <w:t>The most fundamental is the need to balance g</w:t>
      </w:r>
      <w:r w:rsidR="00FB7830">
        <w:t xml:space="preserve">reater national consistency </w:t>
      </w:r>
      <w:r w:rsidR="00943C3D">
        <w:t>against</w:t>
      </w:r>
      <w:r w:rsidR="00FB7830">
        <w:t xml:space="preserve"> jurisdictional diversity</w:t>
      </w:r>
      <w:r w:rsidR="0056321F" w:rsidRPr="0056321F">
        <w:t xml:space="preserve"> </w:t>
      </w:r>
      <w:r w:rsidR="0056321F">
        <w:t xml:space="preserve">and the principle of subsidiarity, which respects the sovereignty of individual </w:t>
      </w:r>
      <w:r w:rsidR="001975C0">
        <w:t>S</w:t>
      </w:r>
      <w:r w:rsidR="0056321F">
        <w:t xml:space="preserve">tates and </w:t>
      </w:r>
      <w:r w:rsidR="001975C0">
        <w:t>T</w:t>
      </w:r>
      <w:r w:rsidR="0056321F">
        <w:t xml:space="preserve">erritories and their direct electoral accountability to their citizens. While it may appear superficially attractive to promote a more consistent service delivery pattern across the country, the basis of the federal system is a broad acceptance that individual </w:t>
      </w:r>
      <w:r w:rsidR="000C5C4C">
        <w:t>S</w:t>
      </w:r>
      <w:r w:rsidR="0056321F">
        <w:t xml:space="preserve">tates and </w:t>
      </w:r>
      <w:r w:rsidR="000C5C4C">
        <w:t>T</w:t>
      </w:r>
      <w:r w:rsidR="0056321F">
        <w:t>erritories make service delivery decisions in their own jurisdiction.</w:t>
      </w:r>
    </w:p>
    <w:p w14:paraId="53662AAF" w14:textId="77777777" w:rsidR="00FB7830" w:rsidRDefault="0056321F" w:rsidP="0056321F">
      <w:pPr>
        <w:pStyle w:val="Bullet"/>
      </w:pPr>
      <w:r>
        <w:t xml:space="preserve">Thus, each jurisdiction has its own model for balancing a number of contemporary choice points in designing how it will implement the objectives of the UANP in its communities. Each must balance </w:t>
      </w:r>
      <w:r w:rsidR="003900E9">
        <w:t>several</w:t>
      </w:r>
      <w:r>
        <w:t xml:space="preserve"> tensions, including the following</w:t>
      </w:r>
      <w:r w:rsidR="0035162A">
        <w:t xml:space="preserve">: </w:t>
      </w:r>
    </w:p>
    <w:p w14:paraId="118066A6" w14:textId="0CC2A91F" w:rsidR="0056321F" w:rsidRDefault="009C6BB8" w:rsidP="0056321F">
      <w:pPr>
        <w:pStyle w:val="Bullet"/>
        <w:numPr>
          <w:ilvl w:val="0"/>
          <w:numId w:val="13"/>
        </w:numPr>
        <w:ind w:left="340" w:hanging="340"/>
      </w:pPr>
      <w:r>
        <w:t>f</w:t>
      </w:r>
      <w:r w:rsidR="005050A6">
        <w:t>acilitat</w:t>
      </w:r>
      <w:r w:rsidR="00943C3D">
        <w:t>ion of</w:t>
      </w:r>
      <w:r w:rsidR="005050A6">
        <w:t xml:space="preserve"> workforce participation </w:t>
      </w:r>
      <w:r w:rsidR="00943C3D">
        <w:t>alongside optimisation of</w:t>
      </w:r>
      <w:r w:rsidR="005050A6">
        <w:t xml:space="preserve"> developmental and educational outcomes</w:t>
      </w:r>
      <w:r w:rsidR="0056321F" w:rsidRPr="0056321F">
        <w:t xml:space="preserve"> </w:t>
      </w:r>
    </w:p>
    <w:p w14:paraId="05EEB770" w14:textId="54F11B0A" w:rsidR="0056321F" w:rsidRDefault="009C6BB8" w:rsidP="0056321F">
      <w:pPr>
        <w:pStyle w:val="Bullet"/>
        <w:numPr>
          <w:ilvl w:val="0"/>
          <w:numId w:val="13"/>
        </w:numPr>
        <w:ind w:left="340" w:hanging="340"/>
      </w:pPr>
      <w:r>
        <w:t>a</w:t>
      </w:r>
      <w:r w:rsidR="0056321F">
        <w:t>lignment of preschool with compulsory schooling or alignment with integrated ECEC services</w:t>
      </w:r>
    </w:p>
    <w:p w14:paraId="320001F4" w14:textId="0A149765" w:rsidR="00237381" w:rsidDel="00806697" w:rsidRDefault="009C6BB8" w:rsidP="005050A6">
      <w:pPr>
        <w:pStyle w:val="Bullet"/>
        <w:numPr>
          <w:ilvl w:val="0"/>
          <w:numId w:val="13"/>
        </w:numPr>
        <w:ind w:left="340" w:hanging="340"/>
      </w:pPr>
      <w:r w:rsidDel="00806697">
        <w:t>w</w:t>
      </w:r>
      <w:r w:rsidR="00237381" w:rsidDel="00806697">
        <w:t>ide parental choice versus the normalisation of a particular pathway</w:t>
      </w:r>
    </w:p>
    <w:p w14:paraId="4557C54F" w14:textId="3206B4E5" w:rsidR="005050A6" w:rsidRDefault="009C6BB8" w:rsidP="005050A6">
      <w:pPr>
        <w:pStyle w:val="Bullet"/>
        <w:numPr>
          <w:ilvl w:val="0"/>
          <w:numId w:val="13"/>
        </w:numPr>
        <w:ind w:left="340" w:hanging="340"/>
      </w:pPr>
      <w:r>
        <w:t>p</w:t>
      </w:r>
      <w:r w:rsidR="00943C3D">
        <w:t xml:space="preserve">rovision of </w:t>
      </w:r>
      <w:r w:rsidR="00CF23F4">
        <w:t xml:space="preserve">specialised </w:t>
      </w:r>
      <w:r w:rsidR="00943C3D">
        <w:t>supports as well as</w:t>
      </w:r>
      <w:r w:rsidR="005050A6">
        <w:t xml:space="preserve"> </w:t>
      </w:r>
      <w:r w:rsidR="00943C3D">
        <w:t xml:space="preserve">more general </w:t>
      </w:r>
      <w:r w:rsidR="005050A6">
        <w:t xml:space="preserve">services </w:t>
      </w:r>
    </w:p>
    <w:p w14:paraId="53392F1B" w14:textId="01C57711" w:rsidR="005050A6" w:rsidRDefault="009C6BB8" w:rsidP="005050A6">
      <w:pPr>
        <w:pStyle w:val="Bullet"/>
        <w:numPr>
          <w:ilvl w:val="0"/>
          <w:numId w:val="13"/>
        </w:numPr>
        <w:ind w:left="340" w:hanging="340"/>
      </w:pPr>
      <w:r>
        <w:t>f</w:t>
      </w:r>
      <w:r w:rsidR="005050A6">
        <w:t>ull subsidis</w:t>
      </w:r>
      <w:r w:rsidR="00943C3D">
        <w:t>ation o</w:t>
      </w:r>
      <w:r w:rsidR="00237381">
        <w:t xml:space="preserve">f fewer provider types </w:t>
      </w:r>
      <w:r w:rsidR="005050A6">
        <w:t>or partial subsidis</w:t>
      </w:r>
      <w:r w:rsidR="00943C3D">
        <w:t>ation of</w:t>
      </w:r>
      <w:r w:rsidR="005050A6">
        <w:t xml:space="preserve"> </w:t>
      </w:r>
      <w:r w:rsidR="00943C3D">
        <w:t>more</w:t>
      </w:r>
      <w:r w:rsidR="005050A6">
        <w:t>.</w:t>
      </w:r>
    </w:p>
    <w:p w14:paraId="53D0FC9E" w14:textId="77777777" w:rsidR="0056321F" w:rsidRDefault="001C5307" w:rsidP="005050A6">
      <w:pPr>
        <w:pStyle w:val="Bullet"/>
      </w:pPr>
      <w:r>
        <w:t>The</w:t>
      </w:r>
      <w:r w:rsidR="00EC250F">
        <w:t xml:space="preserve"> Review’s</w:t>
      </w:r>
      <w:r>
        <w:t xml:space="preserve"> general starting point is to respect jurisdictional sovereignty and the accountability each government has to its own citizens. For this reason, the Review does not </w:t>
      </w:r>
      <w:r w:rsidR="00D4254F">
        <w:t>proceed</w:t>
      </w:r>
      <w:r>
        <w:t xml:space="preserve"> from a position of working out an ideal answer to each of the questions of balance above</w:t>
      </w:r>
      <w:r w:rsidR="00D4254F">
        <w:t>,</w:t>
      </w:r>
      <w:r>
        <w:t xml:space="preserve"> and especially shies away from a one size fits all solution for the nation.</w:t>
      </w:r>
      <w:r w:rsidR="00EC250F">
        <w:t xml:space="preserve"> The Review is also focused on the UANP’s national arrangements, rather than the specific funding and delivery arrangements in States and Territories. </w:t>
      </w:r>
    </w:p>
    <w:p w14:paraId="13782320" w14:textId="7A21A520" w:rsidR="001C5307" w:rsidRDefault="00072F4A" w:rsidP="005050A6">
      <w:pPr>
        <w:pStyle w:val="Bullet"/>
      </w:pPr>
      <w:r>
        <w:t>T</w:t>
      </w:r>
      <w:r w:rsidR="001C5307">
        <w:t xml:space="preserve">he Review does not conclude </w:t>
      </w:r>
      <w:r>
        <w:t xml:space="preserve">that </w:t>
      </w:r>
      <w:r w:rsidR="001C5307">
        <w:t>any jurisdiction has breached the UANP</w:t>
      </w:r>
      <w:r w:rsidR="00D4254F">
        <w:t xml:space="preserve"> </w:t>
      </w:r>
      <w:r>
        <w:t>by developing and maintain models of delivery that differ significantly</w:t>
      </w:r>
      <w:r w:rsidR="001C5307">
        <w:t>.</w:t>
      </w:r>
      <w:r w:rsidR="00EC250F">
        <w:t xml:space="preserve"> </w:t>
      </w:r>
      <w:r w:rsidR="001C5307">
        <w:t>That said, there are two points worth noting</w:t>
      </w:r>
      <w:r w:rsidR="00EC250F">
        <w:t>:</w:t>
      </w:r>
    </w:p>
    <w:p w14:paraId="02E8416B" w14:textId="58CFA340" w:rsidR="00876C28" w:rsidRDefault="001C5307" w:rsidP="00EC250F">
      <w:pPr>
        <w:pStyle w:val="Bullet"/>
        <w:numPr>
          <w:ilvl w:val="0"/>
          <w:numId w:val="13"/>
        </w:numPr>
        <w:ind w:left="340" w:hanging="340"/>
      </w:pPr>
      <w:r>
        <w:t xml:space="preserve">In some jurisdictions, </w:t>
      </w:r>
      <w:r w:rsidR="00D4254F">
        <w:t>S</w:t>
      </w:r>
      <w:r>
        <w:t>tate</w:t>
      </w:r>
      <w:r w:rsidR="00366DAB">
        <w:t>s</w:t>
      </w:r>
      <w:r>
        <w:t xml:space="preserve"> and </w:t>
      </w:r>
      <w:r w:rsidR="00D4254F">
        <w:t>T</w:t>
      </w:r>
      <w:r>
        <w:t>erritor</w:t>
      </w:r>
      <w:r w:rsidR="00366DAB">
        <w:t>ies</w:t>
      </w:r>
      <w:r>
        <w:t xml:space="preserve"> do not provide UANP funding to child care centres to </w:t>
      </w:r>
      <w:r w:rsidR="00D4254F">
        <w:t>support</w:t>
      </w:r>
      <w:r>
        <w:t xml:space="preserve"> integrated ECEC service models. The Review does not conclude this is a </w:t>
      </w:r>
      <w:r w:rsidR="00D4254F">
        <w:t>contravention</w:t>
      </w:r>
      <w:r>
        <w:t xml:space="preserve"> of the UANP because there are other choices offered and, as explained, </w:t>
      </w:r>
      <w:r w:rsidR="00D4254F">
        <w:t xml:space="preserve">it </w:t>
      </w:r>
      <w:r>
        <w:t xml:space="preserve">puts a high premium on jurisdictional sovereignty. </w:t>
      </w:r>
      <w:bookmarkStart w:id="231" w:name="_Hlk24581359"/>
      <w:r>
        <w:t xml:space="preserve">Notwithstanding this, </w:t>
      </w:r>
      <w:r w:rsidR="00072F4A">
        <w:rPr>
          <w:rFonts w:asciiTheme="minorHAnsi" w:hAnsiTheme="minorHAnsi" w:cstheme="minorHAnsi"/>
          <w:color w:val="00264D" w:themeColor="background2"/>
        </w:rPr>
        <w:t>the Review does observe that the different funding levels in different sectors may put practical restrictions on the ability for parents to choose between local providers, where such options exist</w:t>
      </w:r>
      <w:r w:rsidR="00FD513E">
        <w:t>.</w:t>
      </w:r>
      <w:bookmarkEnd w:id="231"/>
    </w:p>
    <w:p w14:paraId="23226197" w14:textId="05FCBE3C" w:rsidR="001C5307" w:rsidRDefault="00EC250F" w:rsidP="00EC250F">
      <w:pPr>
        <w:pStyle w:val="Bullet"/>
        <w:numPr>
          <w:ilvl w:val="0"/>
          <w:numId w:val="13"/>
        </w:numPr>
        <w:ind w:left="340" w:hanging="340"/>
      </w:pPr>
      <w:r>
        <w:t>P</w:t>
      </w:r>
      <w:r w:rsidR="001C5307" w:rsidRPr="00EC250F">
        <w:t>artly</w:t>
      </w:r>
      <w:r w:rsidR="001C5307">
        <w:t xml:space="preserve"> because the UANP is built around the principle of subsidiarity, the effect has been effectively to lock in pre-existing arrangements in several jurisdictions, some of which </w:t>
      </w:r>
      <w:r w:rsidR="001A599D">
        <w:t xml:space="preserve">face these dilemmas. The Review does not recommend reversing arrangements in different </w:t>
      </w:r>
      <w:r w:rsidR="001975C0">
        <w:t>S</w:t>
      </w:r>
      <w:r w:rsidR="001A599D">
        <w:t xml:space="preserve">tates and </w:t>
      </w:r>
      <w:r w:rsidR="001975C0">
        <w:t>T</w:t>
      </w:r>
      <w:r w:rsidR="001A599D">
        <w:t xml:space="preserve">erritories. </w:t>
      </w:r>
      <w:r w:rsidR="007D1689">
        <w:t>On the contrary:</w:t>
      </w:r>
      <w:r w:rsidR="001A599D">
        <w:t xml:space="preserve"> </w:t>
      </w:r>
      <w:r w:rsidR="00942F65">
        <w:t>we</w:t>
      </w:r>
      <w:r w:rsidR="001A599D">
        <w:t xml:space="preserve"> support this diversity. However, over the course of the discussions recommended during the life of the next </w:t>
      </w:r>
      <w:r w:rsidR="007D1689">
        <w:t>agreement</w:t>
      </w:r>
      <w:r w:rsidR="001A599D">
        <w:t xml:space="preserve">, it would be useful for </w:t>
      </w:r>
      <w:r w:rsidR="003E462E">
        <w:t xml:space="preserve">all </w:t>
      </w:r>
      <w:r w:rsidR="001A599D">
        <w:t>jurisdictions to</w:t>
      </w:r>
      <w:r w:rsidR="007D1689">
        <w:t>:</w:t>
      </w:r>
      <w:r w:rsidR="001A599D">
        <w:t xml:space="preserve"> consider if there are modifications they wish to make to legacy systems and ways of structuring preschool education in their </w:t>
      </w:r>
      <w:r w:rsidR="001975C0">
        <w:t>S</w:t>
      </w:r>
      <w:r w:rsidR="001A599D">
        <w:t xml:space="preserve">tate or </w:t>
      </w:r>
      <w:r w:rsidR="001975C0">
        <w:t>T</w:t>
      </w:r>
      <w:r w:rsidR="001A599D">
        <w:t>erritory</w:t>
      </w:r>
      <w:r w:rsidR="007D1689">
        <w:t>;</w:t>
      </w:r>
      <w:r w:rsidR="001A599D">
        <w:t xml:space="preserve"> to share experiences and strengths and weaknesses across their governments</w:t>
      </w:r>
      <w:r w:rsidR="007D1689">
        <w:t>;</w:t>
      </w:r>
      <w:r w:rsidR="001A599D">
        <w:t xml:space="preserve"> and to consider whether it is worth some convergence on aspects which can be observed to hold potential benefits to children or families.</w:t>
      </w:r>
    </w:p>
    <w:p w14:paraId="7906AEC7" w14:textId="79A272C0" w:rsidR="00206567" w:rsidRDefault="006A1758" w:rsidP="005050A6">
      <w:r>
        <w:fldChar w:fldCharType="begin"/>
      </w:r>
      <w:r>
        <w:rPr>
          <w:rFonts w:asciiTheme="minorHAnsi" w:hAnsiTheme="minorHAnsi"/>
        </w:rPr>
        <w:instrText xml:space="preserve"> REF _Ref24382220 \h </w:instrText>
      </w:r>
      <w:r>
        <w:fldChar w:fldCharType="separate"/>
      </w:r>
      <w:r w:rsidR="00B37785" w:rsidRPr="00B84846">
        <w:t xml:space="preserve">Figure </w:t>
      </w:r>
      <w:r w:rsidR="00B37785">
        <w:rPr>
          <w:noProof/>
        </w:rPr>
        <w:t>23</w:t>
      </w:r>
      <w:r>
        <w:fldChar w:fldCharType="end"/>
      </w:r>
      <w:r>
        <w:t xml:space="preserve"> </w:t>
      </w:r>
      <w:r w:rsidR="00D45A5C" w:rsidRPr="0C5679B2">
        <w:rPr>
          <w:rFonts w:asciiTheme="minorHAnsi" w:hAnsiTheme="minorHAnsi"/>
        </w:rPr>
        <w:t>illustrates</w:t>
      </w:r>
      <w:r w:rsidR="0079367D" w:rsidRPr="0C5679B2">
        <w:rPr>
          <w:rFonts w:asciiTheme="minorHAnsi" w:hAnsiTheme="minorHAnsi"/>
        </w:rPr>
        <w:t xml:space="preserve"> how </w:t>
      </w:r>
      <w:r w:rsidR="008922F3" w:rsidRPr="0C5679B2">
        <w:rPr>
          <w:rFonts w:asciiTheme="minorHAnsi" w:hAnsiTheme="minorHAnsi"/>
        </w:rPr>
        <w:t xml:space="preserve">governments’ focus has shifted since the establishment </w:t>
      </w:r>
      <w:r w:rsidR="00D072FF">
        <w:rPr>
          <w:rFonts w:asciiTheme="minorHAnsi" w:hAnsiTheme="minorHAnsi"/>
        </w:rPr>
        <w:t xml:space="preserve">of </w:t>
      </w:r>
      <w:r w:rsidR="0079367D" w:rsidRPr="0C5679B2">
        <w:rPr>
          <w:rFonts w:asciiTheme="minorHAnsi" w:hAnsiTheme="minorHAnsi"/>
        </w:rPr>
        <w:t xml:space="preserve">the </w:t>
      </w:r>
      <w:r w:rsidR="009655D1" w:rsidRPr="0C5679B2">
        <w:rPr>
          <w:rFonts w:asciiTheme="minorHAnsi" w:hAnsiTheme="minorHAnsi"/>
        </w:rPr>
        <w:t xml:space="preserve">first predecessor to the </w:t>
      </w:r>
      <w:r w:rsidR="0079367D" w:rsidRPr="0C5679B2">
        <w:rPr>
          <w:rFonts w:asciiTheme="minorHAnsi" w:hAnsiTheme="minorHAnsi"/>
        </w:rPr>
        <w:t xml:space="preserve">UANP, and the </w:t>
      </w:r>
      <w:r w:rsidR="00FE5C21" w:rsidRPr="0C5679B2">
        <w:rPr>
          <w:rFonts w:asciiTheme="minorHAnsi" w:hAnsiTheme="minorHAnsi"/>
        </w:rPr>
        <w:t xml:space="preserve">potential priorities that </w:t>
      </w:r>
      <w:r w:rsidR="00D45A5C" w:rsidRPr="0C5679B2">
        <w:rPr>
          <w:rFonts w:asciiTheme="minorHAnsi" w:hAnsiTheme="minorHAnsi"/>
        </w:rPr>
        <w:t>emerge when considering the current state, agreed reform areas and specific issues raised across jurisdictions and the sector.</w:t>
      </w:r>
    </w:p>
    <w:p w14:paraId="106BFFBB" w14:textId="34161EE3" w:rsidR="00C43E2B" w:rsidRPr="00B84846" w:rsidRDefault="00C43E2B" w:rsidP="00C43E2B">
      <w:pPr>
        <w:pStyle w:val="Caption"/>
      </w:pPr>
      <w:bookmarkStart w:id="232" w:name="_Ref24382220"/>
      <w:r w:rsidRPr="00B84846">
        <w:lastRenderedPageBreak/>
        <w:t xml:space="preserve">Figure </w:t>
      </w:r>
      <w:r w:rsidR="00B76790">
        <w:fldChar w:fldCharType="begin"/>
      </w:r>
      <w:r w:rsidR="00B76790">
        <w:instrText xml:space="preserve"> SEQ Figure \* ARABIC </w:instrText>
      </w:r>
      <w:r w:rsidR="00B76790">
        <w:fldChar w:fldCharType="separate"/>
      </w:r>
      <w:r w:rsidR="00B37785">
        <w:rPr>
          <w:noProof/>
        </w:rPr>
        <w:t>23</w:t>
      </w:r>
      <w:r w:rsidR="00B76790">
        <w:fldChar w:fldCharType="end"/>
      </w:r>
      <w:bookmarkEnd w:id="232"/>
      <w:r w:rsidRPr="00B84846">
        <w:t xml:space="preserve"> | </w:t>
      </w:r>
      <w:r>
        <w:t>T</w:t>
      </w:r>
      <w:r w:rsidRPr="00B84846">
        <w:t xml:space="preserve">he evolution </w:t>
      </w:r>
      <w:r w:rsidR="008922F3">
        <w:t xml:space="preserve">of governments’ areas of focus since </w:t>
      </w:r>
      <w:r w:rsidR="009655D1">
        <w:t xml:space="preserve">the UANP’s </w:t>
      </w:r>
      <w:r w:rsidR="008922F3">
        <w:t xml:space="preserve">establishment, </w:t>
      </w:r>
      <w:r w:rsidRPr="00B84846">
        <w:t xml:space="preserve">and </w:t>
      </w:r>
      <w:r>
        <w:t>potential future policy priorities</w:t>
      </w:r>
    </w:p>
    <w:p w14:paraId="1A3E7118" w14:textId="371A6918" w:rsidR="00C059A2" w:rsidRDefault="00726DA6" w:rsidP="00C059A2">
      <w:r w:rsidRPr="00726DA6">
        <w:rPr>
          <w:noProof/>
          <w:lang w:eastAsia="en-AU"/>
        </w:rPr>
        <w:drawing>
          <wp:inline distT="0" distB="0" distL="0" distR="0" wp14:anchorId="24180071" wp14:editId="00AA426E">
            <wp:extent cx="5670550" cy="3261910"/>
            <wp:effectExtent l="0" t="0" r="6350" b="0"/>
            <wp:docPr id="13" name="Picture 13" descr="Implementing a national approach: areas of focus since the UANP's establishment&#10;2008-13 establish&#10;- develop national policy approach&#10;- change community expectations&#10;- increase universal access to 600+ hours&#10;- assess against quality standards&#10;- support sector development&#10;2014-20: develop&#10;- improve data collection&#10;- lift participation, including among target cohorts&#10;- develop the workforce&#10;- expand complementary programs&#10;Maximising impact and cost effectiveness: potential future reform priorities and trajectory&#10;2021-25 refine:&#10;- develop outcomes measure&#10;- improve attendance data&#10;- continue to improve quality&#10;- lift participation especially among vulnerable and disadvantaged, CALD and remote children&#10;- improve workforce supply&#10;- develop an understanding of the efficient cost of delivery&#10;2026 _ embed&#10;- move to a national Agreement and/or legislation that enables ongoing funding&#10;- adopt a new funding allocation formula informed by an understanding of 'efficient cost' in different settings and jurisdictional contex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plementing a national approach: areas of focus since the UANP's establishment&#10;2008-13 establish&#10;- develop national policy approach&#10;- change community expectations&#10;- increase universal access to 600+ hours&#10;- assess against quality standards&#10;- support sector development&#10;2014-20: develop&#10;- improve data collection&#10;- lift participation, including among target cohorts&#10;- develop the workforce&#10;- expand complementary programs&#10;Maximising impact and cost effectiveness: potential future reform priorities and trajectory&#10;2021-25 refine:&#10;- develop outcomes measure&#10;- improve attendance data&#10;- continue to improve quality&#10;- lift participation especially among vulnerable and disadvantaged, CALD and remote children&#10;- improve workforce supply&#10;- develop an understanding of the efficient cost of delivery&#10;2026 _ embed&#10;- move to a national Agreement and/or legislation that enables ongoing funding&#10;- adopt a new funding allocation formula informed by an understanding of 'efficient cost' in different settings and jurisdictional contexts&#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0550" cy="3261910"/>
                    </a:xfrm>
                    <a:prstGeom prst="rect">
                      <a:avLst/>
                    </a:prstGeom>
                    <a:noFill/>
                    <a:ln>
                      <a:noFill/>
                    </a:ln>
                  </pic:spPr>
                </pic:pic>
              </a:graphicData>
            </a:graphic>
          </wp:inline>
        </w:drawing>
      </w:r>
    </w:p>
    <w:p w14:paraId="6885561F" w14:textId="77777777" w:rsidR="005A215B" w:rsidRPr="00C059A2" w:rsidRDefault="002D0C4E" w:rsidP="00C059A2">
      <w:r>
        <w:t>Key elements of the ‘next horizon’ for a successor agreement are explored below.</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2D0C4E" w14:paraId="63743143" w14:textId="77777777" w:rsidTr="0009637F">
        <w:trPr>
          <w:trHeight w:val="873"/>
        </w:trPr>
        <w:tc>
          <w:tcPr>
            <w:tcW w:w="8818" w:type="dxa"/>
            <w:shd w:val="clear" w:color="auto" w:fill="00264D" w:themeFill="background2"/>
          </w:tcPr>
          <w:p w14:paraId="5E45CA23" w14:textId="77777777" w:rsidR="002D0C4E" w:rsidRPr="006C71B3" w:rsidRDefault="002D0C4E" w:rsidP="0009637F">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Pr>
                <w:rFonts w:asciiTheme="minorHAnsi" w:hAnsiTheme="minorHAnsi"/>
                <w:b/>
                <w:color w:val="25B3E0" w:themeColor="accent6"/>
                <w:sz w:val="20"/>
                <w:szCs w:val="20"/>
              </w:rPr>
              <w:t>1</w:t>
            </w:r>
            <w:r w:rsidR="005F1F4F">
              <w:rPr>
                <w:rFonts w:asciiTheme="minorHAnsi" w:hAnsiTheme="minorHAnsi"/>
                <w:b/>
                <w:color w:val="25B3E0" w:themeColor="accent6"/>
                <w:sz w:val="20"/>
                <w:szCs w:val="20"/>
              </w:rPr>
              <w:t>7</w:t>
            </w:r>
          </w:p>
          <w:p w14:paraId="3668899E" w14:textId="77777777" w:rsidR="002D0C4E" w:rsidRPr="00E469A1" w:rsidRDefault="00A734E9" w:rsidP="0009637F">
            <w:pPr>
              <w:pStyle w:val="Longformcallout"/>
              <w:spacing w:after="0"/>
              <w:rPr>
                <w:rFonts w:asciiTheme="majorHAnsi" w:hAnsiTheme="majorHAnsi" w:cstheme="majorBidi"/>
                <w:color w:val="FFFFFF" w:themeColor="background1"/>
                <w:sz w:val="20"/>
                <w:szCs w:val="20"/>
              </w:rPr>
            </w:pPr>
            <w:r w:rsidRPr="00A734E9">
              <w:rPr>
                <w:rFonts w:asciiTheme="majorHAnsi" w:hAnsiTheme="majorHAnsi" w:cstheme="majorBidi"/>
                <w:color w:val="FFFFFF" w:themeColor="background1"/>
                <w:sz w:val="20"/>
                <w:szCs w:val="20"/>
              </w:rPr>
              <w:t xml:space="preserve">The next phase of universal access to quality YBFS preschool represents a significant new era of </w:t>
            </w:r>
            <w:r w:rsidR="007A0ABF" w:rsidRPr="007A0ABF">
              <w:rPr>
                <w:rFonts w:asciiTheme="majorHAnsi" w:hAnsiTheme="majorHAnsi" w:cstheme="majorBidi"/>
                <w:color w:val="FFFFFF" w:themeColor="background1"/>
                <w:sz w:val="20"/>
                <w:szCs w:val="20"/>
              </w:rPr>
              <w:t>development</w:t>
            </w:r>
            <w:r w:rsidRPr="00A734E9">
              <w:rPr>
                <w:rFonts w:asciiTheme="majorHAnsi" w:hAnsiTheme="majorHAnsi" w:cstheme="majorBidi"/>
                <w:color w:val="FFFFFF" w:themeColor="background1"/>
                <w:sz w:val="20"/>
                <w:szCs w:val="20"/>
              </w:rPr>
              <w:t xml:space="preserve">, to follow the previous phases of establishment and </w:t>
            </w:r>
            <w:r w:rsidR="008B2373">
              <w:rPr>
                <w:rFonts w:asciiTheme="majorHAnsi" w:hAnsiTheme="majorHAnsi" w:cstheme="majorBidi"/>
                <w:color w:val="FFFFFF" w:themeColor="background1"/>
                <w:sz w:val="20"/>
                <w:szCs w:val="20"/>
              </w:rPr>
              <w:t>development</w:t>
            </w:r>
            <w:r w:rsidRPr="00A734E9">
              <w:rPr>
                <w:rFonts w:asciiTheme="majorHAnsi" w:hAnsiTheme="majorHAnsi" w:cstheme="majorBidi"/>
                <w:color w:val="FFFFFF" w:themeColor="background1"/>
                <w:sz w:val="20"/>
                <w:szCs w:val="20"/>
              </w:rPr>
              <w:t>. In general States and Territories need to continue to design their own sectors and systems for preschool provision but also to actively share experiences and each consider how their systems might improve for children and families</w:t>
            </w:r>
            <w:r w:rsidR="001A599D">
              <w:rPr>
                <w:rFonts w:asciiTheme="majorHAnsi" w:hAnsiTheme="majorHAnsi" w:cstheme="majorBidi"/>
                <w:color w:val="FFFFFF" w:themeColor="background1"/>
                <w:sz w:val="20"/>
                <w:szCs w:val="20"/>
              </w:rPr>
              <w:t>.</w:t>
            </w:r>
            <w:r w:rsidR="00B64893">
              <w:rPr>
                <w:rFonts w:asciiTheme="majorHAnsi" w:hAnsiTheme="majorHAnsi" w:cstheme="majorBidi"/>
                <w:color w:val="FFFFFF" w:themeColor="background1"/>
                <w:sz w:val="20"/>
                <w:szCs w:val="20"/>
              </w:rPr>
              <w:t xml:space="preserve"> </w:t>
            </w:r>
            <w:r w:rsidR="007A0ABF" w:rsidRPr="007A0ABF">
              <w:rPr>
                <w:rFonts w:asciiTheme="majorHAnsi" w:hAnsiTheme="majorHAnsi" w:cstheme="majorBidi"/>
                <w:color w:val="FFFFFF" w:themeColor="background1"/>
                <w:sz w:val="20"/>
                <w:szCs w:val="20"/>
              </w:rPr>
              <w:t>This should continue to be facilitated through national policy coordination with leadership by the Australian Government</w:t>
            </w:r>
            <w:r w:rsidR="00B64893">
              <w:rPr>
                <w:rFonts w:asciiTheme="majorHAnsi" w:hAnsiTheme="majorHAnsi" w:cstheme="majorBidi"/>
                <w:color w:val="FFFFFF" w:themeColor="background1"/>
                <w:sz w:val="20"/>
                <w:szCs w:val="20"/>
              </w:rPr>
              <w:t>.</w:t>
            </w:r>
          </w:p>
        </w:tc>
      </w:tr>
    </w:tbl>
    <w:p w14:paraId="7B92C063" w14:textId="77777777" w:rsidR="000F1BED" w:rsidRPr="000F1BED" w:rsidRDefault="00F55E84" w:rsidP="00F65B20">
      <w:pPr>
        <w:pStyle w:val="Heading2"/>
      </w:pPr>
      <w:bookmarkStart w:id="233" w:name="_Ref24557242"/>
      <w:bookmarkStart w:id="234" w:name="_Toc24559608"/>
      <w:bookmarkStart w:id="235" w:name="_Toc54597796"/>
      <w:r>
        <w:t>The</w:t>
      </w:r>
      <w:r w:rsidR="00A82A09">
        <w:t xml:space="preserve"> next </w:t>
      </w:r>
      <w:r w:rsidR="005C47EE">
        <w:t xml:space="preserve">phase </w:t>
      </w:r>
      <w:r w:rsidR="00A82A09">
        <w:t>of a national approach</w:t>
      </w:r>
      <w:r w:rsidR="00281EFD">
        <w:t xml:space="preserve"> should redouble effort</w:t>
      </w:r>
      <w:r>
        <w:t>s</w:t>
      </w:r>
      <w:r w:rsidR="00281EFD">
        <w:t xml:space="preserve"> to target children most in need</w:t>
      </w:r>
      <w:bookmarkEnd w:id="233"/>
      <w:bookmarkEnd w:id="234"/>
      <w:bookmarkEnd w:id="235"/>
    </w:p>
    <w:p w14:paraId="47EB8921" w14:textId="77777777" w:rsidR="00573320" w:rsidRPr="00573320" w:rsidRDefault="00A82A09" w:rsidP="00573320">
      <w:pPr>
        <w:pStyle w:val="Bullet"/>
        <w:rPr>
          <w:rFonts w:asciiTheme="minorHAnsi" w:hAnsiTheme="minorHAnsi" w:cstheme="minorBidi"/>
        </w:rPr>
      </w:pPr>
      <w:r w:rsidRPr="0C5679B2">
        <w:rPr>
          <w:rFonts w:asciiTheme="minorHAnsi" w:hAnsiTheme="minorHAnsi" w:cstheme="minorBidi"/>
        </w:rPr>
        <w:t xml:space="preserve">The Review has found that the objectives of the UANP have largely been met in terms of extending access to 600 hours of quality preschool in the </w:t>
      </w:r>
      <w:r w:rsidR="00277258" w:rsidRPr="0C5679B2">
        <w:rPr>
          <w:rFonts w:asciiTheme="minorHAnsi" w:hAnsiTheme="minorHAnsi" w:cstheme="minorBidi"/>
        </w:rPr>
        <w:t>YBFS,</w:t>
      </w:r>
      <w:r w:rsidR="00384949" w:rsidRPr="0C5679B2">
        <w:rPr>
          <w:rFonts w:asciiTheme="minorHAnsi" w:hAnsiTheme="minorHAnsi" w:cstheme="minorBidi"/>
        </w:rPr>
        <w:t xml:space="preserve"> but that certain cohorts and communities are not being well</w:t>
      </w:r>
      <w:r w:rsidR="00EA2EB4">
        <w:rPr>
          <w:rFonts w:asciiTheme="minorHAnsi" w:hAnsiTheme="minorHAnsi" w:cstheme="minorBidi"/>
        </w:rPr>
        <w:noBreakHyphen/>
      </w:r>
      <w:r w:rsidR="00384949" w:rsidRPr="0C5679B2">
        <w:rPr>
          <w:rFonts w:asciiTheme="minorHAnsi" w:hAnsiTheme="minorHAnsi" w:cstheme="minorBidi"/>
        </w:rPr>
        <w:t xml:space="preserve">enough served and attendance remains an important area for ongoing attention. Here we discuss the implications of this for the design of future intergovernmental arrangements to succeed the current UANP. </w:t>
      </w:r>
    </w:p>
    <w:p w14:paraId="31F897DF" w14:textId="77777777" w:rsidR="00FA754E" w:rsidRDefault="00E274EE" w:rsidP="00F85AB6">
      <w:pPr>
        <w:pStyle w:val="Heading4"/>
      </w:pPr>
      <w:r>
        <w:t xml:space="preserve">Further </w:t>
      </w:r>
      <w:r w:rsidR="00850D61">
        <w:t>reform</w:t>
      </w:r>
      <w:r>
        <w:t xml:space="preserve"> is required to </w:t>
      </w:r>
      <w:r w:rsidR="00FA754E">
        <w:t>extend the benefits of quality</w:t>
      </w:r>
      <w:r>
        <w:t>, affordable</w:t>
      </w:r>
      <w:r w:rsidR="00FA754E">
        <w:t xml:space="preserve"> preschool to all children</w:t>
      </w:r>
    </w:p>
    <w:p w14:paraId="28E71A88" w14:textId="3359C1D8" w:rsidR="0047783F" w:rsidRPr="00B15A07" w:rsidRDefault="005F0919" w:rsidP="0047783F">
      <w:pPr>
        <w:pStyle w:val="Bullet"/>
        <w:rPr>
          <w:rFonts w:asciiTheme="minorHAnsi" w:hAnsiTheme="minorHAnsi" w:cstheme="minorBidi"/>
        </w:rPr>
      </w:pPr>
      <w:r w:rsidRPr="00CC0638">
        <w:t xml:space="preserve">States and </w:t>
      </w:r>
      <w:r w:rsidR="005050A6">
        <w:t>T</w:t>
      </w:r>
      <w:r w:rsidRPr="00CC0638">
        <w:t>erritories</w:t>
      </w:r>
      <w:r w:rsidR="00794993">
        <w:t xml:space="preserve"> </w:t>
      </w:r>
      <w:r w:rsidRPr="00CC0638">
        <w:t>have consistently met the 95</w:t>
      </w:r>
      <w:r>
        <w:t xml:space="preserve"> per cent</w:t>
      </w:r>
      <w:r w:rsidRPr="00CC0638">
        <w:t xml:space="preserve"> enrolment benchmark</w:t>
      </w:r>
      <w:r>
        <w:t>, with e</w:t>
      </w:r>
      <w:r w:rsidRPr="00CC0638">
        <w:t>nrolment</w:t>
      </w:r>
      <w:r>
        <w:t>s</w:t>
      </w:r>
      <w:r w:rsidRPr="00CC0638">
        <w:t xml:space="preserve"> in 600</w:t>
      </w:r>
      <w:r w:rsidR="00EA2EB4">
        <w:t> </w:t>
      </w:r>
      <w:r w:rsidRPr="00CC0638">
        <w:t>hours a year grow</w:t>
      </w:r>
      <w:r>
        <w:t>ing</w:t>
      </w:r>
      <w:r w:rsidRPr="00CC0638">
        <w:t xml:space="preserve"> from 12</w:t>
      </w:r>
      <w:r w:rsidRPr="00D958A8">
        <w:t xml:space="preserve"> </w:t>
      </w:r>
      <w:r>
        <w:t>per cent</w:t>
      </w:r>
      <w:r w:rsidRPr="00CC0638">
        <w:t xml:space="preserve"> in 2008 to over 95</w:t>
      </w:r>
      <w:r w:rsidRPr="00D958A8">
        <w:t xml:space="preserve"> </w:t>
      </w:r>
      <w:r>
        <w:t>per cent</w:t>
      </w:r>
      <w:r w:rsidRPr="00CC0638">
        <w:t xml:space="preserve"> in 2018</w:t>
      </w:r>
      <w:r w:rsidR="00D072FF">
        <w:t xml:space="preserve">, though </w:t>
      </w:r>
      <w:r w:rsidR="00794993">
        <w:t>the</w:t>
      </w:r>
      <w:r w:rsidR="00C135A0">
        <w:t xml:space="preserve"> more accurate state</w:t>
      </w:r>
      <w:r w:rsidR="00794993">
        <w:t>-</w:t>
      </w:r>
      <w:r w:rsidR="00C135A0">
        <w:t xml:space="preserve">specific YBFS measure highlights that </w:t>
      </w:r>
      <w:r w:rsidR="00D072FF">
        <w:t>further work is required</w:t>
      </w:r>
      <w:r w:rsidR="006E7616">
        <w:t xml:space="preserve"> </w:t>
      </w:r>
      <w:r w:rsidR="00C135A0">
        <w:t xml:space="preserve">before this achievement </w:t>
      </w:r>
      <w:r w:rsidR="0007210C">
        <w:t>can</w:t>
      </w:r>
      <w:r w:rsidR="00C135A0">
        <w:t xml:space="preserve"> be confidently claimed. </w:t>
      </w:r>
      <w:r w:rsidR="00794993">
        <w:t>In pa</w:t>
      </w:r>
      <w:r w:rsidR="00C135A0">
        <w:t xml:space="preserve">rticular, </w:t>
      </w:r>
      <w:r w:rsidR="0047783F">
        <w:t xml:space="preserve">the UANP’s current </w:t>
      </w:r>
      <w:r w:rsidR="00C135A0">
        <w:t>t</w:t>
      </w:r>
      <w:r w:rsidR="0026090E">
        <w:t>arget</w:t>
      </w:r>
      <w:r>
        <w:t xml:space="preserve"> cohorts</w:t>
      </w:r>
      <w:r w:rsidR="00C409B6">
        <w:t xml:space="preserve"> - </w:t>
      </w:r>
      <w:r w:rsidR="0047783F">
        <w:t>Indigenous</w:t>
      </w:r>
      <w:r w:rsidR="0026090E">
        <w:t xml:space="preserve"> children</w:t>
      </w:r>
      <w:r w:rsidR="0047783F">
        <w:t xml:space="preserve"> and </w:t>
      </w:r>
      <w:r w:rsidR="0026090E">
        <w:t>children experiencing vulnerability and disadvantage</w:t>
      </w:r>
      <w:r w:rsidR="00C409B6">
        <w:t xml:space="preserve"> - </w:t>
      </w:r>
      <w:r w:rsidR="0047783F">
        <w:t>continue</w:t>
      </w:r>
      <w:r>
        <w:t xml:space="preserve"> to be among those less likely to participate in preschool</w:t>
      </w:r>
      <w:r w:rsidR="0047783F">
        <w:t>, and it is</w:t>
      </w:r>
      <w:r w:rsidR="0047783F" w:rsidRPr="0C5679B2">
        <w:rPr>
          <w:rFonts w:asciiTheme="minorHAnsi" w:hAnsiTheme="minorHAnsi" w:cstheme="minorBidi"/>
        </w:rPr>
        <w:t xml:space="preserve"> important for any successor agreement to continue to target participation for </w:t>
      </w:r>
      <w:r w:rsidR="00B3772C">
        <w:rPr>
          <w:rFonts w:asciiTheme="minorHAnsi" w:hAnsiTheme="minorHAnsi" w:cstheme="minorBidi"/>
        </w:rPr>
        <w:t xml:space="preserve">these </w:t>
      </w:r>
      <w:r w:rsidR="00B3772C">
        <w:rPr>
          <w:rFonts w:asciiTheme="minorHAnsi" w:hAnsiTheme="minorHAnsi" w:cstheme="minorBidi"/>
        </w:rPr>
        <w:lastRenderedPageBreak/>
        <w:t>groups of children</w:t>
      </w:r>
      <w:r w:rsidR="0047783F" w:rsidRPr="0C5679B2">
        <w:rPr>
          <w:rFonts w:asciiTheme="minorHAnsi" w:hAnsiTheme="minorHAnsi" w:cstheme="minorBidi"/>
        </w:rPr>
        <w:t>.</w:t>
      </w:r>
      <w:r w:rsidR="00600DAB">
        <w:rPr>
          <w:rFonts w:asciiTheme="minorHAnsi" w:hAnsiTheme="minorHAnsi" w:cstheme="minorBidi"/>
        </w:rPr>
        <w:t xml:space="preserve"> </w:t>
      </w:r>
      <w:r w:rsidR="00954285">
        <w:rPr>
          <w:rFonts w:asciiTheme="minorHAnsi" w:hAnsiTheme="minorHAnsi" w:cstheme="minorBidi"/>
        </w:rPr>
        <w:t>It is important to note that w</w:t>
      </w:r>
      <w:r w:rsidR="00600DAB">
        <w:rPr>
          <w:rFonts w:asciiTheme="minorHAnsi" w:hAnsiTheme="minorHAnsi" w:cstheme="minorBidi"/>
        </w:rPr>
        <w:t>hile these groups of children are overrepresented</w:t>
      </w:r>
      <w:r w:rsidR="00954285">
        <w:rPr>
          <w:rFonts w:asciiTheme="minorHAnsi" w:hAnsiTheme="minorHAnsi" w:cstheme="minorBidi"/>
        </w:rPr>
        <w:t>,</w:t>
      </w:r>
      <w:r w:rsidR="006C417F">
        <w:rPr>
          <w:rFonts w:asciiTheme="minorHAnsi" w:hAnsiTheme="minorHAnsi" w:cstheme="minorBidi"/>
        </w:rPr>
        <w:t xml:space="preserve"> </w:t>
      </w:r>
      <w:r w:rsidR="00600DAB">
        <w:rPr>
          <w:rFonts w:asciiTheme="minorHAnsi" w:hAnsiTheme="minorHAnsi" w:cstheme="minorBidi"/>
        </w:rPr>
        <w:t>they do not account for</w:t>
      </w:r>
      <w:r w:rsidR="006C417F">
        <w:rPr>
          <w:rFonts w:asciiTheme="minorHAnsi" w:hAnsiTheme="minorHAnsi" w:cstheme="minorBidi"/>
        </w:rPr>
        <w:t xml:space="preserve"> </w:t>
      </w:r>
      <w:r w:rsidR="00954285">
        <w:rPr>
          <w:rFonts w:asciiTheme="minorHAnsi" w:hAnsiTheme="minorHAnsi" w:cstheme="minorBidi"/>
        </w:rPr>
        <w:t>eligible children not enrolled or not attending regularly</w:t>
      </w:r>
      <w:r w:rsidR="00600DAB">
        <w:rPr>
          <w:rFonts w:asciiTheme="minorHAnsi" w:hAnsiTheme="minorHAnsi" w:cstheme="minorBidi"/>
        </w:rPr>
        <w:t xml:space="preserve">. </w:t>
      </w:r>
      <w:r w:rsidR="00954285">
        <w:rPr>
          <w:rFonts w:asciiTheme="minorHAnsi" w:hAnsiTheme="minorHAnsi" w:cstheme="minorBidi"/>
        </w:rPr>
        <w:t xml:space="preserve">It is critical to understand the characteristics of other children that are not </w:t>
      </w:r>
      <w:r w:rsidR="0035162A">
        <w:rPr>
          <w:rFonts w:asciiTheme="minorHAnsi" w:hAnsiTheme="minorHAnsi" w:cstheme="minorBidi"/>
        </w:rPr>
        <w:t xml:space="preserve">enrolled and </w:t>
      </w:r>
      <w:r w:rsidR="00277258">
        <w:rPr>
          <w:rFonts w:asciiTheme="minorHAnsi" w:hAnsiTheme="minorHAnsi" w:cstheme="minorBidi"/>
        </w:rPr>
        <w:t>attending and</w:t>
      </w:r>
      <w:r w:rsidR="00954285">
        <w:rPr>
          <w:rFonts w:asciiTheme="minorHAnsi" w:hAnsiTheme="minorHAnsi" w:cstheme="minorBidi"/>
        </w:rPr>
        <w:t xml:space="preserve"> consider the policy significance of this. </w:t>
      </w:r>
      <w:r w:rsidR="00954285">
        <w:t>For example, children living in rural and remote areas are less likely to participate due to a range of factors that affect all types of service delivery into such communities.</w:t>
      </w:r>
    </w:p>
    <w:p w14:paraId="44F1A90D" w14:textId="77777777" w:rsidR="00300246" w:rsidRDefault="00794993" w:rsidP="00300246">
      <w:pPr>
        <w:rPr>
          <w:rFonts w:asciiTheme="minorHAnsi" w:hAnsiTheme="minorHAnsi"/>
        </w:rPr>
      </w:pPr>
      <w:r>
        <w:t>I</w:t>
      </w:r>
      <w:r w:rsidR="003C2257">
        <w:t xml:space="preserve">t is </w:t>
      </w:r>
      <w:r w:rsidR="007118F3">
        <w:t>widely</w:t>
      </w:r>
      <w:r w:rsidR="003C2257">
        <w:t xml:space="preserve"> acknowledged that lifting </w:t>
      </w:r>
      <w:r>
        <w:t xml:space="preserve">both </w:t>
      </w:r>
      <w:r w:rsidR="003C2257">
        <w:t xml:space="preserve">participation and quality outcomes for more marginalised children and families is </w:t>
      </w:r>
      <w:r>
        <w:t xml:space="preserve">more </w:t>
      </w:r>
      <w:r w:rsidR="009D4207">
        <w:t>challenging</w:t>
      </w:r>
      <w:r w:rsidR="00B3772C">
        <w:t xml:space="preserve"> than with other children</w:t>
      </w:r>
      <w:r>
        <w:t>; there are good reasons why they have not yet fully realised the benefits</w:t>
      </w:r>
      <w:r w:rsidR="009D4207">
        <w:t xml:space="preserve"> of the </w:t>
      </w:r>
      <w:r>
        <w:t>national effort and investment in Y</w:t>
      </w:r>
      <w:r w:rsidR="006E7616">
        <w:t>B</w:t>
      </w:r>
      <w:r>
        <w:t xml:space="preserve">FS preschool. </w:t>
      </w:r>
      <w:r w:rsidR="00954285">
        <w:rPr>
          <w:rFonts w:asciiTheme="minorHAnsi" w:hAnsiTheme="minorHAnsi"/>
        </w:rPr>
        <w:t>T</w:t>
      </w:r>
      <w:r w:rsidR="00300246" w:rsidRPr="0C5679B2">
        <w:rPr>
          <w:rFonts w:asciiTheme="minorHAnsi" w:hAnsiTheme="minorHAnsi"/>
        </w:rPr>
        <w:t xml:space="preserve">here are arguments for </w:t>
      </w:r>
      <w:r w:rsidR="006E7616" w:rsidRPr="0C5679B2">
        <w:rPr>
          <w:rFonts w:asciiTheme="minorHAnsi" w:hAnsiTheme="minorHAnsi"/>
        </w:rPr>
        <w:t>increasing</w:t>
      </w:r>
      <w:r w:rsidR="00300246" w:rsidRPr="0C5679B2">
        <w:rPr>
          <w:rFonts w:asciiTheme="minorHAnsi" w:hAnsiTheme="minorHAnsi"/>
        </w:rPr>
        <w:t xml:space="preserve"> participation in quality programs for </w:t>
      </w:r>
      <w:r w:rsidR="0092202D" w:rsidRPr="0C5679B2">
        <w:rPr>
          <w:rFonts w:asciiTheme="minorHAnsi" w:hAnsiTheme="minorHAnsi"/>
        </w:rPr>
        <w:t>three</w:t>
      </w:r>
      <w:r w:rsidR="00300246" w:rsidRPr="0C5679B2">
        <w:rPr>
          <w:rFonts w:asciiTheme="minorHAnsi" w:hAnsiTheme="minorHAnsi"/>
        </w:rPr>
        <w:t xml:space="preserve"> groups that are not currently included as target cohorts:</w:t>
      </w:r>
    </w:p>
    <w:p w14:paraId="05EF22CE" w14:textId="77777777" w:rsidR="00300246" w:rsidRDefault="00FE2F6E" w:rsidP="006E2121">
      <w:pPr>
        <w:pStyle w:val="Bullet"/>
        <w:numPr>
          <w:ilvl w:val="0"/>
          <w:numId w:val="13"/>
        </w:numPr>
        <w:ind w:left="340" w:hanging="340"/>
        <w:rPr>
          <w:rFonts w:asciiTheme="minorHAnsi" w:hAnsiTheme="minorHAnsi" w:cstheme="minorBidi"/>
        </w:rPr>
      </w:pPr>
      <w:r w:rsidRPr="0C5679B2">
        <w:rPr>
          <w:rFonts w:asciiTheme="majorHAnsi" w:hAnsiTheme="majorHAnsi" w:cstheme="majorBidi"/>
        </w:rPr>
        <w:t xml:space="preserve">Children living in </w:t>
      </w:r>
      <w:r w:rsidR="000B5A27" w:rsidRPr="0C5679B2">
        <w:rPr>
          <w:rFonts w:asciiTheme="majorHAnsi" w:hAnsiTheme="majorHAnsi" w:cstheme="majorBidi"/>
        </w:rPr>
        <w:t>rural</w:t>
      </w:r>
      <w:r w:rsidRPr="0C5679B2">
        <w:rPr>
          <w:rFonts w:asciiTheme="majorHAnsi" w:hAnsiTheme="majorHAnsi" w:cstheme="majorBidi"/>
        </w:rPr>
        <w:t xml:space="preserve"> </w:t>
      </w:r>
      <w:r w:rsidR="00CF23F4" w:rsidRPr="0C5679B2">
        <w:rPr>
          <w:rFonts w:asciiTheme="majorHAnsi" w:hAnsiTheme="majorHAnsi" w:cstheme="majorBidi"/>
        </w:rPr>
        <w:t xml:space="preserve">and </w:t>
      </w:r>
      <w:r w:rsidRPr="0C5679B2">
        <w:rPr>
          <w:rFonts w:asciiTheme="majorHAnsi" w:hAnsiTheme="majorHAnsi" w:cstheme="majorBidi"/>
        </w:rPr>
        <w:t>r</w:t>
      </w:r>
      <w:r w:rsidR="00300246" w:rsidRPr="0C5679B2">
        <w:rPr>
          <w:rFonts w:asciiTheme="majorHAnsi" w:hAnsiTheme="majorHAnsi" w:cstheme="majorBidi"/>
        </w:rPr>
        <w:t xml:space="preserve">emote </w:t>
      </w:r>
      <w:r w:rsidRPr="0C5679B2">
        <w:rPr>
          <w:rFonts w:asciiTheme="majorHAnsi" w:hAnsiTheme="majorHAnsi" w:cstheme="majorBidi"/>
        </w:rPr>
        <w:t>areas:</w:t>
      </w:r>
      <w:r w:rsidR="00300246" w:rsidRPr="0C5679B2">
        <w:rPr>
          <w:rFonts w:asciiTheme="minorHAnsi" w:hAnsiTheme="minorHAnsi" w:cstheme="minorBidi"/>
        </w:rPr>
        <w:t xml:space="preserve"> the UANP references the need to ensure access to services in </w:t>
      </w:r>
      <w:r w:rsidR="000B5A27" w:rsidRPr="0C5679B2">
        <w:rPr>
          <w:rFonts w:asciiTheme="minorHAnsi" w:hAnsiTheme="minorHAnsi" w:cstheme="minorBidi"/>
        </w:rPr>
        <w:t xml:space="preserve">rural and </w:t>
      </w:r>
      <w:r w:rsidR="00300246" w:rsidRPr="0C5679B2">
        <w:rPr>
          <w:rFonts w:asciiTheme="minorHAnsi" w:hAnsiTheme="minorHAnsi" w:cstheme="minorBidi"/>
        </w:rPr>
        <w:t xml:space="preserve">remote locations, but this is not a specific metric included in the performance framework. </w:t>
      </w:r>
      <w:proofErr w:type="gramStart"/>
      <w:r w:rsidR="00D94773">
        <w:rPr>
          <w:rFonts w:asciiTheme="minorHAnsi" w:hAnsiTheme="minorHAnsi" w:cstheme="minorBidi"/>
        </w:rPr>
        <w:t>T</w:t>
      </w:r>
      <w:r w:rsidR="00300246" w:rsidRPr="0C5679B2">
        <w:rPr>
          <w:rFonts w:asciiTheme="minorHAnsi" w:hAnsiTheme="minorHAnsi" w:cstheme="minorBidi"/>
        </w:rPr>
        <w:t>his warrants</w:t>
      </w:r>
      <w:proofErr w:type="gramEnd"/>
      <w:r w:rsidR="00300246" w:rsidRPr="0C5679B2">
        <w:rPr>
          <w:rFonts w:asciiTheme="minorHAnsi" w:hAnsiTheme="minorHAnsi" w:cstheme="minorBidi"/>
        </w:rPr>
        <w:t xml:space="preserve"> heightened attention.</w:t>
      </w:r>
    </w:p>
    <w:p w14:paraId="4216EC76" w14:textId="77777777" w:rsidR="006E2121" w:rsidRDefault="00300246" w:rsidP="006E2121">
      <w:pPr>
        <w:pStyle w:val="Bullet"/>
        <w:numPr>
          <w:ilvl w:val="0"/>
          <w:numId w:val="13"/>
        </w:numPr>
        <w:ind w:left="340" w:hanging="340"/>
        <w:rPr>
          <w:rFonts w:asciiTheme="minorHAnsi" w:hAnsiTheme="minorHAnsi" w:cstheme="minorBidi"/>
        </w:rPr>
      </w:pPr>
      <w:r w:rsidRPr="0C5679B2">
        <w:rPr>
          <w:rFonts w:asciiTheme="majorHAnsi" w:hAnsiTheme="majorHAnsi" w:cstheme="majorBidi"/>
        </w:rPr>
        <w:t xml:space="preserve">Children with </w:t>
      </w:r>
      <w:r w:rsidR="0092202D" w:rsidRPr="0C5679B2">
        <w:rPr>
          <w:rFonts w:asciiTheme="majorHAnsi" w:hAnsiTheme="majorHAnsi" w:cstheme="majorBidi"/>
        </w:rPr>
        <w:t>disabilities and developmental delay</w:t>
      </w:r>
      <w:r w:rsidR="00FE2F6E" w:rsidRPr="0C5679B2">
        <w:rPr>
          <w:rFonts w:asciiTheme="majorHAnsi" w:hAnsiTheme="majorHAnsi" w:cstheme="majorBidi"/>
        </w:rPr>
        <w:t>:</w:t>
      </w:r>
      <w:r w:rsidRPr="0C5679B2">
        <w:rPr>
          <w:rFonts w:asciiTheme="minorHAnsi" w:hAnsiTheme="minorHAnsi" w:cstheme="minorBidi"/>
        </w:rPr>
        <w:t xml:space="preserve"> while the Review has been unable to find detailed data</w:t>
      </w:r>
      <w:r w:rsidR="006A585B" w:rsidRPr="0C5679B2">
        <w:rPr>
          <w:rFonts w:asciiTheme="minorHAnsi" w:hAnsiTheme="minorHAnsi" w:cstheme="minorBidi"/>
        </w:rPr>
        <w:t>, many sector and jurisdictional representatives</w:t>
      </w:r>
      <w:r w:rsidR="00B05EB1">
        <w:rPr>
          <w:rFonts w:asciiTheme="minorHAnsi" w:hAnsiTheme="minorHAnsi" w:cstheme="minorBidi"/>
        </w:rPr>
        <w:t xml:space="preserve"> believe</w:t>
      </w:r>
      <w:r w:rsidR="006A585B" w:rsidRPr="0C5679B2">
        <w:rPr>
          <w:rFonts w:asciiTheme="minorHAnsi" w:hAnsiTheme="minorHAnsi" w:cstheme="minorBidi"/>
        </w:rPr>
        <w:t xml:space="preserve"> that preschool participation by children with disabilities and/or children </w:t>
      </w:r>
      <w:r w:rsidR="00DA66C3" w:rsidRPr="0C5679B2">
        <w:rPr>
          <w:rFonts w:asciiTheme="minorHAnsi" w:hAnsiTheme="minorHAnsi" w:cstheme="minorBidi"/>
        </w:rPr>
        <w:t>with development</w:t>
      </w:r>
      <w:r w:rsidR="00024180" w:rsidRPr="0C5679B2">
        <w:rPr>
          <w:rFonts w:asciiTheme="minorHAnsi" w:hAnsiTheme="minorHAnsi" w:cstheme="minorBidi"/>
        </w:rPr>
        <w:t>al</w:t>
      </w:r>
      <w:r w:rsidR="00DA66C3" w:rsidRPr="0C5679B2">
        <w:rPr>
          <w:rFonts w:asciiTheme="minorHAnsi" w:hAnsiTheme="minorHAnsi" w:cstheme="minorBidi"/>
        </w:rPr>
        <w:t xml:space="preserve"> delay</w:t>
      </w:r>
      <w:r w:rsidR="006A585B" w:rsidRPr="0C5679B2">
        <w:rPr>
          <w:rFonts w:asciiTheme="minorHAnsi" w:hAnsiTheme="minorHAnsi" w:cstheme="minorBidi"/>
        </w:rPr>
        <w:t xml:space="preserve"> is relatively low. </w:t>
      </w:r>
      <w:r w:rsidR="00853C9F" w:rsidRPr="0C5679B2">
        <w:rPr>
          <w:rFonts w:asciiTheme="minorHAnsi" w:hAnsiTheme="minorHAnsi" w:cstheme="minorBidi"/>
        </w:rPr>
        <w:t>This would be consistent with findings by the Australian Institute of Families studies</w:t>
      </w:r>
      <w:r w:rsidR="00853C9F" w:rsidRPr="0C5679B2">
        <w:rPr>
          <w:rStyle w:val="FootnoteReference"/>
          <w:rFonts w:asciiTheme="minorHAnsi" w:hAnsiTheme="minorHAnsi" w:cstheme="minorBidi"/>
        </w:rPr>
        <w:footnoteReference w:id="95"/>
      </w:r>
      <w:r w:rsidR="006B72A5" w:rsidRPr="0C5679B2">
        <w:rPr>
          <w:rFonts w:asciiTheme="minorHAnsi" w:hAnsiTheme="minorHAnsi" w:cstheme="minorBidi"/>
        </w:rPr>
        <w:t>,</w:t>
      </w:r>
      <w:r w:rsidR="00853C9F" w:rsidRPr="0C5679B2">
        <w:rPr>
          <w:rFonts w:asciiTheme="minorHAnsi" w:hAnsiTheme="minorHAnsi" w:cstheme="minorBidi"/>
        </w:rPr>
        <w:t xml:space="preserve"> among others.</w:t>
      </w:r>
      <w:r w:rsidR="00DF22C4" w:rsidRPr="0C5679B2">
        <w:rPr>
          <w:rFonts w:asciiTheme="minorHAnsi" w:hAnsiTheme="minorHAnsi" w:cstheme="minorBidi"/>
        </w:rPr>
        <w:t xml:space="preserve"> A focus on those with developmental delay is self-evident given one of the prime objectives of quality preschool is to improve school readiness.</w:t>
      </w:r>
      <w:r w:rsidR="006A585B" w:rsidRPr="0C5679B2">
        <w:rPr>
          <w:rFonts w:asciiTheme="minorHAnsi" w:hAnsiTheme="minorHAnsi" w:cstheme="minorBidi"/>
        </w:rPr>
        <w:t xml:space="preserve"> </w:t>
      </w:r>
      <w:r w:rsidR="00CF23F4" w:rsidRPr="0C5679B2">
        <w:rPr>
          <w:rFonts w:asciiTheme="minorHAnsi" w:hAnsiTheme="minorHAnsi" w:cstheme="minorBidi"/>
        </w:rPr>
        <w:t xml:space="preserve">Measurement </w:t>
      </w:r>
      <w:r w:rsidR="00971298" w:rsidRPr="0C5679B2">
        <w:rPr>
          <w:rFonts w:asciiTheme="minorHAnsi" w:hAnsiTheme="minorHAnsi" w:cstheme="minorBidi"/>
        </w:rPr>
        <w:t>and performance monitoring of success against these objectives is also a priority.</w:t>
      </w:r>
      <w:r w:rsidR="006E2121" w:rsidRPr="0C5679B2">
        <w:rPr>
          <w:rFonts w:asciiTheme="minorHAnsi" w:hAnsiTheme="minorHAnsi" w:cstheme="minorBidi"/>
        </w:rPr>
        <w:t xml:space="preserve"> </w:t>
      </w:r>
    </w:p>
    <w:p w14:paraId="6287FB77" w14:textId="77777777" w:rsidR="00A678B0" w:rsidRPr="00B15A07" w:rsidRDefault="00DF22C4" w:rsidP="00A678B0">
      <w:pPr>
        <w:pStyle w:val="Bullet"/>
        <w:numPr>
          <w:ilvl w:val="0"/>
          <w:numId w:val="13"/>
        </w:numPr>
        <w:ind w:left="340" w:hanging="340"/>
        <w:rPr>
          <w:rFonts w:asciiTheme="minorHAnsi" w:hAnsiTheme="minorHAnsi" w:cstheme="minorBidi"/>
        </w:rPr>
      </w:pPr>
      <w:r w:rsidRPr="0C5679B2">
        <w:rPr>
          <w:rFonts w:asciiTheme="majorHAnsi" w:hAnsiTheme="majorHAnsi" w:cstheme="majorBidi"/>
        </w:rPr>
        <w:t>Children from culturally and linguistically diverse backgrounds</w:t>
      </w:r>
      <w:r w:rsidR="00FE2F6E" w:rsidRPr="0C5679B2">
        <w:rPr>
          <w:rFonts w:asciiTheme="majorHAnsi" w:hAnsiTheme="majorHAnsi" w:cstheme="majorBidi"/>
        </w:rPr>
        <w:t>:</w:t>
      </w:r>
      <w:r w:rsidRPr="0C5679B2">
        <w:rPr>
          <w:rFonts w:asciiTheme="minorHAnsi" w:hAnsiTheme="minorHAnsi" w:cstheme="minorBidi"/>
        </w:rPr>
        <w:t xml:space="preserve"> participation by eligible children from </w:t>
      </w:r>
      <w:r w:rsidR="00F806B7">
        <w:rPr>
          <w:rFonts w:asciiTheme="minorHAnsi" w:hAnsiTheme="minorHAnsi" w:cstheme="minorBidi"/>
        </w:rPr>
        <w:t>CALD</w:t>
      </w:r>
      <w:r w:rsidRPr="0C5679B2">
        <w:rPr>
          <w:rFonts w:asciiTheme="minorHAnsi" w:hAnsiTheme="minorHAnsi" w:cstheme="minorBidi"/>
        </w:rPr>
        <w:t xml:space="preserve"> backgrounds is also relatively low</w:t>
      </w:r>
      <w:r w:rsidR="00D072FF">
        <w:rPr>
          <w:rFonts w:asciiTheme="minorHAnsi" w:hAnsiTheme="minorHAnsi" w:cstheme="minorBidi"/>
        </w:rPr>
        <w:t xml:space="preserve"> in many jurisdictions</w:t>
      </w:r>
      <w:r w:rsidRPr="0C5679B2">
        <w:rPr>
          <w:rFonts w:asciiTheme="minorHAnsi" w:hAnsiTheme="minorHAnsi" w:cstheme="minorBidi"/>
        </w:rPr>
        <w:t xml:space="preserve">. </w:t>
      </w:r>
      <w:r w:rsidR="00F806B7">
        <w:rPr>
          <w:rFonts w:asciiTheme="minorHAnsi" w:hAnsiTheme="minorHAnsi" w:cstheme="minorBidi"/>
        </w:rPr>
        <w:t>In 2014, c</w:t>
      </w:r>
      <w:r w:rsidR="00F806B7" w:rsidRPr="00F806B7">
        <w:rPr>
          <w:rFonts w:asciiTheme="minorHAnsi" w:hAnsiTheme="minorHAnsi" w:cstheme="minorBidi"/>
        </w:rPr>
        <w:t>hildren not attending preschool were disproportionately from non-English speaking backgrounds (12.9% compared to 7.7% of children from English speaking backgrounds).</w:t>
      </w:r>
      <w:r w:rsidR="00F806B7">
        <w:rPr>
          <w:rStyle w:val="FootnoteReference"/>
          <w:rFonts w:asciiTheme="minorHAnsi" w:hAnsiTheme="minorHAnsi" w:cstheme="minorBidi"/>
        </w:rPr>
        <w:footnoteReference w:id="96"/>
      </w:r>
      <w:r w:rsidR="00F806B7">
        <w:rPr>
          <w:rFonts w:asciiTheme="minorHAnsi" w:hAnsiTheme="minorHAnsi" w:cstheme="minorBidi"/>
        </w:rPr>
        <w:t xml:space="preserve"> </w:t>
      </w:r>
      <w:r w:rsidRPr="0C5679B2">
        <w:rPr>
          <w:rFonts w:asciiTheme="minorHAnsi" w:hAnsiTheme="minorHAnsi" w:cstheme="minorBidi"/>
        </w:rPr>
        <w:t>Stakeholders and researchers</w:t>
      </w:r>
      <w:r w:rsidR="00B3772C">
        <w:rPr>
          <w:rFonts w:asciiTheme="minorHAnsi" w:hAnsiTheme="minorHAnsi" w:cstheme="minorBidi"/>
        </w:rPr>
        <w:t xml:space="preserve"> </w:t>
      </w:r>
      <w:r w:rsidRPr="0C5679B2">
        <w:rPr>
          <w:rFonts w:asciiTheme="minorHAnsi" w:hAnsiTheme="minorHAnsi" w:cstheme="minorBidi"/>
        </w:rPr>
        <w:t>alike</w:t>
      </w:r>
      <w:r w:rsidR="00B3772C">
        <w:rPr>
          <w:rFonts w:asciiTheme="minorHAnsi" w:hAnsiTheme="minorHAnsi" w:cstheme="minorBidi"/>
        </w:rPr>
        <w:t xml:space="preserve"> </w:t>
      </w:r>
      <w:r w:rsidRPr="0C5679B2">
        <w:rPr>
          <w:rFonts w:asciiTheme="minorHAnsi" w:hAnsiTheme="minorHAnsi" w:cstheme="minorBidi"/>
        </w:rPr>
        <w:t>have commented on the cultural barriers that can influence a parent’s decision not to enrol their child in preschool.</w:t>
      </w:r>
      <w:r w:rsidR="00B3772C" w:rsidRPr="00B3772C">
        <w:rPr>
          <w:rStyle w:val="FootnoteReference"/>
          <w:rFonts w:asciiTheme="minorHAnsi" w:hAnsiTheme="minorHAnsi" w:cstheme="minorBidi"/>
        </w:rPr>
        <w:t xml:space="preserve"> </w:t>
      </w:r>
      <w:r w:rsidR="00B3772C" w:rsidRPr="0C5679B2">
        <w:rPr>
          <w:rStyle w:val="FootnoteReference"/>
          <w:rFonts w:asciiTheme="minorHAnsi" w:hAnsiTheme="minorHAnsi" w:cstheme="minorBidi"/>
        </w:rPr>
        <w:footnoteReference w:id="97"/>
      </w:r>
      <w:r w:rsidRPr="0C5679B2">
        <w:rPr>
          <w:rFonts w:asciiTheme="minorHAnsi" w:hAnsiTheme="minorHAnsi" w:cstheme="minorBidi"/>
        </w:rPr>
        <w:t xml:space="preserve"> Of particular concern is the extent to which children who have refugee </w:t>
      </w:r>
      <w:r w:rsidR="00FE2F6E" w:rsidRPr="0C5679B2">
        <w:rPr>
          <w:rFonts w:asciiTheme="minorHAnsi" w:hAnsiTheme="minorHAnsi" w:cstheme="minorBidi"/>
        </w:rPr>
        <w:t xml:space="preserve">and asylum seeker </w:t>
      </w:r>
      <w:r w:rsidRPr="0C5679B2">
        <w:rPr>
          <w:rFonts w:asciiTheme="minorHAnsi" w:hAnsiTheme="minorHAnsi" w:cstheme="minorBidi"/>
        </w:rPr>
        <w:t>backgrounds might be missing out on the opportunity that quality preschool in the YBFS provides.</w:t>
      </w:r>
    </w:p>
    <w:p w14:paraId="614C00E1" w14:textId="77777777" w:rsidR="005B0D45" w:rsidRPr="00B15A07" w:rsidRDefault="005B0D45" w:rsidP="007D1689">
      <w:pPr>
        <w:pStyle w:val="Bullet"/>
        <w:rPr>
          <w:rFonts w:asciiTheme="minorHAnsi" w:hAnsiTheme="minorHAnsi" w:cstheme="minorBidi"/>
        </w:rPr>
      </w:pPr>
      <w:bookmarkStart w:id="236" w:name="_Hlk24576384"/>
      <w:r w:rsidRPr="007D1689">
        <w:t>There is also indirect evidence that children in lower SEIFA areas</w:t>
      </w:r>
      <w:r>
        <w:rPr>
          <w:rFonts w:asciiTheme="minorHAnsi" w:hAnsiTheme="minorHAnsi" w:cstheme="minorBidi"/>
        </w:rPr>
        <w:t xml:space="preserve"> are less likely to participate in a service that is exceeding </w:t>
      </w:r>
      <w:r w:rsidR="00B3772C">
        <w:rPr>
          <w:rFonts w:asciiTheme="minorHAnsi" w:hAnsiTheme="minorHAnsi" w:cstheme="minorBidi"/>
        </w:rPr>
        <w:t>the NQS</w:t>
      </w:r>
      <w:r>
        <w:rPr>
          <w:rFonts w:asciiTheme="minorHAnsi" w:hAnsiTheme="minorHAnsi" w:cstheme="minorBidi"/>
        </w:rPr>
        <w:t xml:space="preserve">. This evidence </w:t>
      </w:r>
      <w:r w:rsidR="007D1689">
        <w:rPr>
          <w:rFonts w:asciiTheme="minorHAnsi" w:hAnsiTheme="minorHAnsi" w:cstheme="minorBidi"/>
        </w:rPr>
        <w:t xml:space="preserve">relates to CBDC </w:t>
      </w:r>
      <w:r>
        <w:rPr>
          <w:rFonts w:asciiTheme="minorHAnsi" w:hAnsiTheme="minorHAnsi" w:cstheme="minorBidi"/>
        </w:rPr>
        <w:t xml:space="preserve">settings in </w:t>
      </w:r>
      <w:r w:rsidR="00277258">
        <w:rPr>
          <w:rFonts w:asciiTheme="minorHAnsi" w:hAnsiTheme="minorHAnsi" w:cstheme="minorBidi"/>
        </w:rPr>
        <w:t>general but</w:t>
      </w:r>
      <w:r>
        <w:rPr>
          <w:rFonts w:asciiTheme="minorHAnsi" w:hAnsiTheme="minorHAnsi" w:cstheme="minorBidi"/>
        </w:rPr>
        <w:t xml:space="preserve"> is very likely to be representative of integrated ECEC services (i</w:t>
      </w:r>
      <w:r w:rsidR="007D1689">
        <w:rPr>
          <w:rFonts w:asciiTheme="minorHAnsi" w:hAnsiTheme="minorHAnsi" w:cstheme="minorBidi"/>
        </w:rPr>
        <w:t>.</w:t>
      </w:r>
      <w:r>
        <w:rPr>
          <w:rFonts w:asciiTheme="minorHAnsi" w:hAnsiTheme="minorHAnsi" w:cstheme="minorBidi"/>
        </w:rPr>
        <w:t>e</w:t>
      </w:r>
      <w:r w:rsidR="007D1689">
        <w:rPr>
          <w:rFonts w:asciiTheme="minorHAnsi" w:hAnsiTheme="minorHAnsi" w:cstheme="minorBidi"/>
        </w:rPr>
        <w:t>. those</w:t>
      </w:r>
      <w:r>
        <w:rPr>
          <w:rFonts w:asciiTheme="minorHAnsi" w:hAnsiTheme="minorHAnsi" w:cstheme="minorBidi"/>
        </w:rPr>
        <w:t xml:space="preserve"> offering preschool for the YBFS) as well. </w:t>
      </w:r>
    </w:p>
    <w:bookmarkEnd w:id="236"/>
    <w:p w14:paraId="3BCA9C5E" w14:textId="77777777" w:rsidR="00E52FF7" w:rsidRDefault="00CD7D78" w:rsidP="00B331C8">
      <w:pPr>
        <w:pStyle w:val="Bullet"/>
        <w:rPr>
          <w:rFonts w:asciiTheme="minorHAnsi" w:hAnsiTheme="minorHAnsi" w:cstheme="minorBidi"/>
        </w:rPr>
      </w:pPr>
      <w:r>
        <w:rPr>
          <w:rFonts w:asciiTheme="minorHAnsi" w:hAnsiTheme="minorHAnsi" w:cstheme="minorBidi"/>
        </w:rPr>
        <w:t xml:space="preserve">The Review recognises that </w:t>
      </w:r>
      <w:r w:rsidR="00485478">
        <w:rPr>
          <w:rFonts w:asciiTheme="minorHAnsi" w:hAnsiTheme="minorHAnsi" w:cstheme="minorBidi"/>
        </w:rPr>
        <w:t xml:space="preserve">all governments </w:t>
      </w:r>
      <w:r w:rsidR="00300349">
        <w:rPr>
          <w:rFonts w:asciiTheme="minorHAnsi" w:hAnsiTheme="minorHAnsi" w:cstheme="minorBidi"/>
        </w:rPr>
        <w:t>have made investments to support improved services generally to these cohorts</w:t>
      </w:r>
      <w:r w:rsidR="007D1689">
        <w:rPr>
          <w:rFonts w:asciiTheme="minorHAnsi" w:hAnsiTheme="minorHAnsi" w:cstheme="minorBidi"/>
        </w:rPr>
        <w:t xml:space="preserve"> and regions</w:t>
      </w:r>
      <w:r w:rsidR="00300349">
        <w:rPr>
          <w:rFonts w:asciiTheme="minorHAnsi" w:hAnsiTheme="minorHAnsi" w:cstheme="minorBidi"/>
        </w:rPr>
        <w:t>, and</w:t>
      </w:r>
      <w:r w:rsidR="007D1689">
        <w:rPr>
          <w:rFonts w:asciiTheme="minorHAnsi" w:hAnsiTheme="minorHAnsi" w:cstheme="minorBidi"/>
        </w:rPr>
        <w:t xml:space="preserve"> that </w:t>
      </w:r>
      <w:r w:rsidR="00300349">
        <w:rPr>
          <w:rFonts w:asciiTheme="minorHAnsi" w:hAnsiTheme="minorHAnsi" w:cstheme="minorBidi"/>
        </w:rPr>
        <w:t xml:space="preserve">this has included supports to improve preschool participation. </w:t>
      </w:r>
      <w:r w:rsidR="00E52FF7">
        <w:rPr>
          <w:rFonts w:asciiTheme="minorHAnsi" w:hAnsiTheme="minorHAnsi" w:cstheme="minorBidi"/>
        </w:rPr>
        <w:t>The objective would be to build on such initiatives where they have proven to be effective.</w:t>
      </w:r>
    </w:p>
    <w:p w14:paraId="0AC6D0B1" w14:textId="77777777" w:rsidR="00045FB7" w:rsidRDefault="00E52FF7" w:rsidP="00B331C8">
      <w:pPr>
        <w:pStyle w:val="Bullet"/>
        <w:rPr>
          <w:rFonts w:asciiTheme="minorHAnsi" w:hAnsiTheme="minorHAnsi" w:cstheme="minorBidi"/>
        </w:rPr>
        <w:sectPr w:rsidR="00045FB7" w:rsidSect="00D2536C">
          <w:headerReference w:type="first" r:id="rId67"/>
          <w:pgSz w:w="11907" w:h="16839" w:code="9"/>
          <w:pgMar w:top="1418" w:right="1418" w:bottom="1701" w:left="1559" w:header="720" w:footer="720" w:gutter="0"/>
          <w:cols w:space="720"/>
          <w:titlePg/>
          <w:docGrid w:linePitch="360"/>
        </w:sectPr>
      </w:pPr>
      <w:r>
        <w:rPr>
          <w:rFonts w:asciiTheme="minorHAnsi" w:hAnsiTheme="minorHAnsi" w:cstheme="minorBidi"/>
        </w:rPr>
        <w:t xml:space="preserve">The Review acknowledges that there is currently </w:t>
      </w:r>
      <w:r w:rsidR="00CD7D78">
        <w:rPr>
          <w:rFonts w:asciiTheme="minorHAnsi" w:hAnsiTheme="minorHAnsi" w:cstheme="minorBidi"/>
        </w:rPr>
        <w:t xml:space="preserve">limited </w:t>
      </w:r>
      <w:r>
        <w:rPr>
          <w:rFonts w:asciiTheme="minorHAnsi" w:hAnsiTheme="minorHAnsi" w:cstheme="minorBidi"/>
        </w:rPr>
        <w:t xml:space="preserve">national </w:t>
      </w:r>
      <w:r w:rsidR="00CD7D78">
        <w:rPr>
          <w:rFonts w:asciiTheme="minorHAnsi" w:hAnsiTheme="minorHAnsi" w:cstheme="minorBidi"/>
        </w:rPr>
        <w:t xml:space="preserve">data on these </w:t>
      </w:r>
      <w:r w:rsidR="007D1689">
        <w:rPr>
          <w:rFonts w:asciiTheme="minorHAnsi" w:hAnsiTheme="minorHAnsi" w:cstheme="minorBidi"/>
        </w:rPr>
        <w:t xml:space="preserve">proposed </w:t>
      </w:r>
      <w:r w:rsidR="00B3772C">
        <w:rPr>
          <w:rFonts w:asciiTheme="minorHAnsi" w:hAnsiTheme="minorHAnsi" w:cstheme="minorBidi"/>
        </w:rPr>
        <w:t xml:space="preserve">additional </w:t>
      </w:r>
      <w:r w:rsidR="007D1689">
        <w:rPr>
          <w:rFonts w:asciiTheme="minorHAnsi" w:hAnsiTheme="minorHAnsi" w:cstheme="minorBidi"/>
        </w:rPr>
        <w:t>target categories of children</w:t>
      </w:r>
      <w:r>
        <w:rPr>
          <w:rFonts w:asciiTheme="minorHAnsi" w:hAnsiTheme="minorHAnsi" w:cstheme="minorBidi"/>
        </w:rPr>
        <w:t xml:space="preserve">, and further </w:t>
      </w:r>
      <w:r w:rsidR="00CD7D78">
        <w:rPr>
          <w:rFonts w:asciiTheme="minorHAnsi" w:hAnsiTheme="minorHAnsi" w:cstheme="minorBidi"/>
        </w:rPr>
        <w:t>investment</w:t>
      </w:r>
      <w:r>
        <w:rPr>
          <w:rFonts w:asciiTheme="minorHAnsi" w:hAnsiTheme="minorHAnsi" w:cstheme="minorBidi"/>
        </w:rPr>
        <w:t xml:space="preserve"> </w:t>
      </w:r>
      <w:r w:rsidR="00CD7D78">
        <w:rPr>
          <w:rFonts w:asciiTheme="minorHAnsi" w:hAnsiTheme="minorHAnsi" w:cstheme="minorBidi"/>
        </w:rPr>
        <w:t xml:space="preserve">may </w:t>
      </w:r>
      <w:r>
        <w:rPr>
          <w:rFonts w:asciiTheme="minorHAnsi" w:hAnsiTheme="minorHAnsi" w:cstheme="minorBidi"/>
        </w:rPr>
        <w:t xml:space="preserve">be </w:t>
      </w:r>
      <w:r w:rsidR="00CD7D78">
        <w:rPr>
          <w:rFonts w:asciiTheme="minorHAnsi" w:hAnsiTheme="minorHAnsi" w:cstheme="minorBidi"/>
        </w:rPr>
        <w:t>need</w:t>
      </w:r>
      <w:r>
        <w:rPr>
          <w:rFonts w:asciiTheme="minorHAnsi" w:hAnsiTheme="minorHAnsi" w:cstheme="minorBidi"/>
        </w:rPr>
        <w:t>ed</w:t>
      </w:r>
      <w:r w:rsidR="00CD7D78">
        <w:rPr>
          <w:rFonts w:asciiTheme="minorHAnsi" w:hAnsiTheme="minorHAnsi" w:cstheme="minorBidi"/>
        </w:rPr>
        <w:t xml:space="preserve"> to </w:t>
      </w:r>
      <w:r w:rsidR="00DD1827">
        <w:rPr>
          <w:rFonts w:asciiTheme="minorHAnsi" w:hAnsiTheme="minorHAnsi" w:cstheme="minorBidi"/>
        </w:rPr>
        <w:t>produce a more robust and comparable data source</w:t>
      </w:r>
      <w:r w:rsidR="00CD7D78">
        <w:rPr>
          <w:rFonts w:asciiTheme="minorHAnsi" w:hAnsiTheme="minorHAnsi" w:cstheme="minorBidi"/>
        </w:rPr>
        <w:t xml:space="preserve">. </w:t>
      </w:r>
      <w:r w:rsidR="00B8243C">
        <w:rPr>
          <w:rFonts w:asciiTheme="minorHAnsi" w:hAnsiTheme="minorHAnsi" w:cstheme="minorBidi"/>
        </w:rPr>
        <w:t>Accordingly,</w:t>
      </w:r>
      <w:r w:rsidR="00CD7D78">
        <w:rPr>
          <w:rFonts w:asciiTheme="minorHAnsi" w:hAnsiTheme="minorHAnsi" w:cstheme="minorBidi"/>
        </w:rPr>
        <w:t xml:space="preserve"> </w:t>
      </w:r>
      <w:r w:rsidR="00DD1827">
        <w:rPr>
          <w:rFonts w:asciiTheme="minorHAnsi" w:hAnsiTheme="minorHAnsi" w:cstheme="minorBidi"/>
        </w:rPr>
        <w:t>governments should proceed with caution in tying funding to</w:t>
      </w:r>
      <w:r w:rsidR="00CD7D78" w:rsidRPr="00CD7D78">
        <w:rPr>
          <w:rFonts w:asciiTheme="minorHAnsi" w:hAnsiTheme="minorHAnsi" w:cstheme="minorBidi"/>
        </w:rPr>
        <w:t xml:space="preserve"> performance measures</w:t>
      </w:r>
      <w:r w:rsidR="00CD7D78">
        <w:rPr>
          <w:rFonts w:asciiTheme="minorHAnsi" w:hAnsiTheme="minorHAnsi" w:cstheme="minorBidi"/>
        </w:rPr>
        <w:t>.</w:t>
      </w:r>
      <w:r w:rsidR="00DD1827">
        <w:rPr>
          <w:rFonts w:asciiTheme="minorHAnsi" w:hAnsiTheme="minorHAnsi" w:cstheme="minorBidi"/>
        </w:rPr>
        <w:t xml:space="preserve"> </w:t>
      </w:r>
      <w:r w:rsidR="00B3772C">
        <w:rPr>
          <w:rFonts w:asciiTheme="minorHAnsi" w:hAnsiTheme="minorHAnsi" w:cstheme="minorBidi"/>
        </w:rPr>
        <w:t xml:space="preserve">However, </w:t>
      </w:r>
      <w:r w:rsidR="00013A84">
        <w:rPr>
          <w:rFonts w:asciiTheme="minorHAnsi" w:hAnsiTheme="minorHAnsi" w:cstheme="minorBidi"/>
        </w:rPr>
        <w:t>S</w:t>
      </w:r>
      <w:r w:rsidR="00B3772C">
        <w:rPr>
          <w:rFonts w:asciiTheme="minorHAnsi" w:hAnsiTheme="minorHAnsi" w:cstheme="minorBidi"/>
        </w:rPr>
        <w:t xml:space="preserve">tates and </w:t>
      </w:r>
      <w:r w:rsidR="00013A84">
        <w:rPr>
          <w:rFonts w:asciiTheme="minorHAnsi" w:hAnsiTheme="minorHAnsi" w:cstheme="minorBidi"/>
        </w:rPr>
        <w:t>T</w:t>
      </w:r>
      <w:r w:rsidR="00B3772C">
        <w:rPr>
          <w:rFonts w:asciiTheme="minorHAnsi" w:hAnsiTheme="minorHAnsi" w:cstheme="minorBidi"/>
        </w:rPr>
        <w:t xml:space="preserve">erritories are encouraged to consider these groups of children in the </w:t>
      </w:r>
      <w:proofErr w:type="gramStart"/>
      <w:r w:rsidR="00DD1827">
        <w:rPr>
          <w:rFonts w:asciiTheme="minorHAnsi" w:hAnsiTheme="minorHAnsi" w:cstheme="minorBidi"/>
        </w:rPr>
        <w:t>bilaterally-negotiated</w:t>
      </w:r>
      <w:proofErr w:type="gramEnd"/>
      <w:r w:rsidR="00DD1827">
        <w:rPr>
          <w:rFonts w:asciiTheme="minorHAnsi" w:hAnsiTheme="minorHAnsi" w:cstheme="minorBidi"/>
        </w:rPr>
        <w:t xml:space="preserve"> implementation plans that agree focus areas and rely on evaluations to indicate the returns on any additional investments.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38732FFF" w14:textId="77777777" w:rsidTr="00045FB7">
        <w:tc>
          <w:tcPr>
            <w:tcW w:w="8930" w:type="dxa"/>
            <w:shd w:val="clear" w:color="auto" w:fill="00264D" w:themeFill="background2"/>
          </w:tcPr>
          <w:p w14:paraId="0840D9AA" w14:textId="77777777" w:rsidR="00C23746" w:rsidRPr="006C71B3" w:rsidRDefault="00C23746" w:rsidP="00C23746">
            <w:pPr>
              <w:pStyle w:val="Longformcallout"/>
              <w:spacing w:before="0"/>
              <w:rPr>
                <w:rFonts w:asciiTheme="minorHAnsi" w:hAnsiTheme="minorHAnsi"/>
                <w:b/>
                <w:color w:val="25B3E0" w:themeColor="accent6"/>
                <w:sz w:val="20"/>
                <w:szCs w:val="20"/>
              </w:rPr>
            </w:pPr>
            <w:bookmarkStart w:id="237" w:name="_Hlk30603457"/>
            <w:r w:rsidRPr="0C5679B2">
              <w:rPr>
                <w:rFonts w:asciiTheme="minorHAnsi" w:hAnsiTheme="minorHAnsi"/>
                <w:b/>
                <w:color w:val="25B3E0" w:themeColor="accent6"/>
                <w:sz w:val="20"/>
                <w:szCs w:val="20"/>
              </w:rPr>
              <w:lastRenderedPageBreak/>
              <w:t xml:space="preserve">KEY FINDING </w:t>
            </w:r>
            <w:r w:rsidR="00E87932">
              <w:rPr>
                <w:rFonts w:asciiTheme="minorHAnsi" w:hAnsiTheme="minorHAnsi"/>
                <w:b/>
                <w:color w:val="25B3E0" w:themeColor="accent6"/>
                <w:sz w:val="20"/>
                <w:szCs w:val="20"/>
              </w:rPr>
              <w:t>1</w:t>
            </w:r>
            <w:r w:rsidR="005F1F4F">
              <w:rPr>
                <w:rFonts w:asciiTheme="minorHAnsi" w:hAnsiTheme="minorHAnsi"/>
                <w:b/>
                <w:color w:val="25B3E0" w:themeColor="accent6"/>
                <w:sz w:val="20"/>
                <w:szCs w:val="20"/>
              </w:rPr>
              <w:t>8</w:t>
            </w:r>
          </w:p>
          <w:p w14:paraId="3AEB0D8C" w14:textId="77777777" w:rsidR="00C23746" w:rsidRDefault="002F1886" w:rsidP="00C23746">
            <w:pPr>
              <w:pStyle w:val="Longformcallout"/>
              <w:spacing w:after="0"/>
              <w:rPr>
                <w:rFonts w:asciiTheme="majorHAnsi" w:hAnsiTheme="majorHAnsi" w:cstheme="majorBidi"/>
                <w:color w:val="FFFFFF" w:themeColor="background1"/>
                <w:sz w:val="20"/>
                <w:szCs w:val="20"/>
              </w:rPr>
            </w:pPr>
            <w:r w:rsidRPr="002F1886">
              <w:rPr>
                <w:rFonts w:asciiTheme="majorHAnsi" w:hAnsiTheme="majorHAnsi" w:cstheme="majorBidi"/>
                <w:color w:val="FFFFFF" w:themeColor="background1"/>
                <w:sz w:val="20"/>
                <w:szCs w:val="20"/>
              </w:rPr>
              <w:t xml:space="preserve">Efforts must continue to improve participation by all children. Successor arrangements to the UANP should include reforms that extend beyond access and availability of services to focus on facilitating attendance and improving program quality where needed. Governments should continue to focus particularly on Indigenous </w:t>
            </w:r>
            <w:r w:rsidR="00485478">
              <w:rPr>
                <w:rFonts w:asciiTheme="majorHAnsi" w:hAnsiTheme="majorHAnsi" w:cstheme="majorBidi"/>
                <w:color w:val="FFFFFF" w:themeColor="background1"/>
                <w:sz w:val="20"/>
                <w:szCs w:val="20"/>
              </w:rPr>
              <w:t xml:space="preserve">children </w:t>
            </w:r>
            <w:r w:rsidRPr="002F1886">
              <w:rPr>
                <w:rFonts w:asciiTheme="majorHAnsi" w:hAnsiTheme="majorHAnsi" w:cstheme="majorBidi"/>
                <w:color w:val="FFFFFF" w:themeColor="background1"/>
                <w:sz w:val="20"/>
                <w:szCs w:val="20"/>
              </w:rPr>
              <w:t>and children experiencing vulnerability and disadvantage, as these target cohorts have lower enrolment rates and much to gain from quality preschool</w:t>
            </w:r>
            <w:r w:rsidR="00853C9F" w:rsidRPr="0C5679B2">
              <w:rPr>
                <w:rFonts w:asciiTheme="majorHAnsi" w:hAnsiTheme="majorHAnsi" w:cstheme="majorBidi"/>
                <w:color w:val="FFFFFF" w:themeColor="background1"/>
                <w:sz w:val="20"/>
                <w:szCs w:val="20"/>
              </w:rPr>
              <w:t>.</w:t>
            </w:r>
          </w:p>
          <w:bookmarkEnd w:id="237"/>
          <w:p w14:paraId="667395F0" w14:textId="77777777" w:rsidR="006E2121" w:rsidRDefault="006E2121" w:rsidP="00C23746">
            <w:pPr>
              <w:pStyle w:val="Longformcallout"/>
              <w:spacing w:after="0"/>
              <w:rPr>
                <w:rFonts w:asciiTheme="majorHAnsi" w:hAnsiTheme="majorHAnsi" w:cstheme="majorHAnsi"/>
                <w:color w:val="FFFFFF" w:themeColor="background1"/>
                <w:sz w:val="20"/>
                <w:szCs w:val="24"/>
              </w:rPr>
            </w:pPr>
          </w:p>
          <w:p w14:paraId="7B4C0F78" w14:textId="77777777" w:rsidR="006E2121" w:rsidRPr="006C71B3" w:rsidRDefault="006E2121" w:rsidP="006E2121">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E87932">
              <w:rPr>
                <w:rFonts w:asciiTheme="minorHAnsi" w:hAnsiTheme="minorHAnsi"/>
                <w:b/>
                <w:color w:val="25B3E0" w:themeColor="accent6"/>
                <w:sz w:val="20"/>
                <w:szCs w:val="20"/>
              </w:rPr>
              <w:t>1</w:t>
            </w:r>
            <w:r w:rsidR="005F1F4F">
              <w:rPr>
                <w:rFonts w:asciiTheme="minorHAnsi" w:hAnsiTheme="minorHAnsi"/>
                <w:b/>
                <w:color w:val="25B3E0" w:themeColor="accent6"/>
                <w:sz w:val="20"/>
                <w:szCs w:val="20"/>
              </w:rPr>
              <w:t>9</w:t>
            </w:r>
          </w:p>
          <w:p w14:paraId="2FFA7564" w14:textId="77777777" w:rsidR="006E2121" w:rsidRDefault="00FC74BE" w:rsidP="006E2121">
            <w:pPr>
              <w:pStyle w:val="Longformcallout"/>
              <w:spacing w:after="0"/>
              <w:rPr>
                <w:rFonts w:asciiTheme="majorHAnsi" w:hAnsiTheme="majorHAnsi" w:cstheme="majorBidi"/>
                <w:color w:val="FFFFFF" w:themeColor="background1"/>
                <w:sz w:val="20"/>
                <w:szCs w:val="20"/>
              </w:rPr>
            </w:pPr>
            <w:bookmarkStart w:id="238" w:name="_Hlk24080322"/>
            <w:r w:rsidRPr="00FC74BE">
              <w:rPr>
                <w:rFonts w:asciiTheme="majorHAnsi" w:hAnsiTheme="majorHAnsi" w:cstheme="majorBidi"/>
                <w:color w:val="FFFFFF" w:themeColor="background1"/>
                <w:sz w:val="20"/>
                <w:szCs w:val="20"/>
              </w:rPr>
              <w:t>Governments should increase focus on: children living in rural and remote areas; those with disabilities and developmental delay; and those from culturally and linguistically diverse backgrounds. This might be expressed through jurisdictional-specific reform commitments, noting that care must be taken in setting targets until robust measures are in place</w:t>
            </w:r>
            <w:r w:rsidR="00DD1827">
              <w:rPr>
                <w:rFonts w:asciiTheme="majorHAnsi" w:hAnsiTheme="majorHAnsi" w:cstheme="majorBidi"/>
                <w:color w:val="FFFFFF" w:themeColor="background1"/>
                <w:sz w:val="20"/>
                <w:szCs w:val="20"/>
              </w:rPr>
              <w:t xml:space="preserve">. </w:t>
            </w:r>
            <w:bookmarkEnd w:id="238"/>
          </w:p>
          <w:p w14:paraId="36764E7A" w14:textId="77777777" w:rsidR="005B0D45" w:rsidRDefault="005B0D45" w:rsidP="006E2121">
            <w:pPr>
              <w:pStyle w:val="Longformcallout"/>
              <w:spacing w:after="0"/>
              <w:rPr>
                <w:rFonts w:asciiTheme="majorHAnsi" w:hAnsiTheme="majorHAnsi" w:cstheme="majorBidi"/>
                <w:color w:val="FFFFFF" w:themeColor="background1"/>
                <w:sz w:val="20"/>
                <w:szCs w:val="20"/>
              </w:rPr>
            </w:pPr>
          </w:p>
          <w:p w14:paraId="73AD6D4B" w14:textId="77777777" w:rsidR="005B0D45" w:rsidRPr="006C71B3" w:rsidRDefault="005B0D45" w:rsidP="005B0D45">
            <w:pPr>
              <w:pStyle w:val="Longformcallout"/>
              <w:spacing w:before="0"/>
              <w:rPr>
                <w:rFonts w:asciiTheme="minorHAnsi" w:hAnsiTheme="minorHAnsi"/>
                <w:b/>
                <w:color w:val="25B3E0" w:themeColor="accent6"/>
                <w:sz w:val="20"/>
                <w:szCs w:val="20"/>
              </w:rPr>
            </w:pPr>
            <w:bookmarkStart w:id="239" w:name="_Hlk24576643"/>
            <w:r w:rsidRPr="0C5679B2">
              <w:rPr>
                <w:rFonts w:asciiTheme="minorHAnsi" w:hAnsiTheme="minorHAnsi"/>
                <w:b/>
                <w:color w:val="25B3E0" w:themeColor="accent6"/>
                <w:sz w:val="20"/>
                <w:szCs w:val="20"/>
              </w:rPr>
              <w:t xml:space="preserve">KEY FINDING </w:t>
            </w:r>
            <w:r>
              <w:rPr>
                <w:rFonts w:asciiTheme="minorHAnsi" w:hAnsiTheme="minorHAnsi"/>
                <w:b/>
                <w:color w:val="25B3E0" w:themeColor="accent6"/>
                <w:sz w:val="20"/>
                <w:szCs w:val="20"/>
              </w:rPr>
              <w:t>20</w:t>
            </w:r>
          </w:p>
          <w:p w14:paraId="5F46C151" w14:textId="77777777" w:rsidR="006E2121" w:rsidRPr="00A01CC7" w:rsidRDefault="005B0D45" w:rsidP="006E2121">
            <w:pPr>
              <w:pStyle w:val="Longformcallout"/>
              <w:spacing w:after="0"/>
              <w:rPr>
                <w:rFonts w:asciiTheme="majorHAnsi" w:hAnsiTheme="majorHAnsi" w:cstheme="majorBidi"/>
                <w:color w:val="FFFFFF" w:themeColor="background1"/>
                <w:sz w:val="20"/>
                <w:szCs w:val="20"/>
              </w:rPr>
            </w:pPr>
            <w:r>
              <w:rPr>
                <w:rFonts w:asciiTheme="majorHAnsi" w:hAnsiTheme="majorHAnsi" w:cstheme="majorBidi"/>
                <w:color w:val="FFFFFF" w:themeColor="background1"/>
                <w:sz w:val="20"/>
                <w:szCs w:val="20"/>
              </w:rPr>
              <w:t xml:space="preserve">Governments should develop better understanding of quality drivers in the range of YBFS preschool services and </w:t>
            </w:r>
            <w:r w:rsidR="00160DF0">
              <w:rPr>
                <w:rFonts w:asciiTheme="majorHAnsi" w:hAnsiTheme="majorHAnsi" w:cstheme="majorBidi"/>
                <w:color w:val="FFFFFF" w:themeColor="background1"/>
                <w:sz w:val="20"/>
                <w:szCs w:val="20"/>
              </w:rPr>
              <w:t xml:space="preserve">develop specific strategies to lift quality in geographic, </w:t>
            </w:r>
            <w:proofErr w:type="gramStart"/>
            <w:r w:rsidR="00160DF0">
              <w:rPr>
                <w:rFonts w:asciiTheme="majorHAnsi" w:hAnsiTheme="majorHAnsi" w:cstheme="majorBidi"/>
                <w:color w:val="FFFFFF" w:themeColor="background1"/>
                <w:sz w:val="20"/>
                <w:szCs w:val="20"/>
              </w:rPr>
              <w:t>sectoral</w:t>
            </w:r>
            <w:proofErr w:type="gramEnd"/>
            <w:r w:rsidR="00160DF0">
              <w:rPr>
                <w:rFonts w:asciiTheme="majorHAnsi" w:hAnsiTheme="majorHAnsi" w:cstheme="majorBidi"/>
                <w:color w:val="FFFFFF" w:themeColor="background1"/>
                <w:sz w:val="20"/>
                <w:szCs w:val="20"/>
              </w:rPr>
              <w:t xml:space="preserve"> or socio-economic environments where it is, on average, more likely to lag.</w:t>
            </w:r>
            <w:bookmarkEnd w:id="239"/>
          </w:p>
        </w:tc>
      </w:tr>
    </w:tbl>
    <w:p w14:paraId="36050EDF" w14:textId="77777777" w:rsidR="00850D61" w:rsidRDefault="00850D61" w:rsidP="00F85AB6">
      <w:pPr>
        <w:pStyle w:val="Heading4"/>
      </w:pPr>
      <w:r>
        <w:t>A National Partnership is the best vehicle for promoting targeted reform</w:t>
      </w:r>
      <w:r w:rsidR="00054034">
        <w:t xml:space="preserve"> for now</w:t>
      </w:r>
    </w:p>
    <w:p w14:paraId="7B18548E" w14:textId="77777777" w:rsidR="00850D61" w:rsidRDefault="00850D61" w:rsidP="00850D61">
      <w:r>
        <w:t>When the first National Partnership for YBFS preschool was agreed</w:t>
      </w:r>
      <w:r w:rsidR="00B27979">
        <w:t xml:space="preserve"> in 2008</w:t>
      </w:r>
      <w:r>
        <w:t xml:space="preserve">, the </w:t>
      </w:r>
      <w:r w:rsidR="00013A84">
        <w:t>A</w:t>
      </w:r>
      <w:r w:rsidR="00B27979">
        <w:t xml:space="preserve">greement stated an </w:t>
      </w:r>
      <w:r>
        <w:t xml:space="preserve">intention to </w:t>
      </w:r>
      <w:r w:rsidR="00B27979">
        <w:t xml:space="preserve">provide </w:t>
      </w:r>
      <w:r>
        <w:t xml:space="preserve">funding </w:t>
      </w:r>
      <w:r w:rsidR="00B27979">
        <w:t>for universal access after 2012-</w:t>
      </w:r>
      <w:r>
        <w:t xml:space="preserve">13 through </w:t>
      </w:r>
      <w:r w:rsidR="00EA2EB4">
        <w:t xml:space="preserve">a </w:t>
      </w:r>
      <w:r>
        <w:t>National Agreement, rather than continue with a National Partnership. The question still arises as to whether a National Agreement would be the more appropriate successor to the current UANP.</w:t>
      </w:r>
    </w:p>
    <w:p w14:paraId="6F70B9BA" w14:textId="77777777" w:rsidR="00850D61" w:rsidRPr="00C167E0" w:rsidRDefault="00B8243C" w:rsidP="00850D61">
      <w:r w:rsidRPr="00C167E0">
        <w:t>A</w:t>
      </w:r>
      <w:r w:rsidR="00850D61" w:rsidRPr="00C167E0">
        <w:t xml:space="preserve"> National Agreement</w:t>
      </w:r>
      <w:r w:rsidRPr="00C167E0">
        <w:t xml:space="preserve"> is </w:t>
      </w:r>
      <w:r w:rsidR="00B27979">
        <w:t>traditionally</w:t>
      </w:r>
      <w:r w:rsidR="00B27979" w:rsidRPr="00C167E0">
        <w:t xml:space="preserve"> </w:t>
      </w:r>
      <w:r w:rsidR="00850D61" w:rsidRPr="00C167E0">
        <w:t xml:space="preserve">accompanied by </w:t>
      </w:r>
      <w:r w:rsidR="00323383" w:rsidRPr="00C167E0">
        <w:t>Specific Purpose Payments</w:t>
      </w:r>
      <w:r w:rsidR="00850D61" w:rsidRPr="00C167E0">
        <w:t xml:space="preserve"> to the States and Territories</w:t>
      </w:r>
      <w:r w:rsidRPr="00C167E0">
        <w:t xml:space="preserve"> that are linked to a set of agreed outcomes in a major area of service delivery</w:t>
      </w:r>
      <w:r w:rsidR="00850D61" w:rsidRPr="00C167E0">
        <w:t>. A variation on this is to have the funding terms and commitments included in legislation</w:t>
      </w:r>
      <w:r w:rsidRPr="00C167E0">
        <w:t xml:space="preserve"> (as is the case with schools funding)</w:t>
      </w:r>
      <w:r w:rsidR="00850D61" w:rsidRPr="00C167E0">
        <w:t>.</w:t>
      </w:r>
    </w:p>
    <w:p w14:paraId="5292155F" w14:textId="77777777" w:rsidR="00850D61" w:rsidRDefault="00850D61" w:rsidP="00850D61">
      <w:pPr>
        <w:spacing w:before="120"/>
      </w:pPr>
      <w:r w:rsidRPr="00C167E0">
        <w:t xml:space="preserve">The case for a National Agreement </w:t>
      </w:r>
      <w:r w:rsidR="00AE2A1C" w:rsidRPr="00C167E0">
        <w:t xml:space="preserve">rather than </w:t>
      </w:r>
      <w:r w:rsidRPr="00C167E0">
        <w:t>a National Partnership centres on:</w:t>
      </w:r>
    </w:p>
    <w:p w14:paraId="494AC0A4" w14:textId="3D93EC58" w:rsidR="00850D61" w:rsidRDefault="00850D61" w:rsidP="00850D61">
      <w:pPr>
        <w:pStyle w:val="Bullet"/>
        <w:numPr>
          <w:ilvl w:val="0"/>
          <w:numId w:val="13"/>
        </w:numPr>
        <w:ind w:left="340" w:hanging="340"/>
        <w:rPr>
          <w:rFonts w:asciiTheme="minorHAnsi" w:hAnsiTheme="minorHAnsi" w:cstheme="minorBidi"/>
        </w:rPr>
      </w:pPr>
      <w:r>
        <w:rPr>
          <w:rFonts w:asciiTheme="minorHAnsi" w:hAnsiTheme="minorHAnsi" w:cstheme="minorBidi"/>
        </w:rPr>
        <w:t xml:space="preserve">A link to </w:t>
      </w:r>
      <w:r w:rsidR="0037746D">
        <w:rPr>
          <w:rFonts w:asciiTheme="minorHAnsi" w:hAnsiTheme="minorHAnsi" w:cstheme="minorBidi"/>
        </w:rPr>
        <w:t xml:space="preserve">a </w:t>
      </w:r>
      <w:r>
        <w:rPr>
          <w:rFonts w:asciiTheme="minorHAnsi" w:hAnsiTheme="minorHAnsi" w:cstheme="minorBidi"/>
        </w:rPr>
        <w:t xml:space="preserve">funding mechanism </w:t>
      </w:r>
      <w:r w:rsidR="00B8243C">
        <w:rPr>
          <w:rFonts w:asciiTheme="minorHAnsi" w:hAnsiTheme="minorHAnsi" w:cstheme="minorBidi"/>
        </w:rPr>
        <w:t>that is</w:t>
      </w:r>
      <w:r w:rsidR="0037746D">
        <w:rPr>
          <w:rFonts w:asciiTheme="minorHAnsi" w:hAnsiTheme="minorHAnsi" w:cstheme="minorBidi"/>
        </w:rPr>
        <w:t xml:space="preserve"> designed to </w:t>
      </w:r>
      <w:r w:rsidR="00B8243C">
        <w:rPr>
          <w:rFonts w:asciiTheme="minorHAnsi" w:hAnsiTheme="minorHAnsi" w:cstheme="minorBidi"/>
        </w:rPr>
        <w:t xml:space="preserve">both </w:t>
      </w:r>
      <w:r w:rsidR="0037746D">
        <w:rPr>
          <w:rFonts w:asciiTheme="minorHAnsi" w:hAnsiTheme="minorHAnsi" w:cstheme="minorBidi"/>
        </w:rPr>
        <w:t xml:space="preserve">deliver an ongoing funding stream and </w:t>
      </w:r>
      <w:r w:rsidR="00B8243C">
        <w:rPr>
          <w:rFonts w:asciiTheme="minorHAnsi" w:hAnsiTheme="minorHAnsi" w:cstheme="minorBidi"/>
        </w:rPr>
        <w:t>enable</w:t>
      </w:r>
      <w:r w:rsidR="00A349E8">
        <w:rPr>
          <w:rFonts w:asciiTheme="minorHAnsi" w:hAnsiTheme="minorHAnsi" w:cstheme="minorBidi"/>
        </w:rPr>
        <w:t xml:space="preserve"> </w:t>
      </w:r>
      <w:r>
        <w:rPr>
          <w:rFonts w:asciiTheme="minorHAnsi" w:hAnsiTheme="minorHAnsi" w:cstheme="minorBidi"/>
        </w:rPr>
        <w:t xml:space="preserve">more flexible use of the funding within the relevant </w:t>
      </w:r>
      <w:r w:rsidR="001B4369">
        <w:rPr>
          <w:rFonts w:asciiTheme="minorHAnsi" w:hAnsiTheme="minorHAnsi" w:cstheme="minorBidi"/>
        </w:rPr>
        <w:t>sector</w:t>
      </w:r>
      <w:r w:rsidR="00C409B6">
        <w:rPr>
          <w:rFonts w:asciiTheme="minorHAnsi" w:hAnsiTheme="minorHAnsi" w:cstheme="minorBidi"/>
        </w:rPr>
        <w:t>.</w:t>
      </w:r>
    </w:p>
    <w:p w14:paraId="53CD3954" w14:textId="6EDECF65" w:rsidR="00850D61" w:rsidRDefault="00850D61" w:rsidP="00850D61">
      <w:pPr>
        <w:pStyle w:val="Bullet"/>
        <w:numPr>
          <w:ilvl w:val="0"/>
          <w:numId w:val="13"/>
        </w:numPr>
        <w:ind w:left="340" w:hanging="340"/>
        <w:rPr>
          <w:rFonts w:asciiTheme="minorHAnsi" w:hAnsiTheme="minorHAnsi" w:cstheme="minorBidi"/>
        </w:rPr>
      </w:pPr>
      <w:r>
        <w:rPr>
          <w:rFonts w:asciiTheme="minorHAnsi" w:hAnsiTheme="minorHAnsi" w:cstheme="minorBidi"/>
        </w:rPr>
        <w:t>The scope</w:t>
      </w:r>
      <w:r w:rsidRPr="00F813A4">
        <w:rPr>
          <w:rFonts w:asciiTheme="minorHAnsi" w:hAnsiTheme="minorHAnsi" w:cstheme="minorBidi"/>
        </w:rPr>
        <w:t xml:space="preserve"> </w:t>
      </w:r>
      <w:r w:rsidR="00B8243C">
        <w:rPr>
          <w:rFonts w:asciiTheme="minorHAnsi" w:hAnsiTheme="minorHAnsi" w:cstheme="minorBidi"/>
        </w:rPr>
        <w:t xml:space="preserve">for the Agreement </w:t>
      </w:r>
      <w:r w:rsidRPr="00F813A4">
        <w:rPr>
          <w:rFonts w:asciiTheme="minorHAnsi" w:hAnsiTheme="minorHAnsi" w:cstheme="minorBidi"/>
        </w:rPr>
        <w:t xml:space="preserve">to </w:t>
      </w:r>
      <w:r w:rsidR="00B8243C">
        <w:rPr>
          <w:rFonts w:asciiTheme="minorHAnsi" w:hAnsiTheme="minorHAnsi" w:cstheme="minorBidi"/>
        </w:rPr>
        <w:t>have</w:t>
      </w:r>
      <w:r w:rsidRPr="00F813A4">
        <w:rPr>
          <w:rFonts w:asciiTheme="minorHAnsi" w:hAnsiTheme="minorHAnsi" w:cstheme="minorBidi"/>
        </w:rPr>
        <w:t xml:space="preserve"> wider</w:t>
      </w:r>
      <w:r w:rsidRPr="00F813A4" w:rsidDel="00B8243C">
        <w:rPr>
          <w:rFonts w:asciiTheme="minorHAnsi" w:hAnsiTheme="minorHAnsi" w:cstheme="minorBidi"/>
        </w:rPr>
        <w:t xml:space="preserve"> </w:t>
      </w:r>
      <w:r w:rsidRPr="00F813A4">
        <w:rPr>
          <w:rFonts w:asciiTheme="minorHAnsi" w:hAnsiTheme="minorHAnsi" w:cstheme="minorBidi"/>
        </w:rPr>
        <w:t xml:space="preserve">coverage </w:t>
      </w:r>
      <w:r>
        <w:rPr>
          <w:rFonts w:asciiTheme="minorHAnsi" w:hAnsiTheme="minorHAnsi" w:cstheme="minorBidi"/>
        </w:rPr>
        <w:t xml:space="preserve">and </w:t>
      </w:r>
      <w:r w:rsidR="00B8243C">
        <w:rPr>
          <w:rFonts w:asciiTheme="minorHAnsi" w:hAnsiTheme="minorHAnsi" w:cstheme="minorBidi"/>
        </w:rPr>
        <w:t xml:space="preserve">to </w:t>
      </w:r>
      <w:r>
        <w:rPr>
          <w:rFonts w:asciiTheme="minorHAnsi" w:hAnsiTheme="minorHAnsi" w:cstheme="minorBidi"/>
        </w:rPr>
        <w:t>auspice a number of separate</w:t>
      </w:r>
      <w:r w:rsidR="00B8243C">
        <w:rPr>
          <w:rFonts w:asciiTheme="minorHAnsi" w:hAnsiTheme="minorHAnsi" w:cstheme="minorBidi"/>
        </w:rPr>
        <w:t>, related</w:t>
      </w:r>
      <w:r>
        <w:rPr>
          <w:rFonts w:asciiTheme="minorHAnsi" w:hAnsiTheme="minorHAnsi" w:cstheme="minorBidi"/>
        </w:rPr>
        <w:t xml:space="preserve"> National Partnership agreements</w:t>
      </w:r>
      <w:r w:rsidR="00C409B6">
        <w:rPr>
          <w:rFonts w:asciiTheme="minorHAnsi" w:hAnsiTheme="minorHAnsi" w:cstheme="minorBidi"/>
        </w:rPr>
        <w:t>.</w:t>
      </w:r>
    </w:p>
    <w:p w14:paraId="031D3EFC" w14:textId="77777777" w:rsidR="00850D61" w:rsidRPr="00571543" w:rsidRDefault="00850D61" w:rsidP="00850D61">
      <w:pPr>
        <w:pStyle w:val="Bullet"/>
        <w:numPr>
          <w:ilvl w:val="0"/>
          <w:numId w:val="13"/>
        </w:numPr>
        <w:ind w:left="340" w:hanging="340"/>
        <w:rPr>
          <w:rFonts w:asciiTheme="minorHAnsi" w:hAnsiTheme="minorHAnsi" w:cstheme="minorBidi"/>
        </w:rPr>
      </w:pPr>
      <w:r>
        <w:t xml:space="preserve">The connection to other larger service delivery systems for which funding is transferred on the basis of a commitment to shared outcomes rather than specific, output- or input- based performance targets. </w:t>
      </w:r>
    </w:p>
    <w:p w14:paraId="1405F981" w14:textId="77777777" w:rsidR="00850D61" w:rsidRDefault="00850D61" w:rsidP="00850D61">
      <w:pPr>
        <w:spacing w:before="120"/>
      </w:pPr>
      <w:r>
        <w:t>Implicit in these</w:t>
      </w:r>
      <w:r w:rsidDel="00B8243C">
        <w:t xml:space="preserve"> </w:t>
      </w:r>
      <w:r w:rsidR="00B8243C">
        <w:t xml:space="preserve">arguments </w:t>
      </w:r>
      <w:r>
        <w:t xml:space="preserve">is that a National Agreement is more enduring and raises the status of early childhood education to a service area of similar stature to the vocational education and training sector, for example. </w:t>
      </w:r>
    </w:p>
    <w:p w14:paraId="444186EF" w14:textId="77777777" w:rsidR="00850D61" w:rsidRDefault="00E413EE" w:rsidP="00850D61">
      <w:pPr>
        <w:spacing w:before="120"/>
      </w:pPr>
      <w:r>
        <w:t>By comparison, t</w:t>
      </w:r>
      <w:r w:rsidR="00850D61">
        <w:t>he case for a National Partnership over a National Agreement centres on the:</w:t>
      </w:r>
    </w:p>
    <w:p w14:paraId="20E24ABB" w14:textId="74C75751" w:rsidR="00850D61" w:rsidRPr="00750C60" w:rsidRDefault="00154B08" w:rsidP="00750C60">
      <w:pPr>
        <w:pStyle w:val="Bullet"/>
        <w:numPr>
          <w:ilvl w:val="0"/>
          <w:numId w:val="13"/>
        </w:numPr>
        <w:ind w:left="340" w:hanging="340"/>
        <w:rPr>
          <w:rFonts w:asciiTheme="minorHAnsi" w:hAnsiTheme="minorHAnsi" w:cstheme="minorBidi"/>
        </w:rPr>
      </w:pPr>
      <w:r>
        <w:rPr>
          <w:rFonts w:asciiTheme="minorHAnsi" w:hAnsiTheme="minorHAnsi" w:cstheme="minorBidi"/>
        </w:rPr>
        <w:t>P</w:t>
      </w:r>
      <w:r w:rsidR="00850D61" w:rsidRPr="00750C60">
        <w:rPr>
          <w:rFonts w:asciiTheme="minorHAnsi" w:hAnsiTheme="minorHAnsi" w:cstheme="minorBidi"/>
        </w:rPr>
        <w:t>rovision of the funding directly t</w:t>
      </w:r>
      <w:r w:rsidR="00054034" w:rsidRPr="00750C60">
        <w:rPr>
          <w:rFonts w:asciiTheme="minorHAnsi" w:hAnsiTheme="minorHAnsi" w:cstheme="minorBidi"/>
        </w:rPr>
        <w:t xml:space="preserve">ied to a </w:t>
      </w:r>
      <w:r w:rsidR="00D94773">
        <w:rPr>
          <w:rFonts w:asciiTheme="minorHAnsi" w:hAnsiTheme="minorHAnsi" w:cstheme="minorBidi"/>
        </w:rPr>
        <w:t>reform</w:t>
      </w:r>
      <w:r w:rsidR="00054034" w:rsidRPr="00750C60">
        <w:rPr>
          <w:rFonts w:asciiTheme="minorHAnsi" w:hAnsiTheme="minorHAnsi" w:cstheme="minorBidi"/>
        </w:rPr>
        <w:t xml:space="preserve">, </w:t>
      </w:r>
      <w:r w:rsidR="00850D61" w:rsidRPr="00750C60">
        <w:rPr>
          <w:rFonts w:asciiTheme="minorHAnsi" w:hAnsiTheme="minorHAnsi" w:cstheme="minorBidi"/>
        </w:rPr>
        <w:t xml:space="preserve">rather than </w:t>
      </w:r>
      <w:r w:rsidR="00054034" w:rsidRPr="00750C60">
        <w:rPr>
          <w:rFonts w:asciiTheme="minorHAnsi" w:hAnsiTheme="minorHAnsi" w:cstheme="minorBidi"/>
        </w:rPr>
        <w:t>potentially reallocated to broader outcome</w:t>
      </w:r>
      <w:r w:rsidR="00E413EE" w:rsidRPr="00750C60">
        <w:rPr>
          <w:rFonts w:asciiTheme="minorHAnsi" w:hAnsiTheme="minorHAnsi" w:cstheme="minorBidi"/>
        </w:rPr>
        <w:t xml:space="preserve"> area</w:t>
      </w:r>
      <w:r w:rsidR="00054034" w:rsidRPr="00750C60">
        <w:rPr>
          <w:rFonts w:asciiTheme="minorHAnsi" w:hAnsiTheme="minorHAnsi" w:cstheme="minorBidi"/>
        </w:rPr>
        <w:t>s</w:t>
      </w:r>
      <w:r w:rsidR="00E413EE" w:rsidRPr="00750C60">
        <w:rPr>
          <w:rFonts w:asciiTheme="minorHAnsi" w:hAnsiTheme="minorHAnsi" w:cstheme="minorBidi"/>
        </w:rPr>
        <w:t xml:space="preserve"> within a portfolio</w:t>
      </w:r>
      <w:r w:rsidR="00C409B6">
        <w:rPr>
          <w:rFonts w:asciiTheme="minorHAnsi" w:hAnsiTheme="minorHAnsi" w:cstheme="minorBidi"/>
        </w:rPr>
        <w:t>.</w:t>
      </w:r>
    </w:p>
    <w:p w14:paraId="24599B7C" w14:textId="1E6DA18F" w:rsidR="00850D61" w:rsidRPr="00750C60" w:rsidRDefault="00154B08" w:rsidP="00750C60">
      <w:pPr>
        <w:pStyle w:val="Bullet"/>
        <w:numPr>
          <w:ilvl w:val="0"/>
          <w:numId w:val="13"/>
        </w:numPr>
        <w:ind w:left="340" w:hanging="340"/>
        <w:rPr>
          <w:rFonts w:asciiTheme="minorHAnsi" w:hAnsiTheme="minorHAnsi" w:cstheme="minorBidi"/>
        </w:rPr>
      </w:pPr>
      <w:r>
        <w:rPr>
          <w:rFonts w:asciiTheme="minorHAnsi" w:hAnsiTheme="minorHAnsi" w:cstheme="minorBidi"/>
        </w:rPr>
        <w:t>T</w:t>
      </w:r>
      <w:r w:rsidR="00850D61" w:rsidRPr="00750C60">
        <w:rPr>
          <w:rFonts w:asciiTheme="minorHAnsi" w:hAnsiTheme="minorHAnsi" w:cstheme="minorBidi"/>
        </w:rPr>
        <w:t xml:space="preserve">endency to use National Partnerships of this kind (i.e. </w:t>
      </w:r>
      <w:r w:rsidR="00054034" w:rsidRPr="00750C60">
        <w:rPr>
          <w:rFonts w:asciiTheme="minorHAnsi" w:hAnsiTheme="minorHAnsi" w:cstheme="minorBidi"/>
        </w:rPr>
        <w:t xml:space="preserve">reform-oriented National Partnership </w:t>
      </w:r>
      <w:r w:rsidR="00850D61" w:rsidRPr="00750C60">
        <w:rPr>
          <w:rFonts w:asciiTheme="minorHAnsi" w:hAnsiTheme="minorHAnsi" w:cstheme="minorBidi"/>
        </w:rPr>
        <w:t xml:space="preserve">as distinct from </w:t>
      </w:r>
      <w:r w:rsidR="00054034" w:rsidRPr="00750C60">
        <w:rPr>
          <w:rFonts w:asciiTheme="minorHAnsi" w:hAnsiTheme="minorHAnsi" w:cstheme="minorBidi"/>
        </w:rPr>
        <w:t>those</w:t>
      </w:r>
      <w:r w:rsidR="00850D61" w:rsidRPr="00750C60">
        <w:rPr>
          <w:rFonts w:asciiTheme="minorHAnsi" w:hAnsiTheme="minorHAnsi" w:cstheme="minorBidi"/>
        </w:rPr>
        <w:t xml:space="preserve"> that fund </w:t>
      </w:r>
      <w:r w:rsidR="00054034" w:rsidRPr="00750C60">
        <w:rPr>
          <w:rFonts w:asciiTheme="minorHAnsi" w:hAnsiTheme="minorHAnsi" w:cstheme="minorBidi"/>
        </w:rPr>
        <w:t>specified</w:t>
      </w:r>
      <w:r w:rsidR="00333403" w:rsidRPr="00750C60">
        <w:rPr>
          <w:rFonts w:asciiTheme="minorHAnsi" w:hAnsiTheme="minorHAnsi" w:cstheme="minorBidi"/>
        </w:rPr>
        <w:t xml:space="preserve"> </w:t>
      </w:r>
      <w:r w:rsidR="00850D61" w:rsidRPr="00750C60">
        <w:rPr>
          <w:rFonts w:asciiTheme="minorHAnsi" w:hAnsiTheme="minorHAnsi" w:cstheme="minorBidi"/>
        </w:rPr>
        <w:t xml:space="preserve">projects) to drive targeted </w:t>
      </w:r>
      <w:r w:rsidR="00054034" w:rsidRPr="00750C60">
        <w:rPr>
          <w:rFonts w:asciiTheme="minorHAnsi" w:hAnsiTheme="minorHAnsi" w:cstheme="minorBidi"/>
        </w:rPr>
        <w:t>effort and service delivery improvement</w:t>
      </w:r>
      <w:r w:rsidR="00850D61" w:rsidRPr="00750C60">
        <w:rPr>
          <w:rFonts w:asciiTheme="minorHAnsi" w:hAnsiTheme="minorHAnsi" w:cstheme="minorBidi"/>
        </w:rPr>
        <w:t xml:space="preserve">, including through incorporation of </w:t>
      </w:r>
      <w:r w:rsidR="00277258" w:rsidRPr="00750C60">
        <w:rPr>
          <w:rFonts w:asciiTheme="minorHAnsi" w:hAnsiTheme="minorHAnsi" w:cstheme="minorBidi"/>
        </w:rPr>
        <w:t>performance</w:t>
      </w:r>
      <w:r w:rsidR="00277258">
        <w:rPr>
          <w:rFonts w:asciiTheme="minorHAnsi" w:hAnsiTheme="minorHAnsi" w:cstheme="minorBidi"/>
        </w:rPr>
        <w:t>-based</w:t>
      </w:r>
      <w:r w:rsidR="00850D61" w:rsidRPr="00750C60">
        <w:rPr>
          <w:rFonts w:asciiTheme="minorHAnsi" w:hAnsiTheme="minorHAnsi" w:cstheme="minorBidi"/>
        </w:rPr>
        <w:t xml:space="preserve"> triggers for funding</w:t>
      </w:r>
      <w:r w:rsidR="00C409B6">
        <w:rPr>
          <w:rFonts w:asciiTheme="minorHAnsi" w:hAnsiTheme="minorHAnsi" w:cstheme="minorBidi"/>
        </w:rPr>
        <w:t>.</w:t>
      </w:r>
    </w:p>
    <w:p w14:paraId="1CAEBCB1" w14:textId="199BF486" w:rsidR="00850D61" w:rsidRPr="00750C60" w:rsidRDefault="00154B08" w:rsidP="00750C60">
      <w:pPr>
        <w:pStyle w:val="Bullet"/>
        <w:numPr>
          <w:ilvl w:val="0"/>
          <w:numId w:val="13"/>
        </w:numPr>
        <w:ind w:left="340" w:hanging="340"/>
        <w:rPr>
          <w:rFonts w:asciiTheme="minorHAnsi" w:hAnsiTheme="minorHAnsi" w:cstheme="minorBidi"/>
        </w:rPr>
      </w:pPr>
      <w:r>
        <w:rPr>
          <w:rFonts w:asciiTheme="minorHAnsi" w:hAnsiTheme="minorHAnsi" w:cstheme="minorBidi"/>
        </w:rPr>
        <w:lastRenderedPageBreak/>
        <w:t>O</w:t>
      </w:r>
      <w:r w:rsidR="00850D61" w:rsidRPr="00750C60">
        <w:rPr>
          <w:rFonts w:asciiTheme="minorHAnsi" w:hAnsiTheme="minorHAnsi" w:cstheme="minorBidi"/>
        </w:rPr>
        <w:t>pportunity to build in matching requirements or similar (noting that this could also be done via a legislative mechanism potentially, although this would be a much more involved process)</w:t>
      </w:r>
      <w:r w:rsidR="008671E7" w:rsidRPr="00750C60">
        <w:rPr>
          <w:rFonts w:asciiTheme="minorHAnsi" w:hAnsiTheme="minorHAnsi" w:cstheme="minorBidi"/>
        </w:rPr>
        <w:t>.</w:t>
      </w:r>
    </w:p>
    <w:p w14:paraId="76898134" w14:textId="77777777" w:rsidR="00850D61" w:rsidRDefault="00850D61" w:rsidP="00850D61">
      <w:r w:rsidRPr="00F71EAE">
        <w:t xml:space="preserve">The Review finds that there </w:t>
      </w:r>
      <w:r w:rsidR="00E413EE">
        <w:t>is</w:t>
      </w:r>
      <w:r w:rsidRPr="00F71EAE">
        <w:t xml:space="preserve"> a sound argument for </w:t>
      </w:r>
      <w:r w:rsidR="00E413EE">
        <w:t xml:space="preserve">moving to </w:t>
      </w:r>
      <w:r w:rsidRPr="00F71EAE">
        <w:t xml:space="preserve">a National Agreement </w:t>
      </w:r>
      <w:r>
        <w:t>but that it is not practical or appropriate to pursue this as an option in the short term. There are several reasons for this:</w:t>
      </w:r>
    </w:p>
    <w:p w14:paraId="142E9CDB" w14:textId="77777777" w:rsidR="00850D61" w:rsidRPr="004B0210" w:rsidRDefault="00850D61" w:rsidP="001C3D79">
      <w:pPr>
        <w:pStyle w:val="Bullet"/>
        <w:numPr>
          <w:ilvl w:val="0"/>
          <w:numId w:val="29"/>
        </w:numPr>
        <w:rPr>
          <w:rFonts w:asciiTheme="minorHAnsi" w:hAnsiTheme="minorHAnsi" w:cstheme="minorBidi"/>
        </w:rPr>
      </w:pPr>
      <w:r w:rsidRPr="004B0210">
        <w:rPr>
          <w:rFonts w:asciiTheme="minorHAnsi" w:hAnsiTheme="minorHAnsi" w:cstheme="minorBidi"/>
        </w:rPr>
        <w:t xml:space="preserve">There does not yet appear to be a </w:t>
      </w:r>
      <w:r w:rsidR="00E93ACA" w:rsidRPr="004B0210">
        <w:rPr>
          <w:rFonts w:asciiTheme="minorHAnsi" w:hAnsiTheme="minorHAnsi" w:cstheme="minorBidi"/>
        </w:rPr>
        <w:t xml:space="preserve">full </w:t>
      </w:r>
      <w:r w:rsidRPr="004B0210">
        <w:rPr>
          <w:rFonts w:asciiTheme="minorHAnsi" w:hAnsiTheme="minorHAnsi" w:cstheme="minorBidi"/>
        </w:rPr>
        <w:t xml:space="preserve">consensus at the national level to negotiate a National Agreement at this time, and such a consensus would be required to complete negotiations without risking further funding uncertainty. </w:t>
      </w:r>
    </w:p>
    <w:p w14:paraId="5B4445DD" w14:textId="77777777" w:rsidR="00054034" w:rsidRPr="004B0210" w:rsidRDefault="00054034" w:rsidP="001C3D79">
      <w:pPr>
        <w:pStyle w:val="Bullet"/>
        <w:numPr>
          <w:ilvl w:val="0"/>
          <w:numId w:val="29"/>
        </w:numPr>
        <w:rPr>
          <w:rFonts w:asciiTheme="minorHAnsi" w:hAnsiTheme="minorHAnsi" w:cstheme="minorBidi"/>
        </w:rPr>
      </w:pPr>
      <w:r w:rsidRPr="004B0210">
        <w:rPr>
          <w:rFonts w:asciiTheme="minorHAnsi" w:hAnsiTheme="minorHAnsi" w:cstheme="minorBidi"/>
        </w:rPr>
        <w:t>Considerable time would be required to develop and agree a National Agreement (even if there were unanimous commitment to one)</w:t>
      </w:r>
      <w:r w:rsidR="00B9530A" w:rsidRPr="004B0210">
        <w:rPr>
          <w:rFonts w:asciiTheme="minorHAnsi" w:hAnsiTheme="minorHAnsi" w:cstheme="minorBidi"/>
        </w:rPr>
        <w:t>. Moreover, should it be accompanied by a legislative mechanism</w:t>
      </w:r>
      <w:r w:rsidR="00C167E0">
        <w:rPr>
          <w:rFonts w:asciiTheme="minorHAnsi" w:hAnsiTheme="minorHAnsi" w:cstheme="minorBidi"/>
        </w:rPr>
        <w:t>,</w:t>
      </w:r>
      <w:r w:rsidR="00B9530A" w:rsidRPr="004B0210">
        <w:rPr>
          <w:rFonts w:asciiTheme="minorHAnsi" w:hAnsiTheme="minorHAnsi" w:cstheme="minorBidi"/>
        </w:rPr>
        <w:t xml:space="preserve"> there would be a complex and lengthy set of processes to follow to negotiate the text and secure passage through parliament.</w:t>
      </w:r>
    </w:p>
    <w:p w14:paraId="653913FD" w14:textId="77777777" w:rsidR="00850D61" w:rsidRPr="004B0210" w:rsidRDefault="00850D61" w:rsidP="001C3D79">
      <w:pPr>
        <w:pStyle w:val="Bullet"/>
        <w:numPr>
          <w:ilvl w:val="0"/>
          <w:numId w:val="29"/>
        </w:numPr>
        <w:rPr>
          <w:rFonts w:asciiTheme="minorHAnsi" w:hAnsiTheme="minorHAnsi" w:cstheme="minorBidi"/>
        </w:rPr>
      </w:pPr>
      <w:r w:rsidRPr="004B0210">
        <w:rPr>
          <w:rFonts w:asciiTheme="minorHAnsi" w:hAnsiTheme="minorHAnsi" w:cstheme="minorBidi"/>
        </w:rPr>
        <w:t>There remain key areas of targeted reform, alongside the ongoing service delivery, that arguably do lend themselves to a different (i.e. reward-based) payment structure.</w:t>
      </w:r>
    </w:p>
    <w:p w14:paraId="59C0AF8B" w14:textId="77777777" w:rsidR="00850D61" w:rsidRPr="004B0210" w:rsidRDefault="00C167E0" w:rsidP="001C3D79">
      <w:pPr>
        <w:pStyle w:val="Bullet"/>
        <w:numPr>
          <w:ilvl w:val="0"/>
          <w:numId w:val="29"/>
        </w:numPr>
        <w:rPr>
          <w:rFonts w:asciiTheme="minorHAnsi" w:hAnsiTheme="minorHAnsi" w:cstheme="minorBidi"/>
        </w:rPr>
      </w:pPr>
      <w:r>
        <w:rPr>
          <w:rFonts w:asciiTheme="minorHAnsi" w:hAnsiTheme="minorHAnsi" w:cstheme="minorBidi"/>
        </w:rPr>
        <w:t>I</w:t>
      </w:r>
      <w:r w:rsidR="00850D61" w:rsidRPr="004B0210">
        <w:rPr>
          <w:rFonts w:asciiTheme="minorHAnsi" w:hAnsiTheme="minorHAnsi" w:cstheme="minorBidi"/>
        </w:rPr>
        <w:t>t is important for all jurisdictions to understand, in a quantifiable sense, what difference that funding under a National Agreement is making. Such outcome measures are not yet available for YBFS preschool.</w:t>
      </w:r>
    </w:p>
    <w:p w14:paraId="501B5125" w14:textId="77777777" w:rsidR="00850D61" w:rsidRPr="004B0210" w:rsidRDefault="00850D61" w:rsidP="001C3D79">
      <w:pPr>
        <w:pStyle w:val="Bullet"/>
        <w:numPr>
          <w:ilvl w:val="0"/>
          <w:numId w:val="29"/>
        </w:numPr>
        <w:rPr>
          <w:rFonts w:asciiTheme="minorHAnsi" w:hAnsiTheme="minorHAnsi" w:cstheme="minorBidi"/>
        </w:rPr>
      </w:pPr>
      <w:r w:rsidRPr="004B0210">
        <w:rPr>
          <w:rFonts w:asciiTheme="minorHAnsi" w:hAnsiTheme="minorHAnsi" w:cstheme="minorBidi"/>
        </w:rPr>
        <w:t xml:space="preserve">While the use of different funding instruments has evolved and continues to evolve, an agreement that focuses narrowly on one age cohort would seem out-of-kilter with the scale and scope of National Agreements past and present. </w:t>
      </w:r>
    </w:p>
    <w:p w14:paraId="4304D6A0" w14:textId="77777777" w:rsidR="003340FB" w:rsidRDefault="00E274EE" w:rsidP="00F85AB6">
      <w:pPr>
        <w:pStyle w:val="Heading4"/>
      </w:pPr>
      <w:r>
        <w:t>A s</w:t>
      </w:r>
      <w:r w:rsidR="00713708">
        <w:t>uccessor a</w:t>
      </w:r>
      <w:r w:rsidR="0037746D">
        <w:t xml:space="preserve">greement </w:t>
      </w:r>
      <w:r w:rsidR="00A349E8">
        <w:t xml:space="preserve">to the UANP </w:t>
      </w:r>
      <w:r w:rsidR="0037746D">
        <w:t>should be of a much longer duration</w:t>
      </w:r>
    </w:p>
    <w:p w14:paraId="2BAA9E54" w14:textId="77777777" w:rsidR="00713708" w:rsidRDefault="006379FF" w:rsidP="006379FF">
      <w:pPr>
        <w:rPr>
          <w:rFonts w:asciiTheme="minorHAnsi" w:hAnsiTheme="minorHAnsi"/>
        </w:rPr>
      </w:pPr>
      <w:r>
        <w:t xml:space="preserve">The </w:t>
      </w:r>
      <w:r w:rsidR="00CF23F4">
        <w:t xml:space="preserve">Review finds that </w:t>
      </w:r>
      <w:r>
        <w:t xml:space="preserve">the issue of funding uncertainty attached to the investment from the </w:t>
      </w:r>
      <w:r w:rsidR="00EE07A5">
        <w:t xml:space="preserve">Australian Government </w:t>
      </w:r>
      <w:r>
        <w:t xml:space="preserve">is real and important. </w:t>
      </w:r>
      <w:r w:rsidR="005C6992" w:rsidRPr="005C6992">
        <w:t>It not only affects the ability to plan</w:t>
      </w:r>
      <w:r w:rsidR="00870CBB">
        <w:t>;</w:t>
      </w:r>
      <w:r w:rsidR="005C6992" w:rsidRPr="005C6992">
        <w:t xml:space="preserve"> it stifles innovation and improvement as there is a reluctance to start something new when the necessary investment may be short-lived. </w:t>
      </w:r>
      <w:r w:rsidR="005C6992">
        <w:t>Funding</w:t>
      </w:r>
      <w:r w:rsidR="000A0D66">
        <w:t xml:space="preserve"> uncertainty relates </w:t>
      </w:r>
      <w:r w:rsidR="0037746D">
        <w:t>in particular t</w:t>
      </w:r>
      <w:r w:rsidR="005C6992">
        <w:t xml:space="preserve">o </w:t>
      </w:r>
      <w:r w:rsidRPr="0C5679B2">
        <w:rPr>
          <w:rFonts w:asciiTheme="minorHAnsi" w:hAnsiTheme="minorHAnsi"/>
        </w:rPr>
        <w:t xml:space="preserve">the duration of the </w:t>
      </w:r>
      <w:r w:rsidR="005C6992">
        <w:rPr>
          <w:rFonts w:asciiTheme="minorHAnsi" w:hAnsiTheme="minorHAnsi"/>
        </w:rPr>
        <w:t>UANP</w:t>
      </w:r>
      <w:r w:rsidRPr="0C5679B2">
        <w:rPr>
          <w:rFonts w:asciiTheme="minorHAnsi" w:hAnsiTheme="minorHAnsi"/>
        </w:rPr>
        <w:t xml:space="preserve">. </w:t>
      </w:r>
    </w:p>
    <w:p w14:paraId="4B88CD10" w14:textId="77777777" w:rsidR="006E4F37" w:rsidRDefault="006379FF" w:rsidP="006379FF">
      <w:r>
        <w:t xml:space="preserve">Accordingly, the Review is sympathetic to arguments from stakeholders that </w:t>
      </w:r>
      <w:r w:rsidRPr="006379FF">
        <w:t xml:space="preserve">any new </w:t>
      </w:r>
      <w:r w:rsidR="005C6992">
        <w:t xml:space="preserve">National Partnership </w:t>
      </w:r>
      <w:r w:rsidRPr="006379FF">
        <w:t xml:space="preserve">should guarantee funding for a minimum of four </w:t>
      </w:r>
      <w:r w:rsidR="00432398">
        <w:t xml:space="preserve">or five </w:t>
      </w:r>
      <w:r w:rsidRPr="006379FF">
        <w:t>years</w:t>
      </w:r>
      <w:r w:rsidR="006E4F37">
        <w:t xml:space="preserve">. </w:t>
      </w:r>
    </w:p>
    <w:p w14:paraId="5A2FC2C4" w14:textId="77777777" w:rsidR="006E4F37" w:rsidRPr="006E4F37" w:rsidRDefault="006E4F37" w:rsidP="006E4F37">
      <w:pPr>
        <w:rPr>
          <w:rFonts w:asciiTheme="minorHAnsi" w:hAnsiTheme="minorHAnsi"/>
        </w:rPr>
      </w:pPr>
      <w:r>
        <w:t>The Review finds that l</w:t>
      </w:r>
      <w:r w:rsidRPr="0C5679B2">
        <w:rPr>
          <w:rFonts w:asciiTheme="minorHAnsi" w:hAnsiTheme="minorHAnsi"/>
        </w:rPr>
        <w:t>onger-term arrangements could improve progress towards the UANP objectives by:</w:t>
      </w:r>
    </w:p>
    <w:p w14:paraId="754FBEE1" w14:textId="0E766740" w:rsidR="006E4F37" w:rsidRPr="006E4F37" w:rsidRDefault="004B69A5" w:rsidP="006E4F37">
      <w:pPr>
        <w:pStyle w:val="Bullet"/>
        <w:numPr>
          <w:ilvl w:val="0"/>
          <w:numId w:val="13"/>
        </w:numPr>
        <w:ind w:left="340" w:hanging="340"/>
        <w:rPr>
          <w:rFonts w:asciiTheme="minorHAnsi" w:hAnsiTheme="minorHAnsi" w:cstheme="minorBidi"/>
        </w:rPr>
      </w:pPr>
      <w:r>
        <w:rPr>
          <w:rFonts w:asciiTheme="minorHAnsi" w:hAnsiTheme="minorHAnsi" w:cstheme="minorBidi"/>
        </w:rPr>
        <w:t>e</w:t>
      </w:r>
      <w:r w:rsidR="006E4F37" w:rsidRPr="0C5679B2">
        <w:rPr>
          <w:rFonts w:asciiTheme="minorHAnsi" w:hAnsiTheme="minorHAnsi" w:cstheme="minorBidi"/>
        </w:rPr>
        <w:t>nabling service providers to plan, innovate and retain staff</w:t>
      </w:r>
    </w:p>
    <w:p w14:paraId="0F5AAA3D" w14:textId="620E11E9" w:rsidR="006E4F37" w:rsidRPr="006E4F37" w:rsidRDefault="004B69A5" w:rsidP="006E4F37">
      <w:pPr>
        <w:pStyle w:val="Bullet"/>
        <w:numPr>
          <w:ilvl w:val="0"/>
          <w:numId w:val="13"/>
        </w:numPr>
        <w:ind w:left="340" w:hanging="340"/>
        <w:rPr>
          <w:rFonts w:asciiTheme="minorHAnsi" w:hAnsiTheme="minorHAnsi" w:cstheme="minorBidi"/>
        </w:rPr>
      </w:pPr>
      <w:r>
        <w:rPr>
          <w:rFonts w:asciiTheme="minorHAnsi" w:hAnsiTheme="minorHAnsi" w:cstheme="minorBidi"/>
        </w:rPr>
        <w:t>r</w:t>
      </w:r>
      <w:r w:rsidR="006E4F37" w:rsidRPr="0C5679B2">
        <w:rPr>
          <w:rFonts w:asciiTheme="minorHAnsi" w:hAnsiTheme="minorHAnsi" w:cstheme="minorBidi"/>
        </w:rPr>
        <w:t>educing the risk for States and Territories in investing and undertaking long-term, more ambitious reforms</w:t>
      </w:r>
    </w:p>
    <w:p w14:paraId="24419A3D" w14:textId="21ED6AED" w:rsidR="006E4F37" w:rsidRDefault="004B69A5" w:rsidP="006E4F37">
      <w:pPr>
        <w:pStyle w:val="Bullet"/>
        <w:numPr>
          <w:ilvl w:val="0"/>
          <w:numId w:val="13"/>
        </w:numPr>
        <w:ind w:left="340" w:hanging="340"/>
        <w:rPr>
          <w:rFonts w:asciiTheme="minorHAnsi" w:hAnsiTheme="minorHAnsi" w:cstheme="minorBidi"/>
        </w:rPr>
      </w:pPr>
      <w:r>
        <w:rPr>
          <w:rFonts w:asciiTheme="minorHAnsi" w:hAnsiTheme="minorHAnsi" w:cstheme="minorBidi"/>
        </w:rPr>
        <w:t>m</w:t>
      </w:r>
      <w:r w:rsidR="006E4F37" w:rsidRPr="0C5679B2">
        <w:rPr>
          <w:rFonts w:asciiTheme="minorHAnsi" w:hAnsiTheme="minorHAnsi" w:cstheme="minorBidi"/>
        </w:rPr>
        <w:t xml:space="preserve">aking it easier for governments to pursue higher-level outcomes such as early learning and development and transition to school. </w:t>
      </w:r>
    </w:p>
    <w:p w14:paraId="03C6D2DB" w14:textId="77777777" w:rsidR="00133C8A" w:rsidRDefault="00243791" w:rsidP="006E4F37">
      <w:r>
        <w:t xml:space="preserve">The case for five years rests on the need for more time to resolve data issues and improve outcome measures (discussed </w:t>
      </w:r>
      <w:r w:rsidR="001C0FC0">
        <w:t xml:space="preserve">in </w:t>
      </w:r>
      <w:r w:rsidR="008F7577">
        <w:t>Chapter</w:t>
      </w:r>
      <w:r w:rsidR="008F7577" w:rsidRPr="00272ABB">
        <w:t xml:space="preserve"> </w:t>
      </w:r>
      <w:r w:rsidR="00D51CA6">
        <w:t>6.3</w:t>
      </w:r>
      <w:r w:rsidR="001C0FC0">
        <w:t xml:space="preserve"> </w:t>
      </w:r>
      <w:r>
        <w:t xml:space="preserve">below). It also allows for the accumulation of one more year of data to inform trend analysis, </w:t>
      </w:r>
      <w:r w:rsidR="00E413EE">
        <w:t xml:space="preserve">while </w:t>
      </w:r>
      <w:r>
        <w:t>minimis</w:t>
      </w:r>
      <w:r w:rsidR="00E413EE">
        <w:t>ing</w:t>
      </w:r>
      <w:r>
        <w:t xml:space="preserve"> the risks of a short-term extension.</w:t>
      </w:r>
      <w:r w:rsidR="00040626">
        <w:t xml:space="preserve"> </w:t>
      </w:r>
    </w:p>
    <w:p w14:paraId="7D93D3FA" w14:textId="77777777" w:rsidR="00E413EE" w:rsidRDefault="00E413EE" w:rsidP="006E4F37">
      <w:r>
        <w:t xml:space="preserve">The Review does not have a strong view on whether the next National Partnership agreement should be of four or five years’ duration but leans to the latter position, primarily because there is a range of proposed work to be done during that period – details of which are reflected in findings below. </w:t>
      </w:r>
    </w:p>
    <w:p w14:paraId="2B381568" w14:textId="77777777" w:rsidR="00A349E8" w:rsidRDefault="00A349E8" w:rsidP="006E4F37">
      <w:r>
        <w:t xml:space="preserve">That further work includes doing the groundwork to move towards a National Agreement, possibly with related legislation. In this context, the next National Partnership should </w:t>
      </w:r>
      <w:r w:rsidR="00277258">
        <w:t>be</w:t>
      </w:r>
      <w:r>
        <w:t xml:space="preserve"> a bridge to a new funding mechanism that provides for more enduring funding of preschool in the YBFS</w:t>
      </w:r>
      <w:r w:rsidR="0051049D">
        <w:t>.</w:t>
      </w:r>
    </w:p>
    <w:p w14:paraId="219A0CBA" w14:textId="77777777" w:rsidR="00DB1CE7" w:rsidRDefault="00A349E8" w:rsidP="00DB1CE7">
      <w:pPr>
        <w:pStyle w:val="Heading4"/>
      </w:pPr>
      <w:r>
        <w:lastRenderedPageBreak/>
        <w:t xml:space="preserve">Governments </w:t>
      </w:r>
      <w:r w:rsidR="00DB1CE7">
        <w:t xml:space="preserve">should </w:t>
      </w:r>
      <w:r>
        <w:t xml:space="preserve">commit now to </w:t>
      </w:r>
      <w:r w:rsidR="00DB1CE7">
        <w:t xml:space="preserve">move towards a National Agreement </w:t>
      </w:r>
      <w:r>
        <w:t xml:space="preserve">for preschool in the YBFS </w:t>
      </w:r>
      <w:r w:rsidR="00DB1CE7">
        <w:t>in the medium</w:t>
      </w:r>
      <w:r>
        <w:t xml:space="preserve"> </w:t>
      </w:r>
      <w:r w:rsidR="00DB1CE7">
        <w:t>term</w:t>
      </w:r>
    </w:p>
    <w:p w14:paraId="2DE6FC29" w14:textId="77777777" w:rsidR="00E93ACA" w:rsidRDefault="00C11896" w:rsidP="00E93ACA">
      <w:r>
        <w:t xml:space="preserve">Notwithstanding the </w:t>
      </w:r>
      <w:r w:rsidR="00DB1CE7">
        <w:t xml:space="preserve">reasons </w:t>
      </w:r>
      <w:r>
        <w:t xml:space="preserve">cited for </w:t>
      </w:r>
      <w:r w:rsidR="00DB1CE7">
        <w:t>why it would not be appropriate to pursue a National Agreement in the immediate future</w:t>
      </w:r>
      <w:r>
        <w:t xml:space="preserve">, </w:t>
      </w:r>
      <w:r w:rsidR="00E93ACA">
        <w:t xml:space="preserve">there are strong arguments for a National Agreement to come into force upon expiration of the next (ideally a five-year) National Partnership. These include the fact that, assuming the findings of this Review are acted upon, data and measurement would have improved and, most specifically, new outcome metrics would have been developed. </w:t>
      </w:r>
    </w:p>
    <w:p w14:paraId="11647A67" w14:textId="77777777" w:rsidR="00E93ACA" w:rsidRDefault="00E93ACA" w:rsidP="00E93ACA">
      <w:r>
        <w:t xml:space="preserve">Reasons for committing to develop a National Agreement to succeed the next UANP </w:t>
      </w:r>
      <w:r w:rsidR="00CE5422">
        <w:t>are that</w:t>
      </w:r>
      <w:r>
        <w:t>:</w:t>
      </w:r>
    </w:p>
    <w:p w14:paraId="56B87C29" w14:textId="2381975C" w:rsidR="00CE5422" w:rsidRPr="004B0210" w:rsidRDefault="00CE5422" w:rsidP="004B0210">
      <w:pPr>
        <w:pStyle w:val="Bullet"/>
        <w:numPr>
          <w:ilvl w:val="0"/>
          <w:numId w:val="13"/>
        </w:numPr>
        <w:ind w:left="340" w:hanging="340"/>
        <w:rPr>
          <w:rFonts w:asciiTheme="minorHAnsi" w:hAnsiTheme="minorHAnsi" w:cstheme="minorBidi"/>
        </w:rPr>
      </w:pPr>
      <w:r w:rsidRPr="004B0210">
        <w:rPr>
          <w:rFonts w:asciiTheme="minorHAnsi" w:hAnsiTheme="minorHAnsi" w:cstheme="minorBidi"/>
        </w:rPr>
        <w:t>Work can commence</w:t>
      </w:r>
      <w:r w:rsidR="00E93ACA" w:rsidRPr="004B0210">
        <w:rPr>
          <w:rFonts w:asciiTheme="minorHAnsi" w:hAnsiTheme="minorHAnsi" w:cstheme="minorBidi"/>
        </w:rPr>
        <w:t xml:space="preserve"> sooner rather than later to develop the broad terms and consider whether the funding mechanism will be </w:t>
      </w:r>
      <w:r w:rsidRPr="004B0210">
        <w:rPr>
          <w:rFonts w:asciiTheme="minorHAnsi" w:hAnsiTheme="minorHAnsi" w:cstheme="minorBidi"/>
        </w:rPr>
        <w:t xml:space="preserve">legislation-based. </w:t>
      </w:r>
      <w:r w:rsidR="00A21019" w:rsidRPr="004B0210">
        <w:rPr>
          <w:rFonts w:asciiTheme="minorHAnsi" w:hAnsiTheme="minorHAnsi" w:cstheme="minorBidi"/>
        </w:rPr>
        <w:t>This</w:t>
      </w:r>
      <w:r w:rsidRPr="004B0210">
        <w:rPr>
          <w:rFonts w:asciiTheme="minorHAnsi" w:hAnsiTheme="minorHAnsi" w:cstheme="minorBidi"/>
        </w:rPr>
        <w:t xml:space="preserve"> process will likely take </w:t>
      </w:r>
      <w:r w:rsidR="00DC3DF8">
        <w:rPr>
          <w:rFonts w:asciiTheme="minorHAnsi" w:hAnsiTheme="minorHAnsi" w:cstheme="minorBidi"/>
        </w:rPr>
        <w:t>two or three</w:t>
      </w:r>
      <w:r w:rsidRPr="004B0210">
        <w:rPr>
          <w:rFonts w:asciiTheme="minorHAnsi" w:hAnsiTheme="minorHAnsi" w:cstheme="minorBidi"/>
        </w:rPr>
        <w:t xml:space="preserve"> years.</w:t>
      </w:r>
    </w:p>
    <w:p w14:paraId="7E801A51" w14:textId="6EDBAA69" w:rsidR="00CE5422" w:rsidRPr="004B0210" w:rsidRDefault="00CE5422" w:rsidP="004B0210">
      <w:pPr>
        <w:pStyle w:val="Bullet"/>
        <w:numPr>
          <w:ilvl w:val="0"/>
          <w:numId w:val="13"/>
        </w:numPr>
        <w:ind w:left="340" w:hanging="340"/>
        <w:rPr>
          <w:rFonts w:asciiTheme="minorHAnsi" w:hAnsiTheme="minorHAnsi" w:cstheme="minorBidi"/>
        </w:rPr>
      </w:pPr>
      <w:r w:rsidRPr="004B0210">
        <w:rPr>
          <w:rFonts w:asciiTheme="minorHAnsi" w:hAnsiTheme="minorHAnsi" w:cstheme="minorBidi"/>
        </w:rPr>
        <w:t>An end can be put to speculation on this matter and the sector will enjoy the certainty that it strongly desires</w:t>
      </w:r>
      <w:r w:rsidR="00C409B6">
        <w:rPr>
          <w:rFonts w:asciiTheme="minorHAnsi" w:hAnsiTheme="minorHAnsi" w:cstheme="minorBidi"/>
        </w:rPr>
        <w:t>.</w:t>
      </w:r>
    </w:p>
    <w:p w14:paraId="137E8512" w14:textId="77777777" w:rsidR="00CE5422" w:rsidRPr="004B0210" w:rsidRDefault="00CE5422" w:rsidP="004B0210">
      <w:pPr>
        <w:pStyle w:val="Bullet"/>
        <w:numPr>
          <w:ilvl w:val="0"/>
          <w:numId w:val="13"/>
        </w:numPr>
        <w:ind w:left="340" w:hanging="340"/>
        <w:rPr>
          <w:rFonts w:asciiTheme="minorHAnsi" w:hAnsiTheme="minorHAnsi" w:cstheme="minorBidi"/>
        </w:rPr>
      </w:pPr>
      <w:r w:rsidRPr="004B0210">
        <w:rPr>
          <w:rFonts w:asciiTheme="minorHAnsi" w:hAnsiTheme="minorHAnsi" w:cstheme="minorBidi"/>
        </w:rPr>
        <w:t>It would be a powerful signal of governments’ enduring commitment to preschool in the YBFS, in line with the Early Learning Reform Principles</w:t>
      </w:r>
      <w:r w:rsidR="004B0210">
        <w:rPr>
          <w:rFonts w:asciiTheme="minorHAnsi" w:hAnsiTheme="minorHAnsi" w:cstheme="minorBidi"/>
        </w:rPr>
        <w:t>.</w:t>
      </w:r>
    </w:p>
    <w:p w14:paraId="77C3CFE3" w14:textId="77777777" w:rsidR="0037746D" w:rsidRDefault="00FE54B2" w:rsidP="00C83476">
      <w:pPr>
        <w:pStyle w:val="Bullet"/>
        <w:spacing w:after="240"/>
      </w:pPr>
      <w:r>
        <w:t>The Review notes that a move to a National Agreement might generate an opportunity to consider an alternative funding model, including one more aligned to a ‘needs-based’ formula.</w:t>
      </w:r>
      <w:r w:rsidR="00A21019">
        <w:t xml:space="preserve"> This is discussed further below.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040626" w14:paraId="306EDD70" w14:textId="77777777" w:rsidTr="00494894">
        <w:tc>
          <w:tcPr>
            <w:tcW w:w="8818" w:type="dxa"/>
            <w:shd w:val="clear" w:color="auto" w:fill="00264D" w:themeFill="background2"/>
          </w:tcPr>
          <w:p w14:paraId="2E0B3B31" w14:textId="77777777" w:rsidR="00040626" w:rsidRPr="006C71B3" w:rsidRDefault="00040626" w:rsidP="00494894">
            <w:pPr>
              <w:pStyle w:val="Longformcallout"/>
              <w:spacing w:before="0"/>
              <w:rPr>
                <w:rFonts w:asciiTheme="minorHAnsi" w:hAnsiTheme="minorHAnsi"/>
                <w:b/>
                <w:color w:val="25B3E0" w:themeColor="accent6"/>
                <w:sz w:val="20"/>
                <w:szCs w:val="20"/>
              </w:rPr>
            </w:pPr>
            <w:bookmarkStart w:id="240" w:name="_Hlk24077205"/>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1</w:t>
            </w:r>
          </w:p>
          <w:p w14:paraId="7FEA86DC" w14:textId="3D9875B8" w:rsidR="00040626" w:rsidRDefault="00040626" w:rsidP="00494894">
            <w:pPr>
              <w:pStyle w:val="Longformcallout"/>
              <w:spacing w:after="0"/>
              <w:rPr>
                <w:rFonts w:asciiTheme="majorHAnsi" w:hAnsiTheme="majorHAnsi" w:cstheme="majorBidi"/>
                <w:color w:val="FFFFFF" w:themeColor="background1"/>
                <w:sz w:val="20"/>
                <w:szCs w:val="20"/>
              </w:rPr>
            </w:pPr>
            <w:r>
              <w:rPr>
                <w:rFonts w:asciiTheme="majorHAnsi" w:hAnsiTheme="majorHAnsi" w:cstheme="majorBidi"/>
                <w:color w:val="FFFFFF" w:themeColor="background1"/>
                <w:sz w:val="20"/>
                <w:szCs w:val="20"/>
              </w:rPr>
              <w:t xml:space="preserve">Governments should </w:t>
            </w:r>
            <w:r w:rsidR="00A21019">
              <w:rPr>
                <w:rFonts w:asciiTheme="majorHAnsi" w:hAnsiTheme="majorHAnsi" w:cstheme="majorBidi"/>
                <w:color w:val="FFFFFF" w:themeColor="background1"/>
                <w:sz w:val="20"/>
                <w:szCs w:val="20"/>
              </w:rPr>
              <w:t xml:space="preserve">agree in-principle to </w:t>
            </w:r>
            <w:r w:rsidR="00750595">
              <w:rPr>
                <w:rFonts w:asciiTheme="majorHAnsi" w:hAnsiTheme="majorHAnsi" w:cstheme="majorBidi"/>
                <w:color w:val="FFFFFF" w:themeColor="background1"/>
                <w:sz w:val="20"/>
                <w:szCs w:val="20"/>
              </w:rPr>
              <w:t>move towards a National Agreement pertaining to preschool in the YBFS</w:t>
            </w:r>
            <w:r w:rsidR="00A21019">
              <w:rPr>
                <w:rFonts w:asciiTheme="majorHAnsi" w:hAnsiTheme="majorHAnsi" w:cstheme="majorBidi"/>
                <w:color w:val="FFFFFF" w:themeColor="background1"/>
                <w:sz w:val="20"/>
                <w:szCs w:val="20"/>
              </w:rPr>
              <w:t xml:space="preserve">, potentially underpinned by legislation. </w:t>
            </w:r>
            <w:r w:rsidR="007A0ABF" w:rsidRPr="007A0ABF">
              <w:rPr>
                <w:rFonts w:asciiTheme="majorHAnsi" w:hAnsiTheme="majorHAnsi" w:cstheme="majorBidi"/>
                <w:color w:val="FFFFFF" w:themeColor="background1"/>
                <w:sz w:val="20"/>
                <w:szCs w:val="20"/>
              </w:rPr>
              <w:t>The commitment should be for a new set of arrangements to be in effect from 202</w:t>
            </w:r>
            <w:r w:rsidR="00726DA6">
              <w:rPr>
                <w:rFonts w:asciiTheme="majorHAnsi" w:hAnsiTheme="majorHAnsi" w:cstheme="majorBidi"/>
                <w:color w:val="FFFFFF" w:themeColor="background1"/>
                <w:sz w:val="20"/>
                <w:szCs w:val="20"/>
              </w:rPr>
              <w:t>6</w:t>
            </w:r>
            <w:r w:rsidR="007A0ABF" w:rsidRPr="007A0ABF">
              <w:rPr>
                <w:rFonts w:asciiTheme="majorHAnsi" w:hAnsiTheme="majorHAnsi" w:cstheme="majorBidi"/>
                <w:color w:val="FFFFFF" w:themeColor="background1"/>
                <w:sz w:val="20"/>
                <w:szCs w:val="20"/>
              </w:rPr>
              <w:t xml:space="preserve"> at the latest</w:t>
            </w:r>
            <w:r w:rsidR="00750595">
              <w:rPr>
                <w:rFonts w:asciiTheme="majorHAnsi" w:hAnsiTheme="majorHAnsi" w:cstheme="majorBidi"/>
                <w:color w:val="FFFFFF" w:themeColor="background1"/>
                <w:sz w:val="20"/>
                <w:szCs w:val="20"/>
              </w:rPr>
              <w:t>.</w:t>
            </w:r>
          </w:p>
          <w:p w14:paraId="6344B1BC" w14:textId="77777777" w:rsidR="00750595" w:rsidRDefault="00750595" w:rsidP="00494894">
            <w:pPr>
              <w:pStyle w:val="Longformcallout"/>
              <w:spacing w:after="0"/>
              <w:rPr>
                <w:rFonts w:asciiTheme="majorHAnsi" w:hAnsiTheme="majorHAnsi" w:cstheme="majorBidi"/>
                <w:color w:val="FFFFFF" w:themeColor="background1"/>
                <w:sz w:val="20"/>
                <w:szCs w:val="20"/>
              </w:rPr>
            </w:pPr>
          </w:p>
          <w:p w14:paraId="5D637766" w14:textId="77777777" w:rsidR="00750595" w:rsidRPr="006C71B3" w:rsidRDefault="00750595" w:rsidP="00750595">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2</w:t>
            </w:r>
          </w:p>
          <w:p w14:paraId="4BE878CB" w14:textId="1CE8F0C2" w:rsidR="00750595" w:rsidRPr="00B51FA0" w:rsidRDefault="00750595" w:rsidP="00494894">
            <w:pPr>
              <w:pStyle w:val="Longformcallout"/>
              <w:spacing w:after="0"/>
              <w:rPr>
                <w:rFonts w:asciiTheme="majorHAnsi" w:hAnsiTheme="majorHAnsi" w:cstheme="majorBidi"/>
                <w:color w:val="FFFFFF" w:themeColor="background1"/>
                <w:sz w:val="20"/>
                <w:szCs w:val="20"/>
              </w:rPr>
            </w:pPr>
            <w:r w:rsidRPr="00750595">
              <w:rPr>
                <w:rFonts w:asciiTheme="majorHAnsi" w:hAnsiTheme="majorHAnsi" w:cstheme="majorBidi"/>
                <w:color w:val="FFFFFF" w:themeColor="background1"/>
                <w:sz w:val="20"/>
                <w:szCs w:val="20"/>
              </w:rPr>
              <w:t xml:space="preserve">A National Partnership is the most practicable form of agreement </w:t>
            </w:r>
            <w:r>
              <w:rPr>
                <w:rFonts w:asciiTheme="majorHAnsi" w:hAnsiTheme="majorHAnsi" w:cstheme="majorBidi"/>
                <w:color w:val="FFFFFF" w:themeColor="background1"/>
                <w:sz w:val="20"/>
                <w:szCs w:val="20"/>
              </w:rPr>
              <w:t>to replace the current UANP in the short term</w:t>
            </w:r>
            <w:r w:rsidRPr="00750595">
              <w:rPr>
                <w:rFonts w:asciiTheme="majorHAnsi" w:hAnsiTheme="majorHAnsi" w:cstheme="majorBidi"/>
                <w:color w:val="FFFFFF" w:themeColor="background1"/>
                <w:sz w:val="20"/>
                <w:szCs w:val="20"/>
              </w:rPr>
              <w:t xml:space="preserve">. A new National Partnership agreement should be of five years’ duration in order to work through a range of proposed reform priorities and lay the foundation for new, more enduring funding arrangements from </w:t>
            </w:r>
            <w:r w:rsidR="00726DA6" w:rsidRPr="00750595">
              <w:rPr>
                <w:rFonts w:asciiTheme="majorHAnsi" w:hAnsiTheme="majorHAnsi" w:cstheme="majorBidi"/>
                <w:color w:val="FFFFFF" w:themeColor="background1"/>
                <w:sz w:val="20"/>
                <w:szCs w:val="20"/>
              </w:rPr>
              <w:t>202</w:t>
            </w:r>
            <w:r w:rsidR="00726DA6">
              <w:rPr>
                <w:rFonts w:asciiTheme="majorHAnsi" w:hAnsiTheme="majorHAnsi" w:cstheme="majorBidi"/>
                <w:color w:val="FFFFFF" w:themeColor="background1"/>
                <w:sz w:val="20"/>
                <w:szCs w:val="20"/>
              </w:rPr>
              <w:t>6</w:t>
            </w:r>
            <w:r w:rsidRPr="00750595">
              <w:rPr>
                <w:rFonts w:asciiTheme="majorHAnsi" w:hAnsiTheme="majorHAnsi" w:cstheme="majorBidi"/>
                <w:color w:val="FFFFFF" w:themeColor="background1"/>
                <w:sz w:val="20"/>
                <w:szCs w:val="20"/>
              </w:rPr>
              <w:t>.</w:t>
            </w:r>
          </w:p>
        </w:tc>
      </w:tr>
    </w:tbl>
    <w:bookmarkEnd w:id="240"/>
    <w:p w14:paraId="2831D56D" w14:textId="77777777" w:rsidR="00CB01B1" w:rsidRDefault="00B61193" w:rsidP="00B51FA0">
      <w:pPr>
        <w:pStyle w:val="Heading4"/>
      </w:pPr>
      <w:r>
        <w:t xml:space="preserve">To the extent there are </w:t>
      </w:r>
      <w:r w:rsidR="00277258">
        <w:t>performance-based</w:t>
      </w:r>
      <w:r w:rsidR="00CB01B1">
        <w:t xml:space="preserve"> </w:t>
      </w:r>
      <w:r>
        <w:t xml:space="preserve">terms in a </w:t>
      </w:r>
      <w:r w:rsidR="00DF7AA3">
        <w:t xml:space="preserve">new </w:t>
      </w:r>
      <w:r w:rsidR="00A21019">
        <w:t>National Partner</w:t>
      </w:r>
      <w:r w:rsidR="00750595">
        <w:t>sh</w:t>
      </w:r>
      <w:r w:rsidR="00A21019">
        <w:t>ip</w:t>
      </w:r>
      <w:r>
        <w:t>, they should not put the majority of funding at risk</w:t>
      </w:r>
    </w:p>
    <w:p w14:paraId="1AD571DE" w14:textId="77777777" w:rsidR="0025650E" w:rsidRDefault="00A21019" w:rsidP="006E4F37">
      <w:r>
        <w:t xml:space="preserve">National Partnerships are intended to promote service delivery improvement as well as targeted reform. </w:t>
      </w:r>
      <w:r w:rsidR="0025650E">
        <w:t xml:space="preserve">In tracing the arc of development of preschool in the YBFS, it is evident that the first phases involved a great deal of new policy initiatives, new programs and new governance arrangements to monitor the system and adapt accordingly. More recently, the focus has been on continuous improvement, accompanied by targeted reforms to improve attendance, including among the target cohorts. This shift in focus – from sector reform to service delivery improvement – has not been matched with a similar re-alignment of a reward-based component versus an ongoing ‘service delivery’ component. </w:t>
      </w:r>
    </w:p>
    <w:p w14:paraId="097E1F21" w14:textId="77777777" w:rsidR="002E0911" w:rsidRDefault="0025650E" w:rsidP="006E4F37">
      <w:r>
        <w:t xml:space="preserve">Why is this important? </w:t>
      </w:r>
      <w:r w:rsidR="006E4F37">
        <w:t xml:space="preserve">The </w:t>
      </w:r>
      <w:r w:rsidR="00B61193">
        <w:t>Review has noted that an</w:t>
      </w:r>
      <w:r w:rsidR="006E4F37">
        <w:t xml:space="preserve"> aspect of funding uncertainty is the proportion of funding tied to performance</w:t>
      </w:r>
      <w:r w:rsidR="002E0911">
        <w:t xml:space="preserve"> (i.e. 70 per cent)</w:t>
      </w:r>
      <w:r w:rsidR="006E4F37">
        <w:t xml:space="preserve">. </w:t>
      </w:r>
      <w:r w:rsidR="00DD1827">
        <w:t xml:space="preserve">This issue does not loom so large as the question of funding agreement duration, for there are tiered payment </w:t>
      </w:r>
      <w:r w:rsidR="002E0911">
        <w:t>arrangements in place that avoid an ‘all-or-nothing’ outcome from the reward-based component. It is a</w:t>
      </w:r>
      <w:r w:rsidR="00A21019">
        <w:t>n issue</w:t>
      </w:r>
      <w:r w:rsidR="002E0911" w:rsidDel="00A21019">
        <w:t xml:space="preserve"> </w:t>
      </w:r>
      <w:r w:rsidR="002E0911">
        <w:t xml:space="preserve">for States and Territories, however, particularly when the data or measurement methodology related to a target is contested. </w:t>
      </w:r>
    </w:p>
    <w:p w14:paraId="467CE16C" w14:textId="77777777" w:rsidR="001B74FF" w:rsidRDefault="002E0911" w:rsidP="006E4F37">
      <w:r>
        <w:lastRenderedPageBreak/>
        <w:t>The concern is that, wherever</w:t>
      </w:r>
      <w:r w:rsidR="006E4F37">
        <w:t xml:space="preserve"> funding is </w:t>
      </w:r>
      <w:r>
        <w:t xml:space="preserve">highly </w:t>
      </w:r>
      <w:r w:rsidR="004675B7">
        <w:t>dependent on performance (which is subject to measurement challenges)</w:t>
      </w:r>
      <w:r w:rsidR="006E4F37">
        <w:t xml:space="preserve">, it is difficult for </w:t>
      </w:r>
      <w:r w:rsidR="001B74FF">
        <w:t>State and Territor</w:t>
      </w:r>
      <w:r w:rsidR="00D94773">
        <w:t>ies</w:t>
      </w:r>
      <w:r w:rsidR="001B74FF">
        <w:t xml:space="preserve"> </w:t>
      </w:r>
      <w:r w:rsidR="006E4F37">
        <w:t xml:space="preserve">to </w:t>
      </w:r>
      <w:r w:rsidR="001B74FF">
        <w:t xml:space="preserve">support significant co-investment in reform for fear that the </w:t>
      </w:r>
      <w:r w:rsidR="00E629F4" w:rsidRPr="0C5679B2">
        <w:rPr>
          <w:rFonts w:asciiTheme="minorHAnsi" w:hAnsiTheme="minorHAnsi"/>
        </w:rPr>
        <w:t>Australian Government</w:t>
      </w:r>
      <w:r w:rsidR="001B74FF" w:rsidRPr="0C5679B2">
        <w:rPr>
          <w:rFonts w:asciiTheme="minorHAnsi" w:hAnsiTheme="minorHAnsi"/>
        </w:rPr>
        <w:t xml:space="preserve"> </w:t>
      </w:r>
      <w:r w:rsidR="001B74FF">
        <w:t>contribution will not be forthcoming</w:t>
      </w:r>
      <w:r>
        <w:t xml:space="preserve"> and the jurisdiction concerned will be left to carry all the risk</w:t>
      </w:r>
      <w:r w:rsidR="001B74FF">
        <w:t xml:space="preserve">. As discussed in </w:t>
      </w:r>
      <w:r w:rsidR="008C7B3E">
        <w:t>Chapter</w:t>
      </w:r>
      <w:r w:rsidR="001B74FF">
        <w:t xml:space="preserve"> </w:t>
      </w:r>
      <w:r w:rsidR="00771DB7">
        <w:t>5</w:t>
      </w:r>
      <w:r w:rsidR="001B74FF">
        <w:t xml:space="preserve">, this is a deliberate tension; </w:t>
      </w:r>
      <w:r w:rsidR="008C7B3E">
        <w:t>performance payments represent</w:t>
      </w:r>
      <w:r w:rsidR="001B74FF">
        <w:t xml:space="preserve"> an incentive to mobilise systems to change, and </w:t>
      </w:r>
      <w:r w:rsidR="008C7B3E">
        <w:t>this</w:t>
      </w:r>
      <w:r w:rsidR="001B74FF">
        <w:t xml:space="preserve"> has proven a useful strategy in the past with respect to introducing universal access to preschool and driving other nationally-agreed reforms. However, as noted, the Review has not seen any evidence of any desire or intent to ease back on </w:t>
      </w:r>
      <w:proofErr w:type="gramStart"/>
      <w:r w:rsidR="001B74FF">
        <w:t>jurisdictionally-based</w:t>
      </w:r>
      <w:proofErr w:type="gramEnd"/>
      <w:r w:rsidR="001B74FF">
        <w:t xml:space="preserve"> reform efforts. The Early Learning Reform </w:t>
      </w:r>
      <w:r w:rsidR="008C7B3E">
        <w:t>P</w:t>
      </w:r>
      <w:r w:rsidR="001B74FF">
        <w:t xml:space="preserve">rinciples make clear that early childhood education and care remain priorities, and this is reflected in </w:t>
      </w:r>
      <w:r w:rsidR="00576FEB">
        <w:t>S</w:t>
      </w:r>
      <w:r w:rsidR="001B74FF">
        <w:t xml:space="preserve">tate- and </w:t>
      </w:r>
      <w:r w:rsidR="00576FEB">
        <w:t>T</w:t>
      </w:r>
      <w:r w:rsidR="001B74FF">
        <w:t xml:space="preserve">erritory-level policy pronouncements. </w:t>
      </w:r>
    </w:p>
    <w:p w14:paraId="3FE0BB0F" w14:textId="77777777" w:rsidR="00956951" w:rsidRDefault="00956951" w:rsidP="006E4F37">
      <w:r>
        <w:t xml:space="preserve">Such policy commitments, and the track record of co-investment to date, lead the Review to conclude that a future funding agreement does not need to be so heavily skewed toward </w:t>
      </w:r>
      <w:r w:rsidR="00277258">
        <w:t>performance-based</w:t>
      </w:r>
      <w:r>
        <w:t xml:space="preserve"> payments.</w:t>
      </w:r>
      <w:r w:rsidR="00750595">
        <w:t xml:space="preserve"> </w:t>
      </w:r>
      <w:r>
        <w:t xml:space="preserve">Removing some of the anxiety about meeting a </w:t>
      </w:r>
      <w:r w:rsidR="00236507">
        <w:t>target</w:t>
      </w:r>
      <w:r>
        <w:t xml:space="preserve">, which will inevitably be somewhat arbitrary and imperfect, should embolden even more innovative responses to tackling the remaining, more complex challenges associated with lifting participation by all eligible children and the quality of service provision. </w:t>
      </w:r>
      <w:r w:rsidR="002E0911">
        <w:t>(</w:t>
      </w:r>
      <w:r>
        <w:t>This is particularly likely if the duration of the agreement is lengthened to four</w:t>
      </w:r>
      <w:r w:rsidR="00A21019">
        <w:t xml:space="preserve"> or five</w:t>
      </w:r>
      <w:r>
        <w:t xml:space="preserve"> years.</w:t>
      </w:r>
      <w:r w:rsidR="002E0911">
        <w:t>)</w:t>
      </w:r>
    </w:p>
    <w:p w14:paraId="2B750B96" w14:textId="77777777" w:rsidR="00A678B0" w:rsidRPr="006379FF" w:rsidRDefault="00956951" w:rsidP="009138D0">
      <w:pPr>
        <w:spacing w:after="240"/>
      </w:pPr>
      <w:r>
        <w:t xml:space="preserve">None of this is to argue </w:t>
      </w:r>
      <w:r w:rsidR="00812291">
        <w:t>that there should be any diminution in the scrutiny of the returns being realised from investment into preschool in the YBFS by all levels of government. On the contrary, the more tightly focused the reform element of a future intergovernmental agreement in this area becomes, the more granular the data collection needs to be</w:t>
      </w:r>
      <w:r w:rsidR="0025650E">
        <w:t xml:space="preserve"> (though care must be taken to ensure that targets are not so granular as to become hard-to-measure)</w:t>
      </w:r>
      <w:r w:rsidR="00812291">
        <w:t>. Similarly, the more that investment into such reforms grows, the more rigorous governments need to be in evaluating impacts.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7C0BFDF7" w14:textId="77777777" w:rsidTr="00C23746">
        <w:tc>
          <w:tcPr>
            <w:tcW w:w="8818" w:type="dxa"/>
            <w:shd w:val="clear" w:color="auto" w:fill="00264D" w:themeFill="background2"/>
          </w:tcPr>
          <w:p w14:paraId="444A4ADD" w14:textId="77777777" w:rsidR="004E6A18" w:rsidRPr="006C71B3" w:rsidRDefault="004E6A18" w:rsidP="004E6A18">
            <w:pPr>
              <w:pStyle w:val="Longformcallout"/>
              <w:spacing w:before="0"/>
              <w:rPr>
                <w:rFonts w:asciiTheme="minorHAnsi" w:hAnsiTheme="minorHAnsi"/>
                <w:b/>
                <w:color w:val="25B3E0" w:themeColor="accent6"/>
                <w:sz w:val="20"/>
                <w:szCs w:val="20"/>
              </w:rPr>
            </w:pPr>
            <w:bookmarkStart w:id="241" w:name="_Hlk24075398"/>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3</w:t>
            </w:r>
          </w:p>
          <w:p w14:paraId="7126E429" w14:textId="77777777" w:rsidR="00C23746" w:rsidRPr="00030D73" w:rsidRDefault="00812291" w:rsidP="00C23746">
            <w:pPr>
              <w:pStyle w:val="Longformcallout"/>
              <w:spacing w:after="0"/>
              <w:rPr>
                <w:rFonts w:asciiTheme="majorHAnsi" w:hAnsiTheme="majorHAnsi" w:cstheme="majorBidi"/>
                <w:sz w:val="24"/>
                <w:szCs w:val="24"/>
              </w:rPr>
            </w:pPr>
            <w:r w:rsidRPr="0C5679B2">
              <w:rPr>
                <w:rFonts w:asciiTheme="majorHAnsi" w:hAnsiTheme="majorHAnsi" w:cstheme="majorBidi"/>
                <w:color w:val="FFFFFF" w:themeColor="background1"/>
                <w:sz w:val="20"/>
                <w:szCs w:val="20"/>
              </w:rPr>
              <w:t>To further promote innovation</w:t>
            </w:r>
            <w:r w:rsidR="002D446D" w:rsidRPr="0C5679B2">
              <w:rPr>
                <w:rFonts w:asciiTheme="majorHAnsi" w:hAnsiTheme="majorHAnsi" w:cstheme="majorBidi"/>
                <w:color w:val="FFFFFF" w:themeColor="background1"/>
                <w:sz w:val="20"/>
                <w:szCs w:val="20"/>
              </w:rPr>
              <w:t xml:space="preserve"> that is associated with higher levels of funding certainty</w:t>
            </w:r>
            <w:r w:rsidRPr="0C5679B2">
              <w:rPr>
                <w:rFonts w:asciiTheme="majorHAnsi" w:hAnsiTheme="majorHAnsi" w:cstheme="majorBidi"/>
                <w:color w:val="FFFFFF" w:themeColor="background1"/>
                <w:sz w:val="20"/>
                <w:szCs w:val="20"/>
              </w:rPr>
              <w:t xml:space="preserve">, and </w:t>
            </w:r>
            <w:r w:rsidR="002D446D" w:rsidRPr="0C5679B2">
              <w:rPr>
                <w:rFonts w:asciiTheme="majorHAnsi" w:hAnsiTheme="majorHAnsi" w:cstheme="majorBidi"/>
                <w:color w:val="FFFFFF" w:themeColor="background1"/>
                <w:sz w:val="20"/>
                <w:szCs w:val="20"/>
              </w:rPr>
              <w:t xml:space="preserve">in recognition of the </w:t>
            </w:r>
            <w:r w:rsidRPr="0C5679B2">
              <w:rPr>
                <w:rFonts w:asciiTheme="majorHAnsi" w:hAnsiTheme="majorHAnsi" w:cstheme="majorBidi"/>
                <w:color w:val="FFFFFF" w:themeColor="background1"/>
                <w:sz w:val="20"/>
                <w:szCs w:val="20"/>
              </w:rPr>
              <w:t>clear</w:t>
            </w:r>
            <w:r w:rsidR="002D446D" w:rsidRPr="0C5679B2">
              <w:rPr>
                <w:rFonts w:asciiTheme="majorHAnsi" w:hAnsiTheme="majorHAnsi" w:cstheme="majorBidi"/>
                <w:color w:val="FFFFFF" w:themeColor="background1"/>
                <w:sz w:val="20"/>
                <w:szCs w:val="20"/>
              </w:rPr>
              <w:t>ly</w:t>
            </w:r>
            <w:r w:rsidRPr="0C5679B2">
              <w:rPr>
                <w:rFonts w:asciiTheme="majorHAnsi" w:hAnsiTheme="majorHAnsi" w:cstheme="majorBidi"/>
                <w:color w:val="FFFFFF" w:themeColor="background1"/>
                <w:sz w:val="20"/>
                <w:szCs w:val="20"/>
              </w:rPr>
              <w:t xml:space="preserve"> stated commitments by all governments to </w:t>
            </w:r>
            <w:r w:rsidR="002D446D" w:rsidRPr="0C5679B2">
              <w:rPr>
                <w:rFonts w:asciiTheme="majorHAnsi" w:hAnsiTheme="majorHAnsi" w:cstheme="majorBidi"/>
                <w:color w:val="FFFFFF" w:themeColor="background1"/>
                <w:sz w:val="20"/>
                <w:szCs w:val="20"/>
              </w:rPr>
              <w:t>the early childhood education agenda, fu</w:t>
            </w:r>
            <w:r w:rsidRPr="0C5679B2">
              <w:rPr>
                <w:rFonts w:asciiTheme="majorHAnsi" w:hAnsiTheme="majorHAnsi" w:cstheme="majorBidi"/>
                <w:color w:val="FFFFFF" w:themeColor="background1"/>
                <w:sz w:val="20"/>
                <w:szCs w:val="20"/>
              </w:rPr>
              <w:t>nding that is contingent</w:t>
            </w:r>
            <w:r w:rsidR="007101ED" w:rsidRPr="0C5679B2">
              <w:rPr>
                <w:rFonts w:asciiTheme="majorHAnsi" w:hAnsiTheme="majorHAnsi" w:cstheme="majorBidi"/>
                <w:color w:val="FFFFFF" w:themeColor="background1"/>
                <w:sz w:val="20"/>
                <w:szCs w:val="20"/>
              </w:rPr>
              <w:t xml:space="preserve"> </w:t>
            </w:r>
            <w:r w:rsidRPr="0C5679B2">
              <w:rPr>
                <w:rFonts w:asciiTheme="majorHAnsi" w:hAnsiTheme="majorHAnsi" w:cstheme="majorBidi"/>
                <w:color w:val="FFFFFF" w:themeColor="background1"/>
                <w:sz w:val="20"/>
                <w:szCs w:val="20"/>
              </w:rPr>
              <w:t xml:space="preserve">on performance </w:t>
            </w:r>
            <w:r w:rsidR="007101ED" w:rsidRPr="0C5679B2">
              <w:rPr>
                <w:rFonts w:asciiTheme="majorHAnsi" w:hAnsiTheme="majorHAnsi" w:cstheme="majorBidi"/>
                <w:color w:val="FFFFFF" w:themeColor="background1"/>
                <w:sz w:val="20"/>
                <w:szCs w:val="20"/>
              </w:rPr>
              <w:t>should constitute a minority of</w:t>
            </w:r>
            <w:r w:rsidR="002D446D" w:rsidRPr="0C5679B2">
              <w:rPr>
                <w:rFonts w:asciiTheme="majorHAnsi" w:hAnsiTheme="majorHAnsi" w:cstheme="majorBidi"/>
                <w:color w:val="FFFFFF" w:themeColor="background1"/>
                <w:sz w:val="20"/>
                <w:szCs w:val="20"/>
              </w:rPr>
              <w:t xml:space="preserve"> the</w:t>
            </w:r>
            <w:r w:rsidRPr="0C5679B2">
              <w:rPr>
                <w:rFonts w:asciiTheme="majorHAnsi" w:hAnsiTheme="majorHAnsi" w:cstheme="majorBidi"/>
                <w:color w:val="FFFFFF" w:themeColor="background1"/>
                <w:sz w:val="20"/>
                <w:szCs w:val="20"/>
              </w:rPr>
              <w:t xml:space="preserve"> Australian Government </w:t>
            </w:r>
            <w:r w:rsidR="002D446D" w:rsidRPr="0C5679B2">
              <w:rPr>
                <w:rFonts w:asciiTheme="majorHAnsi" w:hAnsiTheme="majorHAnsi" w:cstheme="majorBidi"/>
                <w:color w:val="FFFFFF" w:themeColor="background1"/>
                <w:sz w:val="20"/>
                <w:szCs w:val="20"/>
              </w:rPr>
              <w:t>contribution</w:t>
            </w:r>
            <w:r w:rsidR="007101ED" w:rsidRPr="0C5679B2">
              <w:rPr>
                <w:rFonts w:asciiTheme="majorHAnsi" w:hAnsiTheme="majorHAnsi" w:cstheme="majorBidi"/>
                <w:color w:val="FFFFFF" w:themeColor="background1"/>
                <w:sz w:val="20"/>
                <w:szCs w:val="20"/>
              </w:rPr>
              <w:t xml:space="preserve"> </w:t>
            </w:r>
            <w:r w:rsidRPr="0C5679B2">
              <w:rPr>
                <w:rFonts w:asciiTheme="majorHAnsi" w:hAnsiTheme="majorHAnsi" w:cstheme="majorBidi"/>
                <w:color w:val="FFFFFF" w:themeColor="background1"/>
                <w:sz w:val="20"/>
                <w:szCs w:val="20"/>
              </w:rPr>
              <w:t>under a successor agreement</w:t>
            </w:r>
            <w:r w:rsidR="002E0911">
              <w:rPr>
                <w:rFonts w:asciiTheme="majorHAnsi" w:hAnsiTheme="majorHAnsi" w:cstheme="majorBidi"/>
                <w:color w:val="FFFFFF" w:themeColor="background1"/>
                <w:sz w:val="20"/>
                <w:szCs w:val="20"/>
              </w:rPr>
              <w:t xml:space="preserve"> to the UANP</w:t>
            </w:r>
            <w:r w:rsidRPr="0C5679B2">
              <w:rPr>
                <w:rFonts w:asciiTheme="majorHAnsi" w:hAnsiTheme="majorHAnsi" w:cstheme="majorBidi"/>
                <w:color w:val="FFFFFF" w:themeColor="background1"/>
                <w:sz w:val="20"/>
                <w:szCs w:val="20"/>
              </w:rPr>
              <w:t xml:space="preserve">. </w:t>
            </w:r>
          </w:p>
        </w:tc>
      </w:tr>
    </w:tbl>
    <w:bookmarkEnd w:id="241"/>
    <w:p w14:paraId="731ADD58" w14:textId="77777777" w:rsidR="00302E36" w:rsidRPr="00F35790" w:rsidRDefault="00824A21" w:rsidP="00BD12FD">
      <w:pPr>
        <w:pStyle w:val="Heading4"/>
      </w:pPr>
      <w:r>
        <w:t xml:space="preserve">Longer term arrangements, to be developed over the life of the next </w:t>
      </w:r>
      <w:r w:rsidR="003B4880">
        <w:t>a</w:t>
      </w:r>
      <w:r>
        <w:t>greement,</w:t>
      </w:r>
      <w:r w:rsidR="00BD12FD" w:rsidRPr="00F35790">
        <w:t xml:space="preserve"> should </w:t>
      </w:r>
      <w:r w:rsidR="00FE69B5">
        <w:t>clarify the basis of</w:t>
      </w:r>
      <w:r w:rsidR="00BD12FD" w:rsidRPr="00F35790">
        <w:t xml:space="preserve"> levels of co-investment</w:t>
      </w:r>
    </w:p>
    <w:p w14:paraId="68AA7978" w14:textId="19693533" w:rsidR="00824A21" w:rsidRDefault="00C45C0A" w:rsidP="00C45C0A">
      <w:pPr>
        <w:rPr>
          <w:rFonts w:asciiTheme="minorHAnsi" w:hAnsiTheme="minorHAnsi"/>
        </w:rPr>
      </w:pPr>
      <w:r>
        <w:t xml:space="preserve">As discussed in Chapter </w:t>
      </w:r>
      <w:r>
        <w:fldChar w:fldCharType="begin"/>
      </w:r>
      <w:r>
        <w:instrText xml:space="preserve"> REF _Ref23706124 \r \h </w:instrText>
      </w:r>
      <w:r>
        <w:fldChar w:fldCharType="separate"/>
      </w:r>
      <w:r w:rsidR="00B37785">
        <w:t>2</w:t>
      </w:r>
      <w:r>
        <w:fldChar w:fldCharType="end"/>
      </w:r>
      <w:r>
        <w:t xml:space="preserve">, a key strength of the </w:t>
      </w:r>
      <w:r w:rsidRPr="00793488">
        <w:t xml:space="preserve">UANP </w:t>
      </w:r>
      <w:r>
        <w:t xml:space="preserve">is that it has been </w:t>
      </w:r>
      <w:r w:rsidRPr="00793488">
        <w:t xml:space="preserve">a catalyst for </w:t>
      </w:r>
      <w:r>
        <w:t xml:space="preserve">additional investments by States and Territories and </w:t>
      </w:r>
      <w:r w:rsidR="00020AC0">
        <w:t>providers</w:t>
      </w:r>
      <w:r w:rsidRPr="00793488">
        <w:t>.</w:t>
      </w:r>
      <w:r w:rsidRPr="0C5679B2">
        <w:rPr>
          <w:rFonts w:asciiTheme="minorHAnsi" w:hAnsiTheme="minorHAnsi"/>
        </w:rPr>
        <w:t xml:space="preserve"> </w:t>
      </w:r>
      <w:r>
        <w:t>However, the level of</w:t>
      </w:r>
      <w:r w:rsidDel="00FE51D1">
        <w:t xml:space="preserve"> </w:t>
      </w:r>
      <w:r w:rsidR="00FE51D1">
        <w:t xml:space="preserve">State and Territory contributions </w:t>
      </w:r>
      <w:r>
        <w:t>for preschool in the YBFS is inconsistent</w:t>
      </w:r>
      <w:r w:rsidR="00002833">
        <w:rPr>
          <w:rFonts w:asciiTheme="minorHAnsi" w:hAnsiTheme="minorHAnsi"/>
        </w:rPr>
        <w:t>.</w:t>
      </w:r>
      <w:r w:rsidR="00897635">
        <w:rPr>
          <w:rFonts w:asciiTheme="minorHAnsi" w:hAnsiTheme="minorHAnsi"/>
        </w:rPr>
        <w:t xml:space="preserve"> </w:t>
      </w:r>
      <w:r w:rsidR="00002833">
        <w:rPr>
          <w:rFonts w:asciiTheme="minorHAnsi" w:hAnsiTheme="minorHAnsi"/>
        </w:rPr>
        <w:t>A</w:t>
      </w:r>
      <w:r w:rsidR="00125D39">
        <w:rPr>
          <w:rFonts w:asciiTheme="minorHAnsi" w:hAnsiTheme="minorHAnsi"/>
        </w:rPr>
        <w:t>n argument</w:t>
      </w:r>
      <w:r w:rsidR="00002833">
        <w:rPr>
          <w:rFonts w:asciiTheme="minorHAnsi" w:hAnsiTheme="minorHAnsi"/>
        </w:rPr>
        <w:t xml:space="preserve"> could be made</w:t>
      </w:r>
      <w:r w:rsidR="00125D39">
        <w:rPr>
          <w:rFonts w:asciiTheme="minorHAnsi" w:hAnsiTheme="minorHAnsi"/>
        </w:rPr>
        <w:t xml:space="preserve"> that more limited spending in some jurisdictions is going further (i.e. is more efficient)</w:t>
      </w:r>
      <w:r w:rsidR="00824A21">
        <w:rPr>
          <w:rFonts w:asciiTheme="minorHAnsi" w:hAnsiTheme="minorHAnsi"/>
        </w:rPr>
        <w:t xml:space="preserve"> or that greater contributions in other jurisdictions are reinforcing expensive models of provision, without proportionate gain</w:t>
      </w:r>
      <w:r w:rsidR="00125D39">
        <w:rPr>
          <w:rFonts w:asciiTheme="minorHAnsi" w:hAnsiTheme="minorHAnsi"/>
        </w:rPr>
        <w:t xml:space="preserve">. </w:t>
      </w:r>
      <w:r w:rsidR="00002833">
        <w:rPr>
          <w:rFonts w:asciiTheme="minorHAnsi" w:hAnsiTheme="minorHAnsi"/>
        </w:rPr>
        <w:t xml:space="preserve">There is not the data to judge this or to establish </w:t>
      </w:r>
      <w:r w:rsidR="00894671">
        <w:rPr>
          <w:rFonts w:asciiTheme="minorHAnsi" w:hAnsiTheme="minorHAnsi"/>
        </w:rPr>
        <w:t>whether the lower level state contributions are holding back (or missing opportunities to lift) quality of education or developmental outcomes.</w:t>
      </w:r>
    </w:p>
    <w:p w14:paraId="6F02DE36" w14:textId="77777777" w:rsidR="002F2D1A" w:rsidRDefault="00125D39" w:rsidP="00C45C0A">
      <w:pPr>
        <w:rPr>
          <w:rFonts w:asciiTheme="minorHAnsi" w:hAnsiTheme="minorHAnsi"/>
        </w:rPr>
      </w:pPr>
      <w:r>
        <w:rPr>
          <w:rFonts w:asciiTheme="minorHAnsi" w:hAnsiTheme="minorHAnsi"/>
        </w:rPr>
        <w:t xml:space="preserve">Nevertheless, </w:t>
      </w:r>
      <w:r w:rsidR="00002833">
        <w:rPr>
          <w:rFonts w:asciiTheme="minorHAnsi" w:hAnsiTheme="minorHAnsi"/>
        </w:rPr>
        <w:t>the</w:t>
      </w:r>
      <w:r w:rsidR="00F66C34">
        <w:rPr>
          <w:rFonts w:asciiTheme="minorHAnsi" w:hAnsiTheme="minorHAnsi"/>
        </w:rPr>
        <w:t xml:space="preserve"> variation </w:t>
      </w:r>
      <w:r w:rsidR="00002833">
        <w:rPr>
          <w:rFonts w:asciiTheme="minorHAnsi" w:hAnsiTheme="minorHAnsi"/>
        </w:rPr>
        <w:t xml:space="preserve">points to </w:t>
      </w:r>
      <w:r w:rsidR="002F2D1A">
        <w:rPr>
          <w:rFonts w:asciiTheme="minorHAnsi" w:hAnsiTheme="minorHAnsi"/>
        </w:rPr>
        <w:t xml:space="preserve">relatively lower levels of investment by some. </w:t>
      </w:r>
      <w:r w:rsidR="0006098F">
        <w:rPr>
          <w:rFonts w:asciiTheme="minorHAnsi" w:hAnsiTheme="minorHAnsi"/>
        </w:rPr>
        <w:t xml:space="preserve">This is a particular concern for the Australian Government given its interest in an equitable allocation of resources among States and Territories, which is </w:t>
      </w:r>
      <w:r w:rsidR="00361250">
        <w:rPr>
          <w:rFonts w:asciiTheme="minorHAnsi" w:hAnsiTheme="minorHAnsi"/>
        </w:rPr>
        <w:t>partly seen</w:t>
      </w:r>
      <w:r w:rsidR="0006098F">
        <w:rPr>
          <w:rFonts w:asciiTheme="minorHAnsi" w:hAnsiTheme="minorHAnsi"/>
        </w:rPr>
        <w:t xml:space="preserve"> in terms of what is proportionate to the level of co-investment.</w:t>
      </w:r>
    </w:p>
    <w:p w14:paraId="5C13B3DA" w14:textId="77777777" w:rsidR="00DF23C5" w:rsidRDefault="00002833" w:rsidP="00C45C0A">
      <w:pPr>
        <w:rPr>
          <w:rFonts w:asciiTheme="minorHAnsi" w:hAnsiTheme="minorHAnsi"/>
        </w:rPr>
      </w:pPr>
      <w:r>
        <w:rPr>
          <w:rFonts w:asciiTheme="minorHAnsi" w:hAnsiTheme="minorHAnsi"/>
        </w:rPr>
        <w:t>To re-state a point made earlier:</w:t>
      </w:r>
      <w:r w:rsidR="002F2D1A">
        <w:rPr>
          <w:rFonts w:asciiTheme="minorHAnsi" w:hAnsiTheme="minorHAnsi"/>
        </w:rPr>
        <w:t xml:space="preserve"> </w:t>
      </w:r>
      <w:proofErr w:type="gramStart"/>
      <w:r w:rsidR="002F2D1A">
        <w:rPr>
          <w:rFonts w:asciiTheme="minorHAnsi" w:hAnsiTheme="minorHAnsi"/>
        </w:rPr>
        <w:t>the</w:t>
      </w:r>
      <w:proofErr w:type="gramEnd"/>
      <w:r w:rsidR="002F2D1A">
        <w:rPr>
          <w:rFonts w:asciiTheme="minorHAnsi" w:hAnsiTheme="minorHAnsi"/>
        </w:rPr>
        <w:t xml:space="preserve"> Review does</w:t>
      </w:r>
      <w:r w:rsidR="00C45C0A" w:rsidRPr="0C5679B2" w:rsidDel="002F2D1A">
        <w:rPr>
          <w:rFonts w:asciiTheme="minorHAnsi" w:hAnsiTheme="minorHAnsi"/>
        </w:rPr>
        <w:t xml:space="preserve"> </w:t>
      </w:r>
      <w:r w:rsidR="00C45C0A" w:rsidRPr="0C5679B2">
        <w:rPr>
          <w:rFonts w:asciiTheme="minorHAnsi" w:hAnsiTheme="minorHAnsi"/>
        </w:rPr>
        <w:t xml:space="preserve">not </w:t>
      </w:r>
      <w:r w:rsidR="001B2985">
        <w:rPr>
          <w:rFonts w:asciiTheme="minorHAnsi" w:hAnsiTheme="minorHAnsi"/>
        </w:rPr>
        <w:t xml:space="preserve">see </w:t>
      </w:r>
      <w:r w:rsidR="00974BD3" w:rsidRPr="0C5679B2">
        <w:rPr>
          <w:rFonts w:asciiTheme="minorHAnsi" w:hAnsiTheme="minorHAnsi"/>
        </w:rPr>
        <w:t xml:space="preserve">a </w:t>
      </w:r>
      <w:r w:rsidR="00C45C0A" w:rsidRPr="0C5679B2">
        <w:rPr>
          <w:rFonts w:asciiTheme="minorHAnsi" w:hAnsiTheme="minorHAnsi"/>
        </w:rPr>
        <w:t>breach</w:t>
      </w:r>
      <w:r w:rsidR="002F2D1A" w:rsidRPr="002F2D1A">
        <w:rPr>
          <w:rFonts w:asciiTheme="minorHAnsi" w:hAnsiTheme="minorHAnsi"/>
        </w:rPr>
        <w:t xml:space="preserve"> by any jurisdiction</w:t>
      </w:r>
      <w:r w:rsidR="00C45C0A" w:rsidRPr="0C5679B2">
        <w:rPr>
          <w:rFonts w:asciiTheme="minorHAnsi" w:hAnsiTheme="minorHAnsi"/>
        </w:rPr>
        <w:t xml:space="preserve"> of the terms of the UANP</w:t>
      </w:r>
      <w:r w:rsidR="00CB71E2">
        <w:rPr>
          <w:rFonts w:asciiTheme="minorHAnsi" w:hAnsiTheme="minorHAnsi"/>
        </w:rPr>
        <w:t xml:space="preserve">. </w:t>
      </w:r>
      <w:r w:rsidR="00DF23C5">
        <w:rPr>
          <w:rFonts w:asciiTheme="minorHAnsi" w:hAnsiTheme="minorHAnsi"/>
        </w:rPr>
        <w:t>Nor</w:t>
      </w:r>
      <w:r w:rsidR="00824A21">
        <w:rPr>
          <w:rFonts w:asciiTheme="minorHAnsi" w:hAnsiTheme="minorHAnsi"/>
        </w:rPr>
        <w:t xml:space="preserve">, </w:t>
      </w:r>
      <w:r>
        <w:rPr>
          <w:rFonts w:asciiTheme="minorHAnsi" w:hAnsiTheme="minorHAnsi"/>
        </w:rPr>
        <w:t>it should be</w:t>
      </w:r>
      <w:r w:rsidR="00824A21">
        <w:rPr>
          <w:rFonts w:asciiTheme="minorHAnsi" w:hAnsiTheme="minorHAnsi"/>
        </w:rPr>
        <w:t xml:space="preserve"> stressed,</w:t>
      </w:r>
      <w:r w:rsidR="00DF23C5">
        <w:rPr>
          <w:rFonts w:asciiTheme="minorHAnsi" w:hAnsiTheme="minorHAnsi"/>
        </w:rPr>
        <w:t xml:space="preserve"> is it critiquing the different delivery models used or making assumptions about deliberate choices to maintain relatively lower levels. On the contrary</w:t>
      </w:r>
      <w:r>
        <w:rPr>
          <w:rFonts w:asciiTheme="minorHAnsi" w:hAnsiTheme="minorHAnsi"/>
        </w:rPr>
        <w:t>:</w:t>
      </w:r>
      <w:r w:rsidR="00DF23C5">
        <w:rPr>
          <w:rFonts w:asciiTheme="minorHAnsi" w:hAnsiTheme="minorHAnsi"/>
        </w:rPr>
        <w:t xml:space="preserve"> the delivery models have evolved to be largely </w:t>
      </w:r>
      <w:r>
        <w:rPr>
          <w:rFonts w:asciiTheme="minorHAnsi" w:hAnsiTheme="minorHAnsi"/>
        </w:rPr>
        <w:t xml:space="preserve">effective, </w:t>
      </w:r>
      <w:r w:rsidR="00DF23C5">
        <w:rPr>
          <w:rFonts w:asciiTheme="minorHAnsi" w:hAnsiTheme="minorHAnsi"/>
        </w:rPr>
        <w:t xml:space="preserve">and the commitment by all jurisdictions to the objectives of the UANP (and the Early Learning Reform Principles) is clear and unchallenged. It would be useful to understand better, </w:t>
      </w:r>
      <w:r w:rsidR="00DF23C5">
        <w:rPr>
          <w:rFonts w:asciiTheme="minorHAnsi" w:hAnsiTheme="minorHAnsi"/>
        </w:rPr>
        <w:lastRenderedPageBreak/>
        <w:t xml:space="preserve">however, the true extent of </w:t>
      </w:r>
      <w:r>
        <w:rPr>
          <w:rFonts w:asciiTheme="minorHAnsi" w:hAnsiTheme="minorHAnsi"/>
        </w:rPr>
        <w:t>the apparent</w:t>
      </w:r>
      <w:r w:rsidR="00DF23C5">
        <w:rPr>
          <w:rFonts w:asciiTheme="minorHAnsi" w:hAnsiTheme="minorHAnsi"/>
        </w:rPr>
        <w:t xml:space="preserve"> unevenness and whether </w:t>
      </w:r>
      <w:r w:rsidR="00894671">
        <w:rPr>
          <w:rFonts w:asciiTheme="minorHAnsi" w:hAnsiTheme="minorHAnsi"/>
        </w:rPr>
        <w:t>investment by some</w:t>
      </w:r>
      <w:r w:rsidR="00DF23C5">
        <w:rPr>
          <w:rFonts w:asciiTheme="minorHAnsi" w:hAnsiTheme="minorHAnsi"/>
        </w:rPr>
        <w:t xml:space="preserve"> is a problem in terms of </w:t>
      </w:r>
      <w:r w:rsidR="00894671">
        <w:rPr>
          <w:rFonts w:asciiTheme="minorHAnsi" w:hAnsiTheme="minorHAnsi"/>
        </w:rPr>
        <w:t>outcomes</w:t>
      </w:r>
      <w:r w:rsidR="00DF23C5">
        <w:rPr>
          <w:rFonts w:asciiTheme="minorHAnsi" w:hAnsiTheme="minorHAnsi"/>
        </w:rPr>
        <w:t xml:space="preserve">. </w:t>
      </w:r>
    </w:p>
    <w:p w14:paraId="7AE7A44F" w14:textId="77777777" w:rsidR="00DF23C5" w:rsidRDefault="00DF23C5" w:rsidP="00C45C0A">
      <w:pPr>
        <w:rPr>
          <w:rFonts w:asciiTheme="minorHAnsi" w:hAnsiTheme="minorHAnsi"/>
        </w:rPr>
      </w:pPr>
      <w:r>
        <w:rPr>
          <w:rFonts w:asciiTheme="minorHAnsi" w:hAnsiTheme="minorHAnsi"/>
        </w:rPr>
        <w:t>The best way to build this improved understanding is to analyse the efficient cost of delivering the 600 hours of preschool by:</w:t>
      </w:r>
    </w:p>
    <w:p w14:paraId="23975D0B" w14:textId="34E0EA46" w:rsidR="00DF23C5" w:rsidRPr="00713657" w:rsidRDefault="00C409B6" w:rsidP="00713657">
      <w:pPr>
        <w:pStyle w:val="Bullet"/>
        <w:numPr>
          <w:ilvl w:val="0"/>
          <w:numId w:val="13"/>
        </w:numPr>
        <w:ind w:left="340" w:hanging="340"/>
      </w:pPr>
      <w:r>
        <w:t>r</w:t>
      </w:r>
      <w:r w:rsidR="00BC10A7" w:rsidRPr="00713657">
        <w:t xml:space="preserve">egionality and rurality (taking account both of different cost structures and </w:t>
      </w:r>
      <w:r w:rsidR="00DF23C5" w:rsidRPr="00713657">
        <w:t>the presence of thin markets)</w:t>
      </w:r>
    </w:p>
    <w:p w14:paraId="00D929AB" w14:textId="77777777" w:rsidR="00DF23C5" w:rsidRPr="00713657" w:rsidRDefault="00BC10A7" w:rsidP="00713657">
      <w:pPr>
        <w:pStyle w:val="Bullet"/>
        <w:numPr>
          <w:ilvl w:val="0"/>
          <w:numId w:val="13"/>
        </w:numPr>
        <w:ind w:left="340" w:hanging="340"/>
      </w:pPr>
      <w:r w:rsidRPr="00713657">
        <w:t>settings</w:t>
      </w:r>
      <w:r w:rsidR="00DF23C5" w:rsidRPr="00713657">
        <w:t xml:space="preserve"> </w:t>
      </w:r>
      <w:r w:rsidRPr="00713657">
        <w:t>for delivery (i.e. school-based, standalone and CBDC provision)</w:t>
      </w:r>
    </w:p>
    <w:p w14:paraId="26204137" w14:textId="77777777" w:rsidR="00BC10A7" w:rsidRPr="00713657" w:rsidRDefault="00DF23C5" w:rsidP="00713657">
      <w:pPr>
        <w:pStyle w:val="Bullet"/>
        <w:numPr>
          <w:ilvl w:val="0"/>
          <w:numId w:val="13"/>
        </w:numPr>
        <w:ind w:left="340" w:hanging="340"/>
      </w:pPr>
      <w:r w:rsidRPr="00713657">
        <w:t>demographic context</w:t>
      </w:r>
      <w:r w:rsidR="00BC10A7" w:rsidRPr="00713657">
        <w:t xml:space="preserve"> (including the proportion of children who are Indigenous and/or who are experiencing vulnerability and disadvantage)</w:t>
      </w:r>
      <w:r w:rsidR="00713657">
        <w:t>.</w:t>
      </w:r>
    </w:p>
    <w:p w14:paraId="7A0A3FB3" w14:textId="75F2E9AB" w:rsidR="00590BE3" w:rsidRDefault="003D35DA" w:rsidP="00906967">
      <w:pPr>
        <w:suppressAutoHyphens/>
        <w:rPr>
          <w:rFonts w:eastAsia="Times New Roman"/>
          <w:lang w:eastAsia="en-AU"/>
        </w:rPr>
      </w:pPr>
      <w:bookmarkStart w:id="242" w:name="_Hlk31292913"/>
      <w:bookmarkStart w:id="243" w:name="_Hlk30496468"/>
      <w:r>
        <w:t xml:space="preserve">Modelling the efficient cost of preschool </w:t>
      </w:r>
      <w:r w:rsidR="00692281">
        <w:t>would be a challenging but useful exercise</w:t>
      </w:r>
      <w:r w:rsidR="00AA3EC0">
        <w:t xml:space="preserve">. It would enable more rigorous analysis of </w:t>
      </w:r>
      <w:r w:rsidR="00906967">
        <w:t>whether public investment in different jurisdictions</w:t>
      </w:r>
      <w:r w:rsidR="00AA3EC0">
        <w:t xml:space="preserve"> </w:t>
      </w:r>
      <w:r w:rsidR="00906967">
        <w:t>is adequate</w:t>
      </w:r>
      <w:r w:rsidR="00AA3EC0">
        <w:t xml:space="preserve"> (especially if coupled with </w:t>
      </w:r>
      <w:r w:rsidR="00906967">
        <w:t>better expenditure data</w:t>
      </w:r>
      <w:r w:rsidR="00AA3EC0">
        <w:t xml:space="preserve"> </w:t>
      </w:r>
      <w:r w:rsidR="00C4234E">
        <w:t>and measurement of outcomes</w:t>
      </w:r>
      <w:r w:rsidR="00AA3EC0">
        <w:t>) and could provide the foundation for more efficient and effective future funding arrangements.</w:t>
      </w:r>
      <w:r w:rsidR="00527413">
        <w:t xml:space="preserve"> </w:t>
      </w:r>
      <w:bookmarkEnd w:id="242"/>
      <w:r w:rsidR="00590BE3" w:rsidRPr="005B469E">
        <w:rPr>
          <w:rFonts w:eastAsia="Times New Roman"/>
          <w:lang w:eastAsia="en-AU"/>
        </w:rPr>
        <w:t>For example, it would enable the distribution of funding (nationally and within each jurisdiction) to be more closely aligned with the efficient cost of delivery in different contexts.</w:t>
      </w:r>
      <w:r w:rsidR="00590BE3" w:rsidRPr="00D3733F">
        <w:rPr>
          <w:rFonts w:eastAsia="Times New Roman"/>
          <w:lang w:eastAsia="en-AU"/>
        </w:rPr>
        <w:t xml:space="preserve"> </w:t>
      </w:r>
      <w:r w:rsidR="00590BE3">
        <w:rPr>
          <w:rFonts w:eastAsia="Times New Roman"/>
          <w:lang w:eastAsia="en-AU"/>
        </w:rPr>
        <w:t xml:space="preserve">Importantly, the model would </w:t>
      </w:r>
      <w:r w:rsidR="00590BE3">
        <w:t>not necessitate or predispose governments to any particular funding arrangements.</w:t>
      </w:r>
    </w:p>
    <w:bookmarkEnd w:id="243"/>
    <w:p w14:paraId="087FE054" w14:textId="6DCEBE7D" w:rsidR="00F12B6B" w:rsidRDefault="00332025" w:rsidP="00F12B6B">
      <w:r>
        <w:t xml:space="preserve">We suggest that governments conduct this work from 2021 and </w:t>
      </w:r>
      <w:r w:rsidR="004968BC">
        <w:t>2025</w:t>
      </w:r>
      <w:r>
        <w:t xml:space="preserve">, prior to the proposed introduction of a National Agreement (see Key Findings 21 and 22). </w:t>
      </w:r>
      <w:r w:rsidR="00BC1574">
        <w:t>In addition</w:t>
      </w:r>
      <w:r w:rsidR="00F12B6B">
        <w:t xml:space="preserve"> to understanding the efficient cost, governments </w:t>
      </w:r>
      <w:r w:rsidR="00BC1574">
        <w:t>should</w:t>
      </w:r>
      <w:r w:rsidR="00BC10A7">
        <w:t xml:space="preserve"> agree</w:t>
      </w:r>
      <w:r w:rsidR="00F12B6B">
        <w:t xml:space="preserve"> </w:t>
      </w:r>
      <w:r w:rsidR="00BC10A7">
        <w:t xml:space="preserve">what constitutes </w:t>
      </w:r>
      <w:r w:rsidR="00133D09">
        <w:t xml:space="preserve">Australian Government and </w:t>
      </w:r>
      <w:r w:rsidR="00BC10A7">
        <w:t>State and Territory investment in preschool in the YBFS</w:t>
      </w:r>
      <w:r w:rsidR="00E722C2">
        <w:t>.</w:t>
      </w:r>
      <w:r w:rsidR="00F12B6B">
        <w:t xml:space="preserve"> The Review finds that the following should be included in the count of State and Territory investment:</w:t>
      </w:r>
    </w:p>
    <w:p w14:paraId="2CCDA712" w14:textId="15F496F5" w:rsidR="00F12B6B" w:rsidRDefault="004B69A5" w:rsidP="00F12B6B">
      <w:pPr>
        <w:pStyle w:val="Bullet"/>
        <w:numPr>
          <w:ilvl w:val="0"/>
          <w:numId w:val="13"/>
        </w:numPr>
        <w:ind w:left="340" w:hanging="340"/>
      </w:pPr>
      <w:r>
        <w:t>P</w:t>
      </w:r>
      <w:r w:rsidR="00F12B6B">
        <w:t xml:space="preserve">rograms aimed at </w:t>
      </w:r>
      <w:r w:rsidR="00F12B6B" w:rsidRPr="00CD12AB">
        <w:t>improving quality and/or attendance at YBFS preschool</w:t>
      </w:r>
      <w:r w:rsidR="00196017">
        <w:t xml:space="preserve"> </w:t>
      </w:r>
      <w:r w:rsidR="009F092D">
        <w:t>(including those directed at children before they reach preschool age)</w:t>
      </w:r>
      <w:r>
        <w:t>.</w:t>
      </w:r>
      <w:r w:rsidR="009F092D">
        <w:t xml:space="preserve"> </w:t>
      </w:r>
    </w:p>
    <w:p w14:paraId="688F2BFD" w14:textId="6E538A7C" w:rsidR="00F12B6B" w:rsidRDefault="004B69A5" w:rsidP="00F12B6B">
      <w:pPr>
        <w:pStyle w:val="Bullet"/>
        <w:numPr>
          <w:ilvl w:val="0"/>
          <w:numId w:val="13"/>
        </w:numPr>
        <w:ind w:left="340" w:hanging="340"/>
      </w:pPr>
      <w:r>
        <w:t>T</w:t>
      </w:r>
      <w:r w:rsidR="00F12B6B" w:rsidRPr="00CD12AB">
        <w:t>argeted interventions</w:t>
      </w:r>
      <w:r w:rsidR="00F12B6B">
        <w:t xml:space="preserve"> to remove barriers to participation, including </w:t>
      </w:r>
      <w:r w:rsidR="00F12B6B" w:rsidRPr="00CD12AB">
        <w:t>for children from different backgrounds or with different needs</w:t>
      </w:r>
      <w:r w:rsidR="002A20D6">
        <w:t>.</w:t>
      </w:r>
    </w:p>
    <w:p w14:paraId="7FE079AC" w14:textId="488018A4" w:rsidR="00F12B6B" w:rsidRDefault="00F12B6B" w:rsidP="00F12B6B">
      <w:r>
        <w:t xml:space="preserve">This is in addition to the direct contributions towards ongoing delivery of preschool in the YBFS. There will need to be consideration of other inclusions, such as capital investments, with the ultimate goal being to have a framework that enables different States and Territories to demonstrate how they are directing resources to reflect their respective priorities </w:t>
      </w:r>
      <w:r w:rsidR="00BC1574">
        <w:t xml:space="preserve">and </w:t>
      </w:r>
      <w:r>
        <w:t>issues to be addressed. For example, one jurisdiction might reasonably want to count expenditure on specific training initiatives for ECTs to work in low SEIFA or rural and remote services; another might legitimately argue for inclusion of transport provision aimed at improving access by disadvantaged children to services.</w:t>
      </w:r>
    </w:p>
    <w:p w14:paraId="61A8ABCD" w14:textId="77777777" w:rsidR="00E722C2" w:rsidRPr="00E722C2" w:rsidRDefault="00BC10A7" w:rsidP="00E722C2">
      <w:pPr>
        <w:rPr>
          <w:rFonts w:asciiTheme="minorHAnsi" w:hAnsiTheme="minorHAnsi"/>
        </w:rPr>
      </w:pPr>
      <w:r>
        <w:rPr>
          <w:rFonts w:asciiTheme="minorHAnsi" w:hAnsiTheme="minorHAnsi"/>
        </w:rPr>
        <w:t xml:space="preserve">In the process of doing </w:t>
      </w:r>
      <w:r w:rsidR="00F12B6B">
        <w:rPr>
          <w:rFonts w:asciiTheme="minorHAnsi" w:hAnsiTheme="minorHAnsi"/>
        </w:rPr>
        <w:t>these two pieces of</w:t>
      </w:r>
      <w:r>
        <w:rPr>
          <w:rFonts w:asciiTheme="minorHAnsi" w:hAnsiTheme="minorHAnsi"/>
        </w:rPr>
        <w:t xml:space="preserve"> work </w:t>
      </w:r>
      <w:r w:rsidR="00F12B6B">
        <w:rPr>
          <w:rFonts w:asciiTheme="minorHAnsi" w:hAnsiTheme="minorHAnsi"/>
        </w:rPr>
        <w:t xml:space="preserve">– </w:t>
      </w:r>
      <w:r>
        <w:rPr>
          <w:rFonts w:asciiTheme="minorHAnsi" w:hAnsiTheme="minorHAnsi"/>
        </w:rPr>
        <w:t xml:space="preserve">i.e. on </w:t>
      </w:r>
      <w:r w:rsidR="00F12B6B">
        <w:rPr>
          <w:rFonts w:asciiTheme="minorHAnsi" w:hAnsiTheme="minorHAnsi"/>
        </w:rPr>
        <w:t xml:space="preserve">modelling </w:t>
      </w:r>
      <w:r>
        <w:rPr>
          <w:rFonts w:asciiTheme="minorHAnsi" w:hAnsiTheme="minorHAnsi"/>
        </w:rPr>
        <w:t xml:space="preserve">the efficient cost and </w:t>
      </w:r>
      <w:r w:rsidR="00F12B6B">
        <w:rPr>
          <w:rFonts w:asciiTheme="minorHAnsi" w:hAnsiTheme="minorHAnsi"/>
        </w:rPr>
        <w:t xml:space="preserve">agreeing </w:t>
      </w:r>
      <w:r>
        <w:rPr>
          <w:rFonts w:asciiTheme="minorHAnsi" w:hAnsiTheme="minorHAnsi"/>
        </w:rPr>
        <w:t>what is counted as investment</w:t>
      </w:r>
      <w:r w:rsidR="00F12B6B">
        <w:rPr>
          <w:rFonts w:asciiTheme="minorHAnsi" w:hAnsiTheme="minorHAnsi"/>
        </w:rPr>
        <w:t xml:space="preserve"> –</w:t>
      </w:r>
      <w:r>
        <w:rPr>
          <w:rFonts w:asciiTheme="minorHAnsi" w:hAnsiTheme="minorHAnsi"/>
        </w:rPr>
        <w:t xml:space="preserve"> the Review finds that governments should work to build clearer expectations of their relative contributions. </w:t>
      </w:r>
    </w:p>
    <w:p w14:paraId="1ED3BC1B" w14:textId="77777777" w:rsidR="00AC6DA9" w:rsidRPr="008D62D1" w:rsidRDefault="00BC10A7" w:rsidP="00AC6DA9">
      <w:pPr>
        <w:rPr>
          <w:rFonts w:asciiTheme="minorHAnsi" w:hAnsiTheme="minorHAnsi"/>
        </w:rPr>
      </w:pPr>
      <w:r>
        <w:rPr>
          <w:rFonts w:asciiTheme="minorHAnsi" w:hAnsiTheme="minorHAnsi"/>
        </w:rPr>
        <w:t>The Review considered, and rejected, the option of including a requirement for a minimum level of State and Territory investment</w:t>
      </w:r>
      <w:r w:rsidR="00002E06">
        <w:rPr>
          <w:rFonts w:asciiTheme="minorHAnsi" w:hAnsiTheme="minorHAnsi"/>
        </w:rPr>
        <w:t xml:space="preserve"> in the next National Partnership </w:t>
      </w:r>
      <w:r w:rsidR="006C03A5">
        <w:rPr>
          <w:rFonts w:asciiTheme="minorHAnsi" w:hAnsiTheme="minorHAnsi"/>
        </w:rPr>
        <w:t>a</w:t>
      </w:r>
      <w:r w:rsidR="00002E06">
        <w:rPr>
          <w:rFonts w:asciiTheme="minorHAnsi" w:hAnsiTheme="minorHAnsi"/>
        </w:rPr>
        <w:t xml:space="preserve">greement. Without further policy, measurement and </w:t>
      </w:r>
      <w:r w:rsidR="006C03A5">
        <w:rPr>
          <w:rFonts w:asciiTheme="minorHAnsi" w:hAnsiTheme="minorHAnsi"/>
        </w:rPr>
        <w:t>costing</w:t>
      </w:r>
      <w:r w:rsidR="00002E06">
        <w:rPr>
          <w:rFonts w:asciiTheme="minorHAnsi" w:hAnsiTheme="minorHAnsi"/>
        </w:rPr>
        <w:t xml:space="preserve"> work being done first</w:t>
      </w:r>
      <w:r>
        <w:rPr>
          <w:rFonts w:asciiTheme="minorHAnsi" w:hAnsiTheme="minorHAnsi"/>
        </w:rPr>
        <w:t>, this could trigger a perverse incentive to invest at the level of the ‘floor’ rate</w:t>
      </w:r>
      <w:r w:rsidR="001B7C2B">
        <w:rPr>
          <w:rFonts w:asciiTheme="minorHAnsi" w:hAnsiTheme="minorHAnsi"/>
        </w:rPr>
        <w:t xml:space="preserve"> or to use funding inefficiently</w:t>
      </w:r>
      <w:r>
        <w:rPr>
          <w:rFonts w:asciiTheme="minorHAnsi" w:hAnsiTheme="minorHAnsi"/>
        </w:rPr>
        <w:t xml:space="preserve">. </w:t>
      </w:r>
      <w:r w:rsidR="0061480A">
        <w:rPr>
          <w:rFonts w:asciiTheme="minorHAnsi" w:hAnsiTheme="minorHAnsi"/>
        </w:rPr>
        <w:t xml:space="preserve">In the longer run, this and other options </w:t>
      </w:r>
      <w:r w:rsidR="008D62D1">
        <w:rPr>
          <w:rFonts w:asciiTheme="minorHAnsi" w:hAnsiTheme="minorHAnsi"/>
        </w:rPr>
        <w:t>sh</w:t>
      </w:r>
      <w:r w:rsidR="0061480A">
        <w:rPr>
          <w:rFonts w:asciiTheme="minorHAnsi" w:hAnsiTheme="minorHAnsi"/>
        </w:rPr>
        <w:t>ould be on the table.</w:t>
      </w:r>
      <w:r w:rsidR="008D62D1">
        <w:rPr>
          <w:rFonts w:asciiTheme="minorHAnsi" w:hAnsiTheme="minorHAnsi"/>
        </w:rPr>
        <w:t xml:space="preserve"> However, it</w:t>
      </w:r>
      <w:r w:rsidR="001B7C2B">
        <w:t xml:space="preserve"> is worth noting that</w:t>
      </w:r>
      <w:bookmarkStart w:id="244" w:name="_Hlk24530877"/>
      <w:r w:rsidR="00AC6DA9">
        <w:t xml:space="preserve"> any expectations about matching contributions </w:t>
      </w:r>
      <w:r w:rsidR="00A51FBF">
        <w:t xml:space="preserve">in the future </w:t>
      </w:r>
      <w:r w:rsidR="00AC6DA9">
        <w:t>should</w:t>
      </w:r>
      <w:r w:rsidR="002F2105">
        <w:t xml:space="preserve"> not</w:t>
      </w:r>
      <w:bookmarkEnd w:id="244"/>
      <w:r w:rsidR="00AC6DA9">
        <w:t>:</w:t>
      </w:r>
    </w:p>
    <w:p w14:paraId="3BE4091D" w14:textId="77777777" w:rsidR="00AC6DA9" w:rsidRDefault="00AC6DA9" w:rsidP="00FC2DF7">
      <w:pPr>
        <w:pStyle w:val="Bullet"/>
        <w:numPr>
          <w:ilvl w:val="0"/>
          <w:numId w:val="13"/>
        </w:numPr>
        <w:ind w:left="340" w:hanging="340"/>
      </w:pPr>
      <w:r w:rsidRPr="00FC2DF7">
        <w:t>steer any jurisdictions towards favouring one model of delivery over another</w:t>
      </w:r>
    </w:p>
    <w:p w14:paraId="363E64F1" w14:textId="77777777" w:rsidR="002F2105" w:rsidRDefault="002F2105" w:rsidP="00FC2DF7">
      <w:pPr>
        <w:pStyle w:val="Bullet"/>
        <w:numPr>
          <w:ilvl w:val="0"/>
          <w:numId w:val="13"/>
        </w:numPr>
        <w:ind w:left="340" w:hanging="340"/>
      </w:pPr>
      <w:r>
        <w:t xml:space="preserve">trigger the introduction of any other form of input controls that prescribe how the co-investment will be directed </w:t>
      </w:r>
    </w:p>
    <w:p w14:paraId="12B34F5D" w14:textId="77777777" w:rsidR="002F2105" w:rsidRDefault="002F2105" w:rsidP="00FC2DF7">
      <w:pPr>
        <w:pStyle w:val="Bullet"/>
        <w:numPr>
          <w:ilvl w:val="0"/>
          <w:numId w:val="13"/>
        </w:numPr>
        <w:ind w:left="340" w:hanging="340"/>
      </w:pPr>
      <w:r>
        <w:t>create a ‘ceiling’ for State and Territory co-investment</w:t>
      </w:r>
    </w:p>
    <w:p w14:paraId="03F86626" w14:textId="77777777" w:rsidR="002F2105" w:rsidRDefault="002F2105" w:rsidP="00FC2DF7">
      <w:pPr>
        <w:pStyle w:val="Bullet"/>
        <w:numPr>
          <w:ilvl w:val="0"/>
          <w:numId w:val="13"/>
        </w:numPr>
        <w:ind w:left="340" w:hanging="340"/>
      </w:pPr>
      <w:r>
        <w:lastRenderedPageBreak/>
        <w:t>distract from ongoing effort to improve the value of existing investment in the interests of ratcheting up further funding in/for other, newer programs</w:t>
      </w:r>
    </w:p>
    <w:p w14:paraId="6B737E98" w14:textId="77777777" w:rsidR="00A51FBF" w:rsidRDefault="00A51FBF" w:rsidP="00FC2DF7">
      <w:pPr>
        <w:pStyle w:val="Bullet"/>
        <w:numPr>
          <w:ilvl w:val="0"/>
          <w:numId w:val="13"/>
        </w:numPr>
        <w:ind w:left="340" w:hanging="340"/>
      </w:pPr>
      <w:r>
        <w:t>incentivise inefficient spending</w:t>
      </w:r>
    </w:p>
    <w:p w14:paraId="48CC6F4D" w14:textId="77777777" w:rsidR="002F2105" w:rsidRDefault="002F2105" w:rsidP="00FC2DF7">
      <w:pPr>
        <w:pStyle w:val="Bullet"/>
        <w:numPr>
          <w:ilvl w:val="0"/>
          <w:numId w:val="13"/>
        </w:numPr>
        <w:ind w:left="340" w:hanging="340"/>
      </w:pPr>
      <w:r>
        <w:t>be introduced with the intent of produc</w:t>
      </w:r>
      <w:r w:rsidR="000D33AA">
        <w:t>ing</w:t>
      </w:r>
      <w:r>
        <w:t xml:space="preserve"> </w:t>
      </w:r>
      <w:r w:rsidR="000A0D66">
        <w:t xml:space="preserve">absolute </w:t>
      </w:r>
      <w:r>
        <w:t>consistency.</w:t>
      </w:r>
    </w:p>
    <w:p w14:paraId="65D6ADF8" w14:textId="77777777" w:rsidR="008D62D1" w:rsidRDefault="008D62D1" w:rsidP="008D62D1">
      <w:r w:rsidRPr="008D62D1">
        <w:t>Another option would be to intensify the rigour of reporting and evaluating co-investment by States and Territories, focusing not only on the quantum but also the cost-effectiveness of such funding. This would be intended to promote further cross-fertilisation of ideas (a lot of which, admittedly, goes on already) and potential opportunities for scaling the proven interventions.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0DF13928" w14:textId="77777777" w:rsidTr="00C23746">
        <w:tc>
          <w:tcPr>
            <w:tcW w:w="8930" w:type="dxa"/>
            <w:shd w:val="clear" w:color="auto" w:fill="00264D" w:themeFill="background2"/>
          </w:tcPr>
          <w:p w14:paraId="77DCEA7E" w14:textId="2ED237F7" w:rsidR="0026464B" w:rsidRPr="006C71B3" w:rsidRDefault="0026464B" w:rsidP="0026464B">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4</w:t>
            </w:r>
          </w:p>
          <w:p w14:paraId="33E73F43" w14:textId="202B40E8" w:rsidR="008D7BDA" w:rsidRDefault="00AA2CAF" w:rsidP="00EC7C1D">
            <w:pPr>
              <w:pStyle w:val="Longformcallout"/>
              <w:spacing w:after="120"/>
              <w:rPr>
                <w:rFonts w:asciiTheme="majorHAnsi" w:hAnsiTheme="majorHAnsi" w:cstheme="majorBidi"/>
                <w:color w:val="FFFFFF" w:themeColor="background1"/>
                <w:sz w:val="20"/>
                <w:szCs w:val="20"/>
              </w:rPr>
            </w:pPr>
            <w:r w:rsidRPr="00AA2CAF">
              <w:rPr>
                <w:rFonts w:asciiTheme="majorHAnsi" w:hAnsiTheme="majorHAnsi" w:cstheme="majorBidi"/>
                <w:color w:val="FFFFFF" w:themeColor="background1"/>
                <w:sz w:val="20"/>
                <w:szCs w:val="20"/>
              </w:rPr>
              <w:t xml:space="preserve">All States and Territories make significant investments in preschool, but some jurisdictions make relatively larger investments. </w:t>
            </w:r>
            <w:r w:rsidR="008D7BDA" w:rsidRPr="008D7BDA">
              <w:rPr>
                <w:rFonts w:asciiTheme="majorHAnsi" w:hAnsiTheme="majorHAnsi" w:cstheme="majorBidi"/>
                <w:color w:val="FFFFFF" w:themeColor="background1"/>
                <w:sz w:val="20"/>
                <w:szCs w:val="20"/>
              </w:rPr>
              <w:t>Governments should explore ways to incentivise greater levels of co-investment from 2021, and incorporate measures into bilateral implementation plans that promote more equitable levels of State and Territory funding contributions to preschool, recognising the different service settings in each jurisdiction. These measures should be informed by a more detailed understanding of efficient and effective delivery.</w:t>
            </w:r>
          </w:p>
          <w:p w14:paraId="7A7455CF" w14:textId="77777777" w:rsidR="00333C06" w:rsidRPr="006C71B3" w:rsidRDefault="00333C06" w:rsidP="00333C06">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5</w:t>
            </w:r>
          </w:p>
          <w:p w14:paraId="5C0CD8EA" w14:textId="16E37A67" w:rsidR="00333C06" w:rsidRDefault="0094187F" w:rsidP="00EC7C1D">
            <w:pPr>
              <w:pStyle w:val="Longformcallout"/>
              <w:spacing w:after="120"/>
              <w:rPr>
                <w:rFonts w:asciiTheme="majorHAnsi" w:hAnsiTheme="majorHAnsi" w:cstheme="majorBidi"/>
                <w:color w:val="FFFFFF" w:themeColor="background1"/>
                <w:sz w:val="20"/>
                <w:szCs w:val="20"/>
              </w:rPr>
            </w:pPr>
            <w:bookmarkStart w:id="245" w:name="_Hlk30084595"/>
            <w:r>
              <w:rPr>
                <w:rFonts w:asciiTheme="majorHAnsi" w:hAnsiTheme="majorHAnsi" w:cstheme="majorBidi"/>
                <w:color w:val="FFFFFF" w:themeColor="background1"/>
                <w:sz w:val="20"/>
                <w:szCs w:val="20"/>
              </w:rPr>
              <w:t>G</w:t>
            </w:r>
            <w:r w:rsidR="00333C06" w:rsidRPr="00333C06">
              <w:rPr>
                <w:rFonts w:asciiTheme="majorHAnsi" w:hAnsiTheme="majorHAnsi" w:cstheme="majorBidi"/>
                <w:color w:val="FFFFFF" w:themeColor="background1"/>
                <w:sz w:val="20"/>
                <w:szCs w:val="20"/>
              </w:rPr>
              <w:t xml:space="preserve">overnments should </w:t>
            </w:r>
            <w:r w:rsidR="00FD4EB4">
              <w:rPr>
                <w:rFonts w:asciiTheme="majorHAnsi" w:hAnsiTheme="majorHAnsi" w:cstheme="majorBidi"/>
                <w:color w:val="FFFFFF" w:themeColor="background1"/>
                <w:sz w:val="20"/>
                <w:szCs w:val="20"/>
              </w:rPr>
              <w:t xml:space="preserve">consider the </w:t>
            </w:r>
            <w:r w:rsidR="00333C06" w:rsidRPr="00333C06">
              <w:rPr>
                <w:rFonts w:asciiTheme="majorHAnsi" w:hAnsiTheme="majorHAnsi" w:cstheme="majorBidi"/>
                <w:color w:val="FFFFFF" w:themeColor="background1"/>
                <w:sz w:val="20"/>
                <w:szCs w:val="20"/>
              </w:rPr>
              <w:t>develop</w:t>
            </w:r>
            <w:r w:rsidR="00FD4EB4">
              <w:rPr>
                <w:rFonts w:asciiTheme="majorHAnsi" w:hAnsiTheme="majorHAnsi" w:cstheme="majorBidi"/>
                <w:color w:val="FFFFFF" w:themeColor="background1"/>
                <w:sz w:val="20"/>
                <w:szCs w:val="20"/>
              </w:rPr>
              <w:t>ment</w:t>
            </w:r>
            <w:r w:rsidR="00333C06" w:rsidRPr="00333C06">
              <w:rPr>
                <w:rFonts w:asciiTheme="majorHAnsi" w:hAnsiTheme="majorHAnsi" w:cstheme="majorBidi"/>
                <w:color w:val="FFFFFF" w:themeColor="background1"/>
                <w:sz w:val="20"/>
                <w:szCs w:val="20"/>
              </w:rPr>
              <w:t xml:space="preserve"> </w:t>
            </w:r>
            <w:r w:rsidR="00FD4EB4">
              <w:rPr>
                <w:rFonts w:asciiTheme="majorHAnsi" w:hAnsiTheme="majorHAnsi" w:cstheme="majorBidi"/>
                <w:color w:val="FFFFFF" w:themeColor="background1"/>
                <w:sz w:val="20"/>
                <w:szCs w:val="20"/>
              </w:rPr>
              <w:t xml:space="preserve">of </w:t>
            </w:r>
            <w:r w:rsidR="00333C06" w:rsidRPr="00333C06">
              <w:rPr>
                <w:rFonts w:asciiTheme="majorHAnsi" w:hAnsiTheme="majorHAnsi" w:cstheme="majorBidi"/>
                <w:color w:val="FFFFFF" w:themeColor="background1"/>
                <w:sz w:val="20"/>
                <w:szCs w:val="20"/>
              </w:rPr>
              <w:t>a model that would indicate the efficient cost of preschool delivery in different settings and jurisdictional contexts</w:t>
            </w:r>
            <w:r w:rsidR="00333C06">
              <w:rPr>
                <w:rFonts w:asciiTheme="majorHAnsi" w:hAnsiTheme="majorHAnsi" w:cstheme="majorBidi"/>
                <w:color w:val="FFFFFF" w:themeColor="background1"/>
                <w:sz w:val="20"/>
                <w:szCs w:val="20"/>
              </w:rPr>
              <w:t>.</w:t>
            </w:r>
            <w:r w:rsidR="006C03A5">
              <w:rPr>
                <w:rFonts w:asciiTheme="majorHAnsi" w:hAnsiTheme="majorHAnsi" w:cstheme="majorBidi"/>
                <w:color w:val="FFFFFF" w:themeColor="background1"/>
                <w:sz w:val="20"/>
                <w:szCs w:val="20"/>
              </w:rPr>
              <w:t xml:space="preserve"> </w:t>
            </w:r>
            <w:r w:rsidR="006C03A5" w:rsidRPr="006C03A5">
              <w:rPr>
                <w:rFonts w:asciiTheme="majorHAnsi" w:hAnsiTheme="majorHAnsi" w:cstheme="majorBidi"/>
                <w:color w:val="FFFFFF" w:themeColor="background1"/>
                <w:sz w:val="20"/>
                <w:szCs w:val="20"/>
              </w:rPr>
              <w:t>This will be a complex exercise requiring dedicated resources.</w:t>
            </w:r>
          </w:p>
          <w:bookmarkEnd w:id="245"/>
          <w:p w14:paraId="73EA6671" w14:textId="77777777" w:rsidR="00333C06" w:rsidRPr="006C71B3" w:rsidRDefault="00333C06" w:rsidP="00333C06">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6C03A5">
              <w:rPr>
                <w:rFonts w:asciiTheme="minorHAnsi" w:hAnsiTheme="minorHAnsi"/>
                <w:b/>
                <w:color w:val="25B3E0" w:themeColor="accent6"/>
                <w:sz w:val="20"/>
                <w:szCs w:val="20"/>
              </w:rPr>
              <w:t>6</w:t>
            </w:r>
          </w:p>
          <w:p w14:paraId="0268EA4D" w14:textId="58D58875" w:rsidR="00333C06" w:rsidRPr="00C761BF" w:rsidRDefault="00AA2CAF" w:rsidP="008E0C49">
            <w:pPr>
              <w:pStyle w:val="Longformcallout"/>
              <w:spacing w:after="0"/>
              <w:rPr>
                <w:rFonts w:asciiTheme="majorHAnsi" w:hAnsiTheme="majorHAnsi" w:cstheme="majorBidi"/>
                <w:color w:val="FFFFFF" w:themeColor="background1"/>
                <w:sz w:val="20"/>
                <w:szCs w:val="20"/>
              </w:rPr>
            </w:pPr>
            <w:r w:rsidRPr="00AA2CAF">
              <w:rPr>
                <w:rFonts w:asciiTheme="majorHAnsi" w:hAnsiTheme="majorHAnsi" w:cstheme="majorBidi"/>
                <w:color w:val="FFFFFF" w:themeColor="background1"/>
                <w:sz w:val="20"/>
                <w:szCs w:val="20"/>
              </w:rPr>
              <w:t>Governments should develop an agreed approach to counting relevant jurisdictional contributions to YBFS preschool to inform future comparative analysis. This should take effect in time to inform the negotiation of a National Agreement (or similar enduring funding agreement) to take effect from 2026</w:t>
            </w:r>
            <w:r w:rsidR="008E0C49">
              <w:rPr>
                <w:rFonts w:asciiTheme="majorHAnsi" w:hAnsiTheme="majorHAnsi" w:cstheme="majorBidi"/>
                <w:color w:val="FFFFFF" w:themeColor="background1"/>
                <w:sz w:val="20"/>
                <w:szCs w:val="20"/>
              </w:rPr>
              <w:t>.</w:t>
            </w:r>
          </w:p>
        </w:tc>
      </w:tr>
    </w:tbl>
    <w:p w14:paraId="0A822679" w14:textId="77777777" w:rsidR="008A255A" w:rsidRDefault="008A255A" w:rsidP="008A255A">
      <w:bookmarkStart w:id="246" w:name="_Hlk24633918"/>
      <w:bookmarkStart w:id="247" w:name="_Ref24470454"/>
      <w:bookmarkStart w:id="248" w:name="_Ref24474942"/>
      <w:bookmarkStart w:id="249" w:name="_Toc24559609"/>
    </w:p>
    <w:p w14:paraId="1445827E" w14:textId="162283D6" w:rsidR="008A255A" w:rsidRDefault="008A255A" w:rsidP="008A255A">
      <w:pPr>
        <w:rPr>
          <w:rFonts w:eastAsia="Times New Roman" w:cs="Segoe UI"/>
          <w:szCs w:val="20"/>
        </w:rPr>
      </w:pPr>
      <w:bookmarkStart w:id="250" w:name="_Hlk36037473"/>
      <w:r>
        <w:t>Note that not at all jurisdictions agree with Key Finding 24.</w:t>
      </w:r>
    </w:p>
    <w:bookmarkEnd w:id="250"/>
    <w:p w14:paraId="7A2A7B50" w14:textId="40E64585" w:rsidR="002C54BC" w:rsidRPr="00FF5F85" w:rsidRDefault="002C54BC" w:rsidP="002C54BC">
      <w:pPr>
        <w:pStyle w:val="Heading4"/>
      </w:pPr>
      <w:r w:rsidRPr="00FF5F85">
        <w:t xml:space="preserve">The current allocation methodology based on </w:t>
      </w:r>
      <w:r w:rsidR="00FF5F85" w:rsidRPr="00FF5F85">
        <w:t>four</w:t>
      </w:r>
      <w:r w:rsidRPr="00FF5F85">
        <w:t xml:space="preserve"> and </w:t>
      </w:r>
      <w:proofErr w:type="gramStart"/>
      <w:r w:rsidR="00FF5F85" w:rsidRPr="00FF5F85">
        <w:t>five</w:t>
      </w:r>
      <w:r w:rsidRPr="00FF5F85">
        <w:t xml:space="preserve"> year old</w:t>
      </w:r>
      <w:proofErr w:type="gramEnd"/>
      <w:r w:rsidRPr="00FF5F85">
        <w:t xml:space="preserve"> enrolments figures is not fit</w:t>
      </w:r>
      <w:r w:rsidR="008D62D1" w:rsidRPr="00FF5F85">
        <w:t>-</w:t>
      </w:r>
      <w:r w:rsidRPr="00FF5F85">
        <w:t>for</w:t>
      </w:r>
      <w:r w:rsidR="008D62D1" w:rsidRPr="00FF5F85">
        <w:t>-</w:t>
      </w:r>
      <w:r w:rsidRPr="00FF5F85">
        <w:t>purpose</w:t>
      </w:r>
    </w:p>
    <w:p w14:paraId="33A6781D" w14:textId="01DD6564" w:rsidR="008D62D1" w:rsidRPr="00FF5F85" w:rsidRDefault="002C54BC" w:rsidP="002C54BC">
      <w:r w:rsidRPr="00FF5F85">
        <w:t xml:space="preserve">As described in Chapter 5.2, the Review finds that consideration should be given to a more robust data source to project enrolment. </w:t>
      </w:r>
      <w:r w:rsidR="008D62D1" w:rsidRPr="00FF5F85">
        <w:t>I</w:t>
      </w:r>
      <w:r w:rsidRPr="00FF5F85">
        <w:t>n Chapter 4.2</w:t>
      </w:r>
      <w:r w:rsidR="008D62D1" w:rsidRPr="00FF5F85">
        <w:t xml:space="preserve"> we noted that </w:t>
      </w:r>
      <w:r w:rsidRPr="00FF5F85">
        <w:t xml:space="preserve">the </w:t>
      </w:r>
      <w:proofErr w:type="gramStart"/>
      <w:r w:rsidRPr="00FF5F85">
        <w:t>state-specific</w:t>
      </w:r>
      <w:proofErr w:type="gramEnd"/>
      <w:r w:rsidRPr="00FF5F85">
        <w:t xml:space="preserve"> YBFS measure would yield a more accurate enrolment count and limit the scope for enrolments to attract more than one year of funding. </w:t>
      </w:r>
      <w:r w:rsidR="00F657DE" w:rsidRPr="00FF5F85">
        <w:t xml:space="preserve">A future agreement should consider the use of </w:t>
      </w:r>
      <w:r w:rsidR="003E20CB" w:rsidRPr="00FF5F85">
        <w:t xml:space="preserve">the </w:t>
      </w:r>
      <w:proofErr w:type="gramStart"/>
      <w:r w:rsidR="00C90ECF" w:rsidRPr="00FF5F85">
        <w:t>state-specific</w:t>
      </w:r>
      <w:proofErr w:type="gramEnd"/>
      <w:r w:rsidR="00C90ECF" w:rsidRPr="00FF5F85">
        <w:t xml:space="preserve"> </w:t>
      </w:r>
      <w:r w:rsidR="003E20CB" w:rsidRPr="00FF5F85">
        <w:t xml:space="preserve">YBFS </w:t>
      </w:r>
      <w:r w:rsidR="00F657DE" w:rsidRPr="00FF5F85">
        <w:t>method as an improved method for enrolment counts</w:t>
      </w:r>
      <w:r w:rsidR="00B82CB0" w:rsidRPr="00FF5F85">
        <w:t>,</w:t>
      </w:r>
      <w:r w:rsidR="00F657DE" w:rsidRPr="00FF5F85">
        <w:t xml:space="preserve"> </w:t>
      </w:r>
      <w:r w:rsidR="0027424F" w:rsidRPr="00FF5F85">
        <w:t xml:space="preserve">in the near term, </w:t>
      </w:r>
      <w:r w:rsidR="00F657DE" w:rsidRPr="00FF5F85">
        <w:t xml:space="preserve">while potential </w:t>
      </w:r>
      <w:r w:rsidR="00501D51" w:rsidRPr="00FF5F85">
        <w:t xml:space="preserve">further </w:t>
      </w:r>
      <w:r w:rsidR="003E20CB" w:rsidRPr="00FF5F85">
        <w:t>improve</w:t>
      </w:r>
      <w:r w:rsidR="00F657DE" w:rsidRPr="00FF5F85">
        <w:t>ments</w:t>
      </w:r>
      <w:r w:rsidR="003E20CB" w:rsidRPr="00FF5F85">
        <w:t xml:space="preserve"> </w:t>
      </w:r>
      <w:r w:rsidR="00F657DE" w:rsidRPr="00FF5F85">
        <w:t>are investigated</w:t>
      </w:r>
      <w:r w:rsidR="003E20CB" w:rsidRPr="00FF5F85">
        <w:t xml:space="preserve">. </w:t>
      </w:r>
      <w:r w:rsidR="00501D51" w:rsidRPr="00FF5F85">
        <w:t xml:space="preserve">Any </w:t>
      </w:r>
      <w:r w:rsidR="003E20CB" w:rsidRPr="00FF5F85">
        <w:t xml:space="preserve">improved measure </w:t>
      </w:r>
      <w:r w:rsidR="00F657DE" w:rsidRPr="00FF5F85">
        <w:t xml:space="preserve">could then be incorporated into </w:t>
      </w:r>
      <w:r w:rsidR="00501D51" w:rsidRPr="00FF5F85">
        <w:t xml:space="preserve">longer-term </w:t>
      </w:r>
      <w:r w:rsidR="00F657DE" w:rsidRPr="00FF5F85">
        <w:t xml:space="preserve">funding </w:t>
      </w:r>
      <w:r w:rsidR="00F657DE">
        <w:rPr>
          <w:rFonts w:asciiTheme="minorHAnsi" w:hAnsiTheme="minorHAnsi"/>
        </w:rPr>
        <w:t>arrangement</w:t>
      </w:r>
      <w:r w:rsidR="00026CB5">
        <w:rPr>
          <w:rFonts w:asciiTheme="minorHAnsi" w:hAnsiTheme="minorHAnsi"/>
        </w:rPr>
        <w:t>s</w:t>
      </w:r>
      <w:r w:rsidR="003E20CB" w:rsidRPr="003E20CB">
        <w:rPr>
          <w:rFonts w:asciiTheme="minorHAnsi" w:hAnsiTheme="minorHAnsi"/>
        </w:rPr>
        <w:t>.</w:t>
      </w:r>
    </w:p>
    <w:p w14:paraId="474C5D93" w14:textId="713E4239" w:rsidR="004D67CC" w:rsidRPr="00FF5F85" w:rsidRDefault="002C54BC" w:rsidP="002C54BC">
      <w:r w:rsidRPr="00FF5F85">
        <w:t xml:space="preserve">Further work could also be undertaken to refine the growth factor applied to enrolments. Some States and Territories are disadvantaged by the use of the historical birth rate for this purpose, given that this measure excludes some population determinants (for example, internal and overseas migration).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2C54BC" w14:paraId="4FA6D96C" w14:textId="77777777" w:rsidTr="002C54BC">
        <w:tc>
          <w:tcPr>
            <w:tcW w:w="8930" w:type="dxa"/>
            <w:shd w:val="clear" w:color="auto" w:fill="00264D" w:themeFill="background2"/>
          </w:tcPr>
          <w:bookmarkEnd w:id="246"/>
          <w:p w14:paraId="57AEBC26" w14:textId="77777777" w:rsidR="002C54BC" w:rsidRPr="006C71B3" w:rsidRDefault="002C54BC" w:rsidP="002C54BC">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5F5C70">
              <w:rPr>
                <w:rFonts w:asciiTheme="minorHAnsi" w:hAnsiTheme="minorHAnsi"/>
                <w:b/>
                <w:color w:val="25B3E0" w:themeColor="accent6"/>
                <w:sz w:val="20"/>
                <w:szCs w:val="20"/>
              </w:rPr>
              <w:t>7</w:t>
            </w:r>
          </w:p>
          <w:p w14:paraId="6574DF49" w14:textId="77777777" w:rsidR="002C54BC" w:rsidRPr="002C54BC" w:rsidRDefault="002C54BC" w:rsidP="002C54BC">
            <w:pPr>
              <w:pStyle w:val="Longformcallout"/>
              <w:spacing w:after="0"/>
              <w:rPr>
                <w:rFonts w:asciiTheme="majorHAnsi" w:hAnsiTheme="majorHAnsi" w:cstheme="majorBidi"/>
                <w:color w:val="FFFFFF" w:themeColor="background1"/>
                <w:sz w:val="20"/>
                <w:szCs w:val="20"/>
              </w:rPr>
            </w:pPr>
            <w:r>
              <w:rPr>
                <w:rFonts w:asciiTheme="majorHAnsi" w:hAnsiTheme="majorHAnsi" w:cstheme="majorBidi"/>
                <w:color w:val="FFFFFF" w:themeColor="background1"/>
                <w:sz w:val="20"/>
                <w:szCs w:val="20"/>
              </w:rPr>
              <w:t>The</w:t>
            </w:r>
            <w:r w:rsidRPr="002C54BC">
              <w:rPr>
                <w:rFonts w:asciiTheme="majorHAnsi" w:hAnsiTheme="majorHAnsi" w:cstheme="majorBidi"/>
                <w:color w:val="FFFFFF" w:themeColor="background1"/>
                <w:sz w:val="20"/>
                <w:szCs w:val="20"/>
              </w:rPr>
              <w:t xml:space="preserve"> current </w:t>
            </w:r>
            <w:r w:rsidR="00CE32B4">
              <w:rPr>
                <w:rFonts w:asciiTheme="majorHAnsi" w:hAnsiTheme="majorHAnsi" w:cstheme="majorBidi"/>
                <w:color w:val="FFFFFF" w:themeColor="background1"/>
                <w:sz w:val="20"/>
                <w:szCs w:val="20"/>
              </w:rPr>
              <w:t xml:space="preserve">funding </w:t>
            </w:r>
            <w:r w:rsidRPr="002C54BC">
              <w:rPr>
                <w:rFonts w:asciiTheme="majorHAnsi" w:hAnsiTheme="majorHAnsi" w:cstheme="majorBidi"/>
                <w:color w:val="FFFFFF" w:themeColor="background1"/>
                <w:sz w:val="20"/>
                <w:szCs w:val="20"/>
              </w:rPr>
              <w:t xml:space="preserve">allocation methodology based on </w:t>
            </w:r>
            <w:r w:rsidR="00FF5F85" w:rsidRPr="00FF5F85">
              <w:rPr>
                <w:rFonts w:asciiTheme="majorHAnsi" w:hAnsiTheme="majorHAnsi" w:cstheme="majorBidi"/>
                <w:color w:val="FFFFFF" w:themeColor="background1"/>
                <w:sz w:val="20"/>
                <w:szCs w:val="20"/>
              </w:rPr>
              <w:t xml:space="preserve">four and </w:t>
            </w:r>
            <w:proofErr w:type="gramStart"/>
            <w:r w:rsidR="00FF5F85" w:rsidRPr="00FF5F85">
              <w:rPr>
                <w:rFonts w:asciiTheme="majorHAnsi" w:hAnsiTheme="majorHAnsi" w:cstheme="majorBidi"/>
                <w:color w:val="FFFFFF" w:themeColor="background1"/>
                <w:sz w:val="20"/>
                <w:szCs w:val="20"/>
              </w:rPr>
              <w:t>five</w:t>
            </w:r>
            <w:r w:rsidR="00017CCB">
              <w:rPr>
                <w:rFonts w:asciiTheme="majorHAnsi" w:hAnsiTheme="majorHAnsi" w:cstheme="majorBidi"/>
                <w:color w:val="FFFFFF" w:themeColor="background1"/>
                <w:sz w:val="20"/>
                <w:szCs w:val="20"/>
              </w:rPr>
              <w:t xml:space="preserve"> </w:t>
            </w:r>
            <w:r w:rsidR="00FF5F85" w:rsidRPr="00FF5F85">
              <w:rPr>
                <w:rFonts w:asciiTheme="majorHAnsi" w:hAnsiTheme="majorHAnsi" w:cstheme="majorBidi"/>
                <w:color w:val="FFFFFF" w:themeColor="background1"/>
                <w:sz w:val="20"/>
                <w:szCs w:val="20"/>
              </w:rPr>
              <w:t>year</w:t>
            </w:r>
            <w:r w:rsidR="00017CCB">
              <w:rPr>
                <w:rFonts w:asciiTheme="majorHAnsi" w:hAnsiTheme="majorHAnsi" w:cstheme="majorBidi"/>
                <w:color w:val="FFFFFF" w:themeColor="background1"/>
                <w:sz w:val="20"/>
                <w:szCs w:val="20"/>
              </w:rPr>
              <w:t xml:space="preserve"> </w:t>
            </w:r>
            <w:r w:rsidRPr="002C54BC">
              <w:rPr>
                <w:rFonts w:asciiTheme="majorHAnsi" w:hAnsiTheme="majorHAnsi" w:cstheme="majorBidi"/>
                <w:color w:val="FFFFFF" w:themeColor="background1"/>
                <w:sz w:val="20"/>
                <w:szCs w:val="20"/>
              </w:rPr>
              <w:t>old</w:t>
            </w:r>
            <w:proofErr w:type="gramEnd"/>
            <w:r w:rsidRPr="002C54BC">
              <w:rPr>
                <w:rFonts w:asciiTheme="majorHAnsi" w:hAnsiTheme="majorHAnsi" w:cstheme="majorBidi"/>
                <w:color w:val="FFFFFF" w:themeColor="background1"/>
                <w:sz w:val="20"/>
                <w:szCs w:val="20"/>
              </w:rPr>
              <w:t xml:space="preserve"> enrolments figures is not fit</w:t>
            </w:r>
            <w:r w:rsidR="008D62D1">
              <w:rPr>
                <w:rFonts w:asciiTheme="majorHAnsi" w:hAnsiTheme="majorHAnsi" w:cstheme="majorBidi"/>
                <w:color w:val="FFFFFF" w:themeColor="background1"/>
                <w:sz w:val="20"/>
                <w:szCs w:val="20"/>
              </w:rPr>
              <w:t>-</w:t>
            </w:r>
            <w:r w:rsidRPr="002C54BC">
              <w:rPr>
                <w:rFonts w:asciiTheme="majorHAnsi" w:hAnsiTheme="majorHAnsi" w:cstheme="majorBidi"/>
                <w:color w:val="FFFFFF" w:themeColor="background1"/>
                <w:sz w:val="20"/>
                <w:szCs w:val="20"/>
              </w:rPr>
              <w:t>for</w:t>
            </w:r>
            <w:r w:rsidR="008D62D1">
              <w:rPr>
                <w:rFonts w:asciiTheme="majorHAnsi" w:hAnsiTheme="majorHAnsi" w:cstheme="majorBidi"/>
                <w:color w:val="FFFFFF" w:themeColor="background1"/>
                <w:sz w:val="20"/>
                <w:szCs w:val="20"/>
              </w:rPr>
              <w:t>-</w:t>
            </w:r>
            <w:r w:rsidRPr="002C54BC">
              <w:rPr>
                <w:rFonts w:asciiTheme="majorHAnsi" w:hAnsiTheme="majorHAnsi" w:cstheme="majorBidi"/>
                <w:color w:val="FFFFFF" w:themeColor="background1"/>
                <w:sz w:val="20"/>
                <w:szCs w:val="20"/>
              </w:rPr>
              <w:t xml:space="preserve">purpose. Future arrangements should </w:t>
            </w:r>
            <w:r>
              <w:rPr>
                <w:rFonts w:asciiTheme="majorHAnsi" w:hAnsiTheme="majorHAnsi" w:cstheme="majorBidi"/>
                <w:color w:val="FFFFFF" w:themeColor="background1"/>
                <w:sz w:val="20"/>
                <w:szCs w:val="20"/>
              </w:rPr>
              <w:t>consider</w:t>
            </w:r>
            <w:r w:rsidRPr="002C54BC">
              <w:rPr>
                <w:rFonts w:asciiTheme="majorHAnsi" w:hAnsiTheme="majorHAnsi" w:cstheme="majorBidi"/>
                <w:color w:val="FFFFFF" w:themeColor="background1"/>
                <w:sz w:val="20"/>
                <w:szCs w:val="20"/>
              </w:rPr>
              <w:t xml:space="preserve"> an allocation </w:t>
            </w:r>
            <w:r w:rsidRPr="002C54BC">
              <w:rPr>
                <w:rFonts w:asciiTheme="majorHAnsi" w:hAnsiTheme="majorHAnsi" w:cstheme="majorBidi"/>
                <w:color w:val="FFFFFF" w:themeColor="background1"/>
                <w:sz w:val="20"/>
                <w:szCs w:val="20"/>
              </w:rPr>
              <w:lastRenderedPageBreak/>
              <w:t xml:space="preserve">methodology that uses an improved measure of enrolment, initially through the use of the </w:t>
            </w:r>
            <w:proofErr w:type="gramStart"/>
            <w:r w:rsidRPr="002C54BC">
              <w:rPr>
                <w:rFonts w:asciiTheme="majorHAnsi" w:hAnsiTheme="majorHAnsi" w:cstheme="majorBidi"/>
                <w:color w:val="FFFFFF" w:themeColor="background1"/>
                <w:sz w:val="20"/>
                <w:szCs w:val="20"/>
              </w:rPr>
              <w:t>state-specific</w:t>
            </w:r>
            <w:proofErr w:type="gramEnd"/>
            <w:r w:rsidRPr="002C54BC">
              <w:rPr>
                <w:rFonts w:asciiTheme="majorHAnsi" w:hAnsiTheme="majorHAnsi" w:cstheme="majorBidi"/>
                <w:color w:val="FFFFFF" w:themeColor="background1"/>
                <w:sz w:val="20"/>
                <w:szCs w:val="20"/>
              </w:rPr>
              <w:t xml:space="preserve"> YBFS measure.</w:t>
            </w:r>
          </w:p>
        </w:tc>
      </w:tr>
    </w:tbl>
    <w:p w14:paraId="4EEFDF46" w14:textId="77777777" w:rsidR="000F1BED" w:rsidRPr="000F1BED" w:rsidRDefault="000F1BED" w:rsidP="00FF0394">
      <w:pPr>
        <w:pStyle w:val="Heading2"/>
      </w:pPr>
      <w:bookmarkStart w:id="251" w:name="_Toc54597797"/>
      <w:r w:rsidRPr="00C950EF">
        <w:lastRenderedPageBreak/>
        <w:t>Future arra</w:t>
      </w:r>
      <w:r>
        <w:t>n</w:t>
      </w:r>
      <w:r w:rsidRPr="00C950EF">
        <w:t>geme</w:t>
      </w:r>
      <w:r>
        <w:t>n</w:t>
      </w:r>
      <w:r w:rsidRPr="00C950EF">
        <w:t xml:space="preserve">ts need to drive improvements in </w:t>
      </w:r>
      <w:r w:rsidR="00FC42C6">
        <w:t>p</w:t>
      </w:r>
      <w:r w:rsidR="00BD5115">
        <w:t xml:space="preserve">erformance </w:t>
      </w:r>
      <w:r w:rsidR="00FC42C6">
        <w:t>i</w:t>
      </w:r>
      <w:r w:rsidR="00BD5115">
        <w:t>ndicator</w:t>
      </w:r>
      <w:r w:rsidR="00AC5846">
        <w:t>s,</w:t>
      </w:r>
      <w:r w:rsidR="00AC5846" w:rsidRPr="00AC5846">
        <w:t xml:space="preserve"> </w:t>
      </w:r>
      <w:r w:rsidRPr="00C950EF">
        <w:t>reporting</w:t>
      </w:r>
      <w:r w:rsidR="00AC5846">
        <w:t xml:space="preserve"> and data sharing</w:t>
      </w:r>
      <w:bookmarkEnd w:id="247"/>
      <w:bookmarkEnd w:id="248"/>
      <w:bookmarkEnd w:id="249"/>
      <w:bookmarkEnd w:id="251"/>
    </w:p>
    <w:p w14:paraId="63554E81" w14:textId="77777777" w:rsidR="00AC75ED" w:rsidRDefault="00FF0394" w:rsidP="00AC75ED">
      <w:r>
        <w:t>As per Key Finding 7, m</w:t>
      </w:r>
      <w:r w:rsidRPr="00FF0394">
        <w:t xml:space="preserve">ajor strides have been made to develop preschool data collections and improve </w:t>
      </w:r>
      <w:r w:rsidR="00554FC1" w:rsidRPr="00FF0394">
        <w:t xml:space="preserve">performance </w:t>
      </w:r>
      <w:r w:rsidRPr="00FF0394">
        <w:t>measurement, but there are a range of issues to yet resolve.</w:t>
      </w:r>
      <w:r>
        <w:t xml:space="preserve"> </w:t>
      </w:r>
      <w:r w:rsidR="008922F3">
        <w:t xml:space="preserve">To further improve the efficiency and effectiveness of national policy development and collective investment related to preschool in the YBFS, it is important to measure the things that matter and do so in a robust and consistent way. </w:t>
      </w:r>
      <w:r w:rsidR="00AC75ED" w:rsidRPr="00AC75ED">
        <w:t>This report and others have referred to some protracted data issues</w:t>
      </w:r>
      <w:r w:rsidR="00C761BF">
        <w:t xml:space="preserve">, some of which are being worked through; </w:t>
      </w:r>
      <w:r w:rsidR="00AC75ED" w:rsidRPr="00AC75ED">
        <w:t xml:space="preserve">others </w:t>
      </w:r>
      <w:r w:rsidR="00C761BF">
        <w:t>that have lost momentum; and o</w:t>
      </w:r>
      <w:r w:rsidR="00AC75ED" w:rsidRPr="00AC75ED">
        <w:t xml:space="preserve">thers </w:t>
      </w:r>
      <w:r w:rsidR="00C761BF">
        <w:t>still that will require</w:t>
      </w:r>
      <w:r w:rsidR="00AC75ED" w:rsidRPr="00AC75ED">
        <w:t xml:space="preserve"> deeper consideration and extensive negotiation. </w:t>
      </w:r>
    </w:p>
    <w:p w14:paraId="5AB18F0B" w14:textId="77777777" w:rsidR="00A678B0" w:rsidRPr="00AC75ED" w:rsidRDefault="00A678B0" w:rsidP="00A678B0">
      <w:r>
        <w:t xml:space="preserve">Most improvements would hinge on the opportunity to improve data linkage and data sharing among governments and between the sector and their funders and regulators. </w:t>
      </w:r>
      <w:r w:rsidR="0006674D" w:rsidRPr="00A678B0">
        <w:t>Chapter</w:t>
      </w:r>
      <w:r w:rsidR="00F3556A" w:rsidRPr="00A678B0">
        <w:t xml:space="preserve"> </w:t>
      </w:r>
      <w:r w:rsidR="0006674D" w:rsidRPr="00A678B0">
        <w:t>4.</w:t>
      </w:r>
      <w:r w:rsidR="00E35E5A">
        <w:t>4</w:t>
      </w:r>
      <w:r>
        <w:t xml:space="preserve"> outlined the benefits that </w:t>
      </w:r>
      <w:r w:rsidR="00F3556A" w:rsidRPr="00A678B0">
        <w:t xml:space="preserve">jurisdictions and the sector </w:t>
      </w:r>
      <w:r>
        <w:t xml:space="preserve">would expect to derive </w:t>
      </w:r>
      <w:r w:rsidR="00F3556A" w:rsidRPr="00A678B0">
        <w:t xml:space="preserve">from improved data sharing. </w:t>
      </w:r>
      <w:r>
        <w:t xml:space="preserve">The understanding of data linkage, data protection and data sharing is improving exponentially, as are the systems that underpin effective analysis. And </w:t>
      </w:r>
      <w:proofErr w:type="gramStart"/>
      <w:r>
        <w:t>data</w:t>
      </w:r>
      <w:r w:rsidR="00C167E0">
        <w:t>-</w:t>
      </w:r>
      <w:r>
        <w:t>sets</w:t>
      </w:r>
      <w:proofErr w:type="gramEnd"/>
      <w:r>
        <w:t xml:space="preserve"> themselves are getting better. The Review finds that any new agreement should seek to leverage these emergent </w:t>
      </w:r>
      <w:r w:rsidR="00BF1DAB">
        <w:t>capabilities</w:t>
      </w:r>
      <w:r>
        <w:t xml:space="preserve"> to allow for the accurate data, improved monitoring, and more timely analysis</w:t>
      </w:r>
      <w:r w:rsidR="008654D8" w:rsidRPr="00A678B0">
        <w:t xml:space="preserve">. </w:t>
      </w:r>
    </w:p>
    <w:p w14:paraId="68C96D37" w14:textId="77777777" w:rsidR="008922F3" w:rsidRDefault="008922F3" w:rsidP="008922F3">
      <w:r>
        <w:t>Th</w:t>
      </w:r>
      <w:r w:rsidR="00AC75ED">
        <w:t xml:space="preserve">e </w:t>
      </w:r>
      <w:r w:rsidR="00A678B0">
        <w:t>specific</w:t>
      </w:r>
      <w:r w:rsidR="00AC75ED">
        <w:t xml:space="preserve"> data issues on which the Review thinks it can provide a useful perspective are </w:t>
      </w:r>
      <w:r w:rsidR="00A678B0">
        <w:t>set</w:t>
      </w:r>
      <w:r w:rsidR="00AC75ED">
        <w:t xml:space="preserve"> out </w:t>
      </w:r>
      <w:r w:rsidR="00A678B0">
        <w:t xml:space="preserve">below. </w:t>
      </w:r>
      <w:r w:rsidR="00FA5C4D">
        <w:t>T</w:t>
      </w:r>
      <w:r w:rsidR="00FA5C4D" w:rsidRPr="00FA5C4D">
        <w:t>he benefit of such measures will need to be carefully evaluated against the cost and complexity implementing such findings</w:t>
      </w:r>
      <w:r w:rsidR="00FA5C4D">
        <w:t xml:space="preserve">, including </w:t>
      </w:r>
      <w:r w:rsidR="00FA5C4D" w:rsidRPr="00FA5C4D">
        <w:t xml:space="preserve">at </w:t>
      </w:r>
      <w:r w:rsidR="00FA5C4D">
        <w:t>the</w:t>
      </w:r>
      <w:r w:rsidR="00FA5C4D" w:rsidRPr="00FA5C4D">
        <w:t xml:space="preserve"> service level</w:t>
      </w:r>
      <w:r w:rsidR="00FA5C4D">
        <w:t>.</w:t>
      </w:r>
    </w:p>
    <w:p w14:paraId="126FB71E" w14:textId="77777777" w:rsidR="0083094C" w:rsidRDefault="0007049A" w:rsidP="0007049A">
      <w:pPr>
        <w:pStyle w:val="Heading4"/>
      </w:pPr>
      <w:r>
        <w:t>A future agreement should move toward a more accurate methodology for measuring enrolment rates</w:t>
      </w:r>
    </w:p>
    <w:p w14:paraId="62D0AF19" w14:textId="23AF30D8" w:rsidR="0083094C" w:rsidRDefault="0007049A" w:rsidP="0083094C">
      <w:pPr>
        <w:rPr>
          <w:rFonts w:asciiTheme="minorHAnsi" w:hAnsiTheme="minorHAnsi"/>
          <w:sz w:val="22"/>
        </w:rPr>
      </w:pPr>
      <w:r>
        <w:t xml:space="preserve">Much of the funding arrangements and performance reporting in the UANP rely on enrolment rates. As covered in </w:t>
      </w:r>
      <w:r w:rsidR="009003B2">
        <w:t xml:space="preserve">Chapter </w:t>
      </w:r>
      <w:r>
        <w:fldChar w:fldCharType="begin"/>
      </w:r>
      <w:r>
        <w:instrText xml:space="preserve"> REF _Ref24091085 \r \h </w:instrText>
      </w:r>
      <w:r>
        <w:fldChar w:fldCharType="separate"/>
      </w:r>
      <w:r w:rsidR="00B37785">
        <w:t>4.2</w:t>
      </w:r>
      <w:r>
        <w:fldChar w:fldCharType="end"/>
      </w:r>
      <w:r>
        <w:t xml:space="preserve">, the method for calculating enrolments is not </w:t>
      </w:r>
      <w:r w:rsidR="008D62D1">
        <w:t>fit-for-purpose</w:t>
      </w:r>
      <w:r>
        <w:t xml:space="preserve">. The introduction of </w:t>
      </w:r>
      <w:proofErr w:type="gramStart"/>
      <w:r w:rsidR="0083094C" w:rsidRPr="0C5679B2">
        <w:t>state-specific</w:t>
      </w:r>
      <w:proofErr w:type="gramEnd"/>
      <w:r w:rsidR="0083094C" w:rsidRPr="0C5679B2">
        <w:t xml:space="preserve"> YBFS estimates</w:t>
      </w:r>
      <w:r>
        <w:t xml:space="preserve"> through the National Collection</w:t>
      </w:r>
      <w:r w:rsidR="0083094C" w:rsidRPr="0C5679B2">
        <w:t xml:space="preserve">, which has been used in recent years by the Productivity Commission for their annual </w:t>
      </w:r>
      <w:r w:rsidR="0083094C" w:rsidRPr="3CBBCAF8">
        <w:rPr>
          <w:i/>
        </w:rPr>
        <w:t>Report on Government Services</w:t>
      </w:r>
      <w:r w:rsidR="003C427A">
        <w:rPr>
          <w:i/>
        </w:rPr>
        <w:t xml:space="preserve"> </w:t>
      </w:r>
      <w:r w:rsidR="003C427A" w:rsidRPr="003C427A">
        <w:t>(</w:t>
      </w:r>
      <w:proofErr w:type="spellStart"/>
      <w:r w:rsidR="003C427A" w:rsidRPr="003C427A">
        <w:t>RoGS</w:t>
      </w:r>
      <w:proofErr w:type="spellEnd"/>
      <w:r w:rsidR="003C427A" w:rsidRPr="003C427A">
        <w:t>)</w:t>
      </w:r>
      <w:r w:rsidRPr="003C427A">
        <w:t>,</w:t>
      </w:r>
      <w:r>
        <w:t xml:space="preserve"> shows that improved methods are currently available</w:t>
      </w:r>
      <w:r w:rsidR="0083094C" w:rsidRPr="0C5679B2">
        <w:t xml:space="preserve">. </w:t>
      </w:r>
    </w:p>
    <w:p w14:paraId="7ADA2A92" w14:textId="77777777" w:rsidR="008B65A0" w:rsidRDefault="0083094C" w:rsidP="008B65A0">
      <w:r w:rsidRPr="0C5679B2">
        <w:t xml:space="preserve">While </w:t>
      </w:r>
      <w:r w:rsidR="0007049A">
        <w:t xml:space="preserve">the use of </w:t>
      </w:r>
      <w:proofErr w:type="gramStart"/>
      <w:r w:rsidR="0007049A">
        <w:t>state-specific</w:t>
      </w:r>
      <w:proofErr w:type="gramEnd"/>
      <w:r w:rsidR="0007049A">
        <w:t xml:space="preserve"> YBFS measurements </w:t>
      </w:r>
      <w:r w:rsidRPr="0C5679B2">
        <w:t xml:space="preserve">are the most accurate available, </w:t>
      </w:r>
      <w:r w:rsidR="0007049A">
        <w:t xml:space="preserve">the adoption of this measure in a future arrangement would </w:t>
      </w:r>
      <w:r w:rsidRPr="0C5679B2">
        <w:t xml:space="preserve">still </w:t>
      </w:r>
      <w:r w:rsidR="0007049A">
        <w:t xml:space="preserve">leave </w:t>
      </w:r>
      <w:r w:rsidRPr="0C5679B2">
        <w:t>a reasonable margin for error</w:t>
      </w:r>
      <w:r w:rsidR="0007049A">
        <w:t>,</w:t>
      </w:r>
      <w:r w:rsidRPr="0C5679B2">
        <w:t xml:space="preserve"> and </w:t>
      </w:r>
      <w:r w:rsidR="0007049A">
        <w:t xml:space="preserve">there is </w:t>
      </w:r>
      <w:r w:rsidRPr="0C5679B2">
        <w:t xml:space="preserve">room for improvement. </w:t>
      </w:r>
      <w:r w:rsidR="0007049A">
        <w:t xml:space="preserve">The use of </w:t>
      </w:r>
      <w:r w:rsidRPr="0C5679B2">
        <w:t xml:space="preserve">population data used in the denominator for </w:t>
      </w:r>
      <w:r w:rsidR="009A30F3">
        <w:t xml:space="preserve">either </w:t>
      </w:r>
      <w:r w:rsidRPr="0C5679B2">
        <w:t xml:space="preserve">the UANP methodology or the </w:t>
      </w:r>
      <w:proofErr w:type="gramStart"/>
      <w:r w:rsidR="00FC42C6" w:rsidRPr="00FC42C6">
        <w:t>state-specific</w:t>
      </w:r>
      <w:proofErr w:type="gramEnd"/>
      <w:r w:rsidR="00FC42C6" w:rsidRPr="00FC42C6">
        <w:t xml:space="preserve"> </w:t>
      </w:r>
      <w:r w:rsidRPr="0C5679B2">
        <w:t>YBFS methodology</w:t>
      </w:r>
      <w:r w:rsidR="009A30F3">
        <w:t xml:space="preserve"> </w:t>
      </w:r>
      <w:r w:rsidR="0007049A">
        <w:t xml:space="preserve">continues to have </w:t>
      </w:r>
      <w:r w:rsidRPr="0C5679B2">
        <w:t xml:space="preserve">limitations because of its use of projections and becomes less reliable over the five-year </w:t>
      </w:r>
      <w:r w:rsidR="009A30F3">
        <w:t xml:space="preserve">national </w:t>
      </w:r>
      <w:r w:rsidRPr="0C5679B2">
        <w:t xml:space="preserve">Census cycle. </w:t>
      </w:r>
      <w:r w:rsidR="008B65A0" w:rsidRPr="0C5679B2">
        <w:t xml:space="preserve">The methodology </w:t>
      </w:r>
      <w:r w:rsidR="00523FBF">
        <w:t xml:space="preserve">partly </w:t>
      </w:r>
      <w:r w:rsidR="008B65A0">
        <w:t>resolves concerns of ‘</w:t>
      </w:r>
      <w:r w:rsidR="008B65A0" w:rsidRPr="0C5679B2">
        <w:t>repeaters</w:t>
      </w:r>
      <w:r w:rsidR="008B65A0">
        <w:t xml:space="preserve">’, i.e. children counted as enrolled in preschool for more than </w:t>
      </w:r>
      <w:r w:rsidR="006F351B">
        <w:t>one</w:t>
      </w:r>
      <w:r w:rsidR="008B65A0">
        <w:t xml:space="preserve"> year.</w:t>
      </w:r>
      <w:r w:rsidR="008B65A0" w:rsidRPr="0C5679B2">
        <w:t xml:space="preserve"> </w:t>
      </w:r>
      <w:r w:rsidR="008B65A0">
        <w:t xml:space="preserve">However, it does not </w:t>
      </w:r>
      <w:r w:rsidR="008B65A0" w:rsidRPr="0C5679B2">
        <w:t xml:space="preserve">resolve the issue of cross-border enrolments (which is of particular </w:t>
      </w:r>
      <w:r w:rsidR="007921D1">
        <w:t>interest</w:t>
      </w:r>
      <w:r w:rsidR="008B65A0" w:rsidRPr="0C5679B2">
        <w:t xml:space="preserve"> to the ACT, </w:t>
      </w:r>
      <w:r w:rsidR="007921D1">
        <w:t xml:space="preserve">given the </w:t>
      </w:r>
      <w:r w:rsidR="008B65A0" w:rsidRPr="0C5679B2">
        <w:t>number of</w:t>
      </w:r>
      <w:r w:rsidR="007921D1">
        <w:t xml:space="preserve"> NSW-resident</w:t>
      </w:r>
      <w:r w:rsidR="008B65A0" w:rsidRPr="0C5679B2">
        <w:t xml:space="preserve"> children</w:t>
      </w:r>
      <w:r w:rsidR="007921D1">
        <w:t xml:space="preserve"> </w:t>
      </w:r>
      <w:r w:rsidR="008B65A0" w:rsidRPr="0C5679B2">
        <w:t xml:space="preserve">enrolled in ACT services). </w:t>
      </w:r>
    </w:p>
    <w:p w14:paraId="1EA010BD" w14:textId="77777777" w:rsidR="0007049A" w:rsidRDefault="0083094C" w:rsidP="008D6C62">
      <w:pPr>
        <w:spacing w:after="240"/>
      </w:pPr>
      <w:r w:rsidRPr="0C5679B2">
        <w:t>The Review finds that any future agreement should move toward a more accurate methodology for measuring enrolment rates for preschool in the YBFS</w:t>
      </w:r>
      <w:r w:rsidR="007921D1">
        <w:t xml:space="preserve"> noting that</w:t>
      </w:r>
      <w:r w:rsidRPr="0C5679B2">
        <w:t xml:space="preserve">, ideally, this should align with other government measures—including those reported in ROGS and </w:t>
      </w:r>
      <w:r w:rsidR="00D51CA6">
        <w:t>those</w:t>
      </w:r>
      <w:r w:rsidRPr="0C5679B2">
        <w:t xml:space="preserve"> </w:t>
      </w:r>
      <w:r w:rsidR="007921D1">
        <w:t>used to track progress on</w:t>
      </w:r>
      <w:r w:rsidRPr="0C5679B2">
        <w:t xml:space="preserve"> Closing the Gap targets. This may require an iterative process</w:t>
      </w:r>
      <w:r w:rsidR="007921D1">
        <w:t>. Fo</w:t>
      </w:r>
      <w:r w:rsidRPr="0C5679B2">
        <w:t xml:space="preserve">r example, in the short-term, </w:t>
      </w:r>
      <w:r w:rsidR="00EC23EE">
        <w:t xml:space="preserve">governments might adopt </w:t>
      </w:r>
      <w:r w:rsidRPr="0C5679B2">
        <w:t xml:space="preserve">the current state-specific YBFS methodology (or a version thereof), </w:t>
      </w:r>
      <w:r w:rsidR="00EC23EE">
        <w:t>but</w:t>
      </w:r>
      <w:r w:rsidRPr="0C5679B2">
        <w:t xml:space="preserve"> in the long-term, develop a </w:t>
      </w:r>
      <w:r w:rsidRPr="0C5679B2">
        <w:lastRenderedPageBreak/>
        <w:t xml:space="preserve">more nuanced measure that better takes into account details of when children transition into school and whether they have repeated their preschool ‘YBFS’ year.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07049A" w14:paraId="504EF9E1" w14:textId="77777777" w:rsidTr="0007049A">
        <w:trPr>
          <w:trHeight w:val="71"/>
        </w:trPr>
        <w:tc>
          <w:tcPr>
            <w:tcW w:w="8930" w:type="dxa"/>
            <w:shd w:val="clear" w:color="auto" w:fill="00264D" w:themeFill="background2"/>
          </w:tcPr>
          <w:p w14:paraId="7DAED323" w14:textId="77777777" w:rsidR="0007049A" w:rsidRPr="006C71B3" w:rsidRDefault="0007049A" w:rsidP="0007049A">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2</w:t>
            </w:r>
            <w:r w:rsidR="005F5C70">
              <w:rPr>
                <w:rFonts w:asciiTheme="minorHAnsi" w:hAnsiTheme="minorHAnsi"/>
                <w:b/>
                <w:color w:val="25B3E0" w:themeColor="accent6"/>
                <w:sz w:val="20"/>
                <w:szCs w:val="20"/>
              </w:rPr>
              <w:t>8</w:t>
            </w:r>
          </w:p>
          <w:p w14:paraId="36E6D390" w14:textId="12E0CA0C" w:rsidR="0007049A" w:rsidRPr="005912CA" w:rsidRDefault="00AA2CAF" w:rsidP="0007049A">
            <w:pPr>
              <w:pStyle w:val="Longformcallout"/>
              <w:spacing w:after="0"/>
              <w:rPr>
                <w:rFonts w:asciiTheme="majorHAnsi" w:hAnsiTheme="majorHAnsi" w:cstheme="majorBidi"/>
                <w:color w:val="FFFFFF" w:themeColor="background1"/>
                <w:sz w:val="20"/>
                <w:szCs w:val="20"/>
              </w:rPr>
            </w:pPr>
            <w:bookmarkStart w:id="252" w:name="_Hlk24091616"/>
            <w:r w:rsidRPr="00AA2CAF">
              <w:rPr>
                <w:rFonts w:asciiTheme="majorHAnsi" w:hAnsiTheme="majorHAnsi" w:cstheme="majorBidi"/>
                <w:color w:val="FFFFFF" w:themeColor="background1"/>
                <w:sz w:val="20"/>
                <w:szCs w:val="20"/>
              </w:rPr>
              <w:t>Negotiations towards any successor agreements introduced from 2021 should consider a more accurate methodology for measuring enrolment rates for preschool in the YBFS</w:t>
            </w:r>
            <w:r w:rsidR="0007049A" w:rsidRPr="00FC2211">
              <w:rPr>
                <w:rFonts w:asciiTheme="majorHAnsi" w:hAnsiTheme="majorHAnsi" w:cstheme="majorBidi"/>
                <w:color w:val="FFFFFF" w:themeColor="background1"/>
                <w:sz w:val="20"/>
                <w:szCs w:val="20"/>
              </w:rPr>
              <w:t>.</w:t>
            </w:r>
            <w:bookmarkEnd w:id="252"/>
          </w:p>
        </w:tc>
      </w:tr>
    </w:tbl>
    <w:p w14:paraId="00D4F9EB" w14:textId="77777777" w:rsidR="00225D2D" w:rsidRPr="003340FB" w:rsidRDefault="00225D2D" w:rsidP="00225D2D">
      <w:pPr>
        <w:pStyle w:val="Heading4"/>
      </w:pPr>
      <w:r>
        <w:t>Improving the measurement of</w:t>
      </w:r>
      <w:r w:rsidRPr="003340FB">
        <w:t xml:space="preserve"> attendance</w:t>
      </w:r>
      <w:r>
        <w:t xml:space="preserve"> is a clear, accepted priority</w:t>
      </w:r>
    </w:p>
    <w:p w14:paraId="0584634C" w14:textId="77777777" w:rsidR="00225D2D" w:rsidRDefault="00225D2D" w:rsidP="00225D2D">
      <w:r>
        <w:t xml:space="preserve">The current attendance measure has a major limitation – namely, the fact that attendance is currently measured as ‘at least one hour in the reference period’. This provides a limited view on participation at a definitional </w:t>
      </w:r>
      <w:r w:rsidR="00277258">
        <w:t>level and</w:t>
      </w:r>
      <w:r>
        <w:t xml:space="preserve"> is a binary measure that does not capture variation in hours of attendance or even the current policy intent of participation for 600 hours a year.</w:t>
      </w:r>
    </w:p>
    <w:p w14:paraId="42E2138E" w14:textId="77777777" w:rsidR="00225D2D" w:rsidRDefault="00225D2D" w:rsidP="00225D2D">
      <w:r>
        <w:t xml:space="preserve">It is not surprising, therefore, that there is wide agreement of the need to develop a meaningful, reliable, accurate and nationally comparable measure of attendance – in particular to understand </w:t>
      </w:r>
      <w:r w:rsidR="00EC23EE">
        <w:t>prog</w:t>
      </w:r>
      <w:r w:rsidR="000319F7">
        <w:t>r</w:t>
      </w:r>
      <w:r w:rsidR="00EC23EE">
        <w:t>ess</w:t>
      </w:r>
      <w:r>
        <w:t xml:space="preserve"> against Performance Indicator 4, which currently cannot be measured. The issues are not just about how best to measure attendance, but also at what frequency, and how to take account for the fact that </w:t>
      </w:r>
      <w:r w:rsidR="00FA5C4D">
        <w:t xml:space="preserve">preschool </w:t>
      </w:r>
      <w:r>
        <w:t>attendance is voluntary.</w:t>
      </w:r>
    </w:p>
    <w:p w14:paraId="761515B8" w14:textId="77777777" w:rsidR="00225D2D" w:rsidRDefault="00225D2D" w:rsidP="00225D2D">
      <w:r>
        <w:t xml:space="preserve">Specifically, the Review finds that </w:t>
      </w:r>
      <w:r w:rsidR="00523FBF">
        <w:t xml:space="preserve">improved attendance data collection </w:t>
      </w:r>
      <w:r>
        <w:t>should</w:t>
      </w:r>
      <w:r w:rsidR="00523FBF">
        <w:rPr>
          <w:rStyle w:val="FootnoteReference"/>
        </w:rPr>
        <w:footnoteReference w:id="98"/>
      </w:r>
      <w:r>
        <w:t>:</w:t>
      </w:r>
    </w:p>
    <w:p w14:paraId="6CD28E63" w14:textId="77777777" w:rsidR="00523FBF" w:rsidRPr="00D80F04" w:rsidRDefault="00225D2D" w:rsidP="00523FBF">
      <w:pPr>
        <w:pStyle w:val="Bullet"/>
        <w:numPr>
          <w:ilvl w:val="0"/>
          <w:numId w:val="13"/>
        </w:numPr>
        <w:ind w:left="340" w:hanging="340"/>
        <w:rPr>
          <w:rFonts w:asciiTheme="minorHAnsi" w:hAnsiTheme="minorHAnsi" w:cstheme="minorBidi"/>
        </w:rPr>
      </w:pPr>
      <w:r>
        <w:t xml:space="preserve">Collect whole year </w:t>
      </w:r>
      <w:r w:rsidR="00BC2208">
        <w:t>child</w:t>
      </w:r>
      <w:r>
        <w:t xml:space="preserve"> attendance data</w:t>
      </w:r>
      <w:r w:rsidR="00523FBF">
        <w:t xml:space="preserve">, beginning with more frequent </w:t>
      </w:r>
      <w:r w:rsidR="00523FBF" w:rsidRPr="0C5679B2">
        <w:rPr>
          <w:rFonts w:asciiTheme="minorHAnsi" w:hAnsiTheme="minorHAnsi" w:cstheme="minorBidi"/>
        </w:rPr>
        <w:t>observations to support the accuracy of this proposed level of greater detail. For example, the data could be collected four times per year, as opposed to being extrapolated from a single—and non-representative—reference week each August.</w:t>
      </w:r>
    </w:p>
    <w:p w14:paraId="64AD65CC" w14:textId="77777777" w:rsidR="00225D2D" w:rsidRDefault="00225D2D" w:rsidP="00225D2D">
      <w:pPr>
        <w:pStyle w:val="Bullet"/>
        <w:numPr>
          <w:ilvl w:val="0"/>
          <w:numId w:val="13"/>
        </w:numPr>
        <w:ind w:left="340" w:hanging="340"/>
      </w:pPr>
      <w:r>
        <w:t>Report participation data in a way that enables a breakdown of average hours per week</w:t>
      </w:r>
      <w:r w:rsidR="00D51CA6">
        <w:t>.</w:t>
      </w:r>
    </w:p>
    <w:p w14:paraId="6B272A6F" w14:textId="77777777" w:rsidR="00225D2D" w:rsidRPr="00D80F04" w:rsidRDefault="00225D2D" w:rsidP="00225D2D">
      <w:pPr>
        <w:pStyle w:val="Bullet"/>
        <w:numPr>
          <w:ilvl w:val="0"/>
          <w:numId w:val="13"/>
        </w:numPr>
        <w:ind w:left="340" w:hanging="340"/>
        <w:rPr>
          <w:rFonts w:asciiTheme="minorHAnsi" w:hAnsiTheme="minorHAnsi" w:cstheme="minorBidi"/>
        </w:rPr>
      </w:pPr>
      <w:r w:rsidRPr="0C5679B2">
        <w:rPr>
          <w:rFonts w:asciiTheme="minorHAnsi" w:hAnsiTheme="minorHAnsi" w:cstheme="minorBidi"/>
        </w:rPr>
        <w:t>Leverage the improvements since January 2019 (with the introduction of the CCS system) to reporting of data in CBDC services based on actual attendance in a session of education and care. (This improved source of attendance data should also feed into the calculation of attended hours in future National Collections.)</w:t>
      </w:r>
    </w:p>
    <w:p w14:paraId="5893D0AB" w14:textId="77777777" w:rsidR="00225D2D" w:rsidRDefault="00FC2414" w:rsidP="00225D2D">
      <w:pPr>
        <w:pStyle w:val="Bullet"/>
        <w:numPr>
          <w:ilvl w:val="0"/>
          <w:numId w:val="13"/>
        </w:numPr>
        <w:ind w:left="340" w:hanging="340"/>
        <w:rPr>
          <w:rFonts w:asciiTheme="minorHAnsi" w:hAnsiTheme="minorHAnsi" w:cstheme="minorBidi"/>
        </w:rPr>
      </w:pPr>
      <w:r>
        <w:rPr>
          <w:rFonts w:asciiTheme="minorHAnsi" w:hAnsiTheme="minorHAnsi" w:cstheme="minorBidi"/>
        </w:rPr>
        <w:t>Collect the reasons for</w:t>
      </w:r>
      <w:r w:rsidR="00225D2D" w:rsidRPr="00DF0E4E">
        <w:t xml:space="preserve"> </w:t>
      </w:r>
      <w:r w:rsidR="00225D2D" w:rsidRPr="0C5679B2">
        <w:rPr>
          <w:rFonts w:asciiTheme="minorHAnsi" w:hAnsiTheme="minorHAnsi" w:cstheme="minorBidi"/>
        </w:rPr>
        <w:t>absences. A clear improvement would be to incorporate data on absences</w:t>
      </w:r>
      <w:r w:rsidR="00EC23EE">
        <w:rPr>
          <w:rFonts w:asciiTheme="minorHAnsi" w:hAnsiTheme="minorHAnsi" w:cstheme="minorBidi"/>
        </w:rPr>
        <w:t xml:space="preserve"> </w:t>
      </w:r>
      <w:r w:rsidR="00225D2D" w:rsidRPr="0C5679B2">
        <w:rPr>
          <w:rFonts w:asciiTheme="minorHAnsi" w:hAnsiTheme="minorHAnsi" w:cstheme="minorBidi"/>
        </w:rPr>
        <w:t xml:space="preserve">that </w:t>
      </w:r>
      <w:r w:rsidR="00EC23EE">
        <w:rPr>
          <w:rFonts w:asciiTheme="minorHAnsi" w:hAnsiTheme="minorHAnsi" w:cstheme="minorBidi"/>
        </w:rPr>
        <w:t>includes categories of</w:t>
      </w:r>
      <w:r w:rsidR="00225D2D" w:rsidRPr="0C5679B2">
        <w:rPr>
          <w:rFonts w:asciiTheme="minorHAnsi" w:hAnsiTheme="minorHAnsi" w:cstheme="minorBidi"/>
        </w:rPr>
        <w:t xml:space="preserve"> reasons </w:t>
      </w:r>
      <w:r w:rsidR="00EC23EE">
        <w:rPr>
          <w:rFonts w:asciiTheme="minorHAnsi" w:hAnsiTheme="minorHAnsi" w:cstheme="minorBidi"/>
        </w:rPr>
        <w:t>for</w:t>
      </w:r>
      <w:r w:rsidR="00225D2D" w:rsidRPr="0C5679B2">
        <w:rPr>
          <w:rFonts w:asciiTheme="minorHAnsi" w:hAnsiTheme="minorHAnsi" w:cstheme="minorBidi"/>
        </w:rPr>
        <w:t xml:space="preserve"> why children who have access to a preschool service </w:t>
      </w:r>
      <w:r w:rsidR="00EC23EE">
        <w:rPr>
          <w:rFonts w:asciiTheme="minorHAnsi" w:hAnsiTheme="minorHAnsi" w:cstheme="minorBidi"/>
        </w:rPr>
        <w:t>might</w:t>
      </w:r>
      <w:r w:rsidR="00225D2D" w:rsidRPr="0C5679B2">
        <w:rPr>
          <w:rFonts w:asciiTheme="minorHAnsi" w:hAnsiTheme="minorHAnsi" w:cstheme="minorBidi"/>
        </w:rPr>
        <w:t xml:space="preserve"> not participating. This data </w:t>
      </w:r>
      <w:r w:rsidR="00EC23EE">
        <w:rPr>
          <w:rFonts w:asciiTheme="minorHAnsi" w:hAnsiTheme="minorHAnsi" w:cstheme="minorBidi"/>
        </w:rPr>
        <w:t xml:space="preserve">would allow jurisdictions to exclude ‘reasonable’ or ‘predictable’ absences (e.g. illnesses during the flu season) thereby providing more insight into the </w:t>
      </w:r>
      <w:r w:rsidR="00225D2D" w:rsidRPr="0C5679B2">
        <w:rPr>
          <w:rFonts w:asciiTheme="minorHAnsi" w:hAnsiTheme="minorHAnsi" w:cstheme="minorBidi"/>
        </w:rPr>
        <w:t>factors driving non-participation.</w:t>
      </w:r>
    </w:p>
    <w:p w14:paraId="39B92323" w14:textId="77777777" w:rsidR="000319F7" w:rsidRPr="00D80F04" w:rsidRDefault="000319F7" w:rsidP="00225D2D">
      <w:pPr>
        <w:pStyle w:val="Bullet"/>
        <w:numPr>
          <w:ilvl w:val="0"/>
          <w:numId w:val="13"/>
        </w:numPr>
        <w:ind w:left="340" w:hanging="340"/>
        <w:rPr>
          <w:rFonts w:asciiTheme="minorHAnsi" w:hAnsiTheme="minorHAnsi" w:cstheme="minorBidi"/>
        </w:rPr>
      </w:pPr>
      <w:r>
        <w:rPr>
          <w:rFonts w:asciiTheme="minorHAnsi" w:hAnsiTheme="minorHAnsi" w:cstheme="minorBidi"/>
        </w:rPr>
        <w:t>Link attendance to delivery by a qualified ECT of the 600 hours of preschool</w:t>
      </w:r>
      <w:r w:rsidR="00E76853">
        <w:rPr>
          <w:rFonts w:asciiTheme="minorHAnsi" w:hAnsiTheme="minorHAnsi" w:cstheme="minorBidi"/>
        </w:rPr>
        <w:t xml:space="preserve"> (more on this in discussion of Key Finding 33 below).</w:t>
      </w:r>
    </w:p>
    <w:p w14:paraId="0E85C897" w14:textId="77777777" w:rsidR="000319F7" w:rsidRDefault="00225D2D" w:rsidP="00366DAB">
      <w:r>
        <w:t>A more valid measure of attendance would clearly</w:t>
      </w:r>
      <w:r w:rsidR="00EC23EE">
        <w:t xml:space="preserve"> enable richer </w:t>
      </w:r>
      <w:r>
        <w:t xml:space="preserve">analysis of </w:t>
      </w:r>
      <w:r w:rsidR="000319F7">
        <w:t>overall impact</w:t>
      </w:r>
      <w:r w:rsidR="00EC23EE">
        <w:t xml:space="preserve"> </w:t>
      </w:r>
      <w:r>
        <w:t>and return on investment. Over the longer term, it would also enable a more detailed picture of those children who are attending just under the 600 hours, and those who attend for more</w:t>
      </w:r>
      <w:r w:rsidR="00EC23EE">
        <w:t>,</w:t>
      </w:r>
      <w:r>
        <w:t xml:space="preserve"> and compare any effects. This would provide evidence to determine whether 15 hours per week is in fact an appropriate minimum for all children. </w:t>
      </w:r>
    </w:p>
    <w:p w14:paraId="3D6CF849" w14:textId="77777777" w:rsidR="00225D2D" w:rsidRDefault="00EC23EE" w:rsidP="00366DAB">
      <w:r>
        <w:lastRenderedPageBreak/>
        <w:t>I</w:t>
      </w:r>
      <w:r w:rsidR="00225D2D">
        <w:t>mproved data could</w:t>
      </w:r>
      <w:r>
        <w:t xml:space="preserve"> also</w:t>
      </w:r>
      <w:r w:rsidR="00225D2D">
        <w:t xml:space="preserve"> provide a stronger evidence base around optimal levels of attendance that lead to better educational and well-being outcomes for children from participation in preschool</w:t>
      </w:r>
      <w:r w:rsidR="000319F7">
        <w:t>, as well as confirm the understanding that actual delivery of the preschool program by a fully-qualified ECT makes a substantive difference to outcomes.</w:t>
      </w:r>
    </w:p>
    <w:p w14:paraId="187DE189" w14:textId="77777777" w:rsidR="00225D2D" w:rsidRDefault="00225D2D" w:rsidP="00225D2D">
      <w:pPr>
        <w:pStyle w:val="Heading4"/>
      </w:pPr>
      <w:r>
        <w:t>Any successor agreement should reconsider the UANP’s unrealistically high attendance target</w:t>
      </w:r>
    </w:p>
    <w:p w14:paraId="30421685" w14:textId="77777777" w:rsidR="00225D2D" w:rsidRDefault="00225D2D" w:rsidP="00225D2D">
      <w:pPr>
        <w:pStyle w:val="Bullet"/>
      </w:pPr>
      <w:r>
        <w:t>T</w:t>
      </w:r>
      <w:r w:rsidRPr="003E261E">
        <w:t xml:space="preserve">he UANP references a goal of achieving an attendance rate of 100 per cent for 90 per cent of eligible </w:t>
      </w:r>
      <w:r w:rsidR="000319F7">
        <w:t>children –</w:t>
      </w:r>
      <w:r w:rsidRPr="003E261E">
        <w:t xml:space="preserve"> a higher attendance rate than in the compulsory full-time school systems. </w:t>
      </w:r>
      <w:r>
        <w:t xml:space="preserve">This is unrealistically high in a non-compulsory and not universally-free system. </w:t>
      </w:r>
      <w:r w:rsidRPr="003E261E">
        <w:t xml:space="preserve">While this goal is not tied to funding, it is nevertheless used as a </w:t>
      </w:r>
      <w:r w:rsidR="00FC42C6">
        <w:t>p</w:t>
      </w:r>
      <w:r w:rsidRPr="003E261E">
        <w:t xml:space="preserve">erformance </w:t>
      </w:r>
      <w:r w:rsidR="00FC42C6">
        <w:t>i</w:t>
      </w:r>
      <w:r w:rsidRPr="003E261E">
        <w:t>ndicator.</w:t>
      </w:r>
    </w:p>
    <w:p w14:paraId="7266A64F" w14:textId="77777777" w:rsidR="00225D2D" w:rsidRDefault="00225D2D" w:rsidP="008D6C62">
      <w:pPr>
        <w:pStyle w:val="Bullet"/>
        <w:spacing w:after="240"/>
      </w:pPr>
      <w:r>
        <w:t xml:space="preserve">When a reliable, accurate and nationally comparable measure of attendance is established an alternative target might be negotiated. This target could include reference to international experience and evidence on the link </w:t>
      </w:r>
      <w:r w:rsidR="000319F7">
        <w:t>between attendance and</w:t>
      </w:r>
      <w:r>
        <w:t xml:space="preserve"> child outcomes. </w:t>
      </w:r>
    </w:p>
    <w:p w14:paraId="6707152A" w14:textId="77777777" w:rsidR="00D25A17" w:rsidRPr="00EF0FEA" w:rsidRDefault="00D25A17" w:rsidP="00D25A17">
      <w:pPr>
        <w:pStyle w:val="Callout"/>
        <w:rPr>
          <w:sz w:val="18"/>
        </w:rPr>
      </w:pPr>
      <w:r w:rsidRPr="00EF0FEA">
        <w:rPr>
          <w:sz w:val="18"/>
        </w:rPr>
        <w:t xml:space="preserve">“Attendance data should be used to identify enrolled children who are not regularly attending </w:t>
      </w:r>
      <w:r w:rsidR="00957AAF">
        <w:rPr>
          <w:sz w:val="18"/>
        </w:rPr>
        <w:t>(preschool)</w:t>
      </w:r>
      <w:r w:rsidRPr="00EF0FEA">
        <w:rPr>
          <w:sz w:val="18"/>
        </w:rPr>
        <w:t xml:space="preserve">. The purpose of collecting this data should be to enable services to engage with families to establish why a child is not attending and provide extra support to remove barriers to participation that families may be experiencing and really boost participation…tracking of attendance data must not be linked to funding because, unlike school attendance, participation in a </w:t>
      </w:r>
      <w:r w:rsidR="00957AAF">
        <w:rPr>
          <w:sz w:val="18"/>
        </w:rPr>
        <w:t>(preschool)</w:t>
      </w:r>
      <w:r w:rsidRPr="00EF0FEA">
        <w:rPr>
          <w:sz w:val="18"/>
        </w:rPr>
        <w:t xml:space="preserve"> is not compulsory and therefore cannot and should not be enforced by services.” (</w:t>
      </w:r>
      <w:bookmarkStart w:id="253" w:name="_Hlk30666110"/>
      <w:r w:rsidRPr="00EF0FEA">
        <w:rPr>
          <w:sz w:val="18"/>
        </w:rPr>
        <w:t>Queensland Catholic Education Commission</w:t>
      </w:r>
      <w:bookmarkEnd w:id="253"/>
      <w:r w:rsidRPr="00EF0FEA">
        <w:rPr>
          <w:sz w:val="18"/>
        </w:rPr>
        <w:t xml:space="preserve">)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225D2D" w14:paraId="5CD2B7E0" w14:textId="77777777" w:rsidTr="006630F2">
        <w:tc>
          <w:tcPr>
            <w:tcW w:w="8930" w:type="dxa"/>
            <w:shd w:val="clear" w:color="auto" w:fill="00264D" w:themeFill="background2"/>
          </w:tcPr>
          <w:p w14:paraId="15C3DED3" w14:textId="77777777" w:rsidR="000319F7" w:rsidRPr="006C71B3" w:rsidRDefault="000319F7" w:rsidP="000319F7">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Pr>
                <w:rFonts w:asciiTheme="minorHAnsi" w:hAnsiTheme="minorHAnsi"/>
                <w:b/>
                <w:color w:val="25B3E0" w:themeColor="accent6"/>
                <w:sz w:val="20"/>
                <w:szCs w:val="20"/>
              </w:rPr>
              <w:t>29</w:t>
            </w:r>
          </w:p>
          <w:p w14:paraId="16481414" w14:textId="77777777" w:rsidR="000319F7" w:rsidRDefault="000319F7" w:rsidP="0045712E">
            <w:pPr>
              <w:pStyle w:val="Longformcallout"/>
              <w:spacing w:before="0" w:after="120"/>
              <w:rPr>
                <w:rFonts w:asciiTheme="minorHAnsi" w:hAnsiTheme="minorHAnsi"/>
                <w:b/>
                <w:color w:val="25B3E0" w:themeColor="accent6"/>
                <w:sz w:val="20"/>
                <w:szCs w:val="20"/>
              </w:rPr>
            </w:pPr>
            <w:r w:rsidRPr="002F1886">
              <w:rPr>
                <w:rFonts w:asciiTheme="majorHAnsi" w:hAnsiTheme="majorHAnsi" w:cstheme="majorBidi"/>
                <w:color w:val="FFFFFF" w:themeColor="background1"/>
                <w:sz w:val="20"/>
                <w:szCs w:val="20"/>
              </w:rPr>
              <w:t>Current measures of attendance are not suitable for performance reporting or funding decisions. Governments should invest in accurately and reliably measuring and reporting a nationally consistent measure of preschool attendance</w:t>
            </w:r>
            <w:r w:rsidRPr="0C5679B2">
              <w:rPr>
                <w:rFonts w:asciiTheme="majorHAnsi" w:hAnsiTheme="majorHAnsi" w:cstheme="majorBidi"/>
                <w:color w:val="FFFFFF" w:themeColor="background1"/>
                <w:sz w:val="20"/>
                <w:szCs w:val="20"/>
              </w:rPr>
              <w:t>.</w:t>
            </w:r>
          </w:p>
          <w:p w14:paraId="66370B6B" w14:textId="77777777" w:rsidR="00225D2D" w:rsidRPr="006C71B3" w:rsidRDefault="00225D2D" w:rsidP="0045712E">
            <w:pPr>
              <w:pStyle w:val="Longformcallout"/>
              <w:spacing w:before="12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5C70">
              <w:rPr>
                <w:rFonts w:asciiTheme="minorHAnsi" w:hAnsiTheme="minorHAnsi"/>
                <w:b/>
                <w:color w:val="25B3E0" w:themeColor="accent6"/>
                <w:sz w:val="20"/>
                <w:szCs w:val="20"/>
              </w:rPr>
              <w:t>30</w:t>
            </w:r>
          </w:p>
          <w:p w14:paraId="68BE0500" w14:textId="0F2C93FF" w:rsidR="00225D2D" w:rsidRPr="00236507" w:rsidRDefault="00AA2CAF" w:rsidP="006630F2">
            <w:pPr>
              <w:pStyle w:val="Longformcallout"/>
              <w:spacing w:before="0"/>
              <w:rPr>
                <w:rFonts w:asciiTheme="minorHAnsi" w:hAnsiTheme="minorHAnsi"/>
                <w:color w:val="FFFFFF" w:themeColor="background1"/>
                <w:sz w:val="18"/>
                <w:szCs w:val="18"/>
              </w:rPr>
            </w:pPr>
            <w:r w:rsidRPr="00AA2CAF">
              <w:rPr>
                <w:rFonts w:asciiTheme="majorHAnsi" w:hAnsiTheme="majorHAnsi" w:cstheme="majorBidi"/>
                <w:color w:val="FFFFFF" w:themeColor="background1"/>
                <w:sz w:val="20"/>
                <w:szCs w:val="20"/>
              </w:rPr>
              <w:t>The UANP’s current attendance target is unrealistically high. Successor agreements introduced from 2021 should include a more realistic target that is tied at the child-level to actual delivery by an ECT, accounts for the reasons for absences and recognise the non-compulsory nature of preschool programs</w:t>
            </w:r>
            <w:r w:rsidR="00225D2D" w:rsidRPr="0C5679B2">
              <w:rPr>
                <w:rFonts w:asciiTheme="minorHAnsi" w:hAnsiTheme="minorHAnsi"/>
                <w:color w:val="FFFFFF" w:themeColor="background1"/>
                <w:sz w:val="18"/>
                <w:szCs w:val="18"/>
              </w:rPr>
              <w:t>.</w:t>
            </w:r>
          </w:p>
        </w:tc>
      </w:tr>
    </w:tbl>
    <w:p w14:paraId="1AE4F547" w14:textId="77777777" w:rsidR="00AC75ED" w:rsidRPr="00AC75ED" w:rsidRDefault="005912CA" w:rsidP="005912CA">
      <w:pPr>
        <w:pStyle w:val="Heading4"/>
      </w:pPr>
      <w:r>
        <w:t>There is a strong case for improved o</w:t>
      </w:r>
      <w:r w:rsidR="00AC75ED" w:rsidRPr="00AC75ED">
        <w:t>utcome measures</w:t>
      </w:r>
    </w:p>
    <w:p w14:paraId="5CA263A8" w14:textId="77777777" w:rsidR="00AC5846" w:rsidRDefault="005912CA" w:rsidP="00BA59BC">
      <w:pPr>
        <w:pStyle w:val="Bullet"/>
      </w:pPr>
      <w:r>
        <w:t>T</w:t>
      </w:r>
      <w:r w:rsidR="00F56310" w:rsidRPr="00F56310">
        <w:t xml:space="preserve">he </w:t>
      </w:r>
      <w:r w:rsidR="00464990">
        <w:t xml:space="preserve">UANP’s </w:t>
      </w:r>
      <w:r w:rsidR="00F56310" w:rsidRPr="00F56310">
        <w:t xml:space="preserve">headline targets have become less meaningful as the sector has matured and enrolments have risen and been sustained at above 95 per cent for the general population. </w:t>
      </w:r>
      <w:r w:rsidR="00FC2211">
        <w:t>Further</w:t>
      </w:r>
      <w:r>
        <w:t xml:space="preserve">, the outcome measures as they are expressed in the UANP are, in reality, input measures that do not get to the heart of the change that quality preschool is intended to </w:t>
      </w:r>
      <w:r w:rsidR="00FC2211">
        <w:t>produce</w:t>
      </w:r>
      <w:r w:rsidR="00D506E4">
        <w:t>.</w:t>
      </w:r>
      <w:r>
        <w:t xml:space="preserve"> </w:t>
      </w:r>
    </w:p>
    <w:p w14:paraId="5CD60D14" w14:textId="77777777" w:rsidR="00D506E4" w:rsidRDefault="00D506E4" w:rsidP="00D06D6E">
      <w:r>
        <w:t>The Review finds that stronger focus on longer-term child outcomes would further galvanise resources and effort to maximise the benefits of universal access</w:t>
      </w:r>
      <w:r w:rsidR="001A10F3">
        <w:t xml:space="preserve">, and that governments should collaborate to </w:t>
      </w:r>
      <w:r w:rsidR="00FC2211">
        <w:t>develop a more meaningful</w:t>
      </w:r>
      <w:r w:rsidR="00FC2211" w:rsidRPr="00FC2211">
        <w:t xml:space="preserve"> </w:t>
      </w:r>
      <w:r w:rsidR="00FC2211">
        <w:t>outcomes measuremen</w:t>
      </w:r>
      <w:r w:rsidR="001A10F3">
        <w:t xml:space="preserve">t. </w:t>
      </w:r>
      <w:r w:rsidR="00D06D6E">
        <w:t xml:space="preserve">Tracking long-term outcomes measures is also a helpful way of testing whether performance measures are an effective proxy, such as whether there is a robust correlation between attendance and quality measures and child outcomes. </w:t>
      </w:r>
      <w:r>
        <w:t xml:space="preserve">A cross-section of </w:t>
      </w:r>
      <w:proofErr w:type="gramStart"/>
      <w:r>
        <w:t>s</w:t>
      </w:r>
      <w:r w:rsidRPr="00F56310">
        <w:t>takeholders</w:t>
      </w:r>
      <w:proofErr w:type="gramEnd"/>
      <w:r w:rsidRPr="00F56310">
        <w:t xml:space="preserve"> </w:t>
      </w:r>
      <w:r>
        <w:t>express support for</w:t>
      </w:r>
      <w:r w:rsidRPr="00F56310">
        <w:t xml:space="preserve"> strong</w:t>
      </w:r>
      <w:r>
        <w:t>er</w:t>
      </w:r>
      <w:r w:rsidRPr="00F56310">
        <w:t xml:space="preserve"> outcome measures</w:t>
      </w:r>
      <w:r>
        <w:t>.</w:t>
      </w:r>
    </w:p>
    <w:p w14:paraId="1AC0AB6F" w14:textId="77777777" w:rsidR="00710B32" w:rsidRDefault="00BA59BC" w:rsidP="00BA59BC">
      <w:pPr>
        <w:pStyle w:val="Bullet"/>
      </w:pPr>
      <w:r>
        <w:t xml:space="preserve">The question then arises as to what measure could be used. </w:t>
      </w:r>
      <w:r w:rsidR="001A10F3">
        <w:t xml:space="preserve">The Review considered the suitability of existing datasets, including </w:t>
      </w:r>
      <w:r w:rsidR="006C7C9B">
        <w:t xml:space="preserve">the </w:t>
      </w:r>
      <w:r w:rsidR="001A10F3">
        <w:t>AEDC</w:t>
      </w:r>
      <w:r w:rsidR="006C7C9B">
        <w:t xml:space="preserve"> and</w:t>
      </w:r>
      <w:r w:rsidR="001A10F3">
        <w:t xml:space="preserve"> NAPLAN, but the challenges and limitations </w:t>
      </w:r>
      <w:r w:rsidR="00710B32">
        <w:t xml:space="preserve">of these </w:t>
      </w:r>
      <w:r>
        <w:t>are</w:t>
      </w:r>
      <w:r w:rsidR="001A10F3">
        <w:t xml:space="preserve"> too great.</w:t>
      </w:r>
      <w:r>
        <w:t xml:space="preserve"> </w:t>
      </w:r>
      <w:r w:rsidR="001A10F3">
        <w:t>For example, t</w:t>
      </w:r>
      <w:r w:rsidR="001A10F3" w:rsidRPr="001A10F3">
        <w:t xml:space="preserve">he AEDC </w:t>
      </w:r>
      <w:r w:rsidR="00710B32">
        <w:t xml:space="preserve">provides population-level data on children’s performance against five </w:t>
      </w:r>
      <w:r w:rsidR="00710B32">
        <w:lastRenderedPageBreak/>
        <w:t>domains of development in their first year of full</w:t>
      </w:r>
      <w:r w:rsidR="00464990">
        <w:t>-</w:t>
      </w:r>
      <w:r w:rsidR="00710B32">
        <w:t>time school.</w:t>
      </w:r>
      <w:r w:rsidR="001A10F3" w:rsidRPr="001A10F3">
        <w:t xml:space="preserve"> However</w:t>
      </w:r>
      <w:r w:rsidR="00E76853">
        <w:t>,</w:t>
      </w:r>
      <w:r w:rsidR="001A10F3" w:rsidRPr="001A10F3">
        <w:t xml:space="preserve"> it </w:t>
      </w:r>
      <w:r w:rsidR="00710B32">
        <w:t>neither</w:t>
      </w:r>
      <w:r w:rsidR="001A10F3" w:rsidRPr="001A10F3">
        <w:t xml:space="preserve"> </w:t>
      </w:r>
      <w:r w:rsidR="00710B32">
        <w:t>p</w:t>
      </w:r>
      <w:r w:rsidR="001A10F3" w:rsidRPr="001A10F3">
        <w:t>rovide</w:t>
      </w:r>
      <w:r w:rsidR="00710B32">
        <w:t>s</w:t>
      </w:r>
      <w:r w:rsidR="001A10F3" w:rsidRPr="001A10F3">
        <w:t xml:space="preserve"> a </w:t>
      </w:r>
      <w:r w:rsidR="00BC2208">
        <w:t>child</w:t>
      </w:r>
      <w:r w:rsidR="001A10F3" w:rsidRPr="001A10F3">
        <w:t>-level view of the impact of YBFS preschool</w:t>
      </w:r>
      <w:r w:rsidR="00710B32">
        <w:t xml:space="preserve"> or isolates preschool as a specific cause of changed</w:t>
      </w:r>
      <w:r w:rsidR="001A10F3" w:rsidRPr="001A10F3">
        <w:t xml:space="preserve"> </w:t>
      </w:r>
      <w:r w:rsidR="00710B32">
        <w:t xml:space="preserve">developmental </w:t>
      </w:r>
      <w:r w:rsidR="001A10F3" w:rsidRPr="001A10F3">
        <w:t>outcomes</w:t>
      </w:r>
      <w:r w:rsidR="00710B32">
        <w:t xml:space="preserve">. A key issue is that the AEDC is </w:t>
      </w:r>
      <w:r w:rsidR="001A10F3" w:rsidRPr="00D506E4">
        <w:t>conducted triennially</w:t>
      </w:r>
      <w:r w:rsidR="00710B32">
        <w:t>,</w:t>
      </w:r>
      <w:r w:rsidR="001A10F3">
        <w:t xml:space="preserve"> and </w:t>
      </w:r>
      <w:r w:rsidR="00710B32">
        <w:t xml:space="preserve">so </w:t>
      </w:r>
      <w:r w:rsidR="001A10F3">
        <w:t xml:space="preserve">does not enable timely </w:t>
      </w:r>
      <w:r w:rsidR="00710B32">
        <w:t xml:space="preserve">feedback into the system. NAPLAN is problematic for a similar reason; there is a lag of four years before the experience of preschool in the YBFS and Year 3 results can be connected. </w:t>
      </w:r>
    </w:p>
    <w:p w14:paraId="6C7D7BC4" w14:textId="77777777" w:rsidR="001A10F3" w:rsidRDefault="00710B32" w:rsidP="00BA59BC">
      <w:pPr>
        <w:pStyle w:val="Bullet"/>
      </w:pPr>
      <w:r>
        <w:t xml:space="preserve">To be clear, these </w:t>
      </w:r>
      <w:r w:rsidR="006C7C9B">
        <w:t xml:space="preserve">relationships to AEDC and NAPLAN are useful to draw, but they do </w:t>
      </w:r>
      <w:proofErr w:type="gramStart"/>
      <w:r w:rsidR="006C7C9B">
        <w:t>no</w:t>
      </w:r>
      <w:proofErr w:type="gramEnd"/>
      <w:r w:rsidR="006C7C9B">
        <w:t xml:space="preserve"> serve as effective or timely measures of the specific outcomes of YBFS preschool as an intervention. </w:t>
      </w:r>
    </w:p>
    <w:p w14:paraId="2502021F" w14:textId="77777777" w:rsidR="00B52288" w:rsidRPr="00EF0FEA" w:rsidRDefault="00B52288" w:rsidP="00B52288">
      <w:pPr>
        <w:pStyle w:val="Callout"/>
        <w:rPr>
          <w:sz w:val="18"/>
          <w:szCs w:val="18"/>
        </w:rPr>
      </w:pPr>
      <w:r w:rsidRPr="00EF0FEA">
        <w:rPr>
          <w:sz w:val="18"/>
          <w:szCs w:val="18"/>
        </w:rPr>
        <w:t>“</w:t>
      </w:r>
      <w:r w:rsidRPr="00EF0FEA">
        <w:rPr>
          <w:rFonts w:cs="Arial"/>
          <w:sz w:val="18"/>
          <w:szCs w:val="18"/>
        </w:rPr>
        <w:t>The data challenge is to move to the next level of analysis to build evidence on the relationship between participation in quality preschool and improved outcomes for children</w:t>
      </w:r>
      <w:r w:rsidRPr="00EF0FEA">
        <w:rPr>
          <w:sz w:val="18"/>
          <w:szCs w:val="18"/>
        </w:rPr>
        <w:t>.” (</w:t>
      </w:r>
      <w:bookmarkStart w:id="254" w:name="_Hlk30667836"/>
      <w:r w:rsidRPr="00EF0FEA">
        <w:rPr>
          <w:sz w:val="18"/>
          <w:szCs w:val="18"/>
        </w:rPr>
        <w:t xml:space="preserve">Dr Russell Ayres, Dr Wendy </w:t>
      </w:r>
      <w:proofErr w:type="spellStart"/>
      <w:proofErr w:type="gramStart"/>
      <w:r w:rsidRPr="00EF0FEA">
        <w:rPr>
          <w:sz w:val="18"/>
          <w:szCs w:val="18"/>
        </w:rPr>
        <w:t>Jarvie</w:t>
      </w:r>
      <w:proofErr w:type="spellEnd"/>
      <w:proofErr w:type="gramEnd"/>
      <w:r w:rsidRPr="00EF0FEA">
        <w:rPr>
          <w:sz w:val="18"/>
          <w:szCs w:val="18"/>
        </w:rPr>
        <w:t xml:space="preserve"> and Dr Trish Mercer submission</w:t>
      </w:r>
      <w:bookmarkEnd w:id="254"/>
      <w:r w:rsidRPr="00EF0FEA">
        <w:rPr>
          <w:sz w:val="18"/>
          <w:szCs w:val="18"/>
        </w:rPr>
        <w:t>)</w:t>
      </w:r>
    </w:p>
    <w:p w14:paraId="591812BC" w14:textId="77777777" w:rsidR="00D506E4" w:rsidRDefault="00D506E4" w:rsidP="00BA59BC">
      <w:pPr>
        <w:pStyle w:val="Bullet"/>
      </w:pPr>
      <w:r>
        <w:t xml:space="preserve">The Review </w:t>
      </w:r>
      <w:r w:rsidR="006C7C9B">
        <w:t xml:space="preserve">therefore </w:t>
      </w:r>
      <w:r>
        <w:t>finds that consideration should be given to developing an appropriate set of outcome measures</w:t>
      </w:r>
      <w:r w:rsidR="006C7C9B">
        <w:t xml:space="preserve"> that can be used to better understand the impact that universal access to quality preschool in the YBFS is having. These measures may need to vary according to the local </w:t>
      </w:r>
      <w:proofErr w:type="gramStart"/>
      <w:r w:rsidR="006C7C9B">
        <w:t>context</w:t>
      </w:r>
      <w:r w:rsidR="007E3A5E">
        <w:t>, but</w:t>
      </w:r>
      <w:proofErr w:type="gramEnd"/>
      <w:r w:rsidR="00FA5C4D">
        <w:t xml:space="preserve"> should be linked with enrolment and attendance data at the child level. These considerations should factor in the current challenges in agreeing data linkages (</w:t>
      </w:r>
      <w:r w:rsidR="0053482C">
        <w:t>as described at</w:t>
      </w:r>
      <w:r w:rsidR="00FA5C4D">
        <w:t xml:space="preserve"> Chapter 4.4)</w:t>
      </w:r>
      <w:r w:rsidR="0053482C">
        <w:t>.</w:t>
      </w:r>
    </w:p>
    <w:p w14:paraId="0B93AE56" w14:textId="77777777" w:rsidR="00D506E4" w:rsidRDefault="00D506E4" w:rsidP="009D7237">
      <w:pPr>
        <w:pStyle w:val="Bullet"/>
        <w:spacing w:after="240"/>
      </w:pPr>
      <w:r>
        <w:t>The Review does not judge it appropriate to tie any new outcome measures to funding. As noted above, the basis for reward payment should be on areas of targeted reform to overcome the remaining barriers that have affected the ability of all children to enjoy the benefits of a quality preschool in the YBFS. The impact of reforms, in the first instance, need to be measured at a more granular level and more immediately after the interventions concerned, some of which may occur before the YBFS.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5912CA" w14:paraId="7AA5A5FF" w14:textId="77777777" w:rsidTr="00E629F4">
        <w:trPr>
          <w:trHeight w:val="71"/>
        </w:trPr>
        <w:tc>
          <w:tcPr>
            <w:tcW w:w="8930" w:type="dxa"/>
            <w:shd w:val="clear" w:color="auto" w:fill="00264D" w:themeFill="background2"/>
          </w:tcPr>
          <w:p w14:paraId="3B93CC45" w14:textId="77777777" w:rsidR="005912CA" w:rsidRPr="006C71B3" w:rsidRDefault="005912CA" w:rsidP="00A678B0">
            <w:pPr>
              <w:pStyle w:val="Longformcallout"/>
              <w:spacing w:before="0"/>
              <w:rPr>
                <w:rFonts w:asciiTheme="minorHAnsi" w:hAnsiTheme="minorHAnsi"/>
                <w:b/>
                <w:color w:val="25B3E0" w:themeColor="accent6"/>
                <w:sz w:val="20"/>
                <w:szCs w:val="20"/>
              </w:rPr>
            </w:pPr>
            <w:bookmarkStart w:id="255" w:name="_Hlk24092399"/>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3</w:t>
            </w:r>
            <w:r w:rsidR="005F5C70">
              <w:rPr>
                <w:rFonts w:asciiTheme="minorHAnsi" w:hAnsiTheme="minorHAnsi"/>
                <w:b/>
                <w:color w:val="25B3E0" w:themeColor="accent6"/>
                <w:sz w:val="20"/>
                <w:szCs w:val="20"/>
              </w:rPr>
              <w:t>1</w:t>
            </w:r>
          </w:p>
          <w:p w14:paraId="3010414B" w14:textId="3C364520" w:rsidR="005912CA" w:rsidRPr="005912CA" w:rsidRDefault="002F1886" w:rsidP="00A678B0">
            <w:pPr>
              <w:pStyle w:val="Longformcallout"/>
              <w:spacing w:after="0"/>
              <w:rPr>
                <w:rFonts w:asciiTheme="majorHAnsi" w:hAnsiTheme="majorHAnsi" w:cstheme="majorBidi"/>
                <w:color w:val="FFFFFF" w:themeColor="background1"/>
                <w:sz w:val="20"/>
                <w:szCs w:val="20"/>
              </w:rPr>
            </w:pPr>
            <w:r w:rsidRPr="002F1886">
              <w:rPr>
                <w:rFonts w:asciiTheme="majorHAnsi" w:hAnsiTheme="majorHAnsi" w:cstheme="majorBidi"/>
                <w:color w:val="FFFFFF" w:themeColor="background1"/>
                <w:sz w:val="20"/>
                <w:szCs w:val="20"/>
              </w:rPr>
              <w:t xml:space="preserve">Negotiations towards any </w:t>
            </w:r>
            <w:r w:rsidR="00EB493A">
              <w:rPr>
                <w:rFonts w:asciiTheme="majorHAnsi" w:hAnsiTheme="majorHAnsi" w:cstheme="majorBidi"/>
                <w:color w:val="FFFFFF" w:themeColor="background1"/>
                <w:sz w:val="20"/>
                <w:szCs w:val="20"/>
              </w:rPr>
              <w:t>enduring funding</w:t>
            </w:r>
            <w:r w:rsidR="00EB493A" w:rsidRPr="002F1886">
              <w:rPr>
                <w:rFonts w:asciiTheme="majorHAnsi" w:hAnsiTheme="majorHAnsi" w:cstheme="majorBidi"/>
                <w:color w:val="FFFFFF" w:themeColor="background1"/>
                <w:sz w:val="20"/>
                <w:szCs w:val="20"/>
              </w:rPr>
              <w:t xml:space="preserve"> </w:t>
            </w:r>
            <w:r w:rsidRPr="002F1886">
              <w:rPr>
                <w:rFonts w:asciiTheme="majorHAnsi" w:hAnsiTheme="majorHAnsi" w:cstheme="majorBidi"/>
                <w:color w:val="FFFFFF" w:themeColor="background1"/>
                <w:sz w:val="20"/>
                <w:szCs w:val="20"/>
              </w:rPr>
              <w:t xml:space="preserve">agreement </w:t>
            </w:r>
            <w:r w:rsidR="00EB493A">
              <w:rPr>
                <w:rFonts w:asciiTheme="majorHAnsi" w:hAnsiTheme="majorHAnsi" w:cstheme="majorBidi"/>
                <w:color w:val="FFFFFF" w:themeColor="background1"/>
                <w:sz w:val="20"/>
                <w:szCs w:val="20"/>
              </w:rPr>
              <w:t xml:space="preserve">from 2026 onwards </w:t>
            </w:r>
            <w:r w:rsidRPr="002F1886">
              <w:rPr>
                <w:rFonts w:asciiTheme="majorHAnsi" w:hAnsiTheme="majorHAnsi" w:cstheme="majorBidi"/>
                <w:color w:val="FFFFFF" w:themeColor="background1"/>
                <w:sz w:val="20"/>
                <w:szCs w:val="20"/>
              </w:rPr>
              <w:t xml:space="preserve">should consider the value and feasibility of child-focused outcomes measures. These negotiations should also consider whether AEDC results should be included as a </w:t>
            </w:r>
            <w:r w:rsidR="00FC42C6">
              <w:rPr>
                <w:rFonts w:asciiTheme="majorHAnsi" w:hAnsiTheme="majorHAnsi" w:cstheme="majorBidi"/>
                <w:color w:val="FFFFFF" w:themeColor="background1"/>
                <w:sz w:val="20"/>
                <w:szCs w:val="20"/>
              </w:rPr>
              <w:t>p</w:t>
            </w:r>
            <w:r w:rsidRPr="002F1886">
              <w:rPr>
                <w:rFonts w:asciiTheme="majorHAnsi" w:hAnsiTheme="majorHAnsi" w:cstheme="majorBidi"/>
                <w:color w:val="FFFFFF" w:themeColor="background1"/>
                <w:sz w:val="20"/>
                <w:szCs w:val="20"/>
              </w:rPr>
              <w:t xml:space="preserve">erformance </w:t>
            </w:r>
            <w:r w:rsidR="00FC42C6">
              <w:rPr>
                <w:rFonts w:asciiTheme="majorHAnsi" w:hAnsiTheme="majorHAnsi" w:cstheme="majorBidi"/>
                <w:color w:val="FFFFFF" w:themeColor="background1"/>
                <w:sz w:val="20"/>
                <w:szCs w:val="20"/>
              </w:rPr>
              <w:t>i</w:t>
            </w:r>
            <w:r w:rsidRPr="002F1886">
              <w:rPr>
                <w:rFonts w:asciiTheme="majorHAnsi" w:hAnsiTheme="majorHAnsi" w:cstheme="majorBidi"/>
                <w:color w:val="FFFFFF" w:themeColor="background1"/>
                <w:sz w:val="20"/>
                <w:szCs w:val="20"/>
              </w:rPr>
              <w:t>ndicator, though this should not be tied to funding</w:t>
            </w:r>
            <w:r w:rsidR="00FC2211" w:rsidRPr="00FC2211">
              <w:rPr>
                <w:rFonts w:asciiTheme="majorHAnsi" w:hAnsiTheme="majorHAnsi" w:cstheme="majorBidi"/>
                <w:color w:val="FFFFFF" w:themeColor="background1"/>
                <w:sz w:val="20"/>
                <w:szCs w:val="20"/>
              </w:rPr>
              <w:t>.</w:t>
            </w:r>
          </w:p>
        </w:tc>
      </w:tr>
    </w:tbl>
    <w:bookmarkEnd w:id="255"/>
    <w:p w14:paraId="3FDE19FA" w14:textId="77777777" w:rsidR="003233A9" w:rsidRPr="00AC75ED" w:rsidRDefault="003233A9" w:rsidP="005912CA">
      <w:pPr>
        <w:pStyle w:val="Heading4"/>
      </w:pPr>
      <w:r w:rsidRPr="00AC75ED">
        <w:t xml:space="preserve">A better </w:t>
      </w:r>
      <w:r w:rsidR="005912CA">
        <w:t xml:space="preserve">way of measuring vulnerability and disadvantage would prove more valuable to </w:t>
      </w:r>
      <w:proofErr w:type="gramStart"/>
      <w:r w:rsidR="005912CA">
        <w:t>policy-making</w:t>
      </w:r>
      <w:proofErr w:type="gramEnd"/>
      <w:r w:rsidR="005912CA">
        <w:t xml:space="preserve"> and analysis</w:t>
      </w:r>
    </w:p>
    <w:p w14:paraId="46976CDA" w14:textId="77777777" w:rsidR="005912CA" w:rsidRDefault="008F7577" w:rsidP="005912CA">
      <w:r>
        <w:t>Chapter</w:t>
      </w:r>
      <w:r w:rsidRPr="00272ABB">
        <w:t xml:space="preserve"> </w:t>
      </w:r>
      <w:r w:rsidR="005912CA">
        <w:t>4.3 highlighted some issues with the use of the SEIFA-IRSD index as a measure of vulnerability and disadvantage. T</w:t>
      </w:r>
      <w:r w:rsidR="003233A9" w:rsidRPr="003233A9">
        <w:t xml:space="preserve">here is </w:t>
      </w:r>
      <w:r w:rsidR="005912CA">
        <w:t xml:space="preserve">a significant opportunity to address these deficiencies while also building a richer picture of the specific cohorts within that general category that warrant more detailed attention and intensive effort. </w:t>
      </w:r>
    </w:p>
    <w:p w14:paraId="3A37C9A7" w14:textId="77777777" w:rsidR="005912CA" w:rsidRDefault="005912CA" w:rsidP="005912CA">
      <w:r>
        <w:t xml:space="preserve">Jurisdictions </w:t>
      </w:r>
      <w:r w:rsidR="00464990">
        <w:t>had</w:t>
      </w:r>
      <w:r>
        <w:t xml:space="preserve">, under Education Council auspices, </w:t>
      </w:r>
      <w:r w:rsidR="00FE2F6E">
        <w:t xml:space="preserve">previously </w:t>
      </w:r>
      <w:r w:rsidR="00464990">
        <w:t xml:space="preserve">begun </w:t>
      </w:r>
      <w:r>
        <w:t xml:space="preserve">to produce a clearer definition of </w:t>
      </w:r>
      <w:r w:rsidR="003233A9" w:rsidRPr="003233A9">
        <w:t>vulnerab</w:t>
      </w:r>
      <w:r>
        <w:t xml:space="preserve">ility </w:t>
      </w:r>
      <w:r w:rsidR="003233A9" w:rsidRPr="003233A9">
        <w:t>and disadvantage</w:t>
      </w:r>
      <w:r>
        <w:t xml:space="preserve">. The Review understands that this lost momentum </w:t>
      </w:r>
      <w:r w:rsidR="000A34E9">
        <w:t>once</w:t>
      </w:r>
      <w:r>
        <w:t xml:space="preserve"> concerns arose about the consequences of lower levels of UANP funding should a definitional change mean a finding that some States and Territories (at least) had failed to meet the relevant benchmark.</w:t>
      </w:r>
    </w:p>
    <w:p w14:paraId="093FD913" w14:textId="77777777" w:rsidR="00D901C7" w:rsidRDefault="00D901C7" w:rsidP="005912CA">
      <w:r>
        <w:t xml:space="preserve">The Review sees </w:t>
      </w:r>
      <w:r w:rsidR="006C7C9B">
        <w:t xml:space="preserve">the following as potential </w:t>
      </w:r>
      <w:r>
        <w:t>steps to making progress on this issue</w:t>
      </w:r>
      <w:r w:rsidR="00FE2F6E">
        <w:t>:</w:t>
      </w:r>
    </w:p>
    <w:p w14:paraId="7177535D" w14:textId="181CE700" w:rsidR="007E5DFA" w:rsidRPr="007E5DFA" w:rsidRDefault="007E5DFA" w:rsidP="007E5DFA">
      <w:pPr>
        <w:pStyle w:val="Bullet"/>
        <w:numPr>
          <w:ilvl w:val="0"/>
          <w:numId w:val="26"/>
        </w:numPr>
        <w:rPr>
          <w:rFonts w:asciiTheme="majorHAnsi" w:hAnsiTheme="majorHAnsi"/>
        </w:rPr>
      </w:pPr>
      <w:r w:rsidRPr="007E5DFA">
        <w:rPr>
          <w:rFonts w:asciiTheme="majorHAnsi" w:hAnsiTheme="majorHAnsi"/>
        </w:rPr>
        <w:t>Continue to use the exist</w:t>
      </w:r>
      <w:r>
        <w:rPr>
          <w:rFonts w:asciiTheme="majorHAnsi" w:hAnsiTheme="majorHAnsi"/>
        </w:rPr>
        <w:t>ing</w:t>
      </w:r>
      <w:r w:rsidRPr="007E5DFA">
        <w:rPr>
          <w:rFonts w:asciiTheme="majorHAnsi" w:hAnsiTheme="majorHAnsi"/>
        </w:rPr>
        <w:t xml:space="preserve"> measure of vulnerability and disadvantage for the purposes of funding for the next funding agreement. </w:t>
      </w:r>
      <w:r>
        <w:t xml:space="preserve">In an environment where funding is tied to performance, States and Territories are understandably cautious in agreeing to new measures if there is a risk that new methodologies lead to reductions in the funding they receive. To encourage governments to agree to a richer, more nuanced picture of vulnerability and disadvantage, the UANP’s </w:t>
      </w:r>
      <w:r w:rsidR="0002644E">
        <w:t xml:space="preserve">post-2020 </w:t>
      </w:r>
      <w:r>
        <w:t xml:space="preserve">successor </w:t>
      </w:r>
      <w:r>
        <w:lastRenderedPageBreak/>
        <w:t>agreement</w:t>
      </w:r>
      <w:r w:rsidR="0002644E">
        <w:t xml:space="preserve"> </w:t>
      </w:r>
      <w:r>
        <w:t>could use the current measure while governments develop a better way of measuring vulnerability and disadvantage and negotiate longer-term changes to the UANP</w:t>
      </w:r>
      <w:r w:rsidR="00133D09">
        <w:t xml:space="preserve"> from </w:t>
      </w:r>
      <w:r w:rsidR="00726DA6">
        <w:t>2026</w:t>
      </w:r>
      <w:r>
        <w:t>.</w:t>
      </w:r>
    </w:p>
    <w:p w14:paraId="09C61019" w14:textId="77777777" w:rsidR="00D901C7" w:rsidRDefault="00EB3429" w:rsidP="001C3D79">
      <w:pPr>
        <w:pStyle w:val="Bullet"/>
        <w:numPr>
          <w:ilvl w:val="0"/>
          <w:numId w:val="26"/>
        </w:numPr>
      </w:pPr>
      <w:r>
        <w:rPr>
          <w:rFonts w:asciiTheme="majorHAnsi" w:hAnsiTheme="majorHAnsi"/>
        </w:rPr>
        <w:t>U</w:t>
      </w:r>
      <w:r w:rsidR="00D901C7" w:rsidRPr="00D901C7">
        <w:rPr>
          <w:rFonts w:asciiTheme="majorHAnsi" w:hAnsiTheme="majorHAnsi"/>
        </w:rPr>
        <w:t>pdate understandings of the dimensions of vulnerability and disadvantage</w:t>
      </w:r>
      <w:r w:rsidR="00D901C7">
        <w:t xml:space="preserve">, </w:t>
      </w:r>
      <w:proofErr w:type="gramStart"/>
      <w:r w:rsidR="00D901C7">
        <w:t>broadly-defined</w:t>
      </w:r>
      <w:proofErr w:type="gramEnd"/>
      <w:r w:rsidR="00D901C7">
        <w:t xml:space="preserve">. </w:t>
      </w:r>
      <w:r w:rsidR="003233A9">
        <w:t>In the first instance, a nationally agreed understanding of which factors most contribute to vulnerability and disadvantage in children needs to be understood</w:t>
      </w:r>
      <w:r w:rsidR="005912CA">
        <w:t xml:space="preserve">. In addition to reactivating the work already well-advanced by education officials, there is the opportunity </w:t>
      </w:r>
      <w:r w:rsidR="00D901C7">
        <w:t xml:space="preserve">also </w:t>
      </w:r>
      <w:r w:rsidR="005912CA">
        <w:t xml:space="preserve">to draw on analysis </w:t>
      </w:r>
      <w:r w:rsidR="00FE2F6E">
        <w:t>completed</w:t>
      </w:r>
      <w:r w:rsidR="005912CA">
        <w:t xml:space="preserve"> </w:t>
      </w:r>
      <w:r w:rsidR="00D901C7">
        <w:t xml:space="preserve">by </w:t>
      </w:r>
      <w:r w:rsidR="00FE2F6E">
        <w:t xml:space="preserve">the </w:t>
      </w:r>
      <w:r w:rsidR="00D901C7">
        <w:t xml:space="preserve">AIHW. There are numerous markers for identifying different types of disadvantage. These could range from low income households, to children with a disability, to children of parents with low education levels and so on. As mentioned, some jurisdictions use health care card eligibility as an indicator of those </w:t>
      </w:r>
      <w:r w:rsidR="00FE2F6E">
        <w:t>needing</w:t>
      </w:r>
      <w:r w:rsidR="00D901C7">
        <w:t xml:space="preserve"> additional support. </w:t>
      </w:r>
    </w:p>
    <w:p w14:paraId="0E64458F" w14:textId="58C31F49" w:rsidR="00D901C7" w:rsidRDefault="00D901C7" w:rsidP="001C3D79">
      <w:pPr>
        <w:pStyle w:val="Bullet"/>
        <w:numPr>
          <w:ilvl w:val="0"/>
          <w:numId w:val="26"/>
        </w:numPr>
      </w:pPr>
      <w:r w:rsidRPr="00D901C7">
        <w:rPr>
          <w:rFonts w:asciiTheme="majorHAnsi" w:hAnsiTheme="majorHAnsi"/>
        </w:rPr>
        <w:t xml:space="preserve">Prioritise and overlay relevant </w:t>
      </w:r>
      <w:proofErr w:type="gramStart"/>
      <w:r w:rsidRPr="00D901C7">
        <w:rPr>
          <w:rFonts w:asciiTheme="majorHAnsi" w:hAnsiTheme="majorHAnsi"/>
        </w:rPr>
        <w:t>indicators</w:t>
      </w:r>
      <w:r>
        <w:rPr>
          <w:rFonts w:asciiTheme="majorHAnsi" w:hAnsiTheme="majorHAnsi"/>
        </w:rPr>
        <w:t>, and</w:t>
      </w:r>
      <w:proofErr w:type="gramEnd"/>
      <w:r>
        <w:rPr>
          <w:rFonts w:asciiTheme="majorHAnsi" w:hAnsiTheme="majorHAnsi"/>
        </w:rPr>
        <w:t xml:space="preserve"> remove unreliable data sources</w:t>
      </w:r>
      <w:r>
        <w:t xml:space="preserve">. In distilling this long list into meaningful metrics for the purposes of </w:t>
      </w:r>
      <w:r w:rsidR="00133D09">
        <w:t>the post-</w:t>
      </w:r>
      <w:r w:rsidR="00726DA6">
        <w:t xml:space="preserve">2026 </w:t>
      </w:r>
      <w:r>
        <w:t xml:space="preserve">agreement to the current UANP, the Review would encourage governments to look to the specific cohorts that have been identified as being at higher risk of not participating in YBFS preschool. These included those who live in remote communities, those with </w:t>
      </w:r>
      <w:r w:rsidR="009955EC">
        <w:t>additional</w:t>
      </w:r>
      <w:r>
        <w:t xml:space="preserve"> needs, and those with </w:t>
      </w:r>
      <w:r w:rsidR="004A2A17">
        <w:t>CALD</w:t>
      </w:r>
      <w:r w:rsidR="00FE2F6E">
        <w:t xml:space="preserve"> </w:t>
      </w:r>
      <w:r>
        <w:t>backgrounds</w:t>
      </w:r>
      <w:r w:rsidR="004A2A17">
        <w:t>.</w:t>
      </w:r>
      <w:r>
        <w:t xml:space="preserve"> A jurisdictional overlay at this point will allow for prioritisation and tailoring of the indicators to suit the local context. At the same time, access to appropriate data </w:t>
      </w:r>
      <w:r w:rsidR="00D455E5">
        <w:t>may</w:t>
      </w:r>
      <w:r>
        <w:t xml:space="preserve"> more easily quantify and locate those households where there are multiple markers. </w:t>
      </w:r>
      <w:r w:rsidR="00296EBC">
        <w:t>To</w:t>
      </w:r>
      <w:r>
        <w:t xml:space="preserve"> assist in prioritisation and tailoring to jurisdictional context</w:t>
      </w:r>
      <w:r w:rsidR="00296EBC">
        <w:t>, t</w:t>
      </w:r>
      <w:r>
        <w:t>his step should allow officials to remove from the basket of potential indicators any that are difficult to obtain or measure regularly and consistently.</w:t>
      </w:r>
      <w:r w:rsidR="00D455E5">
        <w:t xml:space="preserve"> This proposal would require a commitment for more collaborative work to share relevant data between jurisdictions.</w:t>
      </w:r>
    </w:p>
    <w:p w14:paraId="37CD3473" w14:textId="77777777" w:rsidR="00D901C7" w:rsidRDefault="00D901C7" w:rsidP="001C3D79">
      <w:pPr>
        <w:pStyle w:val="Bullet"/>
        <w:numPr>
          <w:ilvl w:val="0"/>
          <w:numId w:val="26"/>
        </w:numPr>
      </w:pPr>
      <w:r w:rsidRPr="00D901C7">
        <w:rPr>
          <w:rFonts w:asciiTheme="majorHAnsi" w:hAnsiTheme="majorHAnsi"/>
        </w:rPr>
        <w:t xml:space="preserve">Develop a framework of markers and develop a </w:t>
      </w:r>
      <w:r>
        <w:rPr>
          <w:rFonts w:asciiTheme="majorHAnsi" w:hAnsiTheme="majorHAnsi"/>
        </w:rPr>
        <w:t xml:space="preserve">jurisdiction-specific </w:t>
      </w:r>
      <w:r w:rsidRPr="00D901C7">
        <w:rPr>
          <w:rFonts w:asciiTheme="majorHAnsi" w:hAnsiTheme="majorHAnsi"/>
        </w:rPr>
        <w:t>algorithm</w:t>
      </w:r>
      <w:r>
        <w:t xml:space="preserve">. With an agreed set of relevant indicators, it is then possible to develop a framework for measuring vulnerability and disadvantage. The next step is to develop an algorithm that can be applied across those data </w:t>
      </w:r>
      <w:r w:rsidR="00076871">
        <w:t>s</w:t>
      </w:r>
      <w:r>
        <w:t>our</w:t>
      </w:r>
      <w:r w:rsidR="00076871">
        <w:t>c</w:t>
      </w:r>
      <w:r>
        <w:t xml:space="preserve">es to identify individual families or, failing that, communities, where there is a prevalence of young children in households that have multiple indicators of disadvantage. (The algorithm would indicate yes/no whether the marker is present for a household or community and group those with a high number of ‘yes’ responses from those with lower levels.) </w:t>
      </w:r>
      <w:r w:rsidR="00333403">
        <w:t>The</w:t>
      </w:r>
      <w:r>
        <w:t xml:space="preserve"> algorithm could be tailored to the jurisdictional context e.g. to reflect different priority sub-cohorts. Once the analysis is run, there is clearer, more detailed information on who to target for additional support and whether preschool interventions are making an impact over time. </w:t>
      </w:r>
    </w:p>
    <w:p w14:paraId="5661EDC7" w14:textId="77777777" w:rsidR="005A215B" w:rsidRPr="005A215B" w:rsidRDefault="00D901C7" w:rsidP="005A215B">
      <w:r w:rsidRPr="005A215B">
        <w:t>This approach may not be possible to realise in full, but the Review offers it as a way to explore an alternative to a single index of vulnerability and disadvantage – one that allows a nationally consistent set of indicators to be maintained, but one that also allows jurisdictions to adapt to reflect their respective challenges and priorities.</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5A215B" w14:paraId="2D3B0BA7" w14:textId="77777777" w:rsidTr="005A215B">
        <w:tc>
          <w:tcPr>
            <w:tcW w:w="8930" w:type="dxa"/>
            <w:shd w:val="clear" w:color="auto" w:fill="00264D" w:themeFill="background2"/>
          </w:tcPr>
          <w:p w14:paraId="05EBC882" w14:textId="77777777" w:rsidR="005A215B" w:rsidRPr="006C71B3" w:rsidRDefault="005A215B" w:rsidP="005A215B">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Pr>
                <w:rFonts w:asciiTheme="minorHAnsi" w:hAnsiTheme="minorHAnsi"/>
                <w:b/>
                <w:color w:val="25B3E0" w:themeColor="accent6"/>
                <w:sz w:val="20"/>
                <w:szCs w:val="20"/>
              </w:rPr>
              <w:t>32</w:t>
            </w:r>
          </w:p>
          <w:p w14:paraId="4177D534" w14:textId="77777777" w:rsidR="005A215B" w:rsidRPr="00C85C25" w:rsidRDefault="005A215B" w:rsidP="005A215B">
            <w:pPr>
              <w:pStyle w:val="Longformcallout"/>
              <w:spacing w:after="0"/>
              <w:rPr>
                <w:rFonts w:asciiTheme="majorHAnsi" w:hAnsiTheme="majorHAnsi" w:cstheme="majorBidi"/>
                <w:color w:val="FFFFFF" w:themeColor="background1"/>
                <w:sz w:val="20"/>
                <w:szCs w:val="20"/>
              </w:rPr>
            </w:pPr>
            <w:r w:rsidRPr="005A215B">
              <w:rPr>
                <w:rFonts w:asciiTheme="majorHAnsi" w:hAnsiTheme="majorHAnsi" w:cstheme="majorBidi"/>
                <w:color w:val="FFFFFF" w:themeColor="background1"/>
                <w:sz w:val="20"/>
                <w:szCs w:val="20"/>
              </w:rPr>
              <w:t>Governments should explore a more broadly defined measure of vulnerability and disadvantage as an alternative to SEIFA IRSD. This might be enabled through development of a nationally agreed framework of indicators, which can then be used for jurisdictional-level analysis to inform policy and negotiated arrangements with the Australian Government on YBFS preschool reform funding</w:t>
            </w:r>
            <w:r>
              <w:rPr>
                <w:rFonts w:asciiTheme="majorHAnsi" w:hAnsiTheme="majorHAnsi" w:cstheme="majorBidi"/>
                <w:color w:val="FFFFFF" w:themeColor="background1"/>
                <w:sz w:val="20"/>
                <w:szCs w:val="20"/>
              </w:rPr>
              <w:t xml:space="preserve">. </w:t>
            </w:r>
          </w:p>
        </w:tc>
      </w:tr>
    </w:tbl>
    <w:p w14:paraId="4D3ABE63" w14:textId="77777777" w:rsidR="000F1BED" w:rsidRPr="003340FB" w:rsidRDefault="00D901C7" w:rsidP="00F85AB6">
      <w:pPr>
        <w:pStyle w:val="Heading4"/>
      </w:pPr>
      <w:r>
        <w:t xml:space="preserve">A future agreement should feature a more rounded view of </w:t>
      </w:r>
      <w:r w:rsidR="000F1BED" w:rsidRPr="003340FB">
        <w:t>quality provision</w:t>
      </w:r>
    </w:p>
    <w:p w14:paraId="61A6C90F" w14:textId="77777777" w:rsidR="00BE3F9A" w:rsidRPr="006D24B5" w:rsidRDefault="00D901C7" w:rsidP="00D901C7">
      <w:pPr>
        <w:rPr>
          <w:rFonts w:asciiTheme="minorHAnsi" w:hAnsiTheme="minorHAnsi"/>
        </w:rPr>
      </w:pPr>
      <w:r>
        <w:t>A</w:t>
      </w:r>
      <w:r w:rsidRPr="00D901C7">
        <w:t xml:space="preserve"> significant consideration </w:t>
      </w:r>
      <w:r>
        <w:t>in</w:t>
      </w:r>
      <w:r w:rsidRPr="00D901C7">
        <w:t xml:space="preserve"> the design of</w:t>
      </w:r>
      <w:r>
        <w:t xml:space="preserve"> any future </w:t>
      </w:r>
      <w:r w:rsidRPr="00D901C7">
        <w:t xml:space="preserve">performance framework is </w:t>
      </w:r>
      <w:r w:rsidR="000008F1">
        <w:t xml:space="preserve">the </w:t>
      </w:r>
      <w:r w:rsidRPr="00D901C7">
        <w:t xml:space="preserve">quality </w:t>
      </w:r>
      <w:r w:rsidR="000008F1">
        <w:t>of</w:t>
      </w:r>
      <w:r w:rsidRPr="00D901C7">
        <w:t xml:space="preserve"> preschool </w:t>
      </w:r>
      <w:r w:rsidR="00895611">
        <w:t>that children receive</w:t>
      </w:r>
      <w:r w:rsidRPr="00D901C7">
        <w:t xml:space="preserve">. </w:t>
      </w:r>
      <w:r w:rsidR="006D4130">
        <w:t>I</w:t>
      </w:r>
      <w:r w:rsidR="00BE3F9A">
        <w:t xml:space="preserve">t is clear that </w:t>
      </w:r>
      <w:r w:rsidR="00F97767">
        <w:t xml:space="preserve">the </w:t>
      </w:r>
      <w:r w:rsidR="00BE3F9A">
        <w:t>quality of preschool programs needs to improve in many parts of the sector, and especially for children</w:t>
      </w:r>
      <w:r>
        <w:t xml:space="preserve"> experiencing vulnerability and disadvantage. </w:t>
      </w:r>
    </w:p>
    <w:p w14:paraId="567C3045" w14:textId="77777777" w:rsidR="00A678B0" w:rsidRDefault="00D901C7" w:rsidP="00D901C7">
      <w:r>
        <w:lastRenderedPageBreak/>
        <w:t xml:space="preserve">Notwithstanding the key role of regulation in supporting pursuit and achievement of quality among preschool providers, the UANP funding provides an important complementary lever for improvement. As discussed earlier, the Review </w:t>
      </w:r>
      <w:r w:rsidR="000008F1">
        <w:t>finds</w:t>
      </w:r>
      <w:r>
        <w:t xml:space="preserve"> that preschool program providers greatly </w:t>
      </w:r>
      <w:r w:rsidR="000008F1">
        <w:t xml:space="preserve">value </w:t>
      </w:r>
      <w:r>
        <w:t xml:space="preserve">the opportunity to leverage </w:t>
      </w:r>
      <w:r w:rsidR="000008F1">
        <w:t>UANP</w:t>
      </w:r>
      <w:r>
        <w:t xml:space="preserve"> funding to employ qualified ECTs and to backfill the positions of those educators undertaking professional development. This is crucial given the strong correlation between </w:t>
      </w:r>
      <w:r w:rsidR="00A678B0">
        <w:t>the quality of interactions between staff and children, including with respect to teacher-directed learning – and children’s outcomes.</w:t>
      </w:r>
      <w:r w:rsidR="00A678B0">
        <w:rPr>
          <w:rStyle w:val="FootnoteReference"/>
        </w:rPr>
        <w:footnoteReference w:id="99"/>
      </w:r>
    </w:p>
    <w:p w14:paraId="4CDE3CBC" w14:textId="77777777" w:rsidR="00FD044F" w:rsidRDefault="00D901C7" w:rsidP="00FD044F">
      <w:r>
        <w:t xml:space="preserve">A limitation of the current UANP is that </w:t>
      </w:r>
      <w:r w:rsidR="00A678B0">
        <w:t xml:space="preserve">the </w:t>
      </w:r>
      <w:r w:rsidR="000008F1">
        <w:t>Performance Indicator 1</w:t>
      </w:r>
      <w:r w:rsidR="00A678B0">
        <w:t xml:space="preserve"> does not capture the amount of time a </w:t>
      </w:r>
      <w:r w:rsidR="000008F1">
        <w:t>qualified</w:t>
      </w:r>
      <w:r w:rsidR="00A678B0">
        <w:t xml:space="preserve"> ECT </w:t>
      </w:r>
      <w:r w:rsidR="00A678B0" w:rsidRPr="00A678B0">
        <w:t xml:space="preserve">is </w:t>
      </w:r>
      <w:r w:rsidR="000008F1">
        <w:t>directly engaged</w:t>
      </w:r>
      <w:r w:rsidR="00A678B0" w:rsidRPr="00A678B0">
        <w:t xml:space="preserve"> with children</w:t>
      </w:r>
      <w:r w:rsidR="00FD044F">
        <w:t>, and t</w:t>
      </w:r>
      <w:r w:rsidR="000008F1">
        <w:t>he UANP agreement does not require</w:t>
      </w:r>
      <w:r w:rsidR="00A678B0">
        <w:t xml:space="preserve"> an ECT to be present and actively delivering for the full 15 hours a week</w:t>
      </w:r>
      <w:r w:rsidR="00730254">
        <w:t>.</w:t>
      </w:r>
      <w:r w:rsidR="00FD044F" w:rsidRPr="00FD044F">
        <w:t xml:space="preserve"> </w:t>
      </w:r>
      <w:r w:rsidR="00FD044F">
        <w:t>Though several jurisdictions require this as a condition of receiving funding</w:t>
      </w:r>
      <w:r w:rsidR="00A678B0">
        <w:t xml:space="preserve">, it is nevertheless seemingly inadequate to have, as </w:t>
      </w:r>
      <w:r w:rsidR="00895611">
        <w:t>a performance</w:t>
      </w:r>
      <w:r w:rsidR="00A678B0">
        <w:t xml:space="preserve"> indicator, something that does not speak to the substance or duration of those all-important interactions. </w:t>
      </w:r>
    </w:p>
    <w:p w14:paraId="04CCD3CA" w14:textId="77777777" w:rsidR="00730254" w:rsidRDefault="00FD044F" w:rsidP="00730254">
      <w:r>
        <w:t>The</w:t>
      </w:r>
      <w:r w:rsidR="00A678B0">
        <w:t xml:space="preserve"> predecessor </w:t>
      </w:r>
      <w:r>
        <w:t xml:space="preserve">agreements </w:t>
      </w:r>
      <w:r w:rsidR="00A678B0">
        <w:t xml:space="preserve">to the current UANP did have a stronger measure in this respect, but </w:t>
      </w:r>
      <w:r w:rsidR="00BC102F">
        <w:t xml:space="preserve">it was changed to complement </w:t>
      </w:r>
      <w:r w:rsidR="00730254">
        <w:t>the NQF</w:t>
      </w:r>
      <w:r w:rsidR="00BC102F">
        <w:t>, when that</w:t>
      </w:r>
      <w:r w:rsidR="00730254">
        <w:t xml:space="preserve"> was introduced in 2014</w:t>
      </w:r>
      <w:r w:rsidR="00BC102F">
        <w:t xml:space="preserve">. </w:t>
      </w:r>
      <w:r w:rsidR="00730254">
        <w:t>Now that the NQF</w:t>
      </w:r>
      <w:r w:rsidR="00072A01">
        <w:t xml:space="preserve"> has been fully introduced</w:t>
      </w:r>
      <w:r w:rsidR="00730254">
        <w:t xml:space="preserve">, the Review believes that it is timely to aim for </w:t>
      </w:r>
      <w:r w:rsidR="00895611">
        <w:t xml:space="preserve">a more </w:t>
      </w:r>
      <w:r w:rsidR="00730254">
        <w:t xml:space="preserve">aspirational </w:t>
      </w:r>
      <w:r w:rsidR="00895611">
        <w:t xml:space="preserve">and </w:t>
      </w:r>
      <w:r w:rsidR="00730254">
        <w:t xml:space="preserve">meaningful </w:t>
      </w:r>
      <w:r w:rsidR="00895611">
        <w:t>measure to ensure that children benefit from direct interaction with a qualified ECT.</w:t>
      </w:r>
      <w:r w:rsidR="00730254">
        <w:t xml:space="preserve"> </w:t>
      </w:r>
    </w:p>
    <w:p w14:paraId="40E5978B" w14:textId="147C0FAB" w:rsidR="00BE3F9A" w:rsidRDefault="00A678B0" w:rsidP="00A678B0">
      <w:r>
        <w:t xml:space="preserve">The Review finds that, as a first step, </w:t>
      </w:r>
      <w:r w:rsidR="00895611">
        <w:t>any</w:t>
      </w:r>
      <w:r w:rsidR="00EB493A">
        <w:t xml:space="preserve"> post-2020</w:t>
      </w:r>
      <w:r w:rsidR="00895611">
        <w:t xml:space="preserve"> successor agreement should include</w:t>
      </w:r>
      <w:r>
        <w:t xml:space="preserve"> in the performance framework </w:t>
      </w:r>
      <w:r w:rsidR="00895611">
        <w:t xml:space="preserve">a </w:t>
      </w:r>
      <w:r>
        <w:t>metric</w:t>
      </w:r>
      <w:r w:rsidR="00895611">
        <w:t xml:space="preserve"> that </w:t>
      </w:r>
      <w:r>
        <w:t>capture</w:t>
      </w:r>
      <w:r w:rsidR="00A73AB1">
        <w:t>s</w:t>
      </w:r>
      <w:r>
        <w:t xml:space="preserve"> the</w:t>
      </w:r>
      <w:r w:rsidR="00BE3F9A">
        <w:t xml:space="preserve"> highest level of qualification </w:t>
      </w:r>
      <w:r>
        <w:t xml:space="preserve">held by educators who are responsible for the preschool room for a majority of the week. If possible, it would be helpful to identify where there are instances of ECTs teaching hours adding up to more than 100 per cent (as an indicator of an ECT who is spread thinly across a service) </w:t>
      </w:r>
      <w:r w:rsidR="00BE3F9A">
        <w:t xml:space="preserve">of teachers that are in front </w:t>
      </w:r>
      <w:r w:rsidR="003B21D3">
        <w:t xml:space="preserve">of </w:t>
      </w:r>
      <w:r w:rsidR="00BE3F9A">
        <w:t xml:space="preserve">children in the room. </w:t>
      </w:r>
      <w:r>
        <w:t xml:space="preserve">An alternative, if not necessarily easier method, would be to </w:t>
      </w:r>
      <w:r w:rsidR="00BE3F9A">
        <w:t xml:space="preserve">track the number of children </w:t>
      </w:r>
      <w:r>
        <w:t xml:space="preserve">in a preschool program </w:t>
      </w:r>
      <w:r w:rsidR="00BE3F9A">
        <w:t xml:space="preserve">with a qualified </w:t>
      </w:r>
      <w:r>
        <w:t>ECT</w:t>
      </w:r>
      <w:r w:rsidR="00BE3F9A">
        <w:t xml:space="preserve"> delivering </w:t>
      </w:r>
      <w:r>
        <w:t xml:space="preserve">a </w:t>
      </w:r>
      <w:r w:rsidR="00BE3F9A">
        <w:t xml:space="preserve">specified number of hours (e.g. </w:t>
      </w:r>
      <w:r>
        <w:t xml:space="preserve">it could be </w:t>
      </w:r>
      <w:r w:rsidR="00BE3F9A">
        <w:t>15 hours</w:t>
      </w:r>
      <w:r>
        <w:t xml:space="preserve"> or less</w:t>
      </w:r>
      <w:r w:rsidR="00BE3F9A">
        <w:t xml:space="preserve">) </w:t>
      </w:r>
      <w:r>
        <w:t>each</w:t>
      </w:r>
      <w:r w:rsidR="00BE3F9A">
        <w:t xml:space="preserve"> week. </w:t>
      </w:r>
    </w:p>
    <w:p w14:paraId="42F37AF3" w14:textId="77777777" w:rsidR="00333403" w:rsidRDefault="00333403" w:rsidP="00333403">
      <w:r>
        <w:t>Where administrative data captured in the National Collection does not support this, there is potential to leverage other mechanisms for data collection. For example, the Early Childhood Education and Care National Workforce Census—currently undertaken around every three years—</w:t>
      </w:r>
      <w:r w:rsidR="00E35E5A">
        <w:t>captures</w:t>
      </w:r>
      <w:r>
        <w:t xml:space="preserve"> information about </w:t>
      </w:r>
      <w:r w:rsidR="00E35E5A">
        <w:t>ECT</w:t>
      </w:r>
      <w:r>
        <w:t xml:space="preserve"> delivery </w:t>
      </w:r>
      <w:r w:rsidR="00E35E5A">
        <w:t>to children</w:t>
      </w:r>
      <w:r>
        <w:t xml:space="preserve"> and staffing qualifications. </w:t>
      </w:r>
      <w:r w:rsidR="00E35E5A">
        <w:t xml:space="preserve">The last census was in 2016, but covered CBDC providers only. The last </w:t>
      </w:r>
      <w:r w:rsidR="00E35E5A" w:rsidRPr="00E35E5A">
        <w:t>full</w:t>
      </w:r>
      <w:r w:rsidR="00E35E5A">
        <w:t xml:space="preserve"> census, that includes all preschool settings, was in 2013. The Review encourages governments to consider the feasibility of running another cross-setting census.</w:t>
      </w:r>
    </w:p>
    <w:p w14:paraId="11C092BF" w14:textId="77777777" w:rsidR="00BC102F" w:rsidRDefault="00A678B0" w:rsidP="00A678B0">
      <w:r>
        <w:t xml:space="preserve">At a more strategic level, it </w:t>
      </w:r>
      <w:r w:rsidRPr="00A678B0">
        <w:t xml:space="preserve">would be </w:t>
      </w:r>
      <w:r>
        <w:t>ideal</w:t>
      </w:r>
      <w:r w:rsidRPr="00A678B0">
        <w:t xml:space="preserve"> to measure preschool quality with regard to the experiences and outcomes of children.</w:t>
      </w:r>
      <w:r>
        <w:t xml:space="preserve"> </w:t>
      </w:r>
      <w:r w:rsidR="00AE2A1C">
        <w:t xml:space="preserve">This implies a need to develop mechanisms to assess the impact of the ECTs pedagogy, or of the curriculum. While a laudable aim, </w:t>
      </w:r>
      <w:r w:rsidR="00E35E5A">
        <w:t>it</w:t>
      </w:r>
      <w:r w:rsidR="00AE2A1C">
        <w:t xml:space="preserve"> would be </w:t>
      </w:r>
      <w:r w:rsidR="00E35E5A">
        <w:t>challenging and resource-intensive</w:t>
      </w:r>
      <w:r w:rsidR="00AE2A1C">
        <w:t xml:space="preserve"> to do in a nationally consistent and meaningful way. </w:t>
      </w:r>
    </w:p>
    <w:p w14:paraId="23CA7464" w14:textId="77777777" w:rsidR="00BC102F" w:rsidRDefault="00A678B0" w:rsidP="00A678B0">
      <w:r>
        <w:t xml:space="preserve">However, it would be relatively straightforward to </w:t>
      </w:r>
      <w:r w:rsidRPr="00A678B0">
        <w:t xml:space="preserve">link the National Collection dataset to </w:t>
      </w:r>
      <w:r w:rsidR="00BC2208">
        <w:t xml:space="preserve">the </w:t>
      </w:r>
      <w:r w:rsidR="00AE2A1C">
        <w:t>NQ</w:t>
      </w:r>
      <w:r w:rsidR="00BC2208">
        <w:t>F</w:t>
      </w:r>
      <w:r w:rsidR="00AE2A1C" w:rsidRPr="00A678B0">
        <w:t>’</w:t>
      </w:r>
      <w:r w:rsidR="00D51CA6">
        <w:t>s</w:t>
      </w:r>
      <w:r w:rsidR="00AE2A1C" w:rsidRPr="00A678B0">
        <w:t xml:space="preserve"> </w:t>
      </w:r>
      <w:r w:rsidRPr="00A678B0">
        <w:t xml:space="preserve">quality </w:t>
      </w:r>
      <w:r w:rsidR="00466FD4">
        <w:t>ratings</w:t>
      </w:r>
      <w:r w:rsidRPr="00A678B0">
        <w:t xml:space="preserve"> of preschool</w:t>
      </w:r>
      <w:r>
        <w:t xml:space="preserve"> provider</w:t>
      </w:r>
      <w:r w:rsidRPr="00A678B0">
        <w:t>s</w:t>
      </w:r>
      <w:r w:rsidR="00BC102F">
        <w:t xml:space="preserve">, and </w:t>
      </w:r>
      <w:r w:rsidRPr="00A678B0">
        <w:t xml:space="preserve">this </w:t>
      </w:r>
      <w:r w:rsidR="00BC102F">
        <w:t>would</w:t>
      </w:r>
      <w:r>
        <w:t xml:space="preserve"> enable some useful </w:t>
      </w:r>
      <w:r w:rsidRPr="00A678B0">
        <w:t>comparison of the qualitative assessment of service quality</w:t>
      </w:r>
      <w:r>
        <w:t xml:space="preserve"> </w:t>
      </w:r>
      <w:r w:rsidRPr="00A678B0">
        <w:t xml:space="preserve">with </w:t>
      </w:r>
      <w:r>
        <w:t xml:space="preserve">children’s </w:t>
      </w:r>
      <w:r w:rsidRPr="00A678B0">
        <w:t>outcomes</w:t>
      </w:r>
      <w:r>
        <w:t xml:space="preserve"> (i.e. via the AEDC)</w:t>
      </w:r>
      <w:r w:rsidRPr="00A678B0">
        <w:t>.</w:t>
      </w:r>
      <w:r w:rsidR="00193A79">
        <w:t xml:space="preserve"> </w:t>
      </w:r>
      <w:r w:rsidR="00C85C25">
        <w:t>There are</w:t>
      </w:r>
      <w:r w:rsidR="00193A79">
        <w:t xml:space="preserve"> </w:t>
      </w:r>
      <w:r w:rsidR="00BC2208">
        <w:t>four</w:t>
      </w:r>
      <w:r w:rsidR="00193A79">
        <w:t xml:space="preserve"> important </w:t>
      </w:r>
      <w:r w:rsidR="00BC102F">
        <w:t xml:space="preserve">limitations </w:t>
      </w:r>
      <w:r w:rsidR="00193A79">
        <w:t xml:space="preserve">to </w:t>
      </w:r>
      <w:r w:rsidR="00BC102F">
        <w:t>this</w:t>
      </w:r>
      <w:r w:rsidR="00193A79">
        <w:t xml:space="preserve"> approach</w:t>
      </w:r>
      <w:r w:rsidR="00BC102F">
        <w:t>:</w:t>
      </w:r>
    </w:p>
    <w:p w14:paraId="28DFF35A" w14:textId="3899A2BB" w:rsidR="00193A79" w:rsidRDefault="00BC2208" w:rsidP="00193A79">
      <w:pPr>
        <w:pStyle w:val="Bullet"/>
        <w:numPr>
          <w:ilvl w:val="0"/>
          <w:numId w:val="13"/>
        </w:numPr>
        <w:ind w:left="340" w:hanging="340"/>
      </w:pPr>
      <w:r>
        <w:t>NQF</w:t>
      </w:r>
      <w:r w:rsidR="00193A79">
        <w:t xml:space="preserve"> quality ratings are not available for preschool programs in </w:t>
      </w:r>
      <w:r w:rsidR="00BC102F">
        <w:t>Tasmania and Western Australia</w:t>
      </w:r>
      <w:r w:rsidR="00193A79">
        <w:t xml:space="preserve">. However, </w:t>
      </w:r>
      <w:r w:rsidR="001975C0">
        <w:t>S</w:t>
      </w:r>
      <w:r w:rsidR="00193A79">
        <w:t xml:space="preserve">tate data could be separately </w:t>
      </w:r>
      <w:r w:rsidR="00193A79" w:rsidRPr="00A678B0">
        <w:t>linked to complete the picture</w:t>
      </w:r>
      <w:r w:rsidR="00193A79">
        <w:t>.</w:t>
      </w:r>
    </w:p>
    <w:p w14:paraId="32878110" w14:textId="77777777" w:rsidR="00A678B0" w:rsidRDefault="00BC2208" w:rsidP="00A678B0">
      <w:pPr>
        <w:pStyle w:val="Bullet"/>
        <w:numPr>
          <w:ilvl w:val="0"/>
          <w:numId w:val="13"/>
        </w:numPr>
        <w:ind w:left="340" w:hanging="340"/>
      </w:pPr>
      <w:r>
        <w:t>NQF</w:t>
      </w:r>
      <w:r w:rsidR="00A678B0" w:rsidRPr="00193A79">
        <w:t xml:space="preserve"> </w:t>
      </w:r>
      <w:r w:rsidR="00193A79">
        <w:t xml:space="preserve">quality ratings </w:t>
      </w:r>
      <w:r w:rsidR="00A678B0" w:rsidRPr="00193A79">
        <w:t xml:space="preserve">data </w:t>
      </w:r>
      <w:r w:rsidR="00193A79">
        <w:t>includes</w:t>
      </w:r>
      <w:r w:rsidR="00193A79" w:rsidRPr="00193A79">
        <w:t xml:space="preserve"> </w:t>
      </w:r>
      <w:r w:rsidR="00A678B0" w:rsidRPr="00193A79">
        <w:t xml:space="preserve">all early education and care providers </w:t>
      </w:r>
      <w:r w:rsidR="00193A79">
        <w:t>and does</w:t>
      </w:r>
      <w:r w:rsidR="00193A79" w:rsidRPr="00193A79">
        <w:t xml:space="preserve"> not </w:t>
      </w:r>
      <w:r w:rsidR="00193A79">
        <w:t>delineate for YBFS preschool.</w:t>
      </w:r>
    </w:p>
    <w:p w14:paraId="136F1397" w14:textId="77777777" w:rsidR="00BC2208" w:rsidRDefault="00BC2208" w:rsidP="00A678B0">
      <w:pPr>
        <w:pStyle w:val="Bullet"/>
        <w:numPr>
          <w:ilvl w:val="0"/>
          <w:numId w:val="13"/>
        </w:numPr>
        <w:ind w:left="340" w:hanging="340"/>
      </w:pPr>
      <w:r>
        <w:t xml:space="preserve">Preschool programs are irregularly assessed, with some services only rated every </w:t>
      </w:r>
      <w:r w:rsidR="000A5AB8">
        <w:t xml:space="preserve">five </w:t>
      </w:r>
      <w:r>
        <w:t xml:space="preserve">years. </w:t>
      </w:r>
    </w:p>
    <w:p w14:paraId="274F33FD" w14:textId="77777777" w:rsidR="00193A79" w:rsidRDefault="00193A79" w:rsidP="00193A79">
      <w:pPr>
        <w:pStyle w:val="Bullet"/>
        <w:numPr>
          <w:ilvl w:val="0"/>
          <w:numId w:val="13"/>
        </w:numPr>
        <w:ind w:left="340" w:hanging="340"/>
      </w:pPr>
      <w:r>
        <w:lastRenderedPageBreak/>
        <w:t>States and Territories are the authorities that issue the quality ratings, so there is a risk of moral hazard</w:t>
      </w:r>
      <w:r w:rsidR="00A73AB1">
        <w:t>.</w:t>
      </w:r>
    </w:p>
    <w:p w14:paraId="248A4A3A" w14:textId="77777777" w:rsidR="00334C51" w:rsidRDefault="00A678B0" w:rsidP="009D7237">
      <w:pPr>
        <w:spacing w:after="240"/>
      </w:pPr>
      <w:r>
        <w:t>A subsequent question then arises as to whether a</w:t>
      </w:r>
      <w:r w:rsidR="00A73AB1">
        <w:t>n outcomes-focused</w:t>
      </w:r>
      <w:r>
        <w:t xml:space="preserve"> measure of quality should be developed and referenced in a future agreement. The Review notes that any efforts to </w:t>
      </w:r>
      <w:r w:rsidR="00A73AB1">
        <w:t>monitor</w:t>
      </w:r>
      <w:r>
        <w:t xml:space="preserve"> and report on quality in this way would have </w:t>
      </w:r>
      <w:r w:rsidR="00BC102F">
        <w:t xml:space="preserve">a </w:t>
      </w:r>
      <w:r>
        <w:t xml:space="preserve">significant </w:t>
      </w:r>
      <w:r w:rsidR="00BC102F">
        <w:t>burden</w:t>
      </w:r>
      <w:r>
        <w:t xml:space="preserve"> on regulators and providers</w:t>
      </w:r>
      <w:r w:rsidR="00BE3F9A" w:rsidRPr="00807B38">
        <w:t>.</w:t>
      </w:r>
      <w:r w:rsidR="00BE3F9A">
        <w:t xml:space="preserve"> </w:t>
      </w:r>
      <w:r>
        <w:t>For that reason, the Review does not find this to be practicable.</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1C707FEF" w14:textId="77777777" w:rsidTr="00C23746">
        <w:tc>
          <w:tcPr>
            <w:tcW w:w="8930" w:type="dxa"/>
            <w:shd w:val="clear" w:color="auto" w:fill="00264D" w:themeFill="background2"/>
          </w:tcPr>
          <w:p w14:paraId="684E5A53" w14:textId="77777777" w:rsidR="006E2121" w:rsidRPr="006C71B3" w:rsidRDefault="00C23746" w:rsidP="006E2121">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3</w:t>
            </w:r>
            <w:r w:rsidR="005F5C70">
              <w:rPr>
                <w:rFonts w:asciiTheme="minorHAnsi" w:hAnsiTheme="minorHAnsi"/>
                <w:b/>
                <w:color w:val="25B3E0" w:themeColor="accent6"/>
                <w:sz w:val="20"/>
                <w:szCs w:val="20"/>
              </w:rPr>
              <w:t>3</w:t>
            </w:r>
          </w:p>
          <w:p w14:paraId="20EC1864" w14:textId="7912BF5E" w:rsidR="006E2121" w:rsidRPr="00C85C25" w:rsidRDefault="00AA2CAF" w:rsidP="006E2121">
            <w:pPr>
              <w:pStyle w:val="Longformcallout"/>
              <w:spacing w:after="0"/>
              <w:rPr>
                <w:rFonts w:asciiTheme="majorHAnsi" w:hAnsiTheme="majorHAnsi" w:cstheme="majorBidi"/>
                <w:color w:val="FFFFFF" w:themeColor="background1"/>
                <w:sz w:val="20"/>
                <w:szCs w:val="20"/>
              </w:rPr>
            </w:pPr>
            <w:r w:rsidRPr="00AA2CAF">
              <w:rPr>
                <w:rFonts w:asciiTheme="majorHAnsi" w:hAnsiTheme="majorHAnsi" w:cstheme="majorBidi"/>
                <w:color w:val="FFFFFF" w:themeColor="background1"/>
                <w:sz w:val="20"/>
                <w:szCs w:val="20"/>
              </w:rPr>
              <w:t>To ensure a tight focus on continued quality improvement, governments should consider re-inclusion in successor National Partnership agreement (from 2021) of a measure that more accurately indicates the number of hours of preschool delivery each child receives from a qualified ECT. Governments should also directly reference NQF ratings and State and Territory data in any new agreement to enable a more explicit linkage between, and analysis of, preschool outcomes and quality of provision</w:t>
            </w:r>
            <w:r w:rsidR="0070467C">
              <w:rPr>
                <w:rFonts w:asciiTheme="majorHAnsi" w:hAnsiTheme="majorHAnsi" w:cstheme="majorBidi"/>
                <w:color w:val="FFFFFF" w:themeColor="background1"/>
                <w:sz w:val="20"/>
                <w:szCs w:val="20"/>
              </w:rPr>
              <w:t xml:space="preserve">. </w:t>
            </w:r>
          </w:p>
        </w:tc>
      </w:tr>
    </w:tbl>
    <w:p w14:paraId="22E8B1DE" w14:textId="77777777" w:rsidR="00FC66AA" w:rsidRDefault="00A678B0" w:rsidP="00F65B20">
      <w:pPr>
        <w:pStyle w:val="Heading2"/>
      </w:pPr>
      <w:bookmarkStart w:id="256" w:name="_Ref24557211"/>
      <w:bookmarkStart w:id="257" w:name="_Toc24559610"/>
      <w:bookmarkStart w:id="258" w:name="_Toc54597798"/>
      <w:r>
        <w:t>G</w:t>
      </w:r>
      <w:r w:rsidR="000F1BED" w:rsidRPr="00C950EF">
        <w:t>overnme</w:t>
      </w:r>
      <w:r w:rsidR="00BB44D7">
        <w:t>n</w:t>
      </w:r>
      <w:r w:rsidR="000F1BED" w:rsidRPr="00C950EF">
        <w:t xml:space="preserve">ts should strive to </w:t>
      </w:r>
      <w:r>
        <w:t>remove distortions in the preschool ‘ecosystem’ that impede progress</w:t>
      </w:r>
      <w:bookmarkEnd w:id="256"/>
      <w:bookmarkEnd w:id="257"/>
      <w:bookmarkEnd w:id="258"/>
    </w:p>
    <w:p w14:paraId="53FC5469" w14:textId="77777777" w:rsidR="00A678B0" w:rsidRDefault="00F115EB" w:rsidP="00F115EB">
      <w:pPr>
        <w:rPr>
          <w:lang w:eastAsia="en-AU"/>
        </w:rPr>
      </w:pPr>
      <w:r>
        <w:rPr>
          <w:lang w:eastAsia="en-AU"/>
        </w:rPr>
        <w:t>The</w:t>
      </w:r>
      <w:r w:rsidR="00A678B0">
        <w:rPr>
          <w:lang w:eastAsia="en-AU"/>
        </w:rPr>
        <w:t xml:space="preserve"> Review has noted the place of YBFS preschool at the nexus of a </w:t>
      </w:r>
      <w:r w:rsidR="0065596B">
        <w:rPr>
          <w:lang w:eastAsia="en-AU"/>
        </w:rPr>
        <w:t xml:space="preserve">broader education and care </w:t>
      </w:r>
      <w:r w:rsidR="00A678B0">
        <w:rPr>
          <w:lang w:eastAsia="en-AU"/>
        </w:rPr>
        <w:t xml:space="preserve">system </w:t>
      </w:r>
      <w:r w:rsidR="0065596B">
        <w:rPr>
          <w:lang w:eastAsia="en-AU"/>
        </w:rPr>
        <w:t>for</w:t>
      </w:r>
      <w:r w:rsidR="00A678B0">
        <w:rPr>
          <w:lang w:eastAsia="en-AU"/>
        </w:rPr>
        <w:t xml:space="preserve"> young children. </w:t>
      </w:r>
      <w:r w:rsidR="00310C59">
        <w:rPr>
          <w:lang w:eastAsia="en-AU"/>
        </w:rPr>
        <w:t>This</w:t>
      </w:r>
      <w:r w:rsidR="00A678B0">
        <w:rPr>
          <w:lang w:eastAsia="en-AU"/>
        </w:rPr>
        <w:t xml:space="preserve"> system has service providers, as institutions, in the foreground. But there are other key players, including parent communities, allied services beyond the field of education and care, and the workforce. </w:t>
      </w:r>
    </w:p>
    <w:p w14:paraId="123F13EB" w14:textId="77777777" w:rsidR="00A678B0" w:rsidRDefault="00A678B0" w:rsidP="00F115EB">
      <w:pPr>
        <w:rPr>
          <w:lang w:eastAsia="en-AU"/>
        </w:rPr>
      </w:pPr>
      <w:r>
        <w:rPr>
          <w:lang w:eastAsia="en-AU"/>
        </w:rPr>
        <w:t xml:space="preserve">This wider ‘ecosystem’ has effectively risen to the challenge of delivering universal access, despite the complexity, and despite the barriers that can arise. The Review is concerned, however, that the ecosystem must still deal with a range of internal barriers – some of which are legislated, some funding-related, and some </w:t>
      </w:r>
      <w:r w:rsidR="00594D4C">
        <w:rPr>
          <w:lang w:eastAsia="en-AU"/>
        </w:rPr>
        <w:t>cultural</w:t>
      </w:r>
      <w:r>
        <w:rPr>
          <w:lang w:eastAsia="en-AU"/>
        </w:rPr>
        <w:t>. It finds that f</w:t>
      </w:r>
      <w:r w:rsidR="00FC66AA">
        <w:rPr>
          <w:lang w:eastAsia="en-AU"/>
        </w:rPr>
        <w:t>uture intergovernment</w:t>
      </w:r>
      <w:r w:rsidR="00FF1872">
        <w:rPr>
          <w:lang w:eastAsia="en-AU"/>
        </w:rPr>
        <w:t>al</w:t>
      </w:r>
      <w:r w:rsidR="00FC66AA">
        <w:rPr>
          <w:lang w:eastAsia="en-AU"/>
        </w:rPr>
        <w:t xml:space="preserve"> arrangements should recognise that</w:t>
      </w:r>
      <w:r>
        <w:rPr>
          <w:lang w:eastAsia="en-AU"/>
        </w:rPr>
        <w:t xml:space="preserve"> for a system to become greater than the sum of its parts, integration and coordination is key. </w:t>
      </w:r>
    </w:p>
    <w:p w14:paraId="18EBD4B2" w14:textId="65168890" w:rsidR="00A678B0" w:rsidRDefault="00A678B0" w:rsidP="00F115EB">
      <w:pPr>
        <w:rPr>
          <w:lang w:eastAsia="en-AU"/>
        </w:rPr>
      </w:pPr>
      <w:r>
        <w:rPr>
          <w:lang w:eastAsia="en-AU"/>
        </w:rPr>
        <w:t xml:space="preserve">This is often done very well at a local, </w:t>
      </w:r>
      <w:proofErr w:type="gramStart"/>
      <w:r>
        <w:rPr>
          <w:lang w:eastAsia="en-AU"/>
        </w:rPr>
        <w:t>regional</w:t>
      </w:r>
      <w:proofErr w:type="gramEnd"/>
      <w:r>
        <w:rPr>
          <w:lang w:eastAsia="en-AU"/>
        </w:rPr>
        <w:t xml:space="preserve"> or </w:t>
      </w:r>
      <w:r w:rsidR="004C2087">
        <w:rPr>
          <w:lang w:eastAsia="en-AU"/>
        </w:rPr>
        <w:t>S</w:t>
      </w:r>
      <w:r>
        <w:rPr>
          <w:lang w:eastAsia="en-AU"/>
        </w:rPr>
        <w:t>tate/</w:t>
      </w:r>
      <w:r w:rsidR="004C2087">
        <w:rPr>
          <w:lang w:eastAsia="en-AU"/>
        </w:rPr>
        <w:t>T</w:t>
      </w:r>
      <w:r>
        <w:rPr>
          <w:lang w:eastAsia="en-AU"/>
        </w:rPr>
        <w:t>erritory level. But the downside of pride in diversity is a defensiveness of ‘specialness’, which can manifest in a desire for separateness. All those engaged in this area of early childhood education understand that the common goal is to provide rich play-based learning experiences in a safe and emotionally supportive environment, regardless of setting. Those experiences should be of a suitable frequency and duration to leave a deep and positive impact. And yet, some of the key themes that have come through this Review include issues of demarcation barriers and difficult transitions</w:t>
      </w:r>
      <w:r w:rsidR="00DF0965">
        <w:rPr>
          <w:lang w:eastAsia="en-AU"/>
        </w:rPr>
        <w:t>.</w:t>
      </w:r>
    </w:p>
    <w:p w14:paraId="2A4B7E97" w14:textId="77777777" w:rsidR="00F115EB" w:rsidRPr="00F115EB" w:rsidRDefault="00A678B0" w:rsidP="00F115EB">
      <w:pPr>
        <w:rPr>
          <w:lang w:eastAsia="en-AU"/>
        </w:rPr>
      </w:pPr>
      <w:r>
        <w:rPr>
          <w:lang w:eastAsia="en-AU"/>
        </w:rPr>
        <w:t>It would be naïve to aspire to a truly seamless system. However, there are three findings, discussed here, that the Review considers to be useful references in contemplating future policy priorities.</w:t>
      </w:r>
    </w:p>
    <w:p w14:paraId="2D443D19" w14:textId="77777777" w:rsidR="00F745F9" w:rsidRPr="003340FB" w:rsidRDefault="00E43B0D" w:rsidP="00F85AB6">
      <w:pPr>
        <w:pStyle w:val="Heading4"/>
      </w:pPr>
      <w:r>
        <w:t xml:space="preserve">There is evidence </w:t>
      </w:r>
      <w:r w:rsidR="00A678B0">
        <w:t xml:space="preserve">to support more investment in programs that </w:t>
      </w:r>
      <w:r w:rsidR="002C54F9">
        <w:t xml:space="preserve">prepare children for </w:t>
      </w:r>
      <w:r w:rsidR="00A678B0">
        <w:t xml:space="preserve">YBFS preschool, including </w:t>
      </w:r>
      <w:r w:rsidR="00DA67E3">
        <w:t xml:space="preserve">for </w:t>
      </w:r>
      <w:proofErr w:type="gramStart"/>
      <w:r w:rsidR="004D67CC">
        <w:t>three</w:t>
      </w:r>
      <w:r w:rsidR="00017CCB">
        <w:t xml:space="preserve"> </w:t>
      </w:r>
      <w:r w:rsidR="004D67CC">
        <w:t>year</w:t>
      </w:r>
      <w:proofErr w:type="gramEnd"/>
      <w:r w:rsidR="00017CCB">
        <w:t xml:space="preserve"> </w:t>
      </w:r>
      <w:proofErr w:type="spellStart"/>
      <w:r w:rsidR="00DA67E3">
        <w:t>olds</w:t>
      </w:r>
      <w:proofErr w:type="spellEnd"/>
    </w:p>
    <w:p w14:paraId="2DE8C48C" w14:textId="77777777" w:rsidR="008E7D6E" w:rsidRDefault="008E7D6E" w:rsidP="00A678B0">
      <w:r>
        <w:t xml:space="preserve">There is </w:t>
      </w:r>
      <w:r w:rsidR="00A678B0">
        <w:t>accumulating</w:t>
      </w:r>
      <w:r>
        <w:t xml:space="preserve"> evidence about the value of extending </w:t>
      </w:r>
      <w:r w:rsidR="00F6183D">
        <w:t>preschool</w:t>
      </w:r>
      <w:r>
        <w:t xml:space="preserve"> to </w:t>
      </w:r>
      <w:proofErr w:type="gramStart"/>
      <w:r w:rsidR="004D67CC">
        <w:t>three</w:t>
      </w:r>
      <w:r w:rsidR="00017CCB">
        <w:t xml:space="preserve"> </w:t>
      </w:r>
      <w:r w:rsidR="004D67CC">
        <w:t>year</w:t>
      </w:r>
      <w:proofErr w:type="gramEnd"/>
      <w:r w:rsidR="00017CCB">
        <w:t xml:space="preserve"> </w:t>
      </w:r>
      <w:proofErr w:type="spellStart"/>
      <w:r w:rsidR="004D67CC">
        <w:t>o</w:t>
      </w:r>
      <w:r w:rsidR="00594D4C">
        <w:t>lds</w:t>
      </w:r>
      <w:proofErr w:type="spellEnd"/>
      <w:r>
        <w:t xml:space="preserve">, </w:t>
      </w:r>
      <w:r w:rsidR="00A678B0">
        <w:t xml:space="preserve">with the point often made that </w:t>
      </w:r>
      <w:r w:rsidR="006638C5">
        <w:t xml:space="preserve">these programs support outcomes in </w:t>
      </w:r>
      <w:r w:rsidR="00FF283A">
        <w:t xml:space="preserve">four </w:t>
      </w:r>
      <w:r w:rsidR="006638C5">
        <w:t>year old preschool. T</w:t>
      </w:r>
      <w:r w:rsidR="00A678B0">
        <w:t>he value of a second year</w:t>
      </w:r>
      <w:r w:rsidR="00F6183D">
        <w:t xml:space="preserve"> </w:t>
      </w:r>
      <w:r w:rsidR="00A678B0">
        <w:t xml:space="preserve">is most evident among </w:t>
      </w:r>
      <w:r>
        <w:t>children experiencing vulnerability and disadvantage</w:t>
      </w:r>
      <w:r w:rsidR="00A678B0">
        <w:t xml:space="preserve">. Several jurisdictions are investing in an earlier year of preschool, while others are actively collaborating </w:t>
      </w:r>
      <w:r w:rsidR="00DA67E3">
        <w:t>on other models of evidence-based learning programs</w:t>
      </w:r>
      <w:r>
        <w:t>.</w:t>
      </w:r>
      <w:r w:rsidR="00A678B0">
        <w:t xml:space="preserve"> In so doing they expect to see: </w:t>
      </w:r>
    </w:p>
    <w:p w14:paraId="55C8E7E1" w14:textId="1F5CCE2B" w:rsidR="002C54F9" w:rsidRDefault="00EC5C36" w:rsidP="00A678B0">
      <w:pPr>
        <w:pStyle w:val="Bullet"/>
        <w:numPr>
          <w:ilvl w:val="0"/>
          <w:numId w:val="13"/>
        </w:numPr>
        <w:ind w:left="340" w:hanging="340"/>
        <w:rPr>
          <w:rFonts w:asciiTheme="minorHAnsi" w:hAnsiTheme="minorHAnsi" w:cstheme="minorBidi"/>
        </w:rPr>
      </w:pPr>
      <w:r>
        <w:rPr>
          <w:rFonts w:asciiTheme="minorHAnsi" w:hAnsiTheme="minorHAnsi" w:cstheme="minorBidi"/>
        </w:rPr>
        <w:t>e</w:t>
      </w:r>
      <w:r w:rsidR="002C54F9" w:rsidRPr="0C5679B2">
        <w:rPr>
          <w:rFonts w:asciiTheme="minorHAnsi" w:hAnsiTheme="minorHAnsi" w:cstheme="minorBidi"/>
        </w:rPr>
        <w:t xml:space="preserve">ducational and developmental benefits for all children </w:t>
      </w:r>
    </w:p>
    <w:p w14:paraId="17748559" w14:textId="1F3D16D5" w:rsidR="00A678B0" w:rsidRDefault="00EC5C36" w:rsidP="00A678B0">
      <w:pPr>
        <w:pStyle w:val="Bullet"/>
        <w:numPr>
          <w:ilvl w:val="0"/>
          <w:numId w:val="13"/>
        </w:numPr>
        <w:ind w:left="340" w:hanging="340"/>
        <w:rPr>
          <w:rFonts w:asciiTheme="minorHAnsi" w:hAnsiTheme="minorHAnsi" w:cstheme="minorBidi"/>
        </w:rPr>
      </w:pPr>
      <w:r>
        <w:rPr>
          <w:rFonts w:asciiTheme="minorHAnsi" w:hAnsiTheme="minorHAnsi" w:cstheme="minorBidi"/>
        </w:rPr>
        <w:lastRenderedPageBreak/>
        <w:t>a</w:t>
      </w:r>
      <w:r w:rsidR="002C54F9" w:rsidRPr="0C5679B2">
        <w:rPr>
          <w:rFonts w:asciiTheme="minorHAnsi" w:hAnsiTheme="minorHAnsi" w:cstheme="minorBidi"/>
        </w:rPr>
        <w:t xml:space="preserve">dditional </w:t>
      </w:r>
      <w:r w:rsidR="00A678B0" w:rsidRPr="0C5679B2">
        <w:rPr>
          <w:rFonts w:asciiTheme="minorHAnsi" w:hAnsiTheme="minorHAnsi" w:cstheme="minorBidi"/>
        </w:rPr>
        <w:t>benefits for developmentally disadvantaged children</w:t>
      </w:r>
    </w:p>
    <w:p w14:paraId="6C2C5C4E" w14:textId="275B4915" w:rsidR="00A678B0" w:rsidRDefault="00EC5C36" w:rsidP="00A678B0">
      <w:pPr>
        <w:pStyle w:val="Bullet"/>
        <w:numPr>
          <w:ilvl w:val="0"/>
          <w:numId w:val="13"/>
        </w:numPr>
        <w:ind w:left="340" w:hanging="340"/>
        <w:rPr>
          <w:rFonts w:asciiTheme="minorHAnsi" w:hAnsiTheme="minorHAnsi" w:cstheme="minorBidi"/>
        </w:rPr>
      </w:pPr>
      <w:r>
        <w:rPr>
          <w:rFonts w:asciiTheme="minorHAnsi" w:hAnsiTheme="minorHAnsi" w:cstheme="minorBidi"/>
        </w:rPr>
        <w:t>i</w:t>
      </w:r>
      <w:r w:rsidR="00A678B0" w:rsidRPr="0C5679B2">
        <w:rPr>
          <w:rFonts w:asciiTheme="minorHAnsi" w:hAnsiTheme="minorHAnsi" w:cstheme="minorBidi"/>
        </w:rPr>
        <w:t xml:space="preserve">mproved participation among hard to engage cohorts. </w:t>
      </w:r>
    </w:p>
    <w:p w14:paraId="7CDE0648" w14:textId="77777777" w:rsidR="009A620B" w:rsidRPr="009A620B" w:rsidDel="00DA67E3" w:rsidRDefault="00594D4C" w:rsidP="009A620B">
      <w:r>
        <w:t>A</w:t>
      </w:r>
      <w:r w:rsidR="004D7FD0">
        <w:t xml:space="preserve"> </w:t>
      </w:r>
      <w:r w:rsidR="00A678B0">
        <w:t xml:space="preserve">great many submissions received advocated extension of the UANP’s coverage to this cohort. To support their argument, they cite moves by several of </w:t>
      </w:r>
      <w:r w:rsidR="00566A3D">
        <w:t xml:space="preserve">Australia’s peer countries </w:t>
      </w:r>
      <w:r w:rsidR="0046722E">
        <w:t>(</w:t>
      </w:r>
      <w:r w:rsidR="00C064B2">
        <w:t>such as</w:t>
      </w:r>
      <w:r w:rsidR="0046722E">
        <w:t xml:space="preserve"> New Zealand</w:t>
      </w:r>
      <w:r w:rsidR="00DF0965">
        <w:t xml:space="preserve"> and the United Kingdom</w:t>
      </w:r>
      <w:r w:rsidR="0046722E">
        <w:t xml:space="preserve">) </w:t>
      </w:r>
      <w:r w:rsidR="00566A3D">
        <w:t xml:space="preserve">to provide universal access to preschool for </w:t>
      </w:r>
      <w:proofErr w:type="gramStart"/>
      <w:r w:rsidR="00566A3D">
        <w:t>three</w:t>
      </w:r>
      <w:r w:rsidR="00017CCB">
        <w:t xml:space="preserve"> </w:t>
      </w:r>
      <w:r w:rsidR="00566A3D">
        <w:t>year</w:t>
      </w:r>
      <w:proofErr w:type="gramEnd"/>
      <w:r w:rsidR="00017CCB">
        <w:t xml:space="preserve"> </w:t>
      </w:r>
      <w:proofErr w:type="spellStart"/>
      <w:r w:rsidR="00566A3D">
        <w:t>olds</w:t>
      </w:r>
      <w:proofErr w:type="spellEnd"/>
      <w:r w:rsidR="00566A3D">
        <w:t>.</w:t>
      </w:r>
      <w:r w:rsidR="009A620B" w:rsidRPr="009A620B">
        <w:t xml:space="preserve"> The Review concludes that there is value in supporting </w:t>
      </w:r>
      <w:proofErr w:type="gramStart"/>
      <w:r w:rsidR="009A620B" w:rsidRPr="009A620B">
        <w:t>three</w:t>
      </w:r>
      <w:r w:rsidR="00017CCB">
        <w:t xml:space="preserve"> </w:t>
      </w:r>
      <w:r w:rsidR="009A620B" w:rsidRPr="009A620B">
        <w:t>year</w:t>
      </w:r>
      <w:proofErr w:type="gramEnd"/>
      <w:r w:rsidR="00017CCB">
        <w:t xml:space="preserve"> </w:t>
      </w:r>
      <w:proofErr w:type="spellStart"/>
      <w:r w:rsidR="009A620B" w:rsidRPr="009A620B">
        <w:t>olds</w:t>
      </w:r>
      <w:proofErr w:type="spellEnd"/>
      <w:r w:rsidR="009A620B" w:rsidRPr="009A620B">
        <w:t xml:space="preserve"> to access evidence-based </w:t>
      </w:r>
      <w:r w:rsidR="00CD4959">
        <w:t>learning</w:t>
      </w:r>
      <w:r w:rsidR="00CD4959" w:rsidRPr="009A620B">
        <w:t xml:space="preserve"> </w:t>
      </w:r>
      <w:r w:rsidR="009A620B" w:rsidRPr="009A620B">
        <w:t xml:space="preserve">programs to improve outcomes for all children, including target cohorts (as long as the service provision is of a suitable quality). </w:t>
      </w:r>
    </w:p>
    <w:p w14:paraId="6CA3F25D" w14:textId="77777777" w:rsidR="00002C4F" w:rsidRPr="00002C4F" w:rsidRDefault="009A620B" w:rsidP="0046722E">
      <w:r>
        <w:t>I</w:t>
      </w:r>
      <w:r w:rsidR="00566A3D">
        <w:t>nclusion of universal</w:t>
      </w:r>
      <w:r w:rsidR="00145539">
        <w:t xml:space="preserve"> </w:t>
      </w:r>
      <w:proofErr w:type="gramStart"/>
      <w:r w:rsidR="00145539">
        <w:t>three</w:t>
      </w:r>
      <w:r w:rsidR="00017CCB">
        <w:t xml:space="preserve"> </w:t>
      </w:r>
      <w:r w:rsidR="00566A3D">
        <w:t>year</w:t>
      </w:r>
      <w:r w:rsidR="00017CCB">
        <w:t xml:space="preserve"> </w:t>
      </w:r>
      <w:r w:rsidR="00566A3D">
        <w:t>old</w:t>
      </w:r>
      <w:proofErr w:type="gramEnd"/>
      <w:r w:rsidR="00566A3D">
        <w:t xml:space="preserve"> </w:t>
      </w:r>
      <w:r w:rsidR="00F6183D">
        <w:t>learning programs</w:t>
      </w:r>
      <w:r w:rsidR="00566A3D">
        <w:t xml:space="preserve"> in the next set of intergovernment</w:t>
      </w:r>
      <w:r w:rsidR="00FF1872">
        <w:t>al</w:t>
      </w:r>
      <w:r w:rsidR="00566A3D">
        <w:t xml:space="preserve"> agreements is unlikely</w:t>
      </w:r>
      <w:r>
        <w:t xml:space="preserve">, however, </w:t>
      </w:r>
      <w:r w:rsidR="00566A3D">
        <w:t xml:space="preserve">without a higher degree of agreement. </w:t>
      </w:r>
      <w:r w:rsidR="00FF1872">
        <w:t xml:space="preserve">Moreover, </w:t>
      </w:r>
      <w:r w:rsidR="0046722E">
        <w:t>as noted earlier in the discussion about the merits or otherwise of a National Agreement, it would</w:t>
      </w:r>
      <w:r w:rsidR="00FF1872">
        <w:t xml:space="preserve"> extend the scope for the UANP, which has been targeted at the YBFS. </w:t>
      </w:r>
    </w:p>
    <w:p w14:paraId="6895BD83" w14:textId="54DBA560" w:rsidR="00A70C4F" w:rsidRPr="00A70C4F" w:rsidRDefault="00A70C4F" w:rsidP="000872BF">
      <w:pPr>
        <w:spacing w:after="240"/>
        <w:rPr>
          <w:rFonts w:asciiTheme="minorHAnsi" w:hAnsiTheme="minorHAnsi"/>
        </w:rPr>
      </w:pPr>
      <w:r>
        <w:t xml:space="preserve">That said, </w:t>
      </w:r>
      <w:r w:rsidRPr="00A70C4F">
        <w:rPr>
          <w:rFonts w:asciiTheme="minorHAnsi" w:hAnsiTheme="minorHAnsi"/>
        </w:rPr>
        <w:t xml:space="preserve">where appropriate, State and Territory funding of such services could be counted as relevant co-investment </w:t>
      </w:r>
      <w:r w:rsidR="00D73475">
        <w:rPr>
          <w:rFonts w:asciiTheme="minorHAnsi" w:hAnsiTheme="minorHAnsi"/>
        </w:rPr>
        <w:t xml:space="preserve">where the services contribute to increasing the participation of underrepresented cohorts in </w:t>
      </w:r>
      <w:r w:rsidRPr="00A70C4F">
        <w:rPr>
          <w:rFonts w:asciiTheme="minorHAnsi" w:hAnsiTheme="minorHAnsi"/>
        </w:rPr>
        <w:t xml:space="preserve">preschool in the YBFS.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03EE8263" w14:textId="77777777" w:rsidTr="00C23746">
        <w:tc>
          <w:tcPr>
            <w:tcW w:w="8930" w:type="dxa"/>
            <w:shd w:val="clear" w:color="auto" w:fill="00264D" w:themeFill="background2"/>
          </w:tcPr>
          <w:p w14:paraId="539441CD" w14:textId="77777777" w:rsidR="00C23746" w:rsidRPr="006C71B3" w:rsidRDefault="00C23746" w:rsidP="00C23746">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3</w:t>
            </w:r>
            <w:r w:rsidR="005F5C70">
              <w:rPr>
                <w:rFonts w:asciiTheme="minorHAnsi" w:hAnsiTheme="minorHAnsi"/>
                <w:b/>
                <w:color w:val="25B3E0" w:themeColor="accent6"/>
                <w:sz w:val="20"/>
                <w:szCs w:val="20"/>
              </w:rPr>
              <w:t>4</w:t>
            </w:r>
          </w:p>
          <w:p w14:paraId="79AD2EEF" w14:textId="1F89A5F3" w:rsidR="00FE5D3E" w:rsidRPr="00030D73" w:rsidRDefault="002F1886" w:rsidP="00C23746">
            <w:pPr>
              <w:pStyle w:val="Longformcallout"/>
              <w:spacing w:after="0"/>
              <w:rPr>
                <w:rFonts w:asciiTheme="majorHAnsi" w:hAnsiTheme="majorHAnsi" w:cstheme="majorBidi"/>
                <w:sz w:val="24"/>
                <w:szCs w:val="24"/>
              </w:rPr>
            </w:pPr>
            <w:r w:rsidRPr="002F1886">
              <w:rPr>
                <w:rFonts w:asciiTheme="majorHAnsi" w:hAnsiTheme="majorHAnsi" w:cstheme="majorBidi"/>
                <w:color w:val="FFFFFF" w:themeColor="background1"/>
                <w:sz w:val="20"/>
                <w:szCs w:val="20"/>
              </w:rPr>
              <w:t xml:space="preserve">States and Territories should be encouraged to support evidence-based learning programs for </w:t>
            </w:r>
            <w:proofErr w:type="gramStart"/>
            <w:r w:rsidRPr="002F1886">
              <w:rPr>
                <w:rFonts w:asciiTheme="majorHAnsi" w:hAnsiTheme="majorHAnsi" w:cstheme="majorBidi"/>
                <w:color w:val="FFFFFF" w:themeColor="background1"/>
                <w:sz w:val="20"/>
                <w:szCs w:val="20"/>
              </w:rPr>
              <w:t>three year</w:t>
            </w:r>
            <w:proofErr w:type="gramEnd"/>
            <w:r w:rsidRPr="002F1886">
              <w:rPr>
                <w:rFonts w:asciiTheme="majorHAnsi" w:hAnsiTheme="majorHAnsi" w:cstheme="majorBidi"/>
                <w:color w:val="FFFFFF" w:themeColor="background1"/>
                <w:sz w:val="20"/>
                <w:szCs w:val="20"/>
              </w:rPr>
              <w:t xml:space="preserve"> </w:t>
            </w:r>
            <w:proofErr w:type="spellStart"/>
            <w:r w:rsidRPr="002F1886">
              <w:rPr>
                <w:rFonts w:asciiTheme="majorHAnsi" w:hAnsiTheme="majorHAnsi" w:cstheme="majorBidi"/>
                <w:color w:val="FFFFFF" w:themeColor="background1"/>
                <w:sz w:val="20"/>
                <w:szCs w:val="20"/>
              </w:rPr>
              <w:t>olds</w:t>
            </w:r>
            <w:proofErr w:type="spellEnd"/>
            <w:r w:rsidRPr="002F1886">
              <w:rPr>
                <w:rFonts w:asciiTheme="majorHAnsi" w:hAnsiTheme="majorHAnsi" w:cstheme="majorBidi"/>
                <w:color w:val="FFFFFF" w:themeColor="background1"/>
                <w:sz w:val="20"/>
                <w:szCs w:val="20"/>
              </w:rPr>
              <w:t xml:space="preserve"> in diverse forms. Such programs could be counted as relevant co-investment (along with other relevant initiatives) </w:t>
            </w:r>
            <w:r w:rsidR="00371C60">
              <w:rPr>
                <w:rFonts w:asciiTheme="majorHAnsi" w:hAnsiTheme="majorHAnsi" w:cstheme="majorBidi"/>
                <w:color w:val="FFFFFF" w:themeColor="background1"/>
                <w:sz w:val="20"/>
                <w:szCs w:val="20"/>
              </w:rPr>
              <w:t xml:space="preserve">where they </w:t>
            </w:r>
            <w:r w:rsidR="00DB1AB4" w:rsidRPr="00DB1AB4">
              <w:rPr>
                <w:rFonts w:asciiTheme="majorHAnsi" w:hAnsiTheme="majorHAnsi" w:cstheme="majorBidi"/>
                <w:color w:val="FFFFFF" w:themeColor="background1"/>
                <w:sz w:val="20"/>
                <w:szCs w:val="20"/>
              </w:rPr>
              <w:t>directly contribute to the achievement of UANP objectives, including improving the participation of underrepresented cohorts in YBFS preschool</w:t>
            </w:r>
            <w:r w:rsidR="0046722E" w:rsidRPr="0C5679B2">
              <w:rPr>
                <w:rFonts w:asciiTheme="majorHAnsi" w:hAnsiTheme="majorHAnsi" w:cstheme="majorBidi"/>
                <w:color w:val="FFFFFF" w:themeColor="background1"/>
                <w:sz w:val="20"/>
                <w:szCs w:val="20"/>
              </w:rPr>
              <w:t>.</w:t>
            </w:r>
          </w:p>
        </w:tc>
      </w:tr>
    </w:tbl>
    <w:p w14:paraId="700CB14E" w14:textId="77777777" w:rsidR="00713708" w:rsidRDefault="009B35FA" w:rsidP="00F85AB6">
      <w:pPr>
        <w:pStyle w:val="Heading4"/>
      </w:pPr>
      <w:r>
        <w:t>I</w:t>
      </w:r>
      <w:r w:rsidR="00713708" w:rsidRPr="003340FB">
        <w:t>nitiatives to tackle workforce challenges</w:t>
      </w:r>
      <w:r w:rsidR="00E43B0D">
        <w:t xml:space="preserve"> </w:t>
      </w:r>
      <w:r w:rsidR="002C54F9">
        <w:t xml:space="preserve">are needed </w:t>
      </w:r>
      <w:r w:rsidR="00E43B0D">
        <w:t>to ensure continued universal access</w:t>
      </w:r>
    </w:p>
    <w:p w14:paraId="31FAF705" w14:textId="595A4CD2" w:rsidR="002A6CE9" w:rsidRDefault="00713708" w:rsidP="002A6CE9">
      <w:r w:rsidRPr="00DB70BA">
        <w:t xml:space="preserve">The </w:t>
      </w:r>
      <w:r w:rsidR="00C95A6B">
        <w:t xml:space="preserve">challenges in attracting and retaining qualified ECTs </w:t>
      </w:r>
      <w:r w:rsidR="002A6CE9">
        <w:t xml:space="preserve">emerged as </w:t>
      </w:r>
      <w:r w:rsidRPr="00DB70BA">
        <w:t xml:space="preserve">a common </w:t>
      </w:r>
      <w:r w:rsidR="002A6CE9">
        <w:t>issue</w:t>
      </w:r>
      <w:r w:rsidRPr="00DB70BA">
        <w:t xml:space="preserve"> </w:t>
      </w:r>
      <w:r w:rsidR="005F5AA9">
        <w:t>among sector representatives and jurisdictions</w:t>
      </w:r>
      <w:r w:rsidR="00C95A6B">
        <w:t xml:space="preserve">, as outlined in </w:t>
      </w:r>
      <w:r w:rsidR="00D545E3">
        <w:t xml:space="preserve">Chapter </w:t>
      </w:r>
      <w:r w:rsidR="00D545E3">
        <w:fldChar w:fldCharType="begin"/>
      </w:r>
      <w:r w:rsidR="00D545E3">
        <w:instrText xml:space="preserve"> REF _Ref24557316 \r \h </w:instrText>
      </w:r>
      <w:r w:rsidR="00D545E3">
        <w:fldChar w:fldCharType="separate"/>
      </w:r>
      <w:r w:rsidR="00B37785">
        <w:t>3.3</w:t>
      </w:r>
      <w:r w:rsidR="00D545E3">
        <w:fldChar w:fldCharType="end"/>
      </w:r>
      <w:r w:rsidR="005F5AA9">
        <w:t>.</w:t>
      </w:r>
      <w:r w:rsidR="002A6CE9">
        <w:t xml:space="preserve"> None of this is to suggest that there should be any dilution of the qualification standards that have been put in place. The NQS is a robust evidence</w:t>
      </w:r>
      <w:r w:rsidR="00C95A6B">
        <w:t>-</w:t>
      </w:r>
      <w:r w:rsidR="002A6CE9">
        <w:t xml:space="preserve">based instrument by which to assess quality, and its positive impact is evident. </w:t>
      </w:r>
    </w:p>
    <w:p w14:paraId="03E3540F" w14:textId="77777777" w:rsidR="002A6CE9" w:rsidRDefault="002A6CE9" w:rsidP="002A6CE9">
      <w:r>
        <w:t xml:space="preserve">The issues raised do nevertheless call for a </w:t>
      </w:r>
      <w:r w:rsidR="00811DBC">
        <w:t xml:space="preserve">new </w:t>
      </w:r>
      <w:r w:rsidR="00713708" w:rsidRPr="00DB70BA">
        <w:t xml:space="preserve">national workforce strategy </w:t>
      </w:r>
      <w:r>
        <w:t>to address supply issues and promote mobility across the sector. The Review understands that w</w:t>
      </w:r>
      <w:r w:rsidRPr="00867904">
        <w:t xml:space="preserve">ork </w:t>
      </w:r>
      <w:r>
        <w:t xml:space="preserve">is </w:t>
      </w:r>
      <w:r w:rsidRPr="00867904">
        <w:t>underway to build a national approach for the ECEC workforce</w:t>
      </w:r>
      <w:r>
        <w:t xml:space="preserve"> and that this will include </w:t>
      </w:r>
      <w:r w:rsidRPr="00867904">
        <w:t xml:space="preserve">consideration of a national workforce strategy or framework. </w:t>
      </w:r>
      <w:r w:rsidR="00811DBC">
        <w:t xml:space="preserve">As part of this process, </w:t>
      </w:r>
      <w:r w:rsidRPr="00867904">
        <w:t xml:space="preserve">ACECQA has undertaken an </w:t>
      </w:r>
      <w:r w:rsidR="00811DBC">
        <w:t xml:space="preserve">extensive </w:t>
      </w:r>
      <w:r w:rsidRPr="00867904">
        <w:t xml:space="preserve">evidence gathering process, </w:t>
      </w:r>
      <w:r w:rsidR="00811DBC">
        <w:t xml:space="preserve">which has </w:t>
      </w:r>
      <w:r w:rsidR="00811DBC" w:rsidRPr="00867904">
        <w:t>includ</w:t>
      </w:r>
      <w:r w:rsidR="00811DBC">
        <w:t>ed</w:t>
      </w:r>
      <w:r w:rsidRPr="00867904">
        <w:t xml:space="preserve"> consultation with jurisdictions, large service providers and peak</w:t>
      </w:r>
      <w:r>
        <w:t xml:space="preserve"> bodie</w:t>
      </w:r>
      <w:r w:rsidRPr="00867904">
        <w:t>s.</w:t>
      </w:r>
      <w:r>
        <w:rPr>
          <w:rStyle w:val="FootnoteReference"/>
        </w:rPr>
        <w:footnoteReference w:id="100"/>
      </w:r>
      <w:r w:rsidRPr="00867904">
        <w:t xml:space="preserve"> </w:t>
      </w:r>
      <w:r w:rsidR="00811DBC">
        <w:t xml:space="preserve">Any responses to the workforce challenges identified during the Review should be considered in the context of </w:t>
      </w:r>
      <w:r w:rsidR="009A620B">
        <w:t xml:space="preserve">this </w:t>
      </w:r>
      <w:r w:rsidR="00811DBC">
        <w:t>work.</w:t>
      </w:r>
    </w:p>
    <w:p w14:paraId="37F6BDA8" w14:textId="77777777" w:rsidR="00811DBC" w:rsidRDefault="00811DBC" w:rsidP="00811DBC">
      <w:r>
        <w:t>Subject to the scope and timeframes for the national approach, potential initiatives for consideration could include:</w:t>
      </w:r>
    </w:p>
    <w:p w14:paraId="0FD6A143" w14:textId="77777777" w:rsidR="00D80F04" w:rsidRPr="00D80F04" w:rsidRDefault="009126BA" w:rsidP="00D80F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 xml:space="preserve">Actively </w:t>
      </w:r>
      <w:r w:rsidR="00D80F04" w:rsidRPr="0C5679B2">
        <w:rPr>
          <w:rFonts w:asciiTheme="minorHAnsi" w:hAnsiTheme="minorHAnsi" w:cstheme="minorBidi"/>
        </w:rPr>
        <w:t xml:space="preserve">support development of a community of practice jointly committed to raising the status of early childhood education among the profession, current students and within the community. </w:t>
      </w:r>
    </w:p>
    <w:p w14:paraId="37F548E7" w14:textId="77777777" w:rsidR="009126BA" w:rsidRPr="00D80F04" w:rsidRDefault="00D80F04" w:rsidP="00D80F04">
      <w:pPr>
        <w:pStyle w:val="Bullet"/>
        <w:numPr>
          <w:ilvl w:val="0"/>
          <w:numId w:val="13"/>
        </w:numPr>
        <w:ind w:left="340" w:hanging="340"/>
        <w:rPr>
          <w:rFonts w:asciiTheme="minorHAnsi" w:hAnsiTheme="minorHAnsi" w:cstheme="minorBidi"/>
        </w:rPr>
      </w:pPr>
      <w:r w:rsidRPr="0C5679B2">
        <w:rPr>
          <w:rFonts w:asciiTheme="minorHAnsi" w:hAnsiTheme="minorHAnsi" w:cstheme="minorBidi"/>
        </w:rPr>
        <w:t>P</w:t>
      </w:r>
      <w:r w:rsidR="009126BA" w:rsidRPr="0C5679B2">
        <w:rPr>
          <w:rFonts w:asciiTheme="minorHAnsi" w:hAnsiTheme="minorHAnsi" w:cstheme="minorBidi"/>
        </w:rPr>
        <w:t xml:space="preserve">romote placements in and secondments </w:t>
      </w:r>
      <w:r w:rsidRPr="0C5679B2">
        <w:rPr>
          <w:rFonts w:asciiTheme="minorHAnsi" w:hAnsiTheme="minorHAnsi" w:cstheme="minorBidi"/>
        </w:rPr>
        <w:t>across the boundaries of different providers, including to support and cover for professional development opportunities</w:t>
      </w:r>
      <w:r w:rsidR="000C6FD2">
        <w:rPr>
          <w:rFonts w:asciiTheme="minorHAnsi" w:hAnsiTheme="minorHAnsi" w:cstheme="minorBidi"/>
        </w:rPr>
        <w:t>.</w:t>
      </w:r>
    </w:p>
    <w:p w14:paraId="57FA9D49" w14:textId="77777777" w:rsidR="00811DBC" w:rsidRDefault="002C54F9" w:rsidP="002C54F9">
      <w:pPr>
        <w:pStyle w:val="Bullet"/>
        <w:numPr>
          <w:ilvl w:val="0"/>
          <w:numId w:val="13"/>
        </w:numPr>
        <w:ind w:left="340" w:hanging="340"/>
        <w:rPr>
          <w:rFonts w:asciiTheme="minorHAnsi" w:hAnsiTheme="minorHAnsi" w:cstheme="minorBidi"/>
        </w:rPr>
      </w:pPr>
      <w:r w:rsidRPr="0C5679B2">
        <w:rPr>
          <w:rFonts w:asciiTheme="minorHAnsi" w:hAnsiTheme="minorHAnsi" w:cstheme="minorBidi"/>
        </w:rPr>
        <w:lastRenderedPageBreak/>
        <w:t>Work with higher education providers to ensure there is consistent messaging about the important role of ECTs across the sector and to explore the value for collaboration among larger providers and government for combined professional development and networking opportunities</w:t>
      </w:r>
      <w:r w:rsidR="000C6FD2">
        <w:rPr>
          <w:rFonts w:asciiTheme="minorHAnsi" w:hAnsiTheme="minorHAnsi" w:cstheme="minorBidi"/>
        </w:rPr>
        <w:t>.</w:t>
      </w:r>
    </w:p>
    <w:p w14:paraId="4470CB6B" w14:textId="77777777" w:rsidR="00D80F04" w:rsidRPr="00811DBC" w:rsidRDefault="0030642E" w:rsidP="009D7237">
      <w:pPr>
        <w:pStyle w:val="Bullet"/>
        <w:numPr>
          <w:ilvl w:val="0"/>
          <w:numId w:val="13"/>
        </w:numPr>
        <w:spacing w:after="240"/>
        <w:ind w:left="340" w:hanging="340"/>
        <w:rPr>
          <w:rFonts w:asciiTheme="minorHAnsi" w:hAnsiTheme="minorHAnsi" w:cstheme="minorBidi"/>
        </w:rPr>
      </w:pPr>
      <w:r>
        <w:t>T</w:t>
      </w:r>
      <w:r w:rsidR="00811DBC">
        <w:t xml:space="preserve">rialling initiatives to </w:t>
      </w:r>
      <w:r w:rsidR="00811DBC" w:rsidRPr="009126BA">
        <w:t>actively break</w:t>
      </w:r>
      <w:r w:rsidR="00811DBC">
        <w:t xml:space="preserve"> </w:t>
      </w:r>
      <w:r w:rsidR="00811DBC" w:rsidRPr="009126BA">
        <w:t xml:space="preserve">down the </w:t>
      </w:r>
      <w:r w:rsidR="00811DBC" w:rsidRPr="00C95A6B">
        <w:rPr>
          <w:rFonts w:asciiTheme="minorHAnsi" w:hAnsiTheme="minorHAnsi"/>
        </w:rPr>
        <w:t>real and perceived differences between preschool delivery in different settings</w:t>
      </w:r>
      <w:r w:rsidR="00811DBC">
        <w:t>.</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78BC06E7" w14:textId="77777777" w:rsidTr="00C23746">
        <w:tc>
          <w:tcPr>
            <w:tcW w:w="8930" w:type="dxa"/>
            <w:shd w:val="clear" w:color="auto" w:fill="00264D" w:themeFill="background2"/>
          </w:tcPr>
          <w:p w14:paraId="36388FCE" w14:textId="77777777" w:rsidR="00C23746" w:rsidRPr="006C71B3" w:rsidRDefault="00C23746" w:rsidP="00C23746">
            <w:pPr>
              <w:pStyle w:val="Longformcallout"/>
              <w:spacing w:before="0"/>
              <w:rPr>
                <w:rFonts w:asciiTheme="minorHAnsi" w:hAnsiTheme="minorHAnsi"/>
                <w:b/>
                <w:color w:val="25B3E0" w:themeColor="accent6"/>
                <w:sz w:val="20"/>
                <w:szCs w:val="20"/>
              </w:rPr>
            </w:pPr>
            <w:bookmarkStart w:id="259" w:name="_Hlk24094421"/>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3</w:t>
            </w:r>
            <w:r w:rsidR="005F5C70">
              <w:rPr>
                <w:rFonts w:asciiTheme="minorHAnsi" w:hAnsiTheme="minorHAnsi"/>
                <w:b/>
                <w:color w:val="25B3E0" w:themeColor="accent6"/>
                <w:sz w:val="20"/>
                <w:szCs w:val="20"/>
              </w:rPr>
              <w:t>5</w:t>
            </w:r>
          </w:p>
          <w:p w14:paraId="32F193B3" w14:textId="77777777" w:rsidR="00C23746" w:rsidRPr="00030D73" w:rsidRDefault="00811DBC" w:rsidP="00C23746">
            <w:pPr>
              <w:pStyle w:val="Longformcallout"/>
              <w:spacing w:after="0"/>
              <w:rPr>
                <w:rFonts w:asciiTheme="majorHAnsi" w:hAnsiTheme="majorHAnsi" w:cstheme="majorBidi"/>
                <w:sz w:val="24"/>
                <w:szCs w:val="24"/>
              </w:rPr>
            </w:pPr>
            <w:r>
              <w:rPr>
                <w:rFonts w:asciiTheme="majorHAnsi" w:hAnsiTheme="majorHAnsi" w:cstheme="majorBidi"/>
                <w:color w:val="FFFFFF" w:themeColor="background1"/>
                <w:sz w:val="20"/>
                <w:szCs w:val="20"/>
              </w:rPr>
              <w:t>A</w:t>
            </w:r>
            <w:r w:rsidRPr="0C5679B2">
              <w:rPr>
                <w:rFonts w:asciiTheme="majorHAnsi" w:hAnsiTheme="majorHAnsi" w:cstheme="majorBidi"/>
                <w:color w:val="FFFFFF" w:themeColor="background1"/>
                <w:sz w:val="20"/>
                <w:szCs w:val="20"/>
              </w:rPr>
              <w:t>ddress</w:t>
            </w:r>
            <w:r>
              <w:rPr>
                <w:rFonts w:asciiTheme="majorHAnsi" w:hAnsiTheme="majorHAnsi" w:cstheme="majorBidi"/>
                <w:color w:val="FFFFFF" w:themeColor="background1"/>
                <w:sz w:val="20"/>
                <w:szCs w:val="20"/>
              </w:rPr>
              <w:t>ing</w:t>
            </w:r>
            <w:r w:rsidRPr="0C5679B2">
              <w:rPr>
                <w:rFonts w:asciiTheme="majorHAnsi" w:hAnsiTheme="majorHAnsi" w:cstheme="majorBidi"/>
                <w:color w:val="FFFFFF" w:themeColor="background1"/>
                <w:sz w:val="20"/>
                <w:szCs w:val="20"/>
              </w:rPr>
              <w:t xml:space="preserve"> the workforce challenges affecting preschool in the YBFS</w:t>
            </w:r>
            <w:r>
              <w:rPr>
                <w:rFonts w:asciiTheme="majorHAnsi" w:hAnsiTheme="majorHAnsi" w:cstheme="majorBidi"/>
                <w:color w:val="FFFFFF" w:themeColor="background1"/>
                <w:sz w:val="20"/>
                <w:szCs w:val="20"/>
              </w:rPr>
              <w:t xml:space="preserve"> should be considered in the context of any agreed national approach to the ECEC workforce</w:t>
            </w:r>
            <w:r w:rsidR="00D80F04" w:rsidRPr="0C5679B2">
              <w:rPr>
                <w:rFonts w:asciiTheme="majorHAnsi" w:hAnsiTheme="majorHAnsi" w:cstheme="majorBidi"/>
                <w:color w:val="FFFFFF" w:themeColor="background1"/>
                <w:sz w:val="20"/>
                <w:szCs w:val="20"/>
              </w:rPr>
              <w:t>.</w:t>
            </w:r>
          </w:p>
        </w:tc>
      </w:tr>
    </w:tbl>
    <w:bookmarkEnd w:id="259"/>
    <w:p w14:paraId="6061B3B1" w14:textId="77777777" w:rsidR="00C55606" w:rsidRDefault="00E43B0D" w:rsidP="00F85AB6">
      <w:pPr>
        <w:pStyle w:val="Heading4"/>
      </w:pPr>
      <w:r>
        <w:t xml:space="preserve">There are opportunities to </w:t>
      </w:r>
      <w:r w:rsidR="00D80F04">
        <w:t xml:space="preserve">strengthen the alignment of YBFS preschool with the broader </w:t>
      </w:r>
      <w:r>
        <w:t>0-8 education and care agenda</w:t>
      </w:r>
    </w:p>
    <w:p w14:paraId="1F377D2C" w14:textId="77777777" w:rsidR="00D80F04" w:rsidRDefault="00D80F04" w:rsidP="00D80F04">
      <w:r>
        <w:t xml:space="preserve">The Early Learning Reform Principles provide a cohesive vision to inform future policy on preschool in the YBFS. </w:t>
      </w:r>
      <w:r w:rsidR="00CD4959">
        <w:t xml:space="preserve">The </w:t>
      </w:r>
      <w:r w:rsidR="00CD4959" w:rsidRPr="00CD4959">
        <w:t>Alice Springs (</w:t>
      </w:r>
      <w:proofErr w:type="spellStart"/>
      <w:r w:rsidR="00CD4959" w:rsidRPr="00CD4959">
        <w:t>Mparntwe</w:t>
      </w:r>
      <w:proofErr w:type="spellEnd"/>
      <w:r w:rsidR="00CD4959" w:rsidRPr="00CD4959">
        <w:t xml:space="preserve">) Education Declaration </w:t>
      </w:r>
      <w:r w:rsidR="00594D4C">
        <w:t>express</w:t>
      </w:r>
      <w:r w:rsidR="00CD4959">
        <w:t>es</w:t>
      </w:r>
      <w:r w:rsidR="00594D4C">
        <w:t xml:space="preserve"> the imperative of early childhood education and </w:t>
      </w:r>
      <w:r>
        <w:t xml:space="preserve">presage a reinvigorated approach to considering the importance of smooth transitions through the early years into </w:t>
      </w:r>
      <w:r w:rsidR="00714CAC">
        <w:t xml:space="preserve">full-time </w:t>
      </w:r>
      <w:r>
        <w:t>school and beyond. This reflects important recent contributions</w:t>
      </w:r>
      <w:r w:rsidR="00273482">
        <w:t xml:space="preserve"> on the theme</w:t>
      </w:r>
      <w:r>
        <w:t xml:space="preserve">, including </w:t>
      </w:r>
      <w:r w:rsidR="00273482">
        <w:t>by David Gonski in his most recent review into school education.</w:t>
      </w:r>
      <w:r w:rsidR="00273482">
        <w:rPr>
          <w:rStyle w:val="FootnoteReference"/>
        </w:rPr>
        <w:footnoteReference w:id="101"/>
      </w:r>
      <w:r w:rsidR="00273482">
        <w:t xml:space="preserve"> </w:t>
      </w:r>
      <w:r w:rsidR="009569F6">
        <w:t>That</w:t>
      </w:r>
      <w:r w:rsidR="00273482">
        <w:t xml:space="preserve"> report included the following finding (number 2):</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03670C" w14:paraId="37267AEB" w14:textId="77777777" w:rsidTr="00A806ED">
        <w:tc>
          <w:tcPr>
            <w:tcW w:w="7285" w:type="dxa"/>
          </w:tcPr>
          <w:p w14:paraId="0C33B7FF" w14:textId="77777777" w:rsidR="0003670C" w:rsidRPr="002B7A6E" w:rsidRDefault="0003670C" w:rsidP="0003670C">
            <w:pPr>
              <w:pStyle w:val="longformcalloutbullet"/>
              <w:numPr>
                <w:ilvl w:val="0"/>
                <w:numId w:val="0"/>
              </w:numPr>
              <w:rPr>
                <w:b/>
              </w:rPr>
            </w:pPr>
            <w:r w:rsidRPr="0003670C">
              <w:t xml:space="preserve">“Early childhood education makes a significant contribution to school outcomes. The transition between preschool and school education should be seamless. Ongoing reforms that lay the foundations in the early years for future </w:t>
            </w:r>
            <w:proofErr w:type="gramStart"/>
            <w:r w:rsidRPr="0003670C">
              <w:t>learning, and</w:t>
            </w:r>
            <w:proofErr w:type="gramEnd"/>
            <w:r w:rsidRPr="0003670C">
              <w:t xml:space="preserve"> close the learning differential between advantaged and disadvantaged students, are essential to ensure all children have the best start in life</w:t>
            </w:r>
            <w:r w:rsidR="009A620B">
              <w:t>.”</w:t>
            </w:r>
          </w:p>
        </w:tc>
      </w:tr>
    </w:tbl>
    <w:p w14:paraId="5A465592" w14:textId="77777777" w:rsidR="0003670C" w:rsidRPr="009A0909" w:rsidDel="00E840A9" w:rsidRDefault="0003670C" w:rsidP="00D80F04">
      <w:pPr>
        <w:rPr>
          <w:sz w:val="4"/>
          <w:szCs w:val="4"/>
        </w:rPr>
      </w:pPr>
    </w:p>
    <w:p w14:paraId="574DB7D3" w14:textId="77777777" w:rsidR="00714CAC" w:rsidRDefault="00714CAC" w:rsidP="00D80F04">
      <w:r>
        <w:t>COAG has also agreed to consider a long-term plan for early childhood education in 2020, informed by the Review and the Early Learning Reform Principles.</w:t>
      </w:r>
    </w:p>
    <w:p w14:paraId="5B92082C" w14:textId="344A194A" w:rsidR="009A620B" w:rsidRDefault="00273482" w:rsidP="00D80F04">
      <w:r>
        <w:t xml:space="preserve">These developments are </w:t>
      </w:r>
      <w:r w:rsidR="00D80F04">
        <w:t>timely for the development of a</w:t>
      </w:r>
      <w:r w:rsidR="00EB493A">
        <w:t xml:space="preserve"> post-2020</w:t>
      </w:r>
      <w:r w:rsidR="00D80F04">
        <w:t xml:space="preserve"> successor agreement to the UANP</w:t>
      </w:r>
      <w:r>
        <w:t xml:space="preserve"> – one that can </w:t>
      </w:r>
      <w:r w:rsidR="002C54F9">
        <w:t>improve funding certainty and</w:t>
      </w:r>
      <w:r>
        <w:t xml:space="preserve"> reflect contemporary challenges and forward priorities. </w:t>
      </w:r>
    </w:p>
    <w:tbl>
      <w:tblPr>
        <w:tblStyle w:val="NousLongformcallout"/>
        <w:tblW w:w="5000" w:type="pct"/>
        <w:tblBorders>
          <w:top w:val="single" w:sz="24" w:space="0" w:color="25B3E0" w:themeColor="accent6"/>
          <w:left w:val="none" w:sz="0" w:space="0" w:color="auto"/>
        </w:tblBorders>
        <w:tblCellMar>
          <w:top w:w="170" w:type="dxa"/>
          <w:left w:w="170" w:type="dxa"/>
          <w:bottom w:w="170" w:type="dxa"/>
          <w:right w:w="170" w:type="dxa"/>
        </w:tblCellMar>
        <w:tblLook w:val="04A0" w:firstRow="1" w:lastRow="0" w:firstColumn="1" w:lastColumn="0" w:noHBand="0" w:noVBand="1"/>
      </w:tblPr>
      <w:tblGrid>
        <w:gridCol w:w="8930"/>
      </w:tblGrid>
      <w:tr w:rsidR="00C23746" w14:paraId="4D61E506" w14:textId="77777777" w:rsidTr="00C23746">
        <w:tc>
          <w:tcPr>
            <w:tcW w:w="8930" w:type="dxa"/>
            <w:shd w:val="clear" w:color="auto" w:fill="00264D" w:themeFill="background2"/>
          </w:tcPr>
          <w:p w14:paraId="0C5056C1" w14:textId="77777777" w:rsidR="00C23746" w:rsidRPr="006C71B3" w:rsidRDefault="00C23746" w:rsidP="00C23746">
            <w:pPr>
              <w:pStyle w:val="Longformcallout"/>
              <w:spacing w:before="0"/>
              <w:rPr>
                <w:rFonts w:asciiTheme="minorHAnsi" w:hAnsiTheme="minorHAnsi"/>
                <w:b/>
                <w:color w:val="25B3E0" w:themeColor="accent6"/>
                <w:sz w:val="20"/>
                <w:szCs w:val="20"/>
              </w:rPr>
            </w:pPr>
            <w:r w:rsidRPr="0C5679B2">
              <w:rPr>
                <w:rFonts w:asciiTheme="minorHAnsi" w:hAnsiTheme="minorHAnsi"/>
                <w:b/>
                <w:color w:val="25B3E0" w:themeColor="accent6"/>
                <w:sz w:val="20"/>
                <w:szCs w:val="20"/>
              </w:rPr>
              <w:t xml:space="preserve">KEY FINDING </w:t>
            </w:r>
            <w:r w:rsidR="005F1F4F">
              <w:rPr>
                <w:rFonts w:asciiTheme="minorHAnsi" w:hAnsiTheme="minorHAnsi"/>
                <w:b/>
                <w:color w:val="25B3E0" w:themeColor="accent6"/>
                <w:sz w:val="20"/>
                <w:szCs w:val="20"/>
              </w:rPr>
              <w:t>3</w:t>
            </w:r>
            <w:r w:rsidR="005F5C70">
              <w:rPr>
                <w:rFonts w:asciiTheme="minorHAnsi" w:hAnsiTheme="minorHAnsi"/>
                <w:b/>
                <w:color w:val="25B3E0" w:themeColor="accent6"/>
                <w:sz w:val="20"/>
                <w:szCs w:val="20"/>
              </w:rPr>
              <w:t>6</w:t>
            </w:r>
          </w:p>
          <w:p w14:paraId="011CEAA1" w14:textId="77777777" w:rsidR="00C23746" w:rsidRPr="00030D73" w:rsidRDefault="002F1886" w:rsidP="00C23746">
            <w:pPr>
              <w:pStyle w:val="Longformcallout"/>
              <w:spacing w:after="0"/>
              <w:rPr>
                <w:rFonts w:asciiTheme="majorHAnsi" w:hAnsiTheme="majorHAnsi" w:cstheme="majorBidi"/>
                <w:sz w:val="24"/>
                <w:szCs w:val="24"/>
              </w:rPr>
            </w:pPr>
            <w:r w:rsidRPr="002F1886">
              <w:rPr>
                <w:rFonts w:asciiTheme="majorHAnsi" w:hAnsiTheme="majorHAnsi" w:cstheme="majorBidi"/>
                <w:color w:val="FFFFFF" w:themeColor="background1"/>
                <w:sz w:val="20"/>
                <w:szCs w:val="20"/>
              </w:rPr>
              <w:t>Governments should ensure that any new agreement continues to reflect a strong alignment with emerging national policy positions on early years development and school education, to promote a more integrated sector with seamless transitions for children</w:t>
            </w:r>
            <w:r w:rsidR="00273482" w:rsidRPr="0C5679B2">
              <w:rPr>
                <w:rFonts w:asciiTheme="majorHAnsi" w:hAnsiTheme="majorHAnsi" w:cstheme="majorBidi"/>
                <w:color w:val="FFFFFF" w:themeColor="background1"/>
                <w:sz w:val="20"/>
                <w:szCs w:val="20"/>
              </w:rPr>
              <w:t xml:space="preserve">. </w:t>
            </w:r>
          </w:p>
        </w:tc>
      </w:tr>
    </w:tbl>
    <w:p w14:paraId="3F9BFC69" w14:textId="77777777" w:rsidR="00BA0D3C" w:rsidRDefault="00BA0D3C" w:rsidP="00BA0D3C">
      <w:pPr>
        <w:pStyle w:val="xAppendixLevel1"/>
        <w:ind w:left="2693" w:hanging="2693"/>
      </w:pPr>
      <w:bookmarkStart w:id="260" w:name="_Ref24558211"/>
      <w:bookmarkStart w:id="261" w:name="_Ref24558235"/>
      <w:bookmarkStart w:id="262" w:name="_Ref24558823"/>
      <w:bookmarkStart w:id="263" w:name="_Toc24559611"/>
      <w:bookmarkStart w:id="264" w:name="_Toc54597799"/>
      <w:r>
        <w:lastRenderedPageBreak/>
        <w:t xml:space="preserve">Review </w:t>
      </w:r>
      <w:r w:rsidR="00A06A33">
        <w:t>Terms of Reference</w:t>
      </w:r>
      <w:bookmarkEnd w:id="260"/>
      <w:bookmarkEnd w:id="261"/>
      <w:bookmarkEnd w:id="262"/>
      <w:bookmarkEnd w:id="263"/>
      <w:bookmarkEnd w:id="264"/>
    </w:p>
    <w:p w14:paraId="5E2F164B" w14:textId="77777777" w:rsidR="00A06A33" w:rsidRPr="00A06A33" w:rsidRDefault="00A06A33" w:rsidP="00A06A33">
      <w:pPr>
        <w:pStyle w:val="Heading4"/>
      </w:pPr>
      <w:r w:rsidRPr="00A06A33">
        <w:t>Review of the National Partnership on Universal Access to Early Childhood Education</w:t>
      </w:r>
    </w:p>
    <w:p w14:paraId="4F772665" w14:textId="77777777" w:rsidR="00BA0D3C" w:rsidRDefault="00BA0D3C" w:rsidP="00BA0D3C">
      <w:pPr>
        <w:pStyle w:val="Heading5"/>
      </w:pPr>
      <w:r>
        <w:t>OBJECTIVE</w:t>
      </w:r>
    </w:p>
    <w:p w14:paraId="2908C0CB" w14:textId="77777777" w:rsidR="00BA0D3C" w:rsidRDefault="00BA0D3C" w:rsidP="00BA0D3C">
      <w:pPr>
        <w:rPr>
          <w:lang w:eastAsia="en-AU"/>
        </w:rPr>
      </w:pPr>
      <w:r>
        <w:rPr>
          <w:lang w:eastAsia="en-AU"/>
        </w:rPr>
        <w:t>The objectives of the review are to assess:</w:t>
      </w:r>
    </w:p>
    <w:p w14:paraId="4FD8E5E4" w14:textId="77777777" w:rsidR="00BA0D3C" w:rsidRPr="003E1A1C" w:rsidRDefault="00BA0D3C" w:rsidP="009B251A">
      <w:pPr>
        <w:pStyle w:val="Bullet"/>
        <w:numPr>
          <w:ilvl w:val="0"/>
          <w:numId w:val="13"/>
        </w:numPr>
        <w:ind w:left="340" w:hanging="340"/>
      </w:pPr>
      <w:r w:rsidRPr="003E1A1C">
        <w:t>the degree to which the agreed objectives, outcomes and outputs of the National Partnership on</w:t>
      </w:r>
      <w:r>
        <w:t xml:space="preserve"> </w:t>
      </w:r>
      <w:r w:rsidRPr="003E1A1C">
        <w:t xml:space="preserve">Universal Access to Early Childhood Education have been achieved since </w:t>
      </w:r>
      <w:proofErr w:type="gramStart"/>
      <w:r w:rsidRPr="003E1A1C">
        <w:t>2014;</w:t>
      </w:r>
      <w:proofErr w:type="gramEnd"/>
    </w:p>
    <w:p w14:paraId="4EF833DE" w14:textId="77777777" w:rsidR="00BA0D3C" w:rsidRPr="003E1A1C" w:rsidRDefault="00BA0D3C" w:rsidP="009B251A">
      <w:pPr>
        <w:pStyle w:val="Bullet"/>
        <w:numPr>
          <w:ilvl w:val="0"/>
          <w:numId w:val="13"/>
        </w:numPr>
        <w:ind w:left="340" w:hanging="340"/>
      </w:pPr>
      <w:r w:rsidRPr="003E1A1C">
        <w:t>the broader benefits that have been achieved for the community and economy as a result of the</w:t>
      </w:r>
      <w:r>
        <w:t xml:space="preserve"> </w:t>
      </w:r>
      <w:r w:rsidRPr="003E1A1C">
        <w:t xml:space="preserve">National </w:t>
      </w:r>
      <w:proofErr w:type="gramStart"/>
      <w:r w:rsidRPr="003E1A1C">
        <w:t>Partnership;</w:t>
      </w:r>
      <w:proofErr w:type="gramEnd"/>
    </w:p>
    <w:p w14:paraId="22EAB5E6" w14:textId="77777777" w:rsidR="00BA0D3C" w:rsidRPr="003E1A1C" w:rsidRDefault="00BA0D3C" w:rsidP="009B251A">
      <w:pPr>
        <w:pStyle w:val="Bullet"/>
        <w:numPr>
          <w:ilvl w:val="0"/>
          <w:numId w:val="13"/>
        </w:numPr>
        <w:ind w:left="340" w:hanging="340"/>
      </w:pPr>
      <w:r w:rsidRPr="003E1A1C">
        <w:t xml:space="preserve">the efficiency, effectiveness and equity of current funding, </w:t>
      </w:r>
      <w:proofErr w:type="gramStart"/>
      <w:r w:rsidRPr="003E1A1C">
        <w:t>measurement</w:t>
      </w:r>
      <w:proofErr w:type="gramEnd"/>
      <w:r w:rsidRPr="003E1A1C">
        <w:t xml:space="preserve"> and performance</w:t>
      </w:r>
      <w:r>
        <w:t xml:space="preserve"> </w:t>
      </w:r>
      <w:r w:rsidRPr="003E1A1C">
        <w:t>arrangements; and</w:t>
      </w:r>
    </w:p>
    <w:p w14:paraId="215101C3" w14:textId="77777777" w:rsidR="00BA0D3C" w:rsidRPr="003E1A1C" w:rsidRDefault="00BA0D3C" w:rsidP="009B251A">
      <w:pPr>
        <w:pStyle w:val="Bullet"/>
        <w:numPr>
          <w:ilvl w:val="0"/>
          <w:numId w:val="13"/>
        </w:numPr>
        <w:ind w:left="340" w:hanging="340"/>
      </w:pPr>
      <w:r w:rsidRPr="003E1A1C">
        <w:t>future arrangements to maintain and improve the benefits already achieved and the benefit of</w:t>
      </w:r>
      <w:r>
        <w:t xml:space="preserve"> </w:t>
      </w:r>
      <w:r w:rsidRPr="003E1A1C">
        <w:t xml:space="preserve">pursuing any new objectives, </w:t>
      </w:r>
      <w:proofErr w:type="gramStart"/>
      <w:r w:rsidRPr="003E1A1C">
        <w:t>outcomes</w:t>
      </w:r>
      <w:proofErr w:type="gramEnd"/>
      <w:r w:rsidRPr="003E1A1C">
        <w:t xml:space="preserve"> or outputs.</w:t>
      </w:r>
    </w:p>
    <w:p w14:paraId="3BBD5B13" w14:textId="77777777" w:rsidR="00BA0D3C" w:rsidRDefault="00BA0D3C" w:rsidP="00BA0D3C">
      <w:pPr>
        <w:rPr>
          <w:lang w:eastAsia="en-AU"/>
        </w:rPr>
      </w:pPr>
      <w:r>
        <w:rPr>
          <w:lang w:eastAsia="en-AU"/>
        </w:rPr>
        <w:t>The Review will also provide evidence-based findings to inform consideration of future funding and policy settings.</w:t>
      </w:r>
    </w:p>
    <w:p w14:paraId="6A5BBB72" w14:textId="77777777" w:rsidR="00BA0D3C" w:rsidRDefault="00BA0D3C" w:rsidP="00BA0D3C">
      <w:pPr>
        <w:pStyle w:val="Heading5"/>
      </w:pPr>
      <w:r>
        <w:t>SCOPE</w:t>
      </w:r>
    </w:p>
    <w:p w14:paraId="5C32F28F" w14:textId="77777777" w:rsidR="00BA0D3C" w:rsidRDefault="00BA0D3C" w:rsidP="00BA0D3C">
      <w:pPr>
        <w:rPr>
          <w:lang w:eastAsia="en-AU"/>
        </w:rPr>
      </w:pPr>
      <w:r>
        <w:rPr>
          <w:lang w:eastAsia="en-AU"/>
        </w:rPr>
        <w:t>The review will address the following:</w:t>
      </w:r>
    </w:p>
    <w:p w14:paraId="2990323D" w14:textId="77777777" w:rsidR="00BA0D3C" w:rsidRDefault="00BA0D3C" w:rsidP="009B251A">
      <w:pPr>
        <w:pStyle w:val="Bullet"/>
        <w:numPr>
          <w:ilvl w:val="0"/>
          <w:numId w:val="15"/>
        </w:numPr>
      </w:pPr>
      <w:r w:rsidRPr="008A24EE">
        <w:t>The extent to which the National Partnership policy objectives, outcomes and outputs have be</w:t>
      </w:r>
      <w:r>
        <w:t>en achieved, including:</w:t>
      </w:r>
    </w:p>
    <w:p w14:paraId="1BE42348" w14:textId="77777777" w:rsidR="00BA0D3C" w:rsidRDefault="00BA0D3C" w:rsidP="002F52EA">
      <w:pPr>
        <w:pStyle w:val="Listnumbered"/>
        <w:numPr>
          <w:ilvl w:val="1"/>
          <w:numId w:val="19"/>
        </w:numPr>
        <w:rPr>
          <w:lang w:eastAsia="en-AU"/>
        </w:rPr>
      </w:pPr>
      <w:r>
        <w:rPr>
          <w:lang w:eastAsia="en-AU"/>
        </w:rPr>
        <w:t xml:space="preserve">the achievement and maintenance of Universal Access across </w:t>
      </w:r>
      <w:proofErr w:type="gramStart"/>
      <w:r>
        <w:rPr>
          <w:lang w:eastAsia="en-AU"/>
        </w:rPr>
        <w:t>Australia;</w:t>
      </w:r>
      <w:proofErr w:type="gramEnd"/>
    </w:p>
    <w:p w14:paraId="1A2A41D2" w14:textId="3D065BAF" w:rsidR="00BA0D3C" w:rsidRDefault="00BA0D3C" w:rsidP="002F52EA">
      <w:pPr>
        <w:pStyle w:val="Listnumbered"/>
        <w:numPr>
          <w:ilvl w:val="1"/>
          <w:numId w:val="19"/>
        </w:numPr>
        <w:rPr>
          <w:lang w:eastAsia="en-AU"/>
        </w:rPr>
      </w:pPr>
      <w:r>
        <w:rPr>
          <w:lang w:eastAsia="en-AU"/>
        </w:rPr>
        <w:t>the achievements in improving access to, and participation (enrolment and attendance) in quality early childhood education programs for 600 hours in the Year Before Full-time School</w:t>
      </w:r>
      <w:r w:rsidR="00837D77">
        <w:rPr>
          <w:lang w:eastAsia="en-AU"/>
        </w:rPr>
        <w:t xml:space="preserve"> </w:t>
      </w:r>
      <w:r>
        <w:rPr>
          <w:lang w:eastAsia="en-AU"/>
        </w:rPr>
        <w:t>(YBFS), delivered by a qualified early childhood teacher who meets the NQF requirements for all children, and in particular children in regional and remote areas, Indigenous children, and children experiencing vulnerability and disadvantage;</w:t>
      </w:r>
    </w:p>
    <w:p w14:paraId="622BE5C3" w14:textId="77777777" w:rsidR="00BA0D3C" w:rsidRDefault="00BA0D3C" w:rsidP="002F52EA">
      <w:pPr>
        <w:pStyle w:val="Listnumbered"/>
        <w:numPr>
          <w:ilvl w:val="1"/>
          <w:numId w:val="19"/>
        </w:numPr>
        <w:rPr>
          <w:lang w:eastAsia="en-AU"/>
        </w:rPr>
      </w:pPr>
      <w:r>
        <w:rPr>
          <w:lang w:eastAsia="en-AU"/>
        </w:rPr>
        <w:t>that programs are accessible, meet the needs of parents and communities, and that cost is not a barrier to preschool participation, particularly for vulnerable and disadvantaged children; and</w:t>
      </w:r>
    </w:p>
    <w:p w14:paraId="491A46D3" w14:textId="77777777" w:rsidR="00BA0D3C" w:rsidRDefault="00BA0D3C" w:rsidP="002F52EA">
      <w:pPr>
        <w:pStyle w:val="Listnumbered"/>
        <w:numPr>
          <w:ilvl w:val="1"/>
          <w:numId w:val="19"/>
        </w:numPr>
        <w:rPr>
          <w:lang w:eastAsia="en-AU"/>
        </w:rPr>
      </w:pPr>
      <w:r>
        <w:rPr>
          <w:lang w:eastAsia="en-AU"/>
        </w:rPr>
        <w:t>that preschool programs are supported across all settings.</w:t>
      </w:r>
    </w:p>
    <w:p w14:paraId="101BF674" w14:textId="77777777" w:rsidR="00BA0D3C" w:rsidRDefault="00BA0D3C" w:rsidP="009B251A">
      <w:pPr>
        <w:pStyle w:val="Bullet"/>
        <w:numPr>
          <w:ilvl w:val="0"/>
          <w:numId w:val="15"/>
        </w:numPr>
      </w:pPr>
      <w:r>
        <w:t xml:space="preserve">The appropriateness of current </w:t>
      </w:r>
      <w:r w:rsidR="00BD5115">
        <w:t>Performance Indicator</w:t>
      </w:r>
      <w:r>
        <w:t>s, benchmarks and targets and the methodologies and data used to measure them, including:</w:t>
      </w:r>
    </w:p>
    <w:p w14:paraId="1BCA85E7" w14:textId="77777777" w:rsidR="00BA0D3C" w:rsidRDefault="00BA0D3C" w:rsidP="009B251A">
      <w:pPr>
        <w:pStyle w:val="Listnumbered"/>
        <w:numPr>
          <w:ilvl w:val="1"/>
          <w:numId w:val="18"/>
        </w:numPr>
        <w:rPr>
          <w:lang w:eastAsia="en-AU"/>
        </w:rPr>
      </w:pPr>
      <w:r>
        <w:rPr>
          <w:lang w:eastAsia="en-AU"/>
        </w:rPr>
        <w:t>the methodologies for assessing performance, including teacher qualifications, overall enrolment, enrolment for 600 hours, and attendance in quality early childhood education programs in the YBFS; and</w:t>
      </w:r>
    </w:p>
    <w:p w14:paraId="437FA684" w14:textId="77777777" w:rsidR="00BA0D3C" w:rsidRDefault="00BA0D3C" w:rsidP="009B251A">
      <w:pPr>
        <w:pStyle w:val="Listnumbered"/>
        <w:numPr>
          <w:ilvl w:val="1"/>
          <w:numId w:val="18"/>
        </w:numPr>
        <w:rPr>
          <w:lang w:eastAsia="en-AU"/>
        </w:rPr>
      </w:pPr>
      <w:r>
        <w:rPr>
          <w:lang w:eastAsia="en-AU"/>
        </w:rPr>
        <w:t>performance benchmarks and targets.</w:t>
      </w:r>
    </w:p>
    <w:p w14:paraId="1323E741" w14:textId="77777777" w:rsidR="00BA0D3C" w:rsidRDefault="00BA0D3C" w:rsidP="009B251A">
      <w:pPr>
        <w:pStyle w:val="Bullet"/>
        <w:numPr>
          <w:ilvl w:val="0"/>
          <w:numId w:val="15"/>
        </w:numPr>
      </w:pPr>
      <w:r>
        <w:t>The efficiency and effectiveness of current National Partnership funding arrangements, including:</w:t>
      </w:r>
    </w:p>
    <w:p w14:paraId="636B5F29" w14:textId="77777777" w:rsidR="00BA0D3C" w:rsidRDefault="00BA0D3C" w:rsidP="009B251A">
      <w:pPr>
        <w:pStyle w:val="Listnumbered"/>
        <w:numPr>
          <w:ilvl w:val="1"/>
          <w:numId w:val="17"/>
        </w:numPr>
        <w:rPr>
          <w:lang w:eastAsia="en-AU"/>
        </w:rPr>
      </w:pPr>
      <w:r>
        <w:rPr>
          <w:lang w:eastAsia="en-AU"/>
        </w:rPr>
        <w:t xml:space="preserve">the appropriateness of the current </w:t>
      </w:r>
      <w:proofErr w:type="gramStart"/>
      <w:r>
        <w:rPr>
          <w:lang w:eastAsia="en-AU"/>
        </w:rPr>
        <w:t>performance based</w:t>
      </w:r>
      <w:proofErr w:type="gramEnd"/>
      <w:r>
        <w:rPr>
          <w:lang w:eastAsia="en-AU"/>
        </w:rPr>
        <w:t xml:space="preserve"> payment framework, adequacy and equity of </w:t>
      </w:r>
      <w:r w:rsidR="00C8413C" w:rsidRPr="00C8413C">
        <w:rPr>
          <w:lang w:eastAsia="en-AU"/>
        </w:rPr>
        <w:t xml:space="preserve">Australian Government </w:t>
      </w:r>
      <w:r>
        <w:rPr>
          <w:lang w:eastAsia="en-AU"/>
        </w:rPr>
        <w:t>funding and the timing of payments;</w:t>
      </w:r>
    </w:p>
    <w:p w14:paraId="292E8ABA" w14:textId="77777777" w:rsidR="00BA0D3C" w:rsidRDefault="00BA0D3C" w:rsidP="009B251A">
      <w:pPr>
        <w:pStyle w:val="Listnumbered"/>
        <w:numPr>
          <w:ilvl w:val="1"/>
          <w:numId w:val="17"/>
        </w:numPr>
        <w:rPr>
          <w:lang w:eastAsia="en-AU"/>
        </w:rPr>
      </w:pPr>
      <w:r>
        <w:rPr>
          <w:lang w:eastAsia="en-AU"/>
        </w:rPr>
        <w:t xml:space="preserve">the National Partnership as a mechanism for payments for universal </w:t>
      </w:r>
      <w:proofErr w:type="gramStart"/>
      <w:r>
        <w:rPr>
          <w:lang w:eastAsia="en-AU"/>
        </w:rPr>
        <w:t>access;</w:t>
      </w:r>
      <w:proofErr w:type="gramEnd"/>
    </w:p>
    <w:p w14:paraId="798CCB72" w14:textId="77777777" w:rsidR="00BA0D3C" w:rsidRDefault="00BA0D3C" w:rsidP="009B251A">
      <w:pPr>
        <w:pStyle w:val="Listnumbered"/>
        <w:numPr>
          <w:ilvl w:val="1"/>
          <w:numId w:val="17"/>
        </w:numPr>
        <w:rPr>
          <w:lang w:eastAsia="en-AU"/>
        </w:rPr>
      </w:pPr>
      <w:r>
        <w:rPr>
          <w:lang w:eastAsia="en-AU"/>
        </w:rPr>
        <w:lastRenderedPageBreak/>
        <w:t xml:space="preserve">the level of funding certainty and the intergovernmental arrangements supporting funding arrangements, including the impact of the number, length and type of intergovernmental </w:t>
      </w:r>
      <w:proofErr w:type="gramStart"/>
      <w:r>
        <w:rPr>
          <w:lang w:eastAsia="en-AU"/>
        </w:rPr>
        <w:t>agreements;</w:t>
      </w:r>
      <w:proofErr w:type="gramEnd"/>
    </w:p>
    <w:p w14:paraId="2965D85D" w14:textId="77777777" w:rsidR="00BA0D3C" w:rsidRDefault="00BA0D3C" w:rsidP="009B251A">
      <w:pPr>
        <w:pStyle w:val="Listnumbered"/>
        <w:numPr>
          <w:ilvl w:val="1"/>
          <w:numId w:val="17"/>
        </w:numPr>
        <w:rPr>
          <w:lang w:eastAsia="en-AU"/>
        </w:rPr>
      </w:pPr>
      <w:r>
        <w:rPr>
          <w:lang w:eastAsia="en-AU"/>
        </w:rPr>
        <w:t>transparency and accountability arrangements in the agreement; and</w:t>
      </w:r>
    </w:p>
    <w:p w14:paraId="432A3CAE" w14:textId="77777777" w:rsidR="00BA0D3C" w:rsidRDefault="00BA0D3C" w:rsidP="009B251A">
      <w:pPr>
        <w:pStyle w:val="Listnumbered"/>
        <w:numPr>
          <w:ilvl w:val="1"/>
          <w:numId w:val="17"/>
        </w:numPr>
        <w:rPr>
          <w:lang w:eastAsia="en-AU"/>
        </w:rPr>
      </w:pPr>
      <w:r>
        <w:rPr>
          <w:lang w:eastAsia="en-AU"/>
        </w:rPr>
        <w:t>the appropriateness of the methodology for allocating funding.</w:t>
      </w:r>
    </w:p>
    <w:p w14:paraId="4666B155" w14:textId="77777777" w:rsidR="00BA0D3C" w:rsidRDefault="00BA0D3C" w:rsidP="009B251A">
      <w:pPr>
        <w:pStyle w:val="Bullet"/>
        <w:numPr>
          <w:ilvl w:val="0"/>
          <w:numId w:val="15"/>
        </w:numPr>
      </w:pPr>
      <w:r>
        <w:t xml:space="preserve">To allow consideration of the achievements under the National Partnership, and to support the development of future focussed findings, provide an overview of how the preschool system currently operates across jurisdictions and settings, including contextual factors and how collective investment supports the delivery of quality early childhood education programs for children in the YBFS. </w:t>
      </w:r>
    </w:p>
    <w:p w14:paraId="6CADE6B6" w14:textId="77777777" w:rsidR="00BA0D3C" w:rsidRDefault="00BA0D3C" w:rsidP="009B251A">
      <w:pPr>
        <w:pStyle w:val="Bullet"/>
        <w:numPr>
          <w:ilvl w:val="0"/>
          <w:numId w:val="15"/>
        </w:numPr>
      </w:pPr>
      <w:r>
        <w:t>Based on the consideration of the above issues and the Early Learning Reform Principles agreed by COAG in December 2018</w:t>
      </w:r>
      <w:r>
        <w:rPr>
          <w:rStyle w:val="FootnoteReference"/>
        </w:rPr>
        <w:footnoteReference w:id="102"/>
      </w:r>
      <w:r>
        <w:t xml:space="preserve">, make evidence-based findings to inform future policy settings for children in the YBFS, including: </w:t>
      </w:r>
    </w:p>
    <w:p w14:paraId="44C3BC1E" w14:textId="77777777" w:rsidR="00BA0D3C" w:rsidRDefault="00BA0D3C" w:rsidP="009B251A">
      <w:pPr>
        <w:pStyle w:val="Listnumbered"/>
        <w:numPr>
          <w:ilvl w:val="1"/>
          <w:numId w:val="16"/>
        </w:numPr>
      </w:pPr>
      <w:r>
        <w:t xml:space="preserve">how funding may contribute to the maintenance and improvement of outcomes, taking account of each jurisdiction’s context and the interaction of National Partnership funding with related funding streams, including Child Care Subsidy </w:t>
      </w:r>
      <w:proofErr w:type="gramStart"/>
      <w:r>
        <w:t>payments;</w:t>
      </w:r>
      <w:proofErr w:type="gramEnd"/>
      <w:r>
        <w:t xml:space="preserve"> </w:t>
      </w:r>
    </w:p>
    <w:p w14:paraId="2414B60C" w14:textId="77777777" w:rsidR="00BA0D3C" w:rsidRDefault="00BA0D3C" w:rsidP="009B251A">
      <w:pPr>
        <w:pStyle w:val="Listnumbered"/>
        <w:numPr>
          <w:ilvl w:val="1"/>
          <w:numId w:val="16"/>
        </w:numPr>
      </w:pPr>
      <w:r>
        <w:t xml:space="preserve">whether and what changes to arrangements would lead to improvements in outcomes for all children, particularly vulnerable and disadvantaged and Indigenous cohorts, including consideration of: </w:t>
      </w:r>
    </w:p>
    <w:p w14:paraId="4998BA75" w14:textId="77777777" w:rsidR="00BA0D3C" w:rsidRDefault="00BA0D3C" w:rsidP="009B251A">
      <w:pPr>
        <w:pStyle w:val="Listnumbered"/>
        <w:numPr>
          <w:ilvl w:val="2"/>
          <w:numId w:val="16"/>
        </w:numPr>
      </w:pPr>
      <w:r>
        <w:t xml:space="preserve">improved targets and measures of </w:t>
      </w:r>
      <w:proofErr w:type="gramStart"/>
      <w:r>
        <w:t>attendance;</w:t>
      </w:r>
      <w:proofErr w:type="gramEnd"/>
      <w:r>
        <w:t xml:space="preserve"> </w:t>
      </w:r>
    </w:p>
    <w:p w14:paraId="0335FB04" w14:textId="77777777" w:rsidR="00BA0D3C" w:rsidRDefault="00BA0D3C" w:rsidP="009B251A">
      <w:pPr>
        <w:pStyle w:val="Listnumbered"/>
        <w:numPr>
          <w:ilvl w:val="2"/>
          <w:numId w:val="16"/>
        </w:numPr>
      </w:pPr>
      <w:r>
        <w:t xml:space="preserve">the interaction of National Partnership funding with other streams across different levels of government, including National Partnership and Child Care Subsidy </w:t>
      </w:r>
      <w:proofErr w:type="gramStart"/>
      <w:r>
        <w:t>payments;</w:t>
      </w:r>
      <w:proofErr w:type="gramEnd"/>
      <w:r>
        <w:t xml:space="preserve"> </w:t>
      </w:r>
    </w:p>
    <w:p w14:paraId="48EB7A21" w14:textId="77777777" w:rsidR="00BA0D3C" w:rsidRDefault="00BA0D3C" w:rsidP="009B251A">
      <w:pPr>
        <w:pStyle w:val="Listnumbered"/>
        <w:numPr>
          <w:ilvl w:val="2"/>
          <w:numId w:val="16"/>
        </w:numPr>
      </w:pPr>
      <w:r>
        <w:t xml:space="preserve">the benefits of any new investment in new programs or improving the quality of existing </w:t>
      </w:r>
      <w:proofErr w:type="gramStart"/>
      <w:r>
        <w:t>programs;</w:t>
      </w:r>
      <w:proofErr w:type="gramEnd"/>
      <w:r>
        <w:t xml:space="preserve"> </w:t>
      </w:r>
    </w:p>
    <w:p w14:paraId="0CB92E3E" w14:textId="77777777" w:rsidR="00BA0D3C" w:rsidRDefault="00BA0D3C" w:rsidP="009B251A">
      <w:pPr>
        <w:pStyle w:val="Listnumbered"/>
        <w:numPr>
          <w:ilvl w:val="1"/>
          <w:numId w:val="16"/>
        </w:numPr>
      </w:pPr>
      <w:r>
        <w:t xml:space="preserve">identification of changes required to </w:t>
      </w:r>
      <w:r w:rsidR="00BD5115">
        <w:t>Performance Indicator</w:t>
      </w:r>
      <w:r>
        <w:t xml:space="preserve">s, </w:t>
      </w:r>
      <w:proofErr w:type="gramStart"/>
      <w:r>
        <w:t>benchmarks</w:t>
      </w:r>
      <w:proofErr w:type="gramEnd"/>
      <w:r>
        <w:t xml:space="preserve"> and targets, as well as the supporting methodologies and data, to support all jurisdictions’ capacity to measure objectives and outcomes.</w:t>
      </w:r>
    </w:p>
    <w:p w14:paraId="372FBA5E" w14:textId="77777777" w:rsidR="00BA0D3C" w:rsidRDefault="00BA0D3C" w:rsidP="00BA0D3C">
      <w:pPr>
        <w:pStyle w:val="Heading5"/>
      </w:pPr>
      <w:r>
        <w:t xml:space="preserve">GOVERNANCE </w:t>
      </w:r>
    </w:p>
    <w:p w14:paraId="3D0D8AAE" w14:textId="77777777" w:rsidR="00BA0D3C" w:rsidRDefault="00BA0D3C" w:rsidP="00BA0D3C">
      <w:r>
        <w:t xml:space="preserve">Governance arrangements for the review will be consistent with the Guide to Reviewing National Partnerships available online at: </w:t>
      </w:r>
      <w:hyperlink r:id="rId68" w:history="1">
        <w:r w:rsidRPr="00DC127D">
          <w:rPr>
            <w:rStyle w:val="Hyperlink"/>
          </w:rPr>
          <w:t>http://www.federalfinancialrelations.gov.au/content/guidelines/ShortGuide_review_2015.pdf</w:t>
        </w:r>
      </w:hyperlink>
      <w:r>
        <w:t>. The Commonwealth Minister for Education is responsible for initiating and leading this review. States and Territories (the States) are responsible for participating in accordance with Clause 37 of the DRAFT National Partnership on Universal Access to Early Childhood Education extension for 2020. The review will include consultation between Commonwealth portfolio and central agencies, as well as between Commonwealth and State portfolio agencies. State portfolio agencies are responsible for advising their central agencies of their participation in the review and consulting with their central agencies during the course of the review. The review will report to COAG’s Education Council, through Australian Education Senior Officials Committee (AESOC) and AESOC’s Early Childhood Policy Group (ECPG). The ECPG has established a time-limited Working Group to oversee the review process.</w:t>
      </w:r>
    </w:p>
    <w:p w14:paraId="4B8E0994" w14:textId="77777777" w:rsidR="00BA0D3C" w:rsidRDefault="00BA0D3C" w:rsidP="00BA0D3C">
      <w:pPr>
        <w:pStyle w:val="Heading5"/>
      </w:pPr>
      <w:r>
        <w:lastRenderedPageBreak/>
        <w:t xml:space="preserve">TIMING </w:t>
      </w:r>
    </w:p>
    <w:p w14:paraId="231260D6" w14:textId="77777777" w:rsidR="006A35A3" w:rsidRDefault="00BA0D3C" w:rsidP="00BA0D3C">
      <w:r>
        <w:t>Subject to Education Council’s approval of these Terms of Reference, the review will aim to deliver interim findings to Education Council by the end of 2019 to inform Commonwealth and State government consideration of arrangements for preschool from 2021. The review will aim to provide a final report to Education Council, including findings, in the first half of 2020.</w:t>
      </w:r>
    </w:p>
    <w:p w14:paraId="53C039B9" w14:textId="76E12E28" w:rsidR="003E50C8" w:rsidRPr="003E50C8" w:rsidRDefault="003E50C8" w:rsidP="003E50C8"/>
    <w:p w14:paraId="37B4A513" w14:textId="282D9D26" w:rsidR="00FC5B69" w:rsidRDefault="00FC5B69" w:rsidP="003E50C8"/>
    <w:p w14:paraId="78F28D13" w14:textId="0C1AFCAE" w:rsidR="00FC5B69" w:rsidRDefault="00FC5B69" w:rsidP="003E50C8"/>
    <w:p w14:paraId="025C4C8C" w14:textId="29F14637" w:rsidR="00FC5B69" w:rsidRDefault="00FC5B69" w:rsidP="003E50C8"/>
    <w:p w14:paraId="281F7E08" w14:textId="5B32BF6A" w:rsidR="00FC5B69" w:rsidRDefault="00FC5B69" w:rsidP="003E50C8"/>
    <w:p w14:paraId="44E61C6D" w14:textId="4ADD500C" w:rsidR="00FC5B69" w:rsidRDefault="00FC5B69" w:rsidP="003E50C8"/>
    <w:p w14:paraId="2754BD05" w14:textId="78E4286D" w:rsidR="00FC5B69" w:rsidRDefault="00FC5B69" w:rsidP="003E50C8"/>
    <w:p w14:paraId="63EFE5F7" w14:textId="0556250D" w:rsidR="00FC5B69" w:rsidRDefault="00FC5B69" w:rsidP="003E50C8"/>
    <w:p w14:paraId="54D821EA" w14:textId="0299DEB6" w:rsidR="00FC5B69" w:rsidRDefault="00FC5B69" w:rsidP="003E50C8"/>
    <w:p w14:paraId="64019148" w14:textId="2B2F5499" w:rsidR="00FC5B69" w:rsidRDefault="00FC5B69" w:rsidP="003E50C8"/>
    <w:p w14:paraId="51CD291A" w14:textId="46AEBB23" w:rsidR="00FC5B69" w:rsidRDefault="00FC5B69" w:rsidP="003E50C8"/>
    <w:p w14:paraId="384E0EBF" w14:textId="259897D8" w:rsidR="00FC5B69" w:rsidRDefault="00FC5B69" w:rsidP="003E50C8"/>
    <w:p w14:paraId="6A0606DE" w14:textId="044264D8" w:rsidR="00FC5B69" w:rsidRDefault="00FC5B69" w:rsidP="003E50C8"/>
    <w:p w14:paraId="02235F0E" w14:textId="2202527C" w:rsidR="00FC5B69" w:rsidRDefault="00FC5B69" w:rsidP="003E50C8"/>
    <w:p w14:paraId="4E2333F1" w14:textId="378C8DAD" w:rsidR="00FC5B69" w:rsidRDefault="00FC5B69" w:rsidP="003E50C8"/>
    <w:p w14:paraId="2623F99F" w14:textId="4D2BFF16" w:rsidR="00FC5B69" w:rsidRDefault="00FC5B69" w:rsidP="003E50C8"/>
    <w:p w14:paraId="2BE5BCEB" w14:textId="278D599E" w:rsidR="00FC5B69" w:rsidRDefault="00FC5B69" w:rsidP="003E50C8"/>
    <w:p w14:paraId="74B3B87E" w14:textId="77777777" w:rsidR="00FC5B69" w:rsidRPr="003E50C8" w:rsidRDefault="00FC5B69" w:rsidP="003E50C8"/>
    <w:p w14:paraId="355FF1D7" w14:textId="3CCD9A13" w:rsidR="003E50C8" w:rsidRPr="003E50C8" w:rsidRDefault="003E50C8" w:rsidP="003E50C8"/>
    <w:p w14:paraId="369CA3FE" w14:textId="324C1FFD" w:rsidR="003E50C8" w:rsidRPr="003E50C8" w:rsidRDefault="003E50C8" w:rsidP="003E50C8"/>
    <w:p w14:paraId="76B3C290" w14:textId="693C11CF" w:rsidR="00FC5B69" w:rsidRDefault="00FC5B69" w:rsidP="003E50C8">
      <w:pPr>
        <w:rPr>
          <w:noProof/>
        </w:rPr>
      </w:pPr>
    </w:p>
    <w:p w14:paraId="40842A03" w14:textId="294C7993" w:rsidR="00FC5B69" w:rsidRDefault="00FC5B69" w:rsidP="003E50C8">
      <w:pPr>
        <w:rPr>
          <w:noProof/>
        </w:rPr>
      </w:pPr>
    </w:p>
    <w:p w14:paraId="75E0D6FD" w14:textId="4DA498E7" w:rsidR="00FC5B69" w:rsidRDefault="00FC5B69" w:rsidP="003E50C8">
      <w:pPr>
        <w:rPr>
          <w:noProof/>
        </w:rPr>
      </w:pPr>
    </w:p>
    <w:p w14:paraId="3E8AAC76" w14:textId="6906FCD6" w:rsidR="00FC5B69" w:rsidRDefault="00FC5B69" w:rsidP="003E50C8">
      <w:pPr>
        <w:rPr>
          <w:noProof/>
        </w:rPr>
      </w:pPr>
    </w:p>
    <w:p w14:paraId="4C1E9301" w14:textId="4BFA7178" w:rsidR="00FC5B69" w:rsidRDefault="00FC5B69" w:rsidP="003E50C8">
      <w:pPr>
        <w:rPr>
          <w:noProof/>
        </w:rPr>
      </w:pPr>
    </w:p>
    <w:p w14:paraId="61DFD5D8" w14:textId="631BA3B9" w:rsidR="00FC5B69" w:rsidRDefault="00FC5B69" w:rsidP="003E50C8">
      <w:pPr>
        <w:rPr>
          <w:noProof/>
        </w:rPr>
      </w:pPr>
    </w:p>
    <w:p w14:paraId="3664CB65" w14:textId="53DBBDB4" w:rsidR="00FC5B69" w:rsidRDefault="00FC5B69" w:rsidP="003E50C8">
      <w:pPr>
        <w:rPr>
          <w:noProof/>
        </w:rPr>
      </w:pPr>
    </w:p>
    <w:p w14:paraId="30097E54" w14:textId="7740317B" w:rsidR="00FC5B69" w:rsidRDefault="00FC5B69" w:rsidP="003E50C8">
      <w:pPr>
        <w:rPr>
          <w:noProof/>
        </w:rPr>
      </w:pPr>
    </w:p>
    <w:p w14:paraId="74B73B22" w14:textId="34648682" w:rsidR="00FC5B69" w:rsidRDefault="00FC5B69" w:rsidP="003E50C8">
      <w:pPr>
        <w:rPr>
          <w:noProof/>
        </w:rPr>
      </w:pPr>
    </w:p>
    <w:p w14:paraId="0F88E626" w14:textId="11F1E6C5" w:rsidR="00FC5B69" w:rsidRDefault="00FC5B69" w:rsidP="003E50C8">
      <w:pPr>
        <w:rPr>
          <w:noProof/>
        </w:rPr>
      </w:pPr>
    </w:p>
    <w:p w14:paraId="082ED86E" w14:textId="0831A4AB" w:rsidR="00FC5B69" w:rsidRDefault="00FC5B69" w:rsidP="003E50C8">
      <w:pPr>
        <w:rPr>
          <w:noProof/>
        </w:rPr>
      </w:pPr>
    </w:p>
    <w:p w14:paraId="7386EA24" w14:textId="3ABD17C1" w:rsidR="00FC5B69" w:rsidRPr="003E50C8" w:rsidRDefault="00FC5B69" w:rsidP="003E50C8"/>
    <w:p w14:paraId="2D740926" w14:textId="240BA794" w:rsidR="003E50C8" w:rsidRPr="003E50C8" w:rsidRDefault="00401A46" w:rsidP="003E50C8">
      <w:r>
        <w:rPr>
          <w:noProof/>
        </w:rPr>
        <w:drawing>
          <wp:anchor distT="0" distB="0" distL="114300" distR="114300" simplePos="0" relativeHeight="251658259" behindDoc="0" locked="0" layoutInCell="1" allowOverlap="1" wp14:anchorId="113D694A" wp14:editId="1FF9E56D">
            <wp:simplePos x="0" y="0"/>
            <wp:positionH relativeFrom="page">
              <wp:posOffset>-1076876</wp:posOffset>
            </wp:positionH>
            <wp:positionV relativeFrom="paragraph">
              <wp:posOffset>308856</wp:posOffset>
            </wp:positionV>
            <wp:extent cx="9690481" cy="7268599"/>
            <wp:effectExtent l="0" t="8255"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rot="16200000">
                      <a:off x="0" y="0"/>
                      <a:ext cx="9692174" cy="7269869"/>
                    </a:xfrm>
                    <a:prstGeom prst="rect">
                      <a:avLst/>
                    </a:prstGeom>
                  </pic:spPr>
                </pic:pic>
              </a:graphicData>
            </a:graphic>
            <wp14:sizeRelH relativeFrom="page">
              <wp14:pctWidth>0</wp14:pctWidth>
            </wp14:sizeRelH>
            <wp14:sizeRelV relativeFrom="page">
              <wp14:pctHeight>0</wp14:pctHeight>
            </wp14:sizeRelV>
          </wp:anchor>
        </w:drawing>
      </w:r>
    </w:p>
    <w:p w14:paraId="40F6D620" w14:textId="7AF4FFF1" w:rsidR="003E50C8" w:rsidRPr="003E50C8" w:rsidRDefault="003E50C8" w:rsidP="003E50C8"/>
    <w:p w14:paraId="76DFFD41" w14:textId="16E39E5B" w:rsidR="003E50C8" w:rsidRPr="003E50C8" w:rsidRDefault="003E50C8" w:rsidP="003E50C8"/>
    <w:p w14:paraId="45FBB617" w14:textId="4E5C4339" w:rsidR="003E50C8" w:rsidRPr="003E50C8" w:rsidRDefault="003E50C8" w:rsidP="003E50C8"/>
    <w:p w14:paraId="6A9E907C" w14:textId="340ED4FD" w:rsidR="003E50C8" w:rsidRPr="003E50C8" w:rsidRDefault="003E50C8" w:rsidP="003E50C8"/>
    <w:p w14:paraId="594F1E85" w14:textId="1FF92E15" w:rsidR="003E50C8" w:rsidRDefault="003E50C8" w:rsidP="003E50C8"/>
    <w:p w14:paraId="1F7D724A" w14:textId="77777777" w:rsidR="003E50C8" w:rsidRDefault="003E50C8" w:rsidP="003E50C8">
      <w:pPr>
        <w:ind w:firstLine="720"/>
        <w:sectPr w:rsidR="003E50C8" w:rsidSect="00FC5B69">
          <w:pgSz w:w="11907" w:h="16839" w:code="9"/>
          <w:pgMar w:top="1418" w:right="1418" w:bottom="1701" w:left="1559" w:header="720" w:footer="720" w:gutter="0"/>
          <w:cols w:space="720"/>
          <w:titlePg/>
          <w:docGrid w:linePitch="360"/>
        </w:sectPr>
      </w:pPr>
    </w:p>
    <w:p w14:paraId="339F6960" w14:textId="77777777" w:rsidR="00D545E3" w:rsidRDefault="00D545E3" w:rsidP="00D545E3">
      <w:pPr>
        <w:pStyle w:val="xAppendixLevel1"/>
      </w:pPr>
      <w:bookmarkStart w:id="265" w:name="_Toc24559612"/>
      <w:bookmarkStart w:id="266" w:name="_Toc54597800"/>
      <w:r w:rsidRPr="00105F99">
        <w:lastRenderedPageBreak/>
        <w:t>Acronyms</w:t>
      </w:r>
      <w:bookmarkEnd w:id="265"/>
      <w:bookmarkEnd w:id="266"/>
    </w:p>
    <w:tbl>
      <w:tblPr>
        <w:tblStyle w:val="TableGrid"/>
        <w:tblW w:w="0" w:type="auto"/>
        <w:tblLook w:val="04A0" w:firstRow="1" w:lastRow="0" w:firstColumn="1" w:lastColumn="0" w:noHBand="0" w:noVBand="1"/>
      </w:tblPr>
      <w:tblGrid>
        <w:gridCol w:w="2127"/>
        <w:gridCol w:w="6803"/>
      </w:tblGrid>
      <w:tr w:rsidR="00D545E3" w14:paraId="17441D17" w14:textId="77777777" w:rsidTr="00D545E3">
        <w:trPr>
          <w:cnfStyle w:val="100000000000" w:firstRow="1" w:lastRow="0" w:firstColumn="0" w:lastColumn="0" w:oddVBand="0" w:evenVBand="0" w:oddHBand="0" w:evenHBand="0" w:firstRowFirstColumn="0" w:firstRowLastColumn="0" w:lastRowFirstColumn="0" w:lastRowLastColumn="0"/>
          <w:cantSplit w:val="0"/>
          <w:tblHeader w:val="0"/>
        </w:trPr>
        <w:tc>
          <w:tcPr>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9A5BE0" w14:textId="77777777" w:rsidR="00D545E3" w:rsidRDefault="00D545E3" w:rsidP="00D545E3">
            <w:pPr>
              <w:pStyle w:val="TableNheader"/>
            </w:pPr>
            <w:r>
              <w:t>Acronyms</w:t>
            </w:r>
          </w:p>
        </w:tc>
        <w:tc>
          <w:tcPr>
            <w:tcW w:w="68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C3453E" w14:textId="77777777" w:rsidR="00D545E3" w:rsidRDefault="00D545E3" w:rsidP="00D545E3">
            <w:pPr>
              <w:pStyle w:val="TableNheader"/>
            </w:pPr>
            <w:r>
              <w:t>Meaning</w:t>
            </w:r>
          </w:p>
        </w:tc>
      </w:tr>
      <w:tr w:rsidR="00D545E3" w14:paraId="3F446CB8"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B1CAC5C" w14:textId="77777777" w:rsidR="00D545E3" w:rsidRDefault="00D545E3" w:rsidP="00D545E3">
            <w:pPr>
              <w:spacing w:after="165"/>
            </w:pPr>
            <w:r w:rsidRPr="00B92EA7">
              <w:t xml:space="preserve">ABS </w:t>
            </w:r>
          </w:p>
        </w:tc>
        <w:tc>
          <w:tcPr>
            <w:tcW w:w="6803" w:type="dxa"/>
            <w:vAlign w:val="top"/>
          </w:tcPr>
          <w:p w14:paraId="060D1753" w14:textId="77777777" w:rsidR="00D545E3" w:rsidRDefault="00D545E3" w:rsidP="00D545E3">
            <w:pPr>
              <w:spacing w:after="165"/>
            </w:pPr>
            <w:r w:rsidRPr="00B92EA7">
              <w:t xml:space="preserve">Australian Bureau of Statistics </w:t>
            </w:r>
          </w:p>
        </w:tc>
      </w:tr>
      <w:tr w:rsidR="00D545E3" w14:paraId="6BE59C48"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F0BB712" w14:textId="77777777" w:rsidR="00D545E3" w:rsidRPr="00B92EA7" w:rsidRDefault="00D545E3" w:rsidP="00D545E3">
            <w:pPr>
              <w:spacing w:after="165"/>
            </w:pPr>
            <w:r>
              <w:t>ACECQA</w:t>
            </w:r>
          </w:p>
        </w:tc>
        <w:tc>
          <w:tcPr>
            <w:tcW w:w="6803" w:type="dxa"/>
            <w:vAlign w:val="top"/>
          </w:tcPr>
          <w:p w14:paraId="3F7AFA6A" w14:textId="77777777" w:rsidR="00D545E3" w:rsidRPr="00B92EA7" w:rsidRDefault="00D545E3" w:rsidP="00D545E3">
            <w:pPr>
              <w:spacing w:after="165"/>
            </w:pPr>
            <w:r>
              <w:t>Australian Children’s Education &amp; Care Quality Authority</w:t>
            </w:r>
          </w:p>
        </w:tc>
      </w:tr>
      <w:tr w:rsidR="00D545E3" w14:paraId="2DABD10E"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2A965F3" w14:textId="77777777" w:rsidR="00D545E3" w:rsidRDefault="00D545E3" w:rsidP="00D545E3">
            <w:pPr>
              <w:spacing w:after="165"/>
            </w:pPr>
            <w:r>
              <w:t>ACT</w:t>
            </w:r>
          </w:p>
        </w:tc>
        <w:tc>
          <w:tcPr>
            <w:tcW w:w="6803" w:type="dxa"/>
            <w:vAlign w:val="top"/>
          </w:tcPr>
          <w:p w14:paraId="17B8F56B" w14:textId="77777777" w:rsidR="00D545E3" w:rsidRDefault="00D545E3" w:rsidP="00D545E3">
            <w:pPr>
              <w:spacing w:after="165"/>
            </w:pPr>
            <w:r>
              <w:t>Australian Capital Territory</w:t>
            </w:r>
          </w:p>
        </w:tc>
      </w:tr>
      <w:tr w:rsidR="00D545E3" w14:paraId="0636DBAB"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37FCEFE" w14:textId="77777777" w:rsidR="00D545E3" w:rsidRDefault="00D545E3" w:rsidP="00D545E3">
            <w:pPr>
              <w:spacing w:after="165"/>
            </w:pPr>
            <w:r w:rsidRPr="00B92EA7">
              <w:t xml:space="preserve">AEDC </w:t>
            </w:r>
          </w:p>
        </w:tc>
        <w:tc>
          <w:tcPr>
            <w:tcW w:w="6803" w:type="dxa"/>
            <w:vAlign w:val="top"/>
          </w:tcPr>
          <w:p w14:paraId="4934B5FF" w14:textId="77777777" w:rsidR="00D545E3" w:rsidRDefault="00D545E3" w:rsidP="00D545E3">
            <w:pPr>
              <w:spacing w:after="165"/>
            </w:pPr>
            <w:r w:rsidRPr="00B92EA7">
              <w:t xml:space="preserve">Australian Early Development Census </w:t>
            </w:r>
          </w:p>
        </w:tc>
      </w:tr>
      <w:tr w:rsidR="00D545E3" w14:paraId="68FF3E8F"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195F568" w14:textId="77777777" w:rsidR="00D545E3" w:rsidRPr="00B92EA7" w:rsidRDefault="00D545E3" w:rsidP="00D545E3">
            <w:pPr>
              <w:spacing w:after="165"/>
            </w:pPr>
            <w:r>
              <w:t>AESOC</w:t>
            </w:r>
          </w:p>
        </w:tc>
        <w:tc>
          <w:tcPr>
            <w:tcW w:w="6803" w:type="dxa"/>
            <w:vAlign w:val="top"/>
          </w:tcPr>
          <w:p w14:paraId="70F458CA" w14:textId="77777777" w:rsidR="00D545E3" w:rsidRPr="00B92EA7" w:rsidRDefault="00D545E3" w:rsidP="00D545E3">
            <w:pPr>
              <w:spacing w:after="165"/>
            </w:pPr>
            <w:r>
              <w:t>Australian Education Senior Officials Committee</w:t>
            </w:r>
          </w:p>
        </w:tc>
      </w:tr>
      <w:tr w:rsidR="00D545E3" w14:paraId="17246555"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230FDF06" w14:textId="77777777" w:rsidR="00D545E3" w:rsidRDefault="00D545E3" w:rsidP="00D545E3">
            <w:pPr>
              <w:spacing w:after="165"/>
            </w:pPr>
            <w:r w:rsidRPr="00B92EA7">
              <w:t xml:space="preserve">AIHW </w:t>
            </w:r>
          </w:p>
        </w:tc>
        <w:tc>
          <w:tcPr>
            <w:tcW w:w="6803" w:type="dxa"/>
            <w:vAlign w:val="top"/>
          </w:tcPr>
          <w:p w14:paraId="32EBB250" w14:textId="77777777" w:rsidR="00D545E3" w:rsidRDefault="00D545E3" w:rsidP="00D545E3">
            <w:pPr>
              <w:spacing w:after="165"/>
            </w:pPr>
            <w:r w:rsidRPr="00B92EA7">
              <w:t xml:space="preserve">Australian Institute of Health and Welfare </w:t>
            </w:r>
          </w:p>
        </w:tc>
      </w:tr>
      <w:tr w:rsidR="00D545E3" w14:paraId="2349ED7F"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A501F2E" w14:textId="77777777" w:rsidR="00D545E3" w:rsidRDefault="00D545E3" w:rsidP="00D545E3">
            <w:pPr>
              <w:spacing w:after="165"/>
            </w:pPr>
            <w:r>
              <w:t>CALD</w:t>
            </w:r>
          </w:p>
        </w:tc>
        <w:tc>
          <w:tcPr>
            <w:tcW w:w="6803" w:type="dxa"/>
            <w:vAlign w:val="top"/>
          </w:tcPr>
          <w:p w14:paraId="1EC9157C" w14:textId="77777777" w:rsidR="00D545E3" w:rsidRDefault="00D545E3" w:rsidP="00D545E3">
            <w:pPr>
              <w:spacing w:after="165"/>
            </w:pPr>
            <w:r>
              <w:t>Culturally and linguistically diverse</w:t>
            </w:r>
          </w:p>
        </w:tc>
      </w:tr>
      <w:tr w:rsidR="00D545E3" w14:paraId="354E15F7"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628E47F" w14:textId="77777777" w:rsidR="00D545E3" w:rsidRPr="00B92EA7" w:rsidRDefault="00D545E3" w:rsidP="00D545E3">
            <w:pPr>
              <w:spacing w:after="165"/>
            </w:pPr>
            <w:r>
              <w:t>CBDC</w:t>
            </w:r>
          </w:p>
        </w:tc>
        <w:tc>
          <w:tcPr>
            <w:tcW w:w="6803" w:type="dxa"/>
            <w:vAlign w:val="top"/>
          </w:tcPr>
          <w:p w14:paraId="49D2C14A" w14:textId="77777777" w:rsidR="00D545E3" w:rsidRPr="00B92EA7" w:rsidRDefault="00D545E3" w:rsidP="00D545E3">
            <w:pPr>
              <w:spacing w:after="165"/>
            </w:pPr>
            <w:r>
              <w:t>Centre-based day care</w:t>
            </w:r>
          </w:p>
        </w:tc>
      </w:tr>
      <w:tr w:rsidR="00D545E3" w14:paraId="41B17E85"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FAD75A8" w14:textId="77777777" w:rsidR="00D545E3" w:rsidRPr="00B92EA7" w:rsidRDefault="00D545E3" w:rsidP="00D545E3">
            <w:pPr>
              <w:spacing w:after="165"/>
            </w:pPr>
            <w:r>
              <w:t>CCS</w:t>
            </w:r>
          </w:p>
        </w:tc>
        <w:tc>
          <w:tcPr>
            <w:tcW w:w="6803" w:type="dxa"/>
            <w:vAlign w:val="top"/>
          </w:tcPr>
          <w:p w14:paraId="0C87681B" w14:textId="77777777" w:rsidR="00D545E3" w:rsidRPr="00B92EA7" w:rsidRDefault="00D545E3" w:rsidP="00D545E3">
            <w:pPr>
              <w:spacing w:after="165"/>
            </w:pPr>
            <w:r>
              <w:t>Child Care Subsidy</w:t>
            </w:r>
          </w:p>
        </w:tc>
      </w:tr>
      <w:tr w:rsidR="00D545E3" w14:paraId="3BA0404E"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14F7C52" w14:textId="77777777" w:rsidR="00D545E3" w:rsidRDefault="00D545E3" w:rsidP="00D545E3">
            <w:pPr>
              <w:spacing w:after="165"/>
            </w:pPr>
            <w:r w:rsidRPr="00B92EA7">
              <w:t xml:space="preserve">COAG </w:t>
            </w:r>
          </w:p>
        </w:tc>
        <w:tc>
          <w:tcPr>
            <w:tcW w:w="6803" w:type="dxa"/>
            <w:vAlign w:val="top"/>
          </w:tcPr>
          <w:p w14:paraId="716144FB" w14:textId="77777777" w:rsidR="00D545E3" w:rsidRDefault="00D545E3" w:rsidP="00D545E3">
            <w:pPr>
              <w:spacing w:after="165"/>
            </w:pPr>
            <w:r w:rsidRPr="00B92EA7">
              <w:t xml:space="preserve">Council of Australian Governments </w:t>
            </w:r>
          </w:p>
        </w:tc>
      </w:tr>
      <w:tr w:rsidR="00D545E3" w14:paraId="76CC2631"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DCFB234" w14:textId="77777777" w:rsidR="00D545E3" w:rsidRPr="00B92EA7" w:rsidRDefault="00D545E3" w:rsidP="00D545E3">
            <w:pPr>
              <w:spacing w:after="165"/>
            </w:pPr>
            <w:r>
              <w:t>CPI</w:t>
            </w:r>
          </w:p>
        </w:tc>
        <w:tc>
          <w:tcPr>
            <w:tcW w:w="6803" w:type="dxa"/>
            <w:vAlign w:val="top"/>
          </w:tcPr>
          <w:p w14:paraId="73F41B67" w14:textId="77777777" w:rsidR="00D545E3" w:rsidRPr="00B92EA7" w:rsidRDefault="00D545E3" w:rsidP="00D545E3">
            <w:pPr>
              <w:spacing w:after="165"/>
            </w:pPr>
            <w:r>
              <w:t>Consumer Price Index</w:t>
            </w:r>
          </w:p>
        </w:tc>
      </w:tr>
      <w:tr w:rsidR="00D545E3" w14:paraId="053ED45E"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0E215AC" w14:textId="77777777" w:rsidR="00D545E3" w:rsidRDefault="00D545E3" w:rsidP="00D545E3">
            <w:pPr>
              <w:spacing w:after="165"/>
            </w:pPr>
            <w:r w:rsidRPr="00B92EA7">
              <w:t xml:space="preserve">ECDSG </w:t>
            </w:r>
          </w:p>
        </w:tc>
        <w:tc>
          <w:tcPr>
            <w:tcW w:w="6803" w:type="dxa"/>
            <w:vAlign w:val="top"/>
          </w:tcPr>
          <w:p w14:paraId="4C66224D" w14:textId="77777777" w:rsidR="00D545E3" w:rsidRDefault="00D545E3" w:rsidP="00D545E3">
            <w:pPr>
              <w:spacing w:after="165"/>
            </w:pPr>
            <w:r w:rsidRPr="00B92EA7">
              <w:t xml:space="preserve">Early Childhood Data Sub Group </w:t>
            </w:r>
          </w:p>
        </w:tc>
      </w:tr>
      <w:tr w:rsidR="00D545E3" w14:paraId="07DBBDB3"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5665DF4E" w14:textId="77777777" w:rsidR="00D545E3" w:rsidRPr="00B92EA7" w:rsidRDefault="00D545E3" w:rsidP="00D545E3">
            <w:pPr>
              <w:spacing w:after="165"/>
            </w:pPr>
            <w:r w:rsidRPr="00B92EA7">
              <w:t>ECE</w:t>
            </w:r>
          </w:p>
        </w:tc>
        <w:tc>
          <w:tcPr>
            <w:tcW w:w="6803" w:type="dxa"/>
            <w:vAlign w:val="top"/>
          </w:tcPr>
          <w:p w14:paraId="1D34A647" w14:textId="77777777" w:rsidR="00D545E3" w:rsidRPr="00B92EA7" w:rsidRDefault="00D545E3" w:rsidP="00D545E3">
            <w:pPr>
              <w:spacing w:after="165"/>
            </w:pPr>
            <w:r w:rsidRPr="00B92EA7">
              <w:t xml:space="preserve">Early </w:t>
            </w:r>
            <w:r>
              <w:t>c</w:t>
            </w:r>
            <w:r w:rsidRPr="00B92EA7">
              <w:t xml:space="preserve">hildhood </w:t>
            </w:r>
            <w:r>
              <w:t>e</w:t>
            </w:r>
            <w:r w:rsidRPr="00B92EA7">
              <w:t xml:space="preserve">ducation </w:t>
            </w:r>
          </w:p>
        </w:tc>
      </w:tr>
      <w:tr w:rsidR="00D545E3" w14:paraId="3DA2800D"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4092F95" w14:textId="77777777" w:rsidR="00D545E3" w:rsidRPr="00B92EA7" w:rsidRDefault="00D545E3" w:rsidP="00D545E3">
            <w:pPr>
              <w:spacing w:after="165"/>
            </w:pPr>
            <w:r>
              <w:t>ECT</w:t>
            </w:r>
          </w:p>
        </w:tc>
        <w:tc>
          <w:tcPr>
            <w:tcW w:w="6803" w:type="dxa"/>
            <w:vAlign w:val="top"/>
          </w:tcPr>
          <w:p w14:paraId="3F731968" w14:textId="77777777" w:rsidR="00D545E3" w:rsidRPr="00B92EA7" w:rsidRDefault="00D545E3" w:rsidP="00D545E3">
            <w:pPr>
              <w:spacing w:after="165"/>
            </w:pPr>
            <w:r>
              <w:t>E</w:t>
            </w:r>
            <w:r w:rsidRPr="00E906D8">
              <w:t>arly childhood teacher</w:t>
            </w:r>
          </w:p>
        </w:tc>
      </w:tr>
      <w:tr w:rsidR="00D545E3" w14:paraId="7BD3EE55"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E174153" w14:textId="77777777" w:rsidR="00D545E3" w:rsidRDefault="00D545E3" w:rsidP="00D545E3">
            <w:pPr>
              <w:spacing w:after="165"/>
            </w:pPr>
            <w:r w:rsidRPr="00B92EA7">
              <w:t xml:space="preserve">ECEC </w:t>
            </w:r>
          </w:p>
        </w:tc>
        <w:tc>
          <w:tcPr>
            <w:tcW w:w="6803" w:type="dxa"/>
            <w:vAlign w:val="top"/>
          </w:tcPr>
          <w:p w14:paraId="7D31D561" w14:textId="77777777" w:rsidR="00D545E3" w:rsidRDefault="00D545E3" w:rsidP="00D545E3">
            <w:pPr>
              <w:spacing w:after="165"/>
            </w:pPr>
            <w:r w:rsidRPr="00B92EA7">
              <w:t xml:space="preserve">Early </w:t>
            </w:r>
            <w:r>
              <w:t>c</w:t>
            </w:r>
            <w:r w:rsidRPr="00B92EA7">
              <w:t xml:space="preserve">hildhood </w:t>
            </w:r>
            <w:r>
              <w:t>e</w:t>
            </w:r>
            <w:r w:rsidRPr="00B92EA7">
              <w:t xml:space="preserve">ducation and </w:t>
            </w:r>
            <w:r>
              <w:t>c</w:t>
            </w:r>
            <w:r w:rsidRPr="00B92EA7">
              <w:t xml:space="preserve">are </w:t>
            </w:r>
          </w:p>
        </w:tc>
      </w:tr>
      <w:tr w:rsidR="00D545E3" w14:paraId="7165AC1C"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C6B3C13" w14:textId="77777777" w:rsidR="00D545E3" w:rsidRDefault="00D545E3" w:rsidP="00D545E3">
            <w:pPr>
              <w:spacing w:after="165"/>
            </w:pPr>
            <w:r w:rsidRPr="00B92EA7">
              <w:t xml:space="preserve">ECEC NMDS </w:t>
            </w:r>
          </w:p>
        </w:tc>
        <w:tc>
          <w:tcPr>
            <w:tcW w:w="6803" w:type="dxa"/>
            <w:vAlign w:val="top"/>
          </w:tcPr>
          <w:p w14:paraId="08EC6EDC" w14:textId="77777777" w:rsidR="00D545E3" w:rsidRDefault="00D545E3" w:rsidP="00D545E3">
            <w:pPr>
              <w:spacing w:after="165"/>
            </w:pPr>
            <w:r w:rsidRPr="00B92EA7">
              <w:t xml:space="preserve">Early Education and Care National Minimum Dataset </w:t>
            </w:r>
          </w:p>
        </w:tc>
      </w:tr>
      <w:tr w:rsidR="00D545E3" w14:paraId="19F6BF76"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488A53B" w14:textId="77777777" w:rsidR="00D545E3" w:rsidRPr="00B92EA7" w:rsidRDefault="00D545E3" w:rsidP="00D545E3">
            <w:pPr>
              <w:spacing w:after="165"/>
            </w:pPr>
            <w:r>
              <w:t>ECPG</w:t>
            </w:r>
          </w:p>
        </w:tc>
        <w:tc>
          <w:tcPr>
            <w:tcW w:w="6803" w:type="dxa"/>
            <w:vAlign w:val="top"/>
          </w:tcPr>
          <w:p w14:paraId="6937BA66" w14:textId="77777777" w:rsidR="00D545E3" w:rsidRPr="00B92EA7" w:rsidRDefault="00D545E3" w:rsidP="00D545E3">
            <w:pPr>
              <w:spacing w:after="165"/>
            </w:pPr>
            <w:r>
              <w:t>Early Childhood Policy Group</w:t>
            </w:r>
          </w:p>
        </w:tc>
      </w:tr>
      <w:tr w:rsidR="00D545E3" w14:paraId="3B18D8AA"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2A1BD4A1" w14:textId="77777777" w:rsidR="00D545E3" w:rsidRDefault="00D545E3" w:rsidP="00D545E3">
            <w:pPr>
              <w:spacing w:after="165"/>
            </w:pPr>
            <w:r>
              <w:t>ERP</w:t>
            </w:r>
          </w:p>
        </w:tc>
        <w:tc>
          <w:tcPr>
            <w:tcW w:w="6803" w:type="dxa"/>
            <w:vAlign w:val="top"/>
          </w:tcPr>
          <w:p w14:paraId="08B8F843" w14:textId="77777777" w:rsidR="00D545E3" w:rsidRDefault="00D545E3" w:rsidP="00D545E3">
            <w:pPr>
              <w:spacing w:after="165"/>
            </w:pPr>
            <w:r>
              <w:t>Estimated residential population</w:t>
            </w:r>
          </w:p>
        </w:tc>
      </w:tr>
      <w:tr w:rsidR="00D545E3" w14:paraId="694B9863"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433CBFAF" w14:textId="77777777" w:rsidR="00D545E3" w:rsidRPr="00BF7682" w:rsidRDefault="00D545E3" w:rsidP="00D545E3">
            <w:pPr>
              <w:spacing w:after="165"/>
            </w:pPr>
            <w:r>
              <w:t>ICSEA</w:t>
            </w:r>
          </w:p>
        </w:tc>
        <w:tc>
          <w:tcPr>
            <w:tcW w:w="6803" w:type="dxa"/>
            <w:vAlign w:val="top"/>
          </w:tcPr>
          <w:p w14:paraId="0C9272D2" w14:textId="77777777" w:rsidR="00D545E3" w:rsidRDefault="00D545E3" w:rsidP="00D545E3">
            <w:pPr>
              <w:spacing w:after="165"/>
            </w:pPr>
            <w:r w:rsidRPr="002609BE">
              <w:t>Index of Community Socio-Educational Advantage</w:t>
            </w:r>
          </w:p>
        </w:tc>
      </w:tr>
      <w:tr w:rsidR="00D545E3" w14:paraId="05A33F87"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421ED5A" w14:textId="77777777" w:rsidR="00D545E3" w:rsidRPr="00B92EA7" w:rsidRDefault="00D545E3" w:rsidP="00D545E3">
            <w:pPr>
              <w:spacing w:after="165"/>
            </w:pPr>
            <w:r w:rsidRPr="00BF7682">
              <w:t>IGAFFR</w:t>
            </w:r>
          </w:p>
        </w:tc>
        <w:tc>
          <w:tcPr>
            <w:tcW w:w="6803" w:type="dxa"/>
            <w:vAlign w:val="top"/>
          </w:tcPr>
          <w:p w14:paraId="749B51EF" w14:textId="77777777" w:rsidR="00D545E3" w:rsidRPr="00B92EA7" w:rsidRDefault="00D545E3" w:rsidP="00D545E3">
            <w:pPr>
              <w:spacing w:after="165"/>
            </w:pPr>
            <w:r>
              <w:t>Intergovernmental Agreement on Federal Financial Relations</w:t>
            </w:r>
          </w:p>
        </w:tc>
      </w:tr>
      <w:tr w:rsidR="00D545E3" w14:paraId="1ED497AF"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2C8E1B4" w14:textId="77777777" w:rsidR="00D545E3" w:rsidRPr="00BF7682" w:rsidRDefault="00D545E3" w:rsidP="00D545E3">
            <w:pPr>
              <w:spacing w:after="165"/>
            </w:pPr>
            <w:r>
              <w:t>IRSD</w:t>
            </w:r>
          </w:p>
        </w:tc>
        <w:tc>
          <w:tcPr>
            <w:tcW w:w="6803" w:type="dxa"/>
            <w:vAlign w:val="top"/>
          </w:tcPr>
          <w:p w14:paraId="4F87910E" w14:textId="77777777" w:rsidR="00D545E3" w:rsidRDefault="00D545E3" w:rsidP="00D545E3">
            <w:pPr>
              <w:spacing w:after="165"/>
            </w:pPr>
            <w:r w:rsidRPr="001E4806">
              <w:t>Index of Relative Socio-economic Disadvantage</w:t>
            </w:r>
          </w:p>
        </w:tc>
      </w:tr>
      <w:tr w:rsidR="00D545E3" w14:paraId="0ED20CEE"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CCBE6FE" w14:textId="77777777" w:rsidR="00D545E3" w:rsidRDefault="00D545E3" w:rsidP="00D545E3">
            <w:pPr>
              <w:spacing w:after="165"/>
            </w:pPr>
            <w:r w:rsidRPr="00B92EA7">
              <w:lastRenderedPageBreak/>
              <w:t xml:space="preserve">LDC </w:t>
            </w:r>
          </w:p>
        </w:tc>
        <w:tc>
          <w:tcPr>
            <w:tcW w:w="6803" w:type="dxa"/>
            <w:vAlign w:val="top"/>
          </w:tcPr>
          <w:p w14:paraId="156996FC" w14:textId="77777777" w:rsidR="00D545E3" w:rsidRDefault="00D545E3" w:rsidP="00D545E3">
            <w:pPr>
              <w:spacing w:after="165"/>
            </w:pPr>
            <w:r w:rsidRPr="00B92EA7">
              <w:t xml:space="preserve">Long day care </w:t>
            </w:r>
          </w:p>
        </w:tc>
      </w:tr>
      <w:tr w:rsidR="00D545E3" w14:paraId="7FBDA565"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B46AF99" w14:textId="77777777" w:rsidR="00D545E3" w:rsidRPr="00B92EA7" w:rsidRDefault="00D545E3" w:rsidP="00D545E3">
            <w:pPr>
              <w:spacing w:after="165"/>
            </w:pPr>
            <w:r>
              <w:t>NAPLAN</w:t>
            </w:r>
          </w:p>
        </w:tc>
        <w:tc>
          <w:tcPr>
            <w:tcW w:w="6803" w:type="dxa"/>
            <w:vAlign w:val="top"/>
          </w:tcPr>
          <w:p w14:paraId="51CB4FB5" w14:textId="77777777" w:rsidR="00D545E3" w:rsidRPr="00B92EA7" w:rsidRDefault="00D545E3" w:rsidP="00D545E3">
            <w:pPr>
              <w:spacing w:after="165"/>
            </w:pPr>
            <w:r>
              <w:t>National Assessment Plan – Literacy and Numeracy</w:t>
            </w:r>
          </w:p>
        </w:tc>
      </w:tr>
      <w:tr w:rsidR="00D545E3" w14:paraId="286806D9"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297F214F" w14:textId="77777777" w:rsidR="00D545E3" w:rsidRDefault="00D545E3" w:rsidP="00D545E3">
            <w:pPr>
              <w:spacing w:after="165"/>
            </w:pPr>
            <w:r w:rsidRPr="00B92EA7">
              <w:t xml:space="preserve">NP </w:t>
            </w:r>
          </w:p>
        </w:tc>
        <w:tc>
          <w:tcPr>
            <w:tcW w:w="6803" w:type="dxa"/>
            <w:vAlign w:val="top"/>
          </w:tcPr>
          <w:p w14:paraId="0D2D92DE" w14:textId="77777777" w:rsidR="00D545E3" w:rsidRDefault="00D545E3" w:rsidP="00D545E3">
            <w:pPr>
              <w:spacing w:after="165"/>
            </w:pPr>
            <w:r w:rsidRPr="00B92EA7">
              <w:t xml:space="preserve">National Partnership </w:t>
            </w:r>
          </w:p>
        </w:tc>
      </w:tr>
      <w:tr w:rsidR="00D545E3" w14:paraId="720602FF"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9DB6F26" w14:textId="77777777" w:rsidR="00D545E3" w:rsidRPr="00B92EA7" w:rsidRDefault="00D545E3" w:rsidP="00D545E3">
            <w:pPr>
              <w:spacing w:after="165"/>
            </w:pPr>
            <w:r>
              <w:t>NPA</w:t>
            </w:r>
          </w:p>
        </w:tc>
        <w:tc>
          <w:tcPr>
            <w:tcW w:w="6803" w:type="dxa"/>
            <w:vAlign w:val="top"/>
          </w:tcPr>
          <w:p w14:paraId="3243E71D" w14:textId="77777777" w:rsidR="00D545E3" w:rsidRPr="00B92EA7" w:rsidRDefault="00D545E3" w:rsidP="00D545E3">
            <w:pPr>
              <w:spacing w:after="165"/>
            </w:pPr>
            <w:r>
              <w:t>National Partnership Agreement</w:t>
            </w:r>
          </w:p>
        </w:tc>
      </w:tr>
      <w:tr w:rsidR="00D545E3" w14:paraId="047646EC"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BADEB11" w14:textId="77777777" w:rsidR="00D545E3" w:rsidRPr="00B92EA7" w:rsidRDefault="00D545E3" w:rsidP="00D545E3">
            <w:pPr>
              <w:spacing w:after="165"/>
            </w:pPr>
            <w:r>
              <w:t>NPECE</w:t>
            </w:r>
          </w:p>
        </w:tc>
        <w:tc>
          <w:tcPr>
            <w:tcW w:w="6803" w:type="dxa"/>
            <w:vAlign w:val="top"/>
          </w:tcPr>
          <w:p w14:paraId="0A1FE3E4" w14:textId="77777777" w:rsidR="00D545E3" w:rsidRPr="00B92EA7" w:rsidRDefault="00D545E3" w:rsidP="00D545E3">
            <w:pPr>
              <w:spacing w:after="165"/>
            </w:pPr>
            <w:r>
              <w:t>National Partnership Agreement on Early Childhood Education</w:t>
            </w:r>
          </w:p>
        </w:tc>
      </w:tr>
      <w:tr w:rsidR="00D545E3" w14:paraId="5D2FAF31"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488B7BD7" w14:textId="77777777" w:rsidR="00D545E3" w:rsidRPr="00B92EA7" w:rsidRDefault="00D545E3" w:rsidP="00D545E3">
            <w:pPr>
              <w:spacing w:after="165"/>
            </w:pPr>
            <w:r>
              <w:t>NQF</w:t>
            </w:r>
          </w:p>
        </w:tc>
        <w:tc>
          <w:tcPr>
            <w:tcW w:w="6803" w:type="dxa"/>
            <w:vAlign w:val="top"/>
          </w:tcPr>
          <w:p w14:paraId="2A1AB21C" w14:textId="77777777" w:rsidR="00D545E3" w:rsidRPr="00B92EA7" w:rsidRDefault="00D545E3" w:rsidP="00D545E3">
            <w:pPr>
              <w:spacing w:after="165"/>
            </w:pPr>
            <w:r>
              <w:t>National Quality Framework</w:t>
            </w:r>
          </w:p>
        </w:tc>
      </w:tr>
      <w:tr w:rsidR="00D545E3" w14:paraId="6AA69F34"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960CE89" w14:textId="77777777" w:rsidR="00D545E3" w:rsidRPr="00B92EA7" w:rsidRDefault="00D545E3" w:rsidP="00D545E3">
            <w:pPr>
              <w:spacing w:after="165"/>
            </w:pPr>
            <w:r>
              <w:t>NQS</w:t>
            </w:r>
          </w:p>
        </w:tc>
        <w:tc>
          <w:tcPr>
            <w:tcW w:w="6803" w:type="dxa"/>
            <w:vAlign w:val="top"/>
          </w:tcPr>
          <w:p w14:paraId="61E0082D" w14:textId="77777777" w:rsidR="00D545E3" w:rsidRPr="00B92EA7" w:rsidRDefault="00D545E3" w:rsidP="00D545E3">
            <w:pPr>
              <w:spacing w:after="165"/>
            </w:pPr>
            <w:r>
              <w:t>National Quality Standard</w:t>
            </w:r>
          </w:p>
        </w:tc>
      </w:tr>
      <w:tr w:rsidR="00D545E3" w14:paraId="3C8CF07C"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5368D92" w14:textId="77777777" w:rsidR="00D545E3" w:rsidRDefault="00D545E3" w:rsidP="00D545E3">
            <w:pPr>
              <w:spacing w:after="165"/>
            </w:pPr>
            <w:r>
              <w:t>NSW</w:t>
            </w:r>
          </w:p>
        </w:tc>
        <w:tc>
          <w:tcPr>
            <w:tcW w:w="6803" w:type="dxa"/>
            <w:vAlign w:val="top"/>
          </w:tcPr>
          <w:p w14:paraId="68E1E14B" w14:textId="77777777" w:rsidR="00D545E3" w:rsidRDefault="00D545E3" w:rsidP="00D545E3">
            <w:pPr>
              <w:spacing w:after="165"/>
            </w:pPr>
            <w:r>
              <w:t>New South Wales</w:t>
            </w:r>
          </w:p>
        </w:tc>
      </w:tr>
      <w:tr w:rsidR="00D545E3" w14:paraId="42BB4CE1"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5F290A7" w14:textId="77777777" w:rsidR="00D545E3" w:rsidRDefault="00D545E3" w:rsidP="00D545E3">
            <w:pPr>
              <w:spacing w:after="165"/>
            </w:pPr>
            <w:r>
              <w:t>NT</w:t>
            </w:r>
          </w:p>
        </w:tc>
        <w:tc>
          <w:tcPr>
            <w:tcW w:w="6803" w:type="dxa"/>
            <w:vAlign w:val="top"/>
          </w:tcPr>
          <w:p w14:paraId="45A414B5" w14:textId="77777777" w:rsidR="00D545E3" w:rsidRDefault="00D545E3" w:rsidP="00D545E3">
            <w:pPr>
              <w:spacing w:after="165"/>
            </w:pPr>
            <w:r>
              <w:t>Northern Territory</w:t>
            </w:r>
          </w:p>
        </w:tc>
      </w:tr>
      <w:tr w:rsidR="00D545E3" w14:paraId="710C18EE"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6812783" w14:textId="77777777" w:rsidR="00D545E3" w:rsidRDefault="00D545E3" w:rsidP="00D545E3">
            <w:pPr>
              <w:spacing w:after="165"/>
            </w:pPr>
            <w:r>
              <w:t>OSHC</w:t>
            </w:r>
          </w:p>
        </w:tc>
        <w:tc>
          <w:tcPr>
            <w:tcW w:w="6803" w:type="dxa"/>
            <w:vAlign w:val="top"/>
          </w:tcPr>
          <w:p w14:paraId="43D582EA" w14:textId="77777777" w:rsidR="00D545E3" w:rsidRPr="00B92EA7" w:rsidRDefault="00D545E3" w:rsidP="00D545E3">
            <w:pPr>
              <w:spacing w:after="165"/>
            </w:pPr>
            <w:r>
              <w:t>Outside school hours care</w:t>
            </w:r>
          </w:p>
        </w:tc>
      </w:tr>
      <w:tr w:rsidR="00D545E3" w14:paraId="06AB8B8C"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8255F10" w14:textId="77777777" w:rsidR="00D545E3" w:rsidRDefault="00D545E3" w:rsidP="00D545E3">
            <w:pPr>
              <w:spacing w:after="165"/>
            </w:pPr>
            <w:r w:rsidRPr="00B92EA7">
              <w:t xml:space="preserve">PC </w:t>
            </w:r>
          </w:p>
        </w:tc>
        <w:tc>
          <w:tcPr>
            <w:tcW w:w="6803" w:type="dxa"/>
            <w:vAlign w:val="top"/>
          </w:tcPr>
          <w:p w14:paraId="4CBCEBB6" w14:textId="77777777" w:rsidR="00D545E3" w:rsidRDefault="00D545E3" w:rsidP="00D545E3">
            <w:pPr>
              <w:spacing w:after="165"/>
            </w:pPr>
            <w:r w:rsidRPr="00B92EA7">
              <w:t xml:space="preserve">Productivity Commission </w:t>
            </w:r>
          </w:p>
        </w:tc>
      </w:tr>
      <w:tr w:rsidR="00D545E3" w14:paraId="3CB9C087"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7E1538F2" w14:textId="77777777" w:rsidR="00D545E3" w:rsidRPr="00B92EA7" w:rsidRDefault="00D545E3" w:rsidP="00D545E3">
            <w:pPr>
              <w:spacing w:after="165"/>
            </w:pPr>
            <w:r>
              <w:t>PI</w:t>
            </w:r>
          </w:p>
        </w:tc>
        <w:tc>
          <w:tcPr>
            <w:tcW w:w="6803" w:type="dxa"/>
            <w:vAlign w:val="top"/>
          </w:tcPr>
          <w:p w14:paraId="0F3699DF" w14:textId="77777777" w:rsidR="00D545E3" w:rsidRPr="00B92EA7" w:rsidRDefault="00D545E3" w:rsidP="00D545E3">
            <w:pPr>
              <w:spacing w:after="165"/>
            </w:pPr>
            <w:r>
              <w:t xml:space="preserve">Performance </w:t>
            </w:r>
            <w:r w:rsidR="00FC42C6">
              <w:t>i</w:t>
            </w:r>
            <w:r>
              <w:t>ndicator</w:t>
            </w:r>
          </w:p>
        </w:tc>
      </w:tr>
      <w:tr w:rsidR="00D545E3" w14:paraId="23ECE853"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D1BBD94" w14:textId="77777777" w:rsidR="00D545E3" w:rsidRDefault="00D545E3" w:rsidP="00D545E3">
            <w:pPr>
              <w:spacing w:after="165"/>
            </w:pPr>
            <w:r>
              <w:t>Qld</w:t>
            </w:r>
          </w:p>
        </w:tc>
        <w:tc>
          <w:tcPr>
            <w:tcW w:w="6803" w:type="dxa"/>
            <w:vAlign w:val="top"/>
          </w:tcPr>
          <w:p w14:paraId="6C44BBFE" w14:textId="77777777" w:rsidR="00D545E3" w:rsidRDefault="00D545E3" w:rsidP="00D545E3">
            <w:pPr>
              <w:spacing w:after="165"/>
            </w:pPr>
            <w:r>
              <w:t>Queensland</w:t>
            </w:r>
          </w:p>
        </w:tc>
      </w:tr>
      <w:tr w:rsidR="00D545E3" w14:paraId="5C638E1C"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5299851A" w14:textId="77777777" w:rsidR="00D545E3" w:rsidRDefault="00D545E3" w:rsidP="00D545E3">
            <w:pPr>
              <w:spacing w:after="165"/>
            </w:pPr>
            <w:proofErr w:type="spellStart"/>
            <w:r w:rsidRPr="00B92EA7">
              <w:t>R</w:t>
            </w:r>
            <w:r>
              <w:t>o</w:t>
            </w:r>
            <w:r w:rsidRPr="00B92EA7">
              <w:t>GS</w:t>
            </w:r>
            <w:proofErr w:type="spellEnd"/>
            <w:r w:rsidRPr="00B92EA7">
              <w:t xml:space="preserve"> </w:t>
            </w:r>
          </w:p>
        </w:tc>
        <w:tc>
          <w:tcPr>
            <w:tcW w:w="6803" w:type="dxa"/>
            <w:vAlign w:val="top"/>
          </w:tcPr>
          <w:p w14:paraId="66942530" w14:textId="77777777" w:rsidR="00D545E3" w:rsidRDefault="00D545E3" w:rsidP="00D545E3">
            <w:pPr>
              <w:spacing w:after="165"/>
            </w:pPr>
            <w:r w:rsidRPr="00B92EA7">
              <w:t xml:space="preserve">Report on Government </w:t>
            </w:r>
            <w:r>
              <w:t>Services</w:t>
            </w:r>
          </w:p>
        </w:tc>
      </w:tr>
      <w:tr w:rsidR="00D545E3" w14:paraId="30ADB152"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24FA2AF" w14:textId="77777777" w:rsidR="00D545E3" w:rsidRPr="00B92EA7" w:rsidRDefault="00D545E3" w:rsidP="00D545E3">
            <w:pPr>
              <w:spacing w:after="165"/>
            </w:pPr>
            <w:r>
              <w:t>SA</w:t>
            </w:r>
          </w:p>
        </w:tc>
        <w:tc>
          <w:tcPr>
            <w:tcW w:w="6803" w:type="dxa"/>
            <w:vAlign w:val="top"/>
          </w:tcPr>
          <w:p w14:paraId="7420FD98" w14:textId="77777777" w:rsidR="00D545E3" w:rsidRPr="00B92EA7" w:rsidRDefault="00D545E3" w:rsidP="00D545E3">
            <w:pPr>
              <w:spacing w:after="165"/>
            </w:pPr>
            <w:r>
              <w:t>South Australia</w:t>
            </w:r>
          </w:p>
        </w:tc>
      </w:tr>
      <w:tr w:rsidR="00D545E3" w14:paraId="0A443A09"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2786F6F" w14:textId="77777777" w:rsidR="00D545E3" w:rsidRDefault="00D545E3" w:rsidP="00D545E3">
            <w:pPr>
              <w:spacing w:after="165"/>
            </w:pPr>
            <w:r w:rsidRPr="00B92EA7">
              <w:t xml:space="preserve">SA2 </w:t>
            </w:r>
          </w:p>
        </w:tc>
        <w:tc>
          <w:tcPr>
            <w:tcW w:w="6803" w:type="dxa"/>
            <w:vAlign w:val="top"/>
          </w:tcPr>
          <w:p w14:paraId="3157A43B" w14:textId="77777777" w:rsidR="00D545E3" w:rsidRDefault="00D545E3" w:rsidP="00D545E3">
            <w:pPr>
              <w:spacing w:after="165"/>
            </w:pPr>
            <w:r w:rsidRPr="00B92EA7">
              <w:t xml:space="preserve">Statistical Area Level 2 </w:t>
            </w:r>
          </w:p>
        </w:tc>
      </w:tr>
      <w:tr w:rsidR="00D545E3" w14:paraId="519C47A0"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673337F" w14:textId="77777777" w:rsidR="00D545E3" w:rsidRDefault="00D545E3" w:rsidP="00D545E3">
            <w:pPr>
              <w:spacing w:after="165"/>
            </w:pPr>
            <w:r w:rsidRPr="00B92EA7">
              <w:t>SA3</w:t>
            </w:r>
          </w:p>
        </w:tc>
        <w:tc>
          <w:tcPr>
            <w:tcW w:w="6803" w:type="dxa"/>
            <w:vAlign w:val="top"/>
          </w:tcPr>
          <w:p w14:paraId="3C8B933C" w14:textId="77777777" w:rsidR="00D545E3" w:rsidRDefault="00D545E3" w:rsidP="00D545E3">
            <w:pPr>
              <w:spacing w:after="165"/>
            </w:pPr>
            <w:r w:rsidRPr="00B92EA7">
              <w:t>Statistical Area Level 3</w:t>
            </w:r>
          </w:p>
        </w:tc>
      </w:tr>
      <w:tr w:rsidR="00D545E3" w14:paraId="4F486531"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7374B55D" w14:textId="77777777" w:rsidR="00D545E3" w:rsidRDefault="00D545E3" w:rsidP="00D545E3">
            <w:pPr>
              <w:spacing w:after="165"/>
            </w:pPr>
            <w:r w:rsidRPr="00B92EA7">
              <w:t xml:space="preserve">SEIFA </w:t>
            </w:r>
          </w:p>
        </w:tc>
        <w:tc>
          <w:tcPr>
            <w:tcW w:w="6803" w:type="dxa"/>
            <w:vAlign w:val="top"/>
          </w:tcPr>
          <w:p w14:paraId="5F5EB4BB" w14:textId="77777777" w:rsidR="00D545E3" w:rsidRDefault="00D545E3" w:rsidP="00D545E3">
            <w:pPr>
              <w:spacing w:after="165"/>
            </w:pPr>
            <w:r w:rsidRPr="00B92EA7">
              <w:t>Socio-Economic Index for Areas</w:t>
            </w:r>
          </w:p>
        </w:tc>
      </w:tr>
      <w:tr w:rsidR="00D545E3" w14:paraId="3AAEF8E7"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275EDAED" w14:textId="77777777" w:rsidR="00D545E3" w:rsidRDefault="00D545E3" w:rsidP="00D545E3">
            <w:pPr>
              <w:spacing w:after="165"/>
            </w:pPr>
            <w:r>
              <w:t>Tas</w:t>
            </w:r>
          </w:p>
        </w:tc>
        <w:tc>
          <w:tcPr>
            <w:tcW w:w="6803" w:type="dxa"/>
            <w:vAlign w:val="top"/>
          </w:tcPr>
          <w:p w14:paraId="7D016C91" w14:textId="77777777" w:rsidR="00D545E3" w:rsidRDefault="00D545E3" w:rsidP="00D545E3">
            <w:pPr>
              <w:spacing w:after="165"/>
            </w:pPr>
            <w:r>
              <w:t>Tasmania</w:t>
            </w:r>
          </w:p>
        </w:tc>
      </w:tr>
      <w:tr w:rsidR="00D545E3" w14:paraId="69841F40"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58F8411" w14:textId="77777777" w:rsidR="00D545E3" w:rsidRPr="00B92EA7" w:rsidRDefault="00D545E3" w:rsidP="00D545E3">
            <w:pPr>
              <w:spacing w:after="165"/>
            </w:pPr>
            <w:proofErr w:type="spellStart"/>
            <w:r>
              <w:t>ToR</w:t>
            </w:r>
            <w:proofErr w:type="spellEnd"/>
          </w:p>
        </w:tc>
        <w:tc>
          <w:tcPr>
            <w:tcW w:w="6803" w:type="dxa"/>
            <w:vAlign w:val="top"/>
          </w:tcPr>
          <w:p w14:paraId="4DCA6B53" w14:textId="77777777" w:rsidR="00D545E3" w:rsidRPr="00B92EA7" w:rsidRDefault="00D545E3" w:rsidP="00D545E3">
            <w:pPr>
              <w:spacing w:after="165"/>
            </w:pPr>
            <w:r>
              <w:t>Term(s) of Reference</w:t>
            </w:r>
          </w:p>
        </w:tc>
      </w:tr>
      <w:tr w:rsidR="00D545E3" w14:paraId="2A61BE34"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0CAFBAC3" w14:textId="77777777" w:rsidR="00D545E3" w:rsidRDefault="00D545E3" w:rsidP="00D545E3">
            <w:pPr>
              <w:spacing w:after="165"/>
            </w:pPr>
            <w:r>
              <w:t>UA</w:t>
            </w:r>
          </w:p>
        </w:tc>
        <w:tc>
          <w:tcPr>
            <w:tcW w:w="6803" w:type="dxa"/>
            <w:vAlign w:val="top"/>
          </w:tcPr>
          <w:p w14:paraId="4C9C7C84" w14:textId="77777777" w:rsidR="00D545E3" w:rsidRDefault="00D545E3" w:rsidP="00D545E3">
            <w:pPr>
              <w:spacing w:after="165"/>
            </w:pPr>
            <w:r w:rsidRPr="00B92EA7">
              <w:t>Universal Access</w:t>
            </w:r>
          </w:p>
        </w:tc>
      </w:tr>
      <w:tr w:rsidR="00D545E3" w14:paraId="0E75D4FA"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2CA9A1A" w14:textId="77777777" w:rsidR="00D545E3" w:rsidRPr="00B92EA7" w:rsidRDefault="00D545E3" w:rsidP="00D545E3">
            <w:pPr>
              <w:spacing w:after="165"/>
            </w:pPr>
            <w:r>
              <w:t>UANP</w:t>
            </w:r>
          </w:p>
        </w:tc>
        <w:tc>
          <w:tcPr>
            <w:tcW w:w="6803" w:type="dxa"/>
            <w:vAlign w:val="top"/>
          </w:tcPr>
          <w:p w14:paraId="31867651" w14:textId="77777777" w:rsidR="00D545E3" w:rsidRPr="00B92EA7" w:rsidRDefault="00D545E3" w:rsidP="00D545E3">
            <w:pPr>
              <w:spacing w:after="165"/>
            </w:pPr>
            <w:r>
              <w:t>National Partnership on Universal Access to Early Childhood Education</w:t>
            </w:r>
          </w:p>
        </w:tc>
      </w:tr>
      <w:tr w:rsidR="00D545E3" w14:paraId="443A4F54"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978333D" w14:textId="77777777" w:rsidR="00D545E3" w:rsidRDefault="00D545E3" w:rsidP="00D545E3">
            <w:pPr>
              <w:spacing w:after="165"/>
            </w:pPr>
            <w:r w:rsidRPr="00B92EA7">
              <w:t xml:space="preserve">VET </w:t>
            </w:r>
          </w:p>
        </w:tc>
        <w:tc>
          <w:tcPr>
            <w:tcW w:w="6803" w:type="dxa"/>
            <w:vAlign w:val="top"/>
          </w:tcPr>
          <w:p w14:paraId="7352A2BE" w14:textId="77777777" w:rsidR="00D545E3" w:rsidRDefault="00D545E3" w:rsidP="00D545E3">
            <w:pPr>
              <w:spacing w:after="165"/>
            </w:pPr>
            <w:r w:rsidRPr="00B92EA7">
              <w:t xml:space="preserve">Vocational Education and Training </w:t>
            </w:r>
          </w:p>
        </w:tc>
      </w:tr>
      <w:tr w:rsidR="00D545E3" w14:paraId="4FEA4B14"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0C02308C" w14:textId="77777777" w:rsidR="00D545E3" w:rsidRPr="00B92EA7" w:rsidRDefault="00D545E3" w:rsidP="00D545E3">
            <w:pPr>
              <w:spacing w:after="165"/>
            </w:pPr>
            <w:r>
              <w:t>Vic</w:t>
            </w:r>
          </w:p>
        </w:tc>
        <w:tc>
          <w:tcPr>
            <w:tcW w:w="6803" w:type="dxa"/>
            <w:vAlign w:val="top"/>
          </w:tcPr>
          <w:p w14:paraId="4B0D14F8" w14:textId="77777777" w:rsidR="00D545E3" w:rsidRPr="00B92EA7" w:rsidRDefault="00D545E3" w:rsidP="00D545E3">
            <w:pPr>
              <w:spacing w:after="165"/>
            </w:pPr>
            <w:r>
              <w:t>Victoria</w:t>
            </w:r>
          </w:p>
        </w:tc>
      </w:tr>
      <w:tr w:rsidR="00D545E3" w14:paraId="767583C8" w14:textId="77777777" w:rsidTr="00D545E3">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A4F2810" w14:textId="77777777" w:rsidR="00D545E3" w:rsidRPr="00B92EA7" w:rsidRDefault="00D545E3" w:rsidP="00D545E3">
            <w:pPr>
              <w:spacing w:after="165"/>
            </w:pPr>
            <w:r>
              <w:lastRenderedPageBreak/>
              <w:t>WA</w:t>
            </w:r>
          </w:p>
        </w:tc>
        <w:tc>
          <w:tcPr>
            <w:tcW w:w="6803" w:type="dxa"/>
            <w:vAlign w:val="top"/>
          </w:tcPr>
          <w:p w14:paraId="79C0D9EE" w14:textId="77777777" w:rsidR="00D545E3" w:rsidRPr="00B92EA7" w:rsidRDefault="00D545E3" w:rsidP="00D545E3">
            <w:pPr>
              <w:spacing w:after="165"/>
            </w:pPr>
            <w:r>
              <w:t>Western Australia</w:t>
            </w:r>
          </w:p>
        </w:tc>
      </w:tr>
      <w:tr w:rsidR="00D545E3" w14:paraId="354878BA" w14:textId="77777777" w:rsidTr="00D545E3">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54D8778" w14:textId="77777777" w:rsidR="00D545E3" w:rsidRDefault="00D545E3" w:rsidP="00D545E3">
            <w:pPr>
              <w:spacing w:after="165"/>
            </w:pPr>
            <w:r w:rsidRPr="00B92EA7">
              <w:t xml:space="preserve">YBFS </w:t>
            </w:r>
          </w:p>
        </w:tc>
        <w:tc>
          <w:tcPr>
            <w:tcW w:w="6803" w:type="dxa"/>
            <w:vAlign w:val="top"/>
          </w:tcPr>
          <w:p w14:paraId="5A52CB27" w14:textId="77777777" w:rsidR="00D545E3" w:rsidRDefault="00D545E3" w:rsidP="00D545E3">
            <w:pPr>
              <w:spacing w:after="165"/>
            </w:pPr>
            <w:r w:rsidRPr="00B92EA7">
              <w:t>Year before full-time school</w:t>
            </w:r>
          </w:p>
        </w:tc>
      </w:tr>
    </w:tbl>
    <w:p w14:paraId="384C3E14" w14:textId="77777777" w:rsidR="00D545E3" w:rsidRDefault="00D545E3" w:rsidP="00BA0D3C"/>
    <w:p w14:paraId="5FF65C2E" w14:textId="77777777" w:rsidR="00D545E3" w:rsidRPr="00D545E3" w:rsidRDefault="00D545E3" w:rsidP="00D545E3"/>
    <w:p w14:paraId="093B4587" w14:textId="77777777" w:rsidR="00A54320" w:rsidRDefault="00A54320" w:rsidP="00A54320">
      <w:pPr>
        <w:pStyle w:val="xAppendixLevel1"/>
      </w:pPr>
      <w:bookmarkStart w:id="267" w:name="_Toc24559613"/>
      <w:bookmarkStart w:id="268" w:name="_Toc54597801"/>
      <w:r>
        <w:lastRenderedPageBreak/>
        <w:t>Glossary</w:t>
      </w:r>
      <w:bookmarkEnd w:id="267"/>
      <w:bookmarkEnd w:id="268"/>
    </w:p>
    <w:tbl>
      <w:tblPr>
        <w:tblStyle w:val="TableGrid"/>
        <w:tblW w:w="9015" w:type="dxa"/>
        <w:tblLook w:val="04A0" w:firstRow="1" w:lastRow="0" w:firstColumn="1" w:lastColumn="0" w:noHBand="0" w:noVBand="1"/>
      </w:tblPr>
      <w:tblGrid>
        <w:gridCol w:w="1894"/>
        <w:gridCol w:w="7121"/>
      </w:tblGrid>
      <w:tr w:rsidR="00A54320" w14:paraId="0F1B015A" w14:textId="77777777" w:rsidTr="00A54320">
        <w:trPr>
          <w:cnfStyle w:val="100000000000" w:firstRow="1" w:lastRow="0" w:firstColumn="0" w:lastColumn="0" w:oddVBand="0" w:evenVBand="0" w:oddHBand="0" w:evenHBand="0" w:firstRowFirstColumn="0" w:firstRowLastColumn="0" w:lastRowFirstColumn="0" w:lastRowLastColumn="0"/>
          <w:cantSplit w:val="0"/>
          <w:tblHeader w:val="0"/>
        </w:trPr>
        <w:tc>
          <w:tcPr>
            <w:tcW w:w="18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E70656" w14:textId="77777777" w:rsidR="00A54320" w:rsidRDefault="00A54320" w:rsidP="00A54320">
            <w:pPr>
              <w:pStyle w:val="TableNheader"/>
              <w:rPr>
                <w:lang w:eastAsia="en-AU"/>
              </w:rPr>
            </w:pPr>
            <w:r>
              <w:rPr>
                <w:lang w:eastAsia="en-AU"/>
              </w:rPr>
              <w:t>Term</w:t>
            </w:r>
          </w:p>
        </w:tc>
        <w:tc>
          <w:tcPr>
            <w:tcW w:w="71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EAF738" w14:textId="77777777" w:rsidR="00A54320" w:rsidRDefault="00A54320" w:rsidP="00A54320">
            <w:pPr>
              <w:pStyle w:val="TableNheader"/>
              <w:rPr>
                <w:lang w:eastAsia="en-AU"/>
              </w:rPr>
            </w:pPr>
            <w:r>
              <w:rPr>
                <w:lang w:eastAsia="en-AU"/>
              </w:rPr>
              <w:t>Meaning</w:t>
            </w:r>
          </w:p>
        </w:tc>
      </w:tr>
      <w:tr w:rsidR="00A54320" w14:paraId="319BF79F" w14:textId="77777777" w:rsidTr="00A54320">
        <w:trPr>
          <w:cnfStyle w:val="000000100000" w:firstRow="0" w:lastRow="0" w:firstColumn="0" w:lastColumn="0" w:oddVBand="0" w:evenVBand="0" w:oddHBand="1" w:evenHBand="0" w:firstRowFirstColumn="0" w:firstRowLastColumn="0" w:lastRowFirstColumn="0" w:lastRowLastColumn="0"/>
        </w:trPr>
        <w:tc>
          <w:tcPr>
            <w:tcW w:w="1894" w:type="dxa"/>
          </w:tcPr>
          <w:p w14:paraId="1A0FA3A7" w14:textId="77777777" w:rsidR="00A54320" w:rsidRDefault="00A54320" w:rsidP="00A54320">
            <w:pPr>
              <w:spacing w:after="165"/>
            </w:pPr>
            <w:r>
              <w:t>Early Years Learning Framework</w:t>
            </w:r>
          </w:p>
        </w:tc>
        <w:tc>
          <w:tcPr>
            <w:tcW w:w="7121" w:type="dxa"/>
          </w:tcPr>
          <w:p w14:paraId="6505FBDB" w14:textId="670ACE58" w:rsidR="00A54320" w:rsidRDefault="00A54320" w:rsidP="00A54320">
            <w:pPr>
              <w:spacing w:after="165"/>
              <w:rPr>
                <w:rFonts w:eastAsia="Times New Roman" w:cs="Times New Roman"/>
                <w:lang w:eastAsia="en-AU"/>
              </w:rPr>
            </w:pPr>
            <w:r w:rsidRPr="0C5679B2">
              <w:rPr>
                <w:rFonts w:eastAsia="Times New Roman" w:cs="Times New Roman"/>
                <w:lang w:eastAsia="en-AU"/>
              </w:rPr>
              <w:t xml:space="preserve">The </w:t>
            </w:r>
            <w:hyperlink r:id="rId70" w:history="1">
              <w:r w:rsidRPr="0C5679B2">
                <w:rPr>
                  <w:rStyle w:val="Hyperlink"/>
                  <w:rFonts w:eastAsia="Times New Roman" w:cs="Times New Roman"/>
                  <w:lang w:eastAsia="en-AU"/>
                </w:rPr>
                <w:t>Early Years Learning Framework</w:t>
              </w:r>
            </w:hyperlink>
            <w:r w:rsidRPr="0C5679B2">
              <w:rPr>
                <w:rFonts w:eastAsia="Times New Roman" w:cs="Times New Roman"/>
                <w:lang w:eastAsia="en-AU"/>
              </w:rPr>
              <w:t xml:space="preserve"> (EYLF) describes the principles, practices and outcomes that support and enhance young children's learning from birth to five years of age, as well as their transition to school. The framework is a key component of the National Quality Framework for early childhood education and care. The EYLF was developed by the Australian and </w:t>
            </w:r>
            <w:r w:rsidR="001975C0">
              <w:rPr>
                <w:rFonts w:eastAsia="Times New Roman" w:cs="Times New Roman"/>
                <w:lang w:eastAsia="en-AU"/>
              </w:rPr>
              <w:t>S</w:t>
            </w:r>
            <w:r w:rsidRPr="0C5679B2">
              <w:rPr>
                <w:rFonts w:eastAsia="Times New Roman" w:cs="Times New Roman"/>
                <w:lang w:eastAsia="en-AU"/>
              </w:rPr>
              <w:t xml:space="preserve">tate and </w:t>
            </w:r>
            <w:r w:rsidR="001975C0">
              <w:rPr>
                <w:rFonts w:eastAsia="Times New Roman" w:cs="Times New Roman"/>
                <w:lang w:eastAsia="en-AU"/>
              </w:rPr>
              <w:t>T</w:t>
            </w:r>
            <w:r w:rsidRPr="0C5679B2">
              <w:rPr>
                <w:rFonts w:eastAsia="Times New Roman" w:cs="Times New Roman"/>
                <w:lang w:eastAsia="en-AU"/>
              </w:rPr>
              <w:t>erritory governments with input from the early childhood sector and early childhood academics.</w:t>
            </w:r>
          </w:p>
        </w:tc>
      </w:tr>
      <w:tr w:rsidR="00A54320" w14:paraId="612C5EAB" w14:textId="77777777" w:rsidTr="00A54320">
        <w:trPr>
          <w:cnfStyle w:val="000000010000" w:firstRow="0" w:lastRow="0" w:firstColumn="0" w:lastColumn="0" w:oddVBand="0" w:evenVBand="0" w:oddHBand="0" w:evenHBand="1" w:firstRowFirstColumn="0" w:firstRowLastColumn="0" w:lastRowFirstColumn="0" w:lastRowLastColumn="0"/>
        </w:trPr>
        <w:tc>
          <w:tcPr>
            <w:tcW w:w="1894" w:type="dxa"/>
          </w:tcPr>
          <w:p w14:paraId="47775A4A" w14:textId="77777777" w:rsidR="00A54320" w:rsidRDefault="00A54320" w:rsidP="00A54320">
            <w:pPr>
              <w:spacing w:after="165"/>
            </w:pPr>
            <w:r>
              <w:t>Full-time school</w:t>
            </w:r>
          </w:p>
        </w:tc>
        <w:tc>
          <w:tcPr>
            <w:tcW w:w="7121" w:type="dxa"/>
          </w:tcPr>
          <w:p w14:paraId="48CFA651" w14:textId="77777777" w:rsidR="00A54320" w:rsidRDefault="00A54320" w:rsidP="00A54320">
            <w:pPr>
              <w:spacing w:after="165"/>
            </w:pPr>
            <w:r>
              <w:t>T</w:t>
            </w:r>
            <w:r w:rsidRPr="00425A58">
              <w:t>he provision of full-time day primary or secondary education or the provision of primary or secondary distance education</w:t>
            </w:r>
            <w:r>
              <w:t>.</w:t>
            </w:r>
          </w:p>
        </w:tc>
      </w:tr>
      <w:tr w:rsidR="00A54320" w14:paraId="6618F871" w14:textId="77777777" w:rsidTr="00A54320">
        <w:trPr>
          <w:cnfStyle w:val="000000100000" w:firstRow="0" w:lastRow="0" w:firstColumn="0" w:lastColumn="0" w:oddVBand="0" w:evenVBand="0" w:oddHBand="1" w:evenHBand="0" w:firstRowFirstColumn="0" w:firstRowLastColumn="0" w:lastRowFirstColumn="0" w:lastRowLastColumn="0"/>
        </w:trPr>
        <w:tc>
          <w:tcPr>
            <w:tcW w:w="1894" w:type="dxa"/>
          </w:tcPr>
          <w:p w14:paraId="7E38BFE0" w14:textId="77777777" w:rsidR="00A54320" w:rsidRDefault="00A54320" w:rsidP="00A54320">
            <w:pPr>
              <w:spacing w:after="165"/>
            </w:pPr>
            <w:r w:rsidRPr="0C5679B2">
              <w:rPr>
                <w:rFonts w:eastAsia="Times New Roman" w:cs="Times New Roman"/>
                <w:lang w:eastAsia="en-AU"/>
              </w:rPr>
              <w:t>Indigenous</w:t>
            </w:r>
          </w:p>
        </w:tc>
        <w:tc>
          <w:tcPr>
            <w:tcW w:w="7121" w:type="dxa"/>
          </w:tcPr>
          <w:p w14:paraId="6225FAF2" w14:textId="77777777" w:rsidR="00A54320" w:rsidRDefault="00A54320" w:rsidP="00A54320">
            <w:pPr>
              <w:spacing w:after="165"/>
            </w:pPr>
            <w:r>
              <w:t>People who identify as Aboriginal and Torres Strait Islander.</w:t>
            </w:r>
          </w:p>
        </w:tc>
      </w:tr>
      <w:tr w:rsidR="00A54320" w14:paraId="76A009E3" w14:textId="77777777" w:rsidTr="00A54320">
        <w:trPr>
          <w:cnfStyle w:val="000000010000" w:firstRow="0" w:lastRow="0" w:firstColumn="0" w:lastColumn="0" w:oddVBand="0" w:evenVBand="0" w:oddHBand="0" w:evenHBand="1" w:firstRowFirstColumn="0" w:firstRowLastColumn="0" w:lastRowFirstColumn="0" w:lastRowLastColumn="0"/>
          <w:trHeight w:val="23"/>
        </w:trPr>
        <w:tc>
          <w:tcPr>
            <w:tcW w:w="1894" w:type="dxa"/>
          </w:tcPr>
          <w:p w14:paraId="670001C8" w14:textId="77777777" w:rsidR="00A54320" w:rsidRDefault="00A54320" w:rsidP="00A54320">
            <w:pPr>
              <w:spacing w:after="165"/>
            </w:pPr>
            <w:r>
              <w:t>National Assessment Plan – Literacy and Numeracy (NAPLAN)</w:t>
            </w:r>
          </w:p>
        </w:tc>
        <w:tc>
          <w:tcPr>
            <w:tcW w:w="7121" w:type="dxa"/>
          </w:tcPr>
          <w:p w14:paraId="065143BB" w14:textId="77777777" w:rsidR="00A54320" w:rsidRDefault="00A54320" w:rsidP="00A54320">
            <w:pPr>
              <w:spacing w:after="165"/>
            </w:pPr>
            <w:r>
              <w:t>An annual national assessment for students in Years 3, 5, 7 and 9. NAPLAN tests skills in literacy and numeracy that are developed over time through the school curriculum.</w:t>
            </w:r>
          </w:p>
        </w:tc>
      </w:tr>
      <w:tr w:rsidR="00A54320" w14:paraId="07BE33F6" w14:textId="77777777" w:rsidTr="00A54320">
        <w:trPr>
          <w:cnfStyle w:val="000000100000" w:firstRow="0" w:lastRow="0" w:firstColumn="0" w:lastColumn="0" w:oddVBand="0" w:evenVBand="0" w:oddHBand="1" w:evenHBand="0" w:firstRowFirstColumn="0" w:firstRowLastColumn="0" w:lastRowFirstColumn="0" w:lastRowLastColumn="0"/>
        </w:trPr>
        <w:tc>
          <w:tcPr>
            <w:tcW w:w="1894" w:type="dxa"/>
          </w:tcPr>
          <w:p w14:paraId="74A84911" w14:textId="77777777" w:rsidR="00A54320" w:rsidRDefault="00A54320" w:rsidP="00A54320">
            <w:pPr>
              <w:spacing w:after="165"/>
            </w:pPr>
            <w:r>
              <w:t>National Collection</w:t>
            </w:r>
          </w:p>
        </w:tc>
        <w:tc>
          <w:tcPr>
            <w:tcW w:w="7121" w:type="dxa"/>
          </w:tcPr>
          <w:p w14:paraId="7707F7E6" w14:textId="77777777" w:rsidR="00A54320" w:rsidRDefault="00A54320" w:rsidP="00A54320">
            <w:pPr>
              <w:spacing w:after="165"/>
            </w:pPr>
            <w:r>
              <w:t>The National Early Childhood Education and Care Collection published by the ABS in catalogue number 4240.0. Preschool Education, Australia, 2018 and previous versions.</w:t>
            </w:r>
          </w:p>
        </w:tc>
      </w:tr>
      <w:tr w:rsidR="00A54320" w14:paraId="0498707B" w14:textId="77777777" w:rsidTr="00A54320">
        <w:trPr>
          <w:cnfStyle w:val="000000010000" w:firstRow="0" w:lastRow="0" w:firstColumn="0" w:lastColumn="0" w:oddVBand="0" w:evenVBand="0" w:oddHBand="0" w:evenHBand="1" w:firstRowFirstColumn="0" w:firstRowLastColumn="0" w:lastRowFirstColumn="0" w:lastRowLastColumn="0"/>
        </w:trPr>
        <w:tc>
          <w:tcPr>
            <w:tcW w:w="1894" w:type="dxa"/>
          </w:tcPr>
          <w:p w14:paraId="26DC0C28" w14:textId="77777777" w:rsidR="00A54320" w:rsidRPr="00802F2F" w:rsidRDefault="00A54320" w:rsidP="00A54320">
            <w:pPr>
              <w:spacing w:after="165"/>
            </w:pPr>
            <w:r>
              <w:t xml:space="preserve">Preschool program (also) ‘preschool’ </w:t>
            </w:r>
          </w:p>
        </w:tc>
        <w:tc>
          <w:tcPr>
            <w:tcW w:w="7121" w:type="dxa"/>
          </w:tcPr>
          <w:p w14:paraId="62CB1F50" w14:textId="77777777" w:rsidR="00A54320" w:rsidRDefault="00A54320" w:rsidP="00A54320">
            <w:pPr>
              <w:spacing w:after="165"/>
            </w:pPr>
            <w:bookmarkStart w:id="269" w:name="_Hlk24634193"/>
            <w:r>
              <w:t xml:space="preserve">A structured, play-based early childhood education </w:t>
            </w:r>
            <w:r w:rsidR="003C11BE">
              <w:t xml:space="preserve">program </w:t>
            </w:r>
            <w:r>
              <w:t xml:space="preserve">delivered by a qualified early childhood teacher </w:t>
            </w:r>
            <w:r w:rsidRPr="00242843">
              <w:t xml:space="preserve">in accordance with the Early Years </w:t>
            </w:r>
            <w:r>
              <w:t xml:space="preserve">Learning </w:t>
            </w:r>
            <w:r w:rsidRPr="00242843">
              <w:t xml:space="preserve">Framework and the National Quality </w:t>
            </w:r>
            <w:r w:rsidR="00E06302">
              <w:t>Framework</w:t>
            </w:r>
            <w:r>
              <w:t>.</w:t>
            </w:r>
            <w:r w:rsidRPr="001B4F9D">
              <w:t xml:space="preserve"> </w:t>
            </w:r>
          </w:p>
          <w:bookmarkEnd w:id="269"/>
          <w:p w14:paraId="257D3687" w14:textId="77777777" w:rsidR="00A54320" w:rsidRDefault="00A54320" w:rsidP="00A54320">
            <w:pPr>
              <w:spacing w:after="165"/>
            </w:pPr>
            <w:r>
              <w:t>S</w:t>
            </w:r>
            <w:r w:rsidRPr="001B4F9D">
              <w:t xml:space="preserve">tates and </w:t>
            </w:r>
            <w:r>
              <w:t>T</w:t>
            </w:r>
            <w:r w:rsidRPr="001B4F9D">
              <w:t>erritories, local government, no</w:t>
            </w:r>
            <w:r>
              <w:t>t</w:t>
            </w:r>
            <w:r w:rsidRPr="001B4F9D">
              <w:t>-for-profit organisations and</w:t>
            </w:r>
            <w:r>
              <w:t>/or</w:t>
            </w:r>
            <w:r w:rsidRPr="001B4F9D">
              <w:t xml:space="preserve"> private operators</w:t>
            </w:r>
            <w:r>
              <w:t xml:space="preserve"> deliver preschool programs in a variety of </w:t>
            </w:r>
            <w:r w:rsidRPr="001B4F9D">
              <w:t>settings</w:t>
            </w:r>
            <w:r>
              <w:t>, including s</w:t>
            </w:r>
            <w:r w:rsidRPr="00952E50">
              <w:t>chool</w:t>
            </w:r>
            <w:r>
              <w:t xml:space="preserve">-based programs </w:t>
            </w:r>
            <w:r w:rsidRPr="00952E50">
              <w:t>(</w:t>
            </w:r>
            <w:r>
              <w:t>g</w:t>
            </w:r>
            <w:r w:rsidRPr="00952E50">
              <w:t>overnment and non-government)</w:t>
            </w:r>
            <w:r>
              <w:t>, standalone</w:t>
            </w:r>
            <w:r w:rsidRPr="00952E50">
              <w:t xml:space="preserve"> </w:t>
            </w:r>
            <w:r>
              <w:t xml:space="preserve">facilities and in centre-based day care (CBDC). </w:t>
            </w:r>
          </w:p>
          <w:p w14:paraId="4FA19330" w14:textId="77777777" w:rsidR="00A54320" w:rsidRDefault="00A54320" w:rsidP="00A54320">
            <w:pPr>
              <w:spacing w:after="165"/>
              <w:rPr>
                <w:rFonts w:eastAsia="Times New Roman" w:cs="Times New Roman"/>
                <w:lang w:eastAsia="en-AU"/>
              </w:rPr>
            </w:pPr>
            <w:r>
              <w:t>The terms used for these programs vary across the country – they are referred to</w:t>
            </w:r>
            <w:r w:rsidRPr="00212CC5">
              <w:t xml:space="preserve"> </w:t>
            </w:r>
            <w:r>
              <w:t xml:space="preserve">variously as </w:t>
            </w:r>
            <w:r w:rsidRPr="00212CC5">
              <w:t>preschool</w:t>
            </w:r>
            <w:r>
              <w:t xml:space="preserve">, </w:t>
            </w:r>
            <w:r w:rsidRPr="00212CC5">
              <w:t xml:space="preserve">kindergarten </w:t>
            </w:r>
            <w:r>
              <w:t>or Pre-Prep.</w:t>
            </w:r>
          </w:p>
        </w:tc>
      </w:tr>
      <w:tr w:rsidR="003E0899" w:rsidDel="00E122A1" w14:paraId="3BCC6A1F" w14:textId="77777777" w:rsidTr="00802F2F">
        <w:trPr>
          <w:cnfStyle w:val="000000100000" w:firstRow="0" w:lastRow="0" w:firstColumn="0" w:lastColumn="0" w:oddVBand="0" w:evenVBand="0" w:oddHBand="1" w:evenHBand="0" w:firstRowFirstColumn="0" w:firstRowLastColumn="0" w:lastRowFirstColumn="0" w:lastRowLastColumn="0"/>
        </w:trPr>
        <w:tc>
          <w:tcPr>
            <w:tcW w:w="1894" w:type="dxa"/>
          </w:tcPr>
          <w:p w14:paraId="671FE291" w14:textId="77777777" w:rsidR="003E0899" w:rsidDel="00E122A1" w:rsidRDefault="003E0899" w:rsidP="00A54320">
            <w:pPr>
              <w:spacing w:after="165"/>
            </w:pPr>
            <w:r w:rsidDel="001459CE">
              <w:t>Universal access</w:t>
            </w:r>
          </w:p>
        </w:tc>
        <w:tc>
          <w:tcPr>
            <w:tcW w:w="7121" w:type="dxa"/>
            <w:vAlign w:val="top"/>
          </w:tcPr>
          <w:p w14:paraId="4D43C43E" w14:textId="77777777" w:rsidR="003E0899" w:rsidDel="00E122A1" w:rsidRDefault="004916DE" w:rsidP="00A54320">
            <w:pPr>
              <w:spacing w:after="165"/>
            </w:pPr>
            <w:r>
              <w:t>Quality early childhood education programs for all children enrolled in the year before full-time school for 600 hours per year, delivered by a qualified early childhood teacher who meets NQF requirements, and with a focus on participation by Indigenous and vulnerable and disadvantaged children, regardless of the setting in which programs are delivered</w:t>
            </w:r>
          </w:p>
        </w:tc>
      </w:tr>
    </w:tbl>
    <w:p w14:paraId="2C0FFACF" w14:textId="77777777" w:rsidR="00D545E3" w:rsidRDefault="00D545E3" w:rsidP="00D545E3"/>
    <w:p w14:paraId="7C159EFA" w14:textId="77777777" w:rsidR="00D545E3" w:rsidRDefault="00D545E3" w:rsidP="00D545E3">
      <w:pPr>
        <w:pStyle w:val="xAppendixLevel1"/>
      </w:pPr>
      <w:bookmarkStart w:id="270" w:name="_Ref24559412"/>
      <w:bookmarkStart w:id="271" w:name="_Toc24559614"/>
      <w:bookmarkStart w:id="272" w:name="_Toc54597802"/>
      <w:r w:rsidRPr="00FE69A9">
        <w:lastRenderedPageBreak/>
        <w:t xml:space="preserve">UANP </w:t>
      </w:r>
      <w:r>
        <w:t>performance framework</w:t>
      </w:r>
      <w:bookmarkEnd w:id="270"/>
      <w:bookmarkEnd w:id="271"/>
      <w:bookmarkEnd w:id="272"/>
    </w:p>
    <w:p w14:paraId="6480DD78" w14:textId="3C4BD2E3" w:rsidR="00D545E3" w:rsidRDefault="00F6258C" w:rsidP="00D545E3">
      <w:pPr>
        <w:rPr>
          <w:lang w:eastAsia="en-AU"/>
        </w:rPr>
      </w:pPr>
      <w:r>
        <w:fldChar w:fldCharType="begin"/>
      </w:r>
      <w:r>
        <w:instrText xml:space="preserve"> REF _Ref24559130 \h </w:instrText>
      </w:r>
      <w:r>
        <w:fldChar w:fldCharType="separate"/>
      </w:r>
      <w:r w:rsidR="00B37785">
        <w:t xml:space="preserve">Table </w:t>
      </w:r>
      <w:r w:rsidR="00B37785">
        <w:rPr>
          <w:noProof/>
        </w:rPr>
        <w:t>9</w:t>
      </w:r>
      <w:r>
        <w:fldChar w:fldCharType="end"/>
      </w:r>
      <w:r w:rsidR="00D545E3">
        <w:rPr>
          <w:lang w:eastAsia="en-AU"/>
        </w:rPr>
        <w:t xml:space="preserve"> lists the </w:t>
      </w:r>
      <w:r w:rsidR="00D545E3" w:rsidRPr="00FE69A9">
        <w:rPr>
          <w:lang w:eastAsia="en-AU"/>
        </w:rPr>
        <w:t xml:space="preserve">outcomes, outputs, </w:t>
      </w:r>
      <w:r w:rsidR="00FC42C6">
        <w:rPr>
          <w:lang w:eastAsia="en-AU"/>
        </w:rPr>
        <w:t>p</w:t>
      </w:r>
      <w:r w:rsidR="00D545E3">
        <w:rPr>
          <w:lang w:eastAsia="en-AU"/>
        </w:rPr>
        <w:t xml:space="preserve">erformance </w:t>
      </w:r>
      <w:r w:rsidR="00FC42C6">
        <w:rPr>
          <w:lang w:eastAsia="en-AU"/>
        </w:rPr>
        <w:t>i</w:t>
      </w:r>
      <w:r w:rsidR="00D545E3">
        <w:rPr>
          <w:lang w:eastAsia="en-AU"/>
        </w:rPr>
        <w:t>ndicator</w:t>
      </w:r>
      <w:r w:rsidR="00D545E3" w:rsidRPr="00FE69A9">
        <w:rPr>
          <w:lang w:eastAsia="en-AU"/>
        </w:rPr>
        <w:t>s and performance benchmarks</w:t>
      </w:r>
      <w:r w:rsidR="00D545E3">
        <w:rPr>
          <w:lang w:eastAsia="en-AU"/>
        </w:rPr>
        <w:t xml:space="preserve"> in the </w:t>
      </w:r>
      <w:r w:rsidR="00D545E3" w:rsidRPr="00FE69A9">
        <w:rPr>
          <w:lang w:eastAsia="en-AU"/>
        </w:rPr>
        <w:t>2018-2019 National Partnership on Universal Access to Early Childhood Education</w:t>
      </w:r>
      <w:r w:rsidR="00D545E3">
        <w:rPr>
          <w:lang w:eastAsia="en-AU"/>
        </w:rPr>
        <w:t>.</w:t>
      </w:r>
    </w:p>
    <w:p w14:paraId="3EBD4027" w14:textId="1B7F4ABA" w:rsidR="00D545E3" w:rsidRDefault="00D545E3" w:rsidP="00D545E3">
      <w:pPr>
        <w:pStyle w:val="Caption"/>
      </w:pPr>
      <w:bookmarkStart w:id="273" w:name="_Ref24559130"/>
      <w:r>
        <w:t xml:space="preserve">Table </w:t>
      </w:r>
      <w:r>
        <w:fldChar w:fldCharType="begin"/>
      </w:r>
      <w:r>
        <w:instrText xml:space="preserve"> SEQ Table \* ARABIC </w:instrText>
      </w:r>
      <w:r>
        <w:fldChar w:fldCharType="separate"/>
      </w:r>
      <w:r w:rsidR="00B37785">
        <w:rPr>
          <w:noProof/>
        </w:rPr>
        <w:t>9</w:t>
      </w:r>
      <w:r>
        <w:fldChar w:fldCharType="end"/>
      </w:r>
      <w:bookmarkEnd w:id="273"/>
      <w:r>
        <w:t xml:space="preserve"> | The UANP Performance Framework</w:t>
      </w:r>
    </w:p>
    <w:tbl>
      <w:tblPr>
        <w:tblStyle w:val="TableGrid"/>
        <w:tblW w:w="0" w:type="auto"/>
        <w:tblLook w:val="04A0" w:firstRow="1" w:lastRow="0" w:firstColumn="1" w:lastColumn="0" w:noHBand="0" w:noVBand="1"/>
      </w:tblPr>
      <w:tblGrid>
        <w:gridCol w:w="1985"/>
        <w:gridCol w:w="2126"/>
        <w:gridCol w:w="2268"/>
        <w:gridCol w:w="2551"/>
      </w:tblGrid>
      <w:tr w:rsidR="00D545E3" w14:paraId="65478B6D" w14:textId="77777777" w:rsidTr="00D545E3">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2DFCC" w14:textId="77777777" w:rsidR="00D545E3" w:rsidRPr="00963026" w:rsidRDefault="00D545E3" w:rsidP="00D545E3">
            <w:pPr>
              <w:pStyle w:val="Bullet"/>
              <w:rPr>
                <w:rFonts w:ascii="Segoe UI Semibold" w:hAnsi="Segoe UI Semibold" w:cs="Segoe UI Semibold"/>
              </w:rPr>
            </w:pPr>
            <w:r w:rsidRPr="00963026">
              <w:rPr>
                <w:rFonts w:ascii="Segoe UI Semibold" w:hAnsi="Segoe UI Semibold" w:cs="Segoe UI Semibold"/>
              </w:rPr>
              <w:t xml:space="preserve">Outcomes </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6087D2" w14:textId="77777777" w:rsidR="00D545E3" w:rsidRPr="00963026" w:rsidRDefault="00D545E3" w:rsidP="00D545E3">
            <w:pPr>
              <w:pStyle w:val="Bullet"/>
              <w:rPr>
                <w:rFonts w:ascii="Segoe UI Semibold" w:hAnsi="Segoe UI Semibold" w:cs="Segoe UI Semibold"/>
              </w:rPr>
            </w:pPr>
            <w:r w:rsidRPr="00963026">
              <w:rPr>
                <w:rFonts w:ascii="Segoe UI Semibold" w:hAnsi="Segoe UI Semibold" w:cs="Segoe UI Semibold"/>
              </w:rPr>
              <w:t xml:space="preserve">Outputs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478716" w14:textId="77777777" w:rsidR="00D545E3" w:rsidRPr="00963026" w:rsidRDefault="00D545E3" w:rsidP="00D545E3">
            <w:pPr>
              <w:pStyle w:val="Bullet"/>
              <w:rPr>
                <w:rFonts w:ascii="Segoe UI Semibold" w:hAnsi="Segoe UI Semibold" w:cs="Segoe UI Semibold"/>
              </w:rPr>
            </w:pPr>
            <w:r>
              <w:rPr>
                <w:rFonts w:ascii="Segoe UI Semibold" w:hAnsi="Segoe UI Semibold" w:cs="Segoe UI Semibold"/>
              </w:rPr>
              <w:t xml:space="preserve">Performance </w:t>
            </w:r>
            <w:r w:rsidR="00FC42C6">
              <w:rPr>
                <w:rFonts w:ascii="Segoe UI Semibold" w:hAnsi="Segoe UI Semibold" w:cs="Segoe UI Semibold"/>
              </w:rPr>
              <w:t>i</w:t>
            </w:r>
            <w:r>
              <w:rPr>
                <w:rFonts w:ascii="Segoe UI Semibold" w:hAnsi="Segoe UI Semibold" w:cs="Segoe UI Semibold"/>
              </w:rPr>
              <w:t>ndicator</w:t>
            </w:r>
            <w:r w:rsidRPr="00963026">
              <w:rPr>
                <w:rFonts w:ascii="Segoe UI Semibold" w:hAnsi="Segoe UI Semibold" w:cs="Segoe UI Semibold"/>
              </w:rPr>
              <w:t xml:space="preserve">s </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64451" w14:textId="77777777" w:rsidR="00D545E3" w:rsidRPr="00963026" w:rsidRDefault="00D545E3" w:rsidP="00D545E3">
            <w:pPr>
              <w:pStyle w:val="Bullet"/>
              <w:rPr>
                <w:rFonts w:ascii="Segoe UI Semibold" w:hAnsi="Segoe UI Semibold" w:cs="Segoe UI Semibold"/>
              </w:rPr>
            </w:pPr>
            <w:r w:rsidRPr="00963026">
              <w:rPr>
                <w:rFonts w:ascii="Segoe UI Semibold" w:hAnsi="Segoe UI Semibold" w:cs="Segoe UI Semibold"/>
              </w:rPr>
              <w:t xml:space="preserve">Performance benchmarks/ targets </w:t>
            </w:r>
          </w:p>
        </w:tc>
      </w:tr>
      <w:tr w:rsidR="00D545E3" w14:paraId="63BE8F43" w14:textId="77777777" w:rsidTr="00D545E3">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042601CB" w14:textId="77777777" w:rsidR="00064756" w:rsidRDefault="00064756" w:rsidP="00064756">
            <w:pPr>
              <w:pStyle w:val="TableNText"/>
            </w:pPr>
            <w:r w:rsidRPr="00397140">
              <w:t xml:space="preserve">Providing universal access to and improving participation of all children in affordable, quality early childhood education program(s), including that: </w:t>
            </w:r>
          </w:p>
          <w:p w14:paraId="411F70D5" w14:textId="77777777" w:rsidR="00064756" w:rsidRDefault="00064756" w:rsidP="00064756">
            <w:pPr>
              <w:pStyle w:val="TableNBullet"/>
            </w:pPr>
            <w:r>
              <w:t xml:space="preserve">i. </w:t>
            </w:r>
            <w:r w:rsidRPr="00397140">
              <w:t xml:space="preserve">vulnerable and disadvantaged children have access to, and participate in, an affordable, quality early childhood education </w:t>
            </w:r>
            <w:proofErr w:type="gramStart"/>
            <w:r w:rsidRPr="00397140">
              <w:t>program;</w:t>
            </w:r>
            <w:proofErr w:type="gramEnd"/>
            <w:r w:rsidRPr="00397140">
              <w:t xml:space="preserve"> </w:t>
            </w:r>
          </w:p>
          <w:p w14:paraId="6E387C09" w14:textId="77777777" w:rsidR="00064756" w:rsidRDefault="00064756" w:rsidP="00064756">
            <w:pPr>
              <w:pStyle w:val="TableNBullet"/>
            </w:pPr>
            <w:r w:rsidRPr="00397140">
              <w:t>ii. Indigenous children have access to, and participate in, an affordable, quality early childhood education program; and</w:t>
            </w:r>
          </w:p>
          <w:p w14:paraId="3F6589DF" w14:textId="07FB4B40" w:rsidR="00D545E3" w:rsidRDefault="00064756" w:rsidP="00064756">
            <w:pPr>
              <w:pStyle w:val="TableNBullet"/>
            </w:pPr>
            <w:r w:rsidRPr="00397140">
              <w:t xml:space="preserve">iii. all Indigenous </w:t>
            </w:r>
            <w:proofErr w:type="gramStart"/>
            <w:r w:rsidRPr="00397140">
              <w:t>four</w:t>
            </w:r>
            <w:r>
              <w:t xml:space="preserve"> </w:t>
            </w:r>
            <w:r w:rsidRPr="00397140">
              <w:t>year</w:t>
            </w:r>
            <w:proofErr w:type="gramEnd"/>
            <w:r>
              <w:t xml:space="preserve"> </w:t>
            </w:r>
            <w:proofErr w:type="spellStart"/>
            <w:r w:rsidRPr="00397140">
              <w:t>olds</w:t>
            </w:r>
            <w:proofErr w:type="spellEnd"/>
            <w:r w:rsidRPr="00397140">
              <w:t xml:space="preserve"> in remote communities have access to early childhood education.</w:t>
            </w:r>
          </w:p>
        </w:tc>
        <w:tc>
          <w:tcPr>
            <w:tcW w:w="2126" w:type="dxa"/>
            <w:vAlign w:val="top"/>
          </w:tcPr>
          <w:p w14:paraId="2F8B4B58" w14:textId="77777777" w:rsidR="00064756" w:rsidRDefault="00064756" w:rsidP="00064756">
            <w:pPr>
              <w:pStyle w:val="TableNText"/>
            </w:pPr>
            <w:r w:rsidRPr="00397140">
              <w:t xml:space="preserve">Implementing accessible, quality early childhood education programs which meet the needs of parents and communities at a cost which does not present a barrier to participation, particularly for vulnerable and disadvantaged children. </w:t>
            </w:r>
          </w:p>
          <w:p w14:paraId="0DD62AEA" w14:textId="77777777" w:rsidR="00064756" w:rsidRDefault="00064756" w:rsidP="00064756">
            <w:pPr>
              <w:pStyle w:val="TableNText"/>
            </w:pPr>
            <w:r w:rsidRPr="00397140">
              <w:t>Delivering strategies and actions targeting the participation of vulnerable and disadvantaged children.</w:t>
            </w:r>
          </w:p>
          <w:p w14:paraId="6C391278" w14:textId="77777777" w:rsidR="00064756" w:rsidRDefault="00064756" w:rsidP="00064756">
            <w:pPr>
              <w:pStyle w:val="TableNText"/>
            </w:pPr>
            <w:r w:rsidRPr="00397140">
              <w:t>Delivering strategies and actions targeting the participation of Indigenous children, including in remote areas.</w:t>
            </w:r>
          </w:p>
          <w:p w14:paraId="6B155049" w14:textId="64868006" w:rsidR="00D545E3" w:rsidRDefault="00064756" w:rsidP="00064756">
            <w:pPr>
              <w:pStyle w:val="TableNText"/>
            </w:pPr>
            <w:r w:rsidRPr="00280C90">
              <w:t>Supporting all children’s quality early childhood education participation, regardless of whether quality early childhood education programs are delivered through schools (non-government and government), standalone preschools or long day care centres.</w:t>
            </w:r>
          </w:p>
        </w:tc>
        <w:tc>
          <w:tcPr>
            <w:tcW w:w="2268" w:type="dxa"/>
            <w:vAlign w:val="top"/>
          </w:tcPr>
          <w:p w14:paraId="2BB5E6CC" w14:textId="77777777" w:rsidR="00D545E3" w:rsidRPr="00397140" w:rsidRDefault="00D545E3" w:rsidP="00D545E3">
            <w:pPr>
              <w:pStyle w:val="TableNText"/>
              <w:rPr>
                <w:b/>
              </w:rPr>
            </w:pPr>
            <w:r>
              <w:rPr>
                <w:b/>
              </w:rPr>
              <w:t xml:space="preserve">1. </w:t>
            </w:r>
            <w:r w:rsidRPr="00397140">
              <w:rPr>
                <w:b/>
              </w:rPr>
              <w:t xml:space="preserve">Teacher Qualifications </w:t>
            </w:r>
          </w:p>
          <w:p w14:paraId="7C63F7B2" w14:textId="77777777" w:rsidR="00D545E3" w:rsidRDefault="00D545E3" w:rsidP="00D545E3">
            <w:pPr>
              <w:pStyle w:val="TableNListnumbered"/>
              <w:numPr>
                <w:ilvl w:val="0"/>
                <w:numId w:val="0"/>
              </w:numPr>
            </w:pPr>
            <w:r w:rsidRPr="00397140">
              <w:t>The proportion of early childhood education programs delivered by a degree qualified early childhood teacher who meets the NQF requirements.</w:t>
            </w:r>
          </w:p>
        </w:tc>
        <w:tc>
          <w:tcPr>
            <w:tcW w:w="2551" w:type="dxa"/>
            <w:vAlign w:val="top"/>
          </w:tcPr>
          <w:p w14:paraId="222274D5" w14:textId="77777777" w:rsidR="00D545E3" w:rsidRDefault="00D545E3" w:rsidP="00D545E3">
            <w:pPr>
              <w:pStyle w:val="TableNText"/>
            </w:pPr>
            <w:r w:rsidRPr="00397140">
              <w:t>95 per cent</w:t>
            </w:r>
            <w:r>
              <w:rPr>
                <w:rStyle w:val="FootnoteReference"/>
              </w:rPr>
              <w:footnoteReference w:id="103"/>
            </w:r>
          </w:p>
        </w:tc>
      </w:tr>
      <w:tr w:rsidR="00D545E3" w14:paraId="1A1E577D" w14:textId="77777777" w:rsidTr="00D545E3">
        <w:trPr>
          <w:cnfStyle w:val="000000010000" w:firstRow="0" w:lastRow="0" w:firstColumn="0" w:lastColumn="0" w:oddVBand="0" w:evenVBand="0" w:oddHBand="0" w:evenHBand="1" w:firstRowFirstColumn="0" w:firstRowLastColumn="0" w:lastRowFirstColumn="0" w:lastRowLastColumn="0"/>
        </w:trPr>
        <w:tc>
          <w:tcPr>
            <w:tcW w:w="1985" w:type="dxa"/>
            <w:vAlign w:val="top"/>
          </w:tcPr>
          <w:p w14:paraId="208AE604" w14:textId="77777777" w:rsidR="00D545E3" w:rsidRDefault="00D545E3" w:rsidP="00D545E3">
            <w:pPr>
              <w:pStyle w:val="Bullet"/>
            </w:pPr>
          </w:p>
        </w:tc>
        <w:tc>
          <w:tcPr>
            <w:tcW w:w="2126" w:type="dxa"/>
            <w:vAlign w:val="top"/>
          </w:tcPr>
          <w:p w14:paraId="0BA6F7C8" w14:textId="77777777" w:rsidR="00D545E3" w:rsidRDefault="00D545E3" w:rsidP="00D545E3">
            <w:pPr>
              <w:pStyle w:val="Bullet"/>
            </w:pPr>
          </w:p>
        </w:tc>
        <w:tc>
          <w:tcPr>
            <w:tcW w:w="2268" w:type="dxa"/>
            <w:vAlign w:val="top"/>
          </w:tcPr>
          <w:p w14:paraId="1F7C5C58" w14:textId="77777777" w:rsidR="00D545E3" w:rsidRDefault="00D545E3" w:rsidP="00D545E3">
            <w:pPr>
              <w:pStyle w:val="TableNText"/>
            </w:pPr>
            <w:r>
              <w:rPr>
                <w:b/>
              </w:rPr>
              <w:t xml:space="preserve">2. </w:t>
            </w:r>
            <w:r w:rsidRPr="00397140">
              <w:rPr>
                <w:b/>
              </w:rPr>
              <w:t>Access to Quality Program</w:t>
            </w:r>
            <w:r w:rsidRPr="00397140">
              <w:t xml:space="preserve"> </w:t>
            </w:r>
          </w:p>
          <w:p w14:paraId="00EF67A7" w14:textId="77777777" w:rsidR="00D545E3" w:rsidRDefault="00D545E3" w:rsidP="00D545E3">
            <w:pPr>
              <w:pStyle w:val="TableNText"/>
            </w:pPr>
            <w:r w:rsidRPr="00397140">
              <w:t xml:space="preserve">The proportion of children enrolled in quality early childhood education </w:t>
            </w:r>
            <w:r w:rsidRPr="00397140">
              <w:lastRenderedPageBreak/>
              <w:t>program(s) in the year before full-time school.</w:t>
            </w:r>
          </w:p>
        </w:tc>
        <w:tc>
          <w:tcPr>
            <w:tcW w:w="2551" w:type="dxa"/>
            <w:vAlign w:val="top"/>
          </w:tcPr>
          <w:p w14:paraId="7B68104F" w14:textId="77777777" w:rsidR="00D545E3" w:rsidRPr="00397140" w:rsidRDefault="00D545E3" w:rsidP="00D545E3">
            <w:pPr>
              <w:pStyle w:val="TableNText"/>
            </w:pPr>
            <w:r w:rsidRPr="00397140">
              <w:lastRenderedPageBreak/>
              <w:t xml:space="preserve">2.1 95 per cent of </w:t>
            </w:r>
            <w:proofErr w:type="gramStart"/>
            <w:r w:rsidRPr="00397140">
              <w:t>children;</w:t>
            </w:r>
            <w:proofErr w:type="gramEnd"/>
          </w:p>
          <w:p w14:paraId="6246B211" w14:textId="77777777" w:rsidR="00D545E3" w:rsidRPr="00397140" w:rsidRDefault="00D545E3" w:rsidP="00D545E3">
            <w:pPr>
              <w:pStyle w:val="TableNText"/>
            </w:pPr>
            <w:r w:rsidRPr="00397140">
              <w:t>2.2 95 per cent of Indigenous</w:t>
            </w:r>
          </w:p>
          <w:p w14:paraId="4D2A15DC" w14:textId="77777777" w:rsidR="00D545E3" w:rsidRPr="00397140" w:rsidRDefault="00D545E3" w:rsidP="00D545E3">
            <w:pPr>
              <w:pStyle w:val="TableNText"/>
            </w:pPr>
            <w:r w:rsidRPr="00397140">
              <w:t>children; and</w:t>
            </w:r>
          </w:p>
          <w:p w14:paraId="62957109" w14:textId="77777777" w:rsidR="00D545E3" w:rsidRDefault="00D545E3" w:rsidP="00D545E3">
            <w:pPr>
              <w:pStyle w:val="TableNText"/>
            </w:pPr>
            <w:r w:rsidRPr="00397140">
              <w:t>2.3 95 per cent of vulnerable and</w:t>
            </w:r>
            <w:r>
              <w:t xml:space="preserve"> </w:t>
            </w:r>
            <w:r w:rsidRPr="00397140">
              <w:t>disadvantaged children.</w:t>
            </w:r>
          </w:p>
        </w:tc>
      </w:tr>
      <w:tr w:rsidR="00D545E3" w14:paraId="401CC6F5" w14:textId="77777777" w:rsidTr="00D545E3">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190F1B7F" w14:textId="77777777" w:rsidR="00D545E3" w:rsidRDefault="00D545E3" w:rsidP="00D545E3">
            <w:pPr>
              <w:pStyle w:val="Bullet"/>
            </w:pPr>
          </w:p>
        </w:tc>
        <w:tc>
          <w:tcPr>
            <w:tcW w:w="2126" w:type="dxa"/>
            <w:vAlign w:val="top"/>
          </w:tcPr>
          <w:p w14:paraId="739E9CBE" w14:textId="77777777" w:rsidR="00D545E3" w:rsidRDefault="00D545E3" w:rsidP="00D545E3">
            <w:pPr>
              <w:pStyle w:val="Bullet"/>
            </w:pPr>
          </w:p>
        </w:tc>
        <w:tc>
          <w:tcPr>
            <w:tcW w:w="2268" w:type="dxa"/>
            <w:vAlign w:val="top"/>
          </w:tcPr>
          <w:p w14:paraId="26F01B69" w14:textId="77777777" w:rsidR="00D545E3" w:rsidRDefault="00D545E3" w:rsidP="00D545E3">
            <w:pPr>
              <w:pStyle w:val="TableNText"/>
            </w:pPr>
            <w:r>
              <w:rPr>
                <w:b/>
              </w:rPr>
              <w:t xml:space="preserve">3. </w:t>
            </w:r>
            <w:r w:rsidRPr="00397140">
              <w:rPr>
                <w:b/>
              </w:rPr>
              <w:t>Access to a Quality 600</w:t>
            </w:r>
            <w:r>
              <w:rPr>
                <w:b/>
              </w:rPr>
              <w:t>-</w:t>
            </w:r>
            <w:r w:rsidRPr="00397140">
              <w:rPr>
                <w:b/>
              </w:rPr>
              <w:t>hour Program</w:t>
            </w:r>
            <w:r w:rsidRPr="00397140">
              <w:t xml:space="preserve"> </w:t>
            </w:r>
          </w:p>
          <w:p w14:paraId="645864AF" w14:textId="77777777" w:rsidR="00D545E3" w:rsidRDefault="00D545E3" w:rsidP="00D545E3">
            <w:pPr>
              <w:pStyle w:val="TableNText"/>
            </w:pPr>
            <w:r w:rsidRPr="00397140">
              <w:t>The proportion of children enrolled in quality early childhood education program(s) for 600 hours per year, in the year before full-time school.</w:t>
            </w:r>
          </w:p>
        </w:tc>
        <w:tc>
          <w:tcPr>
            <w:tcW w:w="2551" w:type="dxa"/>
            <w:vAlign w:val="top"/>
          </w:tcPr>
          <w:p w14:paraId="2E1B69BD" w14:textId="77777777" w:rsidR="00D545E3" w:rsidRDefault="00D545E3" w:rsidP="00D545E3">
            <w:pPr>
              <w:pStyle w:val="TableNText"/>
            </w:pPr>
            <w:r w:rsidRPr="00397140">
              <w:t xml:space="preserve">3.1 95 per cent of </w:t>
            </w:r>
            <w:proofErr w:type="gramStart"/>
            <w:r w:rsidRPr="00397140">
              <w:t>children;</w:t>
            </w:r>
            <w:proofErr w:type="gramEnd"/>
            <w:r w:rsidRPr="00397140">
              <w:t xml:space="preserve"> </w:t>
            </w:r>
          </w:p>
          <w:p w14:paraId="6CB43B2B" w14:textId="77777777" w:rsidR="00D545E3" w:rsidRDefault="00D545E3" w:rsidP="00D545E3">
            <w:pPr>
              <w:pStyle w:val="TableNText"/>
            </w:pPr>
            <w:r w:rsidRPr="00397140">
              <w:t xml:space="preserve">3.2 95 per cent of Indigenous children; and </w:t>
            </w:r>
          </w:p>
          <w:p w14:paraId="594ED3B6" w14:textId="77777777" w:rsidR="00D545E3" w:rsidRDefault="00D545E3" w:rsidP="00D545E3">
            <w:pPr>
              <w:pStyle w:val="TableNText"/>
            </w:pPr>
            <w:r w:rsidRPr="00397140">
              <w:t>3.3 95 per cent of vulnerable and disadvantaged children.</w:t>
            </w:r>
          </w:p>
        </w:tc>
      </w:tr>
      <w:tr w:rsidR="00D545E3" w14:paraId="6992862B" w14:textId="77777777" w:rsidTr="00D545E3">
        <w:trPr>
          <w:cnfStyle w:val="000000010000" w:firstRow="0" w:lastRow="0" w:firstColumn="0" w:lastColumn="0" w:oddVBand="0" w:evenVBand="0" w:oddHBand="0" w:evenHBand="1" w:firstRowFirstColumn="0" w:firstRowLastColumn="0" w:lastRowFirstColumn="0" w:lastRowLastColumn="0"/>
        </w:trPr>
        <w:tc>
          <w:tcPr>
            <w:tcW w:w="1985" w:type="dxa"/>
            <w:vAlign w:val="top"/>
          </w:tcPr>
          <w:p w14:paraId="2B0976AD" w14:textId="77777777" w:rsidR="00D545E3" w:rsidRDefault="00D545E3" w:rsidP="00D545E3">
            <w:pPr>
              <w:pStyle w:val="Bullet"/>
            </w:pPr>
          </w:p>
        </w:tc>
        <w:tc>
          <w:tcPr>
            <w:tcW w:w="2126" w:type="dxa"/>
            <w:vAlign w:val="top"/>
          </w:tcPr>
          <w:p w14:paraId="251AA43D" w14:textId="77777777" w:rsidR="00D545E3" w:rsidRDefault="00D545E3" w:rsidP="00D545E3">
            <w:pPr>
              <w:pStyle w:val="Bullet"/>
            </w:pPr>
          </w:p>
        </w:tc>
        <w:tc>
          <w:tcPr>
            <w:tcW w:w="2268" w:type="dxa"/>
            <w:vAlign w:val="top"/>
          </w:tcPr>
          <w:p w14:paraId="0A1B8664" w14:textId="77777777" w:rsidR="00D545E3" w:rsidRPr="00397140" w:rsidRDefault="00D545E3" w:rsidP="00D545E3">
            <w:pPr>
              <w:pStyle w:val="TableNText"/>
              <w:rPr>
                <w:b/>
              </w:rPr>
            </w:pPr>
            <w:r>
              <w:rPr>
                <w:b/>
              </w:rPr>
              <w:t xml:space="preserve">4. </w:t>
            </w:r>
            <w:r w:rsidRPr="00397140">
              <w:rPr>
                <w:b/>
              </w:rPr>
              <w:t xml:space="preserve">Attendance </w:t>
            </w:r>
          </w:p>
          <w:p w14:paraId="5CFF4FB7" w14:textId="77777777" w:rsidR="00D545E3" w:rsidRDefault="00D545E3" w:rsidP="00D545E3">
            <w:pPr>
              <w:pStyle w:val="TableNText"/>
            </w:pPr>
            <w:r w:rsidRPr="00397140">
              <w:t>The proportion of enrolled children who attend quality early childhood education program(s) for 600 hours per year, in the year before full-time school.</w:t>
            </w:r>
          </w:p>
        </w:tc>
        <w:tc>
          <w:tcPr>
            <w:tcW w:w="2551" w:type="dxa"/>
            <w:vAlign w:val="top"/>
          </w:tcPr>
          <w:p w14:paraId="49A211D2" w14:textId="77777777" w:rsidR="00D545E3" w:rsidRDefault="00D545E3" w:rsidP="00D545E3">
            <w:pPr>
              <w:pStyle w:val="TableNText"/>
            </w:pPr>
            <w:r w:rsidRPr="00397140">
              <w:t>Annual targets agreed in Implementation Plans taking into account a jurisdiction’s starting point and moving to 90 per cent over time.</w:t>
            </w:r>
          </w:p>
        </w:tc>
      </w:tr>
    </w:tbl>
    <w:p w14:paraId="35321A81" w14:textId="77777777" w:rsidR="00D545E3" w:rsidRPr="00FE69A9" w:rsidRDefault="00D545E3" w:rsidP="00D545E3">
      <w:pPr>
        <w:rPr>
          <w:lang w:eastAsia="en-AU"/>
        </w:rPr>
      </w:pPr>
    </w:p>
    <w:p w14:paraId="5E2F9C81" w14:textId="77777777" w:rsidR="00D545E3" w:rsidRDefault="00D545E3" w:rsidP="00D545E3">
      <w:pPr>
        <w:tabs>
          <w:tab w:val="left" w:pos="900"/>
        </w:tabs>
      </w:pPr>
    </w:p>
    <w:p w14:paraId="6393F24E" w14:textId="77777777" w:rsidR="006A35A3" w:rsidRDefault="006A35A3" w:rsidP="00D545E3">
      <w:pPr>
        <w:tabs>
          <w:tab w:val="left" w:pos="900"/>
        </w:tabs>
        <w:sectPr w:rsidR="006A35A3" w:rsidSect="00AE1109">
          <w:headerReference w:type="first" r:id="rId71"/>
          <w:pgSz w:w="11907" w:h="16839" w:code="9"/>
          <w:pgMar w:top="1418" w:right="1418" w:bottom="1701" w:left="1559" w:header="720" w:footer="720" w:gutter="0"/>
          <w:cols w:space="720"/>
          <w:titlePg/>
          <w:docGrid w:linePitch="360"/>
        </w:sectPr>
      </w:pPr>
    </w:p>
    <w:p w14:paraId="3DC37453" w14:textId="77777777" w:rsidR="006A35A3" w:rsidRDefault="006A35A3" w:rsidP="006A35A3">
      <w:pPr>
        <w:pStyle w:val="xAppendixLevel1"/>
      </w:pPr>
      <w:bookmarkStart w:id="274" w:name="_Ref24558368"/>
      <w:bookmarkStart w:id="275" w:name="_Ref24558910"/>
      <w:bookmarkStart w:id="276" w:name="_Toc24559615"/>
      <w:bookmarkStart w:id="277" w:name="_Toc54597803"/>
      <w:r>
        <w:lastRenderedPageBreak/>
        <w:t>Evolution of the UANP and its predecessor agreements</w:t>
      </w:r>
      <w:bookmarkEnd w:id="274"/>
      <w:bookmarkEnd w:id="275"/>
      <w:bookmarkEnd w:id="276"/>
      <w:bookmarkEnd w:id="277"/>
    </w:p>
    <w:p w14:paraId="0E5273C4" w14:textId="7EB00F20" w:rsidR="00943E87" w:rsidRPr="00943E87" w:rsidRDefault="00943E87" w:rsidP="00943E87">
      <w:r w:rsidRPr="00943E87">
        <w:t>While the focus of this Review is on the UANP’s operation since 2014, it is important to understand the full context of the agreement</w:t>
      </w:r>
      <w:r w:rsidR="00763822">
        <w:t>’</w:t>
      </w:r>
      <w:r w:rsidRPr="00943E87">
        <w:t xml:space="preserve">s original goals and the cumulative contribution of </w:t>
      </w:r>
      <w:r w:rsidR="003C59A3">
        <w:t>subsequent</w:t>
      </w:r>
      <w:r w:rsidR="003C59A3" w:rsidRPr="00943E87">
        <w:t xml:space="preserve"> </w:t>
      </w:r>
      <w:r w:rsidRPr="00943E87">
        <w:t>agreements since</w:t>
      </w:r>
      <w:r w:rsidR="00DF7FE9">
        <w:t xml:space="preserve"> 2009</w:t>
      </w:r>
      <w:r w:rsidRPr="00943E87">
        <w:t>.</w:t>
      </w:r>
    </w:p>
    <w:tbl>
      <w:tblPr>
        <w:tblStyle w:val="TableGrid"/>
        <w:tblW w:w="5114" w:type="pct"/>
        <w:tblLook w:val="04A0" w:firstRow="1" w:lastRow="0" w:firstColumn="1" w:lastColumn="0" w:noHBand="0" w:noVBand="1"/>
      </w:tblPr>
      <w:tblGrid>
        <w:gridCol w:w="2722"/>
        <w:gridCol w:w="1860"/>
        <w:gridCol w:w="2008"/>
        <w:gridCol w:w="7588"/>
      </w:tblGrid>
      <w:tr w:rsidR="006A35A3" w:rsidRPr="00B045FE" w14:paraId="2FD870F3" w14:textId="77777777" w:rsidTr="00924003">
        <w:trPr>
          <w:cnfStyle w:val="100000000000" w:firstRow="1" w:lastRow="0" w:firstColumn="0" w:lastColumn="0" w:oddVBand="0" w:evenVBand="0" w:oddHBand="0" w:evenHBand="0" w:firstRowFirstColumn="0" w:firstRowLastColumn="0" w:lastRowFirstColumn="0" w:lastRowLastColumn="0"/>
          <w:cantSplit w:val="0"/>
          <w:tblHeader w:val="0"/>
        </w:trPr>
        <w:tc>
          <w:tcPr>
            <w:tcW w:w="96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2FD0FE" w14:textId="77777777" w:rsidR="006A35A3" w:rsidRPr="00B045FE" w:rsidRDefault="006A35A3" w:rsidP="00903767">
            <w:pPr>
              <w:pStyle w:val="Bullet"/>
              <w:spacing w:after="0"/>
              <w:jc w:val="center"/>
              <w:rPr>
                <w:rFonts w:asciiTheme="majorHAnsi" w:hAnsiTheme="majorHAnsi" w:cstheme="majorBidi"/>
                <w:highlight w:val="yellow"/>
              </w:rPr>
            </w:pPr>
            <w:r w:rsidRPr="0C5679B2">
              <w:rPr>
                <w:rFonts w:asciiTheme="majorHAnsi" w:hAnsiTheme="majorHAnsi" w:cstheme="majorBidi"/>
              </w:rPr>
              <w:t>National Partnership Agreement</w:t>
            </w:r>
          </w:p>
        </w:tc>
        <w:tc>
          <w:tcPr>
            <w:tcW w:w="6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148E3" w14:textId="77777777" w:rsidR="006A35A3" w:rsidRPr="00B045FE" w:rsidRDefault="006A35A3" w:rsidP="00903767">
            <w:pPr>
              <w:pStyle w:val="Bullet"/>
              <w:spacing w:after="0"/>
              <w:jc w:val="center"/>
              <w:rPr>
                <w:rFonts w:asciiTheme="majorHAnsi" w:hAnsiTheme="majorHAnsi" w:cstheme="majorBidi"/>
              </w:rPr>
            </w:pPr>
            <w:r w:rsidRPr="0C5679B2">
              <w:rPr>
                <w:rFonts w:asciiTheme="majorHAnsi" w:hAnsiTheme="majorHAnsi" w:cstheme="majorBidi"/>
              </w:rPr>
              <w:t>Service delivery period</w:t>
            </w:r>
          </w:p>
        </w:tc>
        <w:tc>
          <w:tcPr>
            <w:tcW w:w="70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05F12D" w14:textId="77777777" w:rsidR="006A35A3" w:rsidRPr="00B045FE" w:rsidRDefault="006A35A3" w:rsidP="00903767">
            <w:pPr>
              <w:pStyle w:val="Bullet"/>
              <w:spacing w:after="0"/>
              <w:jc w:val="center"/>
              <w:rPr>
                <w:rFonts w:asciiTheme="majorHAnsi" w:hAnsiTheme="majorHAnsi" w:cstheme="majorBidi"/>
              </w:rPr>
            </w:pPr>
            <w:r w:rsidRPr="0C5679B2">
              <w:rPr>
                <w:rFonts w:asciiTheme="majorHAnsi" w:hAnsiTheme="majorHAnsi" w:cstheme="majorBidi"/>
              </w:rPr>
              <w:t>Value</w:t>
            </w:r>
          </w:p>
        </w:tc>
        <w:tc>
          <w:tcPr>
            <w:tcW w:w="26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02147B" w14:textId="77777777" w:rsidR="006A35A3" w:rsidRPr="00E00FBD" w:rsidRDefault="006A35A3" w:rsidP="00903767">
            <w:pPr>
              <w:pStyle w:val="Bullet"/>
              <w:spacing w:after="0"/>
              <w:jc w:val="center"/>
              <w:rPr>
                <w:rFonts w:asciiTheme="majorHAnsi" w:hAnsiTheme="majorHAnsi" w:cstheme="majorBidi"/>
              </w:rPr>
            </w:pPr>
            <w:r w:rsidRPr="0C5679B2">
              <w:rPr>
                <w:rFonts w:asciiTheme="majorHAnsi" w:hAnsiTheme="majorHAnsi" w:cstheme="majorBidi"/>
              </w:rPr>
              <w:t>Policy and funding developments</w:t>
            </w:r>
          </w:p>
        </w:tc>
      </w:tr>
      <w:tr w:rsidR="006A35A3" w:rsidRPr="00B045FE" w14:paraId="25EF687E" w14:textId="77777777" w:rsidTr="005A117D">
        <w:trPr>
          <w:cnfStyle w:val="000000100000" w:firstRow="0" w:lastRow="0" w:firstColumn="0" w:lastColumn="0" w:oddVBand="0" w:evenVBand="0" w:oddHBand="1" w:evenHBand="0" w:firstRowFirstColumn="0" w:firstRowLastColumn="0" w:lastRowFirstColumn="0" w:lastRowLastColumn="0"/>
        </w:trPr>
        <w:tc>
          <w:tcPr>
            <w:tcW w:w="960" w:type="pct"/>
            <w:vAlign w:val="top"/>
          </w:tcPr>
          <w:p w14:paraId="1D71F1F2" w14:textId="77777777" w:rsidR="006A35A3" w:rsidRPr="00D1019B" w:rsidRDefault="006A35A3" w:rsidP="00903767">
            <w:pPr>
              <w:pStyle w:val="Bullet"/>
              <w:rPr>
                <w:rFonts w:asciiTheme="majorHAnsi" w:hAnsiTheme="majorHAnsi" w:cstheme="majorBidi"/>
                <w:sz w:val="17"/>
                <w:szCs w:val="17"/>
              </w:rPr>
            </w:pPr>
            <w:r w:rsidRPr="0C5679B2">
              <w:rPr>
                <w:rFonts w:asciiTheme="majorHAnsi" w:hAnsiTheme="majorHAnsi" w:cstheme="majorBidi"/>
                <w:sz w:val="17"/>
                <w:szCs w:val="17"/>
              </w:rPr>
              <w:t xml:space="preserve">Early Childhood Education </w:t>
            </w:r>
          </w:p>
        </w:tc>
        <w:tc>
          <w:tcPr>
            <w:tcW w:w="656" w:type="pct"/>
            <w:vAlign w:val="top"/>
          </w:tcPr>
          <w:p w14:paraId="375B9852" w14:textId="77777777" w:rsidR="006A35A3" w:rsidRPr="001A1A1A" w:rsidRDefault="006A35A3" w:rsidP="00903767">
            <w:pPr>
              <w:pStyle w:val="Bullet"/>
              <w:rPr>
                <w:sz w:val="17"/>
                <w:szCs w:val="17"/>
              </w:rPr>
            </w:pPr>
            <w:r w:rsidRPr="001A1A1A">
              <w:rPr>
                <w:sz w:val="17"/>
                <w:szCs w:val="17"/>
              </w:rPr>
              <w:t>February 2009 to June 2013</w:t>
            </w:r>
          </w:p>
          <w:p w14:paraId="4FEF5F99" w14:textId="77777777" w:rsidR="006A35A3" w:rsidRDefault="006A35A3" w:rsidP="00903767">
            <w:pPr>
              <w:pStyle w:val="Bullet"/>
              <w:rPr>
                <w:sz w:val="17"/>
                <w:szCs w:val="17"/>
              </w:rPr>
            </w:pPr>
            <w:r w:rsidRPr="001A1A1A">
              <w:rPr>
                <w:sz w:val="17"/>
                <w:szCs w:val="17"/>
              </w:rPr>
              <w:t>(4.5 years)</w:t>
            </w:r>
          </w:p>
        </w:tc>
        <w:tc>
          <w:tcPr>
            <w:tcW w:w="708" w:type="pct"/>
            <w:vAlign w:val="top"/>
          </w:tcPr>
          <w:p w14:paraId="2D335A4F" w14:textId="77777777" w:rsidR="006A35A3" w:rsidRDefault="006A35A3" w:rsidP="00903767">
            <w:pPr>
              <w:pStyle w:val="Bullet"/>
              <w:rPr>
                <w:sz w:val="17"/>
                <w:szCs w:val="17"/>
              </w:rPr>
            </w:pPr>
            <w:r w:rsidRPr="001A1A1A">
              <w:rPr>
                <w:sz w:val="17"/>
                <w:szCs w:val="17"/>
              </w:rPr>
              <w:t>$955m</w:t>
            </w:r>
            <w:r w:rsidR="00943E87">
              <w:rPr>
                <w:sz w:val="17"/>
                <w:szCs w:val="17"/>
              </w:rPr>
              <w:t xml:space="preserve"> </w:t>
            </w:r>
            <w:r w:rsidRPr="001A1A1A">
              <w:rPr>
                <w:sz w:val="17"/>
                <w:szCs w:val="17"/>
              </w:rPr>
              <w:t>(+$15m for data development)</w:t>
            </w:r>
          </w:p>
        </w:tc>
        <w:tc>
          <w:tcPr>
            <w:tcW w:w="2677" w:type="pct"/>
            <w:vAlign w:val="top"/>
          </w:tcPr>
          <w:p w14:paraId="261C477E" w14:textId="77777777" w:rsidR="006A35A3" w:rsidRDefault="006A35A3" w:rsidP="00903767">
            <w:pPr>
              <w:pStyle w:val="TableNBullet"/>
            </w:pPr>
            <w:r w:rsidRPr="0C5679B2">
              <w:rPr>
                <w:rFonts w:asciiTheme="minorHAnsi" w:hAnsiTheme="minorHAnsi" w:cstheme="minorBidi"/>
              </w:rPr>
              <w:t xml:space="preserve">For the first four years of the agreement, the allocation of funding between States and Territories reflected the different baselines and costs of each jurisdiction. The final year of funding was based on each jurisdiction’s share of the estimated residential population (ERP) of </w:t>
            </w:r>
            <w:proofErr w:type="gramStart"/>
            <w:r w:rsidRPr="0C5679B2">
              <w:rPr>
                <w:rFonts w:asciiTheme="minorHAnsi" w:hAnsiTheme="minorHAnsi" w:cstheme="minorBidi"/>
              </w:rPr>
              <w:t>four</w:t>
            </w:r>
            <w:r w:rsidR="00D22AB9" w:rsidRPr="0C5679B2">
              <w:rPr>
                <w:rFonts w:asciiTheme="minorHAnsi" w:hAnsiTheme="minorHAnsi" w:cstheme="minorBidi"/>
              </w:rPr>
              <w:t xml:space="preserve"> </w:t>
            </w:r>
            <w:r w:rsidRPr="0C5679B2">
              <w:rPr>
                <w:rFonts w:asciiTheme="minorHAnsi" w:hAnsiTheme="minorHAnsi" w:cstheme="minorBidi"/>
              </w:rPr>
              <w:t>year</w:t>
            </w:r>
            <w:proofErr w:type="gramEnd"/>
            <w:r w:rsidR="00D22AB9" w:rsidRPr="0C5679B2">
              <w:rPr>
                <w:rFonts w:asciiTheme="minorHAnsi" w:hAnsiTheme="minorHAnsi" w:cstheme="minorBidi"/>
              </w:rPr>
              <w:t xml:space="preserve"> </w:t>
            </w:r>
            <w:proofErr w:type="spellStart"/>
            <w:r w:rsidRPr="0C5679B2">
              <w:rPr>
                <w:rFonts w:asciiTheme="minorHAnsi" w:hAnsiTheme="minorHAnsi" w:cstheme="minorBidi"/>
              </w:rPr>
              <w:t>olds</w:t>
            </w:r>
            <w:proofErr w:type="spellEnd"/>
            <w:r w:rsidRPr="0C5679B2">
              <w:t>.</w:t>
            </w:r>
          </w:p>
        </w:tc>
      </w:tr>
      <w:tr w:rsidR="006A35A3" w:rsidRPr="00B045FE" w14:paraId="5960902B" w14:textId="77777777" w:rsidTr="005A117D">
        <w:trPr>
          <w:cnfStyle w:val="000000010000" w:firstRow="0" w:lastRow="0" w:firstColumn="0" w:lastColumn="0" w:oddVBand="0" w:evenVBand="0" w:oddHBand="0" w:evenHBand="1" w:firstRowFirstColumn="0" w:firstRowLastColumn="0" w:lastRowFirstColumn="0" w:lastRowLastColumn="0"/>
        </w:trPr>
        <w:tc>
          <w:tcPr>
            <w:tcW w:w="960" w:type="pct"/>
            <w:vAlign w:val="top"/>
          </w:tcPr>
          <w:p w14:paraId="6C887AB2" w14:textId="77777777" w:rsidR="006A35A3" w:rsidRPr="00D1019B" w:rsidRDefault="006A35A3" w:rsidP="00903767">
            <w:pPr>
              <w:pStyle w:val="Bullet"/>
              <w:rPr>
                <w:rFonts w:asciiTheme="majorHAnsi" w:hAnsiTheme="majorHAnsi" w:cstheme="majorBidi"/>
                <w:i/>
                <w:sz w:val="17"/>
                <w:szCs w:val="17"/>
                <w:highlight w:val="yellow"/>
              </w:rPr>
            </w:pPr>
            <w:r w:rsidRPr="0C5679B2">
              <w:rPr>
                <w:rFonts w:asciiTheme="majorHAnsi" w:hAnsiTheme="majorHAnsi" w:cstheme="majorBidi"/>
                <w:sz w:val="17"/>
                <w:szCs w:val="17"/>
              </w:rPr>
              <w:t>Universal Access to Early Childhood Education</w:t>
            </w:r>
          </w:p>
        </w:tc>
        <w:tc>
          <w:tcPr>
            <w:tcW w:w="656" w:type="pct"/>
            <w:vAlign w:val="top"/>
          </w:tcPr>
          <w:p w14:paraId="4AD7DF19" w14:textId="77777777" w:rsidR="006A35A3" w:rsidRPr="001A1A1A" w:rsidRDefault="006A35A3" w:rsidP="00903767">
            <w:pPr>
              <w:pStyle w:val="Bullet"/>
              <w:rPr>
                <w:sz w:val="17"/>
                <w:szCs w:val="17"/>
              </w:rPr>
            </w:pPr>
            <w:r w:rsidRPr="001A1A1A">
              <w:rPr>
                <w:sz w:val="17"/>
                <w:szCs w:val="17"/>
              </w:rPr>
              <w:t>July 2013 to December 2014</w:t>
            </w:r>
          </w:p>
          <w:p w14:paraId="5696933A" w14:textId="77777777" w:rsidR="006A35A3" w:rsidRPr="00B045FE" w:rsidRDefault="006A35A3" w:rsidP="00903767">
            <w:pPr>
              <w:pStyle w:val="Bullet"/>
              <w:rPr>
                <w:sz w:val="17"/>
                <w:szCs w:val="17"/>
              </w:rPr>
            </w:pPr>
            <w:r w:rsidRPr="001A1A1A">
              <w:rPr>
                <w:sz w:val="17"/>
                <w:szCs w:val="17"/>
              </w:rPr>
              <w:t>(1.5 years)</w:t>
            </w:r>
          </w:p>
        </w:tc>
        <w:tc>
          <w:tcPr>
            <w:tcW w:w="708" w:type="pct"/>
            <w:vAlign w:val="top"/>
          </w:tcPr>
          <w:p w14:paraId="699B0D68" w14:textId="77777777" w:rsidR="006A35A3" w:rsidRPr="00B045FE" w:rsidRDefault="006A35A3" w:rsidP="00903767">
            <w:pPr>
              <w:pStyle w:val="Bullet"/>
              <w:rPr>
                <w:sz w:val="17"/>
                <w:szCs w:val="17"/>
              </w:rPr>
            </w:pPr>
            <w:r w:rsidRPr="001A1A1A">
              <w:rPr>
                <w:sz w:val="17"/>
                <w:szCs w:val="17"/>
              </w:rPr>
              <w:t>$65</w:t>
            </w:r>
            <w:r>
              <w:rPr>
                <w:sz w:val="17"/>
                <w:szCs w:val="17"/>
              </w:rPr>
              <w:t>5</w:t>
            </w:r>
            <w:r w:rsidRPr="001A1A1A">
              <w:rPr>
                <w:sz w:val="17"/>
                <w:szCs w:val="17"/>
              </w:rPr>
              <w:t>.6m</w:t>
            </w:r>
            <w:r w:rsidR="00943E87">
              <w:rPr>
                <w:sz w:val="17"/>
                <w:szCs w:val="17"/>
              </w:rPr>
              <w:t xml:space="preserve"> </w:t>
            </w:r>
            <w:r w:rsidRPr="0C5679B2">
              <w:rPr>
                <w:rFonts w:asciiTheme="minorHAnsi" w:hAnsiTheme="minorHAnsi" w:cstheme="minorBidi"/>
                <w:sz w:val="17"/>
                <w:szCs w:val="17"/>
              </w:rPr>
              <w:t>(+$4.5m for data development)</w:t>
            </w:r>
          </w:p>
        </w:tc>
        <w:tc>
          <w:tcPr>
            <w:tcW w:w="2677" w:type="pct"/>
            <w:vAlign w:val="top"/>
          </w:tcPr>
          <w:p w14:paraId="7C5E39DA" w14:textId="77777777" w:rsidR="006A35A3" w:rsidRDefault="006A35A3" w:rsidP="00903767">
            <w:pPr>
              <w:pStyle w:val="TableNBullet"/>
            </w:pPr>
            <w:r w:rsidRPr="0C5679B2">
              <w:t xml:space="preserve">Funding allocation continues to be based on ERP of </w:t>
            </w:r>
            <w:proofErr w:type="gramStart"/>
            <w:r w:rsidRPr="0C5679B2">
              <w:t>four</w:t>
            </w:r>
            <w:r w:rsidR="00924003" w:rsidRPr="0C5679B2">
              <w:t xml:space="preserve"> </w:t>
            </w:r>
            <w:r w:rsidRPr="0C5679B2">
              <w:t>year</w:t>
            </w:r>
            <w:proofErr w:type="gramEnd"/>
            <w:r w:rsidR="00924003" w:rsidRPr="0C5679B2">
              <w:t xml:space="preserve"> </w:t>
            </w:r>
            <w:proofErr w:type="spellStart"/>
            <w:r w:rsidRPr="0C5679B2">
              <w:t>olds</w:t>
            </w:r>
            <w:proofErr w:type="spellEnd"/>
            <w:r w:rsidRPr="0C5679B2">
              <w:t>.</w:t>
            </w:r>
          </w:p>
          <w:p w14:paraId="45DE4FB0" w14:textId="77777777" w:rsidR="006A35A3" w:rsidRDefault="006A35A3" w:rsidP="00903767">
            <w:pPr>
              <w:pStyle w:val="TableNBullet"/>
            </w:pPr>
            <w:r w:rsidRPr="0C5679B2">
              <w:t xml:space="preserve">40 per cent of the funding available to each State and Territory is tied to performance; the remaining 60 per cent is paid on implementation plans and progress reporting. The </w:t>
            </w:r>
            <w:r w:rsidR="00FC42C6">
              <w:t>p</w:t>
            </w:r>
            <w:r w:rsidR="00BD5115" w:rsidRPr="0C5679B2">
              <w:t xml:space="preserve">erformance </w:t>
            </w:r>
            <w:r w:rsidR="00FC42C6">
              <w:t>i</w:t>
            </w:r>
            <w:r w:rsidR="00BD5115" w:rsidRPr="0C5679B2">
              <w:t>ndicator</w:t>
            </w:r>
            <w:r w:rsidRPr="0C5679B2">
              <w:t xml:space="preserve">s relevant to funding </w:t>
            </w:r>
            <w:proofErr w:type="gramStart"/>
            <w:r w:rsidRPr="0C5679B2">
              <w:t>include:</w:t>
            </w:r>
            <w:proofErr w:type="gramEnd"/>
            <w:r w:rsidRPr="0C5679B2">
              <w:t xml:space="preserve"> </w:t>
            </w:r>
            <w:r w:rsidRPr="00E00FBD">
              <w:t>teacher qualifications, access to a quality program and access to a quality 600-hour program.</w:t>
            </w:r>
            <w:r w:rsidRPr="0C5679B2">
              <w:t xml:space="preserve"> </w:t>
            </w:r>
          </w:p>
          <w:p w14:paraId="7CA3F790" w14:textId="77777777" w:rsidR="006A35A3" w:rsidRPr="00E00FBD" w:rsidRDefault="006A35A3" w:rsidP="00903767">
            <w:pPr>
              <w:pStyle w:val="TableNBullet"/>
            </w:pPr>
            <w:r w:rsidRPr="0C5679B2">
              <w:t xml:space="preserve">The commitment changes from ‘15 hours a week, 40 weeks a year’ to ‘600 hours per year’. </w:t>
            </w:r>
          </w:p>
          <w:p w14:paraId="395D4D58" w14:textId="77777777" w:rsidR="006A35A3" w:rsidRPr="00E00FBD" w:rsidRDefault="006A35A3" w:rsidP="00903767">
            <w:pPr>
              <w:pStyle w:val="TableNBullet"/>
            </w:pPr>
            <w:r w:rsidRPr="0C5679B2">
              <w:t xml:space="preserve">The program availability </w:t>
            </w:r>
            <w:r w:rsidR="00FC42C6">
              <w:t>p</w:t>
            </w:r>
            <w:r w:rsidR="00BD5115" w:rsidRPr="0C5679B2">
              <w:t xml:space="preserve">erformance </w:t>
            </w:r>
            <w:r w:rsidR="00FC42C6">
              <w:t>i</w:t>
            </w:r>
            <w:r w:rsidR="00BD5115" w:rsidRPr="0C5679B2">
              <w:t>ndicator</w:t>
            </w:r>
            <w:r w:rsidRPr="0C5679B2">
              <w:t xml:space="preserve"> changes to the proportion of children enrolled (previously the proportion of </w:t>
            </w:r>
            <w:proofErr w:type="gramStart"/>
            <w:r w:rsidRPr="0C5679B2">
              <w:t>four</w:t>
            </w:r>
            <w:r w:rsidR="00924003" w:rsidRPr="0C5679B2">
              <w:t xml:space="preserve"> </w:t>
            </w:r>
            <w:r w:rsidRPr="0C5679B2">
              <w:t>year</w:t>
            </w:r>
            <w:proofErr w:type="gramEnd"/>
            <w:r w:rsidR="00924003" w:rsidRPr="0C5679B2">
              <w:t xml:space="preserve"> </w:t>
            </w:r>
            <w:proofErr w:type="spellStart"/>
            <w:r w:rsidRPr="0C5679B2">
              <w:t>olds</w:t>
            </w:r>
            <w:proofErr w:type="spellEnd"/>
            <w:r w:rsidRPr="0C5679B2">
              <w:t xml:space="preserve">) who are enrolled in programs that are available for 600 hours per year. </w:t>
            </w:r>
          </w:p>
          <w:p w14:paraId="4B6CF086" w14:textId="77777777" w:rsidR="006A35A3" w:rsidRDefault="006A35A3" w:rsidP="00903767">
            <w:pPr>
              <w:pStyle w:val="TableNBullet"/>
            </w:pPr>
            <w:r w:rsidRPr="0C5679B2">
              <w:t xml:space="preserve">Teacher qualifications are aligned to the </w:t>
            </w:r>
            <w:r w:rsidR="00924003" w:rsidRPr="0C5679B2">
              <w:t>NQF</w:t>
            </w:r>
            <w:r w:rsidRPr="0C5679B2">
              <w:t xml:space="preserve"> (including service waivers). </w:t>
            </w:r>
          </w:p>
          <w:p w14:paraId="2D54306E" w14:textId="77777777" w:rsidR="006A35A3" w:rsidRPr="000A7E98" w:rsidRDefault="006A35A3" w:rsidP="00903767">
            <w:pPr>
              <w:pStyle w:val="TableNBullet"/>
            </w:pPr>
            <w:r w:rsidRPr="0C5679B2">
              <w:t>Governments agreed to conduct an independent review of the agreement to assess the degree to which the agreed objectives and outcomes and/or outputs have been achieved, and to inform decisions regarding the appropriate treatment following its expiry.</w:t>
            </w:r>
            <w:r w:rsidRPr="0C5679B2">
              <w:rPr>
                <w:rStyle w:val="FootnoteReference"/>
              </w:rPr>
              <w:footnoteReference w:id="104"/>
            </w:r>
          </w:p>
        </w:tc>
      </w:tr>
      <w:tr w:rsidR="006A35A3" w:rsidRPr="00877B6A" w14:paraId="72537666" w14:textId="77777777" w:rsidTr="005A117D">
        <w:trPr>
          <w:cnfStyle w:val="000000100000" w:firstRow="0" w:lastRow="0" w:firstColumn="0" w:lastColumn="0" w:oddVBand="0" w:evenVBand="0" w:oddHBand="1" w:evenHBand="0" w:firstRowFirstColumn="0" w:firstRowLastColumn="0" w:lastRowFirstColumn="0" w:lastRowLastColumn="0"/>
        </w:trPr>
        <w:tc>
          <w:tcPr>
            <w:tcW w:w="960" w:type="pct"/>
            <w:vAlign w:val="top"/>
          </w:tcPr>
          <w:p w14:paraId="68879CA8" w14:textId="77777777" w:rsidR="006A35A3" w:rsidRPr="00D1019B" w:rsidRDefault="006A35A3" w:rsidP="00903767">
            <w:pPr>
              <w:pStyle w:val="Bullet"/>
              <w:rPr>
                <w:rFonts w:asciiTheme="majorHAnsi" w:hAnsiTheme="majorHAnsi" w:cstheme="majorBidi"/>
                <w:sz w:val="17"/>
                <w:szCs w:val="17"/>
              </w:rPr>
            </w:pPr>
            <w:r w:rsidRPr="0C5679B2">
              <w:rPr>
                <w:rFonts w:asciiTheme="majorHAnsi" w:hAnsiTheme="majorHAnsi" w:cstheme="majorBidi"/>
                <w:sz w:val="17"/>
                <w:szCs w:val="17"/>
              </w:rPr>
              <w:lastRenderedPageBreak/>
              <w:t>Universal Access to Early Childhood Education – 2015</w:t>
            </w:r>
          </w:p>
        </w:tc>
        <w:tc>
          <w:tcPr>
            <w:tcW w:w="656" w:type="pct"/>
            <w:vAlign w:val="top"/>
          </w:tcPr>
          <w:p w14:paraId="3591CD79" w14:textId="77777777" w:rsidR="006A35A3" w:rsidRDefault="006A35A3" w:rsidP="00903767">
            <w:pPr>
              <w:pStyle w:val="Bullet"/>
              <w:rPr>
                <w:sz w:val="17"/>
                <w:szCs w:val="17"/>
              </w:rPr>
            </w:pPr>
            <w:r>
              <w:rPr>
                <w:sz w:val="17"/>
                <w:szCs w:val="17"/>
              </w:rPr>
              <w:t>January 2015 to December 2015</w:t>
            </w:r>
          </w:p>
          <w:p w14:paraId="358458C6" w14:textId="77777777" w:rsidR="006A35A3" w:rsidRPr="000A7E98" w:rsidRDefault="006A35A3" w:rsidP="00903767">
            <w:pPr>
              <w:pStyle w:val="Bullet"/>
              <w:rPr>
                <w:sz w:val="17"/>
                <w:szCs w:val="17"/>
              </w:rPr>
            </w:pPr>
            <w:r>
              <w:rPr>
                <w:sz w:val="17"/>
                <w:szCs w:val="17"/>
              </w:rPr>
              <w:t>(1 year)</w:t>
            </w:r>
          </w:p>
        </w:tc>
        <w:tc>
          <w:tcPr>
            <w:tcW w:w="708" w:type="pct"/>
            <w:vAlign w:val="top"/>
          </w:tcPr>
          <w:p w14:paraId="314E7826" w14:textId="77777777" w:rsidR="006A35A3" w:rsidRPr="000A7E98" w:rsidRDefault="006A35A3" w:rsidP="00903767">
            <w:pPr>
              <w:pStyle w:val="Bullet"/>
              <w:rPr>
                <w:sz w:val="17"/>
                <w:szCs w:val="17"/>
              </w:rPr>
            </w:pPr>
            <w:r w:rsidRPr="007E54F1">
              <w:rPr>
                <w:sz w:val="17"/>
                <w:szCs w:val="17"/>
              </w:rPr>
              <w:t>$404.5m</w:t>
            </w:r>
            <w:r w:rsidR="00943E87">
              <w:rPr>
                <w:sz w:val="17"/>
                <w:szCs w:val="17"/>
              </w:rPr>
              <w:t xml:space="preserve"> </w:t>
            </w:r>
            <w:r w:rsidRPr="0C5679B2">
              <w:rPr>
                <w:rFonts w:asciiTheme="minorHAnsi" w:hAnsiTheme="minorHAnsi" w:cstheme="minorBidi"/>
                <w:sz w:val="17"/>
                <w:szCs w:val="17"/>
              </w:rPr>
              <w:t>(+ $1.5m for data development)</w:t>
            </w:r>
          </w:p>
        </w:tc>
        <w:tc>
          <w:tcPr>
            <w:tcW w:w="2677" w:type="pct"/>
            <w:vAlign w:val="top"/>
          </w:tcPr>
          <w:p w14:paraId="2A6429F0" w14:textId="77777777" w:rsidR="006A35A3" w:rsidRPr="00E00FBD" w:rsidRDefault="006A35A3" w:rsidP="00903767">
            <w:pPr>
              <w:pStyle w:val="TableNBullet"/>
            </w:pPr>
            <w:r w:rsidRPr="0C5679B2">
              <w:t xml:space="preserve">70 per cent of the funding is tied to performance; the remaining 30 per cent is paid on agreement of implementation plans. The </w:t>
            </w:r>
            <w:r w:rsidR="00FC42C6">
              <w:t>p</w:t>
            </w:r>
            <w:r w:rsidR="00BD5115">
              <w:t xml:space="preserve">erformance </w:t>
            </w:r>
            <w:r w:rsidR="00FC42C6">
              <w:t>i</w:t>
            </w:r>
            <w:r w:rsidR="00BD5115">
              <w:t>ndicator</w:t>
            </w:r>
            <w:r w:rsidR="00924003" w:rsidRPr="0C5679B2">
              <w:t xml:space="preserve"> </w:t>
            </w:r>
            <w:r w:rsidRPr="0C5679B2">
              <w:t xml:space="preserve">relevant to funding </w:t>
            </w:r>
            <w:proofErr w:type="gramStart"/>
            <w:r w:rsidRPr="0C5679B2">
              <w:t>include:</w:t>
            </w:r>
            <w:proofErr w:type="gramEnd"/>
            <w:r w:rsidRPr="0C5679B2">
              <w:t xml:space="preserve"> teacher qualifications, access to a quality program and access to a quality 600-hour program. (i.e. attendance has no payment attached.)</w:t>
            </w:r>
          </w:p>
          <w:p w14:paraId="5FA9B7C0" w14:textId="77777777" w:rsidR="006A35A3" w:rsidRPr="00C758C3" w:rsidRDefault="006A35A3" w:rsidP="00903767">
            <w:pPr>
              <w:pStyle w:val="TableNBullet"/>
              <w:rPr>
                <w:rFonts w:asciiTheme="minorHAnsi" w:hAnsiTheme="minorHAnsi" w:cstheme="minorBidi"/>
              </w:rPr>
            </w:pPr>
            <w:r w:rsidRPr="0C5679B2">
              <w:t xml:space="preserve">Strengthened </w:t>
            </w:r>
            <w:r w:rsidRPr="0C5679B2">
              <w:rPr>
                <w:rFonts w:asciiTheme="minorHAnsi" w:hAnsiTheme="minorHAnsi" w:cstheme="minorBidi"/>
              </w:rPr>
              <w:t>reference to support</w:t>
            </w:r>
            <w:r w:rsidR="00924003" w:rsidRPr="0C5679B2">
              <w:rPr>
                <w:rFonts w:asciiTheme="minorHAnsi" w:hAnsiTheme="minorHAnsi" w:cstheme="minorBidi"/>
              </w:rPr>
              <w:t>ing</w:t>
            </w:r>
            <w:r w:rsidRPr="0C5679B2">
              <w:rPr>
                <w:rFonts w:asciiTheme="minorHAnsi" w:hAnsiTheme="minorHAnsi" w:cstheme="minorBidi"/>
              </w:rPr>
              <w:t xml:space="preserve"> all children’s participation, regardless of setting.</w:t>
            </w:r>
          </w:p>
          <w:p w14:paraId="0CFB193E" w14:textId="77777777" w:rsidR="006A35A3" w:rsidRPr="00C758C3" w:rsidRDefault="00E565ED" w:rsidP="00903767">
            <w:pPr>
              <w:pStyle w:val="TableNBullet"/>
              <w:rPr>
                <w:rFonts w:asciiTheme="minorHAnsi" w:hAnsiTheme="minorHAnsi" w:cstheme="minorBidi"/>
              </w:rPr>
            </w:pPr>
            <w:r>
              <w:t>Performance Indicator</w:t>
            </w:r>
            <w:r w:rsidRPr="0C5679B2">
              <w:rPr>
                <w:rFonts w:asciiTheme="minorHAnsi" w:hAnsiTheme="minorHAnsi" w:cstheme="minorBidi"/>
              </w:rPr>
              <w:t xml:space="preserve"> </w:t>
            </w:r>
            <w:r w:rsidR="006A35A3" w:rsidRPr="0C5679B2">
              <w:rPr>
                <w:rFonts w:asciiTheme="minorHAnsi" w:hAnsiTheme="minorHAnsi" w:cstheme="minorBidi"/>
              </w:rPr>
              <w:t>3 (program availability) changes from children being enrolled in programs that are ‘available for 600 hour</w:t>
            </w:r>
            <w:r w:rsidR="00924003" w:rsidRPr="0C5679B2">
              <w:rPr>
                <w:rFonts w:asciiTheme="minorHAnsi" w:hAnsiTheme="minorHAnsi" w:cstheme="minorBidi"/>
              </w:rPr>
              <w:t>s</w:t>
            </w:r>
            <w:r w:rsidR="006A35A3" w:rsidRPr="0C5679B2">
              <w:rPr>
                <w:rFonts w:asciiTheme="minorHAnsi" w:hAnsiTheme="minorHAnsi" w:cstheme="minorBidi"/>
              </w:rPr>
              <w:t xml:space="preserve"> per year’ to children being </w:t>
            </w:r>
            <w:r w:rsidR="006A35A3" w:rsidRPr="0C5679B2">
              <w:rPr>
                <w:rFonts w:asciiTheme="minorHAnsi" w:hAnsiTheme="minorHAnsi" w:cstheme="minorBidi"/>
                <w:i/>
              </w:rPr>
              <w:t>enrolled</w:t>
            </w:r>
            <w:r w:rsidR="006A35A3" w:rsidRPr="0C5679B2">
              <w:rPr>
                <w:rFonts w:asciiTheme="minorHAnsi" w:hAnsiTheme="minorHAnsi" w:cstheme="minorBidi"/>
              </w:rPr>
              <w:t xml:space="preserve"> for 600 hour</w:t>
            </w:r>
            <w:r w:rsidR="00924003" w:rsidRPr="0C5679B2">
              <w:rPr>
                <w:rFonts w:asciiTheme="minorHAnsi" w:hAnsiTheme="minorHAnsi" w:cstheme="minorBidi"/>
              </w:rPr>
              <w:t>s</w:t>
            </w:r>
            <w:r w:rsidR="006A35A3" w:rsidRPr="0C5679B2">
              <w:rPr>
                <w:rFonts w:asciiTheme="minorHAnsi" w:hAnsiTheme="minorHAnsi" w:cstheme="minorBidi"/>
              </w:rPr>
              <w:t xml:space="preserve"> per year. </w:t>
            </w:r>
          </w:p>
          <w:p w14:paraId="180426DC" w14:textId="77777777" w:rsidR="006A35A3" w:rsidRPr="00B543FF" w:rsidRDefault="00E565ED" w:rsidP="00903767">
            <w:pPr>
              <w:pStyle w:val="TableNBullet"/>
              <w:rPr>
                <w:rFonts w:asciiTheme="minorHAnsi" w:hAnsiTheme="minorHAnsi" w:cstheme="minorBidi"/>
              </w:rPr>
            </w:pPr>
            <w:r>
              <w:t>Performance Indicator</w:t>
            </w:r>
            <w:r w:rsidRPr="0C5679B2">
              <w:rPr>
                <w:rFonts w:asciiTheme="minorHAnsi" w:hAnsiTheme="minorHAnsi" w:cstheme="minorBidi"/>
              </w:rPr>
              <w:t xml:space="preserve"> </w:t>
            </w:r>
            <w:r w:rsidR="006A35A3" w:rsidRPr="0C5679B2">
              <w:rPr>
                <w:rFonts w:asciiTheme="minorHAnsi" w:hAnsiTheme="minorHAnsi" w:cstheme="minorBidi"/>
              </w:rPr>
              <w:t xml:space="preserve">4 (attendance) changes from children attending programs that are ‘available for 600 hour per year’ to children </w:t>
            </w:r>
            <w:r w:rsidR="006A35A3" w:rsidRPr="0C5679B2">
              <w:rPr>
                <w:rFonts w:asciiTheme="minorHAnsi" w:hAnsiTheme="minorHAnsi" w:cstheme="minorBidi"/>
                <w:i/>
              </w:rPr>
              <w:t>attending</w:t>
            </w:r>
            <w:r w:rsidR="006A35A3" w:rsidRPr="0C5679B2">
              <w:rPr>
                <w:rFonts w:asciiTheme="minorHAnsi" w:hAnsiTheme="minorHAnsi" w:cstheme="minorBidi"/>
              </w:rPr>
              <w:t xml:space="preserve"> for 600 hours per year. </w:t>
            </w:r>
          </w:p>
        </w:tc>
      </w:tr>
      <w:tr w:rsidR="006A35A3" w:rsidRPr="00877B6A" w14:paraId="069E9250" w14:textId="77777777" w:rsidTr="005A117D">
        <w:trPr>
          <w:cnfStyle w:val="000000010000" w:firstRow="0" w:lastRow="0" w:firstColumn="0" w:lastColumn="0" w:oddVBand="0" w:evenVBand="0" w:oddHBand="0" w:evenHBand="1" w:firstRowFirstColumn="0" w:firstRowLastColumn="0" w:lastRowFirstColumn="0" w:lastRowLastColumn="0"/>
        </w:trPr>
        <w:tc>
          <w:tcPr>
            <w:tcW w:w="960" w:type="pct"/>
            <w:vAlign w:val="top"/>
          </w:tcPr>
          <w:p w14:paraId="06F214E7" w14:textId="77777777" w:rsidR="006A35A3" w:rsidRPr="00D1019B" w:rsidRDefault="006A35A3" w:rsidP="00903767">
            <w:pPr>
              <w:pStyle w:val="Bullet"/>
              <w:rPr>
                <w:rFonts w:asciiTheme="majorHAnsi" w:hAnsiTheme="majorHAnsi" w:cstheme="majorBidi"/>
                <w:sz w:val="17"/>
                <w:szCs w:val="17"/>
                <w:highlight w:val="yellow"/>
              </w:rPr>
            </w:pPr>
            <w:r w:rsidRPr="0C5679B2">
              <w:rPr>
                <w:rFonts w:asciiTheme="majorHAnsi" w:hAnsiTheme="majorHAnsi" w:cstheme="majorBidi"/>
                <w:sz w:val="17"/>
                <w:szCs w:val="17"/>
              </w:rPr>
              <w:t>Universal Access to Early Childhood Education – 2016 and 2017</w:t>
            </w:r>
          </w:p>
        </w:tc>
        <w:tc>
          <w:tcPr>
            <w:tcW w:w="656" w:type="pct"/>
            <w:vAlign w:val="top"/>
          </w:tcPr>
          <w:p w14:paraId="1018A07D" w14:textId="77777777" w:rsidR="006A35A3" w:rsidRDefault="006A35A3" w:rsidP="00903767">
            <w:pPr>
              <w:pStyle w:val="Bullet"/>
              <w:rPr>
                <w:sz w:val="17"/>
                <w:szCs w:val="17"/>
              </w:rPr>
            </w:pPr>
            <w:r w:rsidRPr="00B045FE">
              <w:rPr>
                <w:sz w:val="17"/>
                <w:szCs w:val="17"/>
              </w:rPr>
              <w:t>January 2016 to December 2017</w:t>
            </w:r>
          </w:p>
          <w:p w14:paraId="1BD1823A" w14:textId="77777777" w:rsidR="006A35A3" w:rsidRPr="00B045FE" w:rsidRDefault="006A35A3" w:rsidP="00903767">
            <w:pPr>
              <w:pStyle w:val="Bullet"/>
              <w:rPr>
                <w:sz w:val="17"/>
                <w:szCs w:val="17"/>
              </w:rPr>
            </w:pPr>
            <w:r>
              <w:rPr>
                <w:sz w:val="17"/>
                <w:szCs w:val="17"/>
              </w:rPr>
              <w:t>(2 years)</w:t>
            </w:r>
          </w:p>
        </w:tc>
        <w:tc>
          <w:tcPr>
            <w:tcW w:w="708" w:type="pct"/>
            <w:vAlign w:val="top"/>
          </w:tcPr>
          <w:p w14:paraId="4F7DA1FE" w14:textId="77777777" w:rsidR="006A35A3" w:rsidRPr="007E54F1" w:rsidRDefault="006A35A3" w:rsidP="00903767">
            <w:pPr>
              <w:pStyle w:val="Bullet"/>
              <w:rPr>
                <w:sz w:val="17"/>
                <w:szCs w:val="17"/>
              </w:rPr>
            </w:pPr>
            <w:r w:rsidRPr="007E54F1">
              <w:rPr>
                <w:sz w:val="17"/>
                <w:szCs w:val="17"/>
              </w:rPr>
              <w:t>$840m</w:t>
            </w:r>
            <w:r w:rsidR="00943E87">
              <w:rPr>
                <w:sz w:val="17"/>
                <w:szCs w:val="17"/>
              </w:rPr>
              <w:t xml:space="preserve"> </w:t>
            </w:r>
            <w:r w:rsidRPr="0C5679B2">
              <w:rPr>
                <w:rFonts w:asciiTheme="minorHAnsi" w:hAnsiTheme="minorHAnsi" w:cstheme="minorBidi"/>
                <w:sz w:val="17"/>
                <w:szCs w:val="17"/>
              </w:rPr>
              <w:t>(+ $3m for data development)</w:t>
            </w:r>
          </w:p>
        </w:tc>
        <w:tc>
          <w:tcPr>
            <w:tcW w:w="2677" w:type="pct"/>
            <w:vAlign w:val="top"/>
          </w:tcPr>
          <w:p w14:paraId="21BC6C96" w14:textId="77777777" w:rsidR="006A35A3" w:rsidRPr="000A7E98" w:rsidRDefault="006A35A3" w:rsidP="00903767">
            <w:pPr>
              <w:pStyle w:val="TableNBullet"/>
            </w:pPr>
            <w:r w:rsidRPr="0C5679B2">
              <w:t>70 per cent of the funding is tied to performance against the UANP benchmarks and targets, with the balance paid on implementation plans and progress reporting.</w:t>
            </w:r>
          </w:p>
          <w:p w14:paraId="549E6BC4" w14:textId="77777777" w:rsidR="006A35A3" w:rsidRPr="000A7E98" w:rsidRDefault="006A35A3" w:rsidP="00903767">
            <w:pPr>
              <w:pStyle w:val="TableNBullet"/>
            </w:pPr>
            <w:r w:rsidRPr="0C5679B2">
              <w:t xml:space="preserve">The </w:t>
            </w:r>
            <w:r w:rsidR="00FC42C6">
              <w:t>p</w:t>
            </w:r>
            <w:r w:rsidR="00BD5115" w:rsidRPr="0C5679B2">
              <w:t xml:space="preserve">erformance </w:t>
            </w:r>
            <w:r w:rsidR="00FC42C6">
              <w:t>i</w:t>
            </w:r>
            <w:r w:rsidR="00BD5115" w:rsidRPr="0C5679B2">
              <w:t>ndicator</w:t>
            </w:r>
            <w:r w:rsidRPr="0C5679B2">
              <w:t xml:space="preserve">s relevant to funding included: access to a quality program and access to a quality 600-hour program (i.e. teacher qualifications and attendance have no payments attached). </w:t>
            </w:r>
          </w:p>
          <w:p w14:paraId="5C991DA9" w14:textId="77777777" w:rsidR="006A35A3" w:rsidRPr="000A7E98" w:rsidRDefault="006A35A3" w:rsidP="00903767">
            <w:pPr>
              <w:pStyle w:val="TableNBullet"/>
            </w:pPr>
            <w:r w:rsidRPr="0C5679B2">
              <w:t xml:space="preserve">The payment structure is revised to introduce payments for lower levels of performance (i.e. 90 per cent performance payment, and separate payments for maintenance and improvement.) and each </w:t>
            </w:r>
            <w:r w:rsidR="00FC42C6">
              <w:t>p</w:t>
            </w:r>
            <w:r w:rsidR="00BD5115">
              <w:t xml:space="preserve">erformance </w:t>
            </w:r>
            <w:r w:rsidR="00FC42C6">
              <w:t>i</w:t>
            </w:r>
            <w:r w:rsidR="00BD5115">
              <w:t>ndicator</w:t>
            </w:r>
            <w:r w:rsidRPr="0C5679B2">
              <w:t xml:space="preserve"> assessed and paid separately.</w:t>
            </w:r>
          </w:p>
          <w:p w14:paraId="7913C5F7" w14:textId="77777777" w:rsidR="006A35A3" w:rsidRPr="00877B6A" w:rsidRDefault="006A35A3" w:rsidP="00903767">
            <w:pPr>
              <w:pStyle w:val="TableNBullet"/>
            </w:pPr>
            <w:r w:rsidRPr="0C5679B2">
              <w:t xml:space="preserve">The </w:t>
            </w:r>
            <w:r w:rsidR="00FC42C6">
              <w:t>p</w:t>
            </w:r>
            <w:r w:rsidR="00BD5115">
              <w:t xml:space="preserve">erformance </w:t>
            </w:r>
            <w:r w:rsidR="00FC42C6">
              <w:t>i</w:t>
            </w:r>
            <w:r w:rsidR="00BD5115">
              <w:t>ndicator</w:t>
            </w:r>
            <w:r w:rsidR="00924003" w:rsidRPr="0C5679B2">
              <w:t xml:space="preserve"> </w:t>
            </w:r>
            <w:r w:rsidRPr="0C5679B2">
              <w:t xml:space="preserve">for teacher qualifications is taken to be achieved, given the </w:t>
            </w:r>
            <w:r w:rsidR="00924003" w:rsidRPr="0C5679B2">
              <w:t>NQF</w:t>
            </w:r>
            <w:r w:rsidRPr="0C5679B2">
              <w:t xml:space="preserve"> requirement that relevant services have </w:t>
            </w:r>
            <w:r w:rsidRPr="0C5679B2">
              <w:rPr>
                <w:i/>
              </w:rPr>
              <w:t>access to</w:t>
            </w:r>
            <w:r w:rsidRPr="0C5679B2">
              <w:t xml:space="preserve"> an </w:t>
            </w:r>
            <w:r w:rsidR="00E906D8" w:rsidRPr="0C5679B2">
              <w:t>ECT</w:t>
            </w:r>
            <w:r w:rsidRPr="0C5679B2">
              <w:t xml:space="preserve">. </w:t>
            </w:r>
          </w:p>
        </w:tc>
      </w:tr>
      <w:tr w:rsidR="006A35A3" w14:paraId="7702348A" w14:textId="77777777" w:rsidTr="005A117D">
        <w:trPr>
          <w:cnfStyle w:val="000000100000" w:firstRow="0" w:lastRow="0" w:firstColumn="0" w:lastColumn="0" w:oddVBand="0" w:evenVBand="0" w:oddHBand="1" w:evenHBand="0" w:firstRowFirstColumn="0" w:firstRowLastColumn="0" w:lastRowFirstColumn="0" w:lastRowLastColumn="0"/>
        </w:trPr>
        <w:tc>
          <w:tcPr>
            <w:tcW w:w="960" w:type="pct"/>
            <w:vAlign w:val="top"/>
          </w:tcPr>
          <w:p w14:paraId="0C5FCB07" w14:textId="77777777" w:rsidR="006A35A3" w:rsidRPr="00D1019B" w:rsidRDefault="006A35A3" w:rsidP="00903767">
            <w:pPr>
              <w:pStyle w:val="Bullet"/>
              <w:rPr>
                <w:rFonts w:asciiTheme="majorHAnsi" w:hAnsiTheme="majorHAnsi" w:cstheme="majorBidi"/>
                <w:sz w:val="17"/>
                <w:szCs w:val="17"/>
              </w:rPr>
            </w:pPr>
            <w:r w:rsidRPr="0C5679B2">
              <w:rPr>
                <w:rFonts w:asciiTheme="majorHAnsi" w:hAnsiTheme="majorHAnsi" w:cstheme="majorBidi"/>
                <w:sz w:val="17"/>
                <w:szCs w:val="17"/>
              </w:rPr>
              <w:t>Universal Access to Early Childhood Education – 2018</w:t>
            </w:r>
          </w:p>
        </w:tc>
        <w:tc>
          <w:tcPr>
            <w:tcW w:w="656" w:type="pct"/>
            <w:vAlign w:val="top"/>
          </w:tcPr>
          <w:p w14:paraId="51FC755A" w14:textId="77777777" w:rsidR="006A35A3" w:rsidRPr="00B045FE" w:rsidRDefault="006A35A3" w:rsidP="00903767">
            <w:pPr>
              <w:pStyle w:val="Bullet"/>
              <w:rPr>
                <w:sz w:val="17"/>
                <w:szCs w:val="17"/>
              </w:rPr>
            </w:pPr>
            <w:r>
              <w:rPr>
                <w:sz w:val="17"/>
                <w:szCs w:val="17"/>
              </w:rPr>
              <w:t xml:space="preserve">January </w:t>
            </w:r>
            <w:r w:rsidRPr="000A7E98">
              <w:rPr>
                <w:sz w:val="17"/>
                <w:szCs w:val="17"/>
              </w:rPr>
              <w:t>2018</w:t>
            </w:r>
            <w:r>
              <w:rPr>
                <w:sz w:val="17"/>
                <w:szCs w:val="17"/>
              </w:rPr>
              <w:t xml:space="preserve"> to December </w:t>
            </w:r>
            <w:r w:rsidRPr="000A7E98">
              <w:rPr>
                <w:sz w:val="17"/>
                <w:szCs w:val="17"/>
              </w:rPr>
              <w:t>2018</w:t>
            </w:r>
          </w:p>
        </w:tc>
        <w:tc>
          <w:tcPr>
            <w:tcW w:w="708" w:type="pct"/>
            <w:vAlign w:val="top"/>
          </w:tcPr>
          <w:p w14:paraId="5D2EE52B" w14:textId="77777777" w:rsidR="006A35A3" w:rsidRPr="00943E87" w:rsidRDefault="006A35A3" w:rsidP="00903767">
            <w:pPr>
              <w:pStyle w:val="Bullet"/>
              <w:rPr>
                <w:sz w:val="17"/>
                <w:szCs w:val="17"/>
              </w:rPr>
            </w:pPr>
            <w:r w:rsidRPr="000A7E98">
              <w:rPr>
                <w:sz w:val="17"/>
                <w:szCs w:val="17"/>
              </w:rPr>
              <w:t>$427.9m</w:t>
            </w:r>
            <w:r w:rsidR="00943E87">
              <w:rPr>
                <w:sz w:val="17"/>
                <w:szCs w:val="17"/>
              </w:rPr>
              <w:t xml:space="preserve"> </w:t>
            </w:r>
            <w:r w:rsidRPr="0C5679B2">
              <w:rPr>
                <w:rFonts w:asciiTheme="minorHAnsi" w:hAnsiTheme="minorHAnsi" w:cstheme="minorBidi"/>
                <w:sz w:val="17"/>
                <w:szCs w:val="17"/>
              </w:rPr>
              <w:t>(+ $1.5m for data development)</w:t>
            </w:r>
          </w:p>
        </w:tc>
        <w:tc>
          <w:tcPr>
            <w:tcW w:w="2677" w:type="pct"/>
            <w:vAlign w:val="top"/>
          </w:tcPr>
          <w:p w14:paraId="6B1A9CE7" w14:textId="77777777" w:rsidR="006A35A3" w:rsidRPr="00C758C3" w:rsidRDefault="006A35A3" w:rsidP="00903767">
            <w:pPr>
              <w:pStyle w:val="TableNBullet"/>
              <w:rPr>
                <w:rFonts w:asciiTheme="minorHAnsi" w:hAnsiTheme="minorHAnsi" w:cstheme="minorBidi"/>
              </w:rPr>
            </w:pPr>
            <w:r w:rsidRPr="0C5679B2">
              <w:t xml:space="preserve">The allocation of funding between States and Territories changed to be based on projected growth of actual enrolments (rather than the ERP of </w:t>
            </w:r>
            <w:proofErr w:type="gramStart"/>
            <w:r w:rsidRPr="0C5679B2">
              <w:t>four</w:t>
            </w:r>
            <w:r w:rsidR="00D22AB9" w:rsidRPr="0C5679B2">
              <w:t xml:space="preserve"> </w:t>
            </w:r>
            <w:r w:rsidRPr="0C5679B2">
              <w:t>year</w:t>
            </w:r>
            <w:proofErr w:type="gramEnd"/>
            <w:r w:rsidR="00D22AB9" w:rsidRPr="0C5679B2">
              <w:t xml:space="preserve"> </w:t>
            </w:r>
            <w:proofErr w:type="spellStart"/>
            <w:r w:rsidRPr="0C5679B2">
              <w:t>olds</w:t>
            </w:r>
            <w:proofErr w:type="spellEnd"/>
            <w:r w:rsidRPr="0C5679B2">
              <w:t>).</w:t>
            </w:r>
          </w:p>
        </w:tc>
      </w:tr>
      <w:tr w:rsidR="006A35A3" w14:paraId="0FDD3A39" w14:textId="77777777" w:rsidTr="005A117D">
        <w:trPr>
          <w:cnfStyle w:val="000000010000" w:firstRow="0" w:lastRow="0" w:firstColumn="0" w:lastColumn="0" w:oddVBand="0" w:evenVBand="0" w:oddHBand="0" w:evenHBand="1" w:firstRowFirstColumn="0" w:firstRowLastColumn="0" w:lastRowFirstColumn="0" w:lastRowLastColumn="0"/>
        </w:trPr>
        <w:tc>
          <w:tcPr>
            <w:tcW w:w="960" w:type="pct"/>
            <w:vAlign w:val="top"/>
          </w:tcPr>
          <w:p w14:paraId="2AA67E42" w14:textId="77777777" w:rsidR="006A35A3" w:rsidRPr="00943E87" w:rsidRDefault="006A35A3" w:rsidP="00903767">
            <w:pPr>
              <w:pStyle w:val="Bullet"/>
              <w:rPr>
                <w:rFonts w:asciiTheme="majorHAnsi" w:hAnsiTheme="majorHAnsi" w:cstheme="majorBidi"/>
                <w:sz w:val="17"/>
                <w:szCs w:val="17"/>
              </w:rPr>
            </w:pPr>
            <w:r w:rsidRPr="0C5679B2">
              <w:rPr>
                <w:rFonts w:asciiTheme="majorHAnsi" w:hAnsiTheme="majorHAnsi" w:cstheme="majorBidi"/>
                <w:sz w:val="17"/>
                <w:szCs w:val="17"/>
              </w:rPr>
              <w:t>Universal Access to Early Childhood Education – 2019</w:t>
            </w:r>
          </w:p>
        </w:tc>
        <w:tc>
          <w:tcPr>
            <w:tcW w:w="656" w:type="pct"/>
            <w:vAlign w:val="top"/>
          </w:tcPr>
          <w:p w14:paraId="504661A6" w14:textId="77777777" w:rsidR="006A35A3" w:rsidRPr="001A1A1A" w:rsidRDefault="006A35A3" w:rsidP="00903767">
            <w:pPr>
              <w:pStyle w:val="Bullet"/>
              <w:rPr>
                <w:sz w:val="17"/>
                <w:szCs w:val="17"/>
              </w:rPr>
            </w:pPr>
            <w:r>
              <w:rPr>
                <w:sz w:val="17"/>
                <w:szCs w:val="17"/>
              </w:rPr>
              <w:t xml:space="preserve">January </w:t>
            </w:r>
            <w:r w:rsidRPr="000A7E98">
              <w:rPr>
                <w:sz w:val="17"/>
                <w:szCs w:val="17"/>
              </w:rPr>
              <w:t>2019</w:t>
            </w:r>
            <w:r w:rsidRPr="001A1A1A">
              <w:rPr>
                <w:sz w:val="17"/>
                <w:szCs w:val="17"/>
              </w:rPr>
              <w:t xml:space="preserve"> to December </w:t>
            </w:r>
            <w:r>
              <w:rPr>
                <w:sz w:val="17"/>
                <w:szCs w:val="17"/>
              </w:rPr>
              <w:t>2019</w:t>
            </w:r>
          </w:p>
        </w:tc>
        <w:tc>
          <w:tcPr>
            <w:tcW w:w="708" w:type="pct"/>
            <w:vAlign w:val="top"/>
          </w:tcPr>
          <w:p w14:paraId="371CF592" w14:textId="77777777" w:rsidR="006A35A3" w:rsidRPr="001A1A1A" w:rsidRDefault="006A35A3" w:rsidP="00903767">
            <w:pPr>
              <w:pStyle w:val="Bullet"/>
              <w:rPr>
                <w:sz w:val="17"/>
                <w:szCs w:val="17"/>
              </w:rPr>
            </w:pPr>
            <w:r w:rsidRPr="000A7E98">
              <w:rPr>
                <w:sz w:val="17"/>
                <w:szCs w:val="17"/>
              </w:rPr>
              <w:t>$440.1m</w:t>
            </w:r>
            <w:r w:rsidR="00943E87">
              <w:rPr>
                <w:sz w:val="17"/>
                <w:szCs w:val="17"/>
              </w:rPr>
              <w:t xml:space="preserve"> </w:t>
            </w:r>
            <w:r w:rsidRPr="0C5679B2">
              <w:rPr>
                <w:rFonts w:asciiTheme="minorHAnsi" w:hAnsiTheme="minorHAnsi" w:cstheme="minorBidi"/>
                <w:sz w:val="17"/>
                <w:szCs w:val="17"/>
              </w:rPr>
              <w:t>(+ $1.5m for data development)</w:t>
            </w:r>
          </w:p>
        </w:tc>
        <w:tc>
          <w:tcPr>
            <w:tcW w:w="2677" w:type="pct"/>
            <w:vAlign w:val="top"/>
          </w:tcPr>
          <w:p w14:paraId="6D05BAD4" w14:textId="77777777" w:rsidR="006A35A3" w:rsidRPr="00D24C1A" w:rsidRDefault="006A35A3" w:rsidP="00903767">
            <w:pPr>
              <w:pStyle w:val="TableNBullet"/>
              <w:numPr>
                <w:ilvl w:val="0"/>
                <w:numId w:val="0"/>
              </w:numPr>
              <w:ind w:left="227" w:hanging="227"/>
              <w:rPr>
                <w:szCs w:val="17"/>
              </w:rPr>
            </w:pPr>
          </w:p>
        </w:tc>
      </w:tr>
      <w:tr w:rsidR="006A35A3" w14:paraId="6F0790F0" w14:textId="77777777" w:rsidTr="005A117D">
        <w:trPr>
          <w:cnfStyle w:val="000000100000" w:firstRow="0" w:lastRow="0" w:firstColumn="0" w:lastColumn="0" w:oddVBand="0" w:evenVBand="0" w:oddHBand="1" w:evenHBand="0" w:firstRowFirstColumn="0" w:firstRowLastColumn="0" w:lastRowFirstColumn="0" w:lastRowLastColumn="0"/>
        </w:trPr>
        <w:tc>
          <w:tcPr>
            <w:tcW w:w="960" w:type="pct"/>
            <w:vAlign w:val="top"/>
          </w:tcPr>
          <w:p w14:paraId="350F6311" w14:textId="77777777" w:rsidR="006A35A3" w:rsidRPr="00943E87" w:rsidRDefault="006A35A3" w:rsidP="00903767">
            <w:pPr>
              <w:pStyle w:val="Bullet"/>
              <w:rPr>
                <w:rFonts w:asciiTheme="majorHAnsi" w:hAnsiTheme="majorHAnsi" w:cstheme="majorBidi"/>
                <w:sz w:val="17"/>
                <w:szCs w:val="17"/>
              </w:rPr>
            </w:pPr>
            <w:r w:rsidRPr="0C5679B2">
              <w:rPr>
                <w:rFonts w:asciiTheme="majorHAnsi" w:hAnsiTheme="majorHAnsi" w:cstheme="majorBidi"/>
                <w:sz w:val="17"/>
                <w:szCs w:val="17"/>
              </w:rPr>
              <w:t>Universal Access to Early Childhood Education – 2018 – 2020</w:t>
            </w:r>
          </w:p>
        </w:tc>
        <w:tc>
          <w:tcPr>
            <w:tcW w:w="656" w:type="pct"/>
            <w:vAlign w:val="top"/>
          </w:tcPr>
          <w:p w14:paraId="2A584C28" w14:textId="77777777" w:rsidR="006A35A3" w:rsidRDefault="006A35A3" w:rsidP="00903767">
            <w:pPr>
              <w:pStyle w:val="Bullet"/>
              <w:rPr>
                <w:sz w:val="17"/>
                <w:szCs w:val="17"/>
              </w:rPr>
            </w:pPr>
            <w:r>
              <w:rPr>
                <w:sz w:val="17"/>
                <w:szCs w:val="17"/>
              </w:rPr>
              <w:t>January 2020 to December 2020</w:t>
            </w:r>
          </w:p>
          <w:p w14:paraId="186E713A" w14:textId="77777777" w:rsidR="006A35A3" w:rsidRPr="001A1A1A" w:rsidRDefault="006A35A3" w:rsidP="00903767">
            <w:pPr>
              <w:pStyle w:val="Bullet"/>
              <w:rPr>
                <w:sz w:val="17"/>
                <w:szCs w:val="17"/>
              </w:rPr>
            </w:pPr>
            <w:r>
              <w:rPr>
                <w:sz w:val="17"/>
                <w:szCs w:val="17"/>
              </w:rPr>
              <w:t>(additional year)</w:t>
            </w:r>
          </w:p>
        </w:tc>
        <w:tc>
          <w:tcPr>
            <w:tcW w:w="708" w:type="pct"/>
            <w:vAlign w:val="top"/>
          </w:tcPr>
          <w:p w14:paraId="5FFA779D" w14:textId="77777777" w:rsidR="006A35A3" w:rsidRPr="001A1A1A" w:rsidRDefault="006A35A3" w:rsidP="00903767">
            <w:pPr>
              <w:pStyle w:val="Bullet"/>
              <w:rPr>
                <w:sz w:val="17"/>
                <w:szCs w:val="17"/>
              </w:rPr>
            </w:pPr>
            <w:r>
              <w:rPr>
                <w:sz w:val="17"/>
                <w:szCs w:val="17"/>
              </w:rPr>
              <w:t>$449.5m</w:t>
            </w:r>
            <w:r w:rsidR="00943E87">
              <w:rPr>
                <w:sz w:val="17"/>
                <w:szCs w:val="17"/>
              </w:rPr>
              <w:t xml:space="preserve"> </w:t>
            </w:r>
            <w:r>
              <w:rPr>
                <w:sz w:val="17"/>
                <w:szCs w:val="17"/>
              </w:rPr>
              <w:t>(+ $3.6m</w:t>
            </w:r>
            <w:r w:rsidRPr="001A1A1A">
              <w:rPr>
                <w:sz w:val="17"/>
                <w:szCs w:val="17"/>
              </w:rPr>
              <w:t xml:space="preserve"> for data development</w:t>
            </w:r>
            <w:r>
              <w:rPr>
                <w:sz w:val="17"/>
                <w:szCs w:val="17"/>
              </w:rPr>
              <w:t>, including this Review</w:t>
            </w:r>
            <w:r w:rsidRPr="001A1A1A">
              <w:rPr>
                <w:sz w:val="17"/>
                <w:szCs w:val="17"/>
              </w:rPr>
              <w:t>)</w:t>
            </w:r>
          </w:p>
        </w:tc>
        <w:tc>
          <w:tcPr>
            <w:tcW w:w="2677" w:type="pct"/>
            <w:vAlign w:val="top"/>
          </w:tcPr>
          <w:p w14:paraId="26CBAF0F" w14:textId="77777777" w:rsidR="006A35A3" w:rsidRPr="00D24C1A" w:rsidRDefault="006A35A3" w:rsidP="00903767">
            <w:pPr>
              <w:pStyle w:val="TableNBullet"/>
            </w:pPr>
            <w:r w:rsidRPr="0C5679B2">
              <w:t xml:space="preserve">Governments agreed to conduct this independent review of arrangements </w:t>
            </w:r>
            <w:r w:rsidRPr="003B6A03">
              <w:t>to inform future directions for governments’ funding for preschool.</w:t>
            </w:r>
          </w:p>
        </w:tc>
      </w:tr>
    </w:tbl>
    <w:p w14:paraId="451FEEE8" w14:textId="77777777" w:rsidR="006A35A3" w:rsidRPr="006A35A3" w:rsidRDefault="006A35A3" w:rsidP="006A35A3">
      <w:pPr>
        <w:tabs>
          <w:tab w:val="left" w:pos="2627"/>
        </w:tabs>
        <w:sectPr w:rsidR="006A35A3" w:rsidRPr="006A35A3" w:rsidSect="00D2536C">
          <w:headerReference w:type="first" r:id="rId72"/>
          <w:pgSz w:w="16839" w:h="11907" w:orient="landscape" w:code="9"/>
          <w:pgMar w:top="1418" w:right="1418" w:bottom="1701" w:left="1559" w:header="720" w:footer="720" w:gutter="0"/>
          <w:cols w:space="720"/>
          <w:titlePg/>
          <w:docGrid w:linePitch="360"/>
        </w:sectPr>
      </w:pPr>
    </w:p>
    <w:bookmarkStart w:id="278" w:name="_Ref24558323"/>
    <w:bookmarkStart w:id="279" w:name="_Toc24559616"/>
    <w:p w14:paraId="751D1551" w14:textId="43061B87" w:rsidR="00B06C6D" w:rsidRDefault="00EC5C36" w:rsidP="0051288C">
      <w:pPr>
        <w:pStyle w:val="xAppendixLevel1"/>
      </w:pPr>
      <w:r>
        <w:lastRenderedPageBreak/>
        <w:fldChar w:fldCharType="begin"/>
      </w:r>
      <w:r>
        <w:instrText xml:space="preserve"> REF _Ref31278705 \h </w:instrText>
      </w:r>
      <w:r>
        <w:fldChar w:fldCharType="separate"/>
      </w:r>
      <w:bookmarkStart w:id="280" w:name="_Toc54597804"/>
      <w:r w:rsidR="00B37785" w:rsidRPr="00555985">
        <w:t xml:space="preserve">Figure </w:t>
      </w:r>
      <w:r w:rsidR="00B37785">
        <w:rPr>
          <w:noProof/>
        </w:rPr>
        <w:t>1</w:t>
      </w:r>
      <w:r>
        <w:fldChar w:fldCharType="end"/>
      </w:r>
      <w:r>
        <w:t xml:space="preserve"> </w:t>
      </w:r>
      <w:r w:rsidR="003B7C5A">
        <w:t>sources and notes</w:t>
      </w:r>
      <w:bookmarkEnd w:id="278"/>
      <w:bookmarkEnd w:id="279"/>
      <w:bookmarkEnd w:id="280"/>
    </w:p>
    <w:p w14:paraId="77C7B8DC" w14:textId="4FE03C09" w:rsidR="00B06C6D" w:rsidRPr="00B06C6D" w:rsidRDefault="00B06C6D" w:rsidP="00B06C6D">
      <w:r>
        <w:t>To reduce the length of the executive summary, t</w:t>
      </w:r>
      <w:r w:rsidRPr="00B06C6D">
        <w:t>his append</w:t>
      </w:r>
      <w:r>
        <w:t>ix lists the sources and notes for</w:t>
      </w:r>
      <w:r w:rsidR="00EC5C36">
        <w:t xml:space="preserve"> </w:t>
      </w:r>
      <w:r w:rsidR="00EC5C36">
        <w:fldChar w:fldCharType="begin"/>
      </w:r>
      <w:r w:rsidR="00EC5C36">
        <w:instrText xml:space="preserve"> REF _Ref31278705 \h </w:instrText>
      </w:r>
      <w:r w:rsidR="00EC5C36">
        <w:fldChar w:fldCharType="separate"/>
      </w:r>
      <w:r w:rsidR="00B37785" w:rsidRPr="00555985">
        <w:t xml:space="preserve">Figure </w:t>
      </w:r>
      <w:r w:rsidR="00B37785">
        <w:rPr>
          <w:noProof/>
        </w:rPr>
        <w:t>1</w:t>
      </w:r>
      <w:r w:rsidR="00EC5C36">
        <w:fldChar w:fldCharType="end"/>
      </w:r>
      <w:r>
        <w:t xml:space="preserve"> in the executive summary. </w:t>
      </w:r>
    </w:p>
    <w:p w14:paraId="440BDA9D" w14:textId="77777777" w:rsidR="00B06C6D" w:rsidRDefault="00B06C6D" w:rsidP="00B06C6D">
      <w:pPr>
        <w:pStyle w:val="Heading5"/>
      </w:pPr>
      <w:r>
        <w:t>Sources</w:t>
      </w:r>
    </w:p>
    <w:p w14:paraId="15CE9B45" w14:textId="77777777" w:rsidR="005D4797" w:rsidRDefault="00B06C6D" w:rsidP="00B06C6D">
      <w:pPr>
        <w:pStyle w:val="ListParagraph"/>
        <w:numPr>
          <w:ilvl w:val="5"/>
          <w:numId w:val="1"/>
        </w:numPr>
      </w:pPr>
      <w:r w:rsidRPr="00B06C6D">
        <w:t>2008 proportion of children enrolled for 600 hours or more: data from Bilateral Agreements under the National Partnership Agreement on Early Childhood Education, Council of Australian Governments, 2008.</w:t>
      </w:r>
    </w:p>
    <w:p w14:paraId="32275E90" w14:textId="77777777" w:rsidR="005D4797" w:rsidRDefault="00B06C6D" w:rsidP="005D4797">
      <w:pPr>
        <w:pStyle w:val="ListParagraph"/>
        <w:ind w:left="360"/>
      </w:pPr>
      <w:r w:rsidRPr="00B06C6D">
        <w:t>2008 total children enrolled: data from Table 2.3 in Eighteen Month Review of the National Partnership Agreement on Early Childhood Education, The Allen Consulting Group, 2011.</w:t>
      </w:r>
    </w:p>
    <w:p w14:paraId="2B639281" w14:textId="77777777" w:rsidR="0083243D" w:rsidRDefault="00B06C6D" w:rsidP="005D4797">
      <w:pPr>
        <w:pStyle w:val="ListParagraph"/>
        <w:ind w:left="360"/>
      </w:pPr>
      <w:r w:rsidRPr="00B06C6D">
        <w:t>2013 and 2018 data collected for the purposes of reporting on the UANP and provided to Nous for the purpose of this Review. Includes supplementary data from some jurisdictions. Indigenous/vulnerable and disadvantaged children in YBFS enrolment: 2013 data from Table 12, Table 19 in ABS Preschool Education, Australia (cat. No. 4240.0), 2012. 2018 data from Table 28, Table 30 in ABS Preschool Education, Australia (cat. No. 4240.0), 2018.</w:t>
      </w:r>
    </w:p>
    <w:p w14:paraId="25F830B0" w14:textId="77777777" w:rsidR="0083243D" w:rsidRDefault="00B06C6D" w:rsidP="00B06C6D">
      <w:pPr>
        <w:pStyle w:val="ListParagraph"/>
        <w:numPr>
          <w:ilvl w:val="5"/>
          <w:numId w:val="1"/>
        </w:numPr>
      </w:pPr>
      <w:r w:rsidRPr="00B06C6D">
        <w:t>Quotes gathered through the UANP Review survey, conducted by Nous, 2019.</w:t>
      </w:r>
    </w:p>
    <w:p w14:paraId="3D7090E7" w14:textId="77777777" w:rsidR="00F621AE" w:rsidRDefault="00B06C6D" w:rsidP="00B06C6D">
      <w:pPr>
        <w:pStyle w:val="ListParagraph"/>
        <w:numPr>
          <w:ilvl w:val="5"/>
          <w:numId w:val="1"/>
        </w:numPr>
      </w:pPr>
      <w:r w:rsidRPr="00B06C6D">
        <w:t>Qualified ECTs: 2013 data from Attachment table 3A.37 in Report on Government Services, Australian Government Productivity Commission, 2015.</w:t>
      </w:r>
      <w:r w:rsidR="00712C44">
        <w:t xml:space="preserve"> </w:t>
      </w:r>
      <w:r w:rsidRPr="00B06C6D">
        <w:t>2016 data from Attachment table 3A.46 in Report on Government Services, Australian Government Productivity Commission, 2017.</w:t>
      </w:r>
    </w:p>
    <w:p w14:paraId="2273B3E7" w14:textId="77777777" w:rsidR="0083243D" w:rsidRDefault="00B06C6D" w:rsidP="00E92817">
      <w:pPr>
        <w:pStyle w:val="ListParagraph"/>
        <w:ind w:left="360"/>
      </w:pPr>
      <w:r w:rsidRPr="00B06C6D">
        <w:t>Services with a qualified ECTs: data collected for the purposes of reporting on the UANP and provided to Nous for the purpose of this Review. (</w:t>
      </w:r>
      <w:r w:rsidR="00BD5115">
        <w:t>Performance Indicator</w:t>
      </w:r>
      <w:r w:rsidRPr="00B06C6D">
        <w:t xml:space="preserve"> 1).</w:t>
      </w:r>
    </w:p>
    <w:p w14:paraId="4BC9716B" w14:textId="77777777" w:rsidR="00EC533A" w:rsidRDefault="00E56658" w:rsidP="00556ECA">
      <w:pPr>
        <w:pStyle w:val="ListParagraph"/>
        <w:numPr>
          <w:ilvl w:val="5"/>
          <w:numId w:val="1"/>
        </w:numPr>
      </w:pPr>
      <w:r>
        <w:t xml:space="preserve">Funding through the UANP: </w:t>
      </w:r>
      <w:r w:rsidR="00501DF8">
        <w:t>a</w:t>
      </w:r>
      <w:r w:rsidR="00B06C6D" w:rsidRPr="00B06C6D">
        <w:t>ttachment table 3A.8 in Report on Government Services, Australian Government Productivity Commission, 2019.</w:t>
      </w:r>
      <w:r w:rsidR="00501DF8">
        <w:t xml:space="preserve"> </w:t>
      </w:r>
      <w:r w:rsidR="004D348D">
        <w:t xml:space="preserve">State and Territory government expenditure: </w:t>
      </w:r>
      <w:r w:rsidR="002C32A2">
        <w:t xml:space="preserve">(FY 12-13 &amp; FY 17-18) </w:t>
      </w:r>
      <w:r w:rsidR="00ED2C7A">
        <w:t>attachment table 3A.</w:t>
      </w:r>
      <w:r w:rsidR="00F206DD">
        <w:t>7</w:t>
      </w:r>
      <w:r w:rsidR="00ED2C7A">
        <w:t xml:space="preserve"> </w:t>
      </w:r>
      <w:r w:rsidR="00DB7339">
        <w:t xml:space="preserve">– preschool services total expenditure </w:t>
      </w:r>
      <w:r w:rsidR="00ED2C7A" w:rsidRPr="00B06C6D">
        <w:t>in Report on Government Services, Australian Government Productivity Commission, 2019</w:t>
      </w:r>
      <w:r w:rsidR="00D52882">
        <w:t xml:space="preserve">, </w:t>
      </w:r>
      <w:r w:rsidR="00D52882" w:rsidRPr="0056409D">
        <w:t>minus the UANP allocation</w:t>
      </w:r>
      <w:r w:rsidR="001F5303">
        <w:t>.</w:t>
      </w:r>
      <w:r w:rsidR="00ED2C7A" w:rsidDel="001F5303">
        <w:t xml:space="preserve"> </w:t>
      </w:r>
      <w:r w:rsidR="002C32A2">
        <w:t xml:space="preserve">(FY 09-10) </w:t>
      </w:r>
      <w:r w:rsidR="00ED2C7A">
        <w:t xml:space="preserve">attachment </w:t>
      </w:r>
      <w:r w:rsidR="002C32A2">
        <w:t xml:space="preserve">table </w:t>
      </w:r>
      <w:r w:rsidR="00652D54">
        <w:t xml:space="preserve">3A.5 </w:t>
      </w:r>
      <w:r w:rsidR="00652D54" w:rsidRPr="00B06C6D">
        <w:t>in Report on Government Services, Australian Government Productivity Commission, 201</w:t>
      </w:r>
      <w:r w:rsidR="00652D54">
        <w:t>5</w:t>
      </w:r>
      <w:r w:rsidR="004A695A">
        <w:t xml:space="preserve">, </w:t>
      </w:r>
      <w:r w:rsidR="00EC533A" w:rsidRPr="0056409D">
        <w:t>minus the</w:t>
      </w:r>
      <w:r w:rsidR="00EC533A" w:rsidRPr="0056409D" w:rsidDel="00D52882">
        <w:t xml:space="preserve"> </w:t>
      </w:r>
      <w:r w:rsidR="00EC533A" w:rsidRPr="0056409D">
        <w:t>UANP allocation</w:t>
      </w:r>
    </w:p>
    <w:p w14:paraId="0A11012C" w14:textId="77777777" w:rsidR="0083243D" w:rsidRDefault="00B06C6D" w:rsidP="00B06C6D">
      <w:pPr>
        <w:pStyle w:val="ListParagraph"/>
        <w:numPr>
          <w:ilvl w:val="5"/>
          <w:numId w:val="1"/>
        </w:numPr>
      </w:pPr>
      <w:r w:rsidRPr="00B06C6D">
        <w:t>Research snapshot: Early childhood education and care and the transition to school, Australian Early Development Census (AEDC), 2014.</w:t>
      </w:r>
    </w:p>
    <w:p w14:paraId="4966ACA8" w14:textId="77777777" w:rsidR="00834EB8" w:rsidRDefault="00B06C6D" w:rsidP="00B06C6D">
      <w:pPr>
        <w:pStyle w:val="ListParagraph"/>
        <w:numPr>
          <w:ilvl w:val="5"/>
          <w:numId w:val="1"/>
        </w:numPr>
      </w:pPr>
      <w:r w:rsidRPr="00B06C6D">
        <w:t>Preschool programs: attachment table 3A.11 in Report on Government Services, Australian Government Productivity Commission, 2019.</w:t>
      </w:r>
    </w:p>
    <w:p w14:paraId="02FA814D" w14:textId="77777777" w:rsidR="00B06C6D" w:rsidRDefault="00B06C6D" w:rsidP="00557ABD">
      <w:pPr>
        <w:pStyle w:val="ListParagraph"/>
        <w:ind w:left="360"/>
      </w:pPr>
      <w:r w:rsidRPr="00B06C6D">
        <w:t xml:space="preserve">Meeting or exceeding quality standards: </w:t>
      </w:r>
      <w:r w:rsidR="00557ABD" w:rsidRPr="00B06C6D">
        <w:t>3A.</w:t>
      </w:r>
      <w:r w:rsidR="00557ABD">
        <w:t>4</w:t>
      </w:r>
      <w:r w:rsidR="00557ABD" w:rsidRPr="00B06C6D">
        <w:t>1 in Report on Government Services, Australian Government Productivity Commission, 201</w:t>
      </w:r>
      <w:r w:rsidR="00557ABD">
        <w:t>5</w:t>
      </w:r>
      <w:r w:rsidR="00557ABD" w:rsidRPr="00B06C6D">
        <w:t>.</w:t>
      </w:r>
      <w:r w:rsidR="00557ABD">
        <w:t xml:space="preserve"> </w:t>
      </w:r>
      <w:r w:rsidR="00557ABD" w:rsidRPr="00B06C6D">
        <w:t>3A.</w:t>
      </w:r>
      <w:r w:rsidR="00557ABD">
        <w:t>32</w:t>
      </w:r>
      <w:r w:rsidR="00557ABD" w:rsidRPr="00B06C6D">
        <w:t xml:space="preserve"> in Report on Government Services, Australian Government Productivity Commission, 201</w:t>
      </w:r>
      <w:r w:rsidR="00557ABD">
        <w:t>9</w:t>
      </w:r>
      <w:r w:rsidR="00557ABD" w:rsidRPr="00B06C6D">
        <w:t>.</w:t>
      </w:r>
    </w:p>
    <w:p w14:paraId="5F3F1966" w14:textId="77777777" w:rsidR="00B06C6D" w:rsidRDefault="00B06C6D" w:rsidP="00B06C6D">
      <w:pPr>
        <w:pStyle w:val="Heading5"/>
      </w:pPr>
      <w:r>
        <w:t>Notes</w:t>
      </w:r>
    </w:p>
    <w:p w14:paraId="12BE4144" w14:textId="77777777" w:rsidR="00F46C48" w:rsidRDefault="00B06C6D" w:rsidP="001C3D79">
      <w:pPr>
        <w:pStyle w:val="ListParagraph"/>
        <w:numPr>
          <w:ilvl w:val="0"/>
          <w:numId w:val="27"/>
        </w:numPr>
      </w:pPr>
      <w:r>
        <w:t>2008 Total number of children enrolled: calculated by multiplying the proportion of children enrolled in ECE by population of children aged 4 in 2007-08 for each jurisdiction.</w:t>
      </w:r>
    </w:p>
    <w:p w14:paraId="27DA84B4" w14:textId="77777777" w:rsidR="0083243D" w:rsidRDefault="00B06C6D" w:rsidP="00F46C48">
      <w:pPr>
        <w:pStyle w:val="ListParagraph"/>
        <w:ind w:left="360"/>
      </w:pPr>
      <w:r>
        <w:t xml:space="preserve">Percentages of Indigenous/vulnerable and disadvantaged children enrolled (i.e. </w:t>
      </w:r>
      <w:r w:rsidR="00BD5115">
        <w:t>Performance Indicator</w:t>
      </w:r>
      <w:r>
        <w:t xml:space="preserve"> 2.2 and </w:t>
      </w:r>
      <w:r w:rsidR="00BD5115">
        <w:t>Performance Indicator</w:t>
      </w:r>
      <w:r>
        <w:t xml:space="preserve"> 2.3) are reported using the YBFS method: number of children in subgroup in YBFS / ERP of </w:t>
      </w:r>
      <w:r w:rsidR="00411ACF">
        <w:t xml:space="preserve">four </w:t>
      </w:r>
      <w:r>
        <w:t>years old. In 2013, NT and Queensland distributed children with unknown 'SEIFA' proportionally across quintiles; SA moved from rolling intake to single year intake which impacted on data during collection week (smaller cohort included).</w:t>
      </w:r>
      <w:r w:rsidR="0083243D">
        <w:t xml:space="preserve"> </w:t>
      </w:r>
      <w:r>
        <w:t xml:space="preserve">In 2018, NT data included children from 2 Families as First Teachers centres; ACT uses AEDC data as alternative measure of vulnerability and disadvantage; Tasmania added a portion of the Not Stated to Indigenous enrolment numbers. </w:t>
      </w:r>
    </w:p>
    <w:p w14:paraId="0521AD4F" w14:textId="77777777" w:rsidR="0083243D" w:rsidRDefault="00B06C6D" w:rsidP="001C3D79">
      <w:pPr>
        <w:pStyle w:val="ListParagraph"/>
        <w:numPr>
          <w:ilvl w:val="0"/>
          <w:numId w:val="27"/>
        </w:numPr>
      </w:pPr>
      <w:r>
        <w:lastRenderedPageBreak/>
        <w:t>Results extracted from the UANP Review survey of parents/carers (N=182).</w:t>
      </w:r>
    </w:p>
    <w:p w14:paraId="780260D9" w14:textId="77777777" w:rsidR="0083243D" w:rsidRDefault="00B06C6D" w:rsidP="001C3D79">
      <w:pPr>
        <w:pStyle w:val="ListParagraph"/>
        <w:numPr>
          <w:ilvl w:val="0"/>
          <w:numId w:val="27"/>
        </w:numPr>
      </w:pPr>
      <w:r>
        <w:t>The number of qualified ECTs are defined as paid primary contact staff with a bachelor’s degree and above in early childhood education.</w:t>
      </w:r>
    </w:p>
    <w:p w14:paraId="0E4A6B08" w14:textId="77777777" w:rsidR="00873E68" w:rsidRDefault="00B06C6D" w:rsidP="001C3D79">
      <w:pPr>
        <w:pStyle w:val="ListParagraph"/>
        <w:numPr>
          <w:ilvl w:val="0"/>
          <w:numId w:val="27"/>
        </w:numPr>
      </w:pPr>
      <w:r>
        <w:t xml:space="preserve">The State and Territory government expenditure is </w:t>
      </w:r>
      <w:r w:rsidR="000204E5">
        <w:t>the</w:t>
      </w:r>
      <w:r>
        <w:t xml:space="preserve"> recurrent and net capital expenditures for preschool service delivery; in addition to this, S/T have made major significant capital investments and funded programs to promote preschool participation and early development outcomes. Capital expenditure data may fluctuate due to the timing of grants payments which are related to programs that are delivered across financial years. Time series financial data are adjusted to 2017-18 dollars</w:t>
      </w:r>
      <w:r w:rsidR="00694207">
        <w:t xml:space="preserve"> using the</w:t>
      </w:r>
      <w:r w:rsidR="00D26651" w:rsidRPr="00D26651">
        <w:t xml:space="preserve"> GGFCE chain price deflator (2017-18 = 100)</w:t>
      </w:r>
      <w:r w:rsidR="00CE7724">
        <w:t xml:space="preserve">. </w:t>
      </w:r>
      <w:r w:rsidR="008F272A">
        <w:t xml:space="preserve">See </w:t>
      </w:r>
      <w:r w:rsidR="00CF06C4">
        <w:t xml:space="preserve">table 36 in </w:t>
      </w:r>
      <w:r w:rsidR="008F272A" w:rsidRPr="008F272A">
        <w:t>ABS Australian National Accounts: National Income, Expenditure and Product, June 2018</w:t>
      </w:r>
      <w:r w:rsidR="00CF06C4">
        <w:t xml:space="preserve"> (</w:t>
      </w:r>
      <w:r w:rsidR="008F272A" w:rsidRPr="008F272A">
        <w:t>Cat. no. 5206.0</w:t>
      </w:r>
      <w:r w:rsidR="00CF06C4">
        <w:t>)</w:t>
      </w:r>
      <w:r w:rsidR="008F272A" w:rsidRPr="008F272A">
        <w:t xml:space="preserve"> Canberra</w:t>
      </w:r>
      <w:r w:rsidR="00625B9F">
        <w:t xml:space="preserve"> for</w:t>
      </w:r>
      <w:r w:rsidR="00E663EA">
        <w:t xml:space="preserve"> index value.</w:t>
      </w:r>
      <w:r w:rsidR="00625B9F">
        <w:t xml:space="preserve"> </w:t>
      </w:r>
    </w:p>
    <w:p w14:paraId="57F8D1AB" w14:textId="77777777" w:rsidR="00873E68" w:rsidRDefault="00B06C6D" w:rsidP="001C3D79">
      <w:pPr>
        <w:pStyle w:val="ListParagraph"/>
        <w:numPr>
          <w:ilvl w:val="0"/>
          <w:numId w:val="27"/>
        </w:numPr>
      </w:pPr>
      <w:r>
        <w:t>The AEDC report uses 2009 data.</w:t>
      </w:r>
    </w:p>
    <w:p w14:paraId="5A03EF47" w14:textId="77777777" w:rsidR="001A6E75" w:rsidRDefault="00B06C6D" w:rsidP="001C3D79">
      <w:pPr>
        <w:pStyle w:val="ListParagraph"/>
        <w:numPr>
          <w:ilvl w:val="0"/>
          <w:numId w:val="27"/>
        </w:numPr>
        <w:rPr>
          <w:lang w:eastAsia="en-AU"/>
        </w:rPr>
        <w:sectPr w:rsidR="001A6E75" w:rsidSect="00366DAB">
          <w:headerReference w:type="default" r:id="rId73"/>
          <w:headerReference w:type="first" r:id="rId74"/>
          <w:pgSz w:w="11907" w:h="16839" w:code="9"/>
          <w:pgMar w:top="1418" w:right="1701" w:bottom="1559" w:left="1418" w:header="720" w:footer="720" w:gutter="0"/>
          <w:cols w:space="720"/>
          <w:titlePg/>
          <w:docGrid w:linePitch="360"/>
        </w:sectPr>
      </w:pPr>
      <w:r>
        <w:t>ACECQA data as at 30 June for each reference year and are cumulative of services with a quality rating since ratings began in June 2012. Services with more than one quality rating are reported by their most recent quality rating. Data does not include Tasmania</w:t>
      </w:r>
      <w:r w:rsidR="000304DD">
        <w:t xml:space="preserve"> and </w:t>
      </w:r>
      <w:r>
        <w:t>W</w:t>
      </w:r>
      <w:r w:rsidR="000304DD">
        <w:t xml:space="preserve">estern </w:t>
      </w:r>
      <w:r>
        <w:t>A</w:t>
      </w:r>
      <w:r w:rsidR="000304DD">
        <w:t>ustralia</w:t>
      </w:r>
      <w:r>
        <w:t>, who maintain a separate but similar quality standards assessment framework.</w:t>
      </w:r>
    </w:p>
    <w:p w14:paraId="63FF5859" w14:textId="5628F3C2" w:rsidR="00AE1119" w:rsidRPr="00D972B0" w:rsidRDefault="00AE1119" w:rsidP="00AE1119">
      <w:pPr>
        <w:pStyle w:val="xAppendixLevel1"/>
      </w:pPr>
      <w:bookmarkStart w:id="281" w:name="_Toc24559618"/>
      <w:bookmarkStart w:id="282" w:name="_Toc54597805"/>
      <w:r>
        <w:lastRenderedPageBreak/>
        <w:t>The Review’s calculation of funding estimates</w:t>
      </w:r>
      <w:bookmarkEnd w:id="281"/>
      <w:bookmarkEnd w:id="282"/>
    </w:p>
    <w:p w14:paraId="55ED3B34" w14:textId="686BF45D" w:rsidR="00AE1119" w:rsidRDefault="00AE1119" w:rsidP="00AE1119">
      <w:r w:rsidRPr="00E13B60">
        <w:t>This note explains how the Review has estimated the contribution of different funding s</w:t>
      </w:r>
      <w:r>
        <w:t>ources</w:t>
      </w:r>
      <w:r w:rsidRPr="00E13B60">
        <w:t xml:space="preserve"> to preschool provision</w:t>
      </w:r>
      <w:r>
        <w:t xml:space="preserve">. These figures are used in </w:t>
      </w:r>
      <w:r>
        <w:fldChar w:fldCharType="begin"/>
      </w:r>
      <w:r>
        <w:instrText xml:space="preserve"> REF _Ref24381771 \h </w:instrText>
      </w:r>
      <w:r>
        <w:fldChar w:fldCharType="separate"/>
      </w:r>
      <w:r w:rsidR="00B37785">
        <w:t xml:space="preserve">Figure </w:t>
      </w:r>
      <w:r w:rsidR="00B37785">
        <w:rPr>
          <w:noProof/>
        </w:rPr>
        <w:t>10</w:t>
      </w:r>
      <w:r>
        <w:fldChar w:fldCharType="end"/>
      </w:r>
      <w:r>
        <w:t xml:space="preserve"> of the report.</w:t>
      </w:r>
    </w:p>
    <w:p w14:paraId="090510D0" w14:textId="43413323" w:rsidR="00AE1119" w:rsidRDefault="00AE1119" w:rsidP="003850B4">
      <w:pPr>
        <w:spacing w:line="240" w:lineRule="auto"/>
        <w:rPr>
          <w:lang w:eastAsia="en-AU"/>
        </w:rPr>
      </w:pPr>
      <w:r>
        <w:rPr>
          <w:lang w:eastAsia="en-AU"/>
        </w:rPr>
        <w:t>Government f</w:t>
      </w:r>
      <w:r w:rsidRPr="00EB2F30">
        <w:rPr>
          <w:lang w:eastAsia="en-AU"/>
        </w:rPr>
        <w:t xml:space="preserve">unding for </w:t>
      </w:r>
      <w:r>
        <w:t xml:space="preserve">preschool </w:t>
      </w:r>
      <w:r w:rsidRPr="00EB2F30">
        <w:rPr>
          <w:lang w:eastAsia="en-AU"/>
        </w:rPr>
        <w:t xml:space="preserve">comprises State and Territory contributions </w:t>
      </w:r>
      <w:r>
        <w:rPr>
          <w:lang w:eastAsia="en-AU"/>
        </w:rPr>
        <w:t>that</w:t>
      </w:r>
      <w:r w:rsidRPr="00EB2F30">
        <w:rPr>
          <w:lang w:eastAsia="en-AU"/>
        </w:rPr>
        <w:t xml:space="preserve"> are determined at a jurisdictional level</w:t>
      </w:r>
      <w:r>
        <w:rPr>
          <w:lang w:eastAsia="en-AU"/>
        </w:rPr>
        <w:t xml:space="preserve"> and </w:t>
      </w:r>
      <w:r w:rsidRPr="00EB2F30">
        <w:rPr>
          <w:lang w:eastAsia="en-AU"/>
        </w:rPr>
        <w:t>Australian Government funding under the UANP.</w:t>
      </w:r>
      <w:r>
        <w:rPr>
          <w:lang w:eastAsia="en-AU"/>
        </w:rPr>
        <w:t xml:space="preserve"> </w:t>
      </w:r>
      <w:r w:rsidRPr="00EB2F30">
        <w:rPr>
          <w:lang w:eastAsia="en-AU"/>
        </w:rPr>
        <w:t>Some categories of preschool providers also have access to alternative streams of public funding</w:t>
      </w:r>
      <w:r>
        <w:rPr>
          <w:lang w:eastAsia="en-AU"/>
        </w:rPr>
        <w:t xml:space="preserve">, which are not for </w:t>
      </w:r>
      <w:r>
        <w:t>the express purpose of supporting preschool provision</w:t>
      </w:r>
      <w:r w:rsidRPr="00EB2F30">
        <w:rPr>
          <w:lang w:eastAsia="en-AU"/>
        </w:rPr>
        <w:t xml:space="preserve">. </w:t>
      </w:r>
      <w:r>
        <w:rPr>
          <w:lang w:eastAsia="en-AU"/>
        </w:rPr>
        <w:t>Of most interest to the Review is the interaction with Australian Government child care subsidies (available for</w:t>
      </w:r>
      <w:r w:rsidRPr="00EB2F30">
        <w:rPr>
          <w:lang w:eastAsia="en-AU"/>
        </w:rPr>
        <w:t xml:space="preserve"> CBDC services</w:t>
      </w:r>
      <w:r>
        <w:rPr>
          <w:lang w:eastAsia="en-AU"/>
        </w:rPr>
        <w:t xml:space="preserve"> but not </w:t>
      </w:r>
      <w:r w:rsidR="00DB511B">
        <w:rPr>
          <w:lang w:eastAsia="en-AU"/>
        </w:rPr>
        <w:t xml:space="preserve">standalone and school-based </w:t>
      </w:r>
      <w:r>
        <w:rPr>
          <w:lang w:eastAsia="en-AU"/>
        </w:rPr>
        <w:t>preschool services)</w:t>
      </w:r>
      <w:r w:rsidRPr="00EB2F30">
        <w:rPr>
          <w:lang w:eastAsia="en-AU"/>
        </w:rPr>
        <w:t>.</w:t>
      </w:r>
      <w:r>
        <w:rPr>
          <w:lang w:eastAsia="en-AU"/>
        </w:rPr>
        <w:t xml:space="preserve"> In addition to this, parents and families contribute to the cost of preschool through payment of fees. </w:t>
      </w:r>
    </w:p>
    <w:tbl>
      <w:tblPr>
        <w:tblStyle w:val="TableGrid"/>
        <w:tblW w:w="0" w:type="auto"/>
        <w:tblLook w:val="04A0" w:firstRow="1" w:lastRow="0" w:firstColumn="1" w:lastColumn="0" w:noHBand="0" w:noVBand="1"/>
      </w:tblPr>
      <w:tblGrid>
        <w:gridCol w:w="8930"/>
      </w:tblGrid>
      <w:tr w:rsidR="00AE1119" w14:paraId="3157AAF3" w14:textId="77777777" w:rsidTr="00AE1119">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62A3A7" w14:textId="77777777" w:rsidR="00AE1119" w:rsidRPr="00477A2A" w:rsidRDefault="00AE1119" w:rsidP="00AE1119">
            <w:pPr>
              <w:rPr>
                <w:rFonts w:asciiTheme="majorHAnsi" w:hAnsiTheme="majorHAnsi" w:cstheme="majorHAnsi"/>
                <w:lang w:eastAsia="en-AU"/>
              </w:rPr>
            </w:pPr>
            <w:r w:rsidRPr="00477A2A">
              <w:rPr>
                <w:rFonts w:asciiTheme="majorHAnsi" w:hAnsiTheme="majorHAnsi" w:cstheme="majorHAnsi"/>
                <w:lang w:eastAsia="en-AU"/>
              </w:rPr>
              <w:t>There are four funding sources for providers of preschool:</w:t>
            </w:r>
          </w:p>
          <w:p w14:paraId="3D2CF7F6" w14:textId="77777777" w:rsidR="00AE1119" w:rsidRPr="00DC078B" w:rsidRDefault="00AE1119" w:rsidP="001C3D79">
            <w:pPr>
              <w:pStyle w:val="Bullet"/>
              <w:numPr>
                <w:ilvl w:val="0"/>
                <w:numId w:val="28"/>
              </w:numPr>
              <w:rPr>
                <w:color w:val="auto"/>
              </w:rPr>
            </w:pPr>
            <w:r w:rsidRPr="00DC078B">
              <w:rPr>
                <w:rFonts w:asciiTheme="majorHAnsi" w:hAnsiTheme="majorHAnsi" w:cstheme="majorHAnsi"/>
                <w:color w:val="auto"/>
              </w:rPr>
              <w:t xml:space="preserve">Category 1: </w:t>
            </w:r>
            <w:r w:rsidRPr="00DC078B">
              <w:rPr>
                <w:color w:val="auto"/>
              </w:rPr>
              <w:t xml:space="preserve">State and Territory funding </w:t>
            </w:r>
          </w:p>
          <w:p w14:paraId="01317E59" w14:textId="77777777" w:rsidR="00AE1119" w:rsidRPr="00DC078B" w:rsidRDefault="00AE1119" w:rsidP="001C3D79">
            <w:pPr>
              <w:pStyle w:val="Bullet"/>
              <w:numPr>
                <w:ilvl w:val="0"/>
                <w:numId w:val="28"/>
              </w:numPr>
              <w:rPr>
                <w:color w:val="auto"/>
              </w:rPr>
            </w:pPr>
            <w:r w:rsidRPr="00DC078B">
              <w:rPr>
                <w:rFonts w:asciiTheme="majorHAnsi" w:hAnsiTheme="majorHAnsi" w:cstheme="majorHAnsi"/>
                <w:color w:val="auto"/>
              </w:rPr>
              <w:t xml:space="preserve">Category 2: </w:t>
            </w:r>
            <w:r w:rsidRPr="00DC078B">
              <w:rPr>
                <w:color w:val="auto"/>
              </w:rPr>
              <w:t>Australian Government contribution under the UANP</w:t>
            </w:r>
          </w:p>
          <w:p w14:paraId="62C8D7F9" w14:textId="77777777" w:rsidR="00AE1119" w:rsidRPr="00DC078B" w:rsidRDefault="00AE1119" w:rsidP="001C3D79">
            <w:pPr>
              <w:pStyle w:val="Bullet"/>
              <w:numPr>
                <w:ilvl w:val="0"/>
                <w:numId w:val="28"/>
              </w:numPr>
              <w:rPr>
                <w:color w:val="auto"/>
              </w:rPr>
            </w:pPr>
            <w:r w:rsidRPr="00DC078B">
              <w:rPr>
                <w:rFonts w:asciiTheme="majorHAnsi" w:hAnsiTheme="majorHAnsi" w:cstheme="majorHAnsi"/>
                <w:color w:val="auto"/>
              </w:rPr>
              <w:t xml:space="preserve">Category 3: </w:t>
            </w:r>
            <w:r w:rsidRPr="00DC078B">
              <w:rPr>
                <w:color w:val="auto"/>
              </w:rPr>
              <w:t>Australian Government child care subsidies (CCS and previous versions)</w:t>
            </w:r>
          </w:p>
          <w:p w14:paraId="4E125BC6" w14:textId="77777777" w:rsidR="00AE1119" w:rsidRPr="00477A2A" w:rsidRDefault="00AE1119" w:rsidP="001C3D79">
            <w:pPr>
              <w:pStyle w:val="Bullet"/>
              <w:numPr>
                <w:ilvl w:val="0"/>
                <w:numId w:val="28"/>
              </w:numPr>
            </w:pPr>
            <w:r w:rsidRPr="00DC078B">
              <w:rPr>
                <w:rFonts w:asciiTheme="majorHAnsi" w:hAnsiTheme="majorHAnsi" w:cstheme="majorHAnsi"/>
                <w:color w:val="auto"/>
              </w:rPr>
              <w:t xml:space="preserve">Category 4: </w:t>
            </w:r>
            <w:r>
              <w:t>Out of pocket costs (i.e. after subsidies) incurred by parents.</w:t>
            </w:r>
          </w:p>
        </w:tc>
      </w:tr>
    </w:tbl>
    <w:p w14:paraId="0B45F4F6" w14:textId="77777777" w:rsidR="00AE1119" w:rsidRDefault="00AE1119" w:rsidP="00AE1119">
      <w:r>
        <w:t xml:space="preserve">No single data source encompasses all funding streams available to preschool providers. The Review therefore relied on multiple data sources, as follows: </w:t>
      </w:r>
    </w:p>
    <w:p w14:paraId="15D33C30" w14:textId="77777777" w:rsidR="00AE1119" w:rsidRPr="00DC078B" w:rsidRDefault="00AE1119" w:rsidP="001C3D79">
      <w:pPr>
        <w:pStyle w:val="Bullet"/>
        <w:numPr>
          <w:ilvl w:val="0"/>
          <w:numId w:val="28"/>
        </w:numPr>
      </w:pPr>
      <w:r w:rsidRPr="00DC078B">
        <w:rPr>
          <w:rFonts w:asciiTheme="majorHAnsi" w:hAnsiTheme="majorHAnsi" w:cstheme="majorHAnsi"/>
        </w:rPr>
        <w:t xml:space="preserve">Category 1: </w:t>
      </w:r>
      <w:r w:rsidRPr="00DC078B">
        <w:t>Report of Government Services, Productivity Commission (ROGS)</w:t>
      </w:r>
    </w:p>
    <w:p w14:paraId="63B8C777" w14:textId="77777777" w:rsidR="00AE1119" w:rsidRPr="00DC078B" w:rsidRDefault="00AE1119" w:rsidP="001C3D79">
      <w:pPr>
        <w:pStyle w:val="Bullet"/>
        <w:numPr>
          <w:ilvl w:val="0"/>
          <w:numId w:val="28"/>
        </w:numPr>
      </w:pPr>
      <w:r w:rsidRPr="00DC078B">
        <w:rPr>
          <w:rFonts w:asciiTheme="majorHAnsi" w:hAnsiTheme="majorHAnsi" w:cstheme="majorHAnsi"/>
        </w:rPr>
        <w:t xml:space="preserve">Category 2: </w:t>
      </w:r>
      <w:r w:rsidRPr="00DC078B">
        <w:t>ROGS</w:t>
      </w:r>
    </w:p>
    <w:p w14:paraId="42C90BC1" w14:textId="77777777" w:rsidR="00AE1119" w:rsidRPr="00DC078B" w:rsidRDefault="00AE1119" w:rsidP="001C3D79">
      <w:pPr>
        <w:pStyle w:val="Bullet"/>
        <w:numPr>
          <w:ilvl w:val="0"/>
          <w:numId w:val="28"/>
        </w:numPr>
      </w:pPr>
      <w:r w:rsidRPr="00DC078B">
        <w:rPr>
          <w:rFonts w:asciiTheme="majorHAnsi" w:hAnsiTheme="majorHAnsi" w:cstheme="majorHAnsi"/>
        </w:rPr>
        <w:t>Category 3</w:t>
      </w:r>
      <w:r w:rsidRPr="00DC078B">
        <w:t>: Administrative data, Australian Government Department of Education (Australian Government administrative data)</w:t>
      </w:r>
    </w:p>
    <w:p w14:paraId="35D4B7B1" w14:textId="77777777" w:rsidR="00AE1119" w:rsidRDefault="00AE1119" w:rsidP="001C3D79">
      <w:pPr>
        <w:pStyle w:val="Bullet"/>
        <w:numPr>
          <w:ilvl w:val="0"/>
          <w:numId w:val="28"/>
        </w:numPr>
      </w:pPr>
      <w:r w:rsidRPr="00DC078B">
        <w:rPr>
          <w:rFonts w:asciiTheme="majorHAnsi" w:hAnsiTheme="majorHAnsi" w:cstheme="majorHAnsi"/>
        </w:rPr>
        <w:t xml:space="preserve">Category 4: </w:t>
      </w:r>
      <w:r w:rsidRPr="00DC078B">
        <w:t xml:space="preserve">National </w:t>
      </w:r>
      <w:r>
        <w:t>Preschool Collection, Australian Bureau of Statistics (National Collection).</w:t>
      </w:r>
    </w:p>
    <w:p w14:paraId="3C97CD34" w14:textId="77777777" w:rsidR="00AA2349" w:rsidRDefault="00AA2349" w:rsidP="003A7657">
      <w:pPr>
        <w:pStyle w:val="Bullet"/>
      </w:pPr>
      <w:r w:rsidRPr="00AA2349">
        <w:t xml:space="preserve">It is important to note that State and Territory expenditure reported to the Productivity Commission is </w:t>
      </w:r>
      <w:r w:rsidRPr="00E35F11">
        <w:rPr>
          <w:rFonts w:asciiTheme="majorHAnsi" w:hAnsiTheme="majorHAnsi" w:cstheme="majorHAnsi"/>
        </w:rPr>
        <w:t>not directly comparable across jurisdictions.</w:t>
      </w:r>
    </w:p>
    <w:p w14:paraId="26A81DCE" w14:textId="77777777" w:rsidR="00AE1119" w:rsidRDefault="00AE1119" w:rsidP="00AE1119">
      <w:pPr>
        <w:pStyle w:val="Heading3"/>
        <w:numPr>
          <w:ilvl w:val="0"/>
          <w:numId w:val="0"/>
        </w:numPr>
        <w:ind w:left="720" w:hanging="720"/>
      </w:pPr>
      <w:r>
        <w:t>Composition of funding from all sources by jurisdiction</w:t>
      </w:r>
    </w:p>
    <w:p w14:paraId="1A8C407B" w14:textId="77777777" w:rsidR="00AE1119" w:rsidRPr="007C69A1" w:rsidRDefault="00AE1119" w:rsidP="00AE1119">
      <w:r w:rsidRPr="00D972B0">
        <w:t>Th</w:t>
      </w:r>
      <w:r>
        <w:t>e</w:t>
      </w:r>
      <w:r w:rsidRPr="00D972B0">
        <w:t xml:space="preserve"> </w:t>
      </w:r>
      <w:r>
        <w:t xml:space="preserve">Review </w:t>
      </w:r>
      <w:r w:rsidRPr="00D972B0">
        <w:t>estimate</w:t>
      </w:r>
      <w:r>
        <w:t>d</w:t>
      </w:r>
      <w:r w:rsidRPr="00D972B0">
        <w:t xml:space="preserve"> the </w:t>
      </w:r>
      <w:r w:rsidRPr="00D23B5E">
        <w:rPr>
          <w:rFonts w:asciiTheme="majorHAnsi" w:hAnsiTheme="majorHAnsi" w:cstheme="majorHAnsi"/>
        </w:rPr>
        <w:t>composition of funding to providers of preschool in the YBFS in each jurisdiction</w:t>
      </w:r>
      <w:r>
        <w:t xml:space="preserve">. </w:t>
      </w:r>
      <w:r>
        <w:rPr>
          <w:lang w:eastAsia="en-AU"/>
        </w:rPr>
        <w:t>This information is presented and analysed in Chapter 2 and reproduced in the table below. There follows an explanation of how each figure in this table was arrived at.</w:t>
      </w:r>
    </w:p>
    <w:tbl>
      <w:tblPr>
        <w:tblStyle w:val="TableGrid"/>
        <w:tblW w:w="0" w:type="auto"/>
        <w:tblLook w:val="04A0" w:firstRow="1" w:lastRow="0" w:firstColumn="1" w:lastColumn="0" w:noHBand="0" w:noVBand="1"/>
      </w:tblPr>
      <w:tblGrid>
        <w:gridCol w:w="1701"/>
        <w:gridCol w:w="851"/>
        <w:gridCol w:w="850"/>
        <w:gridCol w:w="851"/>
        <w:gridCol w:w="850"/>
        <w:gridCol w:w="824"/>
        <w:gridCol w:w="696"/>
        <w:gridCol w:w="695"/>
        <w:gridCol w:w="750"/>
        <w:gridCol w:w="862"/>
      </w:tblGrid>
      <w:tr w:rsidR="00B650D2" w14:paraId="0BBDAE9C" w14:textId="77777777" w:rsidTr="00AE1119">
        <w:trPr>
          <w:cnfStyle w:val="100000000000" w:firstRow="1" w:lastRow="0" w:firstColumn="0" w:lastColumn="0" w:oddVBand="0" w:evenVBand="0" w:oddHBand="0" w:evenHBand="0" w:firstRowFirstColumn="0" w:firstRowLastColumn="0" w:lastRowFirstColumn="0" w:lastRowLastColumn="0"/>
        </w:trPr>
        <w:tc>
          <w:tcPr>
            <w:tcW w:w="1701" w:type="dxa"/>
          </w:tcPr>
          <w:p w14:paraId="11925D98" w14:textId="3F6051F4" w:rsidR="00AE1119" w:rsidRDefault="00AE1119" w:rsidP="00AE1119">
            <w:pPr>
              <w:pStyle w:val="TableNheader"/>
              <w:spacing w:before="0" w:after="0"/>
            </w:pPr>
            <w:r>
              <w:t>Source (201</w:t>
            </w:r>
            <w:r w:rsidR="00A2475C">
              <w:t>8</w:t>
            </w:r>
            <w:r>
              <w:t>-1</w:t>
            </w:r>
            <w:r w:rsidR="00A2475C">
              <w:t>9</w:t>
            </w:r>
            <w:r>
              <w:t>)</w:t>
            </w:r>
          </w:p>
        </w:tc>
        <w:tc>
          <w:tcPr>
            <w:tcW w:w="851" w:type="dxa"/>
          </w:tcPr>
          <w:p w14:paraId="371D3875"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NSW</w:t>
            </w:r>
          </w:p>
        </w:tc>
        <w:tc>
          <w:tcPr>
            <w:tcW w:w="850" w:type="dxa"/>
          </w:tcPr>
          <w:p w14:paraId="770BA8BB"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Vic</w:t>
            </w:r>
          </w:p>
        </w:tc>
        <w:tc>
          <w:tcPr>
            <w:tcW w:w="851" w:type="dxa"/>
          </w:tcPr>
          <w:p w14:paraId="15551209"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Qld</w:t>
            </w:r>
          </w:p>
        </w:tc>
        <w:tc>
          <w:tcPr>
            <w:tcW w:w="850" w:type="dxa"/>
          </w:tcPr>
          <w:p w14:paraId="7BA19FBC"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SA</w:t>
            </w:r>
          </w:p>
        </w:tc>
        <w:tc>
          <w:tcPr>
            <w:tcW w:w="824" w:type="dxa"/>
          </w:tcPr>
          <w:p w14:paraId="0279DF8B"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WA</w:t>
            </w:r>
          </w:p>
        </w:tc>
        <w:tc>
          <w:tcPr>
            <w:tcW w:w="696" w:type="dxa"/>
          </w:tcPr>
          <w:p w14:paraId="18818EDF"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Tas</w:t>
            </w:r>
          </w:p>
        </w:tc>
        <w:tc>
          <w:tcPr>
            <w:tcW w:w="695" w:type="dxa"/>
          </w:tcPr>
          <w:p w14:paraId="3D52BD68"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NT</w:t>
            </w:r>
          </w:p>
        </w:tc>
        <w:tc>
          <w:tcPr>
            <w:tcW w:w="750" w:type="dxa"/>
          </w:tcPr>
          <w:p w14:paraId="2A3918B2"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ACT</w:t>
            </w:r>
          </w:p>
        </w:tc>
        <w:tc>
          <w:tcPr>
            <w:tcW w:w="862" w:type="dxa"/>
          </w:tcPr>
          <w:p w14:paraId="6B753D4D" w14:textId="77777777" w:rsidR="00AE1119" w:rsidRPr="00395A7C" w:rsidRDefault="00AE1119" w:rsidP="00AE1119">
            <w:pPr>
              <w:pStyle w:val="TableNheader"/>
              <w:spacing w:before="0" w:after="0"/>
              <w:rPr>
                <w:rFonts w:ascii="Calibri" w:hAnsi="Calibri" w:cs="Calibri"/>
                <w:iCs/>
                <w:szCs w:val="19"/>
              </w:rPr>
            </w:pPr>
            <w:r w:rsidRPr="00395A7C">
              <w:rPr>
                <w:rFonts w:ascii="Calibri" w:hAnsi="Calibri" w:cs="Calibri"/>
                <w:iCs/>
                <w:szCs w:val="19"/>
              </w:rPr>
              <w:t>Aust</w:t>
            </w:r>
          </w:p>
        </w:tc>
      </w:tr>
      <w:tr w:rsidR="00A2475C" w:rsidRPr="00DC078B" w14:paraId="1BE45184" w14:textId="77777777" w:rsidTr="00AE1119">
        <w:trPr>
          <w:cnfStyle w:val="000000100000" w:firstRow="0" w:lastRow="0" w:firstColumn="0" w:lastColumn="0" w:oddVBand="0" w:evenVBand="0" w:oddHBand="1" w:evenHBand="0" w:firstRowFirstColumn="0" w:firstRowLastColumn="0" w:lastRowFirstColumn="0" w:lastRowLastColumn="0"/>
        </w:trPr>
        <w:tc>
          <w:tcPr>
            <w:tcW w:w="1701" w:type="dxa"/>
            <w:vAlign w:val="bottom"/>
          </w:tcPr>
          <w:p w14:paraId="06E03F10" w14:textId="77777777" w:rsidR="00A2475C" w:rsidRPr="00DC078B" w:rsidRDefault="00A2475C" w:rsidP="00A2475C">
            <w:pPr>
              <w:pStyle w:val="Tableexpheader"/>
              <w:spacing w:before="0" w:after="0"/>
            </w:pPr>
            <w:r w:rsidRPr="00DC078B">
              <w:rPr>
                <w:rFonts w:asciiTheme="majorHAnsi" w:hAnsiTheme="majorHAnsi" w:cstheme="majorHAnsi"/>
              </w:rPr>
              <w:t xml:space="preserve">Category 1: </w:t>
            </w:r>
            <w:r w:rsidRPr="00DC078B">
              <w:t>State / Territory funding (total recurrent expenditure - UANP contribution) ($’000s)</w:t>
            </w:r>
          </w:p>
        </w:tc>
        <w:tc>
          <w:tcPr>
            <w:tcW w:w="851" w:type="dxa"/>
            <w:vAlign w:val="top"/>
          </w:tcPr>
          <w:p w14:paraId="63DFF89D" w14:textId="49E068CC" w:rsidR="00A2475C" w:rsidRPr="00DC078B" w:rsidRDefault="00A2475C" w:rsidP="00A2475C">
            <w:pPr>
              <w:pStyle w:val="TableNText"/>
              <w:spacing w:before="0" w:after="0"/>
            </w:pPr>
            <w:r w:rsidRPr="00DC078B">
              <w:rPr>
                <w:sz w:val="16"/>
                <w:szCs w:val="20"/>
              </w:rPr>
              <w:t>212 482</w:t>
            </w:r>
          </w:p>
        </w:tc>
        <w:tc>
          <w:tcPr>
            <w:tcW w:w="850" w:type="dxa"/>
            <w:vAlign w:val="top"/>
          </w:tcPr>
          <w:p w14:paraId="22519AE5" w14:textId="2FD5F9D7" w:rsidR="00A2475C" w:rsidRPr="00DC078B" w:rsidRDefault="00A2475C" w:rsidP="00A2475C">
            <w:pPr>
              <w:pStyle w:val="TableNText"/>
              <w:spacing w:before="0" w:after="0"/>
            </w:pPr>
            <w:r w:rsidRPr="00DC078B">
              <w:rPr>
                <w:sz w:val="16"/>
                <w:szCs w:val="20"/>
              </w:rPr>
              <w:t>314 009</w:t>
            </w:r>
          </w:p>
        </w:tc>
        <w:tc>
          <w:tcPr>
            <w:tcW w:w="851" w:type="dxa"/>
            <w:vAlign w:val="top"/>
          </w:tcPr>
          <w:p w14:paraId="2FB00056" w14:textId="79EEA374" w:rsidR="00A2475C" w:rsidRPr="00DC078B" w:rsidRDefault="00A2475C" w:rsidP="00A2475C">
            <w:pPr>
              <w:pStyle w:val="TableNText"/>
              <w:spacing w:before="0" w:after="0"/>
            </w:pPr>
            <w:r w:rsidRPr="00DC078B">
              <w:rPr>
                <w:sz w:val="16"/>
                <w:szCs w:val="20"/>
              </w:rPr>
              <w:t>96 223</w:t>
            </w:r>
          </w:p>
        </w:tc>
        <w:tc>
          <w:tcPr>
            <w:tcW w:w="850" w:type="dxa"/>
            <w:vAlign w:val="top"/>
          </w:tcPr>
          <w:p w14:paraId="0E099F1D" w14:textId="30D1A497" w:rsidR="00A2475C" w:rsidRPr="00DC078B" w:rsidRDefault="00282749" w:rsidP="00A2475C">
            <w:pPr>
              <w:pStyle w:val="TableNText"/>
              <w:spacing w:before="0" w:after="0"/>
            </w:pPr>
            <w:r w:rsidRPr="00DC078B">
              <w:rPr>
                <w:sz w:val="16"/>
                <w:szCs w:val="20"/>
              </w:rPr>
              <w:t>151 161</w:t>
            </w:r>
          </w:p>
        </w:tc>
        <w:tc>
          <w:tcPr>
            <w:tcW w:w="824" w:type="dxa"/>
            <w:vAlign w:val="top"/>
          </w:tcPr>
          <w:p w14:paraId="2229D409" w14:textId="497CA167" w:rsidR="00A2475C" w:rsidRPr="00DC078B" w:rsidRDefault="00282749" w:rsidP="00A2475C">
            <w:pPr>
              <w:pStyle w:val="TableNText"/>
              <w:spacing w:before="0" w:after="0"/>
            </w:pPr>
            <w:r w:rsidRPr="00DC078B">
              <w:rPr>
                <w:sz w:val="16"/>
                <w:szCs w:val="20"/>
              </w:rPr>
              <w:t>306 887</w:t>
            </w:r>
          </w:p>
        </w:tc>
        <w:tc>
          <w:tcPr>
            <w:tcW w:w="696" w:type="dxa"/>
            <w:vAlign w:val="top"/>
          </w:tcPr>
          <w:p w14:paraId="39B80F19" w14:textId="1DB41CB4" w:rsidR="00A2475C" w:rsidRPr="00DC078B" w:rsidRDefault="00A2475C" w:rsidP="00A2475C">
            <w:pPr>
              <w:pStyle w:val="TableNText"/>
              <w:spacing w:before="0" w:after="0"/>
            </w:pPr>
            <w:r w:rsidRPr="00DC078B">
              <w:rPr>
                <w:sz w:val="16"/>
                <w:szCs w:val="20"/>
              </w:rPr>
              <w:t>42 720</w:t>
            </w:r>
          </w:p>
        </w:tc>
        <w:tc>
          <w:tcPr>
            <w:tcW w:w="695" w:type="dxa"/>
            <w:vAlign w:val="top"/>
          </w:tcPr>
          <w:p w14:paraId="652803E7" w14:textId="79E52E6B" w:rsidR="00A2475C" w:rsidRPr="00DC078B" w:rsidRDefault="00282749" w:rsidP="00A2475C">
            <w:pPr>
              <w:pStyle w:val="TableNText"/>
              <w:spacing w:before="0" w:after="0"/>
            </w:pPr>
            <w:r w:rsidRPr="00DC078B">
              <w:rPr>
                <w:sz w:val="16"/>
                <w:szCs w:val="20"/>
              </w:rPr>
              <w:t xml:space="preserve">32 710 </w:t>
            </w:r>
          </w:p>
        </w:tc>
        <w:tc>
          <w:tcPr>
            <w:tcW w:w="750" w:type="dxa"/>
            <w:vAlign w:val="top"/>
          </w:tcPr>
          <w:p w14:paraId="4B2A9C3E" w14:textId="7F842147" w:rsidR="00A2475C" w:rsidRPr="00DC078B" w:rsidRDefault="00282749" w:rsidP="00A2475C">
            <w:pPr>
              <w:pStyle w:val="TableNText"/>
              <w:spacing w:before="0" w:after="0"/>
            </w:pPr>
            <w:r w:rsidRPr="00DC078B">
              <w:rPr>
                <w:sz w:val="16"/>
                <w:szCs w:val="20"/>
              </w:rPr>
              <w:t>30 196</w:t>
            </w:r>
          </w:p>
        </w:tc>
        <w:tc>
          <w:tcPr>
            <w:tcW w:w="862" w:type="dxa"/>
            <w:vAlign w:val="top"/>
          </w:tcPr>
          <w:p w14:paraId="3CB8E2DF" w14:textId="1106E254" w:rsidR="00A2475C" w:rsidRPr="00DC078B" w:rsidRDefault="00A2475C" w:rsidP="00A2475C">
            <w:pPr>
              <w:pStyle w:val="TableNText"/>
              <w:spacing w:before="0" w:after="0"/>
            </w:pPr>
            <w:r w:rsidRPr="00DC078B">
              <w:rPr>
                <w:sz w:val="16"/>
                <w:szCs w:val="20"/>
              </w:rPr>
              <w:t xml:space="preserve">1 186 389 </w:t>
            </w:r>
          </w:p>
        </w:tc>
      </w:tr>
      <w:tr w:rsidR="00A2475C" w:rsidRPr="00DC078B" w14:paraId="721E0C62" w14:textId="77777777" w:rsidTr="00AE1119">
        <w:trPr>
          <w:cnfStyle w:val="000000010000" w:firstRow="0" w:lastRow="0" w:firstColumn="0" w:lastColumn="0" w:oddVBand="0" w:evenVBand="0" w:oddHBand="0" w:evenHBand="1" w:firstRowFirstColumn="0" w:firstRowLastColumn="0" w:lastRowFirstColumn="0" w:lastRowLastColumn="0"/>
        </w:trPr>
        <w:tc>
          <w:tcPr>
            <w:tcW w:w="1701" w:type="dxa"/>
            <w:vAlign w:val="bottom"/>
          </w:tcPr>
          <w:p w14:paraId="2117F9E4" w14:textId="77777777" w:rsidR="00A2475C" w:rsidRPr="00DC078B" w:rsidRDefault="00A2475C" w:rsidP="00A2475C">
            <w:pPr>
              <w:pStyle w:val="Tableexpheader"/>
              <w:spacing w:before="0" w:after="0"/>
            </w:pPr>
            <w:r w:rsidRPr="00DC078B">
              <w:rPr>
                <w:rFonts w:asciiTheme="majorHAnsi" w:hAnsiTheme="majorHAnsi" w:cstheme="majorHAnsi"/>
              </w:rPr>
              <w:t xml:space="preserve">Category 2: </w:t>
            </w:r>
            <w:r w:rsidRPr="00DC078B">
              <w:t xml:space="preserve">Australian </w:t>
            </w:r>
            <w:r w:rsidRPr="00DC078B">
              <w:lastRenderedPageBreak/>
              <w:t>Government contribution under the UANP ($’000s)</w:t>
            </w:r>
          </w:p>
        </w:tc>
        <w:tc>
          <w:tcPr>
            <w:tcW w:w="851" w:type="dxa"/>
            <w:vAlign w:val="top"/>
          </w:tcPr>
          <w:p w14:paraId="2FDA5780" w14:textId="45267CB2" w:rsidR="00A2475C" w:rsidRPr="00DC078B" w:rsidRDefault="00A2475C" w:rsidP="00A2475C">
            <w:pPr>
              <w:pStyle w:val="TableNText"/>
              <w:spacing w:before="0" w:after="0"/>
            </w:pPr>
            <w:r w:rsidRPr="00DC078B">
              <w:rPr>
                <w:sz w:val="16"/>
                <w:szCs w:val="20"/>
              </w:rPr>
              <w:lastRenderedPageBreak/>
              <w:t xml:space="preserve"> 124 932</w:t>
            </w:r>
          </w:p>
        </w:tc>
        <w:tc>
          <w:tcPr>
            <w:tcW w:w="850" w:type="dxa"/>
            <w:vAlign w:val="top"/>
          </w:tcPr>
          <w:p w14:paraId="665BA1C3" w14:textId="0FBB89AF" w:rsidR="00A2475C" w:rsidRPr="00DC078B" w:rsidRDefault="00A2475C" w:rsidP="00A2475C">
            <w:pPr>
              <w:pStyle w:val="TableNText"/>
              <w:spacing w:before="0" w:after="0"/>
            </w:pPr>
            <w:r w:rsidRPr="00DC078B">
              <w:rPr>
                <w:sz w:val="16"/>
                <w:szCs w:val="20"/>
              </w:rPr>
              <w:t xml:space="preserve"> 120 888</w:t>
            </w:r>
          </w:p>
        </w:tc>
        <w:tc>
          <w:tcPr>
            <w:tcW w:w="851" w:type="dxa"/>
            <w:vAlign w:val="top"/>
          </w:tcPr>
          <w:p w14:paraId="6459B4FE" w14:textId="46795ABD" w:rsidR="00A2475C" w:rsidRPr="00DC078B" w:rsidRDefault="00A2475C" w:rsidP="00A2475C">
            <w:pPr>
              <w:pStyle w:val="TableNText"/>
              <w:spacing w:before="0" w:after="0"/>
            </w:pPr>
            <w:r w:rsidRPr="00DC078B">
              <w:rPr>
                <w:sz w:val="16"/>
                <w:szCs w:val="20"/>
              </w:rPr>
              <w:t xml:space="preserve"> 88 024</w:t>
            </w:r>
          </w:p>
        </w:tc>
        <w:tc>
          <w:tcPr>
            <w:tcW w:w="850" w:type="dxa"/>
            <w:vAlign w:val="top"/>
          </w:tcPr>
          <w:p w14:paraId="6081577A" w14:textId="0AFD8D38" w:rsidR="00A2475C" w:rsidRPr="00DC078B" w:rsidRDefault="00282749" w:rsidP="00A2475C">
            <w:pPr>
              <w:pStyle w:val="TableNText"/>
              <w:spacing w:before="0" w:after="0"/>
            </w:pPr>
            <w:r w:rsidRPr="00DC078B">
              <w:rPr>
                <w:sz w:val="16"/>
                <w:szCs w:val="20"/>
              </w:rPr>
              <w:t>28 204</w:t>
            </w:r>
          </w:p>
        </w:tc>
        <w:tc>
          <w:tcPr>
            <w:tcW w:w="824" w:type="dxa"/>
            <w:vAlign w:val="top"/>
          </w:tcPr>
          <w:p w14:paraId="5D05D00A" w14:textId="3C1F4A87" w:rsidR="00A2475C" w:rsidRPr="00DC078B" w:rsidRDefault="00282749" w:rsidP="00A2475C">
            <w:pPr>
              <w:pStyle w:val="TableNText"/>
              <w:spacing w:before="0" w:after="0"/>
            </w:pPr>
            <w:r w:rsidRPr="00DC078B">
              <w:rPr>
                <w:sz w:val="16"/>
                <w:szCs w:val="20"/>
              </w:rPr>
              <w:t>46 328</w:t>
            </w:r>
          </w:p>
        </w:tc>
        <w:tc>
          <w:tcPr>
            <w:tcW w:w="696" w:type="dxa"/>
            <w:vAlign w:val="top"/>
          </w:tcPr>
          <w:p w14:paraId="430AFEFA" w14:textId="05A077CA" w:rsidR="00A2475C" w:rsidRPr="00DC078B" w:rsidRDefault="00A2475C" w:rsidP="00A2475C">
            <w:pPr>
              <w:pStyle w:val="TableNText"/>
              <w:spacing w:before="0" w:after="0"/>
            </w:pPr>
            <w:r w:rsidRPr="00DC078B">
              <w:rPr>
                <w:sz w:val="16"/>
                <w:szCs w:val="20"/>
              </w:rPr>
              <w:t xml:space="preserve"> 9 267</w:t>
            </w:r>
          </w:p>
        </w:tc>
        <w:tc>
          <w:tcPr>
            <w:tcW w:w="695" w:type="dxa"/>
            <w:vAlign w:val="top"/>
          </w:tcPr>
          <w:p w14:paraId="17E49384" w14:textId="177AE4D4" w:rsidR="00A2475C" w:rsidRPr="00DC078B" w:rsidRDefault="00282749" w:rsidP="00A2475C">
            <w:pPr>
              <w:pStyle w:val="TableNText"/>
              <w:spacing w:before="0" w:after="0"/>
            </w:pPr>
            <w:r w:rsidRPr="00DC078B">
              <w:rPr>
                <w:sz w:val="16"/>
                <w:szCs w:val="20"/>
              </w:rPr>
              <w:t>4 795</w:t>
            </w:r>
            <w:r w:rsidR="00A2475C" w:rsidRPr="00DC078B">
              <w:rPr>
                <w:sz w:val="16"/>
                <w:szCs w:val="20"/>
              </w:rPr>
              <w:t xml:space="preserve"> </w:t>
            </w:r>
          </w:p>
        </w:tc>
        <w:tc>
          <w:tcPr>
            <w:tcW w:w="750" w:type="dxa"/>
            <w:vAlign w:val="top"/>
          </w:tcPr>
          <w:p w14:paraId="36FBE880" w14:textId="60A94CF0" w:rsidR="00A2475C" w:rsidRPr="00DC078B" w:rsidRDefault="00A2475C" w:rsidP="00A2475C">
            <w:pPr>
              <w:pStyle w:val="TableNText"/>
              <w:spacing w:before="0" w:after="0"/>
            </w:pPr>
            <w:r w:rsidRPr="00DC078B">
              <w:rPr>
                <w:sz w:val="16"/>
                <w:szCs w:val="20"/>
              </w:rPr>
              <w:t xml:space="preserve"> </w:t>
            </w:r>
            <w:r w:rsidR="00282749" w:rsidRPr="00DC078B">
              <w:rPr>
                <w:sz w:val="16"/>
                <w:szCs w:val="20"/>
              </w:rPr>
              <w:t>9 106</w:t>
            </w:r>
          </w:p>
        </w:tc>
        <w:tc>
          <w:tcPr>
            <w:tcW w:w="862" w:type="dxa"/>
            <w:vAlign w:val="top"/>
          </w:tcPr>
          <w:p w14:paraId="79133D27" w14:textId="1B7E16CC" w:rsidR="00A2475C" w:rsidRPr="00DC078B" w:rsidRDefault="00A2475C" w:rsidP="00A2475C">
            <w:pPr>
              <w:pStyle w:val="TableNText"/>
              <w:spacing w:before="0" w:after="0"/>
            </w:pPr>
            <w:r w:rsidRPr="00DC078B">
              <w:rPr>
                <w:sz w:val="16"/>
                <w:szCs w:val="20"/>
              </w:rPr>
              <w:t xml:space="preserve"> 431 543</w:t>
            </w:r>
          </w:p>
        </w:tc>
      </w:tr>
      <w:tr w:rsidR="00A2475C" w:rsidRPr="00DC078B" w14:paraId="6B601334" w14:textId="77777777" w:rsidTr="00AE1119">
        <w:trPr>
          <w:cnfStyle w:val="000000100000" w:firstRow="0" w:lastRow="0" w:firstColumn="0" w:lastColumn="0" w:oddVBand="0" w:evenVBand="0" w:oddHBand="1" w:evenHBand="0" w:firstRowFirstColumn="0" w:firstRowLastColumn="0" w:lastRowFirstColumn="0" w:lastRowLastColumn="0"/>
        </w:trPr>
        <w:tc>
          <w:tcPr>
            <w:tcW w:w="1701" w:type="dxa"/>
            <w:vAlign w:val="bottom"/>
          </w:tcPr>
          <w:p w14:paraId="05CDF854" w14:textId="77777777" w:rsidR="00A2475C" w:rsidRPr="00DC078B" w:rsidRDefault="00A2475C" w:rsidP="00A2475C">
            <w:pPr>
              <w:pStyle w:val="Tableexpheader"/>
              <w:spacing w:before="0" w:after="0"/>
            </w:pPr>
            <w:r w:rsidRPr="00DC078B">
              <w:rPr>
                <w:rFonts w:asciiTheme="majorHAnsi" w:hAnsiTheme="majorHAnsi" w:cstheme="majorHAnsi"/>
              </w:rPr>
              <w:t>Category 3</w:t>
            </w:r>
            <w:r w:rsidRPr="00DC078B">
              <w:t>:</w:t>
            </w:r>
            <w:r w:rsidRPr="00DC078B">
              <w:rPr>
                <w:rFonts w:asciiTheme="majorHAnsi" w:hAnsiTheme="majorHAnsi" w:cstheme="majorHAnsi"/>
              </w:rPr>
              <w:t xml:space="preserve"> </w:t>
            </w:r>
            <w:r w:rsidRPr="00DC078B">
              <w:t>Australian Government investment through child care subsidies (for 600 hours) ($’000s)</w:t>
            </w:r>
          </w:p>
        </w:tc>
        <w:tc>
          <w:tcPr>
            <w:tcW w:w="851" w:type="dxa"/>
            <w:vAlign w:val="top"/>
          </w:tcPr>
          <w:p w14:paraId="49BC5135" w14:textId="7C2E64F9" w:rsidR="00A2475C" w:rsidRPr="00DC078B" w:rsidRDefault="00A2475C" w:rsidP="00A2475C">
            <w:pPr>
              <w:pStyle w:val="TableNText"/>
              <w:spacing w:before="0" w:after="0"/>
            </w:pPr>
            <w:r w:rsidRPr="00DC078B">
              <w:rPr>
                <w:sz w:val="16"/>
                <w:szCs w:val="20"/>
              </w:rPr>
              <w:t>217 422</w:t>
            </w:r>
          </w:p>
        </w:tc>
        <w:tc>
          <w:tcPr>
            <w:tcW w:w="850" w:type="dxa"/>
            <w:vAlign w:val="top"/>
          </w:tcPr>
          <w:p w14:paraId="58843BEA" w14:textId="4DA25AC4" w:rsidR="00A2475C" w:rsidRPr="00DC078B" w:rsidRDefault="00A2475C" w:rsidP="00A2475C">
            <w:pPr>
              <w:pStyle w:val="TableNText"/>
              <w:spacing w:before="0" w:after="0"/>
            </w:pPr>
            <w:r w:rsidRPr="00DC078B">
              <w:rPr>
                <w:sz w:val="16"/>
                <w:szCs w:val="20"/>
              </w:rPr>
              <w:t>126 823</w:t>
            </w:r>
          </w:p>
        </w:tc>
        <w:tc>
          <w:tcPr>
            <w:tcW w:w="851" w:type="dxa"/>
            <w:vAlign w:val="top"/>
          </w:tcPr>
          <w:p w14:paraId="63FB5BCB" w14:textId="35587013" w:rsidR="00A2475C" w:rsidRPr="00DC078B" w:rsidRDefault="00A2475C" w:rsidP="00A2475C">
            <w:pPr>
              <w:pStyle w:val="TableNText"/>
              <w:spacing w:before="0" w:after="0"/>
            </w:pPr>
            <w:r w:rsidRPr="00DC078B">
              <w:rPr>
                <w:sz w:val="16"/>
                <w:szCs w:val="20"/>
              </w:rPr>
              <w:t xml:space="preserve"> 139 123</w:t>
            </w:r>
          </w:p>
        </w:tc>
        <w:tc>
          <w:tcPr>
            <w:tcW w:w="850" w:type="dxa"/>
            <w:vAlign w:val="top"/>
          </w:tcPr>
          <w:p w14:paraId="3CFD6824" w14:textId="7E976527" w:rsidR="00A2475C" w:rsidRPr="00DC078B" w:rsidRDefault="00A2475C" w:rsidP="00A2475C">
            <w:pPr>
              <w:pStyle w:val="TableNText"/>
              <w:spacing w:before="0" w:after="0"/>
            </w:pPr>
            <w:r w:rsidRPr="00DC078B">
              <w:rPr>
                <w:sz w:val="16"/>
                <w:szCs w:val="20"/>
              </w:rPr>
              <w:t xml:space="preserve"> 17 725</w:t>
            </w:r>
          </w:p>
        </w:tc>
        <w:tc>
          <w:tcPr>
            <w:tcW w:w="824" w:type="dxa"/>
            <w:vAlign w:val="top"/>
          </w:tcPr>
          <w:p w14:paraId="60910E69" w14:textId="422AF691" w:rsidR="00A2475C" w:rsidRPr="00DC078B" w:rsidRDefault="00A2475C" w:rsidP="00A2475C">
            <w:pPr>
              <w:pStyle w:val="TableNText"/>
              <w:spacing w:before="0" w:after="0"/>
            </w:pPr>
            <w:r w:rsidRPr="00DC078B">
              <w:rPr>
                <w:sz w:val="16"/>
                <w:szCs w:val="20"/>
              </w:rPr>
              <w:t>2666</w:t>
            </w:r>
          </w:p>
        </w:tc>
        <w:tc>
          <w:tcPr>
            <w:tcW w:w="696" w:type="dxa"/>
            <w:vAlign w:val="top"/>
          </w:tcPr>
          <w:p w14:paraId="37E2AA1C" w14:textId="4E38212B" w:rsidR="00A2475C" w:rsidRPr="00DC078B" w:rsidRDefault="00A2475C" w:rsidP="00A2475C">
            <w:pPr>
              <w:pStyle w:val="TableNText"/>
              <w:spacing w:before="0" w:after="0"/>
              <w:jc w:val="center"/>
            </w:pPr>
            <w:r w:rsidRPr="00DC078B">
              <w:rPr>
                <w:sz w:val="16"/>
                <w:szCs w:val="20"/>
              </w:rPr>
              <w:t>921</w:t>
            </w:r>
          </w:p>
        </w:tc>
        <w:tc>
          <w:tcPr>
            <w:tcW w:w="695" w:type="dxa"/>
            <w:vAlign w:val="top"/>
          </w:tcPr>
          <w:p w14:paraId="0DA4D775" w14:textId="47640C08" w:rsidR="00A2475C" w:rsidRPr="00DC078B" w:rsidRDefault="00A2475C" w:rsidP="00A2475C">
            <w:pPr>
              <w:pStyle w:val="TableNText"/>
              <w:spacing w:before="0" w:after="0"/>
            </w:pPr>
            <w:r w:rsidRPr="00DC078B">
              <w:rPr>
                <w:sz w:val="16"/>
                <w:szCs w:val="20"/>
              </w:rPr>
              <w:t>1192</w:t>
            </w:r>
          </w:p>
        </w:tc>
        <w:tc>
          <w:tcPr>
            <w:tcW w:w="750" w:type="dxa"/>
            <w:vAlign w:val="top"/>
          </w:tcPr>
          <w:p w14:paraId="07EA4A78" w14:textId="62D1606E" w:rsidR="00A2475C" w:rsidRPr="00DC078B" w:rsidRDefault="00A2475C" w:rsidP="00A2475C">
            <w:pPr>
              <w:pStyle w:val="TableNText"/>
              <w:spacing w:before="0" w:after="0"/>
            </w:pPr>
            <w:r w:rsidRPr="00DC078B">
              <w:rPr>
                <w:sz w:val="16"/>
                <w:szCs w:val="20"/>
              </w:rPr>
              <w:t>5404</w:t>
            </w:r>
          </w:p>
        </w:tc>
        <w:tc>
          <w:tcPr>
            <w:tcW w:w="862" w:type="dxa"/>
            <w:vAlign w:val="top"/>
          </w:tcPr>
          <w:p w14:paraId="4237A274" w14:textId="1A59A3C7" w:rsidR="00A2475C" w:rsidRPr="00DC078B" w:rsidRDefault="00A2475C" w:rsidP="00A2475C">
            <w:pPr>
              <w:pStyle w:val="TableNText"/>
              <w:spacing w:before="0" w:after="0"/>
            </w:pPr>
            <w:r w:rsidRPr="00DC078B">
              <w:rPr>
                <w:sz w:val="16"/>
                <w:szCs w:val="20"/>
              </w:rPr>
              <w:t xml:space="preserve"> 512 298</w:t>
            </w:r>
          </w:p>
        </w:tc>
      </w:tr>
      <w:tr w:rsidR="00A2475C" w:rsidRPr="00DC078B" w14:paraId="15422742" w14:textId="77777777" w:rsidTr="00AE1119">
        <w:trPr>
          <w:cnfStyle w:val="000000010000" w:firstRow="0" w:lastRow="0" w:firstColumn="0" w:lastColumn="0" w:oddVBand="0" w:evenVBand="0" w:oddHBand="0" w:evenHBand="1" w:firstRowFirstColumn="0" w:firstRowLastColumn="0" w:lastRowFirstColumn="0" w:lastRowLastColumn="0"/>
        </w:trPr>
        <w:tc>
          <w:tcPr>
            <w:tcW w:w="1701" w:type="dxa"/>
            <w:vAlign w:val="bottom"/>
          </w:tcPr>
          <w:p w14:paraId="5FCDB4A4" w14:textId="77777777" w:rsidR="00A2475C" w:rsidRPr="00DC078B" w:rsidRDefault="00A2475C" w:rsidP="00A2475C">
            <w:pPr>
              <w:pStyle w:val="Tableexpheader"/>
              <w:spacing w:before="0" w:after="0"/>
            </w:pPr>
            <w:r w:rsidRPr="00DC078B">
              <w:rPr>
                <w:rFonts w:asciiTheme="majorHAnsi" w:hAnsiTheme="majorHAnsi" w:cstheme="majorHAnsi"/>
              </w:rPr>
              <w:t xml:space="preserve">Category 4: </w:t>
            </w:r>
            <w:r w:rsidRPr="00DC078B">
              <w:t>Estimated parental contributions (out of pocket costs) (for 600 hours) ($’000s)</w:t>
            </w:r>
          </w:p>
        </w:tc>
        <w:tc>
          <w:tcPr>
            <w:tcW w:w="851" w:type="dxa"/>
            <w:vAlign w:val="top"/>
          </w:tcPr>
          <w:p w14:paraId="7197D011" w14:textId="434C4C29" w:rsidR="00A2475C" w:rsidRPr="00DC078B" w:rsidRDefault="00A2475C" w:rsidP="00A2475C">
            <w:pPr>
              <w:pStyle w:val="TableNText"/>
              <w:spacing w:before="0" w:after="0"/>
            </w:pPr>
            <w:r w:rsidRPr="00DC078B">
              <w:rPr>
                <w:sz w:val="16"/>
                <w:szCs w:val="20"/>
              </w:rPr>
              <w:t xml:space="preserve"> 302 361</w:t>
            </w:r>
          </w:p>
        </w:tc>
        <w:tc>
          <w:tcPr>
            <w:tcW w:w="850" w:type="dxa"/>
            <w:vAlign w:val="top"/>
          </w:tcPr>
          <w:p w14:paraId="681609DE" w14:textId="24171554" w:rsidR="00A2475C" w:rsidRPr="00DC078B" w:rsidRDefault="00A2475C" w:rsidP="00A2475C">
            <w:pPr>
              <w:pStyle w:val="TableNText"/>
              <w:spacing w:before="0" w:after="0"/>
            </w:pPr>
            <w:r w:rsidRPr="00DC078B">
              <w:rPr>
                <w:sz w:val="16"/>
                <w:szCs w:val="20"/>
              </w:rPr>
              <w:t xml:space="preserve"> 206 378</w:t>
            </w:r>
          </w:p>
        </w:tc>
        <w:tc>
          <w:tcPr>
            <w:tcW w:w="851" w:type="dxa"/>
            <w:vAlign w:val="top"/>
          </w:tcPr>
          <w:p w14:paraId="308586DB" w14:textId="44C9AB0B" w:rsidR="00A2475C" w:rsidRPr="00DC078B" w:rsidRDefault="00A2475C" w:rsidP="00A2475C">
            <w:pPr>
              <w:pStyle w:val="TableNText"/>
              <w:spacing w:before="0" w:after="0"/>
            </w:pPr>
            <w:r w:rsidRPr="00DC078B">
              <w:rPr>
                <w:sz w:val="16"/>
                <w:szCs w:val="20"/>
              </w:rPr>
              <w:t xml:space="preserve"> 131 562</w:t>
            </w:r>
          </w:p>
        </w:tc>
        <w:tc>
          <w:tcPr>
            <w:tcW w:w="850" w:type="dxa"/>
            <w:vAlign w:val="top"/>
          </w:tcPr>
          <w:p w14:paraId="0D93470B" w14:textId="0F491BC8" w:rsidR="00A2475C" w:rsidRPr="00DC078B" w:rsidRDefault="00A2475C" w:rsidP="00A2475C">
            <w:pPr>
              <w:pStyle w:val="TableNText"/>
              <w:spacing w:before="0" w:after="0"/>
            </w:pPr>
            <w:r w:rsidRPr="00DC078B">
              <w:rPr>
                <w:sz w:val="16"/>
                <w:szCs w:val="20"/>
              </w:rPr>
              <w:t xml:space="preserve"> 20 416</w:t>
            </w:r>
          </w:p>
        </w:tc>
        <w:tc>
          <w:tcPr>
            <w:tcW w:w="824" w:type="dxa"/>
            <w:vAlign w:val="top"/>
          </w:tcPr>
          <w:p w14:paraId="66192F69" w14:textId="6ED408FC" w:rsidR="00A2475C" w:rsidRPr="00DC078B" w:rsidRDefault="00A2475C" w:rsidP="00A2475C">
            <w:pPr>
              <w:pStyle w:val="TableNText"/>
              <w:spacing w:before="0" w:after="0"/>
            </w:pPr>
            <w:r w:rsidRPr="00DC078B">
              <w:rPr>
                <w:sz w:val="16"/>
                <w:szCs w:val="20"/>
              </w:rPr>
              <w:t xml:space="preserve"> 25 501</w:t>
            </w:r>
          </w:p>
        </w:tc>
        <w:tc>
          <w:tcPr>
            <w:tcW w:w="696" w:type="dxa"/>
            <w:vAlign w:val="top"/>
          </w:tcPr>
          <w:p w14:paraId="6F3CB4BF" w14:textId="0A06236A" w:rsidR="00A2475C" w:rsidRPr="00DC078B" w:rsidRDefault="00A2475C" w:rsidP="00A2475C">
            <w:pPr>
              <w:pStyle w:val="TableNText"/>
              <w:spacing w:before="0" w:after="0"/>
            </w:pPr>
            <w:r w:rsidRPr="00DC078B">
              <w:rPr>
                <w:sz w:val="16"/>
                <w:szCs w:val="20"/>
              </w:rPr>
              <w:t xml:space="preserve"> 3 770</w:t>
            </w:r>
          </w:p>
        </w:tc>
        <w:tc>
          <w:tcPr>
            <w:tcW w:w="695" w:type="dxa"/>
            <w:vAlign w:val="top"/>
          </w:tcPr>
          <w:p w14:paraId="06EEE8EB" w14:textId="366F5050" w:rsidR="00A2475C" w:rsidRPr="00DC078B" w:rsidRDefault="00A2475C" w:rsidP="00A2475C">
            <w:pPr>
              <w:pStyle w:val="TableNText"/>
              <w:spacing w:before="0" w:after="0"/>
            </w:pPr>
            <w:r w:rsidRPr="00DC078B">
              <w:rPr>
                <w:sz w:val="16"/>
                <w:szCs w:val="20"/>
              </w:rPr>
              <w:t xml:space="preserve"> 1 606</w:t>
            </w:r>
          </w:p>
        </w:tc>
        <w:tc>
          <w:tcPr>
            <w:tcW w:w="750" w:type="dxa"/>
            <w:vAlign w:val="top"/>
          </w:tcPr>
          <w:p w14:paraId="166A37A5" w14:textId="3FCACDF1" w:rsidR="00A2475C" w:rsidRPr="00DC078B" w:rsidRDefault="00A2475C" w:rsidP="00A2475C">
            <w:pPr>
              <w:pStyle w:val="TableNText"/>
              <w:spacing w:before="0" w:after="0"/>
            </w:pPr>
            <w:r w:rsidRPr="00DC078B">
              <w:rPr>
                <w:sz w:val="16"/>
                <w:szCs w:val="20"/>
              </w:rPr>
              <w:t xml:space="preserve"> 12 161</w:t>
            </w:r>
          </w:p>
        </w:tc>
        <w:tc>
          <w:tcPr>
            <w:tcW w:w="862" w:type="dxa"/>
            <w:vAlign w:val="top"/>
          </w:tcPr>
          <w:p w14:paraId="03E5783B" w14:textId="03151EA7" w:rsidR="00A2475C" w:rsidRPr="00DC078B" w:rsidRDefault="00A2475C" w:rsidP="00A2475C">
            <w:pPr>
              <w:pStyle w:val="TableNText"/>
              <w:spacing w:before="0" w:after="0"/>
            </w:pPr>
            <w:r w:rsidRPr="00DC078B">
              <w:rPr>
                <w:sz w:val="16"/>
                <w:szCs w:val="20"/>
              </w:rPr>
              <w:t xml:space="preserve"> 723 825</w:t>
            </w:r>
          </w:p>
        </w:tc>
      </w:tr>
    </w:tbl>
    <w:p w14:paraId="25E8CED1" w14:textId="77777777" w:rsidR="00AE1119" w:rsidRPr="00DC078B" w:rsidRDefault="00AE1119" w:rsidP="00AE1119"/>
    <w:p w14:paraId="6F52F879" w14:textId="77777777" w:rsidR="00AE1119" w:rsidRPr="00DC078B" w:rsidRDefault="00AE1119" w:rsidP="00AE1119">
      <w:bookmarkStart w:id="283" w:name="_Hlk24467284"/>
      <w:bookmarkStart w:id="284" w:name="_Hlk24525910"/>
      <w:r w:rsidRPr="00DC078B">
        <w:t xml:space="preserve">Figures were then </w:t>
      </w:r>
      <w:r w:rsidRPr="00DC078B">
        <w:rPr>
          <w:rFonts w:asciiTheme="majorHAnsi" w:hAnsiTheme="majorHAnsi" w:cstheme="majorHAnsi"/>
        </w:rPr>
        <w:t>reported as a proportion of total preschool funding from all sources</w:t>
      </w:r>
      <w:r w:rsidRPr="00DC078B">
        <w:t>.</w:t>
      </w:r>
    </w:p>
    <w:tbl>
      <w:tblPr>
        <w:tblStyle w:val="TableGrid"/>
        <w:tblW w:w="0" w:type="auto"/>
        <w:tblLook w:val="04A0" w:firstRow="1" w:lastRow="0" w:firstColumn="1" w:lastColumn="0" w:noHBand="0" w:noVBand="1"/>
      </w:tblPr>
      <w:tblGrid>
        <w:gridCol w:w="3913"/>
        <w:gridCol w:w="566"/>
        <w:gridCol w:w="563"/>
        <w:gridCol w:w="563"/>
        <w:gridCol w:w="563"/>
        <w:gridCol w:w="563"/>
        <w:gridCol w:w="563"/>
        <w:gridCol w:w="563"/>
        <w:gridCol w:w="558"/>
        <w:gridCol w:w="515"/>
      </w:tblGrid>
      <w:tr w:rsidR="00B650D2" w:rsidRPr="00DC078B" w14:paraId="2E2C964A" w14:textId="77777777" w:rsidTr="00AE1119">
        <w:trPr>
          <w:cnfStyle w:val="100000000000" w:firstRow="1" w:lastRow="0" w:firstColumn="0" w:lastColumn="0" w:oddVBand="0" w:evenVBand="0" w:oddHBand="0" w:evenHBand="0" w:firstRowFirstColumn="0" w:firstRowLastColumn="0" w:lastRowFirstColumn="0" w:lastRowLastColumn="0"/>
        </w:trPr>
        <w:tc>
          <w:tcPr>
            <w:tcW w:w="3913" w:type="dxa"/>
          </w:tcPr>
          <w:bookmarkEnd w:id="283"/>
          <w:p w14:paraId="5D131DE9" w14:textId="77777777" w:rsidR="00AE1119" w:rsidRPr="00DC078B" w:rsidRDefault="00AE1119" w:rsidP="00AE1119">
            <w:pPr>
              <w:pStyle w:val="TableNheader"/>
              <w:spacing w:before="0" w:after="0"/>
              <w:rPr>
                <w:color w:val="auto"/>
              </w:rPr>
            </w:pPr>
            <w:r w:rsidRPr="00DC078B">
              <w:rPr>
                <w:color w:val="auto"/>
              </w:rPr>
              <w:t>Source</w:t>
            </w:r>
          </w:p>
        </w:tc>
        <w:tc>
          <w:tcPr>
            <w:tcW w:w="566" w:type="dxa"/>
          </w:tcPr>
          <w:p w14:paraId="416F5979"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NSW</w:t>
            </w:r>
          </w:p>
        </w:tc>
        <w:tc>
          <w:tcPr>
            <w:tcW w:w="563" w:type="dxa"/>
          </w:tcPr>
          <w:p w14:paraId="67C84B06"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Vic</w:t>
            </w:r>
          </w:p>
        </w:tc>
        <w:tc>
          <w:tcPr>
            <w:tcW w:w="563" w:type="dxa"/>
          </w:tcPr>
          <w:p w14:paraId="09F31DBE"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Qld</w:t>
            </w:r>
          </w:p>
        </w:tc>
        <w:tc>
          <w:tcPr>
            <w:tcW w:w="563" w:type="dxa"/>
          </w:tcPr>
          <w:p w14:paraId="4EC8BF77"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SA</w:t>
            </w:r>
          </w:p>
        </w:tc>
        <w:tc>
          <w:tcPr>
            <w:tcW w:w="563" w:type="dxa"/>
          </w:tcPr>
          <w:p w14:paraId="06660FFA"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WA</w:t>
            </w:r>
          </w:p>
        </w:tc>
        <w:tc>
          <w:tcPr>
            <w:tcW w:w="563" w:type="dxa"/>
          </w:tcPr>
          <w:p w14:paraId="147F91D6"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Tas</w:t>
            </w:r>
          </w:p>
        </w:tc>
        <w:tc>
          <w:tcPr>
            <w:tcW w:w="563" w:type="dxa"/>
          </w:tcPr>
          <w:p w14:paraId="7D0A7211"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NT</w:t>
            </w:r>
          </w:p>
        </w:tc>
        <w:tc>
          <w:tcPr>
            <w:tcW w:w="558" w:type="dxa"/>
          </w:tcPr>
          <w:p w14:paraId="14C6E047"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ACT</w:t>
            </w:r>
          </w:p>
        </w:tc>
        <w:tc>
          <w:tcPr>
            <w:tcW w:w="515" w:type="dxa"/>
          </w:tcPr>
          <w:p w14:paraId="2C96BF10"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Aust</w:t>
            </w:r>
          </w:p>
        </w:tc>
      </w:tr>
      <w:tr w:rsidR="00A2475C" w:rsidRPr="00DC078B" w14:paraId="7925A123" w14:textId="77777777" w:rsidTr="00AE1119">
        <w:trPr>
          <w:cnfStyle w:val="000000100000" w:firstRow="0" w:lastRow="0" w:firstColumn="0" w:lastColumn="0" w:oddVBand="0" w:evenVBand="0" w:oddHBand="1" w:evenHBand="0" w:firstRowFirstColumn="0" w:firstRowLastColumn="0" w:lastRowFirstColumn="0" w:lastRowLastColumn="0"/>
        </w:trPr>
        <w:tc>
          <w:tcPr>
            <w:tcW w:w="3913" w:type="dxa"/>
            <w:vAlign w:val="bottom"/>
          </w:tcPr>
          <w:p w14:paraId="7F8E67AD" w14:textId="77777777" w:rsidR="00A2475C" w:rsidRPr="00DC078B" w:rsidRDefault="00A2475C" w:rsidP="00A2475C">
            <w:pPr>
              <w:pStyle w:val="TableNText"/>
              <w:spacing w:before="0" w:after="0"/>
              <w:rPr>
                <w:rFonts w:asciiTheme="majorHAnsi" w:hAnsiTheme="majorHAnsi" w:cstheme="majorHAnsi"/>
              </w:rPr>
            </w:pPr>
            <w:r w:rsidRPr="00DC078B">
              <w:rPr>
                <w:rFonts w:asciiTheme="majorHAnsi" w:hAnsiTheme="majorHAnsi" w:cstheme="majorHAnsi"/>
              </w:rPr>
              <w:t>Category 1: State / Territory funding (total recurrent expenditure - UANP contribution)</w:t>
            </w:r>
          </w:p>
        </w:tc>
        <w:tc>
          <w:tcPr>
            <w:tcW w:w="566" w:type="dxa"/>
            <w:vAlign w:val="top"/>
          </w:tcPr>
          <w:p w14:paraId="152C4D0A" w14:textId="1939EAF8" w:rsidR="00A2475C" w:rsidRPr="00DC078B" w:rsidRDefault="00A2475C" w:rsidP="00A2475C">
            <w:pPr>
              <w:pStyle w:val="TableNText"/>
              <w:spacing w:before="0" w:after="0"/>
            </w:pPr>
            <w:r w:rsidRPr="00DC078B">
              <w:rPr>
                <w:sz w:val="16"/>
                <w:szCs w:val="20"/>
              </w:rPr>
              <w:t>25%</w:t>
            </w:r>
          </w:p>
        </w:tc>
        <w:tc>
          <w:tcPr>
            <w:tcW w:w="563" w:type="dxa"/>
            <w:vAlign w:val="top"/>
          </w:tcPr>
          <w:p w14:paraId="5F942F67" w14:textId="0CE36C33" w:rsidR="00A2475C" w:rsidRPr="00DC078B" w:rsidRDefault="00A2475C" w:rsidP="00A2475C">
            <w:pPr>
              <w:pStyle w:val="TableNText"/>
              <w:spacing w:before="0" w:after="0"/>
            </w:pPr>
            <w:r w:rsidRPr="00DC078B">
              <w:rPr>
                <w:sz w:val="16"/>
                <w:szCs w:val="20"/>
              </w:rPr>
              <w:t>41%</w:t>
            </w:r>
          </w:p>
        </w:tc>
        <w:tc>
          <w:tcPr>
            <w:tcW w:w="563" w:type="dxa"/>
            <w:vAlign w:val="top"/>
          </w:tcPr>
          <w:p w14:paraId="52EB7A27" w14:textId="12B53A8B" w:rsidR="00A2475C" w:rsidRPr="00DC078B" w:rsidRDefault="00A2475C" w:rsidP="00A2475C">
            <w:pPr>
              <w:pStyle w:val="TableNText"/>
              <w:spacing w:before="0" w:after="0"/>
            </w:pPr>
            <w:r w:rsidRPr="00DC078B">
              <w:rPr>
                <w:sz w:val="16"/>
                <w:szCs w:val="20"/>
              </w:rPr>
              <w:t>21%</w:t>
            </w:r>
          </w:p>
        </w:tc>
        <w:tc>
          <w:tcPr>
            <w:tcW w:w="563" w:type="dxa"/>
            <w:vAlign w:val="top"/>
          </w:tcPr>
          <w:p w14:paraId="2EBA0E0C" w14:textId="59F98EAB" w:rsidR="00A2475C" w:rsidRPr="00DC078B" w:rsidRDefault="00282749" w:rsidP="00A2475C">
            <w:pPr>
              <w:pStyle w:val="TableNText"/>
              <w:spacing w:before="0" w:after="0"/>
            </w:pPr>
            <w:r w:rsidRPr="00DC078B">
              <w:rPr>
                <w:sz w:val="16"/>
                <w:szCs w:val="20"/>
              </w:rPr>
              <w:t>69</w:t>
            </w:r>
            <w:r w:rsidR="00A2475C" w:rsidRPr="00DC078B">
              <w:rPr>
                <w:sz w:val="16"/>
                <w:szCs w:val="20"/>
              </w:rPr>
              <w:t>%</w:t>
            </w:r>
          </w:p>
        </w:tc>
        <w:tc>
          <w:tcPr>
            <w:tcW w:w="563" w:type="dxa"/>
            <w:vAlign w:val="top"/>
          </w:tcPr>
          <w:p w14:paraId="32B9C112" w14:textId="55E31D25" w:rsidR="00A2475C" w:rsidRPr="00DC078B" w:rsidRDefault="00282749" w:rsidP="00A2475C">
            <w:pPr>
              <w:pStyle w:val="TableNText"/>
              <w:spacing w:before="0" w:after="0"/>
            </w:pPr>
            <w:r w:rsidRPr="00DC078B">
              <w:rPr>
                <w:sz w:val="16"/>
                <w:szCs w:val="20"/>
              </w:rPr>
              <w:t>80</w:t>
            </w:r>
            <w:r w:rsidR="00A2475C" w:rsidRPr="00DC078B">
              <w:rPr>
                <w:sz w:val="16"/>
                <w:szCs w:val="20"/>
              </w:rPr>
              <w:t>%</w:t>
            </w:r>
          </w:p>
        </w:tc>
        <w:tc>
          <w:tcPr>
            <w:tcW w:w="563" w:type="dxa"/>
            <w:vAlign w:val="top"/>
          </w:tcPr>
          <w:p w14:paraId="1B3099CC" w14:textId="7E469391" w:rsidR="00A2475C" w:rsidRPr="00DC078B" w:rsidRDefault="00A2475C" w:rsidP="00A2475C">
            <w:pPr>
              <w:pStyle w:val="TableNText"/>
              <w:spacing w:before="0" w:after="0"/>
            </w:pPr>
            <w:r w:rsidRPr="00DC078B">
              <w:rPr>
                <w:sz w:val="16"/>
                <w:szCs w:val="20"/>
              </w:rPr>
              <w:t>75%</w:t>
            </w:r>
          </w:p>
        </w:tc>
        <w:tc>
          <w:tcPr>
            <w:tcW w:w="563" w:type="dxa"/>
            <w:vAlign w:val="top"/>
          </w:tcPr>
          <w:p w14:paraId="3288DAD0" w14:textId="04E20B48" w:rsidR="00A2475C" w:rsidRPr="00DC078B" w:rsidRDefault="00282749" w:rsidP="00A2475C">
            <w:pPr>
              <w:pStyle w:val="TableNText"/>
              <w:spacing w:before="0" w:after="0"/>
            </w:pPr>
            <w:r w:rsidRPr="00DC078B">
              <w:rPr>
                <w:sz w:val="16"/>
                <w:szCs w:val="20"/>
              </w:rPr>
              <w:t>81</w:t>
            </w:r>
            <w:r w:rsidR="00A2475C" w:rsidRPr="00DC078B">
              <w:rPr>
                <w:sz w:val="16"/>
                <w:szCs w:val="20"/>
              </w:rPr>
              <w:t>%</w:t>
            </w:r>
          </w:p>
        </w:tc>
        <w:tc>
          <w:tcPr>
            <w:tcW w:w="558" w:type="dxa"/>
            <w:vAlign w:val="top"/>
          </w:tcPr>
          <w:p w14:paraId="473F1DC7" w14:textId="6ED77FC7" w:rsidR="00A2475C" w:rsidRPr="00DC078B" w:rsidRDefault="00282749" w:rsidP="00A2475C">
            <w:pPr>
              <w:pStyle w:val="TableNText"/>
              <w:spacing w:before="0" w:after="0"/>
            </w:pPr>
            <w:r w:rsidRPr="00DC078B">
              <w:rPr>
                <w:sz w:val="16"/>
                <w:szCs w:val="20"/>
              </w:rPr>
              <w:t>53</w:t>
            </w:r>
            <w:r w:rsidR="00A2475C" w:rsidRPr="00DC078B">
              <w:rPr>
                <w:sz w:val="16"/>
                <w:szCs w:val="20"/>
              </w:rPr>
              <w:t>%</w:t>
            </w:r>
          </w:p>
        </w:tc>
        <w:tc>
          <w:tcPr>
            <w:tcW w:w="515" w:type="dxa"/>
            <w:vAlign w:val="top"/>
          </w:tcPr>
          <w:p w14:paraId="5B662851" w14:textId="1BDF3E40" w:rsidR="00A2475C" w:rsidRPr="00DC078B" w:rsidRDefault="00A2475C" w:rsidP="00A2475C">
            <w:pPr>
              <w:pStyle w:val="TableNText"/>
              <w:spacing w:before="0" w:after="0"/>
            </w:pPr>
            <w:r w:rsidRPr="00DC078B">
              <w:rPr>
                <w:sz w:val="16"/>
                <w:szCs w:val="20"/>
              </w:rPr>
              <w:t>42%</w:t>
            </w:r>
          </w:p>
        </w:tc>
      </w:tr>
      <w:tr w:rsidR="00A2475C" w:rsidRPr="00DC078B" w14:paraId="6D6DA527" w14:textId="77777777" w:rsidTr="00AE1119">
        <w:trPr>
          <w:cnfStyle w:val="000000010000" w:firstRow="0" w:lastRow="0" w:firstColumn="0" w:lastColumn="0" w:oddVBand="0" w:evenVBand="0" w:oddHBand="0" w:evenHBand="1" w:firstRowFirstColumn="0" w:firstRowLastColumn="0" w:lastRowFirstColumn="0" w:lastRowLastColumn="0"/>
        </w:trPr>
        <w:tc>
          <w:tcPr>
            <w:tcW w:w="3913" w:type="dxa"/>
            <w:vAlign w:val="bottom"/>
          </w:tcPr>
          <w:p w14:paraId="33A3A344" w14:textId="77777777" w:rsidR="00A2475C" w:rsidRPr="00DC078B" w:rsidRDefault="00A2475C" w:rsidP="00A2475C">
            <w:pPr>
              <w:pStyle w:val="TableNText"/>
              <w:spacing w:before="0" w:after="0"/>
              <w:rPr>
                <w:rFonts w:asciiTheme="majorHAnsi" w:hAnsiTheme="majorHAnsi" w:cstheme="majorHAnsi"/>
              </w:rPr>
            </w:pPr>
            <w:r w:rsidRPr="00DC078B">
              <w:rPr>
                <w:rFonts w:asciiTheme="majorHAnsi" w:hAnsiTheme="majorHAnsi" w:cstheme="majorHAnsi"/>
              </w:rPr>
              <w:t>Category 2: Australian Government contribution under the UANP</w:t>
            </w:r>
          </w:p>
        </w:tc>
        <w:tc>
          <w:tcPr>
            <w:tcW w:w="566" w:type="dxa"/>
            <w:vAlign w:val="top"/>
          </w:tcPr>
          <w:p w14:paraId="27BB42BE" w14:textId="3A20E514" w:rsidR="00A2475C" w:rsidRPr="00DC078B" w:rsidRDefault="00A2475C" w:rsidP="00A2475C">
            <w:pPr>
              <w:pStyle w:val="TableNText"/>
              <w:spacing w:before="0" w:after="0"/>
            </w:pPr>
            <w:r w:rsidRPr="00DC078B">
              <w:rPr>
                <w:sz w:val="16"/>
                <w:szCs w:val="20"/>
              </w:rPr>
              <w:t>15%</w:t>
            </w:r>
          </w:p>
        </w:tc>
        <w:tc>
          <w:tcPr>
            <w:tcW w:w="563" w:type="dxa"/>
            <w:vAlign w:val="top"/>
          </w:tcPr>
          <w:p w14:paraId="55FC4119" w14:textId="10CB2C8C" w:rsidR="00A2475C" w:rsidRPr="00DC078B" w:rsidRDefault="00A2475C" w:rsidP="00A2475C">
            <w:pPr>
              <w:pStyle w:val="TableNText"/>
              <w:spacing w:before="0" w:after="0"/>
            </w:pPr>
            <w:r w:rsidRPr="00DC078B">
              <w:rPr>
                <w:sz w:val="16"/>
                <w:szCs w:val="20"/>
              </w:rPr>
              <w:t>16%</w:t>
            </w:r>
          </w:p>
        </w:tc>
        <w:tc>
          <w:tcPr>
            <w:tcW w:w="563" w:type="dxa"/>
            <w:vAlign w:val="top"/>
          </w:tcPr>
          <w:p w14:paraId="495A4043" w14:textId="783CE1A5" w:rsidR="00A2475C" w:rsidRPr="00DC078B" w:rsidRDefault="00A2475C" w:rsidP="00A2475C">
            <w:pPr>
              <w:pStyle w:val="TableNText"/>
              <w:spacing w:before="0" w:after="0"/>
            </w:pPr>
            <w:r w:rsidRPr="00DC078B">
              <w:rPr>
                <w:sz w:val="16"/>
                <w:szCs w:val="20"/>
              </w:rPr>
              <w:t>19%</w:t>
            </w:r>
          </w:p>
        </w:tc>
        <w:tc>
          <w:tcPr>
            <w:tcW w:w="563" w:type="dxa"/>
            <w:vAlign w:val="top"/>
          </w:tcPr>
          <w:p w14:paraId="26601E90" w14:textId="5C4DDF17" w:rsidR="00A2475C" w:rsidRPr="00DC078B" w:rsidRDefault="00282749" w:rsidP="00A2475C">
            <w:pPr>
              <w:pStyle w:val="TableNText"/>
              <w:spacing w:before="0" w:after="0"/>
            </w:pPr>
            <w:r w:rsidRPr="00DC078B">
              <w:rPr>
                <w:sz w:val="16"/>
                <w:szCs w:val="20"/>
              </w:rPr>
              <w:t>13</w:t>
            </w:r>
            <w:r w:rsidR="00A2475C" w:rsidRPr="00DC078B">
              <w:rPr>
                <w:sz w:val="16"/>
                <w:szCs w:val="20"/>
              </w:rPr>
              <w:t>%</w:t>
            </w:r>
          </w:p>
        </w:tc>
        <w:tc>
          <w:tcPr>
            <w:tcW w:w="563" w:type="dxa"/>
            <w:vAlign w:val="top"/>
          </w:tcPr>
          <w:p w14:paraId="50813415" w14:textId="3274617A" w:rsidR="00A2475C" w:rsidRPr="00DC078B" w:rsidRDefault="00282749" w:rsidP="00A2475C">
            <w:pPr>
              <w:pStyle w:val="TableNText"/>
              <w:spacing w:before="0" w:after="0"/>
            </w:pPr>
            <w:r w:rsidRPr="00DC078B">
              <w:rPr>
                <w:sz w:val="16"/>
                <w:szCs w:val="20"/>
              </w:rPr>
              <w:t>12</w:t>
            </w:r>
            <w:r w:rsidR="00A2475C" w:rsidRPr="00DC078B">
              <w:rPr>
                <w:sz w:val="16"/>
                <w:szCs w:val="20"/>
              </w:rPr>
              <w:t>%</w:t>
            </w:r>
          </w:p>
        </w:tc>
        <w:tc>
          <w:tcPr>
            <w:tcW w:w="563" w:type="dxa"/>
            <w:vAlign w:val="top"/>
          </w:tcPr>
          <w:p w14:paraId="07B7E532" w14:textId="69934E95" w:rsidR="00A2475C" w:rsidRPr="00DC078B" w:rsidRDefault="00A2475C" w:rsidP="00A2475C">
            <w:pPr>
              <w:pStyle w:val="TableNText"/>
              <w:spacing w:before="0" w:after="0"/>
            </w:pPr>
            <w:r w:rsidRPr="00DC078B">
              <w:rPr>
                <w:sz w:val="16"/>
                <w:szCs w:val="20"/>
              </w:rPr>
              <w:t>16%</w:t>
            </w:r>
          </w:p>
        </w:tc>
        <w:tc>
          <w:tcPr>
            <w:tcW w:w="563" w:type="dxa"/>
            <w:vAlign w:val="top"/>
          </w:tcPr>
          <w:p w14:paraId="34E0614B" w14:textId="35CC6348" w:rsidR="00A2475C" w:rsidRPr="00DC078B" w:rsidRDefault="00282749" w:rsidP="00A2475C">
            <w:pPr>
              <w:pStyle w:val="TableNText"/>
              <w:spacing w:before="0" w:after="0"/>
            </w:pPr>
            <w:r w:rsidRPr="00DC078B">
              <w:rPr>
                <w:sz w:val="16"/>
                <w:szCs w:val="20"/>
              </w:rPr>
              <w:t>12</w:t>
            </w:r>
            <w:r w:rsidR="00A2475C" w:rsidRPr="00DC078B">
              <w:rPr>
                <w:sz w:val="16"/>
                <w:szCs w:val="20"/>
              </w:rPr>
              <w:t>%</w:t>
            </w:r>
          </w:p>
        </w:tc>
        <w:tc>
          <w:tcPr>
            <w:tcW w:w="558" w:type="dxa"/>
            <w:vAlign w:val="top"/>
          </w:tcPr>
          <w:p w14:paraId="1F014195" w14:textId="7D099273" w:rsidR="00A2475C" w:rsidRPr="00DC078B" w:rsidRDefault="00282749" w:rsidP="00A2475C">
            <w:pPr>
              <w:pStyle w:val="TableNText"/>
              <w:spacing w:before="0" w:after="0"/>
            </w:pPr>
            <w:r w:rsidRPr="00DC078B">
              <w:rPr>
                <w:sz w:val="16"/>
                <w:szCs w:val="20"/>
              </w:rPr>
              <w:t>16</w:t>
            </w:r>
            <w:r w:rsidR="00A2475C" w:rsidRPr="00DC078B">
              <w:rPr>
                <w:sz w:val="16"/>
                <w:szCs w:val="20"/>
              </w:rPr>
              <w:t>%</w:t>
            </w:r>
          </w:p>
        </w:tc>
        <w:tc>
          <w:tcPr>
            <w:tcW w:w="515" w:type="dxa"/>
            <w:vAlign w:val="top"/>
          </w:tcPr>
          <w:p w14:paraId="0E3DA19C" w14:textId="5EBE582E" w:rsidR="00A2475C" w:rsidRPr="00DC078B" w:rsidRDefault="00A2475C" w:rsidP="00A2475C">
            <w:pPr>
              <w:pStyle w:val="TableNText"/>
              <w:spacing w:before="0" w:after="0"/>
            </w:pPr>
            <w:r w:rsidRPr="00DC078B">
              <w:rPr>
                <w:sz w:val="16"/>
                <w:szCs w:val="20"/>
              </w:rPr>
              <w:t>15%</w:t>
            </w:r>
          </w:p>
        </w:tc>
      </w:tr>
      <w:tr w:rsidR="00A2475C" w:rsidRPr="00DC078B" w14:paraId="34055B20" w14:textId="77777777" w:rsidTr="00AE1119">
        <w:trPr>
          <w:cnfStyle w:val="000000100000" w:firstRow="0" w:lastRow="0" w:firstColumn="0" w:lastColumn="0" w:oddVBand="0" w:evenVBand="0" w:oddHBand="1" w:evenHBand="0" w:firstRowFirstColumn="0" w:firstRowLastColumn="0" w:lastRowFirstColumn="0" w:lastRowLastColumn="0"/>
        </w:trPr>
        <w:tc>
          <w:tcPr>
            <w:tcW w:w="3913" w:type="dxa"/>
            <w:vAlign w:val="bottom"/>
          </w:tcPr>
          <w:p w14:paraId="2265ADF3" w14:textId="77777777" w:rsidR="00A2475C" w:rsidRPr="00DC078B" w:rsidRDefault="00A2475C" w:rsidP="00A2475C">
            <w:pPr>
              <w:pStyle w:val="TableNText"/>
              <w:spacing w:before="0" w:after="0"/>
              <w:rPr>
                <w:rFonts w:asciiTheme="majorHAnsi" w:hAnsiTheme="majorHAnsi" w:cstheme="majorHAnsi"/>
              </w:rPr>
            </w:pPr>
            <w:r w:rsidRPr="00DC078B">
              <w:rPr>
                <w:rFonts w:asciiTheme="majorHAnsi" w:hAnsiTheme="majorHAnsi" w:cstheme="majorHAnsi"/>
              </w:rPr>
              <w:t>Category 3: Australian Government investment through child care subsidies (for 600 hours)</w:t>
            </w:r>
          </w:p>
        </w:tc>
        <w:tc>
          <w:tcPr>
            <w:tcW w:w="566" w:type="dxa"/>
            <w:vAlign w:val="top"/>
          </w:tcPr>
          <w:p w14:paraId="31CF0298" w14:textId="76FA96B2" w:rsidR="00A2475C" w:rsidRPr="00DC078B" w:rsidRDefault="00A2475C" w:rsidP="00A2475C">
            <w:pPr>
              <w:pStyle w:val="TableNText"/>
              <w:spacing w:before="0" w:after="0"/>
            </w:pPr>
            <w:r w:rsidRPr="00DC078B">
              <w:rPr>
                <w:sz w:val="16"/>
                <w:szCs w:val="20"/>
              </w:rPr>
              <w:t>25%</w:t>
            </w:r>
          </w:p>
        </w:tc>
        <w:tc>
          <w:tcPr>
            <w:tcW w:w="563" w:type="dxa"/>
            <w:vAlign w:val="top"/>
          </w:tcPr>
          <w:p w14:paraId="6DA34759" w14:textId="2F97EFAD" w:rsidR="00A2475C" w:rsidRPr="00DC078B" w:rsidRDefault="00A2475C" w:rsidP="00A2475C">
            <w:pPr>
              <w:pStyle w:val="TableNText"/>
              <w:spacing w:before="0" w:after="0"/>
            </w:pPr>
            <w:r w:rsidRPr="00DC078B">
              <w:rPr>
                <w:sz w:val="16"/>
                <w:szCs w:val="20"/>
              </w:rPr>
              <w:t>17%</w:t>
            </w:r>
          </w:p>
        </w:tc>
        <w:tc>
          <w:tcPr>
            <w:tcW w:w="563" w:type="dxa"/>
            <w:vAlign w:val="top"/>
          </w:tcPr>
          <w:p w14:paraId="2BF52223" w14:textId="11878755" w:rsidR="00A2475C" w:rsidRPr="00DC078B" w:rsidRDefault="00A2475C" w:rsidP="00A2475C">
            <w:pPr>
              <w:pStyle w:val="TableNText"/>
              <w:spacing w:before="0" w:after="0"/>
            </w:pPr>
            <w:r w:rsidRPr="00DC078B">
              <w:rPr>
                <w:sz w:val="16"/>
                <w:szCs w:val="20"/>
              </w:rPr>
              <w:t>31%</w:t>
            </w:r>
          </w:p>
        </w:tc>
        <w:tc>
          <w:tcPr>
            <w:tcW w:w="563" w:type="dxa"/>
            <w:vAlign w:val="top"/>
          </w:tcPr>
          <w:p w14:paraId="762B557B" w14:textId="7344490D" w:rsidR="00A2475C" w:rsidRPr="00DC078B" w:rsidRDefault="00282749" w:rsidP="00A2475C">
            <w:pPr>
              <w:pStyle w:val="TableNText"/>
              <w:spacing w:before="0" w:after="0"/>
            </w:pPr>
            <w:r w:rsidRPr="00DC078B">
              <w:rPr>
                <w:sz w:val="16"/>
                <w:szCs w:val="20"/>
              </w:rPr>
              <w:t>8</w:t>
            </w:r>
            <w:r w:rsidR="00A2475C" w:rsidRPr="00DC078B">
              <w:rPr>
                <w:sz w:val="16"/>
                <w:szCs w:val="20"/>
              </w:rPr>
              <w:t>%</w:t>
            </w:r>
          </w:p>
        </w:tc>
        <w:tc>
          <w:tcPr>
            <w:tcW w:w="563" w:type="dxa"/>
            <w:vAlign w:val="top"/>
          </w:tcPr>
          <w:p w14:paraId="777B356F" w14:textId="6F0DADD0" w:rsidR="00A2475C" w:rsidRPr="00DC078B" w:rsidRDefault="00A2475C" w:rsidP="00A2475C">
            <w:pPr>
              <w:pStyle w:val="TableNText"/>
              <w:spacing w:before="0" w:after="0"/>
            </w:pPr>
            <w:r w:rsidRPr="00DC078B">
              <w:rPr>
                <w:sz w:val="16"/>
                <w:szCs w:val="20"/>
              </w:rPr>
              <w:t>1%</w:t>
            </w:r>
          </w:p>
        </w:tc>
        <w:tc>
          <w:tcPr>
            <w:tcW w:w="563" w:type="dxa"/>
            <w:vAlign w:val="top"/>
          </w:tcPr>
          <w:p w14:paraId="4CBDD6F0" w14:textId="648C7647" w:rsidR="00A2475C" w:rsidRPr="00DC078B" w:rsidRDefault="00A2475C" w:rsidP="00A2475C">
            <w:pPr>
              <w:pStyle w:val="TableNText"/>
              <w:spacing w:before="0" w:after="0"/>
            </w:pPr>
            <w:r w:rsidRPr="00DC078B">
              <w:rPr>
                <w:sz w:val="16"/>
                <w:szCs w:val="20"/>
              </w:rPr>
              <w:t>2%</w:t>
            </w:r>
          </w:p>
        </w:tc>
        <w:tc>
          <w:tcPr>
            <w:tcW w:w="563" w:type="dxa"/>
            <w:vAlign w:val="top"/>
          </w:tcPr>
          <w:p w14:paraId="29EB9985" w14:textId="21E3C205" w:rsidR="00A2475C" w:rsidRPr="00DC078B" w:rsidRDefault="00A2475C" w:rsidP="00A2475C">
            <w:pPr>
              <w:pStyle w:val="TableNText"/>
              <w:spacing w:before="0" w:after="0"/>
            </w:pPr>
            <w:r w:rsidRPr="00DC078B">
              <w:rPr>
                <w:sz w:val="16"/>
                <w:szCs w:val="20"/>
              </w:rPr>
              <w:t>3%</w:t>
            </w:r>
          </w:p>
        </w:tc>
        <w:tc>
          <w:tcPr>
            <w:tcW w:w="558" w:type="dxa"/>
            <w:vAlign w:val="top"/>
          </w:tcPr>
          <w:p w14:paraId="4E6D3F1C" w14:textId="72E87090" w:rsidR="00A2475C" w:rsidRPr="00DC078B" w:rsidRDefault="00A2475C" w:rsidP="00A2475C">
            <w:pPr>
              <w:pStyle w:val="TableNText"/>
              <w:spacing w:before="0" w:after="0"/>
            </w:pPr>
            <w:r w:rsidRPr="00DC078B">
              <w:rPr>
                <w:sz w:val="16"/>
                <w:szCs w:val="20"/>
              </w:rPr>
              <w:t>10%</w:t>
            </w:r>
          </w:p>
        </w:tc>
        <w:tc>
          <w:tcPr>
            <w:tcW w:w="515" w:type="dxa"/>
            <w:vAlign w:val="top"/>
          </w:tcPr>
          <w:p w14:paraId="501AED10" w14:textId="7BE98CEC" w:rsidR="00A2475C" w:rsidRPr="00DC078B" w:rsidRDefault="00A2475C" w:rsidP="00A2475C">
            <w:pPr>
              <w:pStyle w:val="TableNText"/>
              <w:spacing w:before="0" w:after="0"/>
            </w:pPr>
            <w:r w:rsidRPr="00DC078B">
              <w:rPr>
                <w:sz w:val="16"/>
                <w:szCs w:val="20"/>
              </w:rPr>
              <w:t>18%</w:t>
            </w:r>
          </w:p>
        </w:tc>
      </w:tr>
      <w:tr w:rsidR="00A2475C" w:rsidRPr="00DC078B" w14:paraId="483A02B2" w14:textId="77777777" w:rsidTr="00AE1119">
        <w:trPr>
          <w:cnfStyle w:val="000000010000" w:firstRow="0" w:lastRow="0" w:firstColumn="0" w:lastColumn="0" w:oddVBand="0" w:evenVBand="0" w:oddHBand="0" w:evenHBand="1" w:firstRowFirstColumn="0" w:firstRowLastColumn="0" w:lastRowFirstColumn="0" w:lastRowLastColumn="0"/>
        </w:trPr>
        <w:tc>
          <w:tcPr>
            <w:tcW w:w="3913" w:type="dxa"/>
            <w:vAlign w:val="bottom"/>
          </w:tcPr>
          <w:p w14:paraId="4C85AC12" w14:textId="77777777" w:rsidR="00A2475C" w:rsidRPr="00DC078B" w:rsidRDefault="00A2475C" w:rsidP="00A2475C">
            <w:pPr>
              <w:pStyle w:val="TableNText"/>
              <w:spacing w:before="0" w:after="0"/>
              <w:rPr>
                <w:rFonts w:asciiTheme="majorHAnsi" w:hAnsiTheme="majorHAnsi" w:cstheme="majorHAnsi"/>
              </w:rPr>
            </w:pPr>
            <w:r w:rsidRPr="00DC078B">
              <w:rPr>
                <w:rFonts w:asciiTheme="majorHAnsi" w:hAnsiTheme="majorHAnsi" w:cstheme="majorHAnsi"/>
              </w:rPr>
              <w:t>Category 4: Estimated parental contributions (out of pocket costs) (for 600 hours)</w:t>
            </w:r>
          </w:p>
        </w:tc>
        <w:tc>
          <w:tcPr>
            <w:tcW w:w="566" w:type="dxa"/>
            <w:vAlign w:val="top"/>
          </w:tcPr>
          <w:p w14:paraId="3F271963" w14:textId="5190FD49" w:rsidR="00A2475C" w:rsidRPr="00DC078B" w:rsidRDefault="00A2475C" w:rsidP="00A2475C">
            <w:pPr>
              <w:pStyle w:val="TableNText"/>
              <w:spacing w:before="0" w:after="0"/>
            </w:pPr>
            <w:r w:rsidRPr="00DC078B">
              <w:rPr>
                <w:sz w:val="16"/>
                <w:szCs w:val="20"/>
              </w:rPr>
              <w:t>35%</w:t>
            </w:r>
          </w:p>
        </w:tc>
        <w:tc>
          <w:tcPr>
            <w:tcW w:w="563" w:type="dxa"/>
            <w:vAlign w:val="top"/>
          </w:tcPr>
          <w:p w14:paraId="5A05C58D" w14:textId="53E1BC04" w:rsidR="00A2475C" w:rsidRPr="00DC078B" w:rsidRDefault="00A2475C" w:rsidP="00A2475C">
            <w:pPr>
              <w:pStyle w:val="TableNText"/>
              <w:spacing w:before="0" w:after="0"/>
            </w:pPr>
            <w:r w:rsidRPr="00DC078B">
              <w:rPr>
                <w:sz w:val="16"/>
                <w:szCs w:val="20"/>
              </w:rPr>
              <w:t>27%</w:t>
            </w:r>
          </w:p>
        </w:tc>
        <w:tc>
          <w:tcPr>
            <w:tcW w:w="563" w:type="dxa"/>
            <w:vAlign w:val="top"/>
          </w:tcPr>
          <w:p w14:paraId="2A78A337" w14:textId="35BC55EE" w:rsidR="00A2475C" w:rsidRPr="00DC078B" w:rsidRDefault="00A2475C" w:rsidP="00A2475C">
            <w:pPr>
              <w:pStyle w:val="TableNText"/>
              <w:spacing w:before="0" w:after="0"/>
            </w:pPr>
            <w:r w:rsidRPr="00DC078B">
              <w:rPr>
                <w:sz w:val="16"/>
                <w:szCs w:val="20"/>
              </w:rPr>
              <w:t>29%</w:t>
            </w:r>
          </w:p>
        </w:tc>
        <w:tc>
          <w:tcPr>
            <w:tcW w:w="563" w:type="dxa"/>
            <w:vAlign w:val="top"/>
          </w:tcPr>
          <w:p w14:paraId="711A4B85" w14:textId="1DB35A8E" w:rsidR="00A2475C" w:rsidRPr="00DC078B" w:rsidRDefault="00282749" w:rsidP="00A2475C">
            <w:pPr>
              <w:pStyle w:val="TableNText"/>
              <w:spacing w:before="0" w:after="0"/>
            </w:pPr>
            <w:r w:rsidRPr="00DC078B">
              <w:rPr>
                <w:sz w:val="16"/>
                <w:szCs w:val="20"/>
              </w:rPr>
              <w:t>9</w:t>
            </w:r>
            <w:r w:rsidR="00A2475C" w:rsidRPr="00DC078B">
              <w:rPr>
                <w:sz w:val="16"/>
                <w:szCs w:val="20"/>
              </w:rPr>
              <w:t>%</w:t>
            </w:r>
          </w:p>
        </w:tc>
        <w:tc>
          <w:tcPr>
            <w:tcW w:w="563" w:type="dxa"/>
            <w:vAlign w:val="top"/>
          </w:tcPr>
          <w:p w14:paraId="18D025A7" w14:textId="04A5C38B" w:rsidR="00A2475C" w:rsidRPr="00DC078B" w:rsidRDefault="00282749" w:rsidP="00A2475C">
            <w:pPr>
              <w:pStyle w:val="TableNText"/>
              <w:spacing w:before="0" w:after="0"/>
            </w:pPr>
            <w:r w:rsidRPr="00DC078B">
              <w:rPr>
                <w:sz w:val="16"/>
                <w:szCs w:val="20"/>
              </w:rPr>
              <w:t>7</w:t>
            </w:r>
            <w:r w:rsidR="00A2475C" w:rsidRPr="00DC078B">
              <w:rPr>
                <w:sz w:val="16"/>
                <w:szCs w:val="20"/>
              </w:rPr>
              <w:t>%</w:t>
            </w:r>
          </w:p>
        </w:tc>
        <w:tc>
          <w:tcPr>
            <w:tcW w:w="563" w:type="dxa"/>
            <w:vAlign w:val="top"/>
          </w:tcPr>
          <w:p w14:paraId="044146B9" w14:textId="5DD012F1" w:rsidR="00A2475C" w:rsidRPr="00DC078B" w:rsidRDefault="00A2475C" w:rsidP="00A2475C">
            <w:pPr>
              <w:pStyle w:val="TableNText"/>
              <w:spacing w:before="0" w:after="0"/>
            </w:pPr>
            <w:r w:rsidRPr="00DC078B">
              <w:rPr>
                <w:sz w:val="16"/>
                <w:szCs w:val="20"/>
              </w:rPr>
              <w:t>7%</w:t>
            </w:r>
          </w:p>
        </w:tc>
        <w:tc>
          <w:tcPr>
            <w:tcW w:w="563" w:type="dxa"/>
            <w:vAlign w:val="top"/>
          </w:tcPr>
          <w:p w14:paraId="5742CC85" w14:textId="7509818E" w:rsidR="00A2475C" w:rsidRPr="00DC078B" w:rsidRDefault="00A2475C" w:rsidP="00A2475C">
            <w:pPr>
              <w:pStyle w:val="TableNText"/>
              <w:spacing w:before="0" w:after="0"/>
            </w:pPr>
            <w:r w:rsidRPr="00DC078B">
              <w:rPr>
                <w:sz w:val="16"/>
                <w:szCs w:val="20"/>
              </w:rPr>
              <w:t>4%</w:t>
            </w:r>
          </w:p>
        </w:tc>
        <w:tc>
          <w:tcPr>
            <w:tcW w:w="558" w:type="dxa"/>
            <w:vAlign w:val="top"/>
          </w:tcPr>
          <w:p w14:paraId="38ACF5B0" w14:textId="664B69AF" w:rsidR="00A2475C" w:rsidRPr="00DC078B" w:rsidRDefault="00282749" w:rsidP="00A2475C">
            <w:pPr>
              <w:pStyle w:val="TableNText"/>
              <w:spacing w:before="0" w:after="0"/>
            </w:pPr>
            <w:r w:rsidRPr="00DC078B">
              <w:rPr>
                <w:sz w:val="16"/>
                <w:szCs w:val="20"/>
              </w:rPr>
              <w:t>21</w:t>
            </w:r>
            <w:r w:rsidR="00A2475C" w:rsidRPr="00DC078B">
              <w:rPr>
                <w:sz w:val="16"/>
                <w:szCs w:val="20"/>
              </w:rPr>
              <w:t>%</w:t>
            </w:r>
          </w:p>
        </w:tc>
        <w:tc>
          <w:tcPr>
            <w:tcW w:w="515" w:type="dxa"/>
            <w:vAlign w:val="top"/>
          </w:tcPr>
          <w:p w14:paraId="5E5A45F0" w14:textId="1CFE1689" w:rsidR="00A2475C" w:rsidRPr="00DC078B" w:rsidRDefault="00A2475C" w:rsidP="00A2475C">
            <w:pPr>
              <w:pStyle w:val="TableNText"/>
              <w:spacing w:before="0" w:after="0"/>
            </w:pPr>
            <w:r w:rsidRPr="00DC078B">
              <w:rPr>
                <w:sz w:val="16"/>
                <w:szCs w:val="20"/>
              </w:rPr>
              <w:t>25%</w:t>
            </w:r>
          </w:p>
        </w:tc>
      </w:tr>
    </w:tbl>
    <w:bookmarkEnd w:id="284"/>
    <w:p w14:paraId="74863FD3" w14:textId="77777777" w:rsidR="00AE1119" w:rsidRPr="00DC078B" w:rsidRDefault="00AE1119" w:rsidP="00AE1119">
      <w:pPr>
        <w:pStyle w:val="Heading4"/>
        <w:rPr>
          <w:color w:val="auto"/>
        </w:rPr>
      </w:pPr>
      <w:r w:rsidRPr="00DC078B">
        <w:rPr>
          <w:color w:val="auto"/>
        </w:rPr>
        <w:t xml:space="preserve">Category 1: Estimating State and Territory funding </w:t>
      </w:r>
    </w:p>
    <w:p w14:paraId="5D4B87B3" w14:textId="1473760B" w:rsidR="00AE1119" w:rsidRPr="00DC078B" w:rsidRDefault="00AE1119" w:rsidP="00AE1119">
      <w:r w:rsidRPr="00DC078B">
        <w:t xml:space="preserve">To arrive at the figures above for State and Territory contributions to preschool funding, the Review </w:t>
      </w:r>
      <w:r w:rsidRPr="00DC078B">
        <w:rPr>
          <w:rFonts w:asciiTheme="majorHAnsi" w:hAnsiTheme="majorHAnsi" w:cstheme="majorHAnsi"/>
        </w:rPr>
        <w:t xml:space="preserve">subtracted the Australian Government contribution under the UANP </w:t>
      </w:r>
      <w:r w:rsidRPr="00DC078B">
        <w:rPr>
          <w:rFonts w:asciiTheme="minorHAnsi" w:hAnsiTheme="minorHAnsi" w:cstheme="minorHAnsi"/>
        </w:rPr>
        <w:t>(reported in ROGS, Table 3A.8)</w:t>
      </w:r>
      <w:r w:rsidRPr="00DC078B">
        <w:rPr>
          <w:rFonts w:asciiTheme="majorHAnsi" w:hAnsiTheme="majorHAnsi" w:cstheme="majorHAnsi"/>
        </w:rPr>
        <w:t xml:space="preserve"> from State and Territory real recurrent expenditure</w:t>
      </w:r>
      <w:r w:rsidRPr="00DC078B">
        <w:t xml:space="preserve"> on preschool (reported in ROGS, Table 3A.7).</w:t>
      </w:r>
      <w:r w:rsidR="00AA2349" w:rsidRPr="00DC078B">
        <w:t xml:space="preserve"> </w:t>
      </w:r>
    </w:p>
    <w:tbl>
      <w:tblPr>
        <w:tblStyle w:val="TableGrid"/>
        <w:tblW w:w="0" w:type="auto"/>
        <w:tblLook w:val="04A0" w:firstRow="1" w:lastRow="0" w:firstColumn="1" w:lastColumn="0" w:noHBand="0" w:noVBand="1"/>
      </w:tblPr>
      <w:tblGrid>
        <w:gridCol w:w="1560"/>
        <w:gridCol w:w="850"/>
        <w:gridCol w:w="851"/>
        <w:gridCol w:w="850"/>
        <w:gridCol w:w="851"/>
        <w:gridCol w:w="850"/>
        <w:gridCol w:w="709"/>
        <w:gridCol w:w="709"/>
        <w:gridCol w:w="708"/>
        <w:gridCol w:w="992"/>
      </w:tblGrid>
      <w:tr w:rsidR="00B650D2" w:rsidRPr="00DC078B" w14:paraId="5CE5C8C1" w14:textId="77777777" w:rsidTr="00A2475C">
        <w:trPr>
          <w:cnfStyle w:val="100000000000" w:firstRow="1" w:lastRow="0" w:firstColumn="0" w:lastColumn="0" w:oddVBand="0" w:evenVBand="0" w:oddHBand="0" w:evenHBand="0" w:firstRowFirstColumn="0" w:firstRowLastColumn="0" w:lastRowFirstColumn="0" w:lastRowLastColumn="0"/>
        </w:trPr>
        <w:tc>
          <w:tcPr>
            <w:tcW w:w="1560" w:type="dxa"/>
          </w:tcPr>
          <w:p w14:paraId="35A1B638" w14:textId="2AF9226F" w:rsidR="00AE1119" w:rsidRPr="00DC078B" w:rsidRDefault="00AE1119" w:rsidP="00AE1119">
            <w:pPr>
              <w:pStyle w:val="TableNheader"/>
              <w:spacing w:before="0" w:after="0"/>
              <w:rPr>
                <w:color w:val="auto"/>
              </w:rPr>
            </w:pPr>
            <w:r w:rsidRPr="00DC078B">
              <w:rPr>
                <w:color w:val="auto"/>
              </w:rPr>
              <w:t>Source (201</w:t>
            </w:r>
            <w:r w:rsidR="00A2475C" w:rsidRPr="00DC078B">
              <w:rPr>
                <w:color w:val="auto"/>
              </w:rPr>
              <w:t>8</w:t>
            </w:r>
            <w:r w:rsidRPr="00DC078B">
              <w:rPr>
                <w:color w:val="auto"/>
              </w:rPr>
              <w:t>-1</w:t>
            </w:r>
            <w:r w:rsidR="00A2475C" w:rsidRPr="00DC078B">
              <w:rPr>
                <w:color w:val="auto"/>
              </w:rPr>
              <w:t>9</w:t>
            </w:r>
            <w:r w:rsidRPr="00DC078B">
              <w:rPr>
                <w:color w:val="auto"/>
              </w:rPr>
              <w:t>)</w:t>
            </w:r>
          </w:p>
        </w:tc>
        <w:tc>
          <w:tcPr>
            <w:tcW w:w="850" w:type="dxa"/>
          </w:tcPr>
          <w:p w14:paraId="17D8542B"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NSW</w:t>
            </w:r>
          </w:p>
        </w:tc>
        <w:tc>
          <w:tcPr>
            <w:tcW w:w="851" w:type="dxa"/>
          </w:tcPr>
          <w:p w14:paraId="6121B695"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Vic</w:t>
            </w:r>
          </w:p>
        </w:tc>
        <w:tc>
          <w:tcPr>
            <w:tcW w:w="850" w:type="dxa"/>
          </w:tcPr>
          <w:p w14:paraId="65665E79"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Qld</w:t>
            </w:r>
          </w:p>
        </w:tc>
        <w:tc>
          <w:tcPr>
            <w:tcW w:w="851" w:type="dxa"/>
          </w:tcPr>
          <w:p w14:paraId="23433AD3"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SA</w:t>
            </w:r>
          </w:p>
        </w:tc>
        <w:tc>
          <w:tcPr>
            <w:tcW w:w="850" w:type="dxa"/>
          </w:tcPr>
          <w:p w14:paraId="65347596"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WA</w:t>
            </w:r>
          </w:p>
        </w:tc>
        <w:tc>
          <w:tcPr>
            <w:tcW w:w="709" w:type="dxa"/>
          </w:tcPr>
          <w:p w14:paraId="288FD987"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Tas</w:t>
            </w:r>
          </w:p>
        </w:tc>
        <w:tc>
          <w:tcPr>
            <w:tcW w:w="709" w:type="dxa"/>
          </w:tcPr>
          <w:p w14:paraId="3198E84F"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NT</w:t>
            </w:r>
          </w:p>
        </w:tc>
        <w:tc>
          <w:tcPr>
            <w:tcW w:w="708" w:type="dxa"/>
          </w:tcPr>
          <w:p w14:paraId="5214F77D"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ACT</w:t>
            </w:r>
          </w:p>
        </w:tc>
        <w:tc>
          <w:tcPr>
            <w:tcW w:w="992" w:type="dxa"/>
          </w:tcPr>
          <w:p w14:paraId="0967599E" w14:textId="77777777" w:rsidR="00AE1119" w:rsidRPr="00DC078B" w:rsidRDefault="00AE1119" w:rsidP="00AE1119">
            <w:pPr>
              <w:pStyle w:val="TableNheader"/>
              <w:spacing w:before="0" w:after="0"/>
              <w:rPr>
                <w:rFonts w:ascii="Calibri" w:hAnsi="Calibri" w:cs="Calibri"/>
                <w:i/>
                <w:iCs/>
                <w:color w:val="auto"/>
                <w:szCs w:val="19"/>
              </w:rPr>
            </w:pPr>
            <w:r w:rsidRPr="00DC078B">
              <w:rPr>
                <w:rFonts w:ascii="Calibri" w:hAnsi="Calibri" w:cs="Calibri"/>
                <w:i/>
                <w:iCs/>
                <w:color w:val="auto"/>
                <w:szCs w:val="19"/>
              </w:rPr>
              <w:t>Aust</w:t>
            </w:r>
          </w:p>
        </w:tc>
      </w:tr>
      <w:tr w:rsidR="00A2475C" w:rsidRPr="00DC078B" w14:paraId="27AFFBCE" w14:textId="77777777" w:rsidTr="00A2475C">
        <w:trPr>
          <w:cnfStyle w:val="000000100000" w:firstRow="0" w:lastRow="0" w:firstColumn="0" w:lastColumn="0" w:oddVBand="0" w:evenVBand="0" w:oddHBand="1" w:evenHBand="0" w:firstRowFirstColumn="0" w:firstRowLastColumn="0" w:lastRowFirstColumn="0" w:lastRowLastColumn="0"/>
        </w:trPr>
        <w:tc>
          <w:tcPr>
            <w:tcW w:w="1560" w:type="dxa"/>
            <w:vAlign w:val="top"/>
          </w:tcPr>
          <w:p w14:paraId="76538374" w14:textId="77777777" w:rsidR="00A2475C" w:rsidRPr="00DC078B" w:rsidRDefault="00A2475C" w:rsidP="00A2475C">
            <w:pPr>
              <w:pStyle w:val="TableNText"/>
              <w:spacing w:before="0" w:after="0"/>
              <w:rPr>
                <w:rFonts w:asciiTheme="majorHAnsi" w:hAnsiTheme="majorHAnsi" w:cstheme="majorHAnsi"/>
              </w:rPr>
            </w:pPr>
            <w:r w:rsidRPr="00DC078B">
              <w:rPr>
                <w:rFonts w:asciiTheme="majorHAnsi" w:hAnsiTheme="majorHAnsi" w:cstheme="majorHAnsi"/>
              </w:rPr>
              <w:t>Category 1: State and Territory funding for preschool provision ($000)</w:t>
            </w:r>
          </w:p>
        </w:tc>
        <w:tc>
          <w:tcPr>
            <w:tcW w:w="850" w:type="dxa"/>
            <w:vAlign w:val="top"/>
          </w:tcPr>
          <w:p w14:paraId="7CE6F631" w14:textId="39D5A37B" w:rsidR="00A2475C" w:rsidRPr="00DC078B" w:rsidRDefault="00A2475C" w:rsidP="00A2475C">
            <w:pPr>
              <w:pStyle w:val="TableNText"/>
              <w:spacing w:before="0" w:after="0"/>
              <w:rPr>
                <w:rFonts w:asciiTheme="majorHAnsi" w:hAnsiTheme="majorHAnsi" w:cstheme="majorHAnsi"/>
                <w:highlight w:val="yellow"/>
              </w:rPr>
            </w:pPr>
            <w:r w:rsidRPr="00DC078B">
              <w:rPr>
                <w:sz w:val="16"/>
                <w:szCs w:val="20"/>
              </w:rPr>
              <w:t xml:space="preserve"> 212 482</w:t>
            </w:r>
          </w:p>
        </w:tc>
        <w:tc>
          <w:tcPr>
            <w:tcW w:w="851" w:type="dxa"/>
            <w:vAlign w:val="top"/>
          </w:tcPr>
          <w:p w14:paraId="437FBC26" w14:textId="59C083A9" w:rsidR="00A2475C" w:rsidRPr="00DC078B" w:rsidRDefault="00A2475C" w:rsidP="00A2475C">
            <w:pPr>
              <w:pStyle w:val="TableNText"/>
              <w:spacing w:before="0" w:after="0"/>
              <w:rPr>
                <w:rFonts w:asciiTheme="majorHAnsi" w:hAnsiTheme="majorHAnsi" w:cstheme="majorHAnsi"/>
                <w:highlight w:val="yellow"/>
              </w:rPr>
            </w:pPr>
            <w:r w:rsidRPr="00DC078B">
              <w:rPr>
                <w:sz w:val="16"/>
                <w:szCs w:val="20"/>
              </w:rPr>
              <w:t xml:space="preserve"> 314 009</w:t>
            </w:r>
          </w:p>
        </w:tc>
        <w:tc>
          <w:tcPr>
            <w:tcW w:w="850" w:type="dxa"/>
            <w:vAlign w:val="top"/>
          </w:tcPr>
          <w:p w14:paraId="1661CB82" w14:textId="7A013223" w:rsidR="00A2475C" w:rsidRPr="00DC078B" w:rsidRDefault="00A2475C" w:rsidP="00A2475C">
            <w:pPr>
              <w:pStyle w:val="TableNText"/>
              <w:spacing w:before="0" w:after="0"/>
              <w:rPr>
                <w:rFonts w:asciiTheme="majorHAnsi" w:hAnsiTheme="majorHAnsi" w:cstheme="majorHAnsi"/>
                <w:highlight w:val="yellow"/>
              </w:rPr>
            </w:pPr>
            <w:r w:rsidRPr="00DC078B">
              <w:rPr>
                <w:sz w:val="16"/>
                <w:szCs w:val="20"/>
              </w:rPr>
              <w:t xml:space="preserve"> 96 223</w:t>
            </w:r>
          </w:p>
        </w:tc>
        <w:tc>
          <w:tcPr>
            <w:tcW w:w="851" w:type="dxa"/>
            <w:vAlign w:val="top"/>
          </w:tcPr>
          <w:p w14:paraId="40C8FB90" w14:textId="507E5E09" w:rsidR="00A2475C" w:rsidRPr="00DC078B" w:rsidRDefault="00282749" w:rsidP="00A2475C">
            <w:pPr>
              <w:pStyle w:val="TableNText"/>
              <w:spacing w:before="0" w:after="0"/>
              <w:rPr>
                <w:rFonts w:asciiTheme="majorHAnsi" w:hAnsiTheme="majorHAnsi" w:cstheme="majorHAnsi"/>
                <w:highlight w:val="yellow"/>
              </w:rPr>
            </w:pPr>
            <w:r w:rsidRPr="00DC078B">
              <w:rPr>
                <w:sz w:val="16"/>
                <w:szCs w:val="20"/>
              </w:rPr>
              <w:t>151 161</w:t>
            </w:r>
            <w:r w:rsidR="00A2475C" w:rsidRPr="00DC078B">
              <w:rPr>
                <w:sz w:val="16"/>
                <w:szCs w:val="20"/>
              </w:rPr>
              <w:t xml:space="preserve"> </w:t>
            </w:r>
          </w:p>
        </w:tc>
        <w:tc>
          <w:tcPr>
            <w:tcW w:w="850" w:type="dxa"/>
            <w:vAlign w:val="top"/>
          </w:tcPr>
          <w:p w14:paraId="7967AC22" w14:textId="1AEA52F8" w:rsidR="00A2475C" w:rsidRPr="00DC078B" w:rsidRDefault="00282749" w:rsidP="00A2475C">
            <w:pPr>
              <w:pStyle w:val="TableNText"/>
              <w:spacing w:before="0" w:after="0"/>
              <w:rPr>
                <w:rFonts w:asciiTheme="majorHAnsi" w:hAnsiTheme="majorHAnsi" w:cstheme="majorHAnsi"/>
                <w:highlight w:val="yellow"/>
              </w:rPr>
            </w:pPr>
            <w:r w:rsidRPr="00DC078B">
              <w:rPr>
                <w:sz w:val="16"/>
                <w:szCs w:val="20"/>
              </w:rPr>
              <w:t>306 887</w:t>
            </w:r>
          </w:p>
        </w:tc>
        <w:tc>
          <w:tcPr>
            <w:tcW w:w="709" w:type="dxa"/>
            <w:vAlign w:val="top"/>
          </w:tcPr>
          <w:p w14:paraId="194398FA" w14:textId="52772564" w:rsidR="00A2475C" w:rsidRPr="00DC078B" w:rsidRDefault="00A2475C" w:rsidP="00A2475C">
            <w:pPr>
              <w:pStyle w:val="TableNText"/>
              <w:spacing w:before="0" w:after="0"/>
              <w:rPr>
                <w:rFonts w:asciiTheme="majorHAnsi" w:hAnsiTheme="majorHAnsi" w:cstheme="majorHAnsi"/>
                <w:highlight w:val="yellow"/>
              </w:rPr>
            </w:pPr>
            <w:r w:rsidRPr="00DC078B">
              <w:rPr>
                <w:sz w:val="16"/>
                <w:szCs w:val="20"/>
              </w:rPr>
              <w:t xml:space="preserve"> 42 720</w:t>
            </w:r>
          </w:p>
        </w:tc>
        <w:tc>
          <w:tcPr>
            <w:tcW w:w="709" w:type="dxa"/>
            <w:vAlign w:val="top"/>
          </w:tcPr>
          <w:p w14:paraId="515075C7" w14:textId="30F444D3" w:rsidR="00A2475C" w:rsidRPr="00DC078B" w:rsidRDefault="00282749" w:rsidP="00A2475C">
            <w:pPr>
              <w:pStyle w:val="TableNText"/>
              <w:spacing w:before="0" w:after="0"/>
              <w:rPr>
                <w:rFonts w:asciiTheme="majorHAnsi" w:hAnsiTheme="majorHAnsi" w:cstheme="majorHAnsi"/>
                <w:highlight w:val="yellow"/>
              </w:rPr>
            </w:pPr>
            <w:r w:rsidRPr="00DC078B">
              <w:rPr>
                <w:sz w:val="16"/>
                <w:szCs w:val="20"/>
              </w:rPr>
              <w:t>32 710</w:t>
            </w:r>
          </w:p>
        </w:tc>
        <w:tc>
          <w:tcPr>
            <w:tcW w:w="708" w:type="dxa"/>
            <w:vAlign w:val="top"/>
          </w:tcPr>
          <w:p w14:paraId="16C32DA9" w14:textId="157C564D" w:rsidR="00A2475C" w:rsidRPr="00DC078B" w:rsidRDefault="00030139" w:rsidP="00A2475C">
            <w:pPr>
              <w:pStyle w:val="TableNText"/>
              <w:spacing w:before="0" w:after="0"/>
              <w:rPr>
                <w:rFonts w:asciiTheme="majorHAnsi" w:hAnsiTheme="majorHAnsi" w:cstheme="majorHAnsi"/>
                <w:highlight w:val="yellow"/>
              </w:rPr>
            </w:pPr>
            <w:r w:rsidRPr="00DC078B">
              <w:rPr>
                <w:sz w:val="16"/>
                <w:szCs w:val="20"/>
              </w:rPr>
              <w:t>30 196</w:t>
            </w:r>
          </w:p>
        </w:tc>
        <w:tc>
          <w:tcPr>
            <w:tcW w:w="992" w:type="dxa"/>
            <w:vAlign w:val="top"/>
          </w:tcPr>
          <w:p w14:paraId="58BB621E" w14:textId="74990554" w:rsidR="00A2475C" w:rsidRPr="00DC078B" w:rsidRDefault="00A2475C" w:rsidP="00A2475C">
            <w:pPr>
              <w:pStyle w:val="TableNText"/>
              <w:spacing w:before="0" w:after="0"/>
              <w:rPr>
                <w:rFonts w:asciiTheme="majorHAnsi" w:hAnsiTheme="majorHAnsi" w:cstheme="majorHAnsi"/>
                <w:highlight w:val="yellow"/>
              </w:rPr>
            </w:pPr>
            <w:r w:rsidRPr="00DC078B">
              <w:rPr>
                <w:sz w:val="16"/>
                <w:szCs w:val="20"/>
              </w:rPr>
              <w:t>1 186 389</w:t>
            </w:r>
          </w:p>
        </w:tc>
      </w:tr>
    </w:tbl>
    <w:p w14:paraId="255BDEAF" w14:textId="32AAB44C" w:rsidR="00AE1119" w:rsidRPr="00A51952" w:rsidRDefault="00AE1119" w:rsidP="00AE1119">
      <w:pPr>
        <w:rPr>
          <w:i/>
          <w:sz w:val="16"/>
        </w:rPr>
      </w:pPr>
      <w:r w:rsidRPr="00A51952">
        <w:rPr>
          <w:i/>
          <w:sz w:val="16"/>
        </w:rPr>
        <w:t>Source: Table</w:t>
      </w:r>
      <w:r>
        <w:rPr>
          <w:i/>
          <w:sz w:val="16"/>
        </w:rPr>
        <w:t>s</w:t>
      </w:r>
      <w:r w:rsidRPr="00A51952">
        <w:rPr>
          <w:i/>
          <w:sz w:val="16"/>
        </w:rPr>
        <w:t xml:space="preserve"> 3A.7</w:t>
      </w:r>
      <w:r>
        <w:rPr>
          <w:i/>
          <w:sz w:val="16"/>
        </w:rPr>
        <w:t xml:space="preserve"> and 3A.8</w:t>
      </w:r>
      <w:r w:rsidRPr="00A51952">
        <w:rPr>
          <w:i/>
          <w:sz w:val="16"/>
        </w:rPr>
        <w:t xml:space="preserve"> Report of Government Services, Productivity Commission, 20</w:t>
      </w:r>
      <w:r w:rsidR="00A2475C">
        <w:rPr>
          <w:i/>
          <w:sz w:val="16"/>
        </w:rPr>
        <w:t>20</w:t>
      </w:r>
    </w:p>
    <w:p w14:paraId="507AB90A" w14:textId="77777777" w:rsidR="00AE1119" w:rsidRPr="00743E3D" w:rsidRDefault="00AE1119" w:rsidP="00AE1119">
      <w:pPr>
        <w:pStyle w:val="Heading4"/>
      </w:pPr>
      <w:r>
        <w:t>Category 2: Estimating Australian Government funding under the UANP</w:t>
      </w:r>
    </w:p>
    <w:p w14:paraId="0F1989D4" w14:textId="698CF4E4" w:rsidR="00AE1119" w:rsidRDefault="00AE1119" w:rsidP="00AE1119">
      <w:pPr>
        <w:widowControl w:val="0"/>
      </w:pPr>
      <w:r w:rsidRPr="00743E3D">
        <w:t xml:space="preserve">The Review </w:t>
      </w:r>
      <w:r>
        <w:t xml:space="preserve">used </w:t>
      </w:r>
      <w:r w:rsidRPr="00743E3D">
        <w:t xml:space="preserve">ROGS (Table 3A.8) </w:t>
      </w:r>
      <w:r>
        <w:t xml:space="preserve">reporting of the </w:t>
      </w:r>
      <w:r w:rsidRPr="00EC352C">
        <w:rPr>
          <w:rFonts w:asciiTheme="majorHAnsi" w:hAnsiTheme="majorHAnsi" w:cstheme="majorHAnsi"/>
        </w:rPr>
        <w:t>Australian Government contribution under the UANP</w:t>
      </w:r>
      <w:r>
        <w:t>.</w:t>
      </w:r>
      <w:r w:rsidR="00EA4655">
        <w:t xml:space="preserve"> T</w:t>
      </w:r>
      <w:r w:rsidR="00EA4655" w:rsidRPr="00912CA1">
        <w:t>he Australian Government contribution under the UANP represents the maximum available funding, and actual payments may be lower based on assessment against UANP performance measures</w:t>
      </w:r>
      <w:r w:rsidR="00EA4655">
        <w:t>.</w:t>
      </w:r>
    </w:p>
    <w:tbl>
      <w:tblPr>
        <w:tblStyle w:val="TableGrid"/>
        <w:tblW w:w="0" w:type="auto"/>
        <w:tblLook w:val="04A0" w:firstRow="1" w:lastRow="0" w:firstColumn="1" w:lastColumn="0" w:noHBand="0" w:noVBand="1"/>
      </w:tblPr>
      <w:tblGrid>
        <w:gridCol w:w="2299"/>
        <w:gridCol w:w="837"/>
        <w:gridCol w:w="832"/>
        <w:gridCol w:w="697"/>
        <w:gridCol w:w="697"/>
        <w:gridCol w:w="697"/>
        <w:gridCol w:w="696"/>
        <w:gridCol w:w="697"/>
        <w:gridCol w:w="698"/>
        <w:gridCol w:w="780"/>
      </w:tblGrid>
      <w:tr w:rsidR="00B650D2" w14:paraId="5D331396" w14:textId="77777777" w:rsidTr="00A2475C">
        <w:trPr>
          <w:cnfStyle w:val="100000000000" w:firstRow="1" w:lastRow="0" w:firstColumn="0" w:lastColumn="0" w:oddVBand="0" w:evenVBand="0" w:oddHBand="0" w:evenHBand="0" w:firstRowFirstColumn="0" w:firstRowLastColumn="0" w:lastRowFirstColumn="0" w:lastRowLastColumn="0"/>
        </w:trPr>
        <w:tc>
          <w:tcPr>
            <w:tcW w:w="2299" w:type="dxa"/>
          </w:tcPr>
          <w:p w14:paraId="61C951A5" w14:textId="2516BF46" w:rsidR="00AE1119" w:rsidRDefault="00AE1119" w:rsidP="00AE1119">
            <w:pPr>
              <w:pStyle w:val="TableNheader"/>
              <w:widowControl w:val="0"/>
              <w:spacing w:before="0" w:after="0"/>
            </w:pPr>
            <w:r>
              <w:lastRenderedPageBreak/>
              <w:t>Source (201</w:t>
            </w:r>
            <w:r w:rsidR="00A2475C">
              <w:t>8</w:t>
            </w:r>
            <w:r>
              <w:t>-1</w:t>
            </w:r>
            <w:r w:rsidR="00A2475C">
              <w:t>9</w:t>
            </w:r>
            <w:r>
              <w:t>)</w:t>
            </w:r>
          </w:p>
        </w:tc>
        <w:tc>
          <w:tcPr>
            <w:tcW w:w="837" w:type="dxa"/>
          </w:tcPr>
          <w:p w14:paraId="034E19A9"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NSW</w:t>
            </w:r>
          </w:p>
        </w:tc>
        <w:tc>
          <w:tcPr>
            <w:tcW w:w="832" w:type="dxa"/>
          </w:tcPr>
          <w:p w14:paraId="663B1F64"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Vic</w:t>
            </w:r>
          </w:p>
        </w:tc>
        <w:tc>
          <w:tcPr>
            <w:tcW w:w="697" w:type="dxa"/>
          </w:tcPr>
          <w:p w14:paraId="0530259D"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Qld</w:t>
            </w:r>
          </w:p>
        </w:tc>
        <w:tc>
          <w:tcPr>
            <w:tcW w:w="697" w:type="dxa"/>
          </w:tcPr>
          <w:p w14:paraId="231F99D4"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SA</w:t>
            </w:r>
          </w:p>
        </w:tc>
        <w:tc>
          <w:tcPr>
            <w:tcW w:w="697" w:type="dxa"/>
          </w:tcPr>
          <w:p w14:paraId="0E5D30C9"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WA</w:t>
            </w:r>
          </w:p>
        </w:tc>
        <w:tc>
          <w:tcPr>
            <w:tcW w:w="696" w:type="dxa"/>
          </w:tcPr>
          <w:p w14:paraId="28254F89"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Tas</w:t>
            </w:r>
          </w:p>
        </w:tc>
        <w:tc>
          <w:tcPr>
            <w:tcW w:w="697" w:type="dxa"/>
          </w:tcPr>
          <w:p w14:paraId="3A68FD4E"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NT</w:t>
            </w:r>
          </w:p>
        </w:tc>
        <w:tc>
          <w:tcPr>
            <w:tcW w:w="698" w:type="dxa"/>
          </w:tcPr>
          <w:p w14:paraId="68CA7E90"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ACT</w:t>
            </w:r>
          </w:p>
        </w:tc>
        <w:tc>
          <w:tcPr>
            <w:tcW w:w="780" w:type="dxa"/>
          </w:tcPr>
          <w:p w14:paraId="3B66435D" w14:textId="77777777" w:rsidR="00AE1119" w:rsidRDefault="00AE1119" w:rsidP="00AE1119">
            <w:pPr>
              <w:pStyle w:val="TableNheader"/>
              <w:widowControl w:val="0"/>
              <w:spacing w:before="0" w:after="0"/>
              <w:rPr>
                <w:rFonts w:ascii="Calibri" w:hAnsi="Calibri" w:cs="Calibri"/>
                <w:i/>
                <w:iCs/>
                <w:szCs w:val="19"/>
              </w:rPr>
            </w:pPr>
            <w:r>
              <w:rPr>
                <w:rFonts w:ascii="Calibri" w:hAnsi="Calibri" w:cs="Calibri"/>
                <w:i/>
                <w:iCs/>
                <w:szCs w:val="19"/>
              </w:rPr>
              <w:t>Aust</w:t>
            </w:r>
          </w:p>
        </w:tc>
      </w:tr>
      <w:tr w:rsidR="00A2475C" w14:paraId="61E7A545" w14:textId="77777777" w:rsidTr="00121766">
        <w:trPr>
          <w:cnfStyle w:val="000000100000" w:firstRow="0" w:lastRow="0" w:firstColumn="0" w:lastColumn="0" w:oddVBand="0" w:evenVBand="0" w:oddHBand="1" w:evenHBand="0" w:firstRowFirstColumn="0" w:firstRowLastColumn="0" w:lastRowFirstColumn="0" w:lastRowLastColumn="0"/>
        </w:trPr>
        <w:tc>
          <w:tcPr>
            <w:tcW w:w="2299" w:type="dxa"/>
            <w:vAlign w:val="top"/>
          </w:tcPr>
          <w:p w14:paraId="0B83424E" w14:textId="77777777" w:rsidR="00A2475C" w:rsidRPr="00743E3D" w:rsidRDefault="00A2475C" w:rsidP="00A2475C">
            <w:pPr>
              <w:pStyle w:val="TableNText"/>
              <w:widowControl w:val="0"/>
              <w:spacing w:before="0" w:after="0"/>
              <w:rPr>
                <w:rFonts w:asciiTheme="majorHAnsi" w:hAnsiTheme="majorHAnsi" w:cstheme="majorHAnsi"/>
              </w:rPr>
            </w:pPr>
            <w:r w:rsidRPr="00DC078B">
              <w:rPr>
                <w:rFonts w:asciiTheme="majorHAnsi" w:hAnsiTheme="majorHAnsi" w:cstheme="majorHAnsi"/>
              </w:rPr>
              <w:t xml:space="preserve">Category 2: Australian Government funding to States and Territories </w:t>
            </w:r>
            <w:r w:rsidRPr="00743E3D">
              <w:rPr>
                <w:rFonts w:asciiTheme="majorHAnsi" w:hAnsiTheme="majorHAnsi" w:cstheme="majorHAnsi"/>
              </w:rPr>
              <w:t xml:space="preserve">under the </w:t>
            </w:r>
            <w:r w:rsidRPr="000A4080">
              <w:rPr>
                <w:rFonts w:asciiTheme="majorHAnsi" w:hAnsiTheme="majorHAnsi" w:cstheme="majorHAnsi"/>
              </w:rPr>
              <w:t>UANP</w:t>
            </w:r>
            <w:r w:rsidRPr="00743E3D">
              <w:rPr>
                <w:rFonts w:asciiTheme="majorHAnsi" w:hAnsiTheme="majorHAnsi" w:cstheme="majorHAnsi"/>
              </w:rPr>
              <w:t xml:space="preserve"> ($000) </w:t>
            </w:r>
          </w:p>
        </w:tc>
        <w:tc>
          <w:tcPr>
            <w:tcW w:w="837" w:type="dxa"/>
          </w:tcPr>
          <w:p w14:paraId="45935186" w14:textId="1DE4EB6B" w:rsidR="00A2475C" w:rsidRPr="000657BB" w:rsidRDefault="00A2475C" w:rsidP="00A2475C">
            <w:pPr>
              <w:pStyle w:val="TableNText"/>
              <w:widowControl w:val="0"/>
              <w:spacing w:before="0" w:after="0"/>
            </w:pPr>
            <w:r w:rsidRPr="00291828">
              <w:rPr>
                <w:sz w:val="16"/>
                <w:szCs w:val="20"/>
              </w:rPr>
              <w:t>124</w:t>
            </w:r>
            <w:r>
              <w:rPr>
                <w:sz w:val="16"/>
                <w:szCs w:val="20"/>
              </w:rPr>
              <w:t xml:space="preserve"> </w:t>
            </w:r>
            <w:r w:rsidRPr="00291828">
              <w:rPr>
                <w:sz w:val="16"/>
                <w:szCs w:val="20"/>
              </w:rPr>
              <w:t>932</w:t>
            </w:r>
            <w:r>
              <w:rPr>
                <w:sz w:val="16"/>
                <w:szCs w:val="20"/>
              </w:rPr>
              <w:t xml:space="preserve"> </w:t>
            </w:r>
          </w:p>
        </w:tc>
        <w:tc>
          <w:tcPr>
            <w:tcW w:w="832" w:type="dxa"/>
          </w:tcPr>
          <w:p w14:paraId="3FAB5B72" w14:textId="091B0695" w:rsidR="00A2475C" w:rsidRPr="000657BB" w:rsidRDefault="00A2475C" w:rsidP="00A2475C">
            <w:pPr>
              <w:pStyle w:val="TableNText"/>
              <w:widowControl w:val="0"/>
              <w:spacing w:before="0" w:after="0"/>
            </w:pPr>
            <w:r w:rsidRPr="00291828">
              <w:rPr>
                <w:sz w:val="16"/>
                <w:szCs w:val="20"/>
              </w:rPr>
              <w:t>120 888</w:t>
            </w:r>
            <w:r>
              <w:rPr>
                <w:sz w:val="16"/>
                <w:szCs w:val="20"/>
              </w:rPr>
              <w:t xml:space="preserve"> </w:t>
            </w:r>
          </w:p>
        </w:tc>
        <w:tc>
          <w:tcPr>
            <w:tcW w:w="697" w:type="dxa"/>
          </w:tcPr>
          <w:p w14:paraId="2BDFEF1E" w14:textId="3F8CF5F6" w:rsidR="00A2475C" w:rsidRPr="000657BB" w:rsidRDefault="00A2475C" w:rsidP="00A2475C">
            <w:pPr>
              <w:pStyle w:val="TableNText"/>
              <w:widowControl w:val="0"/>
              <w:spacing w:before="0" w:after="0"/>
            </w:pPr>
            <w:r w:rsidRPr="00291828">
              <w:rPr>
                <w:sz w:val="16"/>
                <w:szCs w:val="20"/>
              </w:rPr>
              <w:t>88 024</w:t>
            </w:r>
            <w:r>
              <w:rPr>
                <w:sz w:val="16"/>
                <w:szCs w:val="20"/>
              </w:rPr>
              <w:t xml:space="preserve"> </w:t>
            </w:r>
          </w:p>
        </w:tc>
        <w:tc>
          <w:tcPr>
            <w:tcW w:w="697" w:type="dxa"/>
          </w:tcPr>
          <w:p w14:paraId="48E52F69" w14:textId="6402EF50" w:rsidR="00A2475C" w:rsidRPr="000657BB" w:rsidRDefault="00030139" w:rsidP="00A2475C">
            <w:pPr>
              <w:pStyle w:val="TableNText"/>
              <w:widowControl w:val="0"/>
              <w:spacing w:before="0" w:after="0"/>
            </w:pPr>
            <w:r w:rsidRPr="00291828">
              <w:rPr>
                <w:sz w:val="16"/>
                <w:szCs w:val="20"/>
              </w:rPr>
              <w:t>28 204</w:t>
            </w:r>
            <w:r>
              <w:rPr>
                <w:sz w:val="16"/>
                <w:szCs w:val="20"/>
              </w:rPr>
              <w:t xml:space="preserve"> </w:t>
            </w:r>
          </w:p>
        </w:tc>
        <w:tc>
          <w:tcPr>
            <w:tcW w:w="697" w:type="dxa"/>
          </w:tcPr>
          <w:p w14:paraId="1B589CFF" w14:textId="2796D39D" w:rsidR="00A2475C" w:rsidRPr="000657BB" w:rsidRDefault="00030139" w:rsidP="00A2475C">
            <w:pPr>
              <w:pStyle w:val="TableNText"/>
              <w:widowControl w:val="0"/>
              <w:spacing w:before="0" w:after="0"/>
            </w:pPr>
            <w:r w:rsidRPr="00291828">
              <w:rPr>
                <w:sz w:val="16"/>
                <w:szCs w:val="20"/>
              </w:rPr>
              <w:t>46 328</w:t>
            </w:r>
            <w:r>
              <w:rPr>
                <w:sz w:val="16"/>
                <w:szCs w:val="20"/>
              </w:rPr>
              <w:t xml:space="preserve"> </w:t>
            </w:r>
          </w:p>
        </w:tc>
        <w:tc>
          <w:tcPr>
            <w:tcW w:w="696" w:type="dxa"/>
          </w:tcPr>
          <w:p w14:paraId="318BB1E9" w14:textId="519DA46F" w:rsidR="00A2475C" w:rsidRPr="000657BB" w:rsidRDefault="00A2475C" w:rsidP="00A2475C">
            <w:pPr>
              <w:pStyle w:val="TableNText"/>
              <w:widowControl w:val="0"/>
              <w:spacing w:before="0" w:after="0"/>
            </w:pPr>
            <w:r w:rsidRPr="00291828">
              <w:rPr>
                <w:sz w:val="16"/>
                <w:szCs w:val="20"/>
              </w:rPr>
              <w:t>9 267</w:t>
            </w:r>
          </w:p>
        </w:tc>
        <w:tc>
          <w:tcPr>
            <w:tcW w:w="697" w:type="dxa"/>
          </w:tcPr>
          <w:p w14:paraId="5735183A" w14:textId="6040F85D" w:rsidR="00A2475C" w:rsidRPr="000657BB" w:rsidRDefault="00030139" w:rsidP="00A2475C">
            <w:pPr>
              <w:pStyle w:val="TableNText"/>
              <w:widowControl w:val="0"/>
              <w:spacing w:before="0" w:after="0"/>
            </w:pPr>
            <w:r w:rsidRPr="00291828">
              <w:rPr>
                <w:sz w:val="16"/>
                <w:szCs w:val="20"/>
              </w:rPr>
              <w:t>4 795</w:t>
            </w:r>
            <w:r>
              <w:rPr>
                <w:sz w:val="16"/>
                <w:szCs w:val="20"/>
              </w:rPr>
              <w:t xml:space="preserve"> </w:t>
            </w:r>
          </w:p>
        </w:tc>
        <w:tc>
          <w:tcPr>
            <w:tcW w:w="698" w:type="dxa"/>
          </w:tcPr>
          <w:p w14:paraId="2AEF4815" w14:textId="00E47C63" w:rsidR="00A2475C" w:rsidRPr="000657BB" w:rsidRDefault="00030139" w:rsidP="00A2475C">
            <w:pPr>
              <w:pStyle w:val="TableNText"/>
              <w:widowControl w:val="0"/>
              <w:spacing w:before="0" w:after="0"/>
            </w:pPr>
            <w:r w:rsidRPr="00291828">
              <w:rPr>
                <w:sz w:val="16"/>
                <w:szCs w:val="20"/>
              </w:rPr>
              <w:t>9 106</w:t>
            </w:r>
          </w:p>
        </w:tc>
        <w:tc>
          <w:tcPr>
            <w:tcW w:w="780" w:type="dxa"/>
          </w:tcPr>
          <w:p w14:paraId="38AD0D65" w14:textId="23117870" w:rsidR="00A2475C" w:rsidRPr="000657BB" w:rsidRDefault="00A2475C" w:rsidP="00A2475C">
            <w:pPr>
              <w:pStyle w:val="TableNText"/>
              <w:widowControl w:val="0"/>
              <w:spacing w:before="0" w:after="0"/>
            </w:pPr>
            <w:r w:rsidRPr="00291828">
              <w:rPr>
                <w:sz w:val="16"/>
                <w:szCs w:val="20"/>
              </w:rPr>
              <w:t>431</w:t>
            </w:r>
            <w:r>
              <w:rPr>
                <w:sz w:val="16"/>
                <w:szCs w:val="20"/>
              </w:rPr>
              <w:t xml:space="preserve"> </w:t>
            </w:r>
            <w:r w:rsidRPr="00291828">
              <w:rPr>
                <w:sz w:val="16"/>
                <w:szCs w:val="20"/>
              </w:rPr>
              <w:t>543</w:t>
            </w:r>
            <w:r>
              <w:rPr>
                <w:sz w:val="16"/>
                <w:szCs w:val="20"/>
              </w:rPr>
              <w:t xml:space="preserve"> </w:t>
            </w:r>
          </w:p>
        </w:tc>
      </w:tr>
    </w:tbl>
    <w:p w14:paraId="0EBC3025" w14:textId="74B49EC4" w:rsidR="00AE1119" w:rsidRPr="00743E3D" w:rsidRDefault="00AE1119" w:rsidP="00AE1119">
      <w:pPr>
        <w:widowControl w:val="0"/>
        <w:rPr>
          <w:i/>
          <w:sz w:val="16"/>
        </w:rPr>
      </w:pPr>
      <w:r w:rsidRPr="00743E3D">
        <w:rPr>
          <w:i/>
          <w:sz w:val="16"/>
        </w:rPr>
        <w:t>Source: Table 3A.8 Report of Government Services, Productivity Commission, 20</w:t>
      </w:r>
      <w:r w:rsidR="00A2475C">
        <w:rPr>
          <w:i/>
          <w:sz w:val="16"/>
        </w:rPr>
        <w:t>20</w:t>
      </w:r>
    </w:p>
    <w:p w14:paraId="648FBA61" w14:textId="77777777" w:rsidR="00AE1119" w:rsidRDefault="00AE1119" w:rsidP="00AE1119">
      <w:pPr>
        <w:pStyle w:val="Heading4"/>
      </w:pPr>
      <w:r>
        <w:t>Category 3: Estimating Australian Government child care subsidies</w:t>
      </w:r>
    </w:p>
    <w:p w14:paraId="78EE0B41" w14:textId="77777777" w:rsidR="00AE1119" w:rsidRDefault="00AE1119" w:rsidP="00AE1119">
      <w:r>
        <w:t xml:space="preserve">The Review used data held by the Australian Government Department of Education to </w:t>
      </w:r>
      <w:r w:rsidRPr="00EC352C">
        <w:rPr>
          <w:rFonts w:asciiTheme="majorHAnsi" w:hAnsiTheme="majorHAnsi" w:cstheme="majorHAnsi"/>
        </w:rPr>
        <w:t>estimate the contribution of child care subsidies to preschool provision in CBDC.</w:t>
      </w:r>
      <w:r>
        <w:t xml:space="preserve"> An estimate for </w:t>
      </w:r>
      <w:proofErr w:type="gramStart"/>
      <w:r w:rsidR="00017CCB">
        <w:t xml:space="preserve">four </w:t>
      </w:r>
      <w:r>
        <w:t>year</w:t>
      </w:r>
      <w:proofErr w:type="gramEnd"/>
      <w:r>
        <w:t xml:space="preserve"> </w:t>
      </w:r>
      <w:proofErr w:type="spellStart"/>
      <w:r>
        <w:t>olds</w:t>
      </w:r>
      <w:proofErr w:type="spellEnd"/>
      <w:r>
        <w:t xml:space="preserve"> </w:t>
      </w:r>
      <w:r w:rsidRPr="00E92DCE">
        <w:t>as at 1</w:t>
      </w:r>
      <w:r>
        <w:t> </w:t>
      </w:r>
      <w:r w:rsidRPr="00E92DCE">
        <w:t>January 2018</w:t>
      </w:r>
      <w:r>
        <w:t xml:space="preserve"> was used as a proxy for the number of children for enrolled in preschool programs in CBDC (and then adjusted, as per below).</w:t>
      </w:r>
    </w:p>
    <w:tbl>
      <w:tblPr>
        <w:tblStyle w:val="TableGrid"/>
        <w:tblW w:w="0" w:type="auto"/>
        <w:tblLook w:val="04A0" w:firstRow="1" w:lastRow="0" w:firstColumn="1" w:lastColumn="0" w:noHBand="0" w:noVBand="1"/>
      </w:tblPr>
      <w:tblGrid>
        <w:gridCol w:w="1701"/>
        <w:gridCol w:w="851"/>
        <w:gridCol w:w="850"/>
        <w:gridCol w:w="851"/>
        <w:gridCol w:w="709"/>
        <w:gridCol w:w="708"/>
        <w:gridCol w:w="709"/>
        <w:gridCol w:w="709"/>
        <w:gridCol w:w="709"/>
        <w:gridCol w:w="1133"/>
      </w:tblGrid>
      <w:tr w:rsidR="00B650D2" w14:paraId="557B41AD" w14:textId="77777777" w:rsidTr="00AE1119">
        <w:trPr>
          <w:cnfStyle w:val="100000000000" w:firstRow="1" w:lastRow="0" w:firstColumn="0" w:lastColumn="0" w:oddVBand="0" w:evenVBand="0" w:oddHBand="0" w:evenHBand="0" w:firstRowFirstColumn="0" w:firstRowLastColumn="0" w:lastRowFirstColumn="0" w:lastRowLastColumn="0"/>
        </w:trPr>
        <w:tc>
          <w:tcPr>
            <w:tcW w:w="1701" w:type="dxa"/>
          </w:tcPr>
          <w:p w14:paraId="5F32ABA8" w14:textId="20C8F041" w:rsidR="00AE1119" w:rsidRPr="00C83DBE" w:rsidRDefault="00AE1119" w:rsidP="00AE1119">
            <w:pPr>
              <w:pStyle w:val="TableNheader"/>
              <w:spacing w:before="0" w:after="0"/>
            </w:pPr>
            <w:r w:rsidRPr="00C83DBE">
              <w:t>Source (201</w:t>
            </w:r>
            <w:r w:rsidR="00A2475C">
              <w:t>8</w:t>
            </w:r>
            <w:r w:rsidRPr="00C83DBE">
              <w:t>-1</w:t>
            </w:r>
            <w:r w:rsidR="00A2475C">
              <w:t>9</w:t>
            </w:r>
            <w:r w:rsidRPr="00C83DBE">
              <w:t>)</w:t>
            </w:r>
          </w:p>
        </w:tc>
        <w:tc>
          <w:tcPr>
            <w:tcW w:w="851" w:type="dxa"/>
          </w:tcPr>
          <w:p w14:paraId="35F02D5D" w14:textId="77777777" w:rsidR="00AE1119" w:rsidRPr="00C83DBE" w:rsidRDefault="00AE1119" w:rsidP="00AE1119">
            <w:pPr>
              <w:pStyle w:val="TableNheader"/>
              <w:spacing w:before="0" w:after="0"/>
            </w:pPr>
            <w:r w:rsidRPr="00C83DBE">
              <w:t>NSW</w:t>
            </w:r>
          </w:p>
        </w:tc>
        <w:tc>
          <w:tcPr>
            <w:tcW w:w="850" w:type="dxa"/>
          </w:tcPr>
          <w:p w14:paraId="5A0920C0" w14:textId="77777777" w:rsidR="00AE1119" w:rsidRPr="00C83DBE" w:rsidRDefault="00AE1119" w:rsidP="00AE1119">
            <w:pPr>
              <w:pStyle w:val="TableNheader"/>
              <w:spacing w:before="0" w:after="0"/>
            </w:pPr>
            <w:r w:rsidRPr="00C83DBE">
              <w:t>Vic</w:t>
            </w:r>
          </w:p>
        </w:tc>
        <w:tc>
          <w:tcPr>
            <w:tcW w:w="851" w:type="dxa"/>
          </w:tcPr>
          <w:p w14:paraId="2B3A4908" w14:textId="77777777" w:rsidR="00AE1119" w:rsidRPr="00C83DBE" w:rsidRDefault="00AE1119" w:rsidP="00AE1119">
            <w:pPr>
              <w:pStyle w:val="TableNheader"/>
              <w:spacing w:before="0" w:after="0"/>
            </w:pPr>
            <w:r w:rsidRPr="00C83DBE">
              <w:t>Qld</w:t>
            </w:r>
          </w:p>
        </w:tc>
        <w:tc>
          <w:tcPr>
            <w:tcW w:w="709" w:type="dxa"/>
          </w:tcPr>
          <w:p w14:paraId="7610853B" w14:textId="77777777" w:rsidR="00AE1119" w:rsidRPr="00C83DBE" w:rsidRDefault="00AE1119" w:rsidP="00AE1119">
            <w:pPr>
              <w:pStyle w:val="TableNheader"/>
              <w:spacing w:before="0" w:after="0"/>
            </w:pPr>
            <w:r w:rsidRPr="00C83DBE">
              <w:t>SA</w:t>
            </w:r>
          </w:p>
        </w:tc>
        <w:tc>
          <w:tcPr>
            <w:tcW w:w="708" w:type="dxa"/>
          </w:tcPr>
          <w:p w14:paraId="72D413A7" w14:textId="77777777" w:rsidR="00AE1119" w:rsidRPr="00C83DBE" w:rsidRDefault="00AE1119" w:rsidP="00AE1119">
            <w:pPr>
              <w:pStyle w:val="TableNheader"/>
              <w:spacing w:before="0" w:after="0"/>
            </w:pPr>
            <w:r w:rsidRPr="00C83DBE">
              <w:t>WA</w:t>
            </w:r>
          </w:p>
        </w:tc>
        <w:tc>
          <w:tcPr>
            <w:tcW w:w="709" w:type="dxa"/>
          </w:tcPr>
          <w:p w14:paraId="4D02EB2C" w14:textId="77777777" w:rsidR="00AE1119" w:rsidRPr="00C83DBE" w:rsidRDefault="00AE1119" w:rsidP="00AE1119">
            <w:pPr>
              <w:pStyle w:val="TableNheader"/>
              <w:spacing w:before="0" w:after="0"/>
            </w:pPr>
            <w:r w:rsidRPr="00C83DBE">
              <w:t>Tas</w:t>
            </w:r>
          </w:p>
        </w:tc>
        <w:tc>
          <w:tcPr>
            <w:tcW w:w="709" w:type="dxa"/>
          </w:tcPr>
          <w:p w14:paraId="0404DA6B" w14:textId="77777777" w:rsidR="00AE1119" w:rsidRPr="00C83DBE" w:rsidRDefault="00AE1119" w:rsidP="00AE1119">
            <w:pPr>
              <w:pStyle w:val="TableNheader"/>
              <w:spacing w:before="0" w:after="0"/>
            </w:pPr>
            <w:r w:rsidRPr="00C83DBE">
              <w:t>NT</w:t>
            </w:r>
          </w:p>
        </w:tc>
        <w:tc>
          <w:tcPr>
            <w:tcW w:w="709" w:type="dxa"/>
          </w:tcPr>
          <w:p w14:paraId="493BEFC5" w14:textId="77777777" w:rsidR="00AE1119" w:rsidRPr="00C83DBE" w:rsidRDefault="00AE1119" w:rsidP="00AE1119">
            <w:pPr>
              <w:pStyle w:val="TableNheader"/>
              <w:spacing w:before="0" w:after="0"/>
            </w:pPr>
            <w:r w:rsidRPr="00C83DBE">
              <w:t>ACT</w:t>
            </w:r>
          </w:p>
        </w:tc>
        <w:tc>
          <w:tcPr>
            <w:tcW w:w="1133" w:type="dxa"/>
          </w:tcPr>
          <w:p w14:paraId="1B6A3B8D" w14:textId="77777777" w:rsidR="00AE1119" w:rsidRPr="00C83DBE" w:rsidRDefault="00AE1119" w:rsidP="00AE1119">
            <w:pPr>
              <w:pStyle w:val="TableNheader"/>
              <w:spacing w:before="0" w:after="0"/>
            </w:pPr>
            <w:r w:rsidRPr="00C83DBE">
              <w:t>Aust</w:t>
            </w:r>
          </w:p>
        </w:tc>
      </w:tr>
      <w:tr w:rsidR="00A2475C" w14:paraId="15E82D41" w14:textId="77777777" w:rsidTr="00121766">
        <w:trPr>
          <w:cnfStyle w:val="000000100000" w:firstRow="0" w:lastRow="0" w:firstColumn="0" w:lastColumn="0" w:oddVBand="0" w:evenVBand="0" w:oddHBand="1" w:evenHBand="0" w:firstRowFirstColumn="0" w:firstRowLastColumn="0" w:lastRowFirstColumn="0" w:lastRowLastColumn="0"/>
        </w:trPr>
        <w:tc>
          <w:tcPr>
            <w:tcW w:w="1701" w:type="dxa"/>
            <w:vAlign w:val="top"/>
          </w:tcPr>
          <w:p w14:paraId="74935F30" w14:textId="77777777" w:rsidR="00A2475C" w:rsidRPr="00C83DBE" w:rsidRDefault="00A2475C" w:rsidP="00A2475C">
            <w:pPr>
              <w:pStyle w:val="TableNText"/>
              <w:spacing w:before="0" w:after="0"/>
            </w:pPr>
            <w:r w:rsidRPr="00FB72EA">
              <w:t>Total Subsidy ($000)</w:t>
            </w:r>
          </w:p>
        </w:tc>
        <w:tc>
          <w:tcPr>
            <w:tcW w:w="851" w:type="dxa"/>
            <w:vAlign w:val="bottom"/>
          </w:tcPr>
          <w:p w14:paraId="54B7B05E" w14:textId="068D58F9" w:rsidR="00A2475C" w:rsidRPr="00C83DBE" w:rsidRDefault="00A2475C" w:rsidP="00A2475C">
            <w:pPr>
              <w:pStyle w:val="TableNText"/>
              <w:spacing w:before="0" w:after="0"/>
            </w:pPr>
            <w:r w:rsidRPr="00291828">
              <w:rPr>
                <w:sz w:val="16"/>
                <w:szCs w:val="20"/>
              </w:rPr>
              <w:t>476 299</w:t>
            </w:r>
          </w:p>
        </w:tc>
        <w:tc>
          <w:tcPr>
            <w:tcW w:w="850" w:type="dxa"/>
            <w:vAlign w:val="bottom"/>
          </w:tcPr>
          <w:p w14:paraId="25F5F0C6" w14:textId="0DA369D0" w:rsidR="00A2475C" w:rsidRPr="00C83DBE" w:rsidRDefault="00A2475C" w:rsidP="00A2475C">
            <w:pPr>
              <w:pStyle w:val="TableNText"/>
              <w:spacing w:before="0" w:after="0"/>
            </w:pPr>
            <w:r w:rsidRPr="00291828">
              <w:rPr>
                <w:sz w:val="16"/>
                <w:szCs w:val="20"/>
              </w:rPr>
              <w:t>329 283</w:t>
            </w:r>
          </w:p>
        </w:tc>
        <w:tc>
          <w:tcPr>
            <w:tcW w:w="851" w:type="dxa"/>
            <w:vAlign w:val="bottom"/>
          </w:tcPr>
          <w:p w14:paraId="6722A19C" w14:textId="2EFEB8E4" w:rsidR="00A2475C" w:rsidRPr="00C83DBE" w:rsidRDefault="00A2475C" w:rsidP="00A2475C">
            <w:pPr>
              <w:pStyle w:val="TableNText"/>
              <w:spacing w:before="0" w:after="0"/>
            </w:pPr>
            <w:r w:rsidRPr="00291828">
              <w:rPr>
                <w:sz w:val="16"/>
                <w:szCs w:val="20"/>
              </w:rPr>
              <w:t>306 663</w:t>
            </w:r>
          </w:p>
        </w:tc>
        <w:tc>
          <w:tcPr>
            <w:tcW w:w="709" w:type="dxa"/>
            <w:vAlign w:val="bottom"/>
          </w:tcPr>
          <w:p w14:paraId="369EDB07" w14:textId="2FCC3343" w:rsidR="00A2475C" w:rsidRPr="00C83DBE" w:rsidRDefault="00A2475C" w:rsidP="00A2475C">
            <w:pPr>
              <w:pStyle w:val="TableNText"/>
              <w:spacing w:before="0" w:after="0"/>
            </w:pPr>
            <w:r w:rsidRPr="00291828">
              <w:rPr>
                <w:sz w:val="16"/>
                <w:szCs w:val="20"/>
              </w:rPr>
              <w:t>65 736</w:t>
            </w:r>
          </w:p>
        </w:tc>
        <w:tc>
          <w:tcPr>
            <w:tcW w:w="708" w:type="dxa"/>
            <w:vAlign w:val="bottom"/>
          </w:tcPr>
          <w:p w14:paraId="074570F7" w14:textId="2D2F2148" w:rsidR="00A2475C" w:rsidRPr="00C83DBE" w:rsidRDefault="00A2475C" w:rsidP="00A2475C">
            <w:pPr>
              <w:pStyle w:val="TableNText"/>
              <w:spacing w:before="0" w:after="0"/>
            </w:pPr>
            <w:r w:rsidRPr="00291828">
              <w:rPr>
                <w:sz w:val="16"/>
                <w:szCs w:val="20"/>
              </w:rPr>
              <w:t>59 318</w:t>
            </w:r>
          </w:p>
        </w:tc>
        <w:tc>
          <w:tcPr>
            <w:tcW w:w="709" w:type="dxa"/>
            <w:vAlign w:val="bottom"/>
          </w:tcPr>
          <w:p w14:paraId="0E0B69E8" w14:textId="589B70D8" w:rsidR="00A2475C" w:rsidRPr="00C83DBE" w:rsidRDefault="00A2475C" w:rsidP="00A2475C">
            <w:pPr>
              <w:pStyle w:val="TableNText"/>
              <w:spacing w:before="0" w:after="0"/>
            </w:pPr>
            <w:r w:rsidRPr="00291828">
              <w:rPr>
                <w:sz w:val="16"/>
                <w:szCs w:val="20"/>
              </w:rPr>
              <w:t>14 974</w:t>
            </w:r>
          </w:p>
        </w:tc>
        <w:tc>
          <w:tcPr>
            <w:tcW w:w="709" w:type="dxa"/>
            <w:vAlign w:val="bottom"/>
          </w:tcPr>
          <w:p w14:paraId="66EAA945" w14:textId="1503EB33" w:rsidR="00A2475C" w:rsidRPr="00C83DBE" w:rsidRDefault="00A2475C" w:rsidP="00A2475C">
            <w:pPr>
              <w:pStyle w:val="TableNText"/>
              <w:spacing w:before="0" w:after="0"/>
            </w:pPr>
            <w:r w:rsidRPr="00291828">
              <w:rPr>
                <w:sz w:val="16"/>
                <w:szCs w:val="20"/>
              </w:rPr>
              <w:t>8 644</w:t>
            </w:r>
          </w:p>
        </w:tc>
        <w:tc>
          <w:tcPr>
            <w:tcW w:w="709" w:type="dxa"/>
            <w:vAlign w:val="bottom"/>
          </w:tcPr>
          <w:p w14:paraId="536C9A8D" w14:textId="340D0541" w:rsidR="00A2475C" w:rsidRPr="00C83DBE" w:rsidRDefault="00A2475C" w:rsidP="00A2475C">
            <w:pPr>
              <w:pStyle w:val="TableNText"/>
              <w:spacing w:before="0" w:after="0"/>
            </w:pPr>
            <w:r w:rsidRPr="00291828">
              <w:rPr>
                <w:sz w:val="16"/>
                <w:szCs w:val="20"/>
              </w:rPr>
              <w:t>27 543</w:t>
            </w:r>
          </w:p>
        </w:tc>
        <w:tc>
          <w:tcPr>
            <w:tcW w:w="1133" w:type="dxa"/>
            <w:vAlign w:val="bottom"/>
          </w:tcPr>
          <w:p w14:paraId="0871EEF0" w14:textId="026D7E67" w:rsidR="00A2475C" w:rsidRPr="00C83DBE" w:rsidRDefault="00A2475C" w:rsidP="00A2475C">
            <w:pPr>
              <w:pStyle w:val="TableNText"/>
              <w:spacing w:before="0" w:after="0"/>
            </w:pPr>
            <w:r w:rsidRPr="00291828">
              <w:rPr>
                <w:sz w:val="16"/>
                <w:szCs w:val="20"/>
              </w:rPr>
              <w:t>1288 460</w:t>
            </w:r>
          </w:p>
        </w:tc>
      </w:tr>
    </w:tbl>
    <w:p w14:paraId="071CD5B5" w14:textId="6FA3CD7F" w:rsidR="00AE1119" w:rsidRPr="00743E3D" w:rsidRDefault="00AE1119" w:rsidP="00AE1119">
      <w:pPr>
        <w:rPr>
          <w:i/>
          <w:sz w:val="16"/>
        </w:rPr>
      </w:pPr>
      <w:r w:rsidRPr="00743E3D">
        <w:rPr>
          <w:i/>
          <w:sz w:val="16"/>
        </w:rPr>
        <w:t xml:space="preserve">Source: </w:t>
      </w:r>
      <w:r w:rsidRPr="00743E3D">
        <w:rPr>
          <w:sz w:val="16"/>
        </w:rPr>
        <w:t>Australia</w:t>
      </w:r>
      <w:r w:rsidR="00C22239">
        <w:rPr>
          <w:sz w:val="16"/>
        </w:rPr>
        <w:t>n</w:t>
      </w:r>
      <w:r w:rsidRPr="00743E3D">
        <w:rPr>
          <w:sz w:val="16"/>
        </w:rPr>
        <w:t xml:space="preserve"> Government</w:t>
      </w:r>
      <w:r w:rsidRPr="00743E3D">
        <w:rPr>
          <w:i/>
          <w:sz w:val="16"/>
        </w:rPr>
        <w:t xml:space="preserve"> Department of Education administrative data (DR3183), child age calculated as a 1 Jan 201</w:t>
      </w:r>
      <w:r w:rsidR="00A2475C">
        <w:rPr>
          <w:i/>
          <w:sz w:val="16"/>
        </w:rPr>
        <w:t>9</w:t>
      </w:r>
      <w:r w:rsidRPr="00743E3D">
        <w:rPr>
          <w:i/>
          <w:sz w:val="16"/>
        </w:rPr>
        <w:t xml:space="preserve">, estimated entitlement includes </w:t>
      </w:r>
      <w:r w:rsidR="00A2475C">
        <w:rPr>
          <w:i/>
          <w:sz w:val="16"/>
        </w:rPr>
        <w:t>CCS and ACCS</w:t>
      </w:r>
      <w:r w:rsidRPr="00743E3D">
        <w:rPr>
          <w:i/>
          <w:sz w:val="16"/>
        </w:rPr>
        <w:t>.</w:t>
      </w:r>
    </w:p>
    <w:p w14:paraId="783F31FB" w14:textId="77777777" w:rsidR="00AE1119" w:rsidRDefault="00AE1119" w:rsidP="00AE1119">
      <w:pPr>
        <w:pStyle w:val="Heading5"/>
      </w:pPr>
      <w:r>
        <w:t>Adjustment to exclude additional child care hours</w:t>
      </w:r>
    </w:p>
    <w:p w14:paraId="2B6D50FD" w14:textId="77777777" w:rsidR="00AE1119" w:rsidRPr="00FF10F2" w:rsidRDefault="00AE1119" w:rsidP="00AE1119">
      <w:r w:rsidRPr="00A23757">
        <w:t>Children attend</w:t>
      </w:r>
      <w:r>
        <w:t>ing</w:t>
      </w:r>
      <w:r w:rsidRPr="00A23757">
        <w:t xml:space="preserve"> CBDC in the YBFS </w:t>
      </w:r>
      <w:r>
        <w:t>typically undertake a</w:t>
      </w:r>
      <w:r w:rsidRPr="00A23757">
        <w:t xml:space="preserve"> preschool </w:t>
      </w:r>
      <w:r>
        <w:t xml:space="preserve">program in conjunction with </w:t>
      </w:r>
      <w:r w:rsidRPr="00A23757">
        <w:t>child</w:t>
      </w:r>
      <w:r>
        <w:t> </w:t>
      </w:r>
      <w:r w:rsidRPr="00A23757">
        <w:t>care. For the purpose of estimating the contribution of child care subsidies to preschool provision, the Review</w:t>
      </w:r>
      <w:r>
        <w:t xml:space="preserve"> </w:t>
      </w:r>
      <w:r w:rsidRPr="00EC352C">
        <w:rPr>
          <w:rFonts w:asciiTheme="majorHAnsi" w:hAnsiTheme="majorHAnsi" w:cstheme="majorHAnsi"/>
        </w:rPr>
        <w:t>assumed that the first 600 hours of CBDC constitutes the preschool component of the service</w:t>
      </w:r>
      <w:r>
        <w:t xml:space="preserve">. </w:t>
      </w:r>
      <w:r w:rsidRPr="00FF10F2">
        <w:t xml:space="preserve">Additional hours </w:t>
      </w:r>
      <w:r>
        <w:t>we</w:t>
      </w:r>
      <w:r w:rsidRPr="00FF10F2">
        <w:t xml:space="preserve">re excluded from funding estimates. </w:t>
      </w:r>
    </w:p>
    <w:p w14:paraId="1BC8B57B" w14:textId="77777777" w:rsidR="00AE1119" w:rsidRDefault="00AE1119" w:rsidP="00AE1119">
      <w:r>
        <w:t xml:space="preserve">The </w:t>
      </w:r>
      <w:r w:rsidRPr="00FF10F2">
        <w:t xml:space="preserve">Review </w:t>
      </w:r>
      <w:r>
        <w:t xml:space="preserve">extrapolated the total value of subsidies </w:t>
      </w:r>
      <w:r w:rsidRPr="00FF10F2">
        <w:t xml:space="preserve">provided </w:t>
      </w:r>
      <w:r>
        <w:t xml:space="preserve">(in relation to the first 600 hours of CBDC delivered to children within the specified age cohort) from </w:t>
      </w:r>
      <w:r w:rsidRPr="00FF10F2">
        <w:t>the</w:t>
      </w:r>
      <w:r>
        <w:t xml:space="preserve"> average hourly</w:t>
      </w:r>
      <w:r w:rsidRPr="00FF10F2">
        <w:t xml:space="preserve"> subsidy for </w:t>
      </w:r>
      <w:r>
        <w:t>CBDC in each jurisdiction.</w:t>
      </w:r>
    </w:p>
    <w:tbl>
      <w:tblPr>
        <w:tblStyle w:val="TableGrid"/>
        <w:tblW w:w="0" w:type="auto"/>
        <w:tblLook w:val="04A0" w:firstRow="1" w:lastRow="0" w:firstColumn="1" w:lastColumn="0" w:noHBand="0" w:noVBand="1"/>
      </w:tblPr>
      <w:tblGrid>
        <w:gridCol w:w="1985"/>
        <w:gridCol w:w="850"/>
        <w:gridCol w:w="851"/>
        <w:gridCol w:w="850"/>
        <w:gridCol w:w="709"/>
        <w:gridCol w:w="709"/>
        <w:gridCol w:w="709"/>
        <w:gridCol w:w="708"/>
        <w:gridCol w:w="709"/>
        <w:gridCol w:w="850"/>
      </w:tblGrid>
      <w:tr w:rsidR="00B650D2" w14:paraId="733A39F1" w14:textId="77777777" w:rsidTr="00AE1119">
        <w:trPr>
          <w:cnfStyle w:val="100000000000" w:firstRow="1" w:lastRow="0" w:firstColumn="0" w:lastColumn="0" w:oddVBand="0" w:evenVBand="0" w:oddHBand="0" w:evenHBand="0" w:firstRowFirstColumn="0" w:firstRowLastColumn="0" w:lastRowFirstColumn="0" w:lastRowLastColumn="0"/>
        </w:trPr>
        <w:tc>
          <w:tcPr>
            <w:tcW w:w="1985" w:type="dxa"/>
          </w:tcPr>
          <w:p w14:paraId="7DE6F2AB" w14:textId="3E8BA7AB" w:rsidR="00AE1119" w:rsidRPr="00C83DBE" w:rsidRDefault="00AE1119" w:rsidP="00AE1119">
            <w:pPr>
              <w:pStyle w:val="TableNheader"/>
              <w:spacing w:before="0" w:after="0"/>
            </w:pPr>
            <w:r w:rsidRPr="00C83DBE">
              <w:t>Source (201</w:t>
            </w:r>
            <w:r w:rsidR="00A2475C">
              <w:t>8</w:t>
            </w:r>
            <w:r w:rsidRPr="00C83DBE">
              <w:t>-1</w:t>
            </w:r>
            <w:r w:rsidR="00A2475C">
              <w:t>9</w:t>
            </w:r>
            <w:r w:rsidRPr="00C83DBE">
              <w:t>)</w:t>
            </w:r>
          </w:p>
        </w:tc>
        <w:tc>
          <w:tcPr>
            <w:tcW w:w="850" w:type="dxa"/>
          </w:tcPr>
          <w:p w14:paraId="1FF872CC" w14:textId="77777777" w:rsidR="00AE1119" w:rsidRPr="00C83DBE" w:rsidRDefault="00AE1119" w:rsidP="00AE1119">
            <w:pPr>
              <w:pStyle w:val="TableNheader"/>
              <w:spacing w:before="0" w:after="0"/>
            </w:pPr>
            <w:r w:rsidRPr="00C83DBE">
              <w:t>NSW</w:t>
            </w:r>
          </w:p>
        </w:tc>
        <w:tc>
          <w:tcPr>
            <w:tcW w:w="851" w:type="dxa"/>
          </w:tcPr>
          <w:p w14:paraId="1958CC83" w14:textId="77777777" w:rsidR="00AE1119" w:rsidRPr="00C83DBE" w:rsidRDefault="00AE1119" w:rsidP="00AE1119">
            <w:pPr>
              <w:pStyle w:val="TableNheader"/>
              <w:spacing w:before="0" w:after="0"/>
            </w:pPr>
            <w:r w:rsidRPr="00C83DBE">
              <w:t>Vic</w:t>
            </w:r>
          </w:p>
        </w:tc>
        <w:tc>
          <w:tcPr>
            <w:tcW w:w="850" w:type="dxa"/>
          </w:tcPr>
          <w:p w14:paraId="7EAA6D3E" w14:textId="77777777" w:rsidR="00AE1119" w:rsidRPr="00C83DBE" w:rsidRDefault="00AE1119" w:rsidP="00AE1119">
            <w:pPr>
              <w:pStyle w:val="TableNheader"/>
              <w:spacing w:before="0" w:after="0"/>
            </w:pPr>
            <w:r w:rsidRPr="00C83DBE">
              <w:t>Qld</w:t>
            </w:r>
          </w:p>
        </w:tc>
        <w:tc>
          <w:tcPr>
            <w:tcW w:w="709" w:type="dxa"/>
          </w:tcPr>
          <w:p w14:paraId="6B2DD171" w14:textId="77777777" w:rsidR="00AE1119" w:rsidRPr="00C83DBE" w:rsidRDefault="00AE1119" w:rsidP="00AE1119">
            <w:pPr>
              <w:pStyle w:val="TableNheader"/>
              <w:spacing w:before="0" w:after="0"/>
            </w:pPr>
            <w:r w:rsidRPr="00C83DBE">
              <w:t>SA</w:t>
            </w:r>
          </w:p>
        </w:tc>
        <w:tc>
          <w:tcPr>
            <w:tcW w:w="709" w:type="dxa"/>
          </w:tcPr>
          <w:p w14:paraId="57C8C7DF" w14:textId="77777777" w:rsidR="00AE1119" w:rsidRPr="00C83DBE" w:rsidRDefault="00AE1119" w:rsidP="00AE1119">
            <w:pPr>
              <w:pStyle w:val="TableNheader"/>
              <w:spacing w:before="0" w:after="0"/>
            </w:pPr>
            <w:r w:rsidRPr="00C83DBE">
              <w:t>WA</w:t>
            </w:r>
          </w:p>
        </w:tc>
        <w:tc>
          <w:tcPr>
            <w:tcW w:w="709" w:type="dxa"/>
          </w:tcPr>
          <w:p w14:paraId="4CA89E89" w14:textId="77777777" w:rsidR="00AE1119" w:rsidRPr="00C83DBE" w:rsidRDefault="00AE1119" w:rsidP="00AE1119">
            <w:pPr>
              <w:pStyle w:val="TableNheader"/>
              <w:spacing w:before="0" w:after="0"/>
            </w:pPr>
            <w:r w:rsidRPr="00C83DBE">
              <w:t>Tas</w:t>
            </w:r>
          </w:p>
        </w:tc>
        <w:tc>
          <w:tcPr>
            <w:tcW w:w="708" w:type="dxa"/>
          </w:tcPr>
          <w:p w14:paraId="7BD6D684" w14:textId="77777777" w:rsidR="00AE1119" w:rsidRPr="00C83DBE" w:rsidRDefault="00AE1119" w:rsidP="00AE1119">
            <w:pPr>
              <w:pStyle w:val="TableNheader"/>
              <w:spacing w:before="0" w:after="0"/>
            </w:pPr>
            <w:r w:rsidRPr="00C83DBE">
              <w:t>NT</w:t>
            </w:r>
          </w:p>
        </w:tc>
        <w:tc>
          <w:tcPr>
            <w:tcW w:w="709" w:type="dxa"/>
          </w:tcPr>
          <w:p w14:paraId="7BF0839B" w14:textId="77777777" w:rsidR="00AE1119" w:rsidRPr="00C83DBE" w:rsidRDefault="00AE1119" w:rsidP="00AE1119">
            <w:pPr>
              <w:pStyle w:val="TableNheader"/>
              <w:spacing w:before="0" w:after="0"/>
            </w:pPr>
            <w:r w:rsidRPr="00C83DBE">
              <w:t>ACT</w:t>
            </w:r>
          </w:p>
        </w:tc>
        <w:tc>
          <w:tcPr>
            <w:tcW w:w="850" w:type="dxa"/>
          </w:tcPr>
          <w:p w14:paraId="54F5C2AD" w14:textId="77777777" w:rsidR="00AE1119" w:rsidRPr="00C83DBE" w:rsidRDefault="00AE1119" w:rsidP="00AE1119">
            <w:pPr>
              <w:pStyle w:val="TableNheader"/>
              <w:spacing w:before="0" w:after="0"/>
            </w:pPr>
            <w:r w:rsidRPr="00C83DBE">
              <w:t>Aust</w:t>
            </w:r>
          </w:p>
        </w:tc>
      </w:tr>
      <w:tr w:rsidR="00A2475C" w14:paraId="6BCDF6B3" w14:textId="77777777" w:rsidTr="00121766">
        <w:trPr>
          <w:cnfStyle w:val="000000100000" w:firstRow="0" w:lastRow="0" w:firstColumn="0" w:lastColumn="0" w:oddVBand="0" w:evenVBand="0" w:oddHBand="1" w:evenHBand="0" w:firstRowFirstColumn="0" w:firstRowLastColumn="0" w:lastRowFirstColumn="0" w:lastRowLastColumn="0"/>
        </w:trPr>
        <w:tc>
          <w:tcPr>
            <w:tcW w:w="1985" w:type="dxa"/>
            <w:vAlign w:val="bottom"/>
          </w:tcPr>
          <w:p w14:paraId="1BCDBD40" w14:textId="77777777" w:rsidR="00A2475C" w:rsidRPr="009F75FE" w:rsidRDefault="00A2475C" w:rsidP="00A2475C">
            <w:pPr>
              <w:pStyle w:val="TableExpText"/>
              <w:spacing w:after="0"/>
              <w:rPr>
                <w:rFonts w:cstheme="minorHAnsi"/>
              </w:rPr>
            </w:pPr>
            <w:r w:rsidRPr="000A4080">
              <w:rPr>
                <w:rFonts w:asciiTheme="minorHAnsi" w:hAnsiTheme="minorHAnsi" w:cstheme="minorHAnsi"/>
              </w:rPr>
              <w:t>Average subsidy per hour of CBDC</w:t>
            </w:r>
            <w:r>
              <w:rPr>
                <w:rFonts w:cstheme="minorHAnsi"/>
              </w:rPr>
              <w:br/>
            </w:r>
            <w:r>
              <w:t xml:space="preserve">(total subsidy, divided by total charged hours) </w:t>
            </w:r>
          </w:p>
        </w:tc>
        <w:tc>
          <w:tcPr>
            <w:tcW w:w="850" w:type="dxa"/>
          </w:tcPr>
          <w:p w14:paraId="3EE20CE7" w14:textId="21E79535" w:rsidR="00A2475C" w:rsidRDefault="00A2475C" w:rsidP="00A2475C">
            <w:pPr>
              <w:pStyle w:val="TableExpText"/>
              <w:spacing w:after="0"/>
              <w:jc w:val="center"/>
            </w:pPr>
            <w:r w:rsidRPr="008D7B31">
              <w:t>$5.79</w:t>
            </w:r>
          </w:p>
        </w:tc>
        <w:tc>
          <w:tcPr>
            <w:tcW w:w="851" w:type="dxa"/>
          </w:tcPr>
          <w:p w14:paraId="0115CCCB" w14:textId="48FFD8A0" w:rsidR="00A2475C" w:rsidRDefault="00A2475C" w:rsidP="00A2475C">
            <w:pPr>
              <w:pStyle w:val="TableExpText"/>
              <w:spacing w:after="0"/>
              <w:jc w:val="center"/>
            </w:pPr>
            <w:r w:rsidRPr="008D7B31">
              <w:t>$6.21</w:t>
            </w:r>
          </w:p>
        </w:tc>
        <w:tc>
          <w:tcPr>
            <w:tcW w:w="850" w:type="dxa"/>
          </w:tcPr>
          <w:p w14:paraId="3C5E372D" w14:textId="4B036B7A" w:rsidR="00A2475C" w:rsidRDefault="00A2475C" w:rsidP="00A2475C">
            <w:pPr>
              <w:pStyle w:val="TableExpText"/>
              <w:spacing w:after="0"/>
              <w:jc w:val="center"/>
            </w:pPr>
            <w:r w:rsidRPr="008D7B31">
              <w:t>$5.72</w:t>
            </w:r>
          </w:p>
        </w:tc>
        <w:tc>
          <w:tcPr>
            <w:tcW w:w="709" w:type="dxa"/>
          </w:tcPr>
          <w:p w14:paraId="0577925E" w14:textId="586C4D6A" w:rsidR="00A2475C" w:rsidRDefault="00A2475C" w:rsidP="00A2475C">
            <w:pPr>
              <w:pStyle w:val="TableExpText"/>
              <w:spacing w:after="0"/>
              <w:jc w:val="center"/>
            </w:pPr>
            <w:r w:rsidRPr="008D7B31">
              <w:t>$6.23</w:t>
            </w:r>
          </w:p>
        </w:tc>
        <w:tc>
          <w:tcPr>
            <w:tcW w:w="709" w:type="dxa"/>
          </w:tcPr>
          <w:p w14:paraId="5736D6FF" w14:textId="0F0BB538" w:rsidR="00A2475C" w:rsidRDefault="00A2475C" w:rsidP="00A2475C">
            <w:pPr>
              <w:pStyle w:val="TableExpText"/>
              <w:spacing w:after="0"/>
              <w:jc w:val="center"/>
            </w:pPr>
            <w:r w:rsidRPr="008D7B31">
              <w:t>$6.05</w:t>
            </w:r>
          </w:p>
        </w:tc>
        <w:tc>
          <w:tcPr>
            <w:tcW w:w="709" w:type="dxa"/>
          </w:tcPr>
          <w:p w14:paraId="6DE2CCFA" w14:textId="163F3D5D" w:rsidR="00A2475C" w:rsidRDefault="00A2475C" w:rsidP="00A2475C">
            <w:pPr>
              <w:pStyle w:val="TableExpText"/>
              <w:spacing w:after="0"/>
              <w:jc w:val="center"/>
            </w:pPr>
            <w:r w:rsidRPr="008D7B31">
              <w:t>$5.91</w:t>
            </w:r>
          </w:p>
        </w:tc>
        <w:tc>
          <w:tcPr>
            <w:tcW w:w="708" w:type="dxa"/>
          </w:tcPr>
          <w:p w14:paraId="30DE7294" w14:textId="16073116" w:rsidR="00A2475C" w:rsidRDefault="00A2475C" w:rsidP="00A2475C">
            <w:pPr>
              <w:pStyle w:val="TableExpText"/>
              <w:spacing w:after="0"/>
              <w:jc w:val="center"/>
            </w:pPr>
            <w:r w:rsidRPr="008D7B31">
              <w:t>$4.87</w:t>
            </w:r>
          </w:p>
        </w:tc>
        <w:tc>
          <w:tcPr>
            <w:tcW w:w="709" w:type="dxa"/>
          </w:tcPr>
          <w:p w14:paraId="60DE76FF" w14:textId="7D5DDDF0" w:rsidR="00A2475C" w:rsidRDefault="00A2475C" w:rsidP="00A2475C">
            <w:pPr>
              <w:pStyle w:val="TableExpText"/>
              <w:spacing w:after="0"/>
              <w:jc w:val="center"/>
            </w:pPr>
            <w:r w:rsidRPr="008D7B31">
              <w:t>$5.97</w:t>
            </w:r>
          </w:p>
        </w:tc>
        <w:tc>
          <w:tcPr>
            <w:tcW w:w="850" w:type="dxa"/>
          </w:tcPr>
          <w:p w14:paraId="51880FAB" w14:textId="5E6DEDDE" w:rsidR="00A2475C" w:rsidRDefault="00A2475C" w:rsidP="00A2475C">
            <w:pPr>
              <w:pStyle w:val="TableExpText"/>
              <w:spacing w:after="0"/>
              <w:jc w:val="center"/>
            </w:pPr>
            <w:r w:rsidRPr="008D7B31">
              <w:t>$5.91</w:t>
            </w:r>
          </w:p>
        </w:tc>
      </w:tr>
      <w:tr w:rsidR="00A2475C" w14:paraId="6D94C039" w14:textId="77777777" w:rsidTr="00121766">
        <w:trPr>
          <w:cnfStyle w:val="000000010000" w:firstRow="0" w:lastRow="0" w:firstColumn="0" w:lastColumn="0" w:oddVBand="0" w:evenVBand="0" w:oddHBand="0" w:evenHBand="1" w:firstRowFirstColumn="0" w:firstRowLastColumn="0" w:lastRowFirstColumn="0" w:lastRowLastColumn="0"/>
        </w:trPr>
        <w:tc>
          <w:tcPr>
            <w:tcW w:w="1985" w:type="dxa"/>
            <w:vAlign w:val="bottom"/>
          </w:tcPr>
          <w:p w14:paraId="577E1A3A" w14:textId="77777777" w:rsidR="00A2475C" w:rsidRDefault="00A2475C" w:rsidP="00A2475C">
            <w:pPr>
              <w:pStyle w:val="TableExpText"/>
              <w:spacing w:after="0"/>
            </w:pPr>
            <w:r w:rsidRPr="000A4080">
              <w:rPr>
                <w:rFonts w:asciiTheme="minorHAnsi" w:hAnsiTheme="minorHAnsi" w:cstheme="minorHAnsi"/>
              </w:rPr>
              <w:t>Average subsidy per child</w:t>
            </w:r>
            <w:r>
              <w:t xml:space="preserve"> </w:t>
            </w:r>
            <w:r>
              <w:br/>
              <w:t>(average subsidy per hour</w:t>
            </w:r>
            <w:r w:rsidRPr="000A4080">
              <w:t xml:space="preserve"> of CBDC</w:t>
            </w:r>
            <w:r>
              <w:t>, multiplied by 600)</w:t>
            </w:r>
          </w:p>
        </w:tc>
        <w:tc>
          <w:tcPr>
            <w:tcW w:w="850" w:type="dxa"/>
          </w:tcPr>
          <w:p w14:paraId="1BC0FDD0" w14:textId="77ACEDC1" w:rsidR="00A2475C" w:rsidRDefault="00A2475C" w:rsidP="00A2475C">
            <w:pPr>
              <w:pStyle w:val="TableExpText"/>
              <w:spacing w:after="0"/>
              <w:jc w:val="center"/>
            </w:pPr>
            <w:r w:rsidRPr="008D7B31">
              <w:t>$3,475</w:t>
            </w:r>
          </w:p>
        </w:tc>
        <w:tc>
          <w:tcPr>
            <w:tcW w:w="851" w:type="dxa"/>
          </w:tcPr>
          <w:p w14:paraId="55D5C6C3" w14:textId="2477447E" w:rsidR="00A2475C" w:rsidRDefault="00A2475C" w:rsidP="00A2475C">
            <w:pPr>
              <w:pStyle w:val="TableExpText"/>
              <w:spacing w:after="0"/>
              <w:jc w:val="center"/>
            </w:pPr>
            <w:r w:rsidRPr="008D7B31">
              <w:t>$3,729</w:t>
            </w:r>
          </w:p>
        </w:tc>
        <w:tc>
          <w:tcPr>
            <w:tcW w:w="850" w:type="dxa"/>
          </w:tcPr>
          <w:p w14:paraId="05371B82" w14:textId="11DBFE89" w:rsidR="00A2475C" w:rsidRDefault="00A2475C" w:rsidP="00A2475C">
            <w:pPr>
              <w:pStyle w:val="TableExpText"/>
              <w:spacing w:after="0"/>
              <w:jc w:val="center"/>
            </w:pPr>
            <w:r w:rsidRPr="008D7B31">
              <w:t>$3,430</w:t>
            </w:r>
          </w:p>
        </w:tc>
        <w:tc>
          <w:tcPr>
            <w:tcW w:w="709" w:type="dxa"/>
          </w:tcPr>
          <w:p w14:paraId="2E26F696" w14:textId="5858F1FA" w:rsidR="00A2475C" w:rsidRDefault="00A2475C" w:rsidP="00A2475C">
            <w:pPr>
              <w:pStyle w:val="TableExpText"/>
              <w:spacing w:after="0"/>
              <w:jc w:val="center"/>
            </w:pPr>
            <w:r w:rsidRPr="008D7B31">
              <w:t>$3,737</w:t>
            </w:r>
          </w:p>
        </w:tc>
        <w:tc>
          <w:tcPr>
            <w:tcW w:w="709" w:type="dxa"/>
          </w:tcPr>
          <w:p w14:paraId="27CEA05A" w14:textId="4F22DF1F" w:rsidR="00A2475C" w:rsidRDefault="00A2475C" w:rsidP="00A2475C">
            <w:pPr>
              <w:pStyle w:val="TableExpText"/>
              <w:spacing w:after="0"/>
              <w:jc w:val="center"/>
            </w:pPr>
            <w:r w:rsidRPr="008D7B31">
              <w:t>$3,630</w:t>
            </w:r>
          </w:p>
        </w:tc>
        <w:tc>
          <w:tcPr>
            <w:tcW w:w="709" w:type="dxa"/>
          </w:tcPr>
          <w:p w14:paraId="3CEA5797" w14:textId="4B415181" w:rsidR="00A2475C" w:rsidRDefault="00A2475C" w:rsidP="00A2475C">
            <w:pPr>
              <w:pStyle w:val="TableExpText"/>
              <w:spacing w:after="0"/>
              <w:jc w:val="center"/>
            </w:pPr>
            <w:r w:rsidRPr="008D7B31">
              <w:t>$3,548</w:t>
            </w:r>
          </w:p>
        </w:tc>
        <w:tc>
          <w:tcPr>
            <w:tcW w:w="708" w:type="dxa"/>
          </w:tcPr>
          <w:p w14:paraId="052F0CDB" w14:textId="7C8B257F" w:rsidR="00A2475C" w:rsidRDefault="00A2475C" w:rsidP="00A2475C">
            <w:pPr>
              <w:pStyle w:val="TableExpText"/>
              <w:spacing w:after="0"/>
              <w:jc w:val="center"/>
            </w:pPr>
            <w:r w:rsidRPr="008D7B31">
              <w:t>$2,920</w:t>
            </w:r>
          </w:p>
        </w:tc>
        <w:tc>
          <w:tcPr>
            <w:tcW w:w="709" w:type="dxa"/>
          </w:tcPr>
          <w:p w14:paraId="790CEE98" w14:textId="54F6B65B" w:rsidR="00A2475C" w:rsidRDefault="00A2475C" w:rsidP="00A2475C">
            <w:pPr>
              <w:pStyle w:val="TableExpText"/>
              <w:spacing w:after="0"/>
              <w:jc w:val="center"/>
            </w:pPr>
            <w:r w:rsidRPr="008D7B31">
              <w:t>$3,582</w:t>
            </w:r>
          </w:p>
        </w:tc>
        <w:tc>
          <w:tcPr>
            <w:tcW w:w="850" w:type="dxa"/>
          </w:tcPr>
          <w:p w14:paraId="002A308A" w14:textId="067FE43D" w:rsidR="00A2475C" w:rsidRDefault="00A2475C" w:rsidP="00A2475C">
            <w:pPr>
              <w:pStyle w:val="TableExpText"/>
              <w:spacing w:after="0"/>
              <w:jc w:val="center"/>
            </w:pPr>
            <w:r w:rsidRPr="008D7B31">
              <w:t>$3,544</w:t>
            </w:r>
          </w:p>
        </w:tc>
      </w:tr>
      <w:tr w:rsidR="00A2475C" w14:paraId="5FE2814F" w14:textId="77777777" w:rsidTr="00121766">
        <w:trPr>
          <w:cnfStyle w:val="000000100000" w:firstRow="0" w:lastRow="0" w:firstColumn="0" w:lastColumn="0" w:oddVBand="0" w:evenVBand="0" w:oddHBand="1" w:evenHBand="0" w:firstRowFirstColumn="0" w:firstRowLastColumn="0" w:lastRowFirstColumn="0" w:lastRowLastColumn="0"/>
        </w:trPr>
        <w:tc>
          <w:tcPr>
            <w:tcW w:w="1985" w:type="dxa"/>
            <w:vAlign w:val="bottom"/>
          </w:tcPr>
          <w:p w14:paraId="7E9F3D58" w14:textId="77777777" w:rsidR="00A2475C" w:rsidRPr="003079F2" w:rsidRDefault="00A2475C" w:rsidP="00A2475C">
            <w:pPr>
              <w:pStyle w:val="TableExpText"/>
              <w:spacing w:after="0"/>
              <w:rPr>
                <w:rFonts w:asciiTheme="minorHAnsi" w:hAnsiTheme="minorHAnsi" w:cstheme="minorHAnsi"/>
              </w:rPr>
            </w:pPr>
            <w:r w:rsidRPr="003079F2">
              <w:rPr>
                <w:rFonts w:asciiTheme="minorHAnsi" w:hAnsiTheme="minorHAnsi" w:cstheme="minorHAnsi"/>
              </w:rPr>
              <w:t xml:space="preserve">Total subsidy for 600 hours for </w:t>
            </w:r>
            <w:proofErr w:type="gramStart"/>
            <w:r>
              <w:rPr>
                <w:rFonts w:asciiTheme="minorHAnsi" w:hAnsiTheme="minorHAnsi" w:cstheme="minorHAnsi"/>
              </w:rPr>
              <w:t>four</w:t>
            </w:r>
            <w:r w:rsidRPr="003079F2">
              <w:rPr>
                <w:rFonts w:asciiTheme="minorHAnsi" w:hAnsiTheme="minorHAnsi" w:cstheme="minorHAnsi"/>
              </w:rPr>
              <w:t xml:space="preserve"> year</w:t>
            </w:r>
            <w:proofErr w:type="gramEnd"/>
            <w:r w:rsidRPr="003079F2">
              <w:rPr>
                <w:rFonts w:asciiTheme="minorHAnsi" w:hAnsiTheme="minorHAnsi" w:cstheme="minorHAnsi"/>
              </w:rPr>
              <w:t xml:space="preserve"> </w:t>
            </w:r>
            <w:proofErr w:type="spellStart"/>
            <w:r w:rsidRPr="003079F2">
              <w:rPr>
                <w:rFonts w:asciiTheme="minorHAnsi" w:hAnsiTheme="minorHAnsi" w:cstheme="minorHAnsi"/>
              </w:rPr>
              <w:t>olds</w:t>
            </w:r>
            <w:proofErr w:type="spellEnd"/>
            <w:r w:rsidRPr="003079F2">
              <w:rPr>
                <w:rFonts w:asciiTheme="minorHAnsi" w:hAnsiTheme="minorHAnsi" w:cstheme="minorHAnsi"/>
              </w:rPr>
              <w:t xml:space="preserve"> ($’000)</w:t>
            </w:r>
            <w:r w:rsidRPr="003079F2">
              <w:rPr>
                <w:rFonts w:asciiTheme="minorHAnsi" w:hAnsiTheme="minorHAnsi" w:cstheme="minorHAnsi"/>
              </w:rPr>
              <w:br/>
              <w:t>(average subsidy per child, multiplied by the number of children receiving a subsidy)</w:t>
            </w:r>
          </w:p>
        </w:tc>
        <w:tc>
          <w:tcPr>
            <w:tcW w:w="850" w:type="dxa"/>
          </w:tcPr>
          <w:p w14:paraId="3E01641C" w14:textId="503B2F37" w:rsidR="00A2475C" w:rsidRPr="003079F2" w:rsidRDefault="00A2475C" w:rsidP="00A2475C">
            <w:pPr>
              <w:pStyle w:val="TableExpText"/>
              <w:spacing w:after="0"/>
              <w:rPr>
                <w:rFonts w:asciiTheme="minorHAnsi" w:hAnsiTheme="minorHAnsi" w:cstheme="minorHAnsi"/>
              </w:rPr>
            </w:pPr>
            <w:r w:rsidRPr="00DD6AC8">
              <w:t>241</w:t>
            </w:r>
            <w:r>
              <w:t xml:space="preserve"> </w:t>
            </w:r>
            <w:r w:rsidRPr="00DD6AC8">
              <w:t>447</w:t>
            </w:r>
          </w:p>
        </w:tc>
        <w:tc>
          <w:tcPr>
            <w:tcW w:w="851" w:type="dxa"/>
          </w:tcPr>
          <w:p w14:paraId="566A6BD9" w14:textId="569DF29D" w:rsidR="00A2475C" w:rsidRPr="003079F2" w:rsidRDefault="00A2475C" w:rsidP="00A2475C">
            <w:pPr>
              <w:pStyle w:val="TableExpText"/>
              <w:spacing w:after="0"/>
              <w:rPr>
                <w:rFonts w:asciiTheme="minorHAnsi" w:hAnsiTheme="minorHAnsi" w:cstheme="minorHAnsi"/>
              </w:rPr>
            </w:pPr>
            <w:r w:rsidRPr="00DD6AC8">
              <w:t>171</w:t>
            </w:r>
            <w:r>
              <w:t xml:space="preserve"> </w:t>
            </w:r>
            <w:r w:rsidRPr="00DD6AC8">
              <w:t>067</w:t>
            </w:r>
          </w:p>
        </w:tc>
        <w:tc>
          <w:tcPr>
            <w:tcW w:w="850" w:type="dxa"/>
          </w:tcPr>
          <w:p w14:paraId="4BB85054" w14:textId="08F08973" w:rsidR="00A2475C" w:rsidRPr="003079F2" w:rsidRDefault="00A2475C" w:rsidP="00A2475C">
            <w:pPr>
              <w:pStyle w:val="TableExpText"/>
              <w:spacing w:after="0"/>
              <w:rPr>
                <w:rFonts w:asciiTheme="minorHAnsi" w:hAnsiTheme="minorHAnsi" w:cstheme="minorHAnsi"/>
              </w:rPr>
            </w:pPr>
            <w:r w:rsidRPr="00DD6AC8">
              <w:t>156</w:t>
            </w:r>
            <w:r>
              <w:t xml:space="preserve"> </w:t>
            </w:r>
            <w:r w:rsidRPr="00DD6AC8">
              <w:t>913</w:t>
            </w:r>
          </w:p>
        </w:tc>
        <w:tc>
          <w:tcPr>
            <w:tcW w:w="709" w:type="dxa"/>
          </w:tcPr>
          <w:p w14:paraId="78EE80F3" w14:textId="35600B15" w:rsidR="00A2475C" w:rsidRPr="003079F2" w:rsidRDefault="00A2475C" w:rsidP="00A2475C">
            <w:pPr>
              <w:pStyle w:val="TableExpText"/>
              <w:spacing w:after="0"/>
              <w:rPr>
                <w:rFonts w:asciiTheme="minorHAnsi" w:hAnsiTheme="minorHAnsi" w:cstheme="minorHAnsi"/>
              </w:rPr>
            </w:pPr>
            <w:r w:rsidRPr="00DD6AC8">
              <w:t>43</w:t>
            </w:r>
            <w:r>
              <w:t xml:space="preserve"> </w:t>
            </w:r>
            <w:r w:rsidRPr="00DD6AC8">
              <w:t>533</w:t>
            </w:r>
          </w:p>
        </w:tc>
        <w:tc>
          <w:tcPr>
            <w:tcW w:w="709" w:type="dxa"/>
          </w:tcPr>
          <w:p w14:paraId="70D5F3B1" w14:textId="53E5E38F" w:rsidR="00A2475C" w:rsidRPr="003079F2" w:rsidRDefault="00A2475C" w:rsidP="00A2475C">
            <w:pPr>
              <w:pStyle w:val="TableExpText"/>
              <w:spacing w:after="0"/>
              <w:rPr>
                <w:rFonts w:asciiTheme="minorHAnsi" w:hAnsiTheme="minorHAnsi" w:cstheme="minorHAnsi"/>
              </w:rPr>
            </w:pPr>
            <w:r w:rsidRPr="00DD6AC8">
              <w:t>50</w:t>
            </w:r>
            <w:r>
              <w:t xml:space="preserve"> </w:t>
            </w:r>
            <w:r w:rsidRPr="00DD6AC8">
              <w:t>678</w:t>
            </w:r>
          </w:p>
        </w:tc>
        <w:tc>
          <w:tcPr>
            <w:tcW w:w="709" w:type="dxa"/>
          </w:tcPr>
          <w:p w14:paraId="5AF2D299" w14:textId="05417A66" w:rsidR="00A2475C" w:rsidRPr="003079F2" w:rsidRDefault="00A2475C" w:rsidP="00A2475C">
            <w:pPr>
              <w:pStyle w:val="TableExpText"/>
              <w:spacing w:after="0"/>
              <w:rPr>
                <w:rFonts w:asciiTheme="minorHAnsi" w:hAnsiTheme="minorHAnsi" w:cstheme="minorHAnsi"/>
              </w:rPr>
            </w:pPr>
            <w:r w:rsidRPr="00DD6AC8">
              <w:t>11</w:t>
            </w:r>
            <w:r>
              <w:t xml:space="preserve"> </w:t>
            </w:r>
            <w:r w:rsidRPr="00DD6AC8">
              <w:t>780</w:t>
            </w:r>
          </w:p>
        </w:tc>
        <w:tc>
          <w:tcPr>
            <w:tcW w:w="708" w:type="dxa"/>
          </w:tcPr>
          <w:p w14:paraId="308616D1" w14:textId="1A53BBE4" w:rsidR="00A2475C" w:rsidRPr="003079F2" w:rsidRDefault="00A2475C" w:rsidP="00A2475C">
            <w:pPr>
              <w:pStyle w:val="TableExpText"/>
              <w:spacing w:after="0"/>
              <w:rPr>
                <w:rFonts w:asciiTheme="minorHAnsi" w:hAnsiTheme="minorHAnsi" w:cstheme="minorHAnsi"/>
              </w:rPr>
            </w:pPr>
            <w:r w:rsidRPr="00DD6AC8">
              <w:t>4</w:t>
            </w:r>
            <w:r>
              <w:t xml:space="preserve"> </w:t>
            </w:r>
            <w:r w:rsidRPr="00DD6AC8">
              <w:t>672</w:t>
            </w:r>
          </w:p>
        </w:tc>
        <w:tc>
          <w:tcPr>
            <w:tcW w:w="709" w:type="dxa"/>
          </w:tcPr>
          <w:p w14:paraId="23262499" w14:textId="720DF8F0" w:rsidR="00A2475C" w:rsidRPr="003079F2" w:rsidRDefault="00A2475C" w:rsidP="00A2475C">
            <w:pPr>
              <w:pStyle w:val="TableExpText"/>
              <w:spacing w:after="0"/>
              <w:rPr>
                <w:rFonts w:asciiTheme="minorHAnsi" w:hAnsiTheme="minorHAnsi" w:cstheme="minorHAnsi"/>
              </w:rPr>
            </w:pPr>
            <w:r w:rsidRPr="00DD6AC8">
              <w:t>15</w:t>
            </w:r>
            <w:r>
              <w:t xml:space="preserve"> </w:t>
            </w:r>
            <w:r w:rsidRPr="00DD6AC8">
              <w:t>389</w:t>
            </w:r>
          </w:p>
        </w:tc>
        <w:tc>
          <w:tcPr>
            <w:tcW w:w="850" w:type="dxa"/>
          </w:tcPr>
          <w:p w14:paraId="0956BECD" w14:textId="216C3172" w:rsidR="00A2475C" w:rsidRPr="003079F2" w:rsidRDefault="00A2475C" w:rsidP="00A2475C">
            <w:pPr>
              <w:pStyle w:val="TableExpText"/>
              <w:spacing w:after="0"/>
              <w:rPr>
                <w:rFonts w:asciiTheme="minorHAnsi" w:hAnsiTheme="minorHAnsi" w:cstheme="minorHAnsi"/>
              </w:rPr>
            </w:pPr>
            <w:r w:rsidRPr="00DD6AC8">
              <w:t>688</w:t>
            </w:r>
            <w:r>
              <w:t xml:space="preserve"> </w:t>
            </w:r>
            <w:r w:rsidRPr="00DD6AC8">
              <w:t>299</w:t>
            </w:r>
          </w:p>
        </w:tc>
      </w:tr>
    </w:tbl>
    <w:p w14:paraId="0F878E71" w14:textId="77777777" w:rsidR="00AE1119" w:rsidRDefault="00AE1119" w:rsidP="00AE1119">
      <w:pPr>
        <w:pStyle w:val="Heading5"/>
      </w:pPr>
      <w:r>
        <w:t>Adjustment to</w:t>
      </w:r>
      <w:r w:rsidRPr="001C37C2">
        <w:t xml:space="preserve"> reflect </w:t>
      </w:r>
      <w:proofErr w:type="gramStart"/>
      <w:r w:rsidRPr="001C37C2">
        <w:t>state-specific</w:t>
      </w:r>
      <w:proofErr w:type="gramEnd"/>
      <w:r w:rsidRPr="001C37C2">
        <w:t xml:space="preserve"> YB</w:t>
      </w:r>
      <w:r>
        <w:t>F</w:t>
      </w:r>
      <w:r w:rsidRPr="001C37C2">
        <w:t>S</w:t>
      </w:r>
      <w:r>
        <w:t xml:space="preserve"> enrolments </w:t>
      </w:r>
    </w:p>
    <w:p w14:paraId="5E703740" w14:textId="77777777" w:rsidR="00AE1119" w:rsidRDefault="00AE1119" w:rsidP="00AE1119">
      <w:r>
        <w:t xml:space="preserve">An estimate for </w:t>
      </w:r>
      <w:proofErr w:type="gramStart"/>
      <w:r w:rsidR="00017CCB">
        <w:t xml:space="preserve">four </w:t>
      </w:r>
      <w:r>
        <w:t>year</w:t>
      </w:r>
      <w:proofErr w:type="gramEnd"/>
      <w:r>
        <w:t xml:space="preserve"> </w:t>
      </w:r>
      <w:proofErr w:type="spellStart"/>
      <w:r>
        <w:t>olds</w:t>
      </w:r>
      <w:proofErr w:type="spellEnd"/>
      <w:r>
        <w:t xml:space="preserve"> </w:t>
      </w:r>
      <w:r w:rsidRPr="00E92DCE">
        <w:t>as at 1</w:t>
      </w:r>
      <w:r>
        <w:t> </w:t>
      </w:r>
      <w:r w:rsidRPr="00E92DCE">
        <w:t>January 2018</w:t>
      </w:r>
      <w:r>
        <w:t xml:space="preserve"> was used as a proxy for the number of children for enrolled in preschool programs in CBDC for the child care subsidy administrative data set. This needed to be adjusted to align with the </w:t>
      </w:r>
      <w:proofErr w:type="gramStart"/>
      <w:r>
        <w:t>state-specific</w:t>
      </w:r>
      <w:proofErr w:type="gramEnd"/>
      <w:r>
        <w:t xml:space="preserve"> YBFS enrolment figures in the ABS National Preschool Collection. The Review </w:t>
      </w:r>
      <w:r w:rsidRPr="00EC352C">
        <w:rPr>
          <w:rFonts w:asciiTheme="majorHAnsi" w:hAnsiTheme="majorHAnsi" w:cstheme="majorHAnsi"/>
        </w:rPr>
        <w:t xml:space="preserve">adjusted the estimates based on the proportional difference between the two </w:t>
      </w:r>
      <w:r w:rsidRPr="00EC352C">
        <w:rPr>
          <w:rFonts w:asciiTheme="majorHAnsi" w:hAnsiTheme="majorHAnsi" w:cstheme="majorHAnsi"/>
        </w:rPr>
        <w:lastRenderedPageBreak/>
        <w:t>methods of measuring enrolment</w:t>
      </w:r>
      <w:r>
        <w:t xml:space="preserve">. This approach improves the original estimates while maintaining a nationally comparable approach. </w:t>
      </w:r>
    </w:p>
    <w:tbl>
      <w:tblPr>
        <w:tblStyle w:val="TableGrid"/>
        <w:tblW w:w="0" w:type="auto"/>
        <w:tblLook w:val="04A0" w:firstRow="1" w:lastRow="0" w:firstColumn="1" w:lastColumn="0" w:noHBand="0" w:noVBand="1"/>
      </w:tblPr>
      <w:tblGrid>
        <w:gridCol w:w="1985"/>
        <w:gridCol w:w="850"/>
        <w:gridCol w:w="851"/>
        <w:gridCol w:w="850"/>
        <w:gridCol w:w="709"/>
        <w:gridCol w:w="709"/>
        <w:gridCol w:w="709"/>
        <w:gridCol w:w="653"/>
        <w:gridCol w:w="739"/>
        <w:gridCol w:w="875"/>
      </w:tblGrid>
      <w:tr w:rsidR="00B650D2" w14:paraId="2BEA3074" w14:textId="77777777" w:rsidTr="00AE1119">
        <w:trPr>
          <w:cnfStyle w:val="100000000000" w:firstRow="1" w:lastRow="0" w:firstColumn="0" w:lastColumn="0" w:oddVBand="0" w:evenVBand="0" w:oddHBand="0" w:evenHBand="0" w:firstRowFirstColumn="0" w:firstRowLastColumn="0" w:lastRowFirstColumn="0" w:lastRowLastColumn="0"/>
        </w:trPr>
        <w:tc>
          <w:tcPr>
            <w:tcW w:w="1985" w:type="dxa"/>
          </w:tcPr>
          <w:p w14:paraId="120486EB" w14:textId="4D375C93" w:rsidR="00AE1119" w:rsidRDefault="00AE1119" w:rsidP="00AE1119">
            <w:pPr>
              <w:pStyle w:val="TableNheader"/>
              <w:spacing w:before="0" w:after="0"/>
            </w:pPr>
            <w:r>
              <w:t xml:space="preserve">Enrolments </w:t>
            </w:r>
          </w:p>
        </w:tc>
        <w:tc>
          <w:tcPr>
            <w:tcW w:w="850" w:type="dxa"/>
          </w:tcPr>
          <w:p w14:paraId="52B891BA"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NSW</w:t>
            </w:r>
          </w:p>
        </w:tc>
        <w:tc>
          <w:tcPr>
            <w:tcW w:w="851" w:type="dxa"/>
          </w:tcPr>
          <w:p w14:paraId="0DBB7ACB"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Vic</w:t>
            </w:r>
          </w:p>
        </w:tc>
        <w:tc>
          <w:tcPr>
            <w:tcW w:w="850" w:type="dxa"/>
          </w:tcPr>
          <w:p w14:paraId="6C6278A3"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Qld</w:t>
            </w:r>
          </w:p>
        </w:tc>
        <w:tc>
          <w:tcPr>
            <w:tcW w:w="709" w:type="dxa"/>
          </w:tcPr>
          <w:p w14:paraId="18BAFC94"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SA</w:t>
            </w:r>
          </w:p>
        </w:tc>
        <w:tc>
          <w:tcPr>
            <w:tcW w:w="709" w:type="dxa"/>
          </w:tcPr>
          <w:p w14:paraId="58787AE1"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WA</w:t>
            </w:r>
          </w:p>
        </w:tc>
        <w:tc>
          <w:tcPr>
            <w:tcW w:w="709" w:type="dxa"/>
          </w:tcPr>
          <w:p w14:paraId="210EDDA9"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Tas</w:t>
            </w:r>
          </w:p>
        </w:tc>
        <w:tc>
          <w:tcPr>
            <w:tcW w:w="653" w:type="dxa"/>
          </w:tcPr>
          <w:p w14:paraId="525A60A7"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NT</w:t>
            </w:r>
          </w:p>
        </w:tc>
        <w:tc>
          <w:tcPr>
            <w:tcW w:w="739" w:type="dxa"/>
          </w:tcPr>
          <w:p w14:paraId="703AD2B6"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ACT</w:t>
            </w:r>
          </w:p>
        </w:tc>
        <w:tc>
          <w:tcPr>
            <w:tcW w:w="875" w:type="dxa"/>
          </w:tcPr>
          <w:p w14:paraId="1BB28D7A"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Aust</w:t>
            </w:r>
          </w:p>
        </w:tc>
      </w:tr>
      <w:tr w:rsidR="00A2475C" w:rsidRPr="00037787" w14:paraId="05ACAC98" w14:textId="77777777" w:rsidTr="00AE1119">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52518F48" w14:textId="77777777" w:rsidR="00A2475C" w:rsidRPr="00CD5260" w:rsidRDefault="00A2475C" w:rsidP="00A2475C">
            <w:pPr>
              <w:pStyle w:val="TableNText"/>
              <w:spacing w:before="0" w:after="0"/>
            </w:pPr>
            <w:r w:rsidRPr="00CD5260">
              <w:t xml:space="preserve">Number of </w:t>
            </w:r>
            <w:proofErr w:type="gramStart"/>
            <w:r w:rsidRPr="00CD5260">
              <w:t>4 year</w:t>
            </w:r>
            <w:proofErr w:type="gramEnd"/>
            <w:r w:rsidRPr="00CD5260">
              <w:t xml:space="preserve"> </w:t>
            </w:r>
            <w:proofErr w:type="spellStart"/>
            <w:r w:rsidRPr="00CD5260">
              <w:t>olds</w:t>
            </w:r>
            <w:proofErr w:type="spellEnd"/>
            <w:r>
              <w:t xml:space="preserve"> captured in CCS Admin data set</w:t>
            </w:r>
          </w:p>
        </w:tc>
        <w:tc>
          <w:tcPr>
            <w:tcW w:w="850" w:type="dxa"/>
            <w:vAlign w:val="top"/>
          </w:tcPr>
          <w:p w14:paraId="1DF29F64" w14:textId="201D13DB" w:rsidR="00A2475C" w:rsidRPr="00CD5260" w:rsidRDefault="00A2475C" w:rsidP="00A2475C">
            <w:pPr>
              <w:pStyle w:val="TableNText"/>
              <w:spacing w:before="0" w:after="0"/>
            </w:pPr>
            <w:r w:rsidRPr="00291828">
              <w:rPr>
                <w:sz w:val="16"/>
                <w:szCs w:val="20"/>
              </w:rPr>
              <w:t>69,480</w:t>
            </w:r>
          </w:p>
        </w:tc>
        <w:tc>
          <w:tcPr>
            <w:tcW w:w="851" w:type="dxa"/>
            <w:vAlign w:val="top"/>
          </w:tcPr>
          <w:p w14:paraId="7FD977D2" w14:textId="1C6BEAAE" w:rsidR="00A2475C" w:rsidRPr="00CD5260" w:rsidRDefault="00A2475C" w:rsidP="00A2475C">
            <w:pPr>
              <w:pStyle w:val="TableNText"/>
              <w:spacing w:before="0" w:after="0"/>
            </w:pPr>
            <w:r w:rsidRPr="00291828">
              <w:rPr>
                <w:sz w:val="16"/>
                <w:szCs w:val="20"/>
              </w:rPr>
              <w:t>45,880</w:t>
            </w:r>
          </w:p>
        </w:tc>
        <w:tc>
          <w:tcPr>
            <w:tcW w:w="850" w:type="dxa"/>
            <w:vAlign w:val="top"/>
          </w:tcPr>
          <w:p w14:paraId="54D6B1D8" w14:textId="4BB65E44" w:rsidR="00A2475C" w:rsidRPr="00CD5260" w:rsidRDefault="00A2475C" w:rsidP="00A2475C">
            <w:pPr>
              <w:pStyle w:val="TableNText"/>
              <w:spacing w:before="0" w:after="0"/>
            </w:pPr>
            <w:r w:rsidRPr="00291828">
              <w:rPr>
                <w:sz w:val="16"/>
                <w:szCs w:val="20"/>
              </w:rPr>
              <w:t>45,750</w:t>
            </w:r>
          </w:p>
        </w:tc>
        <w:tc>
          <w:tcPr>
            <w:tcW w:w="709" w:type="dxa"/>
            <w:vAlign w:val="top"/>
          </w:tcPr>
          <w:p w14:paraId="4B717D5D" w14:textId="14C31F7B" w:rsidR="00A2475C" w:rsidRPr="00CD5260" w:rsidRDefault="00A2475C" w:rsidP="00A2475C">
            <w:pPr>
              <w:pStyle w:val="TableNText"/>
              <w:spacing w:before="0" w:after="0"/>
            </w:pPr>
            <w:r w:rsidRPr="00291828">
              <w:rPr>
                <w:sz w:val="16"/>
                <w:szCs w:val="20"/>
              </w:rPr>
              <w:t>11,650</w:t>
            </w:r>
          </w:p>
        </w:tc>
        <w:tc>
          <w:tcPr>
            <w:tcW w:w="709" w:type="dxa"/>
            <w:vAlign w:val="top"/>
          </w:tcPr>
          <w:p w14:paraId="5BE34714" w14:textId="14AC37B8" w:rsidR="00A2475C" w:rsidRPr="00CD5260" w:rsidRDefault="00A2475C" w:rsidP="00A2475C">
            <w:pPr>
              <w:pStyle w:val="TableNText"/>
              <w:spacing w:before="0" w:after="0"/>
            </w:pPr>
            <w:r w:rsidRPr="00291828">
              <w:rPr>
                <w:sz w:val="16"/>
                <w:szCs w:val="20"/>
              </w:rPr>
              <w:t>13,960</w:t>
            </w:r>
          </w:p>
        </w:tc>
        <w:tc>
          <w:tcPr>
            <w:tcW w:w="709" w:type="dxa"/>
            <w:vAlign w:val="top"/>
          </w:tcPr>
          <w:p w14:paraId="392AB27E" w14:textId="5D55286C" w:rsidR="00A2475C" w:rsidRPr="00CD5260" w:rsidRDefault="00A2475C" w:rsidP="00A2475C">
            <w:pPr>
              <w:pStyle w:val="TableNText"/>
              <w:spacing w:before="0" w:after="0"/>
            </w:pPr>
            <w:r w:rsidRPr="00291828">
              <w:rPr>
                <w:sz w:val="16"/>
                <w:szCs w:val="20"/>
              </w:rPr>
              <w:t>3,320</w:t>
            </w:r>
          </w:p>
        </w:tc>
        <w:tc>
          <w:tcPr>
            <w:tcW w:w="653" w:type="dxa"/>
            <w:vAlign w:val="top"/>
          </w:tcPr>
          <w:p w14:paraId="360E58A7" w14:textId="462D6B58" w:rsidR="00A2475C" w:rsidRPr="00CD5260" w:rsidRDefault="00A2475C" w:rsidP="00A2475C">
            <w:pPr>
              <w:pStyle w:val="TableNText"/>
              <w:spacing w:before="0" w:after="0"/>
            </w:pPr>
            <w:r w:rsidRPr="00291828">
              <w:rPr>
                <w:sz w:val="16"/>
                <w:szCs w:val="20"/>
              </w:rPr>
              <w:t>1,600</w:t>
            </w:r>
          </w:p>
        </w:tc>
        <w:tc>
          <w:tcPr>
            <w:tcW w:w="739" w:type="dxa"/>
            <w:vAlign w:val="top"/>
          </w:tcPr>
          <w:p w14:paraId="5F6BC014" w14:textId="490F0E51" w:rsidR="00A2475C" w:rsidRPr="00CD5260" w:rsidRDefault="00A2475C" w:rsidP="00A2475C">
            <w:pPr>
              <w:pStyle w:val="TableNText"/>
              <w:spacing w:before="0" w:after="0"/>
            </w:pPr>
            <w:r w:rsidRPr="00291828">
              <w:rPr>
                <w:sz w:val="16"/>
                <w:szCs w:val="20"/>
              </w:rPr>
              <w:t>4,290</w:t>
            </w:r>
          </w:p>
        </w:tc>
        <w:tc>
          <w:tcPr>
            <w:tcW w:w="875" w:type="dxa"/>
            <w:vAlign w:val="top"/>
          </w:tcPr>
          <w:p w14:paraId="43B4AF0F" w14:textId="163F999A" w:rsidR="00A2475C" w:rsidRPr="00CD5260" w:rsidRDefault="00A2475C" w:rsidP="00A2475C">
            <w:pPr>
              <w:pStyle w:val="TableNText"/>
              <w:spacing w:before="0" w:after="0"/>
            </w:pPr>
            <w:r w:rsidRPr="00291828">
              <w:rPr>
                <w:sz w:val="16"/>
                <w:szCs w:val="20"/>
              </w:rPr>
              <w:t>194,220</w:t>
            </w:r>
          </w:p>
        </w:tc>
      </w:tr>
      <w:tr w:rsidR="00A2475C" w:rsidRPr="00037787" w14:paraId="2D188AB4" w14:textId="77777777" w:rsidTr="00121766">
        <w:trPr>
          <w:cnfStyle w:val="000000010000" w:firstRow="0" w:lastRow="0" w:firstColumn="0" w:lastColumn="0" w:oddVBand="0" w:evenVBand="0" w:oddHBand="0" w:evenHBand="1" w:firstRowFirstColumn="0" w:firstRowLastColumn="0" w:lastRowFirstColumn="0" w:lastRowLastColumn="0"/>
        </w:trPr>
        <w:tc>
          <w:tcPr>
            <w:tcW w:w="1985" w:type="dxa"/>
            <w:vAlign w:val="top"/>
          </w:tcPr>
          <w:p w14:paraId="4C65E409" w14:textId="77777777" w:rsidR="00A2475C" w:rsidRPr="00CD5260" w:rsidRDefault="00A2475C" w:rsidP="00A2475C">
            <w:pPr>
              <w:pStyle w:val="TableNText"/>
              <w:spacing w:before="0" w:after="0"/>
            </w:pPr>
            <w:r w:rsidRPr="00CD5260">
              <w:t>Number of children in CBDC (</w:t>
            </w:r>
            <w:r>
              <w:t xml:space="preserve">NCC </w:t>
            </w:r>
            <w:r w:rsidRPr="00CD5260">
              <w:t>ss-YBFS)</w:t>
            </w:r>
          </w:p>
        </w:tc>
        <w:tc>
          <w:tcPr>
            <w:tcW w:w="850" w:type="dxa"/>
          </w:tcPr>
          <w:p w14:paraId="7BEA1C89" w14:textId="58DDF4AA" w:rsidR="00A2475C" w:rsidRPr="00CD5260" w:rsidRDefault="00A2475C" w:rsidP="00A2475C">
            <w:pPr>
              <w:pStyle w:val="TableNText"/>
              <w:spacing w:before="0" w:after="0"/>
            </w:pPr>
            <w:r w:rsidRPr="00291828">
              <w:rPr>
                <w:sz w:val="16"/>
                <w:szCs w:val="20"/>
              </w:rPr>
              <w:t>58 734</w:t>
            </w:r>
          </w:p>
        </w:tc>
        <w:tc>
          <w:tcPr>
            <w:tcW w:w="851" w:type="dxa"/>
          </w:tcPr>
          <w:p w14:paraId="5F55A9DB" w14:textId="5A489D8B" w:rsidR="00A2475C" w:rsidRPr="00CD5260" w:rsidRDefault="00A2475C" w:rsidP="00A2475C">
            <w:pPr>
              <w:pStyle w:val="TableNText"/>
              <w:spacing w:before="0" w:after="0"/>
            </w:pPr>
            <w:r w:rsidRPr="00291828">
              <w:rPr>
                <w:sz w:val="16"/>
                <w:szCs w:val="20"/>
              </w:rPr>
              <w:t xml:space="preserve"> 32 187</w:t>
            </w:r>
          </w:p>
        </w:tc>
        <w:tc>
          <w:tcPr>
            <w:tcW w:w="850" w:type="dxa"/>
          </w:tcPr>
          <w:p w14:paraId="74621A96" w14:textId="18E5269B" w:rsidR="00A2475C" w:rsidRPr="00CD5260" w:rsidRDefault="00A2475C" w:rsidP="00A2475C">
            <w:pPr>
              <w:pStyle w:val="TableNText"/>
              <w:spacing w:before="0" w:after="0"/>
            </w:pPr>
            <w:r w:rsidRPr="00291828">
              <w:rPr>
                <w:sz w:val="16"/>
                <w:szCs w:val="20"/>
              </w:rPr>
              <w:t xml:space="preserve"> 39 685</w:t>
            </w:r>
          </w:p>
        </w:tc>
        <w:tc>
          <w:tcPr>
            <w:tcW w:w="709" w:type="dxa"/>
          </w:tcPr>
          <w:p w14:paraId="72A2D923" w14:textId="60D48EE1" w:rsidR="00A2475C" w:rsidRPr="00CD5260" w:rsidRDefault="00A2475C" w:rsidP="00A2475C">
            <w:pPr>
              <w:pStyle w:val="TableNText"/>
              <w:spacing w:before="0" w:after="0"/>
            </w:pPr>
            <w:r w:rsidRPr="00291828">
              <w:rPr>
                <w:sz w:val="16"/>
                <w:szCs w:val="20"/>
              </w:rPr>
              <w:t xml:space="preserve"> 4 546</w:t>
            </w:r>
          </w:p>
        </w:tc>
        <w:tc>
          <w:tcPr>
            <w:tcW w:w="709" w:type="dxa"/>
          </w:tcPr>
          <w:p w14:paraId="6C70FC3D" w14:textId="4A6FA8E3" w:rsidR="00A2475C" w:rsidRPr="00CD5260" w:rsidRDefault="00A2475C" w:rsidP="00A2475C">
            <w:pPr>
              <w:pStyle w:val="TableNText"/>
              <w:spacing w:before="0" w:after="0"/>
            </w:pPr>
            <w:r w:rsidRPr="00291828">
              <w:rPr>
                <w:sz w:val="16"/>
                <w:szCs w:val="20"/>
              </w:rPr>
              <w:t>698</w:t>
            </w:r>
          </w:p>
        </w:tc>
        <w:tc>
          <w:tcPr>
            <w:tcW w:w="709" w:type="dxa"/>
          </w:tcPr>
          <w:p w14:paraId="458998FC" w14:textId="270B63ED" w:rsidR="00A2475C" w:rsidRPr="00CD5260" w:rsidRDefault="00A2475C" w:rsidP="00A2475C">
            <w:pPr>
              <w:pStyle w:val="TableNText"/>
              <w:spacing w:before="0" w:after="0"/>
            </w:pPr>
            <w:r w:rsidRPr="00291828">
              <w:rPr>
                <w:sz w:val="16"/>
                <w:szCs w:val="20"/>
              </w:rPr>
              <w:t>246</w:t>
            </w:r>
          </w:p>
        </w:tc>
        <w:tc>
          <w:tcPr>
            <w:tcW w:w="653" w:type="dxa"/>
          </w:tcPr>
          <w:p w14:paraId="4ABED9E2" w14:textId="13E66BE7" w:rsidR="00A2475C" w:rsidRPr="00CD5260" w:rsidRDefault="00A2475C" w:rsidP="00A2475C">
            <w:pPr>
              <w:pStyle w:val="TableNText"/>
              <w:spacing w:before="0" w:after="0"/>
            </w:pPr>
            <w:r w:rsidRPr="00291828">
              <w:rPr>
                <w:sz w:val="16"/>
                <w:szCs w:val="20"/>
              </w:rPr>
              <w:t>396</w:t>
            </w:r>
          </w:p>
        </w:tc>
        <w:tc>
          <w:tcPr>
            <w:tcW w:w="739" w:type="dxa"/>
          </w:tcPr>
          <w:p w14:paraId="16B980E1" w14:textId="11EDF35E" w:rsidR="00A2475C" w:rsidRPr="00CD5260" w:rsidRDefault="00A2475C" w:rsidP="00A2475C">
            <w:pPr>
              <w:pStyle w:val="TableNText"/>
              <w:spacing w:before="0" w:after="0"/>
            </w:pPr>
            <w:r w:rsidRPr="00291828">
              <w:rPr>
                <w:sz w:val="16"/>
                <w:szCs w:val="20"/>
              </w:rPr>
              <w:t xml:space="preserve"> 1 410</w:t>
            </w:r>
          </w:p>
        </w:tc>
        <w:tc>
          <w:tcPr>
            <w:tcW w:w="875" w:type="dxa"/>
          </w:tcPr>
          <w:p w14:paraId="6592000B" w14:textId="7D85BE0C" w:rsidR="00A2475C" w:rsidRPr="00CD5260" w:rsidRDefault="00A2475C" w:rsidP="00A2475C">
            <w:pPr>
              <w:pStyle w:val="TableNText"/>
              <w:spacing w:before="0" w:after="0"/>
            </w:pPr>
            <w:r w:rsidRPr="00291828">
              <w:rPr>
                <w:sz w:val="16"/>
                <w:szCs w:val="20"/>
              </w:rPr>
              <w:t xml:space="preserve"> 137 898</w:t>
            </w:r>
          </w:p>
        </w:tc>
      </w:tr>
      <w:tr w:rsidR="00A2475C" w:rsidRPr="00037787" w14:paraId="0DD01E4A" w14:textId="77777777" w:rsidTr="00AE1119">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218DD3AA" w14:textId="77777777" w:rsidR="00A2475C" w:rsidRPr="00CD5260" w:rsidRDefault="00A2475C" w:rsidP="00A2475C">
            <w:pPr>
              <w:pStyle w:val="TableNText"/>
              <w:spacing w:before="0" w:after="0"/>
            </w:pPr>
            <w:r w:rsidRPr="00CD5260">
              <w:t>Adjustment factor</w:t>
            </w:r>
          </w:p>
        </w:tc>
        <w:tc>
          <w:tcPr>
            <w:tcW w:w="850" w:type="dxa"/>
            <w:vAlign w:val="top"/>
          </w:tcPr>
          <w:p w14:paraId="58FDE40B" w14:textId="30B09D70" w:rsidR="00A2475C" w:rsidRPr="00CD5260" w:rsidRDefault="00A2475C" w:rsidP="00A2475C">
            <w:pPr>
              <w:pStyle w:val="TableNText"/>
              <w:spacing w:before="0" w:after="0"/>
              <w:rPr>
                <w:color w:val="000000"/>
              </w:rPr>
            </w:pPr>
            <w:r w:rsidRPr="00291828">
              <w:rPr>
                <w:sz w:val="16"/>
                <w:szCs w:val="20"/>
              </w:rPr>
              <w:t>0.845</w:t>
            </w:r>
          </w:p>
        </w:tc>
        <w:tc>
          <w:tcPr>
            <w:tcW w:w="851" w:type="dxa"/>
            <w:vAlign w:val="top"/>
          </w:tcPr>
          <w:p w14:paraId="1F22582F" w14:textId="1ACD5F81" w:rsidR="00A2475C" w:rsidRPr="00CD5260" w:rsidRDefault="00A2475C" w:rsidP="00A2475C">
            <w:pPr>
              <w:pStyle w:val="TableNText"/>
              <w:spacing w:before="0" w:after="0"/>
              <w:rPr>
                <w:color w:val="000000"/>
              </w:rPr>
            </w:pPr>
            <w:r w:rsidRPr="00291828">
              <w:rPr>
                <w:sz w:val="16"/>
                <w:szCs w:val="20"/>
              </w:rPr>
              <w:t>0.702</w:t>
            </w:r>
          </w:p>
        </w:tc>
        <w:tc>
          <w:tcPr>
            <w:tcW w:w="850" w:type="dxa"/>
            <w:vAlign w:val="top"/>
          </w:tcPr>
          <w:p w14:paraId="039DC2EB" w14:textId="44BF3537" w:rsidR="00A2475C" w:rsidRPr="00CD5260" w:rsidRDefault="00A2475C" w:rsidP="00A2475C">
            <w:pPr>
              <w:pStyle w:val="TableNText"/>
              <w:spacing w:before="0" w:after="0"/>
              <w:rPr>
                <w:color w:val="000000"/>
              </w:rPr>
            </w:pPr>
            <w:r w:rsidRPr="00291828">
              <w:rPr>
                <w:sz w:val="16"/>
                <w:szCs w:val="20"/>
              </w:rPr>
              <w:t>0.867</w:t>
            </w:r>
          </w:p>
        </w:tc>
        <w:tc>
          <w:tcPr>
            <w:tcW w:w="709" w:type="dxa"/>
            <w:vAlign w:val="top"/>
          </w:tcPr>
          <w:p w14:paraId="564B5B8E" w14:textId="450AE4BC" w:rsidR="00A2475C" w:rsidRPr="00CD5260" w:rsidRDefault="00A2475C" w:rsidP="00A2475C">
            <w:pPr>
              <w:pStyle w:val="TableNText"/>
              <w:spacing w:before="0" w:after="0"/>
              <w:rPr>
                <w:color w:val="000000"/>
              </w:rPr>
            </w:pPr>
            <w:r w:rsidRPr="00291828">
              <w:rPr>
                <w:sz w:val="16"/>
                <w:szCs w:val="20"/>
              </w:rPr>
              <w:t>0.390</w:t>
            </w:r>
          </w:p>
        </w:tc>
        <w:tc>
          <w:tcPr>
            <w:tcW w:w="709" w:type="dxa"/>
            <w:vAlign w:val="top"/>
          </w:tcPr>
          <w:p w14:paraId="24043A8B" w14:textId="6A14D586" w:rsidR="00A2475C" w:rsidRPr="00CD5260" w:rsidRDefault="00A2475C" w:rsidP="00A2475C">
            <w:pPr>
              <w:pStyle w:val="TableNText"/>
              <w:spacing w:before="0" w:after="0"/>
              <w:rPr>
                <w:color w:val="000000"/>
              </w:rPr>
            </w:pPr>
            <w:r w:rsidRPr="00291828">
              <w:rPr>
                <w:sz w:val="16"/>
                <w:szCs w:val="20"/>
              </w:rPr>
              <w:t>0.050</w:t>
            </w:r>
          </w:p>
        </w:tc>
        <w:tc>
          <w:tcPr>
            <w:tcW w:w="709" w:type="dxa"/>
            <w:vAlign w:val="top"/>
          </w:tcPr>
          <w:p w14:paraId="5146A5CF" w14:textId="75207845" w:rsidR="00A2475C" w:rsidRPr="00CD5260" w:rsidRDefault="00A2475C" w:rsidP="00A2475C">
            <w:pPr>
              <w:pStyle w:val="TableNText"/>
              <w:spacing w:before="0" w:after="0"/>
              <w:rPr>
                <w:color w:val="000000"/>
              </w:rPr>
            </w:pPr>
            <w:r w:rsidRPr="00291828">
              <w:rPr>
                <w:sz w:val="16"/>
                <w:szCs w:val="20"/>
              </w:rPr>
              <w:t>0.074</w:t>
            </w:r>
          </w:p>
        </w:tc>
        <w:tc>
          <w:tcPr>
            <w:tcW w:w="653" w:type="dxa"/>
            <w:vAlign w:val="top"/>
          </w:tcPr>
          <w:p w14:paraId="1E53E2B3" w14:textId="61D3ED54" w:rsidR="00A2475C" w:rsidRPr="00CD5260" w:rsidRDefault="00A2475C" w:rsidP="00A2475C">
            <w:pPr>
              <w:pStyle w:val="TableNText"/>
              <w:spacing w:before="0" w:after="0"/>
              <w:rPr>
                <w:color w:val="000000"/>
              </w:rPr>
            </w:pPr>
            <w:r w:rsidRPr="00291828">
              <w:rPr>
                <w:sz w:val="16"/>
                <w:szCs w:val="20"/>
              </w:rPr>
              <w:t>0.248</w:t>
            </w:r>
          </w:p>
        </w:tc>
        <w:tc>
          <w:tcPr>
            <w:tcW w:w="739" w:type="dxa"/>
            <w:vAlign w:val="top"/>
          </w:tcPr>
          <w:p w14:paraId="132CA11B" w14:textId="5325306B" w:rsidR="00A2475C" w:rsidRPr="00CD5260" w:rsidRDefault="00A2475C" w:rsidP="00A2475C">
            <w:pPr>
              <w:pStyle w:val="TableNText"/>
              <w:spacing w:before="0" w:after="0"/>
              <w:rPr>
                <w:color w:val="000000"/>
              </w:rPr>
            </w:pPr>
            <w:r w:rsidRPr="00291828">
              <w:rPr>
                <w:sz w:val="16"/>
                <w:szCs w:val="20"/>
              </w:rPr>
              <w:t>0.329</w:t>
            </w:r>
          </w:p>
        </w:tc>
        <w:tc>
          <w:tcPr>
            <w:tcW w:w="875" w:type="dxa"/>
            <w:vAlign w:val="top"/>
          </w:tcPr>
          <w:p w14:paraId="322D4580" w14:textId="4C4A90FA" w:rsidR="00A2475C" w:rsidRPr="00CD5260" w:rsidRDefault="00A2475C" w:rsidP="00A2475C">
            <w:pPr>
              <w:pStyle w:val="TableNText"/>
              <w:spacing w:before="0" w:after="0"/>
              <w:rPr>
                <w:color w:val="000000"/>
              </w:rPr>
            </w:pPr>
            <w:r w:rsidRPr="00291828">
              <w:rPr>
                <w:sz w:val="16"/>
                <w:szCs w:val="20"/>
              </w:rPr>
              <w:t>0.710</w:t>
            </w:r>
          </w:p>
        </w:tc>
      </w:tr>
    </w:tbl>
    <w:p w14:paraId="0426A7BF" w14:textId="7BC5520A" w:rsidR="00AE1119" w:rsidRPr="00E13B60" w:rsidRDefault="00AE1119" w:rsidP="00AE1119">
      <w:pPr>
        <w:rPr>
          <w:i/>
          <w:sz w:val="16"/>
        </w:rPr>
      </w:pPr>
      <w:r w:rsidRPr="00E13B60">
        <w:rPr>
          <w:i/>
          <w:sz w:val="16"/>
        </w:rPr>
        <w:t>Source: Table 28, National Collection, Australian Bureau of Statistics, 2018</w:t>
      </w:r>
      <w:r>
        <w:rPr>
          <w:i/>
          <w:sz w:val="16"/>
        </w:rPr>
        <w:t xml:space="preserve">; </w:t>
      </w:r>
      <w:r w:rsidRPr="00743E3D">
        <w:rPr>
          <w:sz w:val="16"/>
        </w:rPr>
        <w:t>Australia</w:t>
      </w:r>
      <w:r w:rsidR="00C22239">
        <w:rPr>
          <w:sz w:val="16"/>
        </w:rPr>
        <w:t>n</w:t>
      </w:r>
      <w:r w:rsidRPr="00743E3D">
        <w:rPr>
          <w:sz w:val="16"/>
        </w:rPr>
        <w:t xml:space="preserve"> Government</w:t>
      </w:r>
      <w:r w:rsidRPr="00743E3D">
        <w:rPr>
          <w:i/>
          <w:sz w:val="16"/>
        </w:rPr>
        <w:t xml:space="preserve"> Department of Education administrative data (DR3183), child age calculated as a 1 Jan 201</w:t>
      </w:r>
      <w:r w:rsidR="00A2475C">
        <w:rPr>
          <w:i/>
          <w:sz w:val="16"/>
        </w:rPr>
        <w:t>9</w:t>
      </w:r>
      <w:r w:rsidRPr="00743E3D">
        <w:rPr>
          <w:i/>
          <w:sz w:val="16"/>
        </w:rPr>
        <w:t xml:space="preserve">, estimated entitlement includes </w:t>
      </w:r>
      <w:r w:rsidR="00A2475C">
        <w:rPr>
          <w:i/>
          <w:sz w:val="16"/>
        </w:rPr>
        <w:t>CCS and ACCS</w:t>
      </w:r>
      <w:r w:rsidRPr="00743E3D">
        <w:rPr>
          <w:i/>
          <w:sz w:val="16"/>
        </w:rPr>
        <w:t>.</w:t>
      </w:r>
    </w:p>
    <w:p w14:paraId="59FDF9F7" w14:textId="77777777" w:rsidR="00AE1119" w:rsidRDefault="00AE1119" w:rsidP="00AE1119">
      <w:pPr>
        <w:rPr>
          <w:b/>
        </w:rPr>
      </w:pPr>
      <w:r>
        <w:t xml:space="preserve">Using the adjustment factor, the Review </w:t>
      </w:r>
      <w:r w:rsidRPr="00EC352C">
        <w:rPr>
          <w:rFonts w:asciiTheme="majorHAnsi" w:hAnsiTheme="majorHAnsi" w:cstheme="majorHAnsi"/>
        </w:rPr>
        <w:t xml:space="preserve">estimated the contribution of </w:t>
      </w:r>
      <w:proofErr w:type="gramStart"/>
      <w:r w:rsidRPr="00EC352C">
        <w:rPr>
          <w:rFonts w:asciiTheme="majorHAnsi" w:hAnsiTheme="majorHAnsi" w:cstheme="majorHAnsi"/>
        </w:rPr>
        <w:t>child care</w:t>
      </w:r>
      <w:proofErr w:type="gramEnd"/>
      <w:r w:rsidRPr="00EC352C">
        <w:rPr>
          <w:rFonts w:asciiTheme="majorHAnsi" w:hAnsiTheme="majorHAnsi" w:cstheme="majorHAnsi"/>
        </w:rPr>
        <w:t xml:space="preserve"> subsidies to providers of preschool programs for children in the </w:t>
      </w:r>
      <w:r w:rsidR="00FC42C6">
        <w:rPr>
          <w:rFonts w:asciiTheme="majorHAnsi" w:hAnsiTheme="majorHAnsi" w:cstheme="majorHAnsi"/>
        </w:rPr>
        <w:t xml:space="preserve">state-specific </w:t>
      </w:r>
      <w:r w:rsidRPr="00EC352C">
        <w:rPr>
          <w:rFonts w:asciiTheme="majorHAnsi" w:hAnsiTheme="majorHAnsi" w:cstheme="majorHAnsi"/>
        </w:rPr>
        <w:t>YBFS</w:t>
      </w:r>
      <w:r>
        <w:t xml:space="preserve"> across jurisdictions.</w:t>
      </w:r>
      <w:r>
        <w:rPr>
          <w:b/>
        </w:rPr>
        <w:t xml:space="preserve"> </w:t>
      </w:r>
    </w:p>
    <w:tbl>
      <w:tblPr>
        <w:tblStyle w:val="TableGrid"/>
        <w:tblW w:w="9072" w:type="dxa"/>
        <w:tblLook w:val="04A0" w:firstRow="1" w:lastRow="0" w:firstColumn="1" w:lastColumn="0" w:noHBand="0" w:noVBand="1"/>
      </w:tblPr>
      <w:tblGrid>
        <w:gridCol w:w="2127"/>
        <w:gridCol w:w="850"/>
        <w:gridCol w:w="851"/>
        <w:gridCol w:w="850"/>
        <w:gridCol w:w="709"/>
        <w:gridCol w:w="709"/>
        <w:gridCol w:w="708"/>
        <w:gridCol w:w="709"/>
        <w:gridCol w:w="697"/>
        <w:gridCol w:w="862"/>
      </w:tblGrid>
      <w:tr w:rsidR="00B650D2" w14:paraId="482F7C97" w14:textId="77777777" w:rsidTr="00AE1119">
        <w:trPr>
          <w:cnfStyle w:val="100000000000" w:firstRow="1" w:lastRow="0" w:firstColumn="0" w:lastColumn="0" w:oddVBand="0" w:evenVBand="0" w:oddHBand="0" w:evenHBand="0" w:firstRowFirstColumn="0" w:firstRowLastColumn="0" w:lastRowFirstColumn="0" w:lastRowLastColumn="0"/>
        </w:trPr>
        <w:tc>
          <w:tcPr>
            <w:tcW w:w="2127" w:type="dxa"/>
          </w:tcPr>
          <w:p w14:paraId="7F6B5FAE" w14:textId="1C97CCF6" w:rsidR="00AE1119" w:rsidRDefault="00AE1119" w:rsidP="00AE1119">
            <w:pPr>
              <w:pStyle w:val="TableNheader"/>
              <w:spacing w:before="0" w:after="0"/>
            </w:pPr>
            <w:r>
              <w:t>Source (201</w:t>
            </w:r>
            <w:r w:rsidR="00A2475C">
              <w:t>8</w:t>
            </w:r>
            <w:r>
              <w:t>-1</w:t>
            </w:r>
            <w:r w:rsidR="00A2475C">
              <w:t>9</w:t>
            </w:r>
            <w:r>
              <w:t>)</w:t>
            </w:r>
          </w:p>
        </w:tc>
        <w:tc>
          <w:tcPr>
            <w:tcW w:w="850" w:type="dxa"/>
          </w:tcPr>
          <w:p w14:paraId="55428614"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NSW</w:t>
            </w:r>
          </w:p>
        </w:tc>
        <w:tc>
          <w:tcPr>
            <w:tcW w:w="851" w:type="dxa"/>
          </w:tcPr>
          <w:p w14:paraId="741E8E72"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Vic</w:t>
            </w:r>
          </w:p>
        </w:tc>
        <w:tc>
          <w:tcPr>
            <w:tcW w:w="850" w:type="dxa"/>
          </w:tcPr>
          <w:p w14:paraId="534B9BCE"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Qld</w:t>
            </w:r>
          </w:p>
        </w:tc>
        <w:tc>
          <w:tcPr>
            <w:tcW w:w="709" w:type="dxa"/>
          </w:tcPr>
          <w:p w14:paraId="16A5195C"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SA</w:t>
            </w:r>
          </w:p>
        </w:tc>
        <w:tc>
          <w:tcPr>
            <w:tcW w:w="709" w:type="dxa"/>
          </w:tcPr>
          <w:p w14:paraId="56CAAAFF"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WA</w:t>
            </w:r>
          </w:p>
        </w:tc>
        <w:tc>
          <w:tcPr>
            <w:tcW w:w="708" w:type="dxa"/>
          </w:tcPr>
          <w:p w14:paraId="380EEAE7"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Tas</w:t>
            </w:r>
          </w:p>
        </w:tc>
        <w:tc>
          <w:tcPr>
            <w:tcW w:w="709" w:type="dxa"/>
          </w:tcPr>
          <w:p w14:paraId="2F5679D5"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NT</w:t>
            </w:r>
          </w:p>
        </w:tc>
        <w:tc>
          <w:tcPr>
            <w:tcW w:w="697" w:type="dxa"/>
          </w:tcPr>
          <w:p w14:paraId="238CB905"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ACT</w:t>
            </w:r>
          </w:p>
        </w:tc>
        <w:tc>
          <w:tcPr>
            <w:tcW w:w="862" w:type="dxa"/>
          </w:tcPr>
          <w:p w14:paraId="68A2CA15" w14:textId="77777777" w:rsidR="00AE1119" w:rsidRDefault="00AE1119" w:rsidP="00AE1119">
            <w:pPr>
              <w:pStyle w:val="TableNheader"/>
              <w:spacing w:before="0" w:after="0"/>
              <w:rPr>
                <w:rFonts w:ascii="Calibri" w:hAnsi="Calibri" w:cs="Calibri"/>
                <w:i/>
                <w:iCs/>
                <w:szCs w:val="19"/>
              </w:rPr>
            </w:pPr>
            <w:r>
              <w:rPr>
                <w:rFonts w:ascii="Calibri" w:hAnsi="Calibri" w:cs="Calibri"/>
                <w:i/>
                <w:iCs/>
                <w:szCs w:val="19"/>
              </w:rPr>
              <w:t>Aust</w:t>
            </w:r>
          </w:p>
        </w:tc>
      </w:tr>
      <w:tr w:rsidR="00A2475C" w:rsidRPr="00037787" w14:paraId="79572863" w14:textId="77777777" w:rsidTr="00AE1119">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0CB9B73" w14:textId="77777777" w:rsidR="00A2475C" w:rsidRPr="000657BB" w:rsidRDefault="00A2475C" w:rsidP="00A2475C">
            <w:pPr>
              <w:pStyle w:val="TableNText"/>
              <w:spacing w:before="0" w:after="0"/>
            </w:pPr>
            <w:r>
              <w:t xml:space="preserve">Contribution of child care subsidies before adjustment </w:t>
            </w:r>
            <w:r>
              <w:rPr>
                <w:rFonts w:asciiTheme="minorHAnsi" w:hAnsiTheme="minorHAnsi" w:cstheme="minorHAnsi"/>
              </w:rPr>
              <w:t>($’000)</w:t>
            </w:r>
          </w:p>
        </w:tc>
        <w:tc>
          <w:tcPr>
            <w:tcW w:w="850" w:type="dxa"/>
            <w:vAlign w:val="top"/>
          </w:tcPr>
          <w:p w14:paraId="7E176882" w14:textId="58D0C1F1" w:rsidR="00A2475C" w:rsidRPr="000657BB" w:rsidRDefault="00A2475C" w:rsidP="00A2475C">
            <w:pPr>
              <w:pStyle w:val="TableNText"/>
              <w:spacing w:before="0" w:after="0"/>
            </w:pPr>
            <w:r w:rsidRPr="00291828">
              <w:rPr>
                <w:sz w:val="16"/>
                <w:szCs w:val="16"/>
              </w:rPr>
              <w:t>241447</w:t>
            </w:r>
          </w:p>
        </w:tc>
        <w:tc>
          <w:tcPr>
            <w:tcW w:w="851" w:type="dxa"/>
            <w:vAlign w:val="top"/>
          </w:tcPr>
          <w:p w14:paraId="63114C58" w14:textId="1916BBF6" w:rsidR="00A2475C" w:rsidRPr="000657BB" w:rsidRDefault="00A2475C" w:rsidP="00A2475C">
            <w:pPr>
              <w:pStyle w:val="TableNText"/>
              <w:spacing w:before="0" w:after="0"/>
            </w:pPr>
            <w:r w:rsidRPr="00291828">
              <w:rPr>
                <w:sz w:val="16"/>
                <w:szCs w:val="16"/>
              </w:rPr>
              <w:t>171067</w:t>
            </w:r>
          </w:p>
        </w:tc>
        <w:tc>
          <w:tcPr>
            <w:tcW w:w="850" w:type="dxa"/>
            <w:vAlign w:val="top"/>
          </w:tcPr>
          <w:p w14:paraId="29AAB565" w14:textId="58F4A1F0" w:rsidR="00A2475C" w:rsidRPr="000657BB" w:rsidRDefault="00A2475C" w:rsidP="00A2475C">
            <w:pPr>
              <w:pStyle w:val="TableNText"/>
              <w:spacing w:before="0" w:after="0"/>
            </w:pPr>
            <w:r w:rsidRPr="00291828">
              <w:rPr>
                <w:sz w:val="16"/>
                <w:szCs w:val="16"/>
              </w:rPr>
              <w:t>156913</w:t>
            </w:r>
          </w:p>
        </w:tc>
        <w:tc>
          <w:tcPr>
            <w:tcW w:w="709" w:type="dxa"/>
            <w:vAlign w:val="top"/>
          </w:tcPr>
          <w:p w14:paraId="14FDACF9" w14:textId="50C725C9" w:rsidR="00A2475C" w:rsidRPr="000657BB" w:rsidRDefault="00A2475C" w:rsidP="00A2475C">
            <w:pPr>
              <w:pStyle w:val="TableNText"/>
              <w:spacing w:before="0" w:after="0"/>
            </w:pPr>
            <w:r w:rsidRPr="00291828">
              <w:rPr>
                <w:sz w:val="16"/>
                <w:szCs w:val="16"/>
              </w:rPr>
              <w:t>43533</w:t>
            </w:r>
          </w:p>
        </w:tc>
        <w:tc>
          <w:tcPr>
            <w:tcW w:w="709" w:type="dxa"/>
            <w:vAlign w:val="top"/>
          </w:tcPr>
          <w:p w14:paraId="62E198A8" w14:textId="6AB6B287" w:rsidR="00A2475C" w:rsidRPr="000657BB" w:rsidRDefault="00A2475C" w:rsidP="00A2475C">
            <w:pPr>
              <w:pStyle w:val="TableNText"/>
              <w:spacing w:before="0" w:after="0"/>
            </w:pPr>
            <w:r w:rsidRPr="00291828">
              <w:rPr>
                <w:sz w:val="16"/>
                <w:szCs w:val="16"/>
              </w:rPr>
              <w:t>50678</w:t>
            </w:r>
          </w:p>
        </w:tc>
        <w:tc>
          <w:tcPr>
            <w:tcW w:w="708" w:type="dxa"/>
            <w:vAlign w:val="top"/>
          </w:tcPr>
          <w:p w14:paraId="03AA5AD3" w14:textId="5BEC3FE6" w:rsidR="00A2475C" w:rsidRPr="000657BB" w:rsidRDefault="00A2475C" w:rsidP="00A2475C">
            <w:pPr>
              <w:pStyle w:val="TableNText"/>
              <w:spacing w:before="0" w:after="0"/>
            </w:pPr>
            <w:r w:rsidRPr="00291828">
              <w:rPr>
                <w:sz w:val="16"/>
                <w:szCs w:val="16"/>
              </w:rPr>
              <w:t>11780</w:t>
            </w:r>
          </w:p>
        </w:tc>
        <w:tc>
          <w:tcPr>
            <w:tcW w:w="709" w:type="dxa"/>
            <w:vAlign w:val="top"/>
          </w:tcPr>
          <w:p w14:paraId="396AF272" w14:textId="1C1038CF" w:rsidR="00A2475C" w:rsidRPr="000657BB" w:rsidRDefault="00A2475C" w:rsidP="00A2475C">
            <w:pPr>
              <w:pStyle w:val="TableNText"/>
              <w:spacing w:before="0" w:after="0"/>
            </w:pPr>
            <w:r w:rsidRPr="00291828">
              <w:rPr>
                <w:sz w:val="16"/>
                <w:szCs w:val="16"/>
              </w:rPr>
              <w:t>4672</w:t>
            </w:r>
          </w:p>
        </w:tc>
        <w:tc>
          <w:tcPr>
            <w:tcW w:w="697" w:type="dxa"/>
            <w:vAlign w:val="top"/>
          </w:tcPr>
          <w:p w14:paraId="56E3D62E" w14:textId="45E49B0C" w:rsidR="00A2475C" w:rsidRPr="000657BB" w:rsidRDefault="00A2475C" w:rsidP="00A2475C">
            <w:pPr>
              <w:pStyle w:val="TableNText"/>
              <w:spacing w:before="0" w:after="0"/>
            </w:pPr>
            <w:r w:rsidRPr="00291828">
              <w:rPr>
                <w:sz w:val="16"/>
                <w:szCs w:val="16"/>
              </w:rPr>
              <w:t>15389</w:t>
            </w:r>
          </w:p>
        </w:tc>
        <w:tc>
          <w:tcPr>
            <w:tcW w:w="862" w:type="dxa"/>
            <w:vAlign w:val="top"/>
          </w:tcPr>
          <w:p w14:paraId="7D9C8996" w14:textId="695067AE" w:rsidR="00A2475C" w:rsidRPr="000657BB" w:rsidRDefault="00A2475C" w:rsidP="00A2475C">
            <w:pPr>
              <w:pStyle w:val="TableNText"/>
              <w:spacing w:before="0" w:after="0"/>
            </w:pPr>
            <w:r w:rsidRPr="00291828">
              <w:rPr>
                <w:sz w:val="16"/>
                <w:szCs w:val="16"/>
              </w:rPr>
              <w:t>688299</w:t>
            </w:r>
          </w:p>
        </w:tc>
      </w:tr>
      <w:tr w:rsidR="00A2475C" w:rsidRPr="00037787" w14:paraId="174A60E3" w14:textId="77777777" w:rsidTr="00AE1119">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FB5698F" w14:textId="77777777" w:rsidR="00A2475C" w:rsidRDefault="00A2475C" w:rsidP="00A2475C">
            <w:pPr>
              <w:pStyle w:val="TableNText"/>
              <w:spacing w:before="0" w:after="0"/>
            </w:pPr>
            <w:r>
              <w:t>Adjustment factor</w:t>
            </w:r>
          </w:p>
        </w:tc>
        <w:tc>
          <w:tcPr>
            <w:tcW w:w="850" w:type="dxa"/>
            <w:vAlign w:val="top"/>
          </w:tcPr>
          <w:p w14:paraId="0D9F55B7" w14:textId="252235AC" w:rsidR="00A2475C" w:rsidRPr="00CD5260" w:rsidRDefault="00A2475C" w:rsidP="00A2475C">
            <w:pPr>
              <w:pStyle w:val="TableNText"/>
              <w:spacing w:before="0" w:after="0"/>
              <w:rPr>
                <w:color w:val="000000"/>
              </w:rPr>
            </w:pPr>
            <w:r w:rsidRPr="00291828">
              <w:rPr>
                <w:sz w:val="16"/>
                <w:szCs w:val="16"/>
              </w:rPr>
              <w:t>0.845</w:t>
            </w:r>
          </w:p>
        </w:tc>
        <w:tc>
          <w:tcPr>
            <w:tcW w:w="851" w:type="dxa"/>
            <w:vAlign w:val="top"/>
          </w:tcPr>
          <w:p w14:paraId="34A7FAE3" w14:textId="246E6666" w:rsidR="00A2475C" w:rsidRPr="00CD5260" w:rsidRDefault="00A2475C" w:rsidP="00A2475C">
            <w:pPr>
              <w:pStyle w:val="TableNText"/>
              <w:spacing w:before="0" w:after="0"/>
              <w:rPr>
                <w:color w:val="000000"/>
              </w:rPr>
            </w:pPr>
            <w:r w:rsidRPr="00291828">
              <w:rPr>
                <w:sz w:val="16"/>
                <w:szCs w:val="16"/>
              </w:rPr>
              <w:t>0.702</w:t>
            </w:r>
          </w:p>
        </w:tc>
        <w:tc>
          <w:tcPr>
            <w:tcW w:w="850" w:type="dxa"/>
            <w:vAlign w:val="top"/>
          </w:tcPr>
          <w:p w14:paraId="2B50B327" w14:textId="56A09C2C" w:rsidR="00A2475C" w:rsidRPr="00CD5260" w:rsidRDefault="00A2475C" w:rsidP="00A2475C">
            <w:pPr>
              <w:pStyle w:val="TableNText"/>
              <w:spacing w:before="0" w:after="0"/>
              <w:rPr>
                <w:color w:val="000000"/>
              </w:rPr>
            </w:pPr>
            <w:r w:rsidRPr="00291828">
              <w:rPr>
                <w:sz w:val="16"/>
                <w:szCs w:val="16"/>
              </w:rPr>
              <w:t>0.867</w:t>
            </w:r>
          </w:p>
        </w:tc>
        <w:tc>
          <w:tcPr>
            <w:tcW w:w="709" w:type="dxa"/>
            <w:vAlign w:val="top"/>
          </w:tcPr>
          <w:p w14:paraId="51F5AD18" w14:textId="53708979" w:rsidR="00A2475C" w:rsidRPr="00CD5260" w:rsidRDefault="00A2475C" w:rsidP="00A2475C">
            <w:pPr>
              <w:pStyle w:val="TableNText"/>
              <w:spacing w:before="0" w:after="0"/>
              <w:rPr>
                <w:color w:val="000000"/>
              </w:rPr>
            </w:pPr>
            <w:r w:rsidRPr="00291828">
              <w:rPr>
                <w:sz w:val="16"/>
                <w:szCs w:val="16"/>
              </w:rPr>
              <w:t>0.390</w:t>
            </w:r>
          </w:p>
        </w:tc>
        <w:tc>
          <w:tcPr>
            <w:tcW w:w="709" w:type="dxa"/>
            <w:vAlign w:val="top"/>
          </w:tcPr>
          <w:p w14:paraId="58FE47F6" w14:textId="5F9393BE" w:rsidR="00A2475C" w:rsidRPr="00CD5260" w:rsidRDefault="00A2475C" w:rsidP="00A2475C">
            <w:pPr>
              <w:pStyle w:val="TableNText"/>
              <w:spacing w:before="0" w:after="0"/>
              <w:rPr>
                <w:color w:val="000000"/>
              </w:rPr>
            </w:pPr>
            <w:r w:rsidRPr="00291828">
              <w:rPr>
                <w:sz w:val="16"/>
                <w:szCs w:val="16"/>
              </w:rPr>
              <w:t>0.050</w:t>
            </w:r>
          </w:p>
        </w:tc>
        <w:tc>
          <w:tcPr>
            <w:tcW w:w="708" w:type="dxa"/>
            <w:vAlign w:val="top"/>
          </w:tcPr>
          <w:p w14:paraId="2E1B84D5" w14:textId="4A9938BA" w:rsidR="00A2475C" w:rsidRPr="00CD5260" w:rsidRDefault="00A2475C" w:rsidP="00A2475C">
            <w:pPr>
              <w:pStyle w:val="TableNText"/>
              <w:spacing w:before="0" w:after="0"/>
              <w:rPr>
                <w:color w:val="000000"/>
              </w:rPr>
            </w:pPr>
            <w:r w:rsidRPr="00291828">
              <w:rPr>
                <w:sz w:val="16"/>
                <w:szCs w:val="16"/>
              </w:rPr>
              <w:t>0.074</w:t>
            </w:r>
          </w:p>
        </w:tc>
        <w:tc>
          <w:tcPr>
            <w:tcW w:w="709" w:type="dxa"/>
            <w:vAlign w:val="top"/>
          </w:tcPr>
          <w:p w14:paraId="70C39866" w14:textId="7E72AA42" w:rsidR="00A2475C" w:rsidRPr="00CD5260" w:rsidRDefault="00A2475C" w:rsidP="00A2475C">
            <w:pPr>
              <w:pStyle w:val="TableNText"/>
              <w:spacing w:before="0" w:after="0"/>
              <w:rPr>
                <w:color w:val="000000"/>
              </w:rPr>
            </w:pPr>
            <w:r w:rsidRPr="00291828">
              <w:rPr>
                <w:sz w:val="16"/>
                <w:szCs w:val="16"/>
              </w:rPr>
              <w:t>0.248</w:t>
            </w:r>
          </w:p>
        </w:tc>
        <w:tc>
          <w:tcPr>
            <w:tcW w:w="697" w:type="dxa"/>
            <w:vAlign w:val="top"/>
          </w:tcPr>
          <w:p w14:paraId="1ABA63AA" w14:textId="1F2A746C" w:rsidR="00A2475C" w:rsidRPr="00CD5260" w:rsidRDefault="00A2475C" w:rsidP="00A2475C">
            <w:pPr>
              <w:pStyle w:val="TableNText"/>
              <w:spacing w:before="0" w:after="0"/>
              <w:rPr>
                <w:color w:val="000000"/>
              </w:rPr>
            </w:pPr>
            <w:r w:rsidRPr="00291828">
              <w:rPr>
                <w:sz w:val="16"/>
                <w:szCs w:val="16"/>
              </w:rPr>
              <w:t>0.329</w:t>
            </w:r>
          </w:p>
        </w:tc>
        <w:tc>
          <w:tcPr>
            <w:tcW w:w="862" w:type="dxa"/>
            <w:vAlign w:val="top"/>
          </w:tcPr>
          <w:p w14:paraId="7B8E25BB" w14:textId="1F0DAD89" w:rsidR="00A2475C" w:rsidRPr="00CD5260" w:rsidRDefault="00A2475C" w:rsidP="00A2475C">
            <w:pPr>
              <w:pStyle w:val="TableNText"/>
              <w:spacing w:before="0" w:after="0"/>
              <w:rPr>
                <w:color w:val="000000"/>
              </w:rPr>
            </w:pPr>
            <w:r w:rsidRPr="00291828">
              <w:rPr>
                <w:sz w:val="16"/>
                <w:szCs w:val="16"/>
              </w:rPr>
              <w:t>0.710</w:t>
            </w:r>
          </w:p>
        </w:tc>
      </w:tr>
      <w:tr w:rsidR="00A2475C" w:rsidRPr="00037787" w14:paraId="54C38BA0" w14:textId="77777777" w:rsidTr="00AE1119">
        <w:trPr>
          <w:cnfStyle w:val="000000100000" w:firstRow="0" w:lastRow="0" w:firstColumn="0" w:lastColumn="0" w:oddVBand="0" w:evenVBand="0" w:oddHBand="1" w:evenHBand="0" w:firstRowFirstColumn="0" w:firstRowLastColumn="0" w:lastRowFirstColumn="0" w:lastRowLastColumn="0"/>
        </w:trPr>
        <w:tc>
          <w:tcPr>
            <w:tcW w:w="2127" w:type="dxa"/>
            <w:vAlign w:val="bottom"/>
          </w:tcPr>
          <w:p w14:paraId="1B7391F3" w14:textId="77777777" w:rsidR="00A2475C" w:rsidRPr="000A4080" w:rsidRDefault="00A2475C" w:rsidP="00A2475C">
            <w:pPr>
              <w:pStyle w:val="Tableexpheader"/>
              <w:spacing w:before="0" w:after="0"/>
            </w:pPr>
            <w:r w:rsidRPr="00DC078B">
              <w:rPr>
                <w:rFonts w:asciiTheme="majorHAnsi" w:hAnsiTheme="majorHAnsi" w:cstheme="majorHAnsi"/>
              </w:rPr>
              <w:t>Category 3</w:t>
            </w:r>
            <w:r>
              <w:rPr>
                <w:rFonts w:asciiTheme="majorHAnsi" w:hAnsiTheme="majorHAnsi" w:cstheme="majorHAnsi"/>
              </w:rPr>
              <w:t xml:space="preserve">: </w:t>
            </w:r>
            <w:r>
              <w:t>Contribution of child care subsidies (after</w:t>
            </w:r>
            <w:r w:rsidRPr="000A4080">
              <w:t xml:space="preserve"> adjustment</w:t>
            </w:r>
            <w:r>
              <w:t xml:space="preserve">, </w:t>
            </w:r>
            <w:r w:rsidRPr="000A4080">
              <w:t>$</w:t>
            </w:r>
            <w:r>
              <w:t>’</w:t>
            </w:r>
            <w:r w:rsidRPr="000A4080">
              <w:t>000)</w:t>
            </w:r>
          </w:p>
        </w:tc>
        <w:tc>
          <w:tcPr>
            <w:tcW w:w="850" w:type="dxa"/>
            <w:vAlign w:val="top"/>
          </w:tcPr>
          <w:p w14:paraId="3BB2D492" w14:textId="73DED55B"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217 422</w:t>
            </w:r>
          </w:p>
        </w:tc>
        <w:tc>
          <w:tcPr>
            <w:tcW w:w="851" w:type="dxa"/>
            <w:vAlign w:val="top"/>
          </w:tcPr>
          <w:p w14:paraId="5691AED8" w14:textId="4E7763BE"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126 823</w:t>
            </w:r>
          </w:p>
        </w:tc>
        <w:tc>
          <w:tcPr>
            <w:tcW w:w="850" w:type="dxa"/>
            <w:vAlign w:val="top"/>
          </w:tcPr>
          <w:p w14:paraId="2DED6B16" w14:textId="3B0D73FB"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139 123</w:t>
            </w:r>
          </w:p>
        </w:tc>
        <w:tc>
          <w:tcPr>
            <w:tcW w:w="709" w:type="dxa"/>
            <w:vAlign w:val="top"/>
          </w:tcPr>
          <w:p w14:paraId="083203F0" w14:textId="103038A0"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17 725</w:t>
            </w:r>
          </w:p>
        </w:tc>
        <w:tc>
          <w:tcPr>
            <w:tcW w:w="709" w:type="dxa"/>
            <w:vAlign w:val="top"/>
          </w:tcPr>
          <w:p w14:paraId="01CDB29B" w14:textId="01A347C0"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2 666</w:t>
            </w:r>
          </w:p>
        </w:tc>
        <w:tc>
          <w:tcPr>
            <w:tcW w:w="708" w:type="dxa"/>
            <w:vAlign w:val="top"/>
          </w:tcPr>
          <w:p w14:paraId="4B49A26C" w14:textId="069EBE9B"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921</w:t>
            </w:r>
          </w:p>
        </w:tc>
        <w:tc>
          <w:tcPr>
            <w:tcW w:w="709" w:type="dxa"/>
            <w:vAlign w:val="top"/>
          </w:tcPr>
          <w:p w14:paraId="62E8F954" w14:textId="685CD6D8"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1 192</w:t>
            </w:r>
          </w:p>
        </w:tc>
        <w:tc>
          <w:tcPr>
            <w:tcW w:w="697" w:type="dxa"/>
            <w:vAlign w:val="top"/>
          </w:tcPr>
          <w:p w14:paraId="1EB1F22B" w14:textId="57A0B062"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5 404</w:t>
            </w:r>
          </w:p>
        </w:tc>
        <w:tc>
          <w:tcPr>
            <w:tcW w:w="862" w:type="dxa"/>
            <w:vAlign w:val="top"/>
          </w:tcPr>
          <w:p w14:paraId="2BA42F9E" w14:textId="4DBC059D" w:rsidR="00A2475C" w:rsidRPr="00030139" w:rsidRDefault="00A2475C" w:rsidP="00A2475C">
            <w:pPr>
              <w:pStyle w:val="Tableexpheader"/>
              <w:spacing w:before="0" w:after="0"/>
              <w:rPr>
                <w:rFonts w:ascii="Segoe UI" w:hAnsi="Segoe UI"/>
                <w:sz w:val="16"/>
                <w:szCs w:val="20"/>
              </w:rPr>
            </w:pPr>
            <w:r w:rsidRPr="00030139">
              <w:rPr>
                <w:rFonts w:ascii="Segoe UI" w:hAnsi="Segoe UI"/>
                <w:sz w:val="16"/>
                <w:szCs w:val="20"/>
              </w:rPr>
              <w:t xml:space="preserve"> 512 298</w:t>
            </w:r>
          </w:p>
        </w:tc>
      </w:tr>
    </w:tbl>
    <w:p w14:paraId="6CD0610C" w14:textId="77777777" w:rsidR="00AE1119" w:rsidRPr="00743E3D" w:rsidRDefault="00AE1119" w:rsidP="00AE1119">
      <w:pPr>
        <w:pStyle w:val="Heading4"/>
      </w:pPr>
      <w:r>
        <w:t>Category 4: Estimating out</w:t>
      </w:r>
      <w:r w:rsidRPr="00D972B0">
        <w:t xml:space="preserve"> of pocket costs </w:t>
      </w:r>
    </w:p>
    <w:p w14:paraId="11280718" w14:textId="77777777" w:rsidR="00AE1119" w:rsidRDefault="00AE1119" w:rsidP="00AE1119">
      <w:r>
        <w:t xml:space="preserve">The National Collection </w:t>
      </w:r>
      <w:r w:rsidRPr="00EC352C">
        <w:rPr>
          <w:rFonts w:asciiTheme="majorHAnsi" w:hAnsiTheme="majorHAnsi" w:cstheme="majorHAnsi"/>
        </w:rPr>
        <w:t>reports out of pocket costs for preschool</w:t>
      </w:r>
      <w:r>
        <w:t xml:space="preserve"> (that is, costs incurred by parents after the application of subsidies). The Review used </w:t>
      </w:r>
      <w:r w:rsidRPr="00E92DCE">
        <w:t xml:space="preserve">2018 data </w:t>
      </w:r>
      <w:r>
        <w:t>on out of pocket costs in</w:t>
      </w:r>
      <w:r w:rsidRPr="00E92DCE">
        <w:t xml:space="preserve"> </w:t>
      </w:r>
      <w:r>
        <w:t xml:space="preserve">the </w:t>
      </w:r>
      <w:proofErr w:type="gramStart"/>
      <w:r w:rsidRPr="00E92DCE">
        <w:t>state</w:t>
      </w:r>
      <w:r>
        <w:t>-</w:t>
      </w:r>
      <w:r w:rsidRPr="00E92DCE">
        <w:t>specific</w:t>
      </w:r>
      <w:proofErr w:type="gramEnd"/>
      <w:r w:rsidRPr="00E92DCE">
        <w:t xml:space="preserve"> YBFS</w:t>
      </w:r>
      <w:r>
        <w:t xml:space="preserve">. </w:t>
      </w:r>
      <w:r w:rsidRPr="00E92DCE">
        <w:t xml:space="preserve">Out of pocket costs were calculated by multiplying the </w:t>
      </w:r>
      <w:r>
        <w:t>c</w:t>
      </w:r>
      <w:r w:rsidRPr="00E92DCE">
        <w:t xml:space="preserve">hild's weekly fees by the </w:t>
      </w:r>
      <w:r>
        <w:t>p</w:t>
      </w:r>
      <w:r w:rsidRPr="00E92DCE">
        <w:t xml:space="preserve">rovider's weeks of operation. This was calculated </w:t>
      </w:r>
      <w:r>
        <w:t>by provider</w:t>
      </w:r>
      <w:r w:rsidRPr="00E92DCE">
        <w:t xml:space="preserve"> and then totalled for each child.</w:t>
      </w:r>
      <w:r>
        <w:t xml:space="preserve"> </w:t>
      </w:r>
    </w:p>
    <w:tbl>
      <w:tblPr>
        <w:tblStyle w:val="TableGrid"/>
        <w:tblW w:w="0" w:type="auto"/>
        <w:tblLook w:val="04A0" w:firstRow="1" w:lastRow="0" w:firstColumn="1" w:lastColumn="0" w:noHBand="0" w:noVBand="1"/>
      </w:tblPr>
      <w:tblGrid>
        <w:gridCol w:w="2029"/>
        <w:gridCol w:w="835"/>
        <w:gridCol w:w="833"/>
        <w:gridCol w:w="832"/>
        <w:gridCol w:w="697"/>
        <w:gridCol w:w="697"/>
        <w:gridCol w:w="697"/>
        <w:gridCol w:w="696"/>
        <w:gridCol w:w="751"/>
        <w:gridCol w:w="863"/>
      </w:tblGrid>
      <w:tr w:rsidR="00B650D2" w14:paraId="5B998A71" w14:textId="77777777" w:rsidTr="00AE1119">
        <w:trPr>
          <w:cnfStyle w:val="100000000000" w:firstRow="1" w:lastRow="0" w:firstColumn="0" w:lastColumn="0" w:oddVBand="0" w:evenVBand="0" w:oddHBand="0" w:evenHBand="0" w:firstRowFirstColumn="0" w:firstRowLastColumn="0" w:lastRowFirstColumn="0" w:lastRowLastColumn="0"/>
        </w:trPr>
        <w:tc>
          <w:tcPr>
            <w:tcW w:w="2029" w:type="dxa"/>
          </w:tcPr>
          <w:p w14:paraId="47A4CF67" w14:textId="77777777" w:rsidR="00AE1119" w:rsidRPr="00812B01" w:rsidRDefault="00AE1119" w:rsidP="00AE1119">
            <w:pPr>
              <w:pStyle w:val="TableNheader"/>
              <w:spacing w:before="0" w:after="0"/>
            </w:pPr>
            <w:r>
              <w:t>Provider type</w:t>
            </w:r>
          </w:p>
        </w:tc>
        <w:tc>
          <w:tcPr>
            <w:tcW w:w="835" w:type="dxa"/>
          </w:tcPr>
          <w:p w14:paraId="18B5784A" w14:textId="77777777" w:rsidR="00AE1119" w:rsidRPr="00812B01" w:rsidRDefault="00AE1119" w:rsidP="00AE1119">
            <w:pPr>
              <w:pStyle w:val="TableNheader"/>
              <w:spacing w:before="0" w:after="0"/>
            </w:pPr>
            <w:r w:rsidRPr="00812B01">
              <w:t>NSW</w:t>
            </w:r>
          </w:p>
        </w:tc>
        <w:tc>
          <w:tcPr>
            <w:tcW w:w="833" w:type="dxa"/>
          </w:tcPr>
          <w:p w14:paraId="04D46882" w14:textId="77777777" w:rsidR="00AE1119" w:rsidRPr="00812B01" w:rsidRDefault="00AE1119" w:rsidP="00AE1119">
            <w:pPr>
              <w:pStyle w:val="TableNheader"/>
              <w:spacing w:before="0" w:after="0"/>
            </w:pPr>
            <w:r w:rsidRPr="00812B01">
              <w:t>Vic</w:t>
            </w:r>
          </w:p>
        </w:tc>
        <w:tc>
          <w:tcPr>
            <w:tcW w:w="832" w:type="dxa"/>
          </w:tcPr>
          <w:p w14:paraId="63B9EA7D" w14:textId="77777777" w:rsidR="00AE1119" w:rsidRPr="00812B01" w:rsidRDefault="00AE1119" w:rsidP="00AE1119">
            <w:pPr>
              <w:pStyle w:val="TableNheader"/>
              <w:spacing w:before="0" w:after="0"/>
            </w:pPr>
            <w:r w:rsidRPr="00812B01">
              <w:t>Qld</w:t>
            </w:r>
          </w:p>
        </w:tc>
        <w:tc>
          <w:tcPr>
            <w:tcW w:w="697" w:type="dxa"/>
          </w:tcPr>
          <w:p w14:paraId="6E659E24" w14:textId="77777777" w:rsidR="00AE1119" w:rsidRPr="00812B01" w:rsidRDefault="00AE1119" w:rsidP="00AE1119">
            <w:pPr>
              <w:pStyle w:val="TableNheader"/>
              <w:spacing w:before="0" w:after="0"/>
            </w:pPr>
            <w:r w:rsidRPr="00812B01">
              <w:t>SA</w:t>
            </w:r>
          </w:p>
        </w:tc>
        <w:tc>
          <w:tcPr>
            <w:tcW w:w="697" w:type="dxa"/>
          </w:tcPr>
          <w:p w14:paraId="4B70B806" w14:textId="77777777" w:rsidR="00AE1119" w:rsidRPr="00812B01" w:rsidRDefault="00AE1119" w:rsidP="00AE1119">
            <w:pPr>
              <w:pStyle w:val="TableNheader"/>
              <w:spacing w:before="0" w:after="0"/>
            </w:pPr>
            <w:r w:rsidRPr="00812B01">
              <w:t>WA</w:t>
            </w:r>
          </w:p>
        </w:tc>
        <w:tc>
          <w:tcPr>
            <w:tcW w:w="697" w:type="dxa"/>
          </w:tcPr>
          <w:p w14:paraId="3E509C37" w14:textId="77777777" w:rsidR="00AE1119" w:rsidRPr="00812B01" w:rsidRDefault="00AE1119" w:rsidP="00AE1119">
            <w:pPr>
              <w:pStyle w:val="TableNheader"/>
              <w:spacing w:before="0" w:after="0"/>
            </w:pPr>
            <w:r w:rsidRPr="00812B01">
              <w:t>Tas</w:t>
            </w:r>
          </w:p>
        </w:tc>
        <w:tc>
          <w:tcPr>
            <w:tcW w:w="696" w:type="dxa"/>
          </w:tcPr>
          <w:p w14:paraId="3585C23F" w14:textId="77777777" w:rsidR="00AE1119" w:rsidRPr="00812B01" w:rsidRDefault="00AE1119" w:rsidP="00AE1119">
            <w:pPr>
              <w:pStyle w:val="TableNheader"/>
              <w:spacing w:before="0" w:after="0"/>
            </w:pPr>
            <w:r w:rsidRPr="00812B01">
              <w:t>NT</w:t>
            </w:r>
          </w:p>
        </w:tc>
        <w:tc>
          <w:tcPr>
            <w:tcW w:w="751" w:type="dxa"/>
          </w:tcPr>
          <w:p w14:paraId="6779C3AD" w14:textId="77777777" w:rsidR="00AE1119" w:rsidRPr="00812B01" w:rsidRDefault="00AE1119" w:rsidP="00AE1119">
            <w:pPr>
              <w:pStyle w:val="TableNheader"/>
              <w:spacing w:before="0" w:after="0"/>
            </w:pPr>
            <w:r w:rsidRPr="00812B01">
              <w:t>ACT</w:t>
            </w:r>
          </w:p>
        </w:tc>
        <w:tc>
          <w:tcPr>
            <w:tcW w:w="863" w:type="dxa"/>
          </w:tcPr>
          <w:p w14:paraId="4554A70D" w14:textId="77777777" w:rsidR="00AE1119" w:rsidRPr="00812B01" w:rsidRDefault="00AE1119" w:rsidP="00AE1119">
            <w:pPr>
              <w:pStyle w:val="TableNheader"/>
              <w:spacing w:before="0" w:after="0"/>
            </w:pPr>
            <w:r w:rsidRPr="00812B01">
              <w:t>Aust</w:t>
            </w:r>
          </w:p>
        </w:tc>
      </w:tr>
      <w:tr w:rsidR="00AE1119" w:rsidRPr="00037787" w14:paraId="7BEBC57C" w14:textId="77777777" w:rsidTr="00AE1119">
        <w:trPr>
          <w:cnfStyle w:val="000000100000" w:firstRow="0" w:lastRow="0" w:firstColumn="0" w:lastColumn="0" w:oddVBand="0" w:evenVBand="0" w:oddHBand="1" w:evenHBand="0" w:firstRowFirstColumn="0" w:firstRowLastColumn="0" w:lastRowFirstColumn="0" w:lastRowLastColumn="0"/>
        </w:trPr>
        <w:tc>
          <w:tcPr>
            <w:tcW w:w="2029" w:type="dxa"/>
            <w:vAlign w:val="top"/>
          </w:tcPr>
          <w:p w14:paraId="2C610065" w14:textId="77777777" w:rsidR="00AE1119" w:rsidRPr="003D787B" w:rsidRDefault="00AE1119" w:rsidP="00AE1119">
            <w:pPr>
              <w:pStyle w:val="TableExpText"/>
              <w:spacing w:after="0"/>
            </w:pPr>
            <w:r w:rsidRPr="003D787B">
              <w:t>Preschool (standalone and school based) ($000)</w:t>
            </w:r>
          </w:p>
        </w:tc>
        <w:tc>
          <w:tcPr>
            <w:tcW w:w="835" w:type="dxa"/>
            <w:vAlign w:val="top"/>
          </w:tcPr>
          <w:p w14:paraId="2058F963" w14:textId="77777777" w:rsidR="00AE1119" w:rsidRPr="00812B01" w:rsidRDefault="00AE1119" w:rsidP="00AE1119">
            <w:pPr>
              <w:pStyle w:val="TableNText"/>
              <w:spacing w:before="0" w:after="0"/>
            </w:pPr>
            <w:r w:rsidRPr="00812B01">
              <w:t xml:space="preserve"> 80</w:t>
            </w:r>
            <w:r>
              <w:t xml:space="preserve"> </w:t>
            </w:r>
            <w:r w:rsidRPr="00812B01">
              <w:t xml:space="preserve">007 </w:t>
            </w:r>
          </w:p>
        </w:tc>
        <w:tc>
          <w:tcPr>
            <w:tcW w:w="833" w:type="dxa"/>
            <w:vAlign w:val="top"/>
          </w:tcPr>
          <w:p w14:paraId="10640483" w14:textId="77777777" w:rsidR="00AE1119" w:rsidRPr="00812B01" w:rsidRDefault="00AE1119" w:rsidP="00AE1119">
            <w:pPr>
              <w:pStyle w:val="TableNText"/>
              <w:spacing w:before="0" w:after="0"/>
            </w:pPr>
            <w:r w:rsidRPr="00812B01">
              <w:t xml:space="preserve"> 74</w:t>
            </w:r>
            <w:r>
              <w:t xml:space="preserve"> </w:t>
            </w:r>
            <w:r w:rsidRPr="00812B01">
              <w:t xml:space="preserve">094 </w:t>
            </w:r>
          </w:p>
        </w:tc>
        <w:tc>
          <w:tcPr>
            <w:tcW w:w="832" w:type="dxa"/>
            <w:vAlign w:val="top"/>
          </w:tcPr>
          <w:p w14:paraId="680DDC3F" w14:textId="77777777" w:rsidR="00AE1119" w:rsidRPr="00812B01" w:rsidRDefault="00AE1119" w:rsidP="00AE1119">
            <w:pPr>
              <w:pStyle w:val="TableNText"/>
              <w:spacing w:before="0" w:after="0"/>
            </w:pPr>
            <w:r w:rsidRPr="00812B01">
              <w:t xml:space="preserve"> 37</w:t>
            </w:r>
            <w:r>
              <w:t xml:space="preserve"> </w:t>
            </w:r>
            <w:r w:rsidRPr="00812B01">
              <w:t xml:space="preserve">721 </w:t>
            </w:r>
          </w:p>
        </w:tc>
        <w:tc>
          <w:tcPr>
            <w:tcW w:w="697" w:type="dxa"/>
            <w:vAlign w:val="top"/>
          </w:tcPr>
          <w:p w14:paraId="76C741BD" w14:textId="77777777" w:rsidR="00AE1119" w:rsidRPr="00812B01" w:rsidRDefault="00AE1119" w:rsidP="00AE1119">
            <w:pPr>
              <w:pStyle w:val="TableNText"/>
              <w:spacing w:before="0" w:after="0"/>
            </w:pPr>
            <w:r w:rsidRPr="00812B01">
              <w:t xml:space="preserve"> 2</w:t>
            </w:r>
            <w:r>
              <w:t xml:space="preserve"> </w:t>
            </w:r>
            <w:r w:rsidRPr="00812B01">
              <w:t xml:space="preserve">448 </w:t>
            </w:r>
          </w:p>
        </w:tc>
        <w:tc>
          <w:tcPr>
            <w:tcW w:w="697" w:type="dxa"/>
            <w:vAlign w:val="top"/>
          </w:tcPr>
          <w:p w14:paraId="5531DC3B" w14:textId="77777777" w:rsidR="00AE1119" w:rsidRPr="00812B01" w:rsidRDefault="00AE1119" w:rsidP="00AE1119">
            <w:pPr>
              <w:pStyle w:val="TableNText"/>
              <w:spacing w:before="0" w:after="0"/>
            </w:pPr>
            <w:r w:rsidRPr="00812B01">
              <w:t>20</w:t>
            </w:r>
            <w:r>
              <w:t xml:space="preserve"> </w:t>
            </w:r>
            <w:r w:rsidRPr="00812B01">
              <w:t xml:space="preserve">855 </w:t>
            </w:r>
          </w:p>
        </w:tc>
        <w:tc>
          <w:tcPr>
            <w:tcW w:w="697" w:type="dxa"/>
            <w:vAlign w:val="top"/>
          </w:tcPr>
          <w:p w14:paraId="74DAA4EA" w14:textId="77777777" w:rsidR="00AE1119" w:rsidRPr="00812B01" w:rsidRDefault="00AE1119" w:rsidP="00AE1119">
            <w:pPr>
              <w:pStyle w:val="TableNText"/>
              <w:spacing w:before="0" w:after="0"/>
            </w:pPr>
            <w:r w:rsidRPr="00812B01">
              <w:t xml:space="preserve"> 2</w:t>
            </w:r>
            <w:r>
              <w:t xml:space="preserve"> </w:t>
            </w:r>
            <w:r w:rsidRPr="00812B01">
              <w:t xml:space="preserve">207 </w:t>
            </w:r>
          </w:p>
        </w:tc>
        <w:tc>
          <w:tcPr>
            <w:tcW w:w="696" w:type="dxa"/>
            <w:vAlign w:val="top"/>
          </w:tcPr>
          <w:p w14:paraId="02F58AEA" w14:textId="77777777" w:rsidR="00AE1119" w:rsidRPr="00812B01" w:rsidRDefault="00AE1119" w:rsidP="00AE1119">
            <w:pPr>
              <w:pStyle w:val="TableNText"/>
              <w:spacing w:before="0" w:after="0"/>
            </w:pPr>
            <w:r w:rsidRPr="00812B01">
              <w:t xml:space="preserve"> - </w:t>
            </w:r>
          </w:p>
        </w:tc>
        <w:tc>
          <w:tcPr>
            <w:tcW w:w="751" w:type="dxa"/>
            <w:vAlign w:val="top"/>
          </w:tcPr>
          <w:p w14:paraId="20DEE7AF" w14:textId="77777777" w:rsidR="00AE1119" w:rsidRPr="00812B01" w:rsidRDefault="00AE1119" w:rsidP="00AE1119">
            <w:pPr>
              <w:pStyle w:val="TableNText"/>
              <w:spacing w:before="0" w:after="0"/>
            </w:pPr>
            <w:r w:rsidRPr="00812B01">
              <w:t xml:space="preserve"> 1</w:t>
            </w:r>
            <w:r>
              <w:t xml:space="preserve"> </w:t>
            </w:r>
            <w:r w:rsidRPr="00812B01">
              <w:t xml:space="preserve">724 </w:t>
            </w:r>
          </w:p>
        </w:tc>
        <w:tc>
          <w:tcPr>
            <w:tcW w:w="863" w:type="dxa"/>
            <w:vAlign w:val="top"/>
          </w:tcPr>
          <w:p w14:paraId="226AF2A7" w14:textId="77777777" w:rsidR="00AE1119" w:rsidRPr="00812B01" w:rsidRDefault="00AE1119" w:rsidP="00AE1119">
            <w:pPr>
              <w:pStyle w:val="TableNText"/>
              <w:spacing w:before="0" w:after="0"/>
            </w:pPr>
            <w:r w:rsidRPr="00812B01">
              <w:t xml:space="preserve"> 219</w:t>
            </w:r>
            <w:r>
              <w:t xml:space="preserve"> </w:t>
            </w:r>
            <w:r w:rsidRPr="00812B01">
              <w:t xml:space="preserve">055 </w:t>
            </w:r>
          </w:p>
        </w:tc>
      </w:tr>
      <w:tr w:rsidR="00AE1119" w:rsidRPr="00037787" w14:paraId="38F19393" w14:textId="77777777" w:rsidTr="00AE1119">
        <w:trPr>
          <w:cnfStyle w:val="000000010000" w:firstRow="0" w:lastRow="0" w:firstColumn="0" w:lastColumn="0" w:oddVBand="0" w:evenVBand="0" w:oddHBand="0" w:evenHBand="1" w:firstRowFirstColumn="0" w:firstRowLastColumn="0" w:lastRowFirstColumn="0" w:lastRowLastColumn="0"/>
        </w:trPr>
        <w:tc>
          <w:tcPr>
            <w:tcW w:w="2029" w:type="dxa"/>
            <w:vAlign w:val="top"/>
          </w:tcPr>
          <w:p w14:paraId="1F041791" w14:textId="77777777" w:rsidR="00AE1119" w:rsidRPr="003D787B" w:rsidRDefault="00AE1119" w:rsidP="00AE1119">
            <w:pPr>
              <w:pStyle w:val="TableExpText"/>
              <w:spacing w:after="0"/>
            </w:pPr>
            <w:r w:rsidRPr="003D787B">
              <w:t>More than one provider ($000</w:t>
            </w:r>
            <w:r w:rsidRPr="00EC352C">
              <w:rPr>
                <w:i/>
              </w:rPr>
              <w:t>) Further explained below</w:t>
            </w:r>
          </w:p>
        </w:tc>
        <w:tc>
          <w:tcPr>
            <w:tcW w:w="835" w:type="dxa"/>
            <w:vAlign w:val="top"/>
          </w:tcPr>
          <w:p w14:paraId="7B08D057" w14:textId="77777777" w:rsidR="00AE1119" w:rsidRPr="00812B01" w:rsidRDefault="00AE1119" w:rsidP="00AE1119">
            <w:pPr>
              <w:pStyle w:val="TableNText"/>
              <w:spacing w:before="0" w:after="0"/>
            </w:pPr>
            <w:r w:rsidRPr="00812B01">
              <w:t xml:space="preserve"> 37</w:t>
            </w:r>
            <w:r>
              <w:t xml:space="preserve"> </w:t>
            </w:r>
            <w:r w:rsidRPr="00812B01">
              <w:t xml:space="preserve">993 </w:t>
            </w:r>
          </w:p>
        </w:tc>
        <w:tc>
          <w:tcPr>
            <w:tcW w:w="833" w:type="dxa"/>
            <w:vAlign w:val="top"/>
          </w:tcPr>
          <w:p w14:paraId="1C2DA26D" w14:textId="77777777" w:rsidR="00AE1119" w:rsidRPr="00812B01" w:rsidRDefault="00AE1119" w:rsidP="00AE1119">
            <w:pPr>
              <w:pStyle w:val="TableNText"/>
              <w:spacing w:before="0" w:after="0"/>
            </w:pPr>
            <w:r w:rsidRPr="00812B01">
              <w:t xml:space="preserve"> 39</w:t>
            </w:r>
            <w:r>
              <w:t xml:space="preserve"> </w:t>
            </w:r>
            <w:r w:rsidRPr="00812B01">
              <w:t xml:space="preserve">767 </w:t>
            </w:r>
          </w:p>
        </w:tc>
        <w:tc>
          <w:tcPr>
            <w:tcW w:w="832" w:type="dxa"/>
            <w:vAlign w:val="top"/>
          </w:tcPr>
          <w:p w14:paraId="1DBCFD27" w14:textId="77777777" w:rsidR="00AE1119" w:rsidRPr="00812B01" w:rsidRDefault="00AE1119" w:rsidP="00AE1119">
            <w:pPr>
              <w:pStyle w:val="TableNText"/>
              <w:spacing w:before="0" w:after="0"/>
            </w:pPr>
            <w:r w:rsidRPr="00812B01">
              <w:t xml:space="preserve"> 10</w:t>
            </w:r>
            <w:r>
              <w:t xml:space="preserve"> </w:t>
            </w:r>
            <w:r w:rsidRPr="00812B01">
              <w:t xml:space="preserve">809 </w:t>
            </w:r>
          </w:p>
        </w:tc>
        <w:tc>
          <w:tcPr>
            <w:tcW w:w="697" w:type="dxa"/>
            <w:vAlign w:val="top"/>
          </w:tcPr>
          <w:p w14:paraId="76487491" w14:textId="77777777" w:rsidR="00AE1119" w:rsidRPr="00812B01" w:rsidRDefault="00AE1119" w:rsidP="00AE1119">
            <w:pPr>
              <w:pStyle w:val="TableNText"/>
              <w:spacing w:before="0" w:after="0"/>
            </w:pPr>
            <w:r w:rsidRPr="00812B01">
              <w:t>13</w:t>
            </w:r>
            <w:r>
              <w:t xml:space="preserve"> </w:t>
            </w:r>
            <w:r w:rsidRPr="00812B01">
              <w:t xml:space="preserve">771 </w:t>
            </w:r>
          </w:p>
        </w:tc>
        <w:tc>
          <w:tcPr>
            <w:tcW w:w="697" w:type="dxa"/>
            <w:vAlign w:val="top"/>
          </w:tcPr>
          <w:p w14:paraId="54ACCFBE" w14:textId="77777777" w:rsidR="00AE1119" w:rsidRPr="00812B01" w:rsidRDefault="00AE1119" w:rsidP="00AE1119">
            <w:pPr>
              <w:pStyle w:val="TableNText"/>
              <w:spacing w:before="0" w:after="0"/>
            </w:pPr>
            <w:r w:rsidRPr="00812B01">
              <w:t>24</w:t>
            </w:r>
            <w:r>
              <w:t xml:space="preserve"> </w:t>
            </w:r>
            <w:r w:rsidRPr="00812B01">
              <w:t xml:space="preserve">607 </w:t>
            </w:r>
          </w:p>
        </w:tc>
        <w:tc>
          <w:tcPr>
            <w:tcW w:w="697" w:type="dxa"/>
            <w:vAlign w:val="top"/>
          </w:tcPr>
          <w:p w14:paraId="04AA899D" w14:textId="77777777" w:rsidR="00AE1119" w:rsidRPr="00812B01" w:rsidRDefault="00AE1119" w:rsidP="00AE1119">
            <w:pPr>
              <w:pStyle w:val="TableNText"/>
              <w:spacing w:before="0" w:after="0"/>
            </w:pPr>
            <w:r w:rsidRPr="00812B01">
              <w:t xml:space="preserve"> 2</w:t>
            </w:r>
            <w:r>
              <w:t xml:space="preserve"> </w:t>
            </w:r>
            <w:r w:rsidRPr="00812B01">
              <w:t xml:space="preserve">444 </w:t>
            </w:r>
          </w:p>
        </w:tc>
        <w:tc>
          <w:tcPr>
            <w:tcW w:w="696" w:type="dxa"/>
            <w:vAlign w:val="top"/>
          </w:tcPr>
          <w:p w14:paraId="1D6DFA7E" w14:textId="77777777" w:rsidR="00AE1119" w:rsidRPr="00812B01" w:rsidRDefault="00AE1119" w:rsidP="00AE1119">
            <w:pPr>
              <w:pStyle w:val="TableNText"/>
              <w:spacing w:before="0" w:after="0"/>
            </w:pPr>
            <w:r w:rsidRPr="00812B01">
              <w:t xml:space="preserve"> 3</w:t>
            </w:r>
            <w:r>
              <w:t xml:space="preserve"> </w:t>
            </w:r>
            <w:r w:rsidRPr="00812B01">
              <w:t xml:space="preserve">821 </w:t>
            </w:r>
          </w:p>
        </w:tc>
        <w:tc>
          <w:tcPr>
            <w:tcW w:w="751" w:type="dxa"/>
            <w:vAlign w:val="top"/>
          </w:tcPr>
          <w:p w14:paraId="1F2F7EEE" w14:textId="77777777" w:rsidR="00AE1119" w:rsidRPr="00812B01" w:rsidRDefault="00AE1119" w:rsidP="00AE1119">
            <w:pPr>
              <w:pStyle w:val="TableNText"/>
              <w:spacing w:before="0" w:after="0"/>
            </w:pPr>
            <w:r w:rsidRPr="00812B01">
              <w:t xml:space="preserve"> 8</w:t>
            </w:r>
            <w:r>
              <w:t xml:space="preserve"> </w:t>
            </w:r>
            <w:r w:rsidRPr="00812B01">
              <w:t xml:space="preserve">635 </w:t>
            </w:r>
          </w:p>
        </w:tc>
        <w:tc>
          <w:tcPr>
            <w:tcW w:w="863" w:type="dxa"/>
            <w:vAlign w:val="top"/>
          </w:tcPr>
          <w:p w14:paraId="7C252B0D" w14:textId="77777777" w:rsidR="00AE1119" w:rsidRPr="00812B01" w:rsidRDefault="00AE1119" w:rsidP="00AE1119">
            <w:pPr>
              <w:pStyle w:val="TableNText"/>
              <w:spacing w:before="0" w:after="0"/>
            </w:pPr>
            <w:r w:rsidRPr="00812B01">
              <w:t xml:space="preserve"> 141</w:t>
            </w:r>
            <w:r>
              <w:t xml:space="preserve"> </w:t>
            </w:r>
            <w:r w:rsidRPr="00812B01">
              <w:t xml:space="preserve">847 </w:t>
            </w:r>
          </w:p>
        </w:tc>
      </w:tr>
      <w:tr w:rsidR="00AE1119" w:rsidRPr="00037787" w14:paraId="72AF5B5F" w14:textId="77777777" w:rsidTr="00AE1119">
        <w:trPr>
          <w:cnfStyle w:val="000000100000" w:firstRow="0" w:lastRow="0" w:firstColumn="0" w:lastColumn="0" w:oddVBand="0" w:evenVBand="0" w:oddHBand="1" w:evenHBand="0" w:firstRowFirstColumn="0" w:firstRowLastColumn="0" w:lastRowFirstColumn="0" w:lastRowLastColumn="0"/>
        </w:trPr>
        <w:tc>
          <w:tcPr>
            <w:tcW w:w="2029" w:type="dxa"/>
            <w:vAlign w:val="top"/>
          </w:tcPr>
          <w:p w14:paraId="26B74000" w14:textId="77777777" w:rsidR="00AE1119" w:rsidRPr="003D787B" w:rsidRDefault="00AE1119" w:rsidP="00AE1119">
            <w:pPr>
              <w:pStyle w:val="TableNText"/>
              <w:spacing w:before="0" w:after="0"/>
              <w:rPr>
                <w:rFonts w:asciiTheme="majorHAnsi" w:hAnsiTheme="majorHAnsi" w:cstheme="majorHAnsi"/>
              </w:rPr>
            </w:pPr>
            <w:r w:rsidRPr="00812B01">
              <w:t>CBDC</w:t>
            </w:r>
            <w:r>
              <w:t xml:space="preserve"> ($000)</w:t>
            </w:r>
          </w:p>
        </w:tc>
        <w:tc>
          <w:tcPr>
            <w:tcW w:w="835" w:type="dxa"/>
            <w:vAlign w:val="top"/>
          </w:tcPr>
          <w:p w14:paraId="5F1F126B" w14:textId="77777777" w:rsidR="00AE1119" w:rsidRPr="00812B01" w:rsidRDefault="00AE1119" w:rsidP="00AE1119">
            <w:pPr>
              <w:pStyle w:val="TableNText"/>
              <w:spacing w:before="0" w:after="0"/>
            </w:pPr>
            <w:r w:rsidRPr="00812B01">
              <w:t xml:space="preserve"> 411</w:t>
            </w:r>
            <w:r>
              <w:t xml:space="preserve"> </w:t>
            </w:r>
            <w:r w:rsidRPr="00812B01">
              <w:t xml:space="preserve">217 </w:t>
            </w:r>
          </w:p>
        </w:tc>
        <w:tc>
          <w:tcPr>
            <w:tcW w:w="833" w:type="dxa"/>
            <w:vAlign w:val="top"/>
          </w:tcPr>
          <w:p w14:paraId="46128B95" w14:textId="77777777" w:rsidR="00AE1119" w:rsidRPr="00812B01" w:rsidRDefault="00AE1119" w:rsidP="00AE1119">
            <w:pPr>
              <w:pStyle w:val="TableNText"/>
              <w:spacing w:before="0" w:after="0"/>
            </w:pPr>
            <w:r w:rsidRPr="00812B01">
              <w:t xml:space="preserve"> 241</w:t>
            </w:r>
            <w:r>
              <w:t xml:space="preserve"> </w:t>
            </w:r>
            <w:r w:rsidRPr="00812B01">
              <w:t xml:space="preserve">054 </w:t>
            </w:r>
          </w:p>
        </w:tc>
        <w:tc>
          <w:tcPr>
            <w:tcW w:w="832" w:type="dxa"/>
            <w:vAlign w:val="top"/>
          </w:tcPr>
          <w:p w14:paraId="50819E82" w14:textId="77777777" w:rsidR="00AE1119" w:rsidRPr="00812B01" w:rsidRDefault="00AE1119" w:rsidP="00AE1119">
            <w:pPr>
              <w:pStyle w:val="TableNText"/>
              <w:spacing w:before="0" w:after="0"/>
            </w:pPr>
            <w:r w:rsidRPr="00812B01">
              <w:t xml:space="preserve"> 174</w:t>
            </w:r>
            <w:r>
              <w:t xml:space="preserve"> </w:t>
            </w:r>
            <w:r w:rsidRPr="00812B01">
              <w:t xml:space="preserve">028 </w:t>
            </w:r>
          </w:p>
        </w:tc>
        <w:tc>
          <w:tcPr>
            <w:tcW w:w="697" w:type="dxa"/>
            <w:vAlign w:val="top"/>
          </w:tcPr>
          <w:p w14:paraId="17AAB0BA" w14:textId="77777777" w:rsidR="00AE1119" w:rsidRPr="00812B01" w:rsidRDefault="00AE1119" w:rsidP="00AE1119">
            <w:pPr>
              <w:pStyle w:val="TableNText"/>
              <w:spacing w:before="0" w:after="0"/>
            </w:pPr>
            <w:r w:rsidRPr="00812B01">
              <w:t>26</w:t>
            </w:r>
            <w:r>
              <w:t xml:space="preserve"> </w:t>
            </w:r>
            <w:r w:rsidRPr="00812B01">
              <w:t xml:space="preserve">091 </w:t>
            </w:r>
          </w:p>
        </w:tc>
        <w:tc>
          <w:tcPr>
            <w:tcW w:w="697" w:type="dxa"/>
            <w:vAlign w:val="top"/>
          </w:tcPr>
          <w:p w14:paraId="0A4A9EB3" w14:textId="77777777" w:rsidR="00AE1119" w:rsidRPr="00812B01" w:rsidRDefault="00AE1119" w:rsidP="00AE1119">
            <w:pPr>
              <w:pStyle w:val="TableNText"/>
              <w:spacing w:before="0" w:after="0"/>
            </w:pPr>
            <w:r w:rsidRPr="00812B01">
              <w:t xml:space="preserve"> 4</w:t>
            </w:r>
            <w:r>
              <w:t xml:space="preserve">, </w:t>
            </w:r>
            <w:r w:rsidRPr="00812B01">
              <w:t xml:space="preserve">08 </w:t>
            </w:r>
          </w:p>
        </w:tc>
        <w:tc>
          <w:tcPr>
            <w:tcW w:w="697" w:type="dxa"/>
            <w:vAlign w:val="top"/>
          </w:tcPr>
          <w:p w14:paraId="6BB6E54F" w14:textId="77777777" w:rsidR="00AE1119" w:rsidRPr="00812B01" w:rsidRDefault="00AE1119" w:rsidP="00AE1119">
            <w:pPr>
              <w:pStyle w:val="TableNText"/>
              <w:spacing w:before="0" w:after="0"/>
            </w:pPr>
            <w:r w:rsidRPr="00812B01">
              <w:t xml:space="preserve"> 1</w:t>
            </w:r>
            <w:r>
              <w:t xml:space="preserve"> </w:t>
            </w:r>
            <w:r w:rsidRPr="00812B01">
              <w:t xml:space="preserve">900 </w:t>
            </w:r>
          </w:p>
        </w:tc>
        <w:tc>
          <w:tcPr>
            <w:tcW w:w="696" w:type="dxa"/>
            <w:vAlign w:val="top"/>
          </w:tcPr>
          <w:p w14:paraId="6287EEF3" w14:textId="77777777" w:rsidR="00AE1119" w:rsidRPr="00812B01" w:rsidRDefault="00AE1119" w:rsidP="00AE1119">
            <w:pPr>
              <w:pStyle w:val="TableNText"/>
              <w:spacing w:before="0" w:after="0"/>
            </w:pPr>
            <w:r w:rsidRPr="00812B01">
              <w:t xml:space="preserve"> 2</w:t>
            </w:r>
            <w:r>
              <w:t xml:space="preserve"> </w:t>
            </w:r>
            <w:r w:rsidRPr="00812B01">
              <w:t xml:space="preserve">836 </w:t>
            </w:r>
          </w:p>
        </w:tc>
        <w:tc>
          <w:tcPr>
            <w:tcW w:w="751" w:type="dxa"/>
            <w:vAlign w:val="top"/>
          </w:tcPr>
          <w:p w14:paraId="13E6C5CF" w14:textId="77777777" w:rsidR="00AE1119" w:rsidRPr="00812B01" w:rsidRDefault="00AE1119" w:rsidP="00AE1119">
            <w:pPr>
              <w:pStyle w:val="TableNText"/>
              <w:spacing w:before="0" w:after="0"/>
            </w:pPr>
            <w:r w:rsidRPr="00812B01">
              <w:t xml:space="preserve"> 17</w:t>
            </w:r>
            <w:r>
              <w:t xml:space="preserve">, </w:t>
            </w:r>
            <w:r w:rsidRPr="00812B01">
              <w:t xml:space="preserve">03 </w:t>
            </w:r>
          </w:p>
        </w:tc>
        <w:tc>
          <w:tcPr>
            <w:tcW w:w="863" w:type="dxa"/>
            <w:vAlign w:val="top"/>
          </w:tcPr>
          <w:p w14:paraId="173F4E66" w14:textId="77777777" w:rsidR="00AE1119" w:rsidRPr="00812B01" w:rsidRDefault="00AE1119" w:rsidP="00AE1119">
            <w:pPr>
              <w:pStyle w:val="TableNText"/>
              <w:spacing w:before="0" w:after="0"/>
            </w:pPr>
            <w:r w:rsidRPr="00812B01">
              <w:t xml:space="preserve"> 878</w:t>
            </w:r>
            <w:r>
              <w:t xml:space="preserve"> </w:t>
            </w:r>
            <w:r w:rsidRPr="00812B01">
              <w:t xml:space="preserve">737 </w:t>
            </w:r>
          </w:p>
        </w:tc>
      </w:tr>
    </w:tbl>
    <w:p w14:paraId="4C512DD1" w14:textId="77777777" w:rsidR="00AE1119" w:rsidRDefault="00AE1119" w:rsidP="00AE1119">
      <w:pPr>
        <w:rPr>
          <w:sz w:val="16"/>
        </w:rPr>
      </w:pPr>
      <w:r w:rsidRPr="00743E3D">
        <w:rPr>
          <w:sz w:val="16"/>
        </w:rPr>
        <w:t>Source: National Collection microdata, ABS, 2018.</w:t>
      </w:r>
    </w:p>
    <w:p w14:paraId="615790C0" w14:textId="77777777" w:rsidR="00AE1119" w:rsidRDefault="00AE1119" w:rsidP="00AE1119">
      <w:pPr>
        <w:pStyle w:val="Heading5"/>
      </w:pPr>
      <w:r>
        <w:t>Adjustment to exclude additional child care hours from out of pocket costs for CBDC</w:t>
      </w:r>
    </w:p>
    <w:p w14:paraId="7759102E" w14:textId="77777777" w:rsidR="00AE1119" w:rsidRDefault="00AE1119" w:rsidP="00AE1119">
      <w:pPr>
        <w:rPr>
          <w:lang w:eastAsia="en-AU"/>
        </w:rPr>
      </w:pPr>
      <w:r>
        <w:rPr>
          <w:lang w:eastAsia="en-AU"/>
        </w:rPr>
        <w:t>The Review</w:t>
      </w:r>
      <w:r w:rsidRPr="00151709">
        <w:rPr>
          <w:lang w:eastAsia="en-AU"/>
        </w:rPr>
        <w:t xml:space="preserve"> </w:t>
      </w:r>
      <w:r w:rsidRPr="00EC352C">
        <w:rPr>
          <w:rFonts w:asciiTheme="majorHAnsi" w:hAnsiTheme="majorHAnsi" w:cstheme="majorHAnsi"/>
          <w:lang w:eastAsia="en-AU"/>
        </w:rPr>
        <w:t>adjusted the out of pocket costs for CBDC</w:t>
      </w:r>
      <w:r>
        <w:rPr>
          <w:lang w:eastAsia="en-AU"/>
        </w:rPr>
        <w:t xml:space="preserve"> </w:t>
      </w:r>
      <w:r w:rsidRPr="00151709">
        <w:rPr>
          <w:lang w:eastAsia="en-AU"/>
        </w:rPr>
        <w:t xml:space="preserve">based on the </w:t>
      </w:r>
      <w:r>
        <w:rPr>
          <w:lang w:eastAsia="en-AU"/>
        </w:rPr>
        <w:t xml:space="preserve">extent to which the average hours in CBDC exceeded 600 hours. </w:t>
      </w:r>
    </w:p>
    <w:tbl>
      <w:tblPr>
        <w:tblStyle w:val="TableGrid"/>
        <w:tblW w:w="0" w:type="auto"/>
        <w:tblLook w:val="04A0" w:firstRow="1" w:lastRow="0" w:firstColumn="1" w:lastColumn="0" w:noHBand="0" w:noVBand="1"/>
      </w:tblPr>
      <w:tblGrid>
        <w:gridCol w:w="2550"/>
        <w:gridCol w:w="757"/>
        <w:gridCol w:w="758"/>
        <w:gridCol w:w="758"/>
        <w:gridCol w:w="666"/>
        <w:gridCol w:w="696"/>
        <w:gridCol w:w="675"/>
        <w:gridCol w:w="596"/>
        <w:gridCol w:w="694"/>
        <w:gridCol w:w="780"/>
      </w:tblGrid>
      <w:tr w:rsidR="00B650D2" w:rsidRPr="00C83DBE" w14:paraId="0C48787A" w14:textId="77777777" w:rsidTr="00AE1119">
        <w:trPr>
          <w:cnfStyle w:val="100000000000" w:firstRow="1" w:lastRow="0" w:firstColumn="0" w:lastColumn="0" w:oddVBand="0" w:evenVBand="0" w:oddHBand="0" w:evenHBand="0" w:firstRowFirstColumn="0" w:firstRowLastColumn="0" w:lastRowFirstColumn="0" w:lastRowLastColumn="0"/>
        </w:trPr>
        <w:tc>
          <w:tcPr>
            <w:tcW w:w="2550" w:type="dxa"/>
          </w:tcPr>
          <w:p w14:paraId="2ECEAD46" w14:textId="77777777" w:rsidR="00AE1119" w:rsidRPr="00C83DBE" w:rsidRDefault="00AE1119" w:rsidP="00AE1119">
            <w:pPr>
              <w:pStyle w:val="TableNheader"/>
              <w:spacing w:before="0" w:after="0"/>
            </w:pPr>
            <w:r w:rsidRPr="00C83DBE">
              <w:t>Source (2017-18)</w:t>
            </w:r>
          </w:p>
        </w:tc>
        <w:tc>
          <w:tcPr>
            <w:tcW w:w="757" w:type="dxa"/>
          </w:tcPr>
          <w:p w14:paraId="49DA13F2" w14:textId="77777777" w:rsidR="00AE1119" w:rsidRPr="00C83DBE" w:rsidRDefault="00AE1119" w:rsidP="00AE1119">
            <w:pPr>
              <w:pStyle w:val="TableNheader"/>
              <w:spacing w:before="0" w:after="0"/>
            </w:pPr>
            <w:r w:rsidRPr="00C83DBE">
              <w:t>NSW</w:t>
            </w:r>
          </w:p>
        </w:tc>
        <w:tc>
          <w:tcPr>
            <w:tcW w:w="758" w:type="dxa"/>
          </w:tcPr>
          <w:p w14:paraId="4E3C099F" w14:textId="77777777" w:rsidR="00AE1119" w:rsidRPr="00C83DBE" w:rsidRDefault="00AE1119" w:rsidP="00AE1119">
            <w:pPr>
              <w:pStyle w:val="TableNheader"/>
              <w:spacing w:before="0" w:after="0"/>
            </w:pPr>
            <w:r w:rsidRPr="00C83DBE">
              <w:t>Vic</w:t>
            </w:r>
          </w:p>
        </w:tc>
        <w:tc>
          <w:tcPr>
            <w:tcW w:w="758" w:type="dxa"/>
          </w:tcPr>
          <w:p w14:paraId="704A0960" w14:textId="77777777" w:rsidR="00AE1119" w:rsidRPr="00C83DBE" w:rsidRDefault="00AE1119" w:rsidP="00AE1119">
            <w:pPr>
              <w:pStyle w:val="TableNheader"/>
              <w:spacing w:before="0" w:after="0"/>
            </w:pPr>
            <w:r w:rsidRPr="00C83DBE">
              <w:t>Qld</w:t>
            </w:r>
          </w:p>
        </w:tc>
        <w:tc>
          <w:tcPr>
            <w:tcW w:w="666" w:type="dxa"/>
          </w:tcPr>
          <w:p w14:paraId="6356A84D" w14:textId="77777777" w:rsidR="00AE1119" w:rsidRPr="00C83DBE" w:rsidRDefault="00AE1119" w:rsidP="00AE1119">
            <w:pPr>
              <w:pStyle w:val="TableNheader"/>
              <w:spacing w:before="0" w:after="0"/>
            </w:pPr>
            <w:r w:rsidRPr="00C83DBE">
              <w:t>SA</w:t>
            </w:r>
          </w:p>
        </w:tc>
        <w:tc>
          <w:tcPr>
            <w:tcW w:w="696" w:type="dxa"/>
          </w:tcPr>
          <w:p w14:paraId="0E8378B4" w14:textId="77777777" w:rsidR="00AE1119" w:rsidRPr="00C83DBE" w:rsidRDefault="00AE1119" w:rsidP="00AE1119">
            <w:pPr>
              <w:pStyle w:val="TableNheader"/>
              <w:spacing w:before="0" w:after="0"/>
            </w:pPr>
            <w:r w:rsidRPr="00C83DBE">
              <w:t>WA</w:t>
            </w:r>
          </w:p>
        </w:tc>
        <w:tc>
          <w:tcPr>
            <w:tcW w:w="675" w:type="dxa"/>
          </w:tcPr>
          <w:p w14:paraId="64BA45FD" w14:textId="77777777" w:rsidR="00AE1119" w:rsidRPr="00C83DBE" w:rsidRDefault="00AE1119" w:rsidP="00AE1119">
            <w:pPr>
              <w:pStyle w:val="TableNheader"/>
              <w:spacing w:before="0" w:after="0"/>
            </w:pPr>
            <w:r w:rsidRPr="00C83DBE">
              <w:t>Tas</w:t>
            </w:r>
          </w:p>
        </w:tc>
        <w:tc>
          <w:tcPr>
            <w:tcW w:w="596" w:type="dxa"/>
          </w:tcPr>
          <w:p w14:paraId="591BE861" w14:textId="77777777" w:rsidR="00AE1119" w:rsidRPr="00C83DBE" w:rsidRDefault="00AE1119" w:rsidP="00AE1119">
            <w:pPr>
              <w:pStyle w:val="TableNheader"/>
              <w:spacing w:before="0" w:after="0"/>
            </w:pPr>
            <w:r w:rsidRPr="00C83DBE">
              <w:t>NT</w:t>
            </w:r>
          </w:p>
        </w:tc>
        <w:tc>
          <w:tcPr>
            <w:tcW w:w="694" w:type="dxa"/>
          </w:tcPr>
          <w:p w14:paraId="1EAEB98A" w14:textId="77777777" w:rsidR="00AE1119" w:rsidRPr="00C83DBE" w:rsidRDefault="00AE1119" w:rsidP="00AE1119">
            <w:pPr>
              <w:pStyle w:val="TableNheader"/>
              <w:spacing w:before="0" w:after="0"/>
            </w:pPr>
            <w:r w:rsidRPr="00C83DBE">
              <w:t>ACT</w:t>
            </w:r>
          </w:p>
        </w:tc>
        <w:tc>
          <w:tcPr>
            <w:tcW w:w="780" w:type="dxa"/>
          </w:tcPr>
          <w:p w14:paraId="3010B6FB" w14:textId="77777777" w:rsidR="00AE1119" w:rsidRPr="00C83DBE" w:rsidRDefault="00AE1119" w:rsidP="00AE1119">
            <w:pPr>
              <w:pStyle w:val="TableNheader"/>
              <w:spacing w:before="0" w:after="0"/>
            </w:pPr>
            <w:r w:rsidRPr="00C83DBE">
              <w:t>Aust</w:t>
            </w:r>
          </w:p>
        </w:tc>
      </w:tr>
      <w:tr w:rsidR="00A2475C" w14:paraId="624BA9CC" w14:textId="77777777" w:rsidTr="00AE1119">
        <w:trPr>
          <w:cnfStyle w:val="000000100000" w:firstRow="0" w:lastRow="0" w:firstColumn="0" w:lastColumn="0" w:oddVBand="0" w:evenVBand="0" w:oddHBand="1" w:evenHBand="0" w:firstRowFirstColumn="0" w:firstRowLastColumn="0" w:lastRowFirstColumn="0" w:lastRowLastColumn="0"/>
        </w:trPr>
        <w:tc>
          <w:tcPr>
            <w:tcW w:w="2550" w:type="dxa"/>
            <w:vAlign w:val="top"/>
          </w:tcPr>
          <w:p w14:paraId="5342AA20" w14:textId="77777777" w:rsidR="00A2475C" w:rsidRPr="00831E8E" w:rsidRDefault="00A2475C" w:rsidP="00A2475C">
            <w:pPr>
              <w:pStyle w:val="TableNText"/>
              <w:spacing w:before="0" w:after="0"/>
            </w:pPr>
            <w:r w:rsidRPr="00831E8E">
              <w:t>Average hours in CBDC</w:t>
            </w:r>
          </w:p>
        </w:tc>
        <w:tc>
          <w:tcPr>
            <w:tcW w:w="757" w:type="dxa"/>
            <w:vAlign w:val="top"/>
          </w:tcPr>
          <w:p w14:paraId="3F85643E" w14:textId="379B1719" w:rsidR="00A2475C" w:rsidRPr="00831E8E" w:rsidRDefault="00A2475C" w:rsidP="00A2475C">
            <w:pPr>
              <w:pStyle w:val="TableNText"/>
              <w:spacing w:before="0" w:after="0"/>
            </w:pPr>
            <w:r w:rsidRPr="001F36F1">
              <w:t xml:space="preserve"> 1,183 </w:t>
            </w:r>
          </w:p>
        </w:tc>
        <w:tc>
          <w:tcPr>
            <w:tcW w:w="758" w:type="dxa"/>
            <w:vAlign w:val="top"/>
          </w:tcPr>
          <w:p w14:paraId="7B637776" w14:textId="36990CA7" w:rsidR="00A2475C" w:rsidRPr="00831E8E" w:rsidRDefault="00A2475C" w:rsidP="00A2475C">
            <w:pPr>
              <w:pStyle w:val="TableNText"/>
              <w:spacing w:before="0" w:after="0"/>
            </w:pPr>
            <w:r w:rsidRPr="001F36F1">
              <w:t xml:space="preserve"> 1,155 </w:t>
            </w:r>
          </w:p>
        </w:tc>
        <w:tc>
          <w:tcPr>
            <w:tcW w:w="758" w:type="dxa"/>
            <w:vAlign w:val="top"/>
          </w:tcPr>
          <w:p w14:paraId="31EADB03" w14:textId="64157C55" w:rsidR="00A2475C" w:rsidRPr="00831E8E" w:rsidRDefault="00A2475C" w:rsidP="00A2475C">
            <w:pPr>
              <w:pStyle w:val="TableNText"/>
              <w:spacing w:before="0" w:after="0"/>
            </w:pPr>
            <w:r w:rsidRPr="001F36F1">
              <w:t xml:space="preserve"> 1,173 </w:t>
            </w:r>
          </w:p>
        </w:tc>
        <w:tc>
          <w:tcPr>
            <w:tcW w:w="666" w:type="dxa"/>
            <w:vAlign w:val="top"/>
          </w:tcPr>
          <w:p w14:paraId="19E0C05C" w14:textId="378F2295" w:rsidR="00A2475C" w:rsidRPr="00831E8E" w:rsidRDefault="00A2475C" w:rsidP="00A2475C">
            <w:pPr>
              <w:pStyle w:val="TableNText"/>
              <w:spacing w:before="0" w:after="0"/>
            </w:pPr>
            <w:r w:rsidRPr="001F36F1">
              <w:t xml:space="preserve"> 906 </w:t>
            </w:r>
          </w:p>
        </w:tc>
        <w:tc>
          <w:tcPr>
            <w:tcW w:w="696" w:type="dxa"/>
            <w:vAlign w:val="top"/>
          </w:tcPr>
          <w:p w14:paraId="5E403AB9" w14:textId="57E6D4FE" w:rsidR="00A2475C" w:rsidRPr="00831E8E" w:rsidRDefault="00A2475C" w:rsidP="00A2475C">
            <w:pPr>
              <w:pStyle w:val="TableNText"/>
              <w:spacing w:before="0" w:after="0"/>
            </w:pPr>
            <w:r w:rsidRPr="001F36F1">
              <w:t xml:space="preserve"> 702 </w:t>
            </w:r>
          </w:p>
        </w:tc>
        <w:tc>
          <w:tcPr>
            <w:tcW w:w="675" w:type="dxa"/>
            <w:vAlign w:val="top"/>
          </w:tcPr>
          <w:p w14:paraId="6119B8FA" w14:textId="24ED2D24" w:rsidR="00A2475C" w:rsidRPr="00831E8E" w:rsidRDefault="00A2475C" w:rsidP="00A2475C">
            <w:pPr>
              <w:pStyle w:val="TableNText"/>
              <w:spacing w:before="0" w:after="0"/>
            </w:pPr>
            <w:r w:rsidRPr="001F36F1">
              <w:t xml:space="preserve"> 763 </w:t>
            </w:r>
          </w:p>
        </w:tc>
        <w:tc>
          <w:tcPr>
            <w:tcW w:w="596" w:type="dxa"/>
            <w:vAlign w:val="top"/>
          </w:tcPr>
          <w:p w14:paraId="32DA2CA2" w14:textId="4FE935E4" w:rsidR="00A2475C" w:rsidRPr="00831E8E" w:rsidRDefault="00A2475C" w:rsidP="00A2475C">
            <w:pPr>
              <w:pStyle w:val="TableNText"/>
              <w:spacing w:before="0" w:after="0"/>
            </w:pPr>
            <w:r w:rsidRPr="001F36F1">
              <w:t xml:space="preserve">1,110 </w:t>
            </w:r>
          </w:p>
        </w:tc>
        <w:tc>
          <w:tcPr>
            <w:tcW w:w="694" w:type="dxa"/>
            <w:vAlign w:val="top"/>
          </w:tcPr>
          <w:p w14:paraId="76EF0636" w14:textId="69FA8F35" w:rsidR="00A2475C" w:rsidRPr="00831E8E" w:rsidRDefault="00A2475C" w:rsidP="00A2475C">
            <w:pPr>
              <w:pStyle w:val="TableNText"/>
              <w:spacing w:before="0" w:after="0"/>
            </w:pPr>
            <w:r w:rsidRPr="001F36F1">
              <w:t xml:space="preserve"> 1,075 </w:t>
            </w:r>
          </w:p>
        </w:tc>
        <w:tc>
          <w:tcPr>
            <w:tcW w:w="780" w:type="dxa"/>
            <w:vAlign w:val="top"/>
          </w:tcPr>
          <w:p w14:paraId="4ACE2AC5" w14:textId="6BC81C79" w:rsidR="00A2475C" w:rsidRPr="00831E8E" w:rsidRDefault="00A2475C" w:rsidP="00A2475C">
            <w:pPr>
              <w:pStyle w:val="TableNText"/>
              <w:spacing w:before="0" w:after="0"/>
            </w:pPr>
            <w:r w:rsidRPr="001F36F1">
              <w:t xml:space="preserve"> 1,123 </w:t>
            </w:r>
          </w:p>
        </w:tc>
      </w:tr>
      <w:tr w:rsidR="00A2475C" w14:paraId="50D63CAD" w14:textId="77777777" w:rsidTr="00AE1119">
        <w:trPr>
          <w:cnfStyle w:val="000000010000" w:firstRow="0" w:lastRow="0" w:firstColumn="0" w:lastColumn="0" w:oddVBand="0" w:evenVBand="0" w:oddHBand="0" w:evenHBand="1" w:firstRowFirstColumn="0" w:firstRowLastColumn="0" w:lastRowFirstColumn="0" w:lastRowLastColumn="0"/>
        </w:trPr>
        <w:tc>
          <w:tcPr>
            <w:tcW w:w="2550" w:type="dxa"/>
            <w:vAlign w:val="top"/>
          </w:tcPr>
          <w:p w14:paraId="0BBDD5F9" w14:textId="77777777" w:rsidR="00A2475C" w:rsidRPr="00831E8E" w:rsidRDefault="00A2475C" w:rsidP="00A2475C">
            <w:pPr>
              <w:pStyle w:val="TableNText"/>
              <w:spacing w:before="0" w:after="0"/>
            </w:pPr>
            <w:r w:rsidRPr="00831E8E">
              <w:t xml:space="preserve">Adjustment factor </w:t>
            </w:r>
            <w:r>
              <w:br/>
            </w:r>
            <w:r w:rsidRPr="00831E8E">
              <w:t>(for 600 hours)</w:t>
            </w:r>
          </w:p>
        </w:tc>
        <w:tc>
          <w:tcPr>
            <w:tcW w:w="757" w:type="dxa"/>
            <w:vAlign w:val="bottom"/>
          </w:tcPr>
          <w:p w14:paraId="0CC6634A" w14:textId="5207F15E" w:rsidR="00A2475C" w:rsidRPr="00831E8E" w:rsidRDefault="00A2475C" w:rsidP="00A2475C">
            <w:pPr>
              <w:pStyle w:val="TableNText"/>
              <w:spacing w:before="0" w:after="0"/>
            </w:pPr>
            <w:r w:rsidRPr="001E658B">
              <w:t xml:space="preserve"> 0.507 </w:t>
            </w:r>
          </w:p>
        </w:tc>
        <w:tc>
          <w:tcPr>
            <w:tcW w:w="758" w:type="dxa"/>
            <w:vAlign w:val="bottom"/>
          </w:tcPr>
          <w:p w14:paraId="31DBB958" w14:textId="0B871A95" w:rsidR="00A2475C" w:rsidRPr="00831E8E" w:rsidRDefault="00A2475C" w:rsidP="00A2475C">
            <w:pPr>
              <w:pStyle w:val="TableNText"/>
              <w:spacing w:before="0" w:after="0"/>
            </w:pPr>
            <w:r w:rsidRPr="001E658B">
              <w:t xml:space="preserve"> 0.520 </w:t>
            </w:r>
          </w:p>
        </w:tc>
        <w:tc>
          <w:tcPr>
            <w:tcW w:w="758" w:type="dxa"/>
            <w:vAlign w:val="bottom"/>
          </w:tcPr>
          <w:p w14:paraId="556225EE" w14:textId="58E85B1A" w:rsidR="00A2475C" w:rsidRPr="00831E8E" w:rsidRDefault="00A2475C" w:rsidP="00A2475C">
            <w:pPr>
              <w:pStyle w:val="TableNText"/>
              <w:spacing w:before="0" w:after="0"/>
            </w:pPr>
            <w:r w:rsidRPr="001E658B">
              <w:t xml:space="preserve"> 0.512 </w:t>
            </w:r>
          </w:p>
        </w:tc>
        <w:tc>
          <w:tcPr>
            <w:tcW w:w="666" w:type="dxa"/>
            <w:vAlign w:val="bottom"/>
          </w:tcPr>
          <w:p w14:paraId="315607CF" w14:textId="2F196AAC" w:rsidR="00A2475C" w:rsidRPr="00831E8E" w:rsidRDefault="00A2475C" w:rsidP="00A2475C">
            <w:pPr>
              <w:pStyle w:val="TableNText"/>
              <w:spacing w:before="0" w:after="0"/>
            </w:pPr>
            <w:r w:rsidRPr="001E658B">
              <w:t xml:space="preserve"> 0.662 </w:t>
            </w:r>
          </w:p>
        </w:tc>
        <w:tc>
          <w:tcPr>
            <w:tcW w:w="696" w:type="dxa"/>
            <w:vAlign w:val="bottom"/>
          </w:tcPr>
          <w:p w14:paraId="4C765CB3" w14:textId="035A9267" w:rsidR="00A2475C" w:rsidRPr="00831E8E" w:rsidRDefault="00A2475C" w:rsidP="00A2475C">
            <w:pPr>
              <w:pStyle w:val="TableNText"/>
              <w:spacing w:before="0" w:after="0"/>
            </w:pPr>
            <w:r w:rsidRPr="001E658B">
              <w:t xml:space="preserve"> 0.854 </w:t>
            </w:r>
          </w:p>
        </w:tc>
        <w:tc>
          <w:tcPr>
            <w:tcW w:w="675" w:type="dxa"/>
            <w:vAlign w:val="bottom"/>
          </w:tcPr>
          <w:p w14:paraId="73CF2A52" w14:textId="113189A8" w:rsidR="00A2475C" w:rsidRPr="00831E8E" w:rsidRDefault="00A2475C" w:rsidP="00A2475C">
            <w:pPr>
              <w:pStyle w:val="TableNText"/>
              <w:spacing w:before="0" w:after="0"/>
            </w:pPr>
            <w:r w:rsidRPr="001E658B">
              <w:t xml:space="preserve"> 0.787 </w:t>
            </w:r>
          </w:p>
        </w:tc>
        <w:tc>
          <w:tcPr>
            <w:tcW w:w="596" w:type="dxa"/>
            <w:vAlign w:val="bottom"/>
          </w:tcPr>
          <w:p w14:paraId="6D97902F" w14:textId="624E6553" w:rsidR="00A2475C" w:rsidRPr="00831E8E" w:rsidRDefault="00A2475C" w:rsidP="00A2475C">
            <w:pPr>
              <w:pStyle w:val="TableNText"/>
              <w:spacing w:before="0" w:after="0"/>
            </w:pPr>
            <w:r w:rsidRPr="001E658B">
              <w:t xml:space="preserve">0.541 </w:t>
            </w:r>
          </w:p>
        </w:tc>
        <w:tc>
          <w:tcPr>
            <w:tcW w:w="694" w:type="dxa"/>
            <w:vAlign w:val="bottom"/>
          </w:tcPr>
          <w:p w14:paraId="6A8359C7" w14:textId="22A98DAB" w:rsidR="00A2475C" w:rsidRPr="00831E8E" w:rsidRDefault="00A2475C" w:rsidP="00A2475C">
            <w:pPr>
              <w:pStyle w:val="TableNText"/>
              <w:spacing w:before="0" w:after="0"/>
            </w:pPr>
            <w:r w:rsidRPr="001E658B">
              <w:t xml:space="preserve"> 0.558 </w:t>
            </w:r>
          </w:p>
        </w:tc>
        <w:tc>
          <w:tcPr>
            <w:tcW w:w="780" w:type="dxa"/>
            <w:vAlign w:val="bottom"/>
          </w:tcPr>
          <w:p w14:paraId="4C180720" w14:textId="40BA0E52" w:rsidR="00A2475C" w:rsidRPr="00831E8E" w:rsidRDefault="00A2475C" w:rsidP="00A2475C">
            <w:pPr>
              <w:pStyle w:val="TableNText"/>
              <w:spacing w:before="0" w:after="0"/>
            </w:pPr>
            <w:r w:rsidRPr="001E658B">
              <w:t xml:space="preserve"> 0.534 </w:t>
            </w:r>
          </w:p>
        </w:tc>
      </w:tr>
    </w:tbl>
    <w:p w14:paraId="45E2A1D2" w14:textId="77777777" w:rsidR="00AE1119" w:rsidRDefault="00AE1119" w:rsidP="00AE1119">
      <w:pPr>
        <w:rPr>
          <w:lang w:eastAsia="en-AU"/>
        </w:rPr>
      </w:pPr>
    </w:p>
    <w:p w14:paraId="2266E17D" w14:textId="77777777" w:rsidR="00AE1119" w:rsidRDefault="00AE1119" w:rsidP="00AE1119">
      <w:pPr>
        <w:rPr>
          <w:lang w:eastAsia="en-AU"/>
        </w:rPr>
      </w:pPr>
      <w:r w:rsidRPr="00891B5F">
        <w:rPr>
          <w:lang w:eastAsia="en-AU"/>
        </w:rPr>
        <w:lastRenderedPageBreak/>
        <w:t xml:space="preserve">The Review also adjusted the out of pocket costs for </w:t>
      </w:r>
      <w:r w:rsidRPr="00EC352C">
        <w:rPr>
          <w:rFonts w:asciiTheme="majorHAnsi" w:hAnsiTheme="majorHAnsi" w:cstheme="majorHAnsi"/>
          <w:lang w:eastAsia="en-AU"/>
        </w:rPr>
        <w:t>enrolments across more than one provider</w:t>
      </w:r>
      <w:r w:rsidRPr="00891B5F">
        <w:rPr>
          <w:lang w:eastAsia="en-AU"/>
        </w:rPr>
        <w:t xml:space="preserve">. </w:t>
      </w:r>
      <w:r>
        <w:rPr>
          <w:lang w:eastAsia="en-AU"/>
        </w:rPr>
        <w:t xml:space="preserve">Out of pocket costs across more than one provider type </w:t>
      </w:r>
      <w:proofErr w:type="gramStart"/>
      <w:r>
        <w:rPr>
          <w:lang w:eastAsia="en-AU"/>
        </w:rPr>
        <w:t>were</w:t>
      </w:r>
      <w:proofErr w:type="gramEnd"/>
      <w:r>
        <w:rPr>
          <w:lang w:eastAsia="en-AU"/>
        </w:rPr>
        <w:t xml:space="preserve"> calculated based on the cost of each provider type multiplied by the proportion of enrolments by single provider type.</w:t>
      </w:r>
    </w:p>
    <w:tbl>
      <w:tblPr>
        <w:tblStyle w:val="TableGrid"/>
        <w:tblW w:w="0" w:type="auto"/>
        <w:tblLayout w:type="fixed"/>
        <w:tblLook w:val="04A0" w:firstRow="1" w:lastRow="0" w:firstColumn="1" w:lastColumn="0" w:noHBand="0" w:noVBand="1"/>
      </w:tblPr>
      <w:tblGrid>
        <w:gridCol w:w="1985"/>
        <w:gridCol w:w="850"/>
        <w:gridCol w:w="851"/>
        <w:gridCol w:w="850"/>
        <w:gridCol w:w="709"/>
        <w:gridCol w:w="709"/>
        <w:gridCol w:w="709"/>
        <w:gridCol w:w="708"/>
        <w:gridCol w:w="709"/>
        <w:gridCol w:w="850"/>
      </w:tblGrid>
      <w:tr w:rsidR="00B650D2" w14:paraId="02D1E5C7" w14:textId="77777777" w:rsidTr="00A2475C">
        <w:trPr>
          <w:cnfStyle w:val="100000000000" w:firstRow="1" w:lastRow="0" w:firstColumn="0" w:lastColumn="0" w:oddVBand="0" w:evenVBand="0" w:oddHBand="0" w:evenHBand="0" w:firstRowFirstColumn="0" w:firstRowLastColumn="0" w:lastRowFirstColumn="0" w:lastRowLastColumn="0"/>
        </w:trPr>
        <w:tc>
          <w:tcPr>
            <w:tcW w:w="1985" w:type="dxa"/>
          </w:tcPr>
          <w:p w14:paraId="5FE536F9" w14:textId="77777777" w:rsidR="00AE1119" w:rsidRPr="001E451F" w:rsidRDefault="00AE1119" w:rsidP="00AE1119">
            <w:pPr>
              <w:pStyle w:val="TableNheader"/>
              <w:spacing w:before="0" w:after="0"/>
            </w:pPr>
            <w:r w:rsidRPr="001E451F">
              <w:t>Source (2017-18)</w:t>
            </w:r>
          </w:p>
        </w:tc>
        <w:tc>
          <w:tcPr>
            <w:tcW w:w="850" w:type="dxa"/>
          </w:tcPr>
          <w:p w14:paraId="777AE1FE" w14:textId="77777777" w:rsidR="00AE1119" w:rsidRPr="001E451F" w:rsidRDefault="00AE1119" w:rsidP="00AE1119">
            <w:pPr>
              <w:pStyle w:val="TableNheader"/>
              <w:spacing w:before="0" w:after="0"/>
            </w:pPr>
            <w:r w:rsidRPr="001E451F">
              <w:t>NSW</w:t>
            </w:r>
          </w:p>
        </w:tc>
        <w:tc>
          <w:tcPr>
            <w:tcW w:w="851" w:type="dxa"/>
          </w:tcPr>
          <w:p w14:paraId="403CD0EC" w14:textId="77777777" w:rsidR="00AE1119" w:rsidRPr="001E451F" w:rsidRDefault="00AE1119" w:rsidP="00AE1119">
            <w:pPr>
              <w:pStyle w:val="TableNheader"/>
              <w:spacing w:before="0" w:after="0"/>
            </w:pPr>
            <w:r w:rsidRPr="001E451F">
              <w:t>Vic</w:t>
            </w:r>
          </w:p>
        </w:tc>
        <w:tc>
          <w:tcPr>
            <w:tcW w:w="850" w:type="dxa"/>
          </w:tcPr>
          <w:p w14:paraId="7827CD1D" w14:textId="77777777" w:rsidR="00AE1119" w:rsidRPr="001E451F" w:rsidRDefault="00AE1119" w:rsidP="00AE1119">
            <w:pPr>
              <w:pStyle w:val="TableNheader"/>
              <w:spacing w:before="0" w:after="0"/>
            </w:pPr>
            <w:r w:rsidRPr="001E451F">
              <w:t>Qld</w:t>
            </w:r>
          </w:p>
        </w:tc>
        <w:tc>
          <w:tcPr>
            <w:tcW w:w="709" w:type="dxa"/>
          </w:tcPr>
          <w:p w14:paraId="29F4DA81" w14:textId="77777777" w:rsidR="00AE1119" w:rsidRPr="001E451F" w:rsidRDefault="00AE1119" w:rsidP="00AE1119">
            <w:pPr>
              <w:pStyle w:val="TableNheader"/>
              <w:spacing w:before="0" w:after="0"/>
            </w:pPr>
            <w:r w:rsidRPr="001E451F">
              <w:t>SA</w:t>
            </w:r>
          </w:p>
        </w:tc>
        <w:tc>
          <w:tcPr>
            <w:tcW w:w="709" w:type="dxa"/>
          </w:tcPr>
          <w:p w14:paraId="316F6234" w14:textId="77777777" w:rsidR="00AE1119" w:rsidRPr="001E451F" w:rsidRDefault="00AE1119" w:rsidP="00AE1119">
            <w:pPr>
              <w:pStyle w:val="TableNheader"/>
              <w:spacing w:before="0" w:after="0"/>
            </w:pPr>
            <w:r w:rsidRPr="001E451F">
              <w:t>WA</w:t>
            </w:r>
          </w:p>
        </w:tc>
        <w:tc>
          <w:tcPr>
            <w:tcW w:w="709" w:type="dxa"/>
          </w:tcPr>
          <w:p w14:paraId="1917287B" w14:textId="77777777" w:rsidR="00AE1119" w:rsidRPr="001E451F" w:rsidRDefault="00AE1119" w:rsidP="00AE1119">
            <w:pPr>
              <w:pStyle w:val="TableNheader"/>
              <w:spacing w:before="0" w:after="0"/>
            </w:pPr>
            <w:r w:rsidRPr="001E451F">
              <w:t>Tas</w:t>
            </w:r>
          </w:p>
        </w:tc>
        <w:tc>
          <w:tcPr>
            <w:tcW w:w="708" w:type="dxa"/>
          </w:tcPr>
          <w:p w14:paraId="2878A404" w14:textId="77777777" w:rsidR="00AE1119" w:rsidRPr="001E451F" w:rsidRDefault="00AE1119" w:rsidP="00AE1119">
            <w:pPr>
              <w:pStyle w:val="TableNheader"/>
              <w:spacing w:before="0" w:after="0"/>
            </w:pPr>
            <w:r w:rsidRPr="001E451F">
              <w:t>NT</w:t>
            </w:r>
          </w:p>
        </w:tc>
        <w:tc>
          <w:tcPr>
            <w:tcW w:w="709" w:type="dxa"/>
          </w:tcPr>
          <w:p w14:paraId="3739032C" w14:textId="77777777" w:rsidR="00AE1119" w:rsidRPr="001E451F" w:rsidRDefault="00AE1119" w:rsidP="00AE1119">
            <w:pPr>
              <w:pStyle w:val="TableNheader"/>
              <w:spacing w:before="0" w:after="0"/>
            </w:pPr>
            <w:r w:rsidRPr="001E451F">
              <w:t>ACT</w:t>
            </w:r>
          </w:p>
        </w:tc>
        <w:tc>
          <w:tcPr>
            <w:tcW w:w="850" w:type="dxa"/>
          </w:tcPr>
          <w:p w14:paraId="213B8108" w14:textId="77777777" w:rsidR="00AE1119" w:rsidRPr="001E451F" w:rsidRDefault="00AE1119" w:rsidP="00AE1119">
            <w:pPr>
              <w:pStyle w:val="TableNheader"/>
              <w:spacing w:before="0" w:after="0"/>
            </w:pPr>
            <w:r w:rsidRPr="001E451F">
              <w:t>Aust</w:t>
            </w:r>
          </w:p>
        </w:tc>
      </w:tr>
      <w:tr w:rsidR="00A2475C" w:rsidRPr="00037787" w14:paraId="7BE55712" w14:textId="77777777" w:rsidTr="00A2475C">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4968BCEA" w14:textId="77777777" w:rsidR="00A2475C" w:rsidRPr="00891B5F" w:rsidRDefault="00A2475C" w:rsidP="00A2475C">
            <w:pPr>
              <w:pStyle w:val="TableExpText"/>
              <w:spacing w:after="0"/>
              <w:rPr>
                <w:rFonts w:ascii="Segoe UI(Headings)" w:hAnsi="Segoe UI(Headings)" w:cstheme="majorHAnsi"/>
              </w:rPr>
            </w:pPr>
            <w:r>
              <w:rPr>
                <w:rFonts w:ascii="Segoe UI(Headings)" w:hAnsi="Segoe UI(Headings)" w:cstheme="majorHAnsi"/>
              </w:rPr>
              <w:t>Out of pocket costs for S</w:t>
            </w:r>
            <w:r w:rsidRPr="00891B5F">
              <w:rPr>
                <w:rFonts w:ascii="Segoe UI(Headings)" w:hAnsi="Segoe UI(Headings)" w:cstheme="majorHAnsi"/>
              </w:rPr>
              <w:t xml:space="preserve">tandalone and </w:t>
            </w:r>
            <w:proofErr w:type="gramStart"/>
            <w:r w:rsidRPr="00891B5F">
              <w:rPr>
                <w:rFonts w:ascii="Segoe UI(Headings)" w:hAnsi="Segoe UI(Headings)" w:cstheme="majorHAnsi"/>
              </w:rPr>
              <w:t>school based</w:t>
            </w:r>
            <w:proofErr w:type="gramEnd"/>
            <w:r>
              <w:rPr>
                <w:rFonts w:ascii="Segoe UI(Headings)" w:hAnsi="Segoe UI(Headings)" w:cstheme="majorHAnsi"/>
              </w:rPr>
              <w:t xml:space="preserve"> preschool (no adjustment)</w:t>
            </w:r>
            <w:r w:rsidRPr="00891B5F">
              <w:rPr>
                <w:rFonts w:ascii="Segoe UI(Headings)" w:hAnsi="Segoe UI(Headings)" w:cstheme="majorHAnsi"/>
              </w:rPr>
              <w:t xml:space="preserve"> ($</w:t>
            </w:r>
            <w:r>
              <w:rPr>
                <w:rFonts w:ascii="Segoe UI(Headings)" w:hAnsi="Segoe UI(Headings)" w:cstheme="majorHAnsi"/>
              </w:rPr>
              <w:t>’</w:t>
            </w:r>
            <w:r w:rsidRPr="00891B5F">
              <w:rPr>
                <w:rFonts w:ascii="Segoe UI(Headings)" w:hAnsi="Segoe UI(Headings)" w:cstheme="majorHAnsi"/>
              </w:rPr>
              <w:t>000</w:t>
            </w:r>
            <w:r>
              <w:rPr>
                <w:rFonts w:ascii="Segoe UI(Headings)" w:hAnsi="Segoe UI(Headings)" w:cstheme="majorHAnsi"/>
              </w:rPr>
              <w:t>s</w:t>
            </w:r>
            <w:r w:rsidRPr="00891B5F">
              <w:rPr>
                <w:rFonts w:ascii="Segoe UI(Headings)" w:hAnsi="Segoe UI(Headings)" w:cstheme="majorHAnsi"/>
              </w:rPr>
              <w:t>)</w:t>
            </w:r>
          </w:p>
        </w:tc>
        <w:tc>
          <w:tcPr>
            <w:tcW w:w="850" w:type="dxa"/>
            <w:vAlign w:val="top"/>
          </w:tcPr>
          <w:p w14:paraId="52242AA3" w14:textId="2C5B6EC3" w:rsidR="00A2475C" w:rsidRPr="0075045A" w:rsidRDefault="00A2475C" w:rsidP="00A2475C">
            <w:pPr>
              <w:pStyle w:val="TableExpText"/>
              <w:spacing w:after="0"/>
            </w:pPr>
            <w:r w:rsidRPr="001301D6">
              <w:t xml:space="preserve"> 80 007 </w:t>
            </w:r>
          </w:p>
        </w:tc>
        <w:tc>
          <w:tcPr>
            <w:tcW w:w="851" w:type="dxa"/>
            <w:vAlign w:val="top"/>
          </w:tcPr>
          <w:p w14:paraId="50848096" w14:textId="1CBEFC89" w:rsidR="00A2475C" w:rsidRPr="0075045A" w:rsidRDefault="00A2475C" w:rsidP="00A2475C">
            <w:pPr>
              <w:pStyle w:val="TableExpText"/>
              <w:spacing w:after="0"/>
            </w:pPr>
            <w:r w:rsidRPr="001301D6">
              <w:t xml:space="preserve"> 74 094 </w:t>
            </w:r>
          </w:p>
        </w:tc>
        <w:tc>
          <w:tcPr>
            <w:tcW w:w="850" w:type="dxa"/>
            <w:vAlign w:val="top"/>
          </w:tcPr>
          <w:p w14:paraId="0645DE60" w14:textId="7AD66E76" w:rsidR="00A2475C" w:rsidRPr="0075045A" w:rsidRDefault="00A2475C" w:rsidP="00A2475C">
            <w:pPr>
              <w:pStyle w:val="TableExpText"/>
              <w:spacing w:after="0"/>
            </w:pPr>
            <w:r w:rsidRPr="001301D6">
              <w:t xml:space="preserve"> 37 721 </w:t>
            </w:r>
          </w:p>
        </w:tc>
        <w:tc>
          <w:tcPr>
            <w:tcW w:w="709" w:type="dxa"/>
            <w:vAlign w:val="top"/>
          </w:tcPr>
          <w:p w14:paraId="4170C139" w14:textId="5543268F" w:rsidR="00A2475C" w:rsidRPr="0075045A" w:rsidRDefault="00A2475C" w:rsidP="00A2475C">
            <w:pPr>
              <w:pStyle w:val="TableExpText"/>
              <w:spacing w:after="0"/>
            </w:pPr>
            <w:r w:rsidRPr="001301D6">
              <w:t xml:space="preserve"> 2 448 </w:t>
            </w:r>
          </w:p>
        </w:tc>
        <w:tc>
          <w:tcPr>
            <w:tcW w:w="709" w:type="dxa"/>
            <w:vAlign w:val="top"/>
          </w:tcPr>
          <w:p w14:paraId="1DB171F7" w14:textId="6F9BADC3" w:rsidR="00A2475C" w:rsidRPr="0075045A" w:rsidRDefault="00A2475C" w:rsidP="00A2475C">
            <w:pPr>
              <w:pStyle w:val="TableExpText"/>
              <w:spacing w:after="0"/>
            </w:pPr>
            <w:r w:rsidRPr="001301D6">
              <w:t xml:space="preserve">20 855 </w:t>
            </w:r>
          </w:p>
        </w:tc>
        <w:tc>
          <w:tcPr>
            <w:tcW w:w="709" w:type="dxa"/>
            <w:vAlign w:val="top"/>
          </w:tcPr>
          <w:p w14:paraId="3B6DC46E" w14:textId="6002EAD9" w:rsidR="00A2475C" w:rsidRPr="0075045A" w:rsidRDefault="00A2475C" w:rsidP="00A2475C">
            <w:pPr>
              <w:pStyle w:val="TableExpText"/>
              <w:spacing w:after="0"/>
            </w:pPr>
            <w:r w:rsidRPr="001301D6">
              <w:t xml:space="preserve">2 207 </w:t>
            </w:r>
          </w:p>
        </w:tc>
        <w:tc>
          <w:tcPr>
            <w:tcW w:w="708" w:type="dxa"/>
            <w:vAlign w:val="top"/>
          </w:tcPr>
          <w:p w14:paraId="7D159689" w14:textId="592AEF6B" w:rsidR="00A2475C" w:rsidRPr="0075045A" w:rsidRDefault="00A2475C" w:rsidP="00A2475C">
            <w:pPr>
              <w:pStyle w:val="TableExpText"/>
              <w:spacing w:after="0"/>
            </w:pPr>
            <w:r w:rsidRPr="001301D6">
              <w:t xml:space="preserve"> - </w:t>
            </w:r>
          </w:p>
        </w:tc>
        <w:tc>
          <w:tcPr>
            <w:tcW w:w="709" w:type="dxa"/>
            <w:vAlign w:val="top"/>
          </w:tcPr>
          <w:p w14:paraId="403CF929" w14:textId="453B0EB4" w:rsidR="00A2475C" w:rsidRPr="0075045A" w:rsidRDefault="00A2475C" w:rsidP="00A2475C">
            <w:pPr>
              <w:pStyle w:val="TableExpText"/>
              <w:spacing w:after="0"/>
            </w:pPr>
            <w:r w:rsidRPr="001301D6">
              <w:t xml:space="preserve"> 1 724 </w:t>
            </w:r>
          </w:p>
        </w:tc>
        <w:tc>
          <w:tcPr>
            <w:tcW w:w="850" w:type="dxa"/>
            <w:vAlign w:val="top"/>
          </w:tcPr>
          <w:p w14:paraId="7E2F693D" w14:textId="465467F8" w:rsidR="00A2475C" w:rsidRPr="0075045A" w:rsidRDefault="00A2475C" w:rsidP="00A2475C">
            <w:pPr>
              <w:pStyle w:val="TableExpText"/>
              <w:spacing w:after="0"/>
            </w:pPr>
            <w:r w:rsidRPr="001301D6">
              <w:t xml:space="preserve"> 219 055 </w:t>
            </w:r>
          </w:p>
        </w:tc>
      </w:tr>
      <w:tr w:rsidR="00A2475C" w:rsidRPr="00037787" w14:paraId="77DEA47E" w14:textId="77777777" w:rsidTr="00A2475C">
        <w:trPr>
          <w:cnfStyle w:val="000000010000" w:firstRow="0" w:lastRow="0" w:firstColumn="0" w:lastColumn="0" w:oddVBand="0" w:evenVBand="0" w:oddHBand="0" w:evenHBand="1" w:firstRowFirstColumn="0" w:firstRowLastColumn="0" w:lastRowFirstColumn="0" w:lastRowLastColumn="0"/>
        </w:trPr>
        <w:tc>
          <w:tcPr>
            <w:tcW w:w="1985" w:type="dxa"/>
            <w:vAlign w:val="top"/>
          </w:tcPr>
          <w:p w14:paraId="284A4EF1" w14:textId="77777777" w:rsidR="00A2475C" w:rsidRPr="006C10DE" w:rsidRDefault="00A2475C" w:rsidP="00A2475C">
            <w:pPr>
              <w:pStyle w:val="TableExpText"/>
              <w:spacing w:after="0"/>
            </w:pPr>
            <w:r w:rsidRPr="00891B5F">
              <w:t>Out of pocket costs for CBDC (after adjustment) ($</w:t>
            </w:r>
            <w:r>
              <w:t>’</w:t>
            </w:r>
            <w:r w:rsidRPr="00891B5F">
              <w:t>000</w:t>
            </w:r>
            <w:r>
              <w:t>s</w:t>
            </w:r>
            <w:r w:rsidRPr="00891B5F">
              <w:t>)</w:t>
            </w:r>
          </w:p>
        </w:tc>
        <w:tc>
          <w:tcPr>
            <w:tcW w:w="850" w:type="dxa"/>
            <w:vAlign w:val="top"/>
          </w:tcPr>
          <w:p w14:paraId="45C341B3" w14:textId="4CD53933" w:rsidR="00A2475C" w:rsidRPr="00812B01" w:rsidRDefault="00A2475C" w:rsidP="00A2475C">
            <w:pPr>
              <w:pStyle w:val="TableExpText"/>
              <w:spacing w:after="0"/>
            </w:pPr>
            <w:r w:rsidRPr="00FE17B3">
              <w:t>208481</w:t>
            </w:r>
          </w:p>
        </w:tc>
        <w:tc>
          <w:tcPr>
            <w:tcW w:w="851" w:type="dxa"/>
            <w:vAlign w:val="top"/>
          </w:tcPr>
          <w:p w14:paraId="6EBC5B2C" w14:textId="41B3EF56" w:rsidR="00A2475C" w:rsidRPr="00812B01" w:rsidRDefault="00A2475C" w:rsidP="00A2475C">
            <w:pPr>
              <w:pStyle w:val="TableExpText"/>
              <w:spacing w:after="0"/>
            </w:pPr>
            <w:r w:rsidRPr="00FE17B3">
              <w:t>125231</w:t>
            </w:r>
          </w:p>
        </w:tc>
        <w:tc>
          <w:tcPr>
            <w:tcW w:w="850" w:type="dxa"/>
            <w:vAlign w:val="top"/>
          </w:tcPr>
          <w:p w14:paraId="4B029D72" w14:textId="06986BA1" w:rsidR="00A2475C" w:rsidRPr="00812B01" w:rsidRDefault="00A2475C" w:rsidP="00A2475C">
            <w:pPr>
              <w:pStyle w:val="TableExpText"/>
              <w:spacing w:after="0"/>
            </w:pPr>
            <w:r w:rsidRPr="00FE17B3">
              <w:t>89046</w:t>
            </w:r>
          </w:p>
        </w:tc>
        <w:tc>
          <w:tcPr>
            <w:tcW w:w="709" w:type="dxa"/>
            <w:vAlign w:val="top"/>
          </w:tcPr>
          <w:p w14:paraId="3E5EFEFF" w14:textId="788F7F66" w:rsidR="00A2475C" w:rsidRPr="00812B01" w:rsidRDefault="00A2475C" w:rsidP="00A2475C">
            <w:pPr>
              <w:pStyle w:val="TableExpText"/>
              <w:spacing w:after="0"/>
            </w:pPr>
            <w:r w:rsidRPr="00FE17B3">
              <w:t>17279</w:t>
            </w:r>
          </w:p>
        </w:tc>
        <w:tc>
          <w:tcPr>
            <w:tcW w:w="709" w:type="dxa"/>
            <w:vAlign w:val="top"/>
          </w:tcPr>
          <w:p w14:paraId="5D695BA5" w14:textId="018FB281" w:rsidR="00A2475C" w:rsidRPr="00812B01" w:rsidRDefault="00A2475C" w:rsidP="00A2475C">
            <w:pPr>
              <w:pStyle w:val="TableExpText"/>
              <w:spacing w:after="0"/>
            </w:pPr>
            <w:r w:rsidRPr="00FE17B3">
              <w:t>3852</w:t>
            </w:r>
          </w:p>
        </w:tc>
        <w:tc>
          <w:tcPr>
            <w:tcW w:w="709" w:type="dxa"/>
            <w:vAlign w:val="top"/>
          </w:tcPr>
          <w:p w14:paraId="2DEDAF12" w14:textId="54187190" w:rsidR="00A2475C" w:rsidRPr="00812B01" w:rsidRDefault="00A2475C" w:rsidP="00A2475C">
            <w:pPr>
              <w:pStyle w:val="TableExpText"/>
              <w:spacing w:after="0"/>
            </w:pPr>
            <w:r w:rsidRPr="00FE17B3">
              <w:t>1495</w:t>
            </w:r>
          </w:p>
        </w:tc>
        <w:tc>
          <w:tcPr>
            <w:tcW w:w="708" w:type="dxa"/>
            <w:vAlign w:val="top"/>
          </w:tcPr>
          <w:p w14:paraId="12620F1F" w14:textId="775C1137" w:rsidR="00A2475C" w:rsidRPr="00812B01" w:rsidRDefault="00A2475C" w:rsidP="00A2475C">
            <w:pPr>
              <w:pStyle w:val="TableExpText"/>
              <w:spacing w:after="0"/>
            </w:pPr>
            <w:r w:rsidRPr="00FE17B3">
              <w:t>1533</w:t>
            </w:r>
          </w:p>
        </w:tc>
        <w:tc>
          <w:tcPr>
            <w:tcW w:w="709" w:type="dxa"/>
            <w:vAlign w:val="top"/>
          </w:tcPr>
          <w:p w14:paraId="56EAD9F9" w14:textId="78EF6F25" w:rsidR="00A2475C" w:rsidRPr="00812B01" w:rsidRDefault="00A2475C" w:rsidP="00A2475C">
            <w:pPr>
              <w:pStyle w:val="TableExpText"/>
              <w:spacing w:after="0"/>
            </w:pPr>
            <w:r w:rsidRPr="00FE17B3">
              <w:t>9543</w:t>
            </w:r>
          </w:p>
        </w:tc>
        <w:tc>
          <w:tcPr>
            <w:tcW w:w="850" w:type="dxa"/>
            <w:vAlign w:val="top"/>
          </w:tcPr>
          <w:p w14:paraId="0AB90AC3" w14:textId="39672948" w:rsidR="00A2475C" w:rsidRPr="00812B01" w:rsidRDefault="00A2475C" w:rsidP="00A2475C">
            <w:pPr>
              <w:pStyle w:val="TableExpText"/>
              <w:spacing w:after="0"/>
            </w:pPr>
            <w:r w:rsidRPr="00FE17B3">
              <w:t>469423</w:t>
            </w:r>
          </w:p>
        </w:tc>
      </w:tr>
      <w:tr w:rsidR="00A2475C" w:rsidRPr="00037787" w14:paraId="4B9EB713" w14:textId="77777777" w:rsidTr="00A2475C">
        <w:trPr>
          <w:cnfStyle w:val="000000100000" w:firstRow="0" w:lastRow="0" w:firstColumn="0" w:lastColumn="0" w:oddVBand="0" w:evenVBand="0" w:oddHBand="1" w:evenHBand="0" w:firstRowFirstColumn="0" w:firstRowLastColumn="0" w:lastRowFirstColumn="0" w:lastRowLastColumn="0"/>
        </w:trPr>
        <w:tc>
          <w:tcPr>
            <w:tcW w:w="1985" w:type="dxa"/>
            <w:vAlign w:val="top"/>
          </w:tcPr>
          <w:p w14:paraId="335964D1" w14:textId="77777777" w:rsidR="00A2475C" w:rsidRPr="006C10DE" w:rsidRDefault="00A2475C" w:rsidP="00A2475C">
            <w:pPr>
              <w:pStyle w:val="TableExpText"/>
              <w:spacing w:after="0"/>
            </w:pPr>
            <w:r w:rsidRPr="00891B5F">
              <w:t>Out of pocket costs more than one provider (after adjustment) ($</w:t>
            </w:r>
            <w:r>
              <w:t>’</w:t>
            </w:r>
            <w:r w:rsidRPr="00891B5F">
              <w:t>000</w:t>
            </w:r>
            <w:r>
              <w:t>s</w:t>
            </w:r>
            <w:r w:rsidRPr="00891B5F">
              <w:t>)</w:t>
            </w:r>
          </w:p>
        </w:tc>
        <w:tc>
          <w:tcPr>
            <w:tcW w:w="850" w:type="dxa"/>
            <w:vAlign w:val="top"/>
          </w:tcPr>
          <w:p w14:paraId="077D8743" w14:textId="453727B7" w:rsidR="00A2475C" w:rsidRPr="00812B01" w:rsidRDefault="00A2475C" w:rsidP="00A2475C">
            <w:pPr>
              <w:pStyle w:val="TableExpText"/>
              <w:spacing w:after="0"/>
            </w:pPr>
            <w:r w:rsidRPr="003F3978">
              <w:t xml:space="preserve"> 13,873 </w:t>
            </w:r>
          </w:p>
        </w:tc>
        <w:tc>
          <w:tcPr>
            <w:tcW w:w="851" w:type="dxa"/>
            <w:vAlign w:val="top"/>
          </w:tcPr>
          <w:p w14:paraId="75BAC6F0" w14:textId="1EB26BE2" w:rsidR="00A2475C" w:rsidRPr="00812B01" w:rsidRDefault="00A2475C" w:rsidP="00A2475C">
            <w:pPr>
              <w:pStyle w:val="TableExpText"/>
              <w:spacing w:after="0"/>
            </w:pPr>
            <w:r w:rsidRPr="003F3978">
              <w:t xml:space="preserve"> 7,053 </w:t>
            </w:r>
          </w:p>
        </w:tc>
        <w:tc>
          <w:tcPr>
            <w:tcW w:w="850" w:type="dxa"/>
            <w:vAlign w:val="top"/>
          </w:tcPr>
          <w:p w14:paraId="196EEED5" w14:textId="0E189EE3" w:rsidR="00A2475C" w:rsidRPr="00812B01" w:rsidRDefault="00A2475C" w:rsidP="00A2475C">
            <w:pPr>
              <w:pStyle w:val="TableExpText"/>
              <w:spacing w:after="0"/>
            </w:pPr>
            <w:r w:rsidRPr="003F3978">
              <w:t xml:space="preserve"> 4,795 </w:t>
            </w:r>
          </w:p>
        </w:tc>
        <w:tc>
          <w:tcPr>
            <w:tcW w:w="709" w:type="dxa"/>
            <w:vAlign w:val="top"/>
          </w:tcPr>
          <w:p w14:paraId="4FCD2EC7" w14:textId="0BAC2873" w:rsidR="00A2475C" w:rsidRPr="00812B01" w:rsidRDefault="00A2475C" w:rsidP="00A2475C">
            <w:pPr>
              <w:pStyle w:val="TableExpText"/>
              <w:spacing w:after="0"/>
            </w:pPr>
            <w:r w:rsidRPr="003F3978">
              <w:t xml:space="preserve"> 690 </w:t>
            </w:r>
          </w:p>
        </w:tc>
        <w:tc>
          <w:tcPr>
            <w:tcW w:w="709" w:type="dxa"/>
            <w:vAlign w:val="top"/>
          </w:tcPr>
          <w:p w14:paraId="0D887A7D" w14:textId="0177520C" w:rsidR="00A2475C" w:rsidRPr="00812B01" w:rsidRDefault="00A2475C" w:rsidP="00A2475C">
            <w:pPr>
              <w:pStyle w:val="TableExpText"/>
              <w:spacing w:after="0"/>
            </w:pPr>
            <w:r w:rsidRPr="003F3978">
              <w:t xml:space="preserve">795 </w:t>
            </w:r>
          </w:p>
        </w:tc>
        <w:tc>
          <w:tcPr>
            <w:tcW w:w="709" w:type="dxa"/>
            <w:vAlign w:val="top"/>
          </w:tcPr>
          <w:p w14:paraId="47CFB9FE" w14:textId="05028BB5" w:rsidR="00A2475C" w:rsidRPr="00812B01" w:rsidRDefault="00A2475C" w:rsidP="00A2475C">
            <w:pPr>
              <w:pStyle w:val="TableExpText"/>
              <w:spacing w:after="0"/>
            </w:pPr>
            <w:r w:rsidRPr="003F3978">
              <w:t xml:space="preserve"> 68 </w:t>
            </w:r>
          </w:p>
        </w:tc>
        <w:tc>
          <w:tcPr>
            <w:tcW w:w="708" w:type="dxa"/>
            <w:vAlign w:val="top"/>
          </w:tcPr>
          <w:p w14:paraId="071F220A" w14:textId="69043601" w:rsidR="00A2475C" w:rsidRPr="00812B01" w:rsidRDefault="00A2475C" w:rsidP="00A2475C">
            <w:pPr>
              <w:pStyle w:val="TableExpText"/>
              <w:spacing w:after="0"/>
            </w:pPr>
            <w:r w:rsidRPr="003F3978">
              <w:t xml:space="preserve"> 73 </w:t>
            </w:r>
          </w:p>
        </w:tc>
        <w:tc>
          <w:tcPr>
            <w:tcW w:w="709" w:type="dxa"/>
            <w:vAlign w:val="top"/>
          </w:tcPr>
          <w:p w14:paraId="5069882A" w14:textId="3BAE6C60" w:rsidR="00A2475C" w:rsidRPr="00812B01" w:rsidRDefault="00A2475C" w:rsidP="00A2475C">
            <w:pPr>
              <w:pStyle w:val="TableExpText"/>
              <w:spacing w:after="0"/>
            </w:pPr>
            <w:r w:rsidRPr="003F3978">
              <w:t xml:space="preserve"> 894 </w:t>
            </w:r>
          </w:p>
        </w:tc>
        <w:tc>
          <w:tcPr>
            <w:tcW w:w="850" w:type="dxa"/>
            <w:vAlign w:val="top"/>
          </w:tcPr>
          <w:p w14:paraId="7B998560" w14:textId="34843793" w:rsidR="00A2475C" w:rsidRPr="00812B01" w:rsidRDefault="00A2475C" w:rsidP="00A2475C">
            <w:pPr>
              <w:pStyle w:val="TableExpText"/>
              <w:spacing w:after="0"/>
            </w:pPr>
            <w:r w:rsidRPr="003F3978">
              <w:t xml:space="preserve"> 35,347 </w:t>
            </w:r>
          </w:p>
        </w:tc>
      </w:tr>
      <w:tr w:rsidR="00A2475C" w:rsidRPr="00037787" w14:paraId="4DF88A43" w14:textId="77777777" w:rsidTr="00A2475C">
        <w:trPr>
          <w:cnfStyle w:val="000000010000" w:firstRow="0" w:lastRow="0" w:firstColumn="0" w:lastColumn="0" w:oddVBand="0" w:evenVBand="0" w:oddHBand="0" w:evenHBand="1" w:firstRowFirstColumn="0" w:firstRowLastColumn="0" w:lastRowFirstColumn="0" w:lastRowLastColumn="0"/>
        </w:trPr>
        <w:tc>
          <w:tcPr>
            <w:tcW w:w="1985" w:type="dxa"/>
            <w:vAlign w:val="bottom"/>
          </w:tcPr>
          <w:p w14:paraId="22E22FD7" w14:textId="77777777" w:rsidR="00A2475C" w:rsidRPr="007E372A" w:rsidRDefault="00A2475C" w:rsidP="00A2475C">
            <w:pPr>
              <w:pStyle w:val="Tableexpheader"/>
              <w:spacing w:before="0" w:after="0"/>
            </w:pPr>
            <w:r w:rsidRPr="00DC078B">
              <w:rPr>
                <w:rFonts w:asciiTheme="majorHAnsi" w:hAnsiTheme="majorHAnsi" w:cstheme="majorHAnsi"/>
              </w:rPr>
              <w:t>Category 4</w:t>
            </w:r>
            <w:r>
              <w:rPr>
                <w:rFonts w:asciiTheme="majorHAnsi" w:hAnsiTheme="majorHAnsi" w:cstheme="majorHAnsi"/>
              </w:rPr>
              <w:t xml:space="preserve">: </w:t>
            </w:r>
            <w:r w:rsidRPr="00A27834">
              <w:t>Estimated parental contributions (out of pocket costs)</w:t>
            </w:r>
            <w:r>
              <w:t xml:space="preserve"> </w:t>
            </w:r>
            <w:r w:rsidRPr="00A27834">
              <w:t>($</w:t>
            </w:r>
            <w:r>
              <w:t>’</w:t>
            </w:r>
            <w:r w:rsidRPr="00A27834">
              <w:t>000</w:t>
            </w:r>
            <w:r>
              <w:t>s</w:t>
            </w:r>
            <w:r w:rsidRPr="00A27834">
              <w:t>)</w:t>
            </w:r>
          </w:p>
        </w:tc>
        <w:tc>
          <w:tcPr>
            <w:tcW w:w="850" w:type="dxa"/>
            <w:vAlign w:val="top"/>
          </w:tcPr>
          <w:p w14:paraId="5A522013" w14:textId="2FC9D5A3" w:rsidR="00A2475C" w:rsidRPr="00B0693D" w:rsidRDefault="00A2475C" w:rsidP="00A2475C">
            <w:pPr>
              <w:pStyle w:val="Tableexpheader"/>
              <w:spacing w:before="0" w:after="0"/>
            </w:pPr>
            <w:r w:rsidRPr="00F902A8">
              <w:t>302 361</w:t>
            </w:r>
          </w:p>
        </w:tc>
        <w:tc>
          <w:tcPr>
            <w:tcW w:w="851" w:type="dxa"/>
            <w:vAlign w:val="top"/>
          </w:tcPr>
          <w:p w14:paraId="1BA551FF" w14:textId="3CEF3A74" w:rsidR="00A2475C" w:rsidRPr="00B0693D" w:rsidRDefault="00A2475C" w:rsidP="00A2475C">
            <w:pPr>
              <w:pStyle w:val="Tableexpheader"/>
              <w:spacing w:before="0" w:after="0"/>
            </w:pPr>
            <w:r w:rsidRPr="00F902A8">
              <w:t xml:space="preserve"> 206 378</w:t>
            </w:r>
          </w:p>
        </w:tc>
        <w:tc>
          <w:tcPr>
            <w:tcW w:w="850" w:type="dxa"/>
            <w:vAlign w:val="top"/>
          </w:tcPr>
          <w:p w14:paraId="304755FD" w14:textId="2B8E1F44" w:rsidR="00A2475C" w:rsidRPr="00B0693D" w:rsidRDefault="00A2475C" w:rsidP="00A2475C">
            <w:pPr>
              <w:pStyle w:val="Tableexpheader"/>
              <w:spacing w:before="0" w:after="0"/>
            </w:pPr>
            <w:r w:rsidRPr="00F902A8">
              <w:t xml:space="preserve"> 131 562</w:t>
            </w:r>
          </w:p>
        </w:tc>
        <w:tc>
          <w:tcPr>
            <w:tcW w:w="709" w:type="dxa"/>
            <w:vAlign w:val="top"/>
          </w:tcPr>
          <w:p w14:paraId="3BBAA726" w14:textId="1B3124CE" w:rsidR="00A2475C" w:rsidRPr="00B0693D" w:rsidRDefault="00A2475C" w:rsidP="00A2475C">
            <w:pPr>
              <w:pStyle w:val="Tableexpheader"/>
              <w:spacing w:before="0" w:after="0"/>
            </w:pPr>
            <w:r w:rsidRPr="00F902A8">
              <w:t>20 416</w:t>
            </w:r>
          </w:p>
        </w:tc>
        <w:tc>
          <w:tcPr>
            <w:tcW w:w="709" w:type="dxa"/>
            <w:vAlign w:val="top"/>
          </w:tcPr>
          <w:p w14:paraId="02AB274A" w14:textId="702F2C4F" w:rsidR="00A2475C" w:rsidRPr="00B0693D" w:rsidRDefault="00A2475C" w:rsidP="00A2475C">
            <w:pPr>
              <w:pStyle w:val="Tableexpheader"/>
              <w:spacing w:before="0" w:after="0"/>
            </w:pPr>
            <w:r w:rsidRPr="00F902A8">
              <w:t>25 501</w:t>
            </w:r>
          </w:p>
        </w:tc>
        <w:tc>
          <w:tcPr>
            <w:tcW w:w="709" w:type="dxa"/>
            <w:vAlign w:val="top"/>
          </w:tcPr>
          <w:p w14:paraId="7B0EE41F" w14:textId="5BBBC4EA" w:rsidR="00A2475C" w:rsidRPr="00B0693D" w:rsidRDefault="00A2475C" w:rsidP="00A2475C">
            <w:pPr>
              <w:pStyle w:val="Tableexpheader"/>
              <w:spacing w:before="0" w:after="0"/>
            </w:pPr>
            <w:r w:rsidRPr="00F902A8">
              <w:t>3 770</w:t>
            </w:r>
          </w:p>
        </w:tc>
        <w:tc>
          <w:tcPr>
            <w:tcW w:w="708" w:type="dxa"/>
            <w:vAlign w:val="top"/>
          </w:tcPr>
          <w:p w14:paraId="055279D8" w14:textId="7A4CDE2F" w:rsidR="00A2475C" w:rsidRPr="00B0693D" w:rsidRDefault="00A2475C" w:rsidP="00A2475C">
            <w:pPr>
              <w:pStyle w:val="Tableexpheader"/>
              <w:spacing w:before="0" w:after="0"/>
            </w:pPr>
            <w:r w:rsidRPr="00F902A8">
              <w:t xml:space="preserve"> 1 606</w:t>
            </w:r>
          </w:p>
        </w:tc>
        <w:tc>
          <w:tcPr>
            <w:tcW w:w="709" w:type="dxa"/>
            <w:vAlign w:val="top"/>
          </w:tcPr>
          <w:p w14:paraId="48191255" w14:textId="4FB84B34" w:rsidR="00A2475C" w:rsidRPr="00B0693D" w:rsidRDefault="00A2475C" w:rsidP="00A2475C">
            <w:pPr>
              <w:pStyle w:val="Tableexpheader"/>
              <w:spacing w:before="0" w:after="0"/>
            </w:pPr>
            <w:r w:rsidRPr="00F902A8">
              <w:t xml:space="preserve"> 12 161</w:t>
            </w:r>
          </w:p>
        </w:tc>
        <w:tc>
          <w:tcPr>
            <w:tcW w:w="850" w:type="dxa"/>
            <w:vAlign w:val="top"/>
          </w:tcPr>
          <w:p w14:paraId="04E12FEF" w14:textId="1D1559FD" w:rsidR="00A2475C" w:rsidRPr="00B0693D" w:rsidRDefault="00A2475C" w:rsidP="00A2475C">
            <w:pPr>
              <w:pStyle w:val="Tableexpheader"/>
              <w:spacing w:before="0" w:after="0"/>
            </w:pPr>
            <w:r w:rsidRPr="00F902A8">
              <w:t xml:space="preserve"> 723 825</w:t>
            </w:r>
          </w:p>
        </w:tc>
      </w:tr>
    </w:tbl>
    <w:p w14:paraId="529B3CEC" w14:textId="4A3D99B1" w:rsidR="00451AA4" w:rsidRPr="00BA6DF4" w:rsidRDefault="00451AA4" w:rsidP="00451AA4">
      <w:pPr>
        <w:pStyle w:val="Bullet"/>
      </w:pPr>
      <w:bookmarkStart w:id="285" w:name="_Ref24558431"/>
      <w:bookmarkStart w:id="286" w:name="_Toc24559619"/>
    </w:p>
    <w:p w14:paraId="0215F74B" w14:textId="77777777" w:rsidR="00451AA4" w:rsidRPr="00451AA4" w:rsidRDefault="00451AA4" w:rsidP="00451AA4">
      <w:pPr>
        <w:rPr>
          <w:lang w:eastAsia="en-AU"/>
        </w:rPr>
        <w:sectPr w:rsidR="00451AA4" w:rsidRPr="00451AA4" w:rsidSect="00AE1109">
          <w:headerReference w:type="default" r:id="rId75"/>
          <w:headerReference w:type="first" r:id="rId76"/>
          <w:pgSz w:w="11907" w:h="16839" w:code="9"/>
          <w:pgMar w:top="1418" w:right="1418" w:bottom="1701" w:left="1559" w:header="720" w:footer="720" w:gutter="0"/>
          <w:cols w:space="720"/>
          <w:titlePg/>
          <w:docGrid w:linePitch="360"/>
        </w:sectPr>
      </w:pPr>
    </w:p>
    <w:p w14:paraId="1FBCA6B4" w14:textId="77777777" w:rsidR="0084745E" w:rsidRPr="00811DBC" w:rsidRDefault="00451AA4" w:rsidP="0084745E">
      <w:pPr>
        <w:pStyle w:val="xAppendixLevel1"/>
      </w:pPr>
      <w:r>
        <w:lastRenderedPageBreak/>
        <w:t xml:space="preserve"> </w:t>
      </w:r>
      <w:bookmarkStart w:id="287" w:name="_Toc54597806"/>
      <w:r w:rsidR="0084745E" w:rsidRPr="00105F99">
        <w:t>Consultation participants</w:t>
      </w:r>
      <w:bookmarkEnd w:id="285"/>
      <w:bookmarkEnd w:id="286"/>
      <w:bookmarkEnd w:id="287"/>
    </w:p>
    <w:p w14:paraId="2354128C" w14:textId="77777777" w:rsidR="00576F00" w:rsidRPr="00C30076" w:rsidRDefault="00FA1375" w:rsidP="00503C01">
      <w:pPr>
        <w:rPr>
          <w:lang w:eastAsia="en-AU"/>
        </w:rPr>
      </w:pPr>
      <w:r w:rsidRPr="00FA1375">
        <w:t xml:space="preserve">The Review conducted consultations with officials from all jurisdictions and key sector stakeholders, including parent and carer representatives, peak bodies, major providers, non-government </w:t>
      </w:r>
      <w:proofErr w:type="gramStart"/>
      <w:r w:rsidRPr="00FA1375">
        <w:t>schools</w:t>
      </w:r>
      <w:proofErr w:type="gramEnd"/>
      <w:r w:rsidRPr="00FA1375">
        <w:t xml:space="preserve"> bodies, unions and preschool experts. This appendix lists the organisations Nous engaged. </w:t>
      </w:r>
    </w:p>
    <w:tbl>
      <w:tblPr>
        <w:tblStyle w:val="TableGrid"/>
        <w:tblW w:w="0" w:type="auto"/>
        <w:tblLook w:val="04A0" w:firstRow="1" w:lastRow="0" w:firstColumn="1" w:lastColumn="0" w:noHBand="0" w:noVBand="1"/>
      </w:tblPr>
      <w:tblGrid>
        <w:gridCol w:w="4465"/>
        <w:gridCol w:w="4465"/>
      </w:tblGrid>
      <w:tr w:rsidR="00EB5E4A" w:rsidRPr="00EB5E4A" w14:paraId="09E7AF09" w14:textId="77777777" w:rsidTr="00EB5E4A">
        <w:trPr>
          <w:cnfStyle w:val="100000000000" w:firstRow="1" w:lastRow="0" w:firstColumn="0" w:lastColumn="0" w:oddVBand="0" w:evenVBand="0" w:oddHBand="0" w:evenHBand="0" w:firstRowFirstColumn="0" w:firstRowLastColumn="0" w:lastRowFirstColumn="0" w:lastRowLastColumn="0"/>
          <w:tblHeader w:val="0"/>
        </w:trPr>
        <w:tc>
          <w:tcPr>
            <w:tcW w:w="4465" w:type="dxa"/>
            <w:tcBorders>
              <w:top w:val="nil"/>
              <w:right w:val="nil"/>
            </w:tcBorders>
            <w:shd w:val="clear" w:color="auto" w:fill="auto"/>
          </w:tcPr>
          <w:p w14:paraId="62982047" w14:textId="77777777" w:rsidR="00EB5E4A" w:rsidRPr="00EB5E4A" w:rsidRDefault="00EB5E4A" w:rsidP="00EB5E4A">
            <w:pPr>
              <w:rPr>
                <w:color w:val="auto"/>
                <w:lang w:eastAsia="en-AU"/>
              </w:rPr>
            </w:pPr>
            <w:r w:rsidRPr="00EB5E4A">
              <w:rPr>
                <w:color w:val="auto"/>
                <w:lang w:eastAsia="en-AU"/>
              </w:rPr>
              <w:t>ACT Aboriginal and Torres Strait Islander Education Advisory Group – Parent Member</w:t>
            </w:r>
          </w:p>
        </w:tc>
        <w:tc>
          <w:tcPr>
            <w:tcW w:w="4465" w:type="dxa"/>
            <w:tcBorders>
              <w:top w:val="nil"/>
              <w:left w:val="nil"/>
            </w:tcBorders>
            <w:shd w:val="clear" w:color="auto" w:fill="auto"/>
          </w:tcPr>
          <w:p w14:paraId="011B285A" w14:textId="77777777" w:rsidR="00EB5E4A" w:rsidRPr="00EB5E4A" w:rsidRDefault="00EB5E4A" w:rsidP="00EB5E4A">
            <w:pPr>
              <w:rPr>
                <w:color w:val="auto"/>
                <w:lang w:eastAsia="en-AU"/>
              </w:rPr>
            </w:pPr>
            <w:r w:rsidRPr="00EB5E4A">
              <w:rPr>
                <w:color w:val="auto"/>
                <w:lang w:eastAsia="en-AU"/>
              </w:rPr>
              <w:t>ACT Chief Minister, Treasury and Economic Development Directorate</w:t>
            </w:r>
          </w:p>
        </w:tc>
      </w:tr>
      <w:tr w:rsidR="00EB5E4A" w:rsidRPr="00EB5E4A" w14:paraId="5B3537DF"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18329170" w14:textId="77777777" w:rsidR="00EB5E4A" w:rsidRPr="00EB5E4A" w:rsidRDefault="00EB5E4A" w:rsidP="00EB5E4A">
            <w:pPr>
              <w:rPr>
                <w:lang w:eastAsia="en-AU"/>
              </w:rPr>
            </w:pPr>
            <w:r w:rsidRPr="00EB5E4A">
              <w:rPr>
                <w:lang w:eastAsia="en-AU"/>
              </w:rPr>
              <w:t>ACT Council of Parents &amp; Citizens Associations</w:t>
            </w:r>
          </w:p>
        </w:tc>
        <w:tc>
          <w:tcPr>
            <w:tcW w:w="4465" w:type="dxa"/>
          </w:tcPr>
          <w:p w14:paraId="67023842" w14:textId="77777777" w:rsidR="00EB5E4A" w:rsidRPr="00EB5E4A" w:rsidRDefault="00EB5E4A" w:rsidP="00EB5E4A">
            <w:pPr>
              <w:rPr>
                <w:lang w:eastAsia="en-AU"/>
              </w:rPr>
            </w:pPr>
            <w:r w:rsidRPr="00EB5E4A">
              <w:rPr>
                <w:lang w:eastAsia="en-AU"/>
              </w:rPr>
              <w:t>ACT Education Directorate</w:t>
            </w:r>
          </w:p>
        </w:tc>
      </w:tr>
      <w:tr w:rsidR="00EB5E4A" w:rsidRPr="00EB5E4A" w14:paraId="425E1FE5"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23AD39C9" w14:textId="77777777" w:rsidR="00EB5E4A" w:rsidRPr="00EB5E4A" w:rsidRDefault="00EB5E4A" w:rsidP="00EB5E4A">
            <w:pPr>
              <w:rPr>
                <w:lang w:eastAsia="en-AU"/>
              </w:rPr>
            </w:pPr>
            <w:r w:rsidRPr="00EB5E4A">
              <w:rPr>
                <w:lang w:eastAsia="en-AU"/>
              </w:rPr>
              <w:t>Anglicare (ACT, NSW South, NSW West)</w:t>
            </w:r>
          </w:p>
        </w:tc>
        <w:tc>
          <w:tcPr>
            <w:tcW w:w="4465" w:type="dxa"/>
          </w:tcPr>
          <w:p w14:paraId="478E8A58" w14:textId="77777777" w:rsidR="00EB5E4A" w:rsidRPr="00EB5E4A" w:rsidRDefault="00EB5E4A" w:rsidP="00EB5E4A">
            <w:pPr>
              <w:rPr>
                <w:lang w:eastAsia="en-AU"/>
              </w:rPr>
            </w:pPr>
            <w:r w:rsidRPr="00EB5E4A">
              <w:rPr>
                <w:lang w:eastAsia="en-AU"/>
              </w:rPr>
              <w:t>Association for Children with a Disability</w:t>
            </w:r>
          </w:p>
        </w:tc>
      </w:tr>
      <w:tr w:rsidR="00EB5E4A" w:rsidRPr="00EB5E4A" w14:paraId="7774FE66"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2FFA6A6F" w14:textId="77777777" w:rsidR="00EB5E4A" w:rsidRPr="00EB5E4A" w:rsidRDefault="00EB5E4A" w:rsidP="00EB5E4A">
            <w:pPr>
              <w:rPr>
                <w:lang w:eastAsia="en-AU"/>
              </w:rPr>
            </w:pPr>
            <w:r w:rsidRPr="00EB5E4A">
              <w:rPr>
                <w:lang w:eastAsia="en-AU"/>
              </w:rPr>
              <w:t>Association of Independent Schools of NSW</w:t>
            </w:r>
          </w:p>
        </w:tc>
        <w:tc>
          <w:tcPr>
            <w:tcW w:w="4465" w:type="dxa"/>
          </w:tcPr>
          <w:p w14:paraId="34D200C9" w14:textId="77777777" w:rsidR="00EB5E4A" w:rsidRPr="00EB5E4A" w:rsidRDefault="00EB5E4A" w:rsidP="00EB5E4A">
            <w:pPr>
              <w:rPr>
                <w:lang w:eastAsia="en-AU"/>
              </w:rPr>
            </w:pPr>
            <w:r w:rsidRPr="00EB5E4A">
              <w:rPr>
                <w:lang w:eastAsia="en-AU"/>
              </w:rPr>
              <w:t>Association of Independent Schools, South Australia</w:t>
            </w:r>
          </w:p>
        </w:tc>
      </w:tr>
      <w:tr w:rsidR="00EB5E4A" w:rsidRPr="00EB5E4A" w14:paraId="6F4526E6"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5E509806" w14:textId="77777777" w:rsidR="00EB5E4A" w:rsidRPr="00EB5E4A" w:rsidRDefault="00EB5E4A" w:rsidP="00EB5E4A">
            <w:pPr>
              <w:rPr>
                <w:lang w:eastAsia="en-AU"/>
              </w:rPr>
            </w:pPr>
            <w:r w:rsidRPr="00EB5E4A">
              <w:rPr>
                <w:lang w:eastAsia="en-AU"/>
              </w:rPr>
              <w:t>Association of Independent Schools, Western Australia</w:t>
            </w:r>
          </w:p>
        </w:tc>
        <w:tc>
          <w:tcPr>
            <w:tcW w:w="4465" w:type="dxa"/>
          </w:tcPr>
          <w:p w14:paraId="54E4F984" w14:textId="77777777" w:rsidR="00EB5E4A" w:rsidRPr="00EB5E4A" w:rsidRDefault="00EB5E4A" w:rsidP="00EB5E4A">
            <w:pPr>
              <w:rPr>
                <w:lang w:eastAsia="en-AU"/>
              </w:rPr>
            </w:pPr>
            <w:r w:rsidRPr="00EB5E4A">
              <w:rPr>
                <w:lang w:eastAsia="en-AU"/>
              </w:rPr>
              <w:t>Australian Childcare Alliance</w:t>
            </w:r>
          </w:p>
        </w:tc>
      </w:tr>
      <w:tr w:rsidR="00EB5E4A" w:rsidRPr="00EB5E4A" w14:paraId="0EC08109"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4AF23F9D" w14:textId="77777777" w:rsidR="00EB5E4A" w:rsidRPr="00EB5E4A" w:rsidRDefault="00EB5E4A" w:rsidP="00EB5E4A">
            <w:pPr>
              <w:rPr>
                <w:lang w:eastAsia="en-AU"/>
              </w:rPr>
            </w:pPr>
            <w:r w:rsidRPr="00EB5E4A">
              <w:rPr>
                <w:lang w:eastAsia="en-AU"/>
              </w:rPr>
              <w:t>Australian Childcare Alliance (New South Wales)</w:t>
            </w:r>
          </w:p>
        </w:tc>
        <w:tc>
          <w:tcPr>
            <w:tcW w:w="4465" w:type="dxa"/>
          </w:tcPr>
          <w:p w14:paraId="4A7F3FD4" w14:textId="77777777" w:rsidR="00EB5E4A" w:rsidRPr="00EB5E4A" w:rsidRDefault="00EB5E4A" w:rsidP="00EB5E4A">
            <w:pPr>
              <w:rPr>
                <w:lang w:eastAsia="en-AU"/>
              </w:rPr>
            </w:pPr>
            <w:r w:rsidRPr="00EB5E4A">
              <w:rPr>
                <w:lang w:eastAsia="en-AU"/>
              </w:rPr>
              <w:t>Australian Childcare Alliance (Queensland)</w:t>
            </w:r>
          </w:p>
        </w:tc>
      </w:tr>
      <w:tr w:rsidR="00EB5E4A" w:rsidRPr="00EB5E4A" w14:paraId="2C9C6AA6"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0A22E1A8" w14:textId="77777777" w:rsidR="00EB5E4A" w:rsidRPr="00EB5E4A" w:rsidRDefault="00EB5E4A" w:rsidP="00EB5E4A">
            <w:pPr>
              <w:rPr>
                <w:lang w:eastAsia="en-AU"/>
              </w:rPr>
            </w:pPr>
            <w:r w:rsidRPr="00EB5E4A">
              <w:rPr>
                <w:lang w:eastAsia="en-AU"/>
              </w:rPr>
              <w:t>Australian Childcare Alliance (South Australia)</w:t>
            </w:r>
          </w:p>
        </w:tc>
        <w:tc>
          <w:tcPr>
            <w:tcW w:w="4465" w:type="dxa"/>
          </w:tcPr>
          <w:p w14:paraId="7737A406" w14:textId="77777777" w:rsidR="00EB5E4A" w:rsidRPr="00EB5E4A" w:rsidRDefault="00EB5E4A" w:rsidP="00EB5E4A">
            <w:pPr>
              <w:rPr>
                <w:lang w:eastAsia="en-AU"/>
              </w:rPr>
            </w:pPr>
            <w:r w:rsidRPr="00EB5E4A">
              <w:rPr>
                <w:lang w:eastAsia="en-AU"/>
              </w:rPr>
              <w:t>Australian Childcare Alliance (Tasmania)</w:t>
            </w:r>
          </w:p>
        </w:tc>
      </w:tr>
      <w:tr w:rsidR="00EB5E4A" w:rsidRPr="00EB5E4A" w14:paraId="254ACED3"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7B42E83" w14:textId="77777777" w:rsidR="00EB5E4A" w:rsidRPr="00EB5E4A" w:rsidRDefault="00EB5E4A" w:rsidP="00EB5E4A">
            <w:pPr>
              <w:rPr>
                <w:lang w:eastAsia="en-AU"/>
              </w:rPr>
            </w:pPr>
            <w:r w:rsidRPr="00EB5E4A">
              <w:rPr>
                <w:lang w:eastAsia="en-AU"/>
              </w:rPr>
              <w:t>Australian Childcare Alliance (Victoria)</w:t>
            </w:r>
          </w:p>
        </w:tc>
        <w:tc>
          <w:tcPr>
            <w:tcW w:w="4465" w:type="dxa"/>
          </w:tcPr>
          <w:p w14:paraId="266900A7" w14:textId="77777777" w:rsidR="00EB5E4A" w:rsidRPr="00EB5E4A" w:rsidRDefault="00EB5E4A" w:rsidP="00EB5E4A">
            <w:pPr>
              <w:rPr>
                <w:lang w:eastAsia="en-AU"/>
              </w:rPr>
            </w:pPr>
            <w:r w:rsidRPr="00EB5E4A">
              <w:rPr>
                <w:lang w:eastAsia="en-AU"/>
              </w:rPr>
              <w:t>Australian Children's Education &amp; Care Quality Authority</w:t>
            </w:r>
          </w:p>
        </w:tc>
      </w:tr>
      <w:tr w:rsidR="00EB5E4A" w:rsidRPr="00EB5E4A" w14:paraId="28D53E4A"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41ED4B6B" w14:textId="77777777" w:rsidR="00EB5E4A" w:rsidRPr="00EB5E4A" w:rsidRDefault="00EB5E4A" w:rsidP="00EB5E4A">
            <w:pPr>
              <w:rPr>
                <w:lang w:eastAsia="en-AU"/>
              </w:rPr>
            </w:pPr>
            <w:r w:rsidRPr="00EB5E4A">
              <w:rPr>
                <w:lang w:eastAsia="en-AU"/>
              </w:rPr>
              <w:t>Australian Community Children’s Services</w:t>
            </w:r>
          </w:p>
        </w:tc>
        <w:tc>
          <w:tcPr>
            <w:tcW w:w="4465" w:type="dxa"/>
          </w:tcPr>
          <w:p w14:paraId="47732EBF" w14:textId="77777777" w:rsidR="00EB5E4A" w:rsidRPr="00EB5E4A" w:rsidRDefault="00EB5E4A" w:rsidP="00EB5E4A">
            <w:pPr>
              <w:rPr>
                <w:lang w:eastAsia="en-AU"/>
              </w:rPr>
            </w:pPr>
            <w:r w:rsidRPr="00EB5E4A">
              <w:rPr>
                <w:lang w:eastAsia="en-AU"/>
              </w:rPr>
              <w:t>Australian Council of State School Organisations</w:t>
            </w:r>
          </w:p>
        </w:tc>
      </w:tr>
      <w:tr w:rsidR="00EB5E4A" w:rsidRPr="00EB5E4A" w14:paraId="6AF5707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17C35BC0" w14:textId="77777777" w:rsidR="00EB5E4A" w:rsidRPr="00EB5E4A" w:rsidRDefault="00EB5E4A" w:rsidP="00EB5E4A">
            <w:pPr>
              <w:rPr>
                <w:lang w:eastAsia="en-AU"/>
              </w:rPr>
            </w:pPr>
            <w:r w:rsidRPr="00EB5E4A">
              <w:rPr>
                <w:lang w:eastAsia="en-AU"/>
              </w:rPr>
              <w:t>Australian Education Union (NT)</w:t>
            </w:r>
          </w:p>
        </w:tc>
        <w:tc>
          <w:tcPr>
            <w:tcW w:w="4465" w:type="dxa"/>
          </w:tcPr>
          <w:p w14:paraId="3CA39770" w14:textId="77777777" w:rsidR="00EB5E4A" w:rsidRPr="00EB5E4A" w:rsidRDefault="00EB5E4A" w:rsidP="00EB5E4A">
            <w:pPr>
              <w:rPr>
                <w:lang w:eastAsia="en-AU"/>
              </w:rPr>
            </w:pPr>
            <w:r w:rsidRPr="00EB5E4A">
              <w:rPr>
                <w:lang w:eastAsia="en-AU"/>
              </w:rPr>
              <w:t>Australian Education Union (South Australia)</w:t>
            </w:r>
          </w:p>
        </w:tc>
      </w:tr>
      <w:tr w:rsidR="00EB5E4A" w:rsidRPr="00EB5E4A" w14:paraId="4370A3F5"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4E94C37" w14:textId="77777777" w:rsidR="00EB5E4A" w:rsidRPr="00EB5E4A" w:rsidRDefault="00EB5E4A" w:rsidP="00EB5E4A">
            <w:pPr>
              <w:rPr>
                <w:lang w:eastAsia="en-AU"/>
              </w:rPr>
            </w:pPr>
            <w:r w:rsidRPr="00EB5E4A">
              <w:rPr>
                <w:lang w:eastAsia="en-AU"/>
              </w:rPr>
              <w:t>Australian Government Department of Education</w:t>
            </w:r>
          </w:p>
        </w:tc>
        <w:tc>
          <w:tcPr>
            <w:tcW w:w="4465" w:type="dxa"/>
          </w:tcPr>
          <w:p w14:paraId="651DCDE5" w14:textId="77777777" w:rsidR="00EB5E4A" w:rsidRPr="00EB5E4A" w:rsidRDefault="00EB5E4A" w:rsidP="00EB5E4A">
            <w:pPr>
              <w:rPr>
                <w:lang w:eastAsia="en-AU"/>
              </w:rPr>
            </w:pPr>
            <w:r w:rsidRPr="00EB5E4A">
              <w:rPr>
                <w:lang w:eastAsia="en-AU"/>
              </w:rPr>
              <w:t>Australian Government Department of Finance</w:t>
            </w:r>
          </w:p>
        </w:tc>
      </w:tr>
      <w:tr w:rsidR="00EB5E4A" w:rsidRPr="00EB5E4A" w14:paraId="36D25F8E"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534EB8B5" w14:textId="77777777" w:rsidR="00EB5E4A" w:rsidRPr="00EB5E4A" w:rsidRDefault="00EB5E4A" w:rsidP="00EB5E4A">
            <w:pPr>
              <w:rPr>
                <w:lang w:eastAsia="en-AU"/>
              </w:rPr>
            </w:pPr>
            <w:r w:rsidRPr="00EB5E4A">
              <w:rPr>
                <w:lang w:eastAsia="en-AU"/>
              </w:rPr>
              <w:t>Australian Government Department of the Prime Minister and Cabinet</w:t>
            </w:r>
          </w:p>
        </w:tc>
        <w:tc>
          <w:tcPr>
            <w:tcW w:w="4465" w:type="dxa"/>
          </w:tcPr>
          <w:p w14:paraId="0E10D545" w14:textId="77777777" w:rsidR="00EB5E4A" w:rsidRPr="00EB5E4A" w:rsidRDefault="00EB5E4A" w:rsidP="00EB5E4A">
            <w:pPr>
              <w:rPr>
                <w:lang w:eastAsia="en-AU"/>
              </w:rPr>
            </w:pPr>
            <w:r w:rsidRPr="00EB5E4A">
              <w:rPr>
                <w:lang w:eastAsia="en-AU"/>
              </w:rPr>
              <w:t>Australian Government Department of the Treasury</w:t>
            </w:r>
          </w:p>
        </w:tc>
      </w:tr>
      <w:tr w:rsidR="00EB5E4A" w:rsidRPr="00EB5E4A" w14:paraId="642CCCDF"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3FA899DC" w14:textId="77777777" w:rsidR="00EB5E4A" w:rsidRPr="00EB5E4A" w:rsidRDefault="00EB5E4A" w:rsidP="00EB5E4A">
            <w:pPr>
              <w:rPr>
                <w:lang w:eastAsia="en-AU"/>
              </w:rPr>
            </w:pPr>
            <w:r w:rsidRPr="00EB5E4A">
              <w:rPr>
                <w:lang w:eastAsia="en-AU"/>
              </w:rPr>
              <w:t>Australian Government National Indigenous Australians Agency</w:t>
            </w:r>
          </w:p>
        </w:tc>
        <w:tc>
          <w:tcPr>
            <w:tcW w:w="4465" w:type="dxa"/>
          </w:tcPr>
          <w:p w14:paraId="42236D81" w14:textId="77777777" w:rsidR="00EB5E4A" w:rsidRPr="00EB5E4A" w:rsidRDefault="00EB5E4A" w:rsidP="00EB5E4A">
            <w:pPr>
              <w:rPr>
                <w:lang w:eastAsia="en-AU"/>
              </w:rPr>
            </w:pPr>
            <w:r w:rsidRPr="00EB5E4A">
              <w:rPr>
                <w:lang w:eastAsia="en-AU"/>
              </w:rPr>
              <w:t>Belconnen Community Service</w:t>
            </w:r>
          </w:p>
        </w:tc>
      </w:tr>
      <w:tr w:rsidR="00EB5E4A" w:rsidRPr="00EB5E4A" w14:paraId="33FF601C"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25BC6D24" w14:textId="77777777" w:rsidR="00EB5E4A" w:rsidRPr="00EB5E4A" w:rsidRDefault="00EB5E4A" w:rsidP="00EB5E4A">
            <w:pPr>
              <w:rPr>
                <w:lang w:eastAsia="en-AU"/>
              </w:rPr>
            </w:pPr>
            <w:proofErr w:type="spellStart"/>
            <w:r w:rsidRPr="00EB5E4A">
              <w:rPr>
                <w:lang w:eastAsia="en-AU"/>
              </w:rPr>
              <w:t>Bestchance</w:t>
            </w:r>
            <w:proofErr w:type="spellEnd"/>
            <w:r w:rsidRPr="00EB5E4A">
              <w:rPr>
                <w:lang w:eastAsia="en-AU"/>
              </w:rPr>
              <w:t xml:space="preserve"> Child Family Care</w:t>
            </w:r>
          </w:p>
        </w:tc>
        <w:tc>
          <w:tcPr>
            <w:tcW w:w="4465" w:type="dxa"/>
          </w:tcPr>
          <w:p w14:paraId="48B3C7A8" w14:textId="77777777" w:rsidR="00EB5E4A" w:rsidRPr="00EB5E4A" w:rsidRDefault="00EB5E4A" w:rsidP="00EB5E4A">
            <w:pPr>
              <w:rPr>
                <w:lang w:eastAsia="en-AU"/>
              </w:rPr>
            </w:pPr>
            <w:r w:rsidRPr="00EB5E4A">
              <w:rPr>
                <w:lang w:eastAsia="en-AU"/>
              </w:rPr>
              <w:t>Big Fat Smile</w:t>
            </w:r>
          </w:p>
        </w:tc>
      </w:tr>
      <w:tr w:rsidR="00EB5E4A" w:rsidRPr="00EB5E4A" w14:paraId="3390937B"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716D11C" w14:textId="77777777" w:rsidR="00EB5E4A" w:rsidRPr="00EB5E4A" w:rsidRDefault="00EB5E4A" w:rsidP="00EB5E4A">
            <w:pPr>
              <w:rPr>
                <w:lang w:eastAsia="en-AU"/>
              </w:rPr>
            </w:pPr>
            <w:r w:rsidRPr="00EB5E4A">
              <w:rPr>
                <w:lang w:eastAsia="en-AU"/>
              </w:rPr>
              <w:t>Camp Australia</w:t>
            </w:r>
          </w:p>
        </w:tc>
        <w:tc>
          <w:tcPr>
            <w:tcW w:w="4465" w:type="dxa"/>
          </w:tcPr>
          <w:p w14:paraId="71610F30" w14:textId="77777777" w:rsidR="00EB5E4A" w:rsidRPr="00EB5E4A" w:rsidRDefault="00EB5E4A" w:rsidP="00EB5E4A">
            <w:pPr>
              <w:rPr>
                <w:lang w:eastAsia="en-AU"/>
              </w:rPr>
            </w:pPr>
            <w:r w:rsidRPr="00EB5E4A">
              <w:rPr>
                <w:lang w:eastAsia="en-AU"/>
              </w:rPr>
              <w:t>Canterbury/Bankstown Council</w:t>
            </w:r>
          </w:p>
        </w:tc>
      </w:tr>
      <w:tr w:rsidR="00EB5E4A" w:rsidRPr="00EB5E4A" w14:paraId="2515A827"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4C76B704" w14:textId="77777777" w:rsidR="00EB5E4A" w:rsidRPr="00EB5E4A" w:rsidRDefault="00EB5E4A" w:rsidP="00EB5E4A">
            <w:pPr>
              <w:rPr>
                <w:lang w:eastAsia="en-AU"/>
              </w:rPr>
            </w:pPr>
            <w:proofErr w:type="spellStart"/>
            <w:r w:rsidRPr="00EB5E4A">
              <w:rPr>
                <w:lang w:eastAsia="en-AU"/>
              </w:rPr>
              <w:t>Carewest</w:t>
            </w:r>
            <w:proofErr w:type="spellEnd"/>
          </w:p>
        </w:tc>
        <w:tc>
          <w:tcPr>
            <w:tcW w:w="4465" w:type="dxa"/>
          </w:tcPr>
          <w:p w14:paraId="0157EC6C" w14:textId="77777777" w:rsidR="00EB5E4A" w:rsidRPr="00EB5E4A" w:rsidRDefault="00EB5E4A" w:rsidP="00EB5E4A">
            <w:pPr>
              <w:rPr>
                <w:lang w:eastAsia="en-AU"/>
              </w:rPr>
            </w:pPr>
            <w:r w:rsidRPr="00EB5E4A">
              <w:rPr>
                <w:lang w:eastAsia="en-AU"/>
              </w:rPr>
              <w:t>Catholic Education Melbourne</w:t>
            </w:r>
          </w:p>
        </w:tc>
      </w:tr>
      <w:tr w:rsidR="00EB5E4A" w:rsidRPr="00EB5E4A" w14:paraId="6CE23AE3"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4AE0AD7F" w14:textId="77777777" w:rsidR="00EB5E4A" w:rsidRPr="00EB5E4A" w:rsidRDefault="00EB5E4A" w:rsidP="00EB5E4A">
            <w:pPr>
              <w:rPr>
                <w:lang w:eastAsia="en-AU"/>
              </w:rPr>
            </w:pPr>
            <w:r w:rsidRPr="00EB5E4A">
              <w:rPr>
                <w:lang w:eastAsia="en-AU"/>
              </w:rPr>
              <w:t>Catholic Education Northern Territory</w:t>
            </w:r>
          </w:p>
        </w:tc>
        <w:tc>
          <w:tcPr>
            <w:tcW w:w="4465" w:type="dxa"/>
          </w:tcPr>
          <w:p w14:paraId="286CB180" w14:textId="77777777" w:rsidR="00EB5E4A" w:rsidRPr="00EB5E4A" w:rsidRDefault="00EB5E4A" w:rsidP="00EB5E4A">
            <w:pPr>
              <w:rPr>
                <w:lang w:eastAsia="en-AU"/>
              </w:rPr>
            </w:pPr>
            <w:r w:rsidRPr="00EB5E4A">
              <w:rPr>
                <w:lang w:eastAsia="en-AU"/>
              </w:rPr>
              <w:t>Catholic Education South Australia</w:t>
            </w:r>
          </w:p>
        </w:tc>
      </w:tr>
      <w:tr w:rsidR="00EB5E4A" w:rsidRPr="00EB5E4A" w14:paraId="27C22698"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3DFA09EE" w14:textId="77777777" w:rsidR="00EB5E4A" w:rsidRPr="00EB5E4A" w:rsidRDefault="00EB5E4A" w:rsidP="00EB5E4A">
            <w:pPr>
              <w:rPr>
                <w:lang w:eastAsia="en-AU"/>
              </w:rPr>
            </w:pPr>
            <w:r w:rsidRPr="00EB5E4A">
              <w:rPr>
                <w:lang w:eastAsia="en-AU"/>
              </w:rPr>
              <w:t>Catholic Education Tasmania</w:t>
            </w:r>
          </w:p>
        </w:tc>
        <w:tc>
          <w:tcPr>
            <w:tcW w:w="4465" w:type="dxa"/>
          </w:tcPr>
          <w:p w14:paraId="3C5BC5DB" w14:textId="77777777" w:rsidR="00EB5E4A" w:rsidRPr="00EB5E4A" w:rsidRDefault="00EB5E4A" w:rsidP="00EB5E4A">
            <w:pPr>
              <w:rPr>
                <w:lang w:eastAsia="en-AU"/>
              </w:rPr>
            </w:pPr>
            <w:r w:rsidRPr="00EB5E4A">
              <w:rPr>
                <w:lang w:eastAsia="en-AU"/>
              </w:rPr>
              <w:t>Catholic Education Western Australia</w:t>
            </w:r>
          </w:p>
        </w:tc>
      </w:tr>
      <w:tr w:rsidR="00EB5E4A" w:rsidRPr="00EB5E4A" w14:paraId="2C7AEE97"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5E4F6C5C" w14:textId="77777777" w:rsidR="00EB5E4A" w:rsidRPr="00EB5E4A" w:rsidRDefault="00EB5E4A" w:rsidP="00EB5E4A">
            <w:pPr>
              <w:rPr>
                <w:lang w:eastAsia="en-AU"/>
              </w:rPr>
            </w:pPr>
            <w:r w:rsidRPr="00EB5E4A">
              <w:rPr>
                <w:lang w:eastAsia="en-AU"/>
              </w:rPr>
              <w:t>Charles Darwin University</w:t>
            </w:r>
          </w:p>
        </w:tc>
        <w:tc>
          <w:tcPr>
            <w:tcW w:w="4465" w:type="dxa"/>
          </w:tcPr>
          <w:p w14:paraId="27FCE8C7" w14:textId="77777777" w:rsidR="00EB5E4A" w:rsidRPr="00EB5E4A" w:rsidRDefault="00EB5E4A" w:rsidP="00EB5E4A">
            <w:pPr>
              <w:rPr>
                <w:lang w:eastAsia="en-AU"/>
              </w:rPr>
            </w:pPr>
            <w:r w:rsidRPr="00EB5E4A">
              <w:rPr>
                <w:lang w:eastAsia="en-AU"/>
              </w:rPr>
              <w:t>Child and Family Centre New Norfolk</w:t>
            </w:r>
          </w:p>
        </w:tc>
      </w:tr>
      <w:tr w:rsidR="00EB5E4A" w:rsidRPr="00EB5E4A" w14:paraId="1F456144"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31FD799" w14:textId="77777777" w:rsidR="00EB5E4A" w:rsidRPr="00EB5E4A" w:rsidRDefault="00EB5E4A" w:rsidP="00EB5E4A">
            <w:pPr>
              <w:rPr>
                <w:lang w:eastAsia="en-AU"/>
              </w:rPr>
            </w:pPr>
            <w:r w:rsidRPr="00EB5E4A">
              <w:rPr>
                <w:lang w:eastAsia="en-AU"/>
              </w:rPr>
              <w:lastRenderedPageBreak/>
              <w:t>City of Greater Geelong</w:t>
            </w:r>
          </w:p>
        </w:tc>
        <w:tc>
          <w:tcPr>
            <w:tcW w:w="4465" w:type="dxa"/>
          </w:tcPr>
          <w:p w14:paraId="779EB9A8" w14:textId="77777777" w:rsidR="00EB5E4A" w:rsidRPr="00EB5E4A" w:rsidRDefault="00EB5E4A" w:rsidP="00EB5E4A">
            <w:pPr>
              <w:rPr>
                <w:lang w:eastAsia="en-AU"/>
              </w:rPr>
            </w:pPr>
            <w:r w:rsidRPr="00EB5E4A">
              <w:rPr>
                <w:lang w:eastAsia="en-AU"/>
              </w:rPr>
              <w:t>City of Kingston</w:t>
            </w:r>
          </w:p>
        </w:tc>
      </w:tr>
      <w:tr w:rsidR="00EB5E4A" w:rsidRPr="00EB5E4A" w14:paraId="70925A75"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43B1223A" w14:textId="77777777" w:rsidR="00EB5E4A" w:rsidRPr="00EB5E4A" w:rsidRDefault="00EB5E4A" w:rsidP="00EB5E4A">
            <w:pPr>
              <w:rPr>
                <w:lang w:eastAsia="en-AU"/>
              </w:rPr>
            </w:pPr>
            <w:r w:rsidRPr="00EB5E4A">
              <w:rPr>
                <w:lang w:eastAsia="en-AU"/>
              </w:rPr>
              <w:t>City of Whittlesea</w:t>
            </w:r>
          </w:p>
        </w:tc>
        <w:tc>
          <w:tcPr>
            <w:tcW w:w="4465" w:type="dxa"/>
          </w:tcPr>
          <w:p w14:paraId="7D7AF192" w14:textId="77777777" w:rsidR="00EB5E4A" w:rsidRPr="00EB5E4A" w:rsidRDefault="00EB5E4A" w:rsidP="00EB5E4A">
            <w:pPr>
              <w:rPr>
                <w:lang w:eastAsia="en-AU"/>
              </w:rPr>
            </w:pPr>
            <w:r w:rsidRPr="00EB5E4A">
              <w:rPr>
                <w:lang w:eastAsia="en-AU"/>
              </w:rPr>
              <w:t>Community Based Directors Association of the ACT</w:t>
            </w:r>
          </w:p>
        </w:tc>
      </w:tr>
      <w:tr w:rsidR="00EB5E4A" w:rsidRPr="00EB5E4A" w14:paraId="3BDA670B"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39A5346A" w14:textId="77777777" w:rsidR="00EB5E4A" w:rsidRPr="00EB5E4A" w:rsidRDefault="00EB5E4A" w:rsidP="00EB5E4A">
            <w:pPr>
              <w:rPr>
                <w:lang w:eastAsia="en-AU"/>
              </w:rPr>
            </w:pPr>
            <w:r w:rsidRPr="00EB5E4A">
              <w:rPr>
                <w:lang w:eastAsia="en-AU"/>
              </w:rPr>
              <w:t>Community Child Care Association</w:t>
            </w:r>
          </w:p>
        </w:tc>
        <w:tc>
          <w:tcPr>
            <w:tcW w:w="4465" w:type="dxa"/>
          </w:tcPr>
          <w:p w14:paraId="11D88E5E" w14:textId="77777777" w:rsidR="00EB5E4A" w:rsidRPr="00EB5E4A" w:rsidRDefault="00EB5E4A" w:rsidP="00EB5E4A">
            <w:pPr>
              <w:rPr>
                <w:lang w:eastAsia="en-AU"/>
              </w:rPr>
            </w:pPr>
            <w:r w:rsidRPr="00EB5E4A">
              <w:rPr>
                <w:lang w:eastAsia="en-AU"/>
              </w:rPr>
              <w:t>Community Connection Solutions Australia</w:t>
            </w:r>
          </w:p>
        </w:tc>
      </w:tr>
      <w:tr w:rsidR="00EB5E4A" w:rsidRPr="00EB5E4A" w14:paraId="33891DCD"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44AFE1FE" w14:textId="77777777" w:rsidR="00EB5E4A" w:rsidRPr="00EB5E4A" w:rsidRDefault="00EB5E4A" w:rsidP="00EB5E4A">
            <w:pPr>
              <w:rPr>
                <w:lang w:eastAsia="en-AU"/>
              </w:rPr>
            </w:pPr>
            <w:r w:rsidRPr="00EB5E4A">
              <w:rPr>
                <w:lang w:eastAsia="en-AU"/>
              </w:rPr>
              <w:t>Community Early Learning Australia</w:t>
            </w:r>
          </w:p>
        </w:tc>
        <w:tc>
          <w:tcPr>
            <w:tcW w:w="4465" w:type="dxa"/>
          </w:tcPr>
          <w:p w14:paraId="2A7DB4AD" w14:textId="77777777" w:rsidR="00EB5E4A" w:rsidRPr="00EB5E4A" w:rsidRDefault="00EB5E4A" w:rsidP="00EB5E4A">
            <w:pPr>
              <w:rPr>
                <w:lang w:eastAsia="en-AU"/>
              </w:rPr>
            </w:pPr>
            <w:r w:rsidRPr="00EB5E4A">
              <w:rPr>
                <w:lang w:eastAsia="en-AU"/>
              </w:rPr>
              <w:t>Community Kindergarten Association</w:t>
            </w:r>
          </w:p>
        </w:tc>
      </w:tr>
      <w:tr w:rsidR="00EB5E4A" w:rsidRPr="00EB5E4A" w14:paraId="38FEAE2A"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2E4909DB" w14:textId="77777777" w:rsidR="00EB5E4A" w:rsidRPr="00EB5E4A" w:rsidRDefault="00EB5E4A" w:rsidP="00EB5E4A">
            <w:pPr>
              <w:rPr>
                <w:lang w:eastAsia="en-AU"/>
              </w:rPr>
            </w:pPr>
            <w:r w:rsidRPr="00EB5E4A">
              <w:rPr>
                <w:lang w:eastAsia="en-AU"/>
              </w:rPr>
              <w:t>Community Services #1</w:t>
            </w:r>
          </w:p>
        </w:tc>
        <w:tc>
          <w:tcPr>
            <w:tcW w:w="4465" w:type="dxa"/>
          </w:tcPr>
          <w:p w14:paraId="430BDBDE" w14:textId="77777777" w:rsidR="00EB5E4A" w:rsidRPr="00EB5E4A" w:rsidRDefault="00EB5E4A" w:rsidP="00EB5E4A">
            <w:pPr>
              <w:rPr>
                <w:lang w:eastAsia="en-AU"/>
              </w:rPr>
            </w:pPr>
            <w:r w:rsidRPr="00EB5E4A">
              <w:rPr>
                <w:lang w:eastAsia="en-AU"/>
              </w:rPr>
              <w:t>Crèche and Kindergarten Association</w:t>
            </w:r>
          </w:p>
        </w:tc>
      </w:tr>
      <w:tr w:rsidR="00EB5E4A" w:rsidRPr="00EB5E4A" w14:paraId="626618DD"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1D6C44EC" w14:textId="77777777" w:rsidR="00EB5E4A" w:rsidRPr="00EB5E4A" w:rsidRDefault="00EB5E4A" w:rsidP="00EB5E4A">
            <w:pPr>
              <w:rPr>
                <w:lang w:eastAsia="en-AU"/>
              </w:rPr>
            </w:pPr>
            <w:r w:rsidRPr="00EB5E4A">
              <w:rPr>
                <w:lang w:eastAsia="en-AU"/>
              </w:rPr>
              <w:t>David Gonski</w:t>
            </w:r>
          </w:p>
        </w:tc>
        <w:tc>
          <w:tcPr>
            <w:tcW w:w="4465" w:type="dxa"/>
          </w:tcPr>
          <w:p w14:paraId="5D9CC608" w14:textId="77777777" w:rsidR="00EB5E4A" w:rsidRPr="00EB5E4A" w:rsidRDefault="00EB5E4A" w:rsidP="00EB5E4A">
            <w:pPr>
              <w:rPr>
                <w:lang w:eastAsia="en-AU"/>
              </w:rPr>
            </w:pPr>
            <w:r w:rsidRPr="00EB5E4A">
              <w:rPr>
                <w:lang w:eastAsia="en-AU"/>
              </w:rPr>
              <w:t>Devonport Child Care Centres Inc</w:t>
            </w:r>
          </w:p>
        </w:tc>
      </w:tr>
      <w:tr w:rsidR="00EB5E4A" w:rsidRPr="00EB5E4A" w14:paraId="3B534AD8"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1D4CF13" w14:textId="77777777" w:rsidR="00EB5E4A" w:rsidRPr="00EB5E4A" w:rsidRDefault="00EB5E4A" w:rsidP="00EB5E4A">
            <w:pPr>
              <w:rPr>
                <w:lang w:eastAsia="en-AU"/>
              </w:rPr>
            </w:pPr>
            <w:r w:rsidRPr="00EB5E4A">
              <w:rPr>
                <w:lang w:eastAsia="en-AU"/>
              </w:rPr>
              <w:t>Early Childhood Australia</w:t>
            </w:r>
          </w:p>
        </w:tc>
        <w:tc>
          <w:tcPr>
            <w:tcW w:w="4465" w:type="dxa"/>
          </w:tcPr>
          <w:p w14:paraId="5C18B7E2" w14:textId="77777777" w:rsidR="00EB5E4A" w:rsidRPr="00EB5E4A" w:rsidRDefault="00EB5E4A" w:rsidP="00EB5E4A">
            <w:pPr>
              <w:rPr>
                <w:lang w:eastAsia="en-AU"/>
              </w:rPr>
            </w:pPr>
            <w:r w:rsidRPr="00EB5E4A">
              <w:rPr>
                <w:lang w:eastAsia="en-AU"/>
              </w:rPr>
              <w:t>Early Childhood Australia</w:t>
            </w:r>
          </w:p>
        </w:tc>
      </w:tr>
      <w:tr w:rsidR="00EB5E4A" w:rsidRPr="00EB5E4A" w14:paraId="21C56F6D"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056B26F9" w14:textId="77777777" w:rsidR="00EB5E4A" w:rsidRPr="00EB5E4A" w:rsidRDefault="00EB5E4A" w:rsidP="00EB5E4A">
            <w:pPr>
              <w:rPr>
                <w:lang w:eastAsia="en-AU"/>
              </w:rPr>
            </w:pPr>
            <w:r w:rsidRPr="00EB5E4A">
              <w:rPr>
                <w:lang w:eastAsia="en-AU"/>
              </w:rPr>
              <w:t>Early Childhood Australia (Northern Territory)</w:t>
            </w:r>
          </w:p>
        </w:tc>
        <w:tc>
          <w:tcPr>
            <w:tcW w:w="4465" w:type="dxa"/>
          </w:tcPr>
          <w:p w14:paraId="7AC2E483" w14:textId="77777777" w:rsidR="00EB5E4A" w:rsidRPr="00EB5E4A" w:rsidRDefault="00EB5E4A" w:rsidP="00EB5E4A">
            <w:pPr>
              <w:rPr>
                <w:lang w:eastAsia="en-AU"/>
              </w:rPr>
            </w:pPr>
            <w:r w:rsidRPr="00EB5E4A">
              <w:rPr>
                <w:lang w:eastAsia="en-AU"/>
              </w:rPr>
              <w:t>Early Childhood Australia (Queensland)</w:t>
            </w:r>
          </w:p>
        </w:tc>
      </w:tr>
      <w:tr w:rsidR="00EB5E4A" w:rsidRPr="00EB5E4A" w14:paraId="2196531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2E506990" w14:textId="77777777" w:rsidR="00EB5E4A" w:rsidRPr="00EB5E4A" w:rsidRDefault="00EB5E4A" w:rsidP="00EB5E4A">
            <w:pPr>
              <w:rPr>
                <w:lang w:eastAsia="en-AU"/>
              </w:rPr>
            </w:pPr>
            <w:r w:rsidRPr="00EB5E4A">
              <w:rPr>
                <w:lang w:eastAsia="en-AU"/>
              </w:rPr>
              <w:t>Early Childhood Australia (South Australia)</w:t>
            </w:r>
          </w:p>
        </w:tc>
        <w:tc>
          <w:tcPr>
            <w:tcW w:w="4465" w:type="dxa"/>
          </w:tcPr>
          <w:p w14:paraId="5DEE7F4B" w14:textId="77777777" w:rsidR="00EB5E4A" w:rsidRPr="00EB5E4A" w:rsidRDefault="00EB5E4A" w:rsidP="00EB5E4A">
            <w:pPr>
              <w:rPr>
                <w:lang w:eastAsia="en-AU"/>
              </w:rPr>
            </w:pPr>
            <w:r w:rsidRPr="00EB5E4A">
              <w:rPr>
                <w:lang w:eastAsia="en-AU"/>
              </w:rPr>
              <w:t>Early Childhood Australia (Tasmania)</w:t>
            </w:r>
          </w:p>
        </w:tc>
      </w:tr>
      <w:tr w:rsidR="00EB5E4A" w:rsidRPr="00EB5E4A" w14:paraId="113031C2"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1EFF4479" w14:textId="77777777" w:rsidR="00EB5E4A" w:rsidRPr="00EB5E4A" w:rsidRDefault="00EB5E4A" w:rsidP="00EB5E4A">
            <w:pPr>
              <w:rPr>
                <w:lang w:eastAsia="en-AU"/>
              </w:rPr>
            </w:pPr>
            <w:r w:rsidRPr="00EB5E4A">
              <w:rPr>
                <w:lang w:eastAsia="en-AU"/>
              </w:rPr>
              <w:t>Early Childhood Australia (Victoria)</w:t>
            </w:r>
          </w:p>
        </w:tc>
        <w:tc>
          <w:tcPr>
            <w:tcW w:w="4465" w:type="dxa"/>
          </w:tcPr>
          <w:p w14:paraId="41F28DA1" w14:textId="77777777" w:rsidR="00EB5E4A" w:rsidRPr="00EB5E4A" w:rsidRDefault="00EB5E4A" w:rsidP="00EB5E4A">
            <w:pPr>
              <w:rPr>
                <w:lang w:eastAsia="en-AU"/>
              </w:rPr>
            </w:pPr>
            <w:r w:rsidRPr="00EB5E4A">
              <w:rPr>
                <w:lang w:eastAsia="en-AU"/>
              </w:rPr>
              <w:t>Early Childhood Australia (Western Australia)</w:t>
            </w:r>
          </w:p>
        </w:tc>
      </w:tr>
      <w:tr w:rsidR="00EB5E4A" w:rsidRPr="00EB5E4A" w14:paraId="4D3147FC"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0F191E8" w14:textId="77777777" w:rsidR="00EB5E4A" w:rsidRPr="00EB5E4A" w:rsidRDefault="00EB5E4A" w:rsidP="00EB5E4A">
            <w:pPr>
              <w:rPr>
                <w:lang w:eastAsia="en-AU"/>
              </w:rPr>
            </w:pPr>
            <w:r w:rsidRPr="00EB5E4A">
              <w:rPr>
                <w:lang w:eastAsia="en-AU"/>
              </w:rPr>
              <w:t>Early Childhood Educators of Tasmania</w:t>
            </w:r>
          </w:p>
        </w:tc>
        <w:tc>
          <w:tcPr>
            <w:tcW w:w="4465" w:type="dxa"/>
          </w:tcPr>
          <w:p w14:paraId="4E772E1F" w14:textId="77777777" w:rsidR="00EB5E4A" w:rsidRPr="00EB5E4A" w:rsidRDefault="00EB5E4A" w:rsidP="00EB5E4A">
            <w:pPr>
              <w:rPr>
                <w:lang w:eastAsia="en-AU"/>
              </w:rPr>
            </w:pPr>
            <w:r w:rsidRPr="00EB5E4A">
              <w:rPr>
                <w:lang w:eastAsia="en-AU"/>
              </w:rPr>
              <w:t>Early Childhood Intervention Australia Victoria and Tasmania</w:t>
            </w:r>
          </w:p>
        </w:tc>
      </w:tr>
      <w:tr w:rsidR="00EB5E4A" w:rsidRPr="00EB5E4A" w14:paraId="6D41D1A0"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76A362FD" w14:textId="77777777" w:rsidR="00EB5E4A" w:rsidRPr="00EB5E4A" w:rsidRDefault="00EB5E4A" w:rsidP="00EB5E4A">
            <w:pPr>
              <w:rPr>
                <w:lang w:eastAsia="en-AU"/>
              </w:rPr>
            </w:pPr>
            <w:r w:rsidRPr="00EB5E4A">
              <w:rPr>
                <w:lang w:eastAsia="en-AU"/>
              </w:rPr>
              <w:t>Early Childhood Management Service</w:t>
            </w:r>
          </w:p>
        </w:tc>
        <w:tc>
          <w:tcPr>
            <w:tcW w:w="4465" w:type="dxa"/>
          </w:tcPr>
          <w:p w14:paraId="751978F2" w14:textId="77777777" w:rsidR="00EB5E4A" w:rsidRPr="00EB5E4A" w:rsidRDefault="00EB5E4A" w:rsidP="00EB5E4A">
            <w:pPr>
              <w:rPr>
                <w:lang w:eastAsia="en-AU"/>
              </w:rPr>
            </w:pPr>
            <w:r w:rsidRPr="00EB5E4A">
              <w:rPr>
                <w:lang w:eastAsia="en-AU"/>
              </w:rPr>
              <w:t>Early Learning and Care Council of Australia</w:t>
            </w:r>
          </w:p>
        </w:tc>
      </w:tr>
      <w:tr w:rsidR="00EB5E4A" w:rsidRPr="00EB5E4A" w14:paraId="61B5658F"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1113CEC1" w14:textId="77777777" w:rsidR="00EB5E4A" w:rsidRPr="00EB5E4A" w:rsidRDefault="00EB5E4A" w:rsidP="00EB5E4A">
            <w:pPr>
              <w:rPr>
                <w:lang w:eastAsia="en-AU"/>
              </w:rPr>
            </w:pPr>
            <w:r w:rsidRPr="00EB5E4A">
              <w:rPr>
                <w:lang w:eastAsia="en-AU"/>
              </w:rPr>
              <w:t>Early Learning and Childcare Council</w:t>
            </w:r>
          </w:p>
        </w:tc>
        <w:tc>
          <w:tcPr>
            <w:tcW w:w="4465" w:type="dxa"/>
          </w:tcPr>
          <w:p w14:paraId="3FEF7DAE" w14:textId="77777777" w:rsidR="00EB5E4A" w:rsidRPr="00EB5E4A" w:rsidRDefault="00EB5E4A" w:rsidP="00EB5E4A">
            <w:pPr>
              <w:rPr>
                <w:lang w:eastAsia="en-AU"/>
              </w:rPr>
            </w:pPr>
            <w:r w:rsidRPr="00EB5E4A">
              <w:rPr>
                <w:lang w:eastAsia="en-AU"/>
              </w:rPr>
              <w:t>Early Learning Association Australia</w:t>
            </w:r>
          </w:p>
        </w:tc>
      </w:tr>
      <w:tr w:rsidR="00EB5E4A" w:rsidRPr="00EB5E4A" w14:paraId="1D5DEBD4"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070607A1" w14:textId="77777777" w:rsidR="00EB5E4A" w:rsidRPr="00EB5E4A" w:rsidRDefault="00EB5E4A" w:rsidP="00EB5E4A">
            <w:pPr>
              <w:rPr>
                <w:lang w:eastAsia="en-AU"/>
              </w:rPr>
            </w:pPr>
            <w:r w:rsidRPr="00EB5E4A">
              <w:rPr>
                <w:lang w:eastAsia="en-AU"/>
              </w:rPr>
              <w:t>Early Learning Council of Australia</w:t>
            </w:r>
          </w:p>
        </w:tc>
        <w:tc>
          <w:tcPr>
            <w:tcW w:w="4465" w:type="dxa"/>
          </w:tcPr>
          <w:p w14:paraId="0D5F5574" w14:textId="77777777" w:rsidR="00EB5E4A" w:rsidRPr="00EB5E4A" w:rsidRDefault="00EB5E4A" w:rsidP="00EB5E4A">
            <w:pPr>
              <w:rPr>
                <w:lang w:eastAsia="en-AU"/>
              </w:rPr>
            </w:pPr>
            <w:r w:rsidRPr="00EB5E4A">
              <w:rPr>
                <w:lang w:eastAsia="en-AU"/>
              </w:rPr>
              <w:t>Early Start, University of Wollongong</w:t>
            </w:r>
          </w:p>
        </w:tc>
      </w:tr>
      <w:tr w:rsidR="00EB5E4A" w:rsidRPr="00EB5E4A" w14:paraId="22FB5F7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372CEFB2" w14:textId="77777777" w:rsidR="00EB5E4A" w:rsidRPr="00EB5E4A" w:rsidRDefault="00EB5E4A" w:rsidP="00EB5E4A">
            <w:pPr>
              <w:rPr>
                <w:lang w:eastAsia="en-AU"/>
              </w:rPr>
            </w:pPr>
            <w:r w:rsidRPr="00EB5E4A">
              <w:rPr>
                <w:lang w:eastAsia="en-AU"/>
              </w:rPr>
              <w:t>Early Years in Education Society</w:t>
            </w:r>
          </w:p>
        </w:tc>
        <w:tc>
          <w:tcPr>
            <w:tcW w:w="4465" w:type="dxa"/>
          </w:tcPr>
          <w:p w14:paraId="51F444AC" w14:textId="77777777" w:rsidR="00EB5E4A" w:rsidRPr="00EB5E4A" w:rsidRDefault="00EB5E4A" w:rsidP="00EB5E4A">
            <w:pPr>
              <w:rPr>
                <w:lang w:eastAsia="en-AU"/>
              </w:rPr>
            </w:pPr>
            <w:r w:rsidRPr="00EB5E4A">
              <w:rPr>
                <w:lang w:eastAsia="en-AU"/>
              </w:rPr>
              <w:t>Family Day Care Australia</w:t>
            </w:r>
          </w:p>
        </w:tc>
      </w:tr>
      <w:tr w:rsidR="00EB5E4A" w:rsidRPr="00EB5E4A" w14:paraId="2ECA676F"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208B128F" w14:textId="77777777" w:rsidR="00EB5E4A" w:rsidRPr="00EB5E4A" w:rsidRDefault="00EB5E4A" w:rsidP="00EB5E4A">
            <w:pPr>
              <w:rPr>
                <w:lang w:eastAsia="en-AU"/>
              </w:rPr>
            </w:pPr>
            <w:r w:rsidRPr="00EB5E4A">
              <w:rPr>
                <w:lang w:eastAsia="en-AU"/>
              </w:rPr>
              <w:t>Family Day Care Council Tasmania</w:t>
            </w:r>
          </w:p>
        </w:tc>
        <w:tc>
          <w:tcPr>
            <w:tcW w:w="4465" w:type="dxa"/>
          </w:tcPr>
          <w:p w14:paraId="1253AAC1" w14:textId="77777777" w:rsidR="00EB5E4A" w:rsidRPr="00EB5E4A" w:rsidRDefault="00EB5E4A" w:rsidP="00EB5E4A">
            <w:pPr>
              <w:rPr>
                <w:lang w:eastAsia="en-AU"/>
              </w:rPr>
            </w:pPr>
            <w:r w:rsidRPr="00EB5E4A">
              <w:rPr>
                <w:lang w:eastAsia="en-AU"/>
              </w:rPr>
              <w:t>Flinders University</w:t>
            </w:r>
          </w:p>
        </w:tc>
      </w:tr>
      <w:tr w:rsidR="00EB5E4A" w:rsidRPr="00EB5E4A" w14:paraId="61148B5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25EEE571" w14:textId="77777777" w:rsidR="00EB5E4A" w:rsidRPr="00EB5E4A" w:rsidRDefault="00EB5E4A" w:rsidP="00EB5E4A">
            <w:pPr>
              <w:rPr>
                <w:lang w:eastAsia="en-AU"/>
              </w:rPr>
            </w:pPr>
            <w:r w:rsidRPr="00EB5E4A">
              <w:rPr>
                <w:lang w:eastAsia="en-AU"/>
              </w:rPr>
              <w:t>Forbes Preschool and Kindergarten</w:t>
            </w:r>
          </w:p>
        </w:tc>
        <w:tc>
          <w:tcPr>
            <w:tcW w:w="4465" w:type="dxa"/>
          </w:tcPr>
          <w:p w14:paraId="58E4EAE7" w14:textId="77777777" w:rsidR="00EB5E4A" w:rsidRPr="00EB5E4A" w:rsidRDefault="00EB5E4A" w:rsidP="00EB5E4A">
            <w:pPr>
              <w:rPr>
                <w:lang w:eastAsia="en-AU"/>
              </w:rPr>
            </w:pPr>
            <w:r w:rsidRPr="00EB5E4A">
              <w:rPr>
                <w:lang w:eastAsia="en-AU"/>
              </w:rPr>
              <w:t>G8 Education</w:t>
            </w:r>
          </w:p>
        </w:tc>
      </w:tr>
      <w:tr w:rsidR="00EB5E4A" w:rsidRPr="00EB5E4A" w14:paraId="34A6CC0A"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C335AC1" w14:textId="77777777" w:rsidR="00EB5E4A" w:rsidRPr="00EB5E4A" w:rsidRDefault="00EB5E4A" w:rsidP="00EB5E4A">
            <w:pPr>
              <w:rPr>
                <w:lang w:eastAsia="en-AU"/>
              </w:rPr>
            </w:pPr>
            <w:r w:rsidRPr="00EB5E4A">
              <w:rPr>
                <w:lang w:eastAsia="en-AU"/>
              </w:rPr>
              <w:t>Glenorchy City Council</w:t>
            </w:r>
          </w:p>
        </w:tc>
        <w:tc>
          <w:tcPr>
            <w:tcW w:w="4465" w:type="dxa"/>
          </w:tcPr>
          <w:p w14:paraId="092D9481" w14:textId="77777777" w:rsidR="00EB5E4A" w:rsidRPr="00EB5E4A" w:rsidRDefault="00EB5E4A" w:rsidP="00EB5E4A">
            <w:pPr>
              <w:rPr>
                <w:lang w:eastAsia="en-AU"/>
              </w:rPr>
            </w:pPr>
            <w:proofErr w:type="spellStart"/>
            <w:r w:rsidRPr="00EB5E4A">
              <w:rPr>
                <w:lang w:eastAsia="en-AU"/>
              </w:rPr>
              <w:t>Goodstart</w:t>
            </w:r>
            <w:proofErr w:type="spellEnd"/>
            <w:r w:rsidRPr="00EB5E4A">
              <w:rPr>
                <w:lang w:eastAsia="en-AU"/>
              </w:rPr>
              <w:t xml:space="preserve"> Early Learning</w:t>
            </w:r>
          </w:p>
        </w:tc>
      </w:tr>
      <w:tr w:rsidR="00EB5E4A" w:rsidRPr="00EB5E4A" w14:paraId="1F96F091"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7DEE77CB" w14:textId="77777777" w:rsidR="00EB5E4A" w:rsidRPr="00EB5E4A" w:rsidRDefault="00EB5E4A" w:rsidP="00EB5E4A">
            <w:pPr>
              <w:rPr>
                <w:lang w:eastAsia="en-AU"/>
              </w:rPr>
            </w:pPr>
            <w:r w:rsidRPr="00EB5E4A">
              <w:rPr>
                <w:lang w:eastAsia="en-AU"/>
              </w:rPr>
              <w:t>Gowrie Victoria</w:t>
            </w:r>
          </w:p>
        </w:tc>
        <w:tc>
          <w:tcPr>
            <w:tcW w:w="4465" w:type="dxa"/>
          </w:tcPr>
          <w:p w14:paraId="4076909F" w14:textId="77777777" w:rsidR="00EB5E4A" w:rsidRPr="00EB5E4A" w:rsidRDefault="00EB5E4A" w:rsidP="00EB5E4A">
            <w:pPr>
              <w:rPr>
                <w:lang w:eastAsia="en-AU"/>
              </w:rPr>
            </w:pPr>
            <w:r w:rsidRPr="00EB5E4A">
              <w:rPr>
                <w:lang w:eastAsia="en-AU"/>
              </w:rPr>
              <w:t>Independent Education Union</w:t>
            </w:r>
          </w:p>
        </w:tc>
      </w:tr>
      <w:tr w:rsidR="00EB5E4A" w:rsidRPr="00EB5E4A" w14:paraId="6A4FFC66"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7C97A51E" w14:textId="77777777" w:rsidR="00EB5E4A" w:rsidRPr="00EB5E4A" w:rsidRDefault="00EB5E4A" w:rsidP="00EB5E4A">
            <w:pPr>
              <w:rPr>
                <w:lang w:eastAsia="en-AU"/>
              </w:rPr>
            </w:pPr>
            <w:r w:rsidRPr="00EB5E4A">
              <w:rPr>
                <w:lang w:eastAsia="en-AU"/>
              </w:rPr>
              <w:t>Independent Schools Queensland</w:t>
            </w:r>
          </w:p>
        </w:tc>
        <w:tc>
          <w:tcPr>
            <w:tcW w:w="4465" w:type="dxa"/>
          </w:tcPr>
          <w:p w14:paraId="60A663D0" w14:textId="77777777" w:rsidR="00EB5E4A" w:rsidRPr="00EB5E4A" w:rsidRDefault="00EB5E4A" w:rsidP="00EB5E4A">
            <w:pPr>
              <w:rPr>
                <w:lang w:eastAsia="en-AU"/>
              </w:rPr>
            </w:pPr>
            <w:r w:rsidRPr="00EB5E4A">
              <w:rPr>
                <w:lang w:eastAsia="en-AU"/>
              </w:rPr>
              <w:t>Independent Schools Tasmania</w:t>
            </w:r>
          </w:p>
        </w:tc>
      </w:tr>
      <w:tr w:rsidR="00EB5E4A" w:rsidRPr="00EB5E4A" w14:paraId="43D2A19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1992CD18" w14:textId="77777777" w:rsidR="00EB5E4A" w:rsidRPr="00EB5E4A" w:rsidRDefault="00EB5E4A" w:rsidP="00EB5E4A">
            <w:pPr>
              <w:rPr>
                <w:lang w:eastAsia="en-AU"/>
              </w:rPr>
            </w:pPr>
            <w:r w:rsidRPr="00EB5E4A">
              <w:rPr>
                <w:lang w:eastAsia="en-AU"/>
              </w:rPr>
              <w:t>Isolated Children’s Parents’ Association</w:t>
            </w:r>
          </w:p>
        </w:tc>
        <w:tc>
          <w:tcPr>
            <w:tcW w:w="4465" w:type="dxa"/>
          </w:tcPr>
          <w:p w14:paraId="2FD2C4BF" w14:textId="77777777" w:rsidR="00EB5E4A" w:rsidRPr="00EB5E4A" w:rsidRDefault="00EB5E4A" w:rsidP="00EB5E4A">
            <w:pPr>
              <w:rPr>
                <w:lang w:eastAsia="en-AU"/>
              </w:rPr>
            </w:pPr>
            <w:r w:rsidRPr="00EB5E4A">
              <w:rPr>
                <w:lang w:eastAsia="en-AU"/>
              </w:rPr>
              <w:t>Isolated Children’s Parents’ Association (QLD)</w:t>
            </w:r>
          </w:p>
        </w:tc>
      </w:tr>
      <w:tr w:rsidR="00EB5E4A" w:rsidRPr="00EB5E4A" w14:paraId="40395E4F"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028ECFCB" w14:textId="77777777" w:rsidR="00EB5E4A" w:rsidRPr="00EB5E4A" w:rsidRDefault="00EB5E4A" w:rsidP="00EB5E4A">
            <w:pPr>
              <w:rPr>
                <w:lang w:eastAsia="en-AU"/>
              </w:rPr>
            </w:pPr>
            <w:r w:rsidRPr="00EB5E4A">
              <w:rPr>
                <w:lang w:eastAsia="en-AU"/>
              </w:rPr>
              <w:t>KU Children’s Services</w:t>
            </w:r>
          </w:p>
        </w:tc>
        <w:tc>
          <w:tcPr>
            <w:tcW w:w="4465" w:type="dxa"/>
          </w:tcPr>
          <w:p w14:paraId="3BC6445C" w14:textId="77777777" w:rsidR="00EB5E4A" w:rsidRPr="00EB5E4A" w:rsidRDefault="00EB5E4A" w:rsidP="00EB5E4A">
            <w:pPr>
              <w:rPr>
                <w:lang w:eastAsia="en-AU"/>
              </w:rPr>
            </w:pPr>
            <w:r w:rsidRPr="00EB5E4A">
              <w:rPr>
                <w:lang w:eastAsia="en-AU"/>
              </w:rPr>
              <w:t>Municipal Association of Victoria</w:t>
            </w:r>
          </w:p>
        </w:tc>
      </w:tr>
      <w:tr w:rsidR="00EB5E4A" w:rsidRPr="00EB5E4A" w14:paraId="6827B78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73E3C1DB" w14:textId="77777777" w:rsidR="00EB5E4A" w:rsidRPr="00EB5E4A" w:rsidRDefault="00EB5E4A" w:rsidP="00EB5E4A">
            <w:pPr>
              <w:rPr>
                <w:lang w:eastAsia="en-AU"/>
              </w:rPr>
            </w:pPr>
            <w:r w:rsidRPr="00EB5E4A">
              <w:rPr>
                <w:lang w:eastAsia="en-AU"/>
              </w:rPr>
              <w:t>Murdoch Children's Research Institute</w:t>
            </w:r>
          </w:p>
        </w:tc>
        <w:tc>
          <w:tcPr>
            <w:tcW w:w="4465" w:type="dxa"/>
          </w:tcPr>
          <w:p w14:paraId="0390E181" w14:textId="77777777" w:rsidR="00EB5E4A" w:rsidRPr="00EB5E4A" w:rsidRDefault="00EB5E4A" w:rsidP="00EB5E4A">
            <w:pPr>
              <w:rPr>
                <w:lang w:eastAsia="en-AU"/>
              </w:rPr>
            </w:pPr>
            <w:r w:rsidRPr="00EB5E4A">
              <w:rPr>
                <w:lang w:eastAsia="en-AU"/>
              </w:rPr>
              <w:t>National Association of Mobile Services for Rural and Remote Families and Children</w:t>
            </w:r>
          </w:p>
        </w:tc>
      </w:tr>
      <w:tr w:rsidR="00EB5E4A" w:rsidRPr="00EB5E4A" w14:paraId="4CFB68FD"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56B98412" w14:textId="77777777" w:rsidR="00EB5E4A" w:rsidRPr="00EB5E4A" w:rsidRDefault="00EB5E4A" w:rsidP="00EB5E4A">
            <w:pPr>
              <w:rPr>
                <w:lang w:eastAsia="en-AU"/>
              </w:rPr>
            </w:pPr>
            <w:r w:rsidRPr="00EB5E4A">
              <w:rPr>
                <w:lang w:eastAsia="en-AU"/>
              </w:rPr>
              <w:t>National Catholic Education Commission</w:t>
            </w:r>
          </w:p>
        </w:tc>
        <w:tc>
          <w:tcPr>
            <w:tcW w:w="4465" w:type="dxa"/>
          </w:tcPr>
          <w:p w14:paraId="260C9D4D" w14:textId="77777777" w:rsidR="00EB5E4A" w:rsidRPr="00EB5E4A" w:rsidRDefault="00EB5E4A" w:rsidP="00EB5E4A">
            <w:pPr>
              <w:rPr>
                <w:lang w:eastAsia="en-AU"/>
              </w:rPr>
            </w:pPr>
            <w:r w:rsidRPr="00EB5E4A">
              <w:rPr>
                <w:lang w:eastAsia="en-AU"/>
              </w:rPr>
              <w:t>National Outside School Hours Services Alliance</w:t>
            </w:r>
          </w:p>
        </w:tc>
      </w:tr>
      <w:tr w:rsidR="00EB5E4A" w:rsidRPr="00EB5E4A" w14:paraId="0B54E153"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63F79FD4" w14:textId="77777777" w:rsidR="00EB5E4A" w:rsidRPr="00EB5E4A" w:rsidRDefault="00EB5E4A" w:rsidP="00EB5E4A">
            <w:pPr>
              <w:rPr>
                <w:lang w:eastAsia="en-AU"/>
              </w:rPr>
            </w:pPr>
            <w:r w:rsidRPr="00EB5E4A">
              <w:rPr>
                <w:lang w:eastAsia="en-AU"/>
              </w:rPr>
              <w:t>New South Wales Department of Education</w:t>
            </w:r>
          </w:p>
        </w:tc>
        <w:tc>
          <w:tcPr>
            <w:tcW w:w="4465" w:type="dxa"/>
          </w:tcPr>
          <w:p w14:paraId="2DBB73C4" w14:textId="77777777" w:rsidR="00EB5E4A" w:rsidRPr="00EB5E4A" w:rsidRDefault="00EB5E4A" w:rsidP="00EB5E4A">
            <w:pPr>
              <w:rPr>
                <w:lang w:eastAsia="en-AU"/>
              </w:rPr>
            </w:pPr>
            <w:r w:rsidRPr="00EB5E4A">
              <w:rPr>
                <w:lang w:eastAsia="en-AU"/>
              </w:rPr>
              <w:t>New South Wales Department of Premier and Cabinet</w:t>
            </w:r>
          </w:p>
        </w:tc>
      </w:tr>
      <w:tr w:rsidR="00EB5E4A" w:rsidRPr="00EB5E4A" w14:paraId="3BB760AE"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5254ECB1" w14:textId="77777777" w:rsidR="00EB5E4A" w:rsidRPr="00EB5E4A" w:rsidRDefault="00EB5E4A" w:rsidP="00EB5E4A">
            <w:pPr>
              <w:rPr>
                <w:lang w:eastAsia="en-AU"/>
              </w:rPr>
            </w:pPr>
            <w:r w:rsidRPr="00EB5E4A">
              <w:rPr>
                <w:lang w:eastAsia="en-AU"/>
              </w:rPr>
              <w:lastRenderedPageBreak/>
              <w:t>Nightcliff Early Learning</w:t>
            </w:r>
          </w:p>
        </w:tc>
        <w:tc>
          <w:tcPr>
            <w:tcW w:w="4465" w:type="dxa"/>
          </w:tcPr>
          <w:p w14:paraId="1F091D57" w14:textId="77777777" w:rsidR="00EB5E4A" w:rsidRPr="00EB5E4A" w:rsidRDefault="00EB5E4A" w:rsidP="00EB5E4A">
            <w:pPr>
              <w:rPr>
                <w:lang w:eastAsia="en-AU"/>
              </w:rPr>
            </w:pPr>
            <w:r w:rsidRPr="00EB5E4A">
              <w:rPr>
                <w:lang w:eastAsia="en-AU"/>
              </w:rPr>
              <w:t>Northern Territory Department of Education</w:t>
            </w:r>
          </w:p>
        </w:tc>
      </w:tr>
      <w:tr w:rsidR="00EB5E4A" w:rsidRPr="00EB5E4A" w14:paraId="01A439FF"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504D765" w14:textId="77777777" w:rsidR="00EB5E4A" w:rsidRPr="00EB5E4A" w:rsidRDefault="00EB5E4A" w:rsidP="00EB5E4A">
            <w:pPr>
              <w:rPr>
                <w:lang w:eastAsia="en-AU"/>
              </w:rPr>
            </w:pPr>
            <w:r w:rsidRPr="00EB5E4A">
              <w:rPr>
                <w:lang w:eastAsia="en-AU"/>
              </w:rPr>
              <w:t>Northern Territory Department of the Chief Minister</w:t>
            </w:r>
          </w:p>
        </w:tc>
        <w:tc>
          <w:tcPr>
            <w:tcW w:w="4465" w:type="dxa"/>
          </w:tcPr>
          <w:p w14:paraId="25C7EB8D" w14:textId="77777777" w:rsidR="00EB5E4A" w:rsidRPr="00EB5E4A" w:rsidRDefault="00EB5E4A" w:rsidP="00EB5E4A">
            <w:pPr>
              <w:rPr>
                <w:lang w:eastAsia="en-AU"/>
              </w:rPr>
            </w:pPr>
            <w:r w:rsidRPr="00EB5E4A">
              <w:rPr>
                <w:lang w:eastAsia="en-AU"/>
              </w:rPr>
              <w:t>Northern Territory Department of Treasury and Finance</w:t>
            </w:r>
          </w:p>
        </w:tc>
      </w:tr>
      <w:tr w:rsidR="00EB5E4A" w:rsidRPr="00EB5E4A" w14:paraId="3C5972A1"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1451A0D7" w14:textId="77777777" w:rsidR="00EB5E4A" w:rsidRPr="00EB5E4A" w:rsidRDefault="00EB5E4A" w:rsidP="00EB5E4A">
            <w:pPr>
              <w:rPr>
                <w:lang w:eastAsia="en-AU"/>
              </w:rPr>
            </w:pPr>
            <w:proofErr w:type="spellStart"/>
            <w:r w:rsidRPr="00EB5E4A">
              <w:rPr>
                <w:lang w:eastAsia="en-AU"/>
              </w:rPr>
              <w:t>Northside</w:t>
            </w:r>
            <w:proofErr w:type="spellEnd"/>
            <w:r w:rsidRPr="00EB5E4A">
              <w:rPr>
                <w:lang w:eastAsia="en-AU"/>
              </w:rPr>
              <w:t xml:space="preserve"> Community Service</w:t>
            </w:r>
          </w:p>
        </w:tc>
        <w:tc>
          <w:tcPr>
            <w:tcW w:w="4465" w:type="dxa"/>
          </w:tcPr>
          <w:p w14:paraId="1A940A3C" w14:textId="77777777" w:rsidR="00EB5E4A" w:rsidRPr="00EB5E4A" w:rsidRDefault="00EB5E4A" w:rsidP="00EB5E4A">
            <w:pPr>
              <w:rPr>
                <w:lang w:eastAsia="en-AU"/>
              </w:rPr>
            </w:pPr>
            <w:r w:rsidRPr="00EB5E4A">
              <w:rPr>
                <w:lang w:eastAsia="en-AU"/>
              </w:rPr>
              <w:t>NSW Local Government Education and Care Managers Group</w:t>
            </w:r>
          </w:p>
        </w:tc>
      </w:tr>
      <w:tr w:rsidR="00EB5E4A" w:rsidRPr="00EB5E4A" w14:paraId="5BEF18C2"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4E8F6FFA" w14:textId="77777777" w:rsidR="00EB5E4A" w:rsidRPr="00EB5E4A" w:rsidRDefault="00EB5E4A" w:rsidP="00EB5E4A">
            <w:pPr>
              <w:rPr>
                <w:lang w:eastAsia="en-AU"/>
              </w:rPr>
            </w:pPr>
            <w:r w:rsidRPr="00EB5E4A">
              <w:rPr>
                <w:lang w:eastAsia="en-AU"/>
              </w:rPr>
              <w:t>NSW Treasury</w:t>
            </w:r>
          </w:p>
        </w:tc>
        <w:tc>
          <w:tcPr>
            <w:tcW w:w="4465" w:type="dxa"/>
          </w:tcPr>
          <w:p w14:paraId="6FC7B81D" w14:textId="77777777" w:rsidR="00EB5E4A" w:rsidRPr="00EB5E4A" w:rsidRDefault="00EB5E4A" w:rsidP="00EB5E4A">
            <w:pPr>
              <w:rPr>
                <w:lang w:eastAsia="en-AU"/>
              </w:rPr>
            </w:pPr>
            <w:r w:rsidRPr="00EB5E4A">
              <w:rPr>
                <w:lang w:eastAsia="en-AU"/>
              </w:rPr>
              <w:t>Occasional Child Care Australia</w:t>
            </w:r>
          </w:p>
        </w:tc>
      </w:tr>
      <w:tr w:rsidR="00EB5E4A" w:rsidRPr="00EB5E4A" w14:paraId="56960072"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7E95BDCA" w14:textId="77777777" w:rsidR="00EB5E4A" w:rsidRPr="00EB5E4A" w:rsidRDefault="00EB5E4A" w:rsidP="00EB5E4A">
            <w:pPr>
              <w:rPr>
                <w:lang w:eastAsia="en-AU"/>
              </w:rPr>
            </w:pPr>
            <w:r w:rsidRPr="00EB5E4A">
              <w:rPr>
                <w:lang w:eastAsia="en-AU"/>
              </w:rPr>
              <w:t>Ocean View Child Care Centre</w:t>
            </w:r>
          </w:p>
        </w:tc>
        <w:tc>
          <w:tcPr>
            <w:tcW w:w="4465" w:type="dxa"/>
          </w:tcPr>
          <w:p w14:paraId="519EDD20" w14:textId="77777777" w:rsidR="00EB5E4A" w:rsidRPr="00EB5E4A" w:rsidRDefault="00EB5E4A" w:rsidP="00EB5E4A">
            <w:pPr>
              <w:rPr>
                <w:lang w:eastAsia="en-AU"/>
              </w:rPr>
            </w:pPr>
            <w:r w:rsidRPr="00EB5E4A">
              <w:rPr>
                <w:lang w:eastAsia="en-AU"/>
              </w:rPr>
              <w:t>Only About Children</w:t>
            </w:r>
          </w:p>
        </w:tc>
      </w:tr>
      <w:tr w:rsidR="00EB5E4A" w:rsidRPr="00EB5E4A" w14:paraId="61080C96"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539BFDDD" w14:textId="77777777" w:rsidR="00EB5E4A" w:rsidRPr="00EB5E4A" w:rsidRDefault="00EB5E4A" w:rsidP="00EB5E4A">
            <w:pPr>
              <w:rPr>
                <w:lang w:eastAsia="en-AU"/>
              </w:rPr>
            </w:pPr>
            <w:r w:rsidRPr="00EB5E4A">
              <w:rPr>
                <w:lang w:eastAsia="en-AU"/>
              </w:rPr>
              <w:t>Orange City Council</w:t>
            </w:r>
          </w:p>
        </w:tc>
        <w:tc>
          <w:tcPr>
            <w:tcW w:w="4465" w:type="dxa"/>
          </w:tcPr>
          <w:p w14:paraId="2266E912" w14:textId="77777777" w:rsidR="00EB5E4A" w:rsidRPr="00EB5E4A" w:rsidRDefault="00EB5E4A" w:rsidP="00EB5E4A">
            <w:pPr>
              <w:rPr>
                <w:lang w:eastAsia="en-AU"/>
              </w:rPr>
            </w:pPr>
            <w:r w:rsidRPr="00EB5E4A">
              <w:rPr>
                <w:lang w:eastAsia="en-AU"/>
              </w:rPr>
              <w:t>Playgroup Victoria</w:t>
            </w:r>
          </w:p>
        </w:tc>
      </w:tr>
      <w:tr w:rsidR="00EB5E4A" w:rsidRPr="00EB5E4A" w14:paraId="0D7F26F1"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0CD7C76A" w14:textId="77777777" w:rsidR="00EB5E4A" w:rsidRPr="00EB5E4A" w:rsidRDefault="00EB5E4A" w:rsidP="00EB5E4A">
            <w:pPr>
              <w:rPr>
                <w:lang w:eastAsia="en-AU"/>
              </w:rPr>
            </w:pPr>
            <w:r w:rsidRPr="00EB5E4A">
              <w:rPr>
                <w:lang w:eastAsia="en-AU"/>
              </w:rPr>
              <w:t>Playgroup WA</w:t>
            </w:r>
          </w:p>
        </w:tc>
        <w:tc>
          <w:tcPr>
            <w:tcW w:w="4465" w:type="dxa"/>
          </w:tcPr>
          <w:p w14:paraId="4D09D6B8" w14:textId="77777777" w:rsidR="00EB5E4A" w:rsidRPr="00EB5E4A" w:rsidRDefault="00EB5E4A" w:rsidP="00EB5E4A">
            <w:pPr>
              <w:rPr>
                <w:lang w:eastAsia="en-AU"/>
              </w:rPr>
            </w:pPr>
            <w:r w:rsidRPr="00EB5E4A">
              <w:rPr>
                <w:lang w:eastAsia="en-AU"/>
              </w:rPr>
              <w:t>Possums Playcentre</w:t>
            </w:r>
          </w:p>
        </w:tc>
      </w:tr>
      <w:tr w:rsidR="00EB5E4A" w:rsidRPr="00EB5E4A" w14:paraId="30571EE2"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620593B6" w14:textId="77777777" w:rsidR="00EB5E4A" w:rsidRPr="00EB5E4A" w:rsidRDefault="00EB5E4A" w:rsidP="00EB5E4A">
            <w:pPr>
              <w:rPr>
                <w:lang w:eastAsia="en-AU"/>
              </w:rPr>
            </w:pPr>
            <w:r w:rsidRPr="00EB5E4A">
              <w:rPr>
                <w:lang w:eastAsia="en-AU"/>
              </w:rPr>
              <w:t>Professor Deborah Brennan</w:t>
            </w:r>
          </w:p>
        </w:tc>
        <w:tc>
          <w:tcPr>
            <w:tcW w:w="4465" w:type="dxa"/>
          </w:tcPr>
          <w:p w14:paraId="0B0094BF" w14:textId="77777777" w:rsidR="00EB5E4A" w:rsidRPr="00EB5E4A" w:rsidRDefault="00EB5E4A" w:rsidP="00EB5E4A">
            <w:pPr>
              <w:rPr>
                <w:lang w:eastAsia="en-AU"/>
              </w:rPr>
            </w:pPr>
            <w:r w:rsidRPr="00EB5E4A">
              <w:rPr>
                <w:lang w:eastAsia="en-AU"/>
              </w:rPr>
              <w:t>Queensland Catholic Education Commission</w:t>
            </w:r>
          </w:p>
        </w:tc>
      </w:tr>
      <w:tr w:rsidR="00EB5E4A" w:rsidRPr="00EB5E4A" w14:paraId="66C9DB9C"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1948801F" w14:textId="77777777" w:rsidR="00EB5E4A" w:rsidRPr="00EB5E4A" w:rsidRDefault="00EB5E4A" w:rsidP="00EB5E4A">
            <w:pPr>
              <w:rPr>
                <w:lang w:eastAsia="en-AU"/>
              </w:rPr>
            </w:pPr>
            <w:r w:rsidRPr="00EB5E4A">
              <w:rPr>
                <w:lang w:eastAsia="en-AU"/>
              </w:rPr>
              <w:t>Queensland Council of Social Services</w:t>
            </w:r>
          </w:p>
        </w:tc>
        <w:tc>
          <w:tcPr>
            <w:tcW w:w="4465" w:type="dxa"/>
          </w:tcPr>
          <w:p w14:paraId="0D67EBB3" w14:textId="77777777" w:rsidR="00EB5E4A" w:rsidRPr="00EB5E4A" w:rsidRDefault="00EB5E4A" w:rsidP="00EB5E4A">
            <w:pPr>
              <w:rPr>
                <w:lang w:eastAsia="en-AU"/>
              </w:rPr>
            </w:pPr>
            <w:r w:rsidRPr="00EB5E4A">
              <w:rPr>
                <w:lang w:eastAsia="en-AU"/>
              </w:rPr>
              <w:t>Queensland Department of Education</w:t>
            </w:r>
          </w:p>
        </w:tc>
      </w:tr>
      <w:tr w:rsidR="00EB5E4A" w:rsidRPr="00EB5E4A" w14:paraId="1565245C"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68FAE89B" w14:textId="77777777" w:rsidR="00EB5E4A" w:rsidRPr="00EB5E4A" w:rsidRDefault="00EB5E4A" w:rsidP="00EB5E4A">
            <w:pPr>
              <w:rPr>
                <w:lang w:eastAsia="en-AU"/>
              </w:rPr>
            </w:pPr>
            <w:r w:rsidRPr="00EB5E4A">
              <w:rPr>
                <w:lang w:eastAsia="en-AU"/>
              </w:rPr>
              <w:t>Queensland Department of the Premier and Cabinet</w:t>
            </w:r>
          </w:p>
        </w:tc>
        <w:tc>
          <w:tcPr>
            <w:tcW w:w="4465" w:type="dxa"/>
          </w:tcPr>
          <w:p w14:paraId="7CBA6297" w14:textId="77777777" w:rsidR="00EB5E4A" w:rsidRPr="00EB5E4A" w:rsidRDefault="00EB5E4A" w:rsidP="00EB5E4A">
            <w:pPr>
              <w:rPr>
                <w:lang w:eastAsia="en-AU"/>
              </w:rPr>
            </w:pPr>
            <w:r w:rsidRPr="00EB5E4A">
              <w:rPr>
                <w:lang w:eastAsia="en-AU"/>
              </w:rPr>
              <w:t>Queensland Lutheran Early Childhood Services</w:t>
            </w:r>
          </w:p>
        </w:tc>
      </w:tr>
      <w:tr w:rsidR="00EB5E4A" w:rsidRPr="00EB5E4A" w14:paraId="51552D74"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430874E" w14:textId="77777777" w:rsidR="00EB5E4A" w:rsidRPr="00EB5E4A" w:rsidRDefault="00EB5E4A" w:rsidP="00EB5E4A">
            <w:pPr>
              <w:rPr>
                <w:lang w:eastAsia="en-AU"/>
              </w:rPr>
            </w:pPr>
            <w:r w:rsidRPr="00EB5E4A">
              <w:rPr>
                <w:lang w:eastAsia="en-AU"/>
              </w:rPr>
              <w:t>Queensland Teacher's Union</w:t>
            </w:r>
          </w:p>
        </w:tc>
        <w:tc>
          <w:tcPr>
            <w:tcW w:w="4465" w:type="dxa"/>
          </w:tcPr>
          <w:p w14:paraId="34C3A9C8" w14:textId="77777777" w:rsidR="00EB5E4A" w:rsidRPr="00EB5E4A" w:rsidRDefault="00EB5E4A" w:rsidP="00EB5E4A">
            <w:pPr>
              <w:rPr>
                <w:lang w:eastAsia="en-AU"/>
              </w:rPr>
            </w:pPr>
            <w:r w:rsidRPr="00EB5E4A">
              <w:rPr>
                <w:lang w:eastAsia="en-AU"/>
              </w:rPr>
              <w:t>Queensland Treasury</w:t>
            </w:r>
          </w:p>
        </w:tc>
      </w:tr>
      <w:tr w:rsidR="00EB5E4A" w:rsidRPr="00EB5E4A" w14:paraId="77ED8DE8"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4BBDA623" w14:textId="77777777" w:rsidR="00EB5E4A" w:rsidRPr="00EB5E4A" w:rsidRDefault="00EB5E4A" w:rsidP="00EB5E4A">
            <w:pPr>
              <w:rPr>
                <w:lang w:eastAsia="en-AU"/>
              </w:rPr>
            </w:pPr>
            <w:r w:rsidRPr="00EB5E4A">
              <w:rPr>
                <w:lang w:eastAsia="en-AU"/>
              </w:rPr>
              <w:t>SDN Children’s Services</w:t>
            </w:r>
          </w:p>
        </w:tc>
        <w:tc>
          <w:tcPr>
            <w:tcW w:w="4465" w:type="dxa"/>
          </w:tcPr>
          <w:p w14:paraId="459B753D" w14:textId="77777777" w:rsidR="00EB5E4A" w:rsidRPr="00EB5E4A" w:rsidRDefault="00EB5E4A" w:rsidP="00EB5E4A">
            <w:pPr>
              <w:rPr>
                <w:lang w:eastAsia="en-AU"/>
              </w:rPr>
            </w:pPr>
            <w:r w:rsidRPr="00EB5E4A">
              <w:rPr>
                <w:lang w:eastAsia="en-AU"/>
              </w:rPr>
              <w:t>Secretariat of National Aboriginal and Islander Child Care</w:t>
            </w:r>
          </w:p>
        </w:tc>
      </w:tr>
      <w:tr w:rsidR="00EB5E4A" w:rsidRPr="00EB5E4A" w14:paraId="765DEEE5"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F69FAEF" w14:textId="77777777" w:rsidR="00EB5E4A" w:rsidRPr="00EB5E4A" w:rsidRDefault="00EB5E4A" w:rsidP="00EB5E4A">
            <w:pPr>
              <w:rPr>
                <w:lang w:eastAsia="en-AU"/>
              </w:rPr>
            </w:pPr>
            <w:r w:rsidRPr="00EB5E4A">
              <w:rPr>
                <w:lang w:eastAsia="en-AU"/>
              </w:rPr>
              <w:t>Small Schools Association</w:t>
            </w:r>
          </w:p>
        </w:tc>
        <w:tc>
          <w:tcPr>
            <w:tcW w:w="4465" w:type="dxa"/>
          </w:tcPr>
          <w:p w14:paraId="4FCC9431" w14:textId="77777777" w:rsidR="00EB5E4A" w:rsidRPr="00EB5E4A" w:rsidRDefault="00EB5E4A" w:rsidP="00EB5E4A">
            <w:pPr>
              <w:rPr>
                <w:lang w:eastAsia="en-AU"/>
              </w:rPr>
            </w:pPr>
            <w:r w:rsidRPr="00EB5E4A">
              <w:rPr>
                <w:lang w:eastAsia="en-AU"/>
              </w:rPr>
              <w:t>South Australia Department of Education</w:t>
            </w:r>
          </w:p>
        </w:tc>
      </w:tr>
      <w:tr w:rsidR="00EB5E4A" w:rsidRPr="00EB5E4A" w14:paraId="0B42F58F"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CA2B1E5" w14:textId="77777777" w:rsidR="00EB5E4A" w:rsidRPr="00EB5E4A" w:rsidRDefault="00EB5E4A" w:rsidP="00EB5E4A">
            <w:pPr>
              <w:rPr>
                <w:lang w:eastAsia="en-AU"/>
              </w:rPr>
            </w:pPr>
            <w:r w:rsidRPr="00EB5E4A">
              <w:rPr>
                <w:lang w:eastAsia="en-AU"/>
              </w:rPr>
              <w:t>South Australia Department of the Premier and Cabinet</w:t>
            </w:r>
          </w:p>
        </w:tc>
        <w:tc>
          <w:tcPr>
            <w:tcW w:w="4465" w:type="dxa"/>
          </w:tcPr>
          <w:p w14:paraId="588F447B" w14:textId="77777777" w:rsidR="00EB5E4A" w:rsidRPr="00EB5E4A" w:rsidRDefault="00EB5E4A" w:rsidP="00EB5E4A">
            <w:pPr>
              <w:rPr>
                <w:lang w:eastAsia="en-AU"/>
              </w:rPr>
            </w:pPr>
            <w:r w:rsidRPr="00EB5E4A">
              <w:rPr>
                <w:lang w:eastAsia="en-AU"/>
              </w:rPr>
              <w:t>South Australian Area Schools Leaders Association</w:t>
            </w:r>
          </w:p>
        </w:tc>
      </w:tr>
      <w:tr w:rsidR="00EB5E4A" w:rsidRPr="00EB5E4A" w14:paraId="1B7DB75D"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22D31E62" w14:textId="77777777" w:rsidR="00EB5E4A" w:rsidRPr="00EB5E4A" w:rsidRDefault="00EB5E4A" w:rsidP="00EB5E4A">
            <w:pPr>
              <w:rPr>
                <w:lang w:eastAsia="en-AU"/>
              </w:rPr>
            </w:pPr>
            <w:r w:rsidRPr="00EB5E4A">
              <w:rPr>
                <w:lang w:eastAsia="en-AU"/>
              </w:rPr>
              <w:t>State School Teachers Union of Western Australia</w:t>
            </w:r>
          </w:p>
        </w:tc>
        <w:tc>
          <w:tcPr>
            <w:tcW w:w="4465" w:type="dxa"/>
          </w:tcPr>
          <w:p w14:paraId="18414841" w14:textId="77777777" w:rsidR="00EB5E4A" w:rsidRPr="00EB5E4A" w:rsidRDefault="00EB5E4A" w:rsidP="00EB5E4A">
            <w:pPr>
              <w:rPr>
                <w:lang w:eastAsia="en-AU"/>
              </w:rPr>
            </w:pPr>
            <w:r w:rsidRPr="00EB5E4A">
              <w:rPr>
                <w:lang w:eastAsia="en-AU"/>
              </w:rPr>
              <w:t>Tasmanian Department of Education</w:t>
            </w:r>
          </w:p>
        </w:tc>
      </w:tr>
      <w:tr w:rsidR="00EB5E4A" w:rsidRPr="00EB5E4A" w14:paraId="759EC2F7"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40F024C8" w14:textId="77777777" w:rsidR="00EB5E4A" w:rsidRPr="00EB5E4A" w:rsidRDefault="00EB5E4A" w:rsidP="00EB5E4A">
            <w:pPr>
              <w:rPr>
                <w:lang w:eastAsia="en-AU"/>
              </w:rPr>
            </w:pPr>
            <w:r w:rsidRPr="00EB5E4A">
              <w:rPr>
                <w:lang w:eastAsia="en-AU"/>
              </w:rPr>
              <w:t>Tasmanian Department of Premier and Cabinet</w:t>
            </w:r>
          </w:p>
        </w:tc>
        <w:tc>
          <w:tcPr>
            <w:tcW w:w="4465" w:type="dxa"/>
          </w:tcPr>
          <w:p w14:paraId="57BFD6C2" w14:textId="77777777" w:rsidR="00EB5E4A" w:rsidRPr="00EB5E4A" w:rsidRDefault="00EB5E4A" w:rsidP="00EB5E4A">
            <w:pPr>
              <w:rPr>
                <w:lang w:eastAsia="en-AU"/>
              </w:rPr>
            </w:pPr>
            <w:r w:rsidRPr="00EB5E4A">
              <w:rPr>
                <w:lang w:eastAsia="en-AU"/>
              </w:rPr>
              <w:t>Tasmanian Department of Treasury and Finance</w:t>
            </w:r>
          </w:p>
        </w:tc>
      </w:tr>
      <w:tr w:rsidR="00EB5E4A" w:rsidRPr="00EB5E4A" w14:paraId="012EC9C4"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66AA6C8C" w14:textId="77777777" w:rsidR="00EB5E4A" w:rsidRPr="00EB5E4A" w:rsidRDefault="00EB5E4A" w:rsidP="00EB5E4A">
            <w:pPr>
              <w:rPr>
                <w:lang w:eastAsia="en-AU"/>
              </w:rPr>
            </w:pPr>
            <w:r w:rsidRPr="00EB5E4A">
              <w:rPr>
                <w:lang w:eastAsia="en-AU"/>
              </w:rPr>
              <w:t>Territory Childcare Group</w:t>
            </w:r>
          </w:p>
        </w:tc>
        <w:tc>
          <w:tcPr>
            <w:tcW w:w="4465" w:type="dxa"/>
          </w:tcPr>
          <w:p w14:paraId="33132993" w14:textId="77777777" w:rsidR="00EB5E4A" w:rsidRPr="00EB5E4A" w:rsidRDefault="00EB5E4A" w:rsidP="00EB5E4A">
            <w:pPr>
              <w:rPr>
                <w:lang w:eastAsia="en-AU"/>
              </w:rPr>
            </w:pPr>
            <w:r w:rsidRPr="00EB5E4A">
              <w:rPr>
                <w:lang w:eastAsia="en-AU"/>
              </w:rPr>
              <w:t>The Front Project</w:t>
            </w:r>
          </w:p>
        </w:tc>
      </w:tr>
      <w:tr w:rsidR="00EB5E4A" w:rsidRPr="00EB5E4A" w14:paraId="4F144FE1"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7AFF241D" w14:textId="77777777" w:rsidR="00EB5E4A" w:rsidRPr="00EB5E4A" w:rsidRDefault="00EB5E4A" w:rsidP="00EB5E4A">
            <w:pPr>
              <w:rPr>
                <w:lang w:eastAsia="en-AU"/>
              </w:rPr>
            </w:pPr>
            <w:r w:rsidRPr="00EB5E4A">
              <w:rPr>
                <w:lang w:eastAsia="en-AU"/>
              </w:rPr>
              <w:t>The Gowrie (QLD)</w:t>
            </w:r>
          </w:p>
        </w:tc>
        <w:tc>
          <w:tcPr>
            <w:tcW w:w="4465" w:type="dxa"/>
          </w:tcPr>
          <w:p w14:paraId="29196A6B" w14:textId="77777777" w:rsidR="00EB5E4A" w:rsidRPr="00EB5E4A" w:rsidRDefault="00EB5E4A" w:rsidP="00EB5E4A">
            <w:pPr>
              <w:rPr>
                <w:lang w:eastAsia="en-AU"/>
              </w:rPr>
            </w:pPr>
            <w:r w:rsidRPr="00EB5E4A">
              <w:rPr>
                <w:lang w:eastAsia="en-AU"/>
              </w:rPr>
              <w:t>Treasury Western Australia Department of</w:t>
            </w:r>
          </w:p>
        </w:tc>
      </w:tr>
      <w:tr w:rsidR="00EB5E4A" w:rsidRPr="00EB5E4A" w14:paraId="45644AC9"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59494FBE" w14:textId="77777777" w:rsidR="00EB5E4A" w:rsidRPr="00EB5E4A" w:rsidRDefault="00EB5E4A" w:rsidP="00EB5E4A">
            <w:pPr>
              <w:rPr>
                <w:lang w:eastAsia="en-AU"/>
              </w:rPr>
            </w:pPr>
            <w:r w:rsidRPr="00EB5E4A">
              <w:rPr>
                <w:lang w:eastAsia="en-AU"/>
              </w:rPr>
              <w:t>Try Australia</w:t>
            </w:r>
          </w:p>
        </w:tc>
        <w:tc>
          <w:tcPr>
            <w:tcW w:w="4465" w:type="dxa"/>
          </w:tcPr>
          <w:p w14:paraId="6C85002A" w14:textId="77777777" w:rsidR="00EB5E4A" w:rsidRPr="00EB5E4A" w:rsidRDefault="00EB5E4A" w:rsidP="00EB5E4A">
            <w:pPr>
              <w:rPr>
                <w:lang w:eastAsia="en-AU"/>
              </w:rPr>
            </w:pPr>
            <w:r w:rsidRPr="00EB5E4A">
              <w:rPr>
                <w:lang w:eastAsia="en-AU"/>
              </w:rPr>
              <w:t>United Voice Queensland</w:t>
            </w:r>
          </w:p>
        </w:tc>
      </w:tr>
      <w:tr w:rsidR="00EB5E4A" w:rsidRPr="00EB5E4A" w14:paraId="0536E6D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3395E0DB" w14:textId="77777777" w:rsidR="00EB5E4A" w:rsidRPr="00EB5E4A" w:rsidRDefault="00EB5E4A" w:rsidP="00EB5E4A">
            <w:pPr>
              <w:rPr>
                <w:lang w:eastAsia="en-AU"/>
              </w:rPr>
            </w:pPr>
            <w:r w:rsidRPr="00EB5E4A">
              <w:rPr>
                <w:lang w:eastAsia="en-AU"/>
              </w:rPr>
              <w:t>Victoria Department of Premier and Cabinet</w:t>
            </w:r>
          </w:p>
        </w:tc>
        <w:tc>
          <w:tcPr>
            <w:tcW w:w="4465" w:type="dxa"/>
          </w:tcPr>
          <w:p w14:paraId="17DFF140" w14:textId="77777777" w:rsidR="00EB5E4A" w:rsidRPr="00EB5E4A" w:rsidRDefault="00EB5E4A" w:rsidP="00EB5E4A">
            <w:pPr>
              <w:rPr>
                <w:lang w:eastAsia="en-AU"/>
              </w:rPr>
            </w:pPr>
            <w:r w:rsidRPr="00EB5E4A">
              <w:rPr>
                <w:lang w:eastAsia="en-AU"/>
              </w:rPr>
              <w:t>Victorian Aboriginal Education Association</w:t>
            </w:r>
          </w:p>
        </w:tc>
      </w:tr>
      <w:tr w:rsidR="00EB5E4A" w:rsidRPr="00EB5E4A" w14:paraId="694E0B31"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2643721F" w14:textId="77777777" w:rsidR="00EB5E4A" w:rsidRPr="00EB5E4A" w:rsidRDefault="00EB5E4A" w:rsidP="00EB5E4A">
            <w:pPr>
              <w:rPr>
                <w:lang w:eastAsia="en-AU"/>
              </w:rPr>
            </w:pPr>
            <w:r w:rsidRPr="00EB5E4A">
              <w:rPr>
                <w:lang w:eastAsia="en-AU"/>
              </w:rPr>
              <w:t>Victorian Council of Social Service</w:t>
            </w:r>
          </w:p>
        </w:tc>
        <w:tc>
          <w:tcPr>
            <w:tcW w:w="4465" w:type="dxa"/>
          </w:tcPr>
          <w:p w14:paraId="047DCDD5" w14:textId="77777777" w:rsidR="00EB5E4A" w:rsidRPr="00EB5E4A" w:rsidRDefault="00EB5E4A" w:rsidP="00EB5E4A">
            <w:pPr>
              <w:rPr>
                <w:lang w:eastAsia="en-AU"/>
              </w:rPr>
            </w:pPr>
            <w:r w:rsidRPr="00EB5E4A">
              <w:rPr>
                <w:lang w:eastAsia="en-AU"/>
              </w:rPr>
              <w:t>Victorian Department of Education and Training</w:t>
            </w:r>
          </w:p>
        </w:tc>
      </w:tr>
      <w:tr w:rsidR="00EB5E4A" w:rsidRPr="00EB5E4A" w14:paraId="2776D89D"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72103415" w14:textId="77777777" w:rsidR="00EB5E4A" w:rsidRPr="00EB5E4A" w:rsidRDefault="00EB5E4A" w:rsidP="00EB5E4A">
            <w:pPr>
              <w:rPr>
                <w:lang w:eastAsia="en-AU"/>
              </w:rPr>
            </w:pPr>
            <w:r w:rsidRPr="00EB5E4A">
              <w:rPr>
                <w:lang w:eastAsia="en-AU"/>
              </w:rPr>
              <w:t>Victorian Department of Treasury and Finance</w:t>
            </w:r>
          </w:p>
        </w:tc>
        <w:tc>
          <w:tcPr>
            <w:tcW w:w="4465" w:type="dxa"/>
          </w:tcPr>
          <w:p w14:paraId="72AB0F4C" w14:textId="77777777" w:rsidR="00EB5E4A" w:rsidRPr="00EB5E4A" w:rsidRDefault="00EB5E4A" w:rsidP="00EB5E4A">
            <w:pPr>
              <w:rPr>
                <w:lang w:eastAsia="en-AU"/>
              </w:rPr>
            </w:pPr>
            <w:r w:rsidRPr="00EB5E4A">
              <w:rPr>
                <w:lang w:eastAsia="en-AU"/>
              </w:rPr>
              <w:t>Western Australia Department of Communities</w:t>
            </w:r>
          </w:p>
        </w:tc>
      </w:tr>
      <w:tr w:rsidR="00EB5E4A" w:rsidRPr="00EB5E4A" w14:paraId="7E2FDC6B" w14:textId="77777777" w:rsidTr="00EB5E4A">
        <w:trPr>
          <w:cnfStyle w:val="000000010000" w:firstRow="0" w:lastRow="0" w:firstColumn="0" w:lastColumn="0" w:oddVBand="0" w:evenVBand="0" w:oddHBand="0" w:evenHBand="1" w:firstRowFirstColumn="0" w:firstRowLastColumn="0" w:lastRowFirstColumn="0" w:lastRowLastColumn="0"/>
        </w:trPr>
        <w:tc>
          <w:tcPr>
            <w:tcW w:w="4465" w:type="dxa"/>
          </w:tcPr>
          <w:p w14:paraId="1560B835" w14:textId="77777777" w:rsidR="00EB5E4A" w:rsidRPr="00EB5E4A" w:rsidRDefault="00EB5E4A" w:rsidP="00EB5E4A">
            <w:pPr>
              <w:rPr>
                <w:lang w:eastAsia="en-AU"/>
              </w:rPr>
            </w:pPr>
            <w:r w:rsidRPr="00EB5E4A">
              <w:rPr>
                <w:lang w:eastAsia="en-AU"/>
              </w:rPr>
              <w:t>Western Australia Department of Education</w:t>
            </w:r>
          </w:p>
        </w:tc>
        <w:tc>
          <w:tcPr>
            <w:tcW w:w="4465" w:type="dxa"/>
          </w:tcPr>
          <w:p w14:paraId="3A87936F" w14:textId="77777777" w:rsidR="00EB5E4A" w:rsidRPr="00EB5E4A" w:rsidRDefault="00EB5E4A" w:rsidP="00EB5E4A">
            <w:pPr>
              <w:rPr>
                <w:lang w:eastAsia="en-AU"/>
              </w:rPr>
            </w:pPr>
            <w:r w:rsidRPr="00EB5E4A">
              <w:rPr>
                <w:lang w:eastAsia="en-AU"/>
              </w:rPr>
              <w:t>Western Australia Department of the Premier and Cabinet</w:t>
            </w:r>
          </w:p>
        </w:tc>
      </w:tr>
      <w:tr w:rsidR="00EB5E4A" w:rsidRPr="00C30076" w14:paraId="415F492C" w14:textId="77777777" w:rsidTr="00EB5E4A">
        <w:trPr>
          <w:cnfStyle w:val="000000100000" w:firstRow="0" w:lastRow="0" w:firstColumn="0" w:lastColumn="0" w:oddVBand="0" w:evenVBand="0" w:oddHBand="1" w:evenHBand="0" w:firstRowFirstColumn="0" w:firstRowLastColumn="0" w:lastRowFirstColumn="0" w:lastRowLastColumn="0"/>
        </w:trPr>
        <w:tc>
          <w:tcPr>
            <w:tcW w:w="4465" w:type="dxa"/>
          </w:tcPr>
          <w:p w14:paraId="0D27DF93" w14:textId="77777777" w:rsidR="00EB5E4A" w:rsidRPr="00EB5E4A" w:rsidRDefault="00EB5E4A" w:rsidP="00EB5E4A">
            <w:pPr>
              <w:rPr>
                <w:lang w:eastAsia="en-AU"/>
              </w:rPr>
            </w:pPr>
            <w:r w:rsidRPr="00EB5E4A">
              <w:rPr>
                <w:lang w:eastAsia="en-AU"/>
              </w:rPr>
              <w:t>Woden Community Service</w:t>
            </w:r>
          </w:p>
        </w:tc>
        <w:tc>
          <w:tcPr>
            <w:tcW w:w="4465" w:type="dxa"/>
          </w:tcPr>
          <w:p w14:paraId="4DB8B0B1" w14:textId="77777777" w:rsidR="00EB5E4A" w:rsidRPr="00C30076" w:rsidRDefault="00EB5E4A" w:rsidP="00EB5E4A">
            <w:pPr>
              <w:rPr>
                <w:lang w:eastAsia="en-AU"/>
              </w:rPr>
            </w:pPr>
            <w:r w:rsidRPr="00EB5E4A">
              <w:rPr>
                <w:lang w:eastAsia="en-AU"/>
              </w:rPr>
              <w:t>YWCA Canberra</w:t>
            </w:r>
          </w:p>
        </w:tc>
      </w:tr>
    </w:tbl>
    <w:p w14:paraId="685F5A1F" w14:textId="09D24470" w:rsidR="00066A4B" w:rsidRPr="00C30076" w:rsidRDefault="00066A4B" w:rsidP="00EB5E4A">
      <w:pPr>
        <w:rPr>
          <w:lang w:eastAsia="en-AU"/>
        </w:rPr>
      </w:pPr>
    </w:p>
    <w:sectPr w:rsidR="00066A4B" w:rsidRPr="00C30076"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5AC22" w14:textId="77777777" w:rsidR="00EB5E4A" w:rsidRDefault="00EB5E4A" w:rsidP="00302076">
      <w:pPr>
        <w:spacing w:after="0"/>
      </w:pPr>
      <w:r>
        <w:separator/>
      </w:r>
    </w:p>
  </w:endnote>
  <w:endnote w:type="continuationSeparator" w:id="0">
    <w:p w14:paraId="13A0948E" w14:textId="77777777" w:rsidR="00EB5E4A" w:rsidRDefault="00EB5E4A" w:rsidP="00302076">
      <w:pPr>
        <w:spacing w:after="0"/>
      </w:pPr>
      <w:r>
        <w:continuationSeparator/>
      </w:r>
    </w:p>
  </w:endnote>
  <w:endnote w:type="continuationNotice" w:id="1">
    <w:p w14:paraId="66DE9981" w14:textId="77777777" w:rsidR="00EB5E4A" w:rsidRDefault="00EB5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Heading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F8130" w14:textId="5B1E13CD" w:rsidR="00EB5E4A" w:rsidRPr="00FD4AB1" w:rsidRDefault="00EB5E4A" w:rsidP="004D306A">
    <w:pPr>
      <w:pStyle w:val="Footer"/>
      <w:rPr>
        <w:rFonts w:ascii="Segoe UI Semibold" w:hAnsi="Segoe UI Semibold" w:cs="Segoe UI"/>
        <w:b/>
      </w:rPr>
    </w:pPr>
    <w:r w:rsidRPr="00DC078B">
      <w:rPr>
        <w:lang w:eastAsia="en-AU"/>
      </w:rPr>
      <w:t xml:space="preserve">Nous Group | </w:t>
    </w:r>
    <w:sdt>
      <w:sdtPr>
        <w:rPr>
          <w:szCs w:val="15"/>
          <w:lang w:eastAsia="en-AU"/>
        </w:rPr>
        <w:alias w:val="Title"/>
        <w:id w:val="-1030185203"/>
        <w:dataBinding w:prefixMappings="xmlns:ns0='http://purl.org/dc/elements/1.1/' xmlns:ns1='http://schemas.openxmlformats.org/package/2006/metadata/core-properties' " w:xpath="/ns1:coreProperties[1]/ns0:title[1]" w:storeItemID="{6C3C8BC8-F283-45AE-878A-BAB7291924A1}"/>
        <w:text/>
      </w:sdtPr>
      <w:sdtContent>
        <w:r w:rsidRPr="00DC078B">
          <w:rPr>
            <w:szCs w:val="15"/>
            <w:lang w:eastAsia="en-AU"/>
          </w:rPr>
          <w:t>UANP Review: Final Review Report</w:t>
        </w:r>
      </w:sdtContent>
    </w:sdt>
    <w:r w:rsidRPr="00DC078B">
      <w:rPr>
        <w:lang w:eastAsia="en-AU"/>
      </w:rPr>
      <w:t xml:space="preserve"> | </w:t>
    </w:r>
    <w:sdt>
      <w:sdtPr>
        <w:rPr>
          <w:szCs w:val="15"/>
          <w:lang w:eastAsia="en-AU"/>
        </w:rPr>
        <w:alias w:val="Publish Date"/>
        <w:id w:val="601606028"/>
        <w:showingPlcHdr/>
        <w:dataBinding w:prefixMappings="xmlns:ns0='http://schemas.microsoft.com/office/2006/coverPageProps' " w:xpath="/ns0:CoverPageProperties[1]/ns0:PublishDate[1]" w:storeItemID="{55AF091B-3C7A-41E3-B477-F2FDAA23CFDA}"/>
        <w:date w:fullDate="2020-03-01T00:00:00Z">
          <w:dateFormat w:val="d MMMM yyyy"/>
          <w:lid w:val="en-AU"/>
          <w:storeMappedDataAs w:val="dateTime"/>
          <w:calendar w:val="gregorian"/>
        </w:date>
      </w:sdtPr>
      <w:sdtContent>
        <w:r w:rsidRPr="00DC078B">
          <w:rPr>
            <w:szCs w:val="15"/>
            <w:lang w:eastAsia="en-AU"/>
          </w:rPr>
          <w:t xml:space="preserve">     </w:t>
        </w:r>
      </w:sdtContent>
    </w:sdt>
    <w:r w:rsidRPr="00DC078B">
      <w:rPr>
        <w:rFonts w:ascii="Segoe UI Semibold" w:hAnsi="Segoe UI Semibold" w:cs="Segoe UI"/>
      </w:rPr>
      <w:ptab w:relativeTo="margin" w:alignment="right" w:leader="none"/>
    </w:r>
    <w:r w:rsidRPr="00DC078B">
      <w:rPr>
        <w:rFonts w:cs="Segoe UI"/>
      </w:rPr>
      <w:t xml:space="preserve">| </w:t>
    </w:r>
    <w:r w:rsidRPr="00DC078B">
      <w:rPr>
        <w:rFonts w:cs="Segoe UI"/>
      </w:rPr>
      <w:fldChar w:fldCharType="begin"/>
    </w:r>
    <w:r w:rsidRPr="00DC078B">
      <w:rPr>
        <w:rFonts w:cs="Segoe UI"/>
      </w:rPr>
      <w:instrText xml:space="preserve"> PAGE   \* MERGEFORMAT </w:instrText>
    </w:r>
    <w:r w:rsidRPr="00DC078B">
      <w:rPr>
        <w:rFonts w:cs="Segoe UI"/>
      </w:rPr>
      <w:fldChar w:fldCharType="separate"/>
    </w:r>
    <w:r w:rsidRPr="00DC078B">
      <w:rPr>
        <w:rFonts w:cs="Segoe UI"/>
        <w:noProof/>
      </w:rPr>
      <w:t>1</w:t>
    </w:r>
    <w:r w:rsidRPr="00DC078B">
      <w:rPr>
        <w:rFonts w:cs="Segoe UI"/>
        <w:noProof/>
      </w:rPr>
      <w:fldChar w:fldCharType="end"/>
    </w:r>
    <w:r>
      <w:rPr>
        <w:rFonts w:cs="Segoe UI"/>
        <w:color w:val="A5A5A5"/>
      </w:rPr>
      <w:t xml:space="preserve"> </w:t>
    </w:r>
    <w:r w:rsidRPr="00DC078B">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88A20" w14:textId="4A36232F" w:rsidR="00EB5E4A" w:rsidRPr="00A52C41" w:rsidRDefault="00EB5E4A">
    <w:pPr>
      <w:pStyle w:val="Footer"/>
      <w:rPr>
        <w:rFonts w:ascii="Segoe UI Semibold" w:hAnsi="Segoe UI Semibold" w:cs="Segoe UI"/>
        <w:b/>
      </w:rPr>
    </w:pPr>
    <w:r w:rsidRPr="00DC078B">
      <w:rPr>
        <w:szCs w:val="15"/>
        <w:lang w:eastAsia="en-AU"/>
      </w:rPr>
      <w:t xml:space="preserve">Nous Group | </w:t>
    </w:r>
    <w:sdt>
      <w:sdtPr>
        <w:rPr>
          <w:szCs w:val="15"/>
          <w:lang w:eastAsia="en-AU"/>
        </w:rPr>
        <w:alias w:val="Title"/>
        <w:id w:val="-767462251"/>
        <w:dataBinding w:prefixMappings="xmlns:ns0='http://purl.org/dc/elements/1.1/' xmlns:ns1='http://schemas.openxmlformats.org/package/2006/metadata/core-properties' " w:xpath="/ns1:coreProperties[1]/ns0:title[1]" w:storeItemID="{6C3C8BC8-F283-45AE-878A-BAB7291924A1}"/>
        <w:text/>
      </w:sdtPr>
      <w:sdtContent>
        <w:r w:rsidRPr="00DC078B">
          <w:rPr>
            <w:szCs w:val="15"/>
            <w:lang w:eastAsia="en-AU"/>
          </w:rPr>
          <w:t>UANP Review: Final Review Report</w:t>
        </w:r>
      </w:sdtContent>
    </w:sdt>
    <w:r w:rsidRPr="00DC078B">
      <w:rPr>
        <w:szCs w:val="15"/>
        <w:lang w:eastAsia="en-AU"/>
      </w:rPr>
      <w:t xml:space="preserve"> | October 2020 </w:t>
    </w:r>
    <w:r w:rsidRPr="00DC078B">
      <w:rPr>
        <w:rFonts w:ascii="Segoe UI Semibold" w:hAnsi="Segoe UI Semibold" w:cs="Segoe UI"/>
      </w:rPr>
      <w:ptab w:relativeTo="margin" w:alignment="right" w:leader="none"/>
    </w:r>
    <w:r w:rsidRPr="00DC078B">
      <w:rPr>
        <w:rFonts w:cs="Segoe UI"/>
      </w:rPr>
      <w:t xml:space="preserve">| </w:t>
    </w:r>
    <w:r w:rsidRPr="00DC078B">
      <w:rPr>
        <w:rFonts w:cs="Segoe UI"/>
      </w:rPr>
      <w:fldChar w:fldCharType="begin"/>
    </w:r>
    <w:r w:rsidRPr="00DC078B">
      <w:rPr>
        <w:rFonts w:cs="Segoe UI"/>
      </w:rPr>
      <w:instrText xml:space="preserve"> PAGE   \* MERGEFORMAT </w:instrText>
    </w:r>
    <w:r w:rsidRPr="00DC078B">
      <w:rPr>
        <w:rFonts w:cs="Segoe UI"/>
      </w:rPr>
      <w:fldChar w:fldCharType="separate"/>
    </w:r>
    <w:r w:rsidRPr="00DC078B">
      <w:rPr>
        <w:rFonts w:cs="Segoe UI"/>
        <w:noProof/>
      </w:rPr>
      <w:t>1</w:t>
    </w:r>
    <w:r w:rsidRPr="00DC078B">
      <w:rPr>
        <w:rFonts w:cs="Segoe UI"/>
        <w:noProof/>
      </w:rPr>
      <w:fldChar w:fldCharType="end"/>
    </w:r>
    <w:r>
      <w:rPr>
        <w:rFonts w:cs="Segoe UI"/>
        <w:noProof/>
        <w:color w:val="A5A5A5"/>
      </w:rPr>
      <w:t xml:space="preserve"> </w:t>
    </w:r>
    <w:r w:rsidRPr="00DC078B">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057F" w14:textId="60BB12B5" w:rsidR="00DF46CC" w:rsidRPr="00FD4AB1" w:rsidRDefault="00DF46CC" w:rsidP="002B290B">
    <w:pPr>
      <w:pStyle w:val="Footer"/>
      <w:rPr>
        <w:rFonts w:ascii="Segoe UI Semibold" w:hAnsi="Segoe UI Semibold" w:cs="Segoe UI"/>
        <w:b/>
      </w:rPr>
    </w:pPr>
    <w:r w:rsidRPr="00DC078B">
      <w:rPr>
        <w:szCs w:val="15"/>
        <w:lang w:eastAsia="en-AU"/>
      </w:rPr>
      <w:t xml:space="preserve">Nous Group | </w:t>
    </w:r>
    <w:sdt>
      <w:sdtPr>
        <w:rPr>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Pr>
            <w:szCs w:val="15"/>
            <w:lang w:eastAsia="en-AU"/>
          </w:rPr>
          <w:t>UANP Review: Final Review Report</w:t>
        </w:r>
      </w:sdtContent>
    </w:sdt>
    <w:r w:rsidRPr="00DC078B">
      <w:rPr>
        <w:szCs w:val="15"/>
        <w:lang w:eastAsia="en-AU"/>
      </w:rPr>
      <w:t xml:space="preserve"> | October 2020 </w:t>
    </w:r>
    <w:r w:rsidRPr="00DC078B">
      <w:rPr>
        <w:rFonts w:ascii="Segoe UI Semibold" w:hAnsi="Segoe UI Semibold" w:cs="Segoe UI"/>
      </w:rPr>
      <w:ptab w:relativeTo="margin" w:alignment="right" w:leader="none"/>
    </w:r>
    <w:r w:rsidRPr="00DC078B">
      <w:rPr>
        <w:rFonts w:cs="Segoe UI"/>
      </w:rPr>
      <w:t xml:space="preserve">| </w:t>
    </w:r>
    <w:r w:rsidRPr="00DC078B">
      <w:rPr>
        <w:rFonts w:cs="Segoe UI"/>
      </w:rPr>
      <w:fldChar w:fldCharType="begin"/>
    </w:r>
    <w:r w:rsidRPr="00DC078B">
      <w:rPr>
        <w:rFonts w:cs="Segoe UI"/>
      </w:rPr>
      <w:instrText xml:space="preserve"> PAGE   \* MERGEFORMAT </w:instrText>
    </w:r>
    <w:r w:rsidRPr="00DC078B">
      <w:rPr>
        <w:rFonts w:cs="Segoe UI"/>
      </w:rPr>
      <w:fldChar w:fldCharType="separate"/>
    </w:r>
    <w:r w:rsidRPr="00DC078B">
      <w:rPr>
        <w:rFonts w:cs="Segoe UI"/>
      </w:rPr>
      <w:t>2</w:t>
    </w:r>
    <w:r w:rsidRPr="00DC078B">
      <w:rPr>
        <w:rFonts w:cs="Segoe UI"/>
        <w:noProof/>
      </w:rPr>
      <w:fldChar w:fldCharType="end"/>
    </w:r>
    <w:r>
      <w:rPr>
        <w:rFonts w:cs="Segoe UI"/>
        <w:noProof/>
        <w:color w:val="A5A5A5"/>
      </w:rPr>
      <w:t xml:space="preserve"> </w:t>
    </w:r>
    <w:r w:rsidRPr="00DC078B">
      <w:rPr>
        <w:rFonts w:cs="Segoe UI"/>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A338" w14:textId="4267C0C1" w:rsidR="00EB5E4A" w:rsidRPr="00A52C41" w:rsidRDefault="00EB5E4A">
    <w:pPr>
      <w:pStyle w:val="Footer"/>
      <w:rPr>
        <w:rFonts w:ascii="Segoe UI Semibold" w:hAnsi="Segoe UI Semibold" w:cs="Segoe UI"/>
        <w:b/>
      </w:rPr>
    </w:pPr>
    <w:r w:rsidRPr="00DC078B">
      <w:rPr>
        <w:szCs w:val="15"/>
        <w:lang w:eastAsia="en-AU"/>
      </w:rPr>
      <w:t xml:space="preserve">Nous Group | </w:t>
    </w:r>
    <w:sdt>
      <w:sdtPr>
        <w:rPr>
          <w:szCs w:val="15"/>
          <w:lang w:eastAsia="en-AU"/>
        </w:rPr>
        <w:alias w:val="Title"/>
        <w:id w:val="343442513"/>
        <w:dataBinding w:prefixMappings="xmlns:ns0='http://purl.org/dc/elements/1.1/' xmlns:ns1='http://schemas.openxmlformats.org/package/2006/metadata/core-properties' " w:xpath="/ns1:coreProperties[1]/ns0:title[1]" w:storeItemID="{6C3C8BC8-F283-45AE-878A-BAB7291924A1}"/>
        <w:text/>
      </w:sdtPr>
      <w:sdtContent>
        <w:r w:rsidRPr="00DC078B">
          <w:rPr>
            <w:szCs w:val="15"/>
            <w:lang w:eastAsia="en-AU"/>
          </w:rPr>
          <w:t>UANP Review: Final Review Report</w:t>
        </w:r>
      </w:sdtContent>
    </w:sdt>
    <w:r w:rsidRPr="00DC078B">
      <w:rPr>
        <w:szCs w:val="15"/>
        <w:lang w:eastAsia="en-AU"/>
      </w:rPr>
      <w:t xml:space="preserve"> | October 2020 </w:t>
    </w:r>
    <w:r w:rsidRPr="00DC078B">
      <w:rPr>
        <w:rFonts w:ascii="Segoe UI Semibold" w:hAnsi="Segoe UI Semibold" w:cs="Segoe UI"/>
      </w:rPr>
      <w:ptab w:relativeTo="margin" w:alignment="right" w:leader="none"/>
    </w:r>
    <w:r w:rsidRPr="00DC078B">
      <w:rPr>
        <w:rFonts w:cs="Segoe UI"/>
      </w:rPr>
      <w:t xml:space="preserve">| </w:t>
    </w:r>
    <w:r w:rsidRPr="00DC078B">
      <w:rPr>
        <w:rFonts w:cs="Segoe UI"/>
      </w:rPr>
      <w:fldChar w:fldCharType="begin"/>
    </w:r>
    <w:r w:rsidRPr="00DC078B">
      <w:rPr>
        <w:rFonts w:cs="Segoe UI"/>
      </w:rPr>
      <w:instrText xml:space="preserve"> PAGE   \* MERGEFORMAT </w:instrText>
    </w:r>
    <w:r w:rsidRPr="00DC078B">
      <w:rPr>
        <w:rFonts w:cs="Segoe UI"/>
      </w:rPr>
      <w:fldChar w:fldCharType="separate"/>
    </w:r>
    <w:r w:rsidRPr="00DC078B">
      <w:rPr>
        <w:rFonts w:cs="Segoe UI"/>
      </w:rPr>
      <w:t>5</w:t>
    </w:r>
    <w:r w:rsidRPr="00DC078B">
      <w:rPr>
        <w:rFonts w:cs="Segoe UI"/>
        <w:noProof/>
      </w:rPr>
      <w:fldChar w:fldCharType="end"/>
    </w:r>
    <w:r>
      <w:rPr>
        <w:rFonts w:cs="Segoe UI"/>
        <w:noProof/>
        <w:color w:val="A5A5A5"/>
      </w:rPr>
      <w:t xml:space="preserve"> </w:t>
    </w:r>
    <w:r w:rsidRPr="00DC078B">
      <w:rPr>
        <w:rFonts w:cs="Segoe U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63149" w14:textId="77777777" w:rsidR="00EB5E4A" w:rsidRDefault="00EB5E4A" w:rsidP="00302076">
      <w:pPr>
        <w:spacing w:after="0"/>
      </w:pPr>
      <w:r>
        <w:separator/>
      </w:r>
    </w:p>
  </w:footnote>
  <w:footnote w:type="continuationSeparator" w:id="0">
    <w:p w14:paraId="7D3134CC" w14:textId="77777777" w:rsidR="00EB5E4A" w:rsidRDefault="00EB5E4A" w:rsidP="00302076">
      <w:pPr>
        <w:spacing w:after="0"/>
      </w:pPr>
      <w:r>
        <w:continuationSeparator/>
      </w:r>
    </w:p>
  </w:footnote>
  <w:footnote w:type="continuationNotice" w:id="1">
    <w:p w14:paraId="5C203280" w14:textId="77777777" w:rsidR="00EB5E4A" w:rsidRDefault="00EB5E4A">
      <w:pPr>
        <w:spacing w:after="0" w:line="240" w:lineRule="auto"/>
      </w:pPr>
    </w:p>
  </w:footnote>
  <w:footnote w:id="2">
    <w:p w14:paraId="5AEAC5F8" w14:textId="77777777" w:rsidR="00EB5E4A" w:rsidRPr="00DC3625" w:rsidRDefault="00EB5E4A" w:rsidP="00ED38ED">
      <w:pPr>
        <w:pStyle w:val="NousFooter"/>
      </w:pPr>
      <w:r w:rsidRPr="00DC078B">
        <w:rPr>
          <w:rStyle w:val="FootnoteReference"/>
          <w:color w:val="auto"/>
        </w:rPr>
        <w:footnoteRef/>
      </w:r>
      <w:r w:rsidRPr="00DC078B">
        <w:rPr>
          <w:color w:val="auto"/>
        </w:rPr>
        <w:t xml:space="preserve"> The Australian Capital Territory (ACT), New South Wales (NSW) and the Northern Territory (NT) use the term preschool, and Queensland, Tasmania, </w:t>
      </w:r>
      <w:proofErr w:type="gramStart"/>
      <w:r w:rsidRPr="00DC078B">
        <w:rPr>
          <w:color w:val="auto"/>
        </w:rPr>
        <w:t>Victoria</w:t>
      </w:r>
      <w:proofErr w:type="gramEnd"/>
      <w:r w:rsidRPr="00DC078B">
        <w:rPr>
          <w:color w:val="auto"/>
        </w:rPr>
        <w:t xml:space="preserve"> and Western Australia (WA) use the term kindergarten. In South Australia (SA) both terms are used.</w:t>
      </w:r>
    </w:p>
  </w:footnote>
  <w:footnote w:id="3">
    <w:p w14:paraId="7BB9A0D8" w14:textId="77777777" w:rsidR="00EB5E4A" w:rsidRPr="00DC3625" w:rsidRDefault="00EB5E4A" w:rsidP="009266BB">
      <w:pPr>
        <w:pStyle w:val="NousFooter"/>
      </w:pPr>
      <w:r w:rsidRPr="00DC078B">
        <w:rPr>
          <w:rStyle w:val="FootnoteReference"/>
          <w:color w:val="auto"/>
        </w:rPr>
        <w:footnoteRef/>
      </w:r>
      <w:r w:rsidRPr="00DC078B">
        <w:rPr>
          <w:color w:val="auto"/>
        </w:rPr>
        <w:t xml:space="preserve"> Review of the National Partnership Agreement on Universal Access to Early Childhood Education, Deloitte Access Economics, 2014.</w:t>
      </w:r>
    </w:p>
  </w:footnote>
  <w:footnote w:id="4">
    <w:p w14:paraId="1B5C71F0" w14:textId="005AFB27" w:rsidR="00EB5E4A" w:rsidRPr="00DC3625" w:rsidRDefault="00EB5E4A" w:rsidP="004A0AB5">
      <w:pPr>
        <w:pStyle w:val="FootnoteText"/>
        <w:rPr>
          <w:color w:val="808080" w:themeColor="background1" w:themeShade="80"/>
        </w:rPr>
      </w:pPr>
      <w:r w:rsidRPr="00DC078B">
        <w:rPr>
          <w:rStyle w:val="FootnoteReference"/>
        </w:rPr>
        <w:footnoteRef/>
      </w:r>
      <w:r w:rsidRPr="00DC078B">
        <w:t xml:space="preserve"> Report on Government Services 2019, Productivity Commission. </w:t>
      </w:r>
    </w:p>
  </w:footnote>
  <w:footnote w:id="5">
    <w:p w14:paraId="448BB437" w14:textId="77777777" w:rsidR="00EB5E4A" w:rsidRPr="00DC3625" w:rsidRDefault="00EB5E4A" w:rsidP="004A0AB5">
      <w:pPr>
        <w:pStyle w:val="FootnoteText"/>
        <w:rPr>
          <w:color w:val="808080" w:themeColor="background1" w:themeShade="80"/>
        </w:rPr>
      </w:pPr>
      <w:r w:rsidRPr="00DC3625">
        <w:rPr>
          <w:rStyle w:val="FootnoteReference"/>
          <w:color w:val="808080" w:themeColor="background1" w:themeShade="80"/>
          <w:szCs w:val="15"/>
          <w:lang w:eastAsia="en-AU"/>
        </w:rPr>
        <w:footnoteRef/>
      </w:r>
      <w:r w:rsidRPr="00DC3625">
        <w:rPr>
          <w:color w:val="808080" w:themeColor="background1" w:themeShade="80"/>
        </w:rPr>
        <w:t xml:space="preserve"> </w:t>
      </w:r>
      <w:r w:rsidRPr="00DC078B">
        <w:rPr>
          <w:szCs w:val="15"/>
          <w:lang w:eastAsia="en-AU"/>
        </w:rPr>
        <w:t>A Smart Investment for a Smarter Australia: Economic analysis of universal early childhood education in the year before school in Australia, The Front Project, 2019.</w:t>
      </w:r>
    </w:p>
  </w:footnote>
  <w:footnote w:id="6">
    <w:p w14:paraId="3E8D8C61" w14:textId="77777777" w:rsidR="00EB5E4A" w:rsidRPr="00DC3625" w:rsidRDefault="00EB5E4A" w:rsidP="004A0AB5">
      <w:pPr>
        <w:pStyle w:val="NousFooter"/>
      </w:pPr>
      <w:r w:rsidRPr="00DC3625">
        <w:rPr>
          <w:rStyle w:val="FootnoteReference"/>
        </w:rPr>
        <w:footnoteRef/>
      </w:r>
      <w:r w:rsidRPr="00DC3625">
        <w:t xml:space="preserve"> </w:t>
      </w:r>
      <w:hyperlink r:id="rId1" w:history="1">
        <w:r w:rsidRPr="00DC078B">
          <w:rPr>
            <w:color w:val="auto"/>
          </w:rPr>
          <w:t>Early</w:t>
        </w:r>
      </w:hyperlink>
      <w:r w:rsidRPr="00DC078B">
        <w:rPr>
          <w:color w:val="auto"/>
        </w:rPr>
        <w:t xml:space="preserve"> Learning Reform Principles, Council of Australian Governments, 2018.</w:t>
      </w:r>
    </w:p>
  </w:footnote>
  <w:footnote w:id="7">
    <w:p w14:paraId="574F3C61"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See Appendix F for sources and footnotes.</w:t>
      </w:r>
    </w:p>
  </w:footnote>
  <w:footnote w:id="8">
    <w:p w14:paraId="15CC3899" w14:textId="77777777" w:rsidR="00EB5E4A" w:rsidRPr="00DC3625" w:rsidRDefault="00EB5E4A" w:rsidP="009E5B44">
      <w:pPr>
        <w:pStyle w:val="NousFooter"/>
      </w:pPr>
      <w:r w:rsidRPr="00DC078B">
        <w:rPr>
          <w:rStyle w:val="FootnoteReference"/>
          <w:color w:val="auto"/>
        </w:rPr>
        <w:footnoteRef/>
      </w:r>
      <w:r w:rsidRPr="00DC078B">
        <w:rPr>
          <w:color w:val="auto"/>
        </w:rPr>
        <w:t xml:space="preserve"> Australian Government Treasury Portfolio Budget statement, Australian Government Treasury, 2019, p. 17.</w:t>
      </w:r>
    </w:p>
  </w:footnote>
  <w:footnote w:id="9">
    <w:p w14:paraId="56A3F383" w14:textId="77777777" w:rsidR="00EB5E4A" w:rsidRPr="00DC3625" w:rsidRDefault="00EB5E4A" w:rsidP="009E5B44">
      <w:pPr>
        <w:pStyle w:val="NousFooter"/>
      </w:pPr>
      <w:r w:rsidRPr="00DC3625">
        <w:rPr>
          <w:rStyle w:val="FootnoteReference"/>
        </w:rPr>
        <w:footnoteRef/>
      </w:r>
      <w:r w:rsidRPr="00DC3625">
        <w:t xml:space="preserve"> </w:t>
      </w:r>
      <w:hyperlink r:id="rId2" w:history="1">
        <w:r w:rsidRPr="00DC078B">
          <w:rPr>
            <w:color w:val="auto"/>
          </w:rPr>
          <w:t>Early</w:t>
        </w:r>
      </w:hyperlink>
      <w:r w:rsidRPr="00DC078B">
        <w:rPr>
          <w:color w:val="auto"/>
        </w:rPr>
        <w:t xml:space="preserve"> Learning Reform Principles, Council of Australian Governments, 2018. </w:t>
      </w:r>
    </w:p>
  </w:footnote>
  <w:footnote w:id="10">
    <w:p w14:paraId="6AC1CFB0" w14:textId="77777777" w:rsidR="00EB5E4A" w:rsidRPr="00DC3625" w:rsidRDefault="00EB5E4A" w:rsidP="00ED1AFA">
      <w:pPr>
        <w:pStyle w:val="FootnoteText"/>
        <w:rPr>
          <w:color w:val="808080" w:themeColor="background1" w:themeShade="80"/>
        </w:rPr>
      </w:pPr>
      <w:r w:rsidRPr="00DC078B">
        <w:rPr>
          <w:rStyle w:val="FootnoteReference"/>
        </w:rPr>
        <w:footnoteRef/>
      </w:r>
      <w:r w:rsidRPr="00DC078B">
        <w:t xml:space="preserve"> Table: Labour Force Status of Selected Population Group in Labour Force Participation Across Australia, ABS Australian Social Trends (cat. No. 4102.0), 2008. Accessed November 2019. </w:t>
      </w:r>
    </w:p>
  </w:footnote>
  <w:footnote w:id="11">
    <w:p w14:paraId="284990BE" w14:textId="77777777" w:rsidR="00EB5E4A" w:rsidRPr="00DC3625" w:rsidRDefault="00EB5E4A" w:rsidP="00ED1AFA">
      <w:pPr>
        <w:pStyle w:val="FootnoteText"/>
        <w:rPr>
          <w:color w:val="808080" w:themeColor="background1" w:themeShade="80"/>
        </w:rPr>
      </w:pPr>
      <w:r w:rsidRPr="00DC078B">
        <w:rPr>
          <w:rStyle w:val="FootnoteReference"/>
        </w:rPr>
        <w:footnoteRef/>
      </w:r>
      <w:r w:rsidRPr="00DC078B">
        <w:t xml:space="preserve"> ABS 2019, Labour Force statistics cited in Gender workplace statistics at a glance 2018-19, Australian Government Workplace Gender Equality Agency, 2019. Accessed November 2019.</w:t>
      </w:r>
    </w:p>
  </w:footnote>
  <w:footnote w:id="12">
    <w:p w14:paraId="2942A1E4" w14:textId="77777777" w:rsidR="00EB5E4A" w:rsidRPr="00DC3625" w:rsidRDefault="00EB5E4A" w:rsidP="00C34804">
      <w:pPr>
        <w:pStyle w:val="NousFooter"/>
      </w:pPr>
      <w:r w:rsidRPr="00DC3625">
        <w:rPr>
          <w:rStyle w:val="FootnoteReference"/>
        </w:rPr>
        <w:footnoteRef/>
      </w:r>
      <w:r w:rsidRPr="00DC3625">
        <w:rPr>
          <w:vertAlign w:val="superscript"/>
        </w:rPr>
        <w:t xml:space="preserve"> </w:t>
      </w:r>
      <w:r w:rsidRPr="00DC078B">
        <w:rPr>
          <w:color w:val="auto"/>
        </w:rPr>
        <w:t>See for example: D Warren, M O'Connor, D Smart, &amp; B Edwards, A Critical Review of the Early Childhood Literature, Australian Institute of Family Studies, Melbourne, 2016.</w:t>
      </w:r>
    </w:p>
  </w:footnote>
  <w:footnote w:id="13">
    <w:p w14:paraId="7C496BA3" w14:textId="77777777" w:rsidR="00EB5E4A" w:rsidRPr="00DC3625" w:rsidRDefault="00EB5E4A" w:rsidP="00C34804">
      <w:pPr>
        <w:pStyle w:val="FootnoteText"/>
        <w:rPr>
          <w:color w:val="808080" w:themeColor="background1" w:themeShade="80"/>
        </w:rPr>
      </w:pPr>
      <w:r w:rsidRPr="00DC078B">
        <w:rPr>
          <w:rStyle w:val="FootnoteReference"/>
        </w:rPr>
        <w:footnoteRef/>
      </w:r>
      <w:r w:rsidRPr="00DC078B">
        <w:t xml:space="preserve"> P Winter, Engaging Families in the Early Childhood Development Story: Neuroscience and Early Childhood Development: Summary of Selected Literature and Key Messages for Parenting, Ministerial Council for Education &amp; Early Childhood Development and Youth Affairs, Carlton South, 2010.</w:t>
      </w:r>
    </w:p>
  </w:footnote>
  <w:footnote w:id="14">
    <w:p w14:paraId="27B334D1" w14:textId="77777777" w:rsidR="00EB5E4A" w:rsidRPr="00DC3625" w:rsidRDefault="00EB5E4A" w:rsidP="00C34804">
      <w:pPr>
        <w:pStyle w:val="NousFooter"/>
      </w:pPr>
      <w:r w:rsidRPr="00DC3625">
        <w:rPr>
          <w:rStyle w:val="FootnoteReference"/>
        </w:rPr>
        <w:footnoteRef/>
      </w:r>
      <w:r w:rsidRPr="00DC3625">
        <w:rPr>
          <w:vertAlign w:val="superscript"/>
        </w:rPr>
        <w:t xml:space="preserve"> </w:t>
      </w:r>
      <w:r w:rsidRPr="00DC078B">
        <w:rPr>
          <w:color w:val="auto"/>
        </w:rPr>
        <w:t>S Pascoe, &amp; D Brennan, Lifting Our Game: Report of the Review to Achieve Excellence in Australian Schools Through Early Childhood Interventions, Melbourne, 2017.</w:t>
      </w:r>
    </w:p>
  </w:footnote>
  <w:footnote w:id="15">
    <w:p w14:paraId="20FDFF48" w14:textId="77777777" w:rsidR="00EB5E4A" w:rsidRPr="00DC078B" w:rsidRDefault="00EB5E4A" w:rsidP="00C34804">
      <w:pPr>
        <w:pStyle w:val="FootnoteText"/>
      </w:pPr>
      <w:r w:rsidRPr="00DC078B">
        <w:rPr>
          <w:rStyle w:val="FootnoteReference"/>
        </w:rPr>
        <w:footnoteRef/>
      </w:r>
      <w:r w:rsidRPr="00DC078B">
        <w:t xml:space="preserve"> Australian research drawing on the Longitudinal Study of Australian Children study of over 4000 Australian children, found that after controlling for socio-demographic characteristics, there was a significant positive association between attendance at preschool and year 3 NAPLAN results (Warren and </w:t>
      </w:r>
      <w:proofErr w:type="spellStart"/>
      <w:r w:rsidRPr="00DC078B">
        <w:t>Haisken-DeNew</w:t>
      </w:r>
      <w:proofErr w:type="spellEnd"/>
      <w:r w:rsidRPr="00DC078B">
        <w:t>, 2013).</w:t>
      </w:r>
    </w:p>
  </w:footnote>
  <w:footnote w:id="16">
    <w:p w14:paraId="4B374054" w14:textId="77777777" w:rsidR="00EB5E4A" w:rsidRPr="00DC078B" w:rsidRDefault="00EB5E4A" w:rsidP="00C34804">
      <w:pPr>
        <w:pStyle w:val="FootnoteText"/>
      </w:pPr>
      <w:r w:rsidRPr="00DC078B">
        <w:rPr>
          <w:rStyle w:val="FootnoteReference"/>
        </w:rPr>
        <w:footnoteRef/>
      </w:r>
      <w:r w:rsidRPr="00DC078B">
        <w:t xml:space="preserve"> International longitudinal studies, such as the UK’s ‘Effective Pre-school, Primary and Secondary Education Project’, found that the preschool influence continued during secondary school. Those who attended high quality preschool had higher cognitive attainment and better social-behavioural development at age 14. By age 16, having attended a preschool program predicted better final exam results.</w:t>
      </w:r>
    </w:p>
  </w:footnote>
  <w:footnote w:id="17">
    <w:p w14:paraId="21ABA1D2" w14:textId="77777777" w:rsidR="00EB5E4A" w:rsidRPr="00DC078B" w:rsidRDefault="00EB5E4A" w:rsidP="00C34804">
      <w:pPr>
        <w:pStyle w:val="FootnoteText"/>
      </w:pPr>
      <w:r w:rsidRPr="00DC078B">
        <w:rPr>
          <w:rStyle w:val="FootnoteReference"/>
        </w:rPr>
        <w:footnoteRef/>
      </w:r>
      <w:r w:rsidRPr="00DC078B">
        <w:t xml:space="preserve"> The OECD (2011) found that the Program for International Student Assessment (PISA) reading assessment results of 15-year-old students in most countries who had attended pre-primary or preschool for more than a year outperformed those who had not attended, even after accounting for their socioeconomic background.</w:t>
      </w:r>
    </w:p>
  </w:footnote>
  <w:footnote w:id="18">
    <w:p w14:paraId="506BBDD2" w14:textId="77777777" w:rsidR="00EB5E4A" w:rsidRPr="00DC078B" w:rsidRDefault="00EB5E4A" w:rsidP="00C34804">
      <w:pPr>
        <w:pStyle w:val="FootnoteText"/>
      </w:pPr>
      <w:r w:rsidRPr="00DC078B">
        <w:rPr>
          <w:rStyle w:val="FootnoteReference"/>
        </w:rPr>
        <w:footnoteRef/>
      </w:r>
      <w:r w:rsidRPr="00DC078B">
        <w:t xml:space="preserve"> Australian Government Department of Education and Training, Through Growth to Achievement: The Report of The Review to</w:t>
      </w:r>
    </w:p>
    <w:p w14:paraId="505DF489" w14:textId="77777777" w:rsidR="00EB5E4A" w:rsidRPr="00DC078B" w:rsidRDefault="00EB5E4A" w:rsidP="00C34804">
      <w:pPr>
        <w:pStyle w:val="FootnoteText"/>
      </w:pPr>
      <w:r w:rsidRPr="00DC078B">
        <w:t>Achieve Educational Excellence in Australian Schools, 2018.</w:t>
      </w:r>
    </w:p>
  </w:footnote>
  <w:footnote w:id="19">
    <w:p w14:paraId="3F7AFE0B" w14:textId="77777777" w:rsidR="00EB5E4A" w:rsidRPr="00DC078B" w:rsidRDefault="00EB5E4A" w:rsidP="00C34804">
      <w:pPr>
        <w:pStyle w:val="NousFooter"/>
        <w:rPr>
          <w:color w:val="auto"/>
        </w:rPr>
      </w:pPr>
      <w:r w:rsidRPr="00DC078B">
        <w:rPr>
          <w:rStyle w:val="FootnoteReference"/>
          <w:color w:val="auto"/>
        </w:rPr>
        <w:footnoteRef/>
      </w:r>
      <w:r w:rsidRPr="00DC078B">
        <w:rPr>
          <w:color w:val="auto"/>
        </w:rPr>
        <w:t xml:space="preserve"> A review of the effects of early childhood education, Centre for Education Statistics and Evaluation of the NSW Department of Education, 2018.</w:t>
      </w:r>
    </w:p>
  </w:footnote>
  <w:footnote w:id="20">
    <w:p w14:paraId="6C70B067" w14:textId="77777777" w:rsidR="00EB5E4A" w:rsidRPr="00DC078B" w:rsidRDefault="00EB5E4A" w:rsidP="00C34804">
      <w:pPr>
        <w:pStyle w:val="NousFooter"/>
        <w:rPr>
          <w:color w:val="auto"/>
        </w:rPr>
      </w:pPr>
      <w:r w:rsidRPr="00DC078B">
        <w:rPr>
          <w:rStyle w:val="FootnoteReference"/>
          <w:color w:val="auto"/>
        </w:rPr>
        <w:footnoteRef/>
      </w:r>
      <w:r w:rsidRPr="00DC078B">
        <w:rPr>
          <w:color w:val="auto"/>
        </w:rPr>
        <w:t xml:space="preserve"> S Pascoe, &amp; D Brennan, Lifting Our Game: Report of the Review to Achieve Excellence in Australian Schools Through Early Childhood Interventions, Melbourne, 2017.</w:t>
      </w:r>
    </w:p>
  </w:footnote>
  <w:footnote w:id="21">
    <w:p w14:paraId="3A2C5967" w14:textId="77777777" w:rsidR="00EB5E4A" w:rsidRPr="00DC078B" w:rsidRDefault="00EB5E4A" w:rsidP="00C34804">
      <w:pPr>
        <w:pStyle w:val="NousFooter"/>
        <w:rPr>
          <w:color w:val="auto"/>
        </w:rPr>
      </w:pPr>
      <w:r w:rsidRPr="00DC078B">
        <w:rPr>
          <w:rStyle w:val="FootnoteReference"/>
          <w:color w:val="auto"/>
        </w:rPr>
        <w:footnoteRef/>
      </w:r>
      <w:r w:rsidRPr="00DC078B">
        <w:rPr>
          <w:color w:val="auto"/>
          <w:vertAlign w:val="superscript"/>
        </w:rPr>
        <w:t xml:space="preserve"> </w:t>
      </w:r>
      <w:r w:rsidRPr="00DC078B">
        <w:rPr>
          <w:color w:val="auto"/>
        </w:rPr>
        <w:t>Inquiry Report: Childcare and Early Childhood Learning (No. 73), Australian Government Productivity Commission, 2014.</w:t>
      </w:r>
    </w:p>
  </w:footnote>
  <w:footnote w:id="22">
    <w:p w14:paraId="526E932B" w14:textId="77777777" w:rsidR="00EB5E4A" w:rsidRPr="00DC078B" w:rsidRDefault="00EB5E4A" w:rsidP="00C34804">
      <w:pPr>
        <w:pStyle w:val="NousFooter"/>
        <w:rPr>
          <w:color w:val="auto"/>
        </w:rPr>
      </w:pPr>
      <w:r w:rsidRPr="00DC078B">
        <w:rPr>
          <w:rStyle w:val="FootnoteReference"/>
          <w:color w:val="auto"/>
        </w:rPr>
        <w:footnoteRef/>
      </w:r>
      <w:r w:rsidRPr="00DC078B">
        <w:rPr>
          <w:color w:val="auto"/>
        </w:rPr>
        <w:t xml:space="preserve"> A Smart Investment for a Smarter Australia, The Front Project, 2019.</w:t>
      </w:r>
    </w:p>
  </w:footnote>
  <w:footnote w:id="23">
    <w:p w14:paraId="7710AEC9" w14:textId="77777777" w:rsidR="00EB5E4A" w:rsidRPr="00DC078B" w:rsidRDefault="00EB5E4A" w:rsidP="00C34804">
      <w:pPr>
        <w:pStyle w:val="FootnoteText"/>
      </w:pPr>
      <w:r w:rsidRPr="00DC078B">
        <w:rPr>
          <w:rStyle w:val="FootnoteReference"/>
        </w:rPr>
        <w:footnoteRef/>
      </w:r>
      <w:r w:rsidRPr="00DC078B">
        <w:t xml:space="preserve"> S Fox &amp; M Geddes, Preschool – Two Years are Better Than One: Developing a Preschool Program for Australian 3 Year </w:t>
      </w:r>
      <w:proofErr w:type="spellStart"/>
      <w:r w:rsidRPr="00DC078B">
        <w:t>Olds</w:t>
      </w:r>
      <w:proofErr w:type="spellEnd"/>
      <w:r w:rsidRPr="00DC078B">
        <w:t xml:space="preserve"> – Evidence, Policy and Implementation, Mitchell Institute Policy Paper No. 03/2016, Mitchell Institute, Melbourne, 2016.</w:t>
      </w:r>
    </w:p>
  </w:footnote>
  <w:footnote w:id="24">
    <w:p w14:paraId="560E50E0" w14:textId="77777777" w:rsidR="00EB5E4A" w:rsidRPr="00DC078B" w:rsidRDefault="00EB5E4A" w:rsidP="00C34804">
      <w:pPr>
        <w:pStyle w:val="NousFooter"/>
        <w:rPr>
          <w:color w:val="auto"/>
        </w:rPr>
      </w:pPr>
      <w:r w:rsidRPr="00DC078B">
        <w:rPr>
          <w:rStyle w:val="FootnoteReference"/>
          <w:color w:val="auto"/>
        </w:rPr>
        <w:footnoteRef/>
      </w:r>
      <w:r w:rsidRPr="00DC078B">
        <w:rPr>
          <w:color w:val="auto"/>
          <w:vertAlign w:val="superscript"/>
        </w:rPr>
        <w:t xml:space="preserve"> </w:t>
      </w:r>
      <w:r w:rsidRPr="00DC078B">
        <w:rPr>
          <w:color w:val="auto"/>
        </w:rPr>
        <w:t xml:space="preserve">M O'Connell, S Fox, B </w:t>
      </w:r>
      <w:proofErr w:type="spellStart"/>
      <w:r w:rsidRPr="00DC078B">
        <w:rPr>
          <w:color w:val="auto"/>
        </w:rPr>
        <w:t>Hinz</w:t>
      </w:r>
      <w:proofErr w:type="spellEnd"/>
      <w:r w:rsidRPr="00DC078B">
        <w:rPr>
          <w:color w:val="auto"/>
        </w:rPr>
        <w:t>, &amp; H Cole, Quality Early Education for All, Mitchell Institute, Melbourne, 2016.</w:t>
      </w:r>
    </w:p>
  </w:footnote>
  <w:footnote w:id="25">
    <w:p w14:paraId="7E4184F4" w14:textId="77777777" w:rsidR="00EB5E4A" w:rsidRPr="00DC3625" w:rsidRDefault="00EB5E4A" w:rsidP="00C34804">
      <w:pPr>
        <w:pStyle w:val="FootnoteText"/>
        <w:rPr>
          <w:color w:val="808080" w:themeColor="background1" w:themeShade="80"/>
        </w:rPr>
      </w:pPr>
      <w:r w:rsidRPr="00DC078B">
        <w:rPr>
          <w:rStyle w:val="FootnoteReference"/>
        </w:rPr>
        <w:footnoteRef/>
      </w:r>
      <w:r w:rsidRPr="00DC078B">
        <w:t xml:space="preserve"> S Fox &amp; M Geddes, Preschool – Two Years are Better Than One: Developing a Preschool Program for Australian 3 Year </w:t>
      </w:r>
      <w:proofErr w:type="spellStart"/>
      <w:r w:rsidRPr="00DC078B">
        <w:t>Olds</w:t>
      </w:r>
      <w:proofErr w:type="spellEnd"/>
      <w:r w:rsidRPr="00DC078B">
        <w:t xml:space="preserve"> – Evidence, Policy and Implementation, Mitchell Institute Policy Paper No. 03/2016, Mitchell Institute, Melbourne, 2016.</w:t>
      </w:r>
    </w:p>
  </w:footnote>
  <w:footnote w:id="26">
    <w:p w14:paraId="32966DD7" w14:textId="77777777" w:rsidR="00EB5E4A" w:rsidRPr="00DC3625" w:rsidRDefault="00EB5E4A" w:rsidP="009E5B44">
      <w:pPr>
        <w:pStyle w:val="NousFooter"/>
      </w:pPr>
      <w:r w:rsidRPr="00DC3625">
        <w:rPr>
          <w:rStyle w:val="FootnoteReference"/>
        </w:rPr>
        <w:footnoteRef/>
      </w:r>
      <w:r w:rsidRPr="00DC3625">
        <w:rPr>
          <w:rStyle w:val="FootnoteReference"/>
        </w:rPr>
        <w:t xml:space="preserve"> </w:t>
      </w:r>
      <w:r w:rsidRPr="00DC078B">
        <w:rPr>
          <w:color w:val="auto"/>
        </w:rPr>
        <w:t>National Partnership Agreement on Indigenous Early Childhood Development, Council of Australian Governments 2008.</w:t>
      </w:r>
    </w:p>
  </w:footnote>
  <w:footnote w:id="27">
    <w:p w14:paraId="5000ABD8" w14:textId="77777777" w:rsidR="00EB5E4A" w:rsidRPr="00DC3625" w:rsidRDefault="00EB5E4A" w:rsidP="009E5B44">
      <w:pPr>
        <w:pStyle w:val="NousFooter"/>
      </w:pPr>
      <w:r w:rsidRPr="00DC078B">
        <w:rPr>
          <w:rStyle w:val="FootnoteReference"/>
          <w:color w:val="auto"/>
        </w:rPr>
        <w:footnoteRef/>
      </w:r>
      <w:r w:rsidRPr="00DC078B">
        <w:rPr>
          <w:color w:val="auto"/>
        </w:rPr>
        <w:t xml:space="preserve"> Early Years Workforce Strategy: The Early Childhood Education and Care Workforce Strategy for Australia 2012-2016, Standing Council on School Education and Early Childhood, Carlton South, 2012.</w:t>
      </w:r>
    </w:p>
  </w:footnote>
  <w:footnote w:id="28">
    <w:p w14:paraId="44CD5609"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The Review also received 481 email submissions using standard wording from the Smart Start campaign.</w:t>
      </w:r>
    </w:p>
  </w:footnote>
  <w:footnote w:id="29">
    <w:p w14:paraId="146A6593" w14:textId="77777777" w:rsidR="00EB5E4A" w:rsidRPr="00DC3625" w:rsidRDefault="00EB5E4A" w:rsidP="00234178">
      <w:pPr>
        <w:pStyle w:val="FootnoteText"/>
        <w:rPr>
          <w:color w:val="808080" w:themeColor="background1" w:themeShade="80"/>
        </w:rPr>
      </w:pPr>
      <w:r w:rsidRPr="00DC078B">
        <w:rPr>
          <w:rStyle w:val="FootnoteReference"/>
        </w:rPr>
        <w:footnoteRef/>
      </w:r>
      <w:r w:rsidRPr="00DC078B">
        <w:t xml:space="preserve"> Available at: https://www.uanpreview.nousgroup.com.au/ </w:t>
      </w:r>
    </w:p>
  </w:footnote>
  <w:footnote w:id="30">
    <w:p w14:paraId="50C764C2" w14:textId="77777777" w:rsidR="00EB5E4A" w:rsidRPr="00DC3625" w:rsidRDefault="00EB5E4A" w:rsidP="00BB3113">
      <w:pPr>
        <w:pStyle w:val="NousFooter"/>
      </w:pPr>
      <w:r w:rsidRPr="00DC078B">
        <w:rPr>
          <w:rStyle w:val="FootnoteReference"/>
          <w:color w:val="auto"/>
        </w:rPr>
        <w:footnoteRef/>
      </w:r>
      <w:r w:rsidRPr="00DC078B">
        <w:rPr>
          <w:color w:val="auto"/>
        </w:rPr>
        <w:t xml:space="preserve"> Source: ABS Preschool Education, Australia (cat. No. 4240.0), 2018.</w:t>
      </w:r>
    </w:p>
  </w:footnote>
  <w:footnote w:id="31">
    <w:p w14:paraId="0C7154B3" w14:textId="77777777" w:rsidR="00EB5E4A" w:rsidRPr="00DC3625" w:rsidRDefault="00EB5E4A" w:rsidP="006E5660">
      <w:pPr>
        <w:pStyle w:val="NousFooter"/>
      </w:pPr>
      <w:r w:rsidRPr="00DC078B">
        <w:rPr>
          <w:rStyle w:val="FootnoteReference"/>
          <w:color w:val="auto"/>
        </w:rPr>
        <w:footnoteRef/>
      </w:r>
      <w:r w:rsidRPr="00DC078B">
        <w:rPr>
          <w:color w:val="auto"/>
        </w:rPr>
        <w:t xml:space="preserve"> Note: Children enrolled in more than one service type are assumed to be distributed across provider types in proportion to the main provider type for each jurisdiction.</w:t>
      </w:r>
    </w:p>
  </w:footnote>
  <w:footnote w:id="32">
    <w:p w14:paraId="72CB11EB" w14:textId="77777777" w:rsidR="00EB5E4A" w:rsidRPr="00DC3625" w:rsidRDefault="00EB5E4A" w:rsidP="003E2190">
      <w:pPr>
        <w:pStyle w:val="NousFooter"/>
      </w:pPr>
      <w:r w:rsidRPr="00DC078B">
        <w:rPr>
          <w:rStyle w:val="FootnoteReference"/>
          <w:color w:val="auto"/>
        </w:rPr>
        <w:footnoteRef/>
      </w:r>
      <w:r w:rsidRPr="00DC078B">
        <w:rPr>
          <w:color w:val="auto"/>
        </w:rPr>
        <w:t xml:space="preserve"> Sources: Data collected for the purposes of reporting on the UANP and provided to Nous for the purpose of this Review. Includes supplementary data from some jurisdictions.</w:t>
      </w:r>
    </w:p>
  </w:footnote>
  <w:footnote w:id="33">
    <w:p w14:paraId="737B5BBB" w14:textId="77777777" w:rsidR="00EB5E4A" w:rsidRPr="00DC3625" w:rsidRDefault="00EB5E4A" w:rsidP="003E2190">
      <w:pPr>
        <w:pStyle w:val="NousFooter"/>
        <w:ind w:left="709" w:hanging="709"/>
      </w:pPr>
      <w:r w:rsidRPr="00DC078B">
        <w:rPr>
          <w:rStyle w:val="FootnoteReference"/>
          <w:color w:val="auto"/>
        </w:rPr>
        <w:footnoteRef/>
      </w:r>
      <w:r w:rsidRPr="00DC078B">
        <w:rPr>
          <w:color w:val="auto"/>
        </w:rPr>
        <w:t xml:space="preserve"> Notes:</w:t>
      </w:r>
      <w:r w:rsidRPr="00DC078B">
        <w:rPr>
          <w:color w:val="auto"/>
        </w:rPr>
        <w:tab/>
        <w:t xml:space="preserve">(i) Percentages relate to proportion of each jurisdiction’s preschool enrolment population, not national percentages. For example, in Victoria, 16 per cent of four and five year </w:t>
      </w:r>
      <w:proofErr w:type="spellStart"/>
      <w:r w:rsidRPr="00DC078B">
        <w:rPr>
          <w:color w:val="auto"/>
        </w:rPr>
        <w:t>olds</w:t>
      </w:r>
      <w:proofErr w:type="spellEnd"/>
      <w:r w:rsidRPr="00DC078B">
        <w:rPr>
          <w:color w:val="auto"/>
        </w:rPr>
        <w:t xml:space="preserve"> of children enrolled in preschool are assessed as in the lowest quintile (lowest 20 per cent) according to the ABS SEIFA IRSD and therefore considered as Vulnerable and/or Disadvantaged based on the reporting of the UANP.</w:t>
      </w:r>
    </w:p>
    <w:p w14:paraId="5E7AFC68" w14:textId="77777777" w:rsidR="00EB5E4A" w:rsidRPr="00DC3625" w:rsidRDefault="00EB5E4A" w:rsidP="003E2190">
      <w:pPr>
        <w:pStyle w:val="NousFooter"/>
        <w:ind w:left="709"/>
      </w:pPr>
      <w:r w:rsidRPr="00DC078B">
        <w:rPr>
          <w:color w:val="auto"/>
        </w:rPr>
        <w:t xml:space="preserve">(ii) ACT data on vulnerable and/or disadvantaged and its equivalent data not available. ACT has used AEDC as an alternative measure, as reporting for the UANP in the ACT does not use SEIFA IRSD, according to which 33% of enrolled children aged 4-5 experience vulnerability and disadvantage. </w:t>
      </w:r>
    </w:p>
  </w:footnote>
  <w:footnote w:id="34">
    <w:p w14:paraId="2F321C24" w14:textId="77777777" w:rsidR="00EB5E4A" w:rsidRPr="00DC3625" w:rsidRDefault="00EB5E4A" w:rsidP="00811FE7">
      <w:pPr>
        <w:pStyle w:val="FootnoteText"/>
        <w:rPr>
          <w:color w:val="808080" w:themeColor="background1" w:themeShade="80"/>
        </w:rPr>
      </w:pPr>
      <w:r w:rsidRPr="00DC078B">
        <w:rPr>
          <w:rStyle w:val="FootnoteReference"/>
        </w:rPr>
        <w:footnoteRef/>
      </w:r>
      <w:r w:rsidRPr="00DC078B">
        <w:t xml:space="preserve"> Jurisdictions adopt different definitions of vulnerability and disadvantage. This is discussed further in Chapter 4. </w:t>
      </w:r>
    </w:p>
  </w:footnote>
  <w:footnote w:id="35">
    <w:p w14:paraId="306E5C4F" w14:textId="77777777" w:rsidR="00EB5E4A" w:rsidRPr="00DC3625" w:rsidRDefault="00EB5E4A" w:rsidP="00811FE7">
      <w:pPr>
        <w:pStyle w:val="FootnoteText"/>
        <w:rPr>
          <w:color w:val="808080" w:themeColor="background1" w:themeShade="80"/>
        </w:rPr>
      </w:pPr>
      <w:r w:rsidRPr="00DC3625">
        <w:rPr>
          <w:rStyle w:val="FootnoteReference"/>
          <w:color w:val="808080" w:themeColor="background1" w:themeShade="80"/>
        </w:rPr>
        <w:footnoteRef/>
      </w:r>
      <w:r w:rsidRPr="00DC3625">
        <w:rPr>
          <w:color w:val="808080" w:themeColor="background1" w:themeShade="80"/>
        </w:rPr>
        <w:t xml:space="preserve"> </w:t>
      </w:r>
      <w:r w:rsidRPr="00DC078B">
        <w:rPr>
          <w:lang w:eastAsia="en-AU"/>
        </w:rPr>
        <w:t>This conclusion is based on analysis of Review survey responses and the Review’s discussions with parent representatives and other sector stakeholders.</w:t>
      </w:r>
    </w:p>
  </w:footnote>
  <w:footnote w:id="36">
    <w:p w14:paraId="14D80444" w14:textId="77777777" w:rsidR="00EB5E4A" w:rsidRPr="00DC3625" w:rsidRDefault="00EB5E4A" w:rsidP="009E5B44">
      <w:pPr>
        <w:pStyle w:val="NousFooter"/>
      </w:pPr>
      <w:r w:rsidRPr="00DC078B">
        <w:rPr>
          <w:rStyle w:val="FootnoteReference"/>
          <w:color w:val="auto"/>
        </w:rPr>
        <w:footnoteRef/>
      </w:r>
      <w:r w:rsidRPr="00DC078B">
        <w:rPr>
          <w:color w:val="auto"/>
        </w:rPr>
        <w:t xml:space="preserve"> Source: Table 28 in ABS Preschool Education, Australia (cat. No. 4240.0) 2018. Note: Some proportions may not total 100% due to rounding.</w:t>
      </w:r>
    </w:p>
  </w:footnote>
  <w:footnote w:id="37">
    <w:p w14:paraId="7201C852" w14:textId="59C9000B" w:rsidR="00EB5E4A" w:rsidRPr="00DC3625" w:rsidRDefault="00EB5E4A">
      <w:pPr>
        <w:pStyle w:val="FootnoteText"/>
        <w:rPr>
          <w:color w:val="808080" w:themeColor="background1" w:themeShade="80"/>
        </w:rPr>
      </w:pPr>
      <w:r w:rsidRPr="00DC078B">
        <w:rPr>
          <w:rStyle w:val="FootnoteReference"/>
        </w:rPr>
        <w:footnoteRef/>
      </w:r>
      <w:r w:rsidRPr="00DC078B">
        <w:t xml:space="preserve"> In a Family Day Care Australia survey of 68 members that was conducted in November and December 2019, 14.5 per cent of respondents said they currently offered a preschool program delivered by a degree qualified ECT, with none receiving UANP funding for this.</w:t>
      </w:r>
    </w:p>
  </w:footnote>
  <w:footnote w:id="38">
    <w:p w14:paraId="3E2855B5" w14:textId="77777777" w:rsidR="00EB5E4A" w:rsidRPr="00DC078B" w:rsidRDefault="00EB5E4A" w:rsidP="009963A0">
      <w:pPr>
        <w:pStyle w:val="FootnoteText"/>
      </w:pPr>
      <w:r w:rsidRPr="00DC078B">
        <w:rPr>
          <w:rStyle w:val="FootnoteReference"/>
        </w:rPr>
        <w:footnoteRef/>
      </w:r>
      <w:r w:rsidRPr="00DC078B">
        <w:t xml:space="preserve"> Comparisons using these figures should be made with caution, as the methodology for calculating funding is not uniform across jurisdictions. (The figures also exclude ancillary funding which may contribute to UANP outcomes). </w:t>
      </w:r>
    </w:p>
  </w:footnote>
  <w:footnote w:id="39">
    <w:p w14:paraId="09254123" w14:textId="23C1B62E" w:rsidR="00EB5E4A" w:rsidRPr="00DC078B" w:rsidRDefault="00EB5E4A" w:rsidP="004550AA">
      <w:pPr>
        <w:pStyle w:val="NousFooter"/>
        <w:rPr>
          <w:color w:val="auto"/>
        </w:rPr>
      </w:pPr>
      <w:r w:rsidRPr="00DC078B">
        <w:rPr>
          <w:rStyle w:val="FootnoteReference"/>
          <w:color w:val="auto"/>
        </w:rPr>
        <w:footnoteRef/>
      </w:r>
      <w:r w:rsidRPr="00DC078B">
        <w:rPr>
          <w:color w:val="auto"/>
          <w:vertAlign w:val="superscript"/>
        </w:rPr>
        <w:t xml:space="preserve"> </w:t>
      </w:r>
      <w:r w:rsidRPr="00DC078B">
        <w:rPr>
          <w:color w:val="auto"/>
        </w:rPr>
        <w:t>Sources: ABS Preschool Education, Australia (cat. No. 4240.0). Attachment table 3A.7, 3A.8 in Report on Government Services, Australian Government Productivity Commission, 2020. Australian Government Department of Education administrative data (DR3183).</w:t>
      </w:r>
    </w:p>
  </w:footnote>
  <w:footnote w:id="40">
    <w:p w14:paraId="7540A2E5" w14:textId="77777777" w:rsidR="00EB5E4A" w:rsidRPr="00DC078B" w:rsidRDefault="00EB5E4A" w:rsidP="004550AA">
      <w:pPr>
        <w:pStyle w:val="NousFooter"/>
        <w:rPr>
          <w:color w:val="auto"/>
        </w:rPr>
      </w:pPr>
      <w:r w:rsidRPr="00DC078B">
        <w:rPr>
          <w:rStyle w:val="FootnoteReference"/>
          <w:color w:val="auto"/>
        </w:rPr>
        <w:footnoteRef/>
      </w:r>
      <w:r w:rsidRPr="00DC078B">
        <w:rPr>
          <w:color w:val="auto"/>
        </w:rPr>
        <w:t xml:space="preserve"> Notes: </w:t>
      </w:r>
      <w:r w:rsidRPr="00DC078B">
        <w:rPr>
          <w:color w:val="auto"/>
        </w:rPr>
        <w:tab/>
      </w:r>
    </w:p>
    <w:p w14:paraId="4BB61A76" w14:textId="77777777" w:rsidR="00EB5E4A" w:rsidRPr="00DC078B" w:rsidRDefault="00EB5E4A" w:rsidP="004550AA">
      <w:pPr>
        <w:pStyle w:val="NousFooter"/>
        <w:ind w:firstLine="720"/>
        <w:rPr>
          <w:color w:val="auto"/>
        </w:rPr>
      </w:pPr>
      <w:r w:rsidRPr="00DC078B">
        <w:rPr>
          <w:b/>
          <w:i/>
          <w:color w:val="auto"/>
        </w:rPr>
        <w:t>State and Territory expenditure</w:t>
      </w:r>
      <w:r w:rsidRPr="00DC078B">
        <w:rPr>
          <w:color w:val="auto"/>
        </w:rPr>
        <w:t xml:space="preserve">: calculated as real recurrent expenditure on preschool services (Table 3A.7 in Report on Government Services, Australian Government Productivity Commission) minus the jurisdictions' UANP allocation. </w:t>
      </w:r>
    </w:p>
    <w:p w14:paraId="2421F0AB" w14:textId="77777777" w:rsidR="00EB5E4A" w:rsidRPr="00DC078B" w:rsidRDefault="00EB5E4A" w:rsidP="004550AA">
      <w:pPr>
        <w:pStyle w:val="NousFooter"/>
        <w:ind w:firstLine="720"/>
        <w:rPr>
          <w:color w:val="auto"/>
        </w:rPr>
      </w:pPr>
      <w:r w:rsidRPr="00DC078B">
        <w:rPr>
          <w:b/>
          <w:i/>
          <w:color w:val="auto"/>
        </w:rPr>
        <w:t>Australian Government contribution under the UANP</w:t>
      </w:r>
      <w:r w:rsidRPr="00DC078B">
        <w:rPr>
          <w:color w:val="auto"/>
        </w:rPr>
        <w:t xml:space="preserve">: UANP allocations for financial year (Table 3A.8 in Report on Government Services, Australian Government Productivity Commission). </w:t>
      </w:r>
    </w:p>
    <w:p w14:paraId="451A94C1" w14:textId="2CA89671" w:rsidR="00EB5E4A" w:rsidRPr="00DC078B" w:rsidRDefault="00EB5E4A" w:rsidP="004550AA">
      <w:pPr>
        <w:pStyle w:val="NousFooter"/>
        <w:ind w:firstLine="720"/>
        <w:rPr>
          <w:color w:val="auto"/>
        </w:rPr>
      </w:pPr>
      <w:r w:rsidRPr="00DC078B">
        <w:rPr>
          <w:b/>
          <w:i/>
          <w:color w:val="auto"/>
        </w:rPr>
        <w:t>Australian Government Child Care Subsidy investment</w:t>
      </w:r>
      <w:r w:rsidRPr="00DC078B">
        <w:rPr>
          <w:color w:val="auto"/>
        </w:rPr>
        <w:t xml:space="preserve">: Total CCS and ACCS subsidy provided in 2018-19 for </w:t>
      </w:r>
      <w:proofErr w:type="gramStart"/>
      <w:r w:rsidRPr="00DC078B">
        <w:rPr>
          <w:color w:val="auto"/>
        </w:rPr>
        <w:t>four year</w:t>
      </w:r>
      <w:proofErr w:type="gramEnd"/>
      <w:r w:rsidRPr="00DC078B">
        <w:rPr>
          <w:color w:val="auto"/>
        </w:rPr>
        <w:t xml:space="preserve"> </w:t>
      </w:r>
      <w:proofErr w:type="spellStart"/>
      <w:r w:rsidRPr="00DC078B">
        <w:rPr>
          <w:color w:val="auto"/>
        </w:rPr>
        <w:t>olds</w:t>
      </w:r>
      <w:proofErr w:type="spellEnd"/>
      <w:r w:rsidRPr="00DC078B">
        <w:rPr>
          <w:color w:val="auto"/>
        </w:rPr>
        <w:t xml:space="preserve"> and adjusted based on state-specific YBFS enrolments by provider type. Child age calculated as of 1 January 2019. </w:t>
      </w:r>
    </w:p>
    <w:p w14:paraId="27C998A4" w14:textId="77777777" w:rsidR="00EB5E4A" w:rsidRPr="00DC3625" w:rsidRDefault="00EB5E4A" w:rsidP="004550AA">
      <w:pPr>
        <w:pStyle w:val="NousFooter"/>
        <w:ind w:firstLine="720"/>
      </w:pPr>
      <w:r w:rsidRPr="00DC078B">
        <w:rPr>
          <w:b/>
          <w:i/>
          <w:color w:val="auto"/>
        </w:rPr>
        <w:t>Estimated parental contributions (fees)</w:t>
      </w:r>
      <w:r w:rsidRPr="00DC078B">
        <w:rPr>
          <w:color w:val="auto"/>
        </w:rPr>
        <w:t>: Out of pocket costs were calculated by multiplying the child's weekly fees by the provider's weeks of operation for 2018. This was calculated across the providers and then totalled for each child. For each school type (Preschool, Long day care and 'Across more than one provider') the out of pocket costs were calculated from the NCC 2018 data for state specific YBFS measure.</w:t>
      </w:r>
    </w:p>
  </w:footnote>
  <w:footnote w:id="41">
    <w:p w14:paraId="0AFD2480" w14:textId="77777777" w:rsidR="00EB5E4A" w:rsidRPr="00DC078B" w:rsidRDefault="00EB5E4A" w:rsidP="009E5B44">
      <w:pPr>
        <w:pStyle w:val="NousFooter"/>
        <w:rPr>
          <w:color w:val="auto"/>
        </w:rPr>
      </w:pPr>
      <w:r w:rsidRPr="00DC078B">
        <w:rPr>
          <w:rStyle w:val="FootnoteReference"/>
          <w:color w:val="auto"/>
        </w:rPr>
        <w:footnoteRef/>
      </w:r>
      <w:r w:rsidRPr="00DC078B">
        <w:rPr>
          <w:color w:val="auto"/>
        </w:rPr>
        <w:t xml:space="preserve"> Bilateral Agreements under the National Partnership Agreement on Early Childhood Education, Council of Australian Governments, 2008. Accessed October 2019.</w:t>
      </w:r>
    </w:p>
  </w:footnote>
  <w:footnote w:id="42">
    <w:p w14:paraId="2C6E0A6F" w14:textId="77777777" w:rsidR="00EB5E4A" w:rsidRPr="00DC078B" w:rsidRDefault="00EB5E4A" w:rsidP="009E5B44">
      <w:pPr>
        <w:pStyle w:val="NousFooter"/>
        <w:rPr>
          <w:color w:val="auto"/>
        </w:rPr>
      </w:pPr>
      <w:r w:rsidRPr="00DC078B">
        <w:rPr>
          <w:rStyle w:val="FootnoteReference"/>
          <w:color w:val="auto"/>
        </w:rPr>
        <w:footnoteRef/>
      </w:r>
      <w:r w:rsidRPr="00DC078B">
        <w:rPr>
          <w:color w:val="auto"/>
        </w:rPr>
        <w:t xml:space="preserve"> Data collected for the purposes of reporting on the UANP and provided to Nous for the purpose of this Review. Includes supplementary data from some jurisdictions.</w:t>
      </w:r>
    </w:p>
  </w:footnote>
  <w:footnote w:id="43">
    <w:p w14:paraId="14930630" w14:textId="77777777" w:rsidR="00EB5E4A" w:rsidRPr="00DC078B" w:rsidRDefault="00EB5E4A" w:rsidP="0026122D">
      <w:pPr>
        <w:pStyle w:val="NousFooter"/>
        <w:rPr>
          <w:color w:val="auto"/>
        </w:rPr>
      </w:pPr>
      <w:r w:rsidRPr="00DC078B">
        <w:rPr>
          <w:rStyle w:val="FootnoteReference"/>
          <w:color w:val="auto"/>
        </w:rPr>
        <w:footnoteRef/>
      </w:r>
      <w:r w:rsidRPr="00DC078B">
        <w:rPr>
          <w:color w:val="auto"/>
        </w:rPr>
        <w:t xml:space="preserve"> Source: Data collected for the purposes of reporting on the UANP and provided to Nous for the purpose of this Review. Includes supplementary data from some jurisdictions.</w:t>
      </w:r>
    </w:p>
  </w:footnote>
  <w:footnote w:id="44">
    <w:p w14:paraId="67612C50" w14:textId="77777777" w:rsidR="00EB5E4A" w:rsidRPr="00DC078B" w:rsidRDefault="00EB5E4A" w:rsidP="00AF0126">
      <w:pPr>
        <w:pStyle w:val="NousFooter"/>
        <w:ind w:left="720" w:hanging="720"/>
        <w:rPr>
          <w:color w:val="auto"/>
        </w:rPr>
      </w:pPr>
      <w:r w:rsidRPr="00DC078B">
        <w:rPr>
          <w:rStyle w:val="FootnoteReference"/>
          <w:color w:val="auto"/>
        </w:rPr>
        <w:footnoteRef/>
      </w:r>
      <w:r w:rsidRPr="00DC078B">
        <w:rPr>
          <w:color w:val="auto"/>
        </w:rPr>
        <w:t xml:space="preserve"> Notes: </w:t>
      </w:r>
      <w:r w:rsidRPr="00DC078B">
        <w:rPr>
          <w:color w:val="auto"/>
        </w:rPr>
        <w:tab/>
        <w:t>(i) Reporting on results are capped to 100 per cent, where data comparability issues between two different sources of data result in estimates greater than 100 per cent.</w:t>
      </w:r>
    </w:p>
    <w:p w14:paraId="15EDE0D7" w14:textId="77777777" w:rsidR="00EB5E4A" w:rsidRPr="00DC078B" w:rsidRDefault="00EB5E4A" w:rsidP="00AF0126">
      <w:pPr>
        <w:pStyle w:val="NousFooter"/>
        <w:ind w:left="720" w:hanging="720"/>
        <w:rPr>
          <w:color w:val="auto"/>
        </w:rPr>
      </w:pPr>
      <w:r w:rsidRPr="00DC3625">
        <w:t xml:space="preserve"> </w:t>
      </w:r>
      <w:r w:rsidRPr="00DC3625">
        <w:tab/>
      </w:r>
      <w:r w:rsidRPr="00DC078B">
        <w:rPr>
          <w:color w:val="auto"/>
        </w:rPr>
        <w:t>(ii) In 2013, SA moved from rolling intake to single year intake which impacted on data during collection week (smaller cohort included).</w:t>
      </w:r>
    </w:p>
    <w:p w14:paraId="61D76189" w14:textId="77777777" w:rsidR="00EB5E4A" w:rsidRPr="00DC078B" w:rsidRDefault="00EB5E4A" w:rsidP="006846D0">
      <w:pPr>
        <w:pStyle w:val="NousFooter"/>
        <w:rPr>
          <w:color w:val="auto"/>
        </w:rPr>
      </w:pPr>
      <w:r w:rsidRPr="00DC078B">
        <w:rPr>
          <w:color w:val="auto"/>
        </w:rPr>
        <w:tab/>
        <w:t>(iii) In 2014, NSW data experienced a change in methodology using CCMS data.</w:t>
      </w:r>
    </w:p>
    <w:p w14:paraId="1EC59EE9" w14:textId="77777777" w:rsidR="00EB5E4A" w:rsidRPr="00DC078B" w:rsidRDefault="00EB5E4A" w:rsidP="006846D0">
      <w:pPr>
        <w:pStyle w:val="NousFooter"/>
        <w:rPr>
          <w:color w:val="auto"/>
        </w:rPr>
      </w:pPr>
      <w:r w:rsidRPr="00DC078B">
        <w:rPr>
          <w:color w:val="auto"/>
        </w:rPr>
        <w:tab/>
        <w:t>(iv) In 2014 Vic. data excluded children receiving less than 15hrs of ECEP per week.</w:t>
      </w:r>
    </w:p>
    <w:p w14:paraId="1E6E17D4" w14:textId="77777777" w:rsidR="00EB5E4A" w:rsidRPr="00DC078B" w:rsidRDefault="00EB5E4A" w:rsidP="00AF0126">
      <w:pPr>
        <w:pStyle w:val="NousFooter"/>
        <w:ind w:firstLine="720"/>
        <w:rPr>
          <w:color w:val="auto"/>
        </w:rPr>
      </w:pPr>
      <w:r w:rsidRPr="00DC078B">
        <w:rPr>
          <w:color w:val="auto"/>
        </w:rPr>
        <w:t>(v) In 2014-2018, NT data included children from 2 Families as First Teachers (</w:t>
      </w:r>
      <w:proofErr w:type="spellStart"/>
      <w:r w:rsidRPr="00DC078B">
        <w:rPr>
          <w:color w:val="auto"/>
        </w:rPr>
        <w:t>FaFT</w:t>
      </w:r>
      <w:proofErr w:type="spellEnd"/>
      <w:r w:rsidRPr="00DC078B">
        <w:rPr>
          <w:color w:val="auto"/>
        </w:rPr>
        <w:t>) centres.</w:t>
      </w:r>
    </w:p>
    <w:p w14:paraId="0094E8ED" w14:textId="77777777" w:rsidR="00EB5E4A" w:rsidRPr="00DC3625" w:rsidRDefault="00EB5E4A" w:rsidP="00FD41AB">
      <w:pPr>
        <w:pStyle w:val="NousFooter"/>
      </w:pPr>
      <w:r w:rsidRPr="00DC078B">
        <w:rPr>
          <w:color w:val="auto"/>
        </w:rPr>
        <w:tab/>
      </w:r>
      <w:proofErr w:type="gramStart"/>
      <w:r w:rsidRPr="00DC078B">
        <w:rPr>
          <w:color w:val="auto"/>
        </w:rPr>
        <w:t>(vi) )</w:t>
      </w:r>
      <w:proofErr w:type="gramEnd"/>
      <w:r w:rsidRPr="00DC078B">
        <w:rPr>
          <w:color w:val="auto"/>
        </w:rPr>
        <w:t xml:space="preserve"> In 2014-2017, Vic. data used the correct counting of ‘Year Before Full-time School’ cohort.</w:t>
      </w:r>
    </w:p>
  </w:footnote>
  <w:footnote w:id="45">
    <w:p w14:paraId="6BB87575" w14:textId="77777777" w:rsidR="00EB5E4A" w:rsidRPr="00DC078B" w:rsidRDefault="00EB5E4A" w:rsidP="00FD4B4A">
      <w:pPr>
        <w:pStyle w:val="NousFooter"/>
        <w:rPr>
          <w:color w:val="auto"/>
        </w:rPr>
      </w:pPr>
      <w:r w:rsidRPr="00DC078B">
        <w:rPr>
          <w:rStyle w:val="FootnoteReference"/>
          <w:color w:val="auto"/>
        </w:rPr>
        <w:footnoteRef/>
      </w:r>
      <w:r w:rsidRPr="00DC078B">
        <w:rPr>
          <w:color w:val="auto"/>
        </w:rPr>
        <w:t xml:space="preserve"> Source: Data collected for the purposes of reporting on the UANP and provided to Nous for the purpose of this Review. Includes supplementary data from some jurisdictions.</w:t>
      </w:r>
    </w:p>
  </w:footnote>
  <w:footnote w:id="46">
    <w:p w14:paraId="1E7EED89" w14:textId="77777777" w:rsidR="00EB5E4A" w:rsidRPr="00DC078B" w:rsidRDefault="00EB5E4A" w:rsidP="00FD4B4A">
      <w:pPr>
        <w:pStyle w:val="NousFooter"/>
        <w:rPr>
          <w:color w:val="auto"/>
        </w:rPr>
      </w:pPr>
      <w:r w:rsidRPr="00DC078B">
        <w:rPr>
          <w:rStyle w:val="FootnoteReference"/>
          <w:color w:val="auto"/>
        </w:rPr>
        <w:footnoteRef/>
      </w:r>
      <w:r w:rsidRPr="00DC078B">
        <w:rPr>
          <w:color w:val="auto"/>
        </w:rPr>
        <w:t xml:space="preserve"> Notes: </w:t>
      </w:r>
      <w:r w:rsidRPr="00DC078B">
        <w:rPr>
          <w:color w:val="auto"/>
        </w:rPr>
        <w:tab/>
        <w:t>(i) Reporting on results are capped to 100 per cent, where data comparability issues between two different sources of data result in estimates greater than 100 per cent.</w:t>
      </w:r>
    </w:p>
    <w:p w14:paraId="066B72AC" w14:textId="77777777" w:rsidR="00EB5E4A" w:rsidRPr="00DC078B" w:rsidRDefault="00EB5E4A" w:rsidP="00FD4B4A">
      <w:pPr>
        <w:pStyle w:val="NousFooter"/>
        <w:rPr>
          <w:color w:val="auto"/>
        </w:rPr>
      </w:pPr>
      <w:r w:rsidRPr="00DC078B">
        <w:rPr>
          <w:color w:val="auto"/>
        </w:rPr>
        <w:tab/>
        <w:t xml:space="preserve">(ii) In 2014, SA data used the correct counting of ‘Year Before Full-time School’ cohort </w:t>
      </w:r>
    </w:p>
    <w:p w14:paraId="631AD20D" w14:textId="77777777" w:rsidR="00EB5E4A" w:rsidRPr="00DC078B" w:rsidRDefault="00EB5E4A" w:rsidP="00FF6E51">
      <w:pPr>
        <w:pStyle w:val="NousFooter"/>
        <w:rPr>
          <w:color w:val="auto"/>
        </w:rPr>
      </w:pPr>
      <w:r w:rsidRPr="00DC078B">
        <w:rPr>
          <w:color w:val="auto"/>
        </w:rPr>
        <w:tab/>
      </w:r>
      <w:proofErr w:type="gramStart"/>
      <w:r w:rsidRPr="00DC078B">
        <w:rPr>
          <w:color w:val="auto"/>
        </w:rPr>
        <w:t>(iii) )</w:t>
      </w:r>
      <w:proofErr w:type="gramEnd"/>
      <w:r w:rsidRPr="00DC078B">
        <w:rPr>
          <w:color w:val="auto"/>
        </w:rPr>
        <w:t xml:space="preserve"> In 2014-2018, NT data included children from two Families as First Teacher (</w:t>
      </w:r>
      <w:proofErr w:type="spellStart"/>
      <w:r w:rsidRPr="00DC078B">
        <w:rPr>
          <w:color w:val="auto"/>
        </w:rPr>
        <w:t>FaFT</w:t>
      </w:r>
      <w:proofErr w:type="spellEnd"/>
      <w:r w:rsidRPr="00DC078B">
        <w:rPr>
          <w:color w:val="auto"/>
        </w:rPr>
        <w:t>) centres.</w:t>
      </w:r>
    </w:p>
    <w:p w14:paraId="16F924F3" w14:textId="77777777" w:rsidR="00EB5E4A" w:rsidRPr="00DC078B" w:rsidRDefault="00EB5E4A" w:rsidP="004C6CFB">
      <w:pPr>
        <w:pStyle w:val="NousFooter"/>
        <w:ind w:firstLine="720"/>
        <w:rPr>
          <w:color w:val="auto"/>
        </w:rPr>
      </w:pPr>
      <w:r w:rsidRPr="00DC078B">
        <w:rPr>
          <w:color w:val="auto"/>
        </w:rPr>
        <w:t>(iv) In 2014, NSW data experienced a change in methodology using CCMS data.</w:t>
      </w:r>
    </w:p>
    <w:p w14:paraId="6F0B4B27" w14:textId="77777777" w:rsidR="00EB5E4A" w:rsidRPr="00DC078B" w:rsidRDefault="00EB5E4A" w:rsidP="004C6CFB">
      <w:pPr>
        <w:pStyle w:val="NousFooter"/>
        <w:ind w:firstLine="720"/>
        <w:rPr>
          <w:color w:val="auto"/>
        </w:rPr>
      </w:pPr>
      <w:r w:rsidRPr="00DC078B">
        <w:rPr>
          <w:color w:val="auto"/>
        </w:rPr>
        <w:t>(v) In 2014, Qld, SA, WA, Vic. data excluded children receiving less than 15hrs of ECEP per week.</w:t>
      </w:r>
    </w:p>
    <w:p w14:paraId="1F4EFEF2" w14:textId="77777777" w:rsidR="00EB5E4A" w:rsidRPr="00DC078B" w:rsidRDefault="00EB5E4A" w:rsidP="00FD4B4A">
      <w:pPr>
        <w:pStyle w:val="NousFooter"/>
        <w:rPr>
          <w:color w:val="auto"/>
        </w:rPr>
      </w:pPr>
      <w:r w:rsidRPr="00DC078B">
        <w:rPr>
          <w:color w:val="auto"/>
        </w:rPr>
        <w:tab/>
      </w:r>
      <w:proofErr w:type="gramStart"/>
      <w:r w:rsidRPr="00DC078B">
        <w:rPr>
          <w:color w:val="auto"/>
        </w:rPr>
        <w:t>(vi) )</w:t>
      </w:r>
      <w:proofErr w:type="gramEnd"/>
      <w:r w:rsidRPr="00DC078B">
        <w:rPr>
          <w:color w:val="auto"/>
        </w:rPr>
        <w:t xml:space="preserve"> In 2014-2017, Vic. data used the correct counting of ‘Year Before Full-time School’ cohort.</w:t>
      </w:r>
    </w:p>
    <w:p w14:paraId="3497536B" w14:textId="77777777" w:rsidR="00EB5E4A" w:rsidRPr="00DC3625" w:rsidRDefault="00EB5E4A" w:rsidP="00EB0360">
      <w:pPr>
        <w:pStyle w:val="NousFooter"/>
        <w:ind w:left="720"/>
      </w:pPr>
      <w:r w:rsidRPr="00DC078B">
        <w:rPr>
          <w:color w:val="auto"/>
        </w:rPr>
        <w:tab/>
        <w:t xml:space="preserve">(vii) In 2018, Tas. data added a proportion of ‘Not Stated’ to Indigenous enrolment numbers, counted as enrolled for over 600 </w:t>
      </w:r>
      <w:proofErr w:type="gramStart"/>
      <w:r w:rsidRPr="00DC078B">
        <w:rPr>
          <w:color w:val="auto"/>
        </w:rPr>
        <w:t>hours.</w:t>
      </w:r>
      <w:r w:rsidRPr="00DC078B" w:rsidDel="00613491">
        <w:rPr>
          <w:color w:val="auto"/>
        </w:rPr>
        <w:t>(</w:t>
      </w:r>
      <w:proofErr w:type="gramEnd"/>
      <w:r w:rsidRPr="00DC078B" w:rsidDel="00613491">
        <w:rPr>
          <w:color w:val="auto"/>
        </w:rPr>
        <w:t>viii) Includes supplementary data from some jurisdictions.</w:t>
      </w:r>
    </w:p>
  </w:footnote>
  <w:footnote w:id="47">
    <w:p w14:paraId="2C6810FB" w14:textId="77777777" w:rsidR="00EB5E4A" w:rsidRPr="00DC078B" w:rsidRDefault="00EB5E4A" w:rsidP="004F2264">
      <w:pPr>
        <w:pStyle w:val="NousFooter"/>
        <w:rPr>
          <w:color w:val="auto"/>
        </w:rPr>
      </w:pPr>
      <w:r w:rsidRPr="00DC078B">
        <w:rPr>
          <w:rStyle w:val="FootnoteReference"/>
          <w:color w:val="auto"/>
        </w:rPr>
        <w:footnoteRef/>
      </w:r>
      <w:r w:rsidRPr="00DC078B">
        <w:rPr>
          <w:color w:val="auto"/>
        </w:rPr>
        <w:t xml:space="preserve"> Source: Data collected for the purposes of reporting on the UANP and provided to Nous for the purpose of this Review. Includes supplementary data from some jurisdictions.</w:t>
      </w:r>
    </w:p>
  </w:footnote>
  <w:footnote w:id="48">
    <w:p w14:paraId="2F60303F" w14:textId="77777777" w:rsidR="00EB5E4A" w:rsidRPr="00DC078B" w:rsidRDefault="00EB5E4A" w:rsidP="00D54DA8">
      <w:pPr>
        <w:pStyle w:val="NousFooter"/>
        <w:ind w:left="720" w:hanging="720"/>
        <w:rPr>
          <w:color w:val="auto"/>
        </w:rPr>
      </w:pPr>
      <w:r w:rsidRPr="00DC078B">
        <w:rPr>
          <w:rStyle w:val="FootnoteReference"/>
          <w:color w:val="auto"/>
        </w:rPr>
        <w:footnoteRef/>
      </w:r>
      <w:r w:rsidRPr="00DC078B">
        <w:rPr>
          <w:color w:val="auto"/>
        </w:rPr>
        <w:t xml:space="preserve"> Notes:</w:t>
      </w:r>
      <w:r w:rsidRPr="00DC078B">
        <w:rPr>
          <w:color w:val="auto"/>
        </w:rPr>
        <w:tab/>
        <w:t>(i) Reporting on results are capped to 100 per cent, where data comparability issues between two different sources of data result in estimates greater than 100 per cent.</w:t>
      </w:r>
    </w:p>
    <w:p w14:paraId="1827AA2B" w14:textId="77777777" w:rsidR="00EB5E4A" w:rsidRPr="00DC078B" w:rsidRDefault="00EB5E4A" w:rsidP="00D54DA8">
      <w:pPr>
        <w:pStyle w:val="NousFooter"/>
        <w:ind w:left="720"/>
        <w:rPr>
          <w:color w:val="auto"/>
        </w:rPr>
      </w:pPr>
      <w:r w:rsidRPr="00DC078B">
        <w:rPr>
          <w:color w:val="auto"/>
        </w:rPr>
        <w:t>(ii) Due to data limitations, it has not been possible to report against the program availability for vulnerable and disadvantaged children Performance Indicator 3.3 for 2013.</w:t>
      </w:r>
    </w:p>
    <w:p w14:paraId="44B7FFD3" w14:textId="77777777" w:rsidR="00EB5E4A" w:rsidRPr="00DC078B" w:rsidRDefault="00EB5E4A" w:rsidP="00172F41">
      <w:pPr>
        <w:pStyle w:val="NousFooter"/>
        <w:rPr>
          <w:color w:val="auto"/>
        </w:rPr>
      </w:pPr>
      <w:r w:rsidRPr="00DC078B">
        <w:rPr>
          <w:color w:val="auto"/>
        </w:rPr>
        <w:tab/>
      </w:r>
      <w:proofErr w:type="gramStart"/>
      <w:r w:rsidRPr="00DC078B">
        <w:rPr>
          <w:color w:val="auto"/>
        </w:rPr>
        <w:t>(iii) )</w:t>
      </w:r>
      <w:proofErr w:type="gramEnd"/>
      <w:r w:rsidRPr="00DC078B">
        <w:rPr>
          <w:color w:val="auto"/>
        </w:rPr>
        <w:t xml:space="preserve"> In 2014, Vic., Qld, SA, WA data excluded children receiving less than 15hrs of ECEP per week.</w:t>
      </w:r>
    </w:p>
    <w:p w14:paraId="61DE1113" w14:textId="77777777" w:rsidR="00EB5E4A" w:rsidRPr="00DC078B" w:rsidRDefault="00EB5E4A" w:rsidP="00172F41">
      <w:pPr>
        <w:pStyle w:val="NousFooter"/>
        <w:rPr>
          <w:color w:val="auto"/>
        </w:rPr>
      </w:pPr>
      <w:r w:rsidRPr="00DC078B">
        <w:rPr>
          <w:color w:val="auto"/>
        </w:rPr>
        <w:tab/>
        <w:t>(iv) In 2014, NSW data experienced a change in methodology using CCMS data.</w:t>
      </w:r>
    </w:p>
    <w:p w14:paraId="1F41F46D" w14:textId="77777777" w:rsidR="00EB5E4A" w:rsidRPr="00DC078B" w:rsidRDefault="00EB5E4A" w:rsidP="00172F41">
      <w:pPr>
        <w:pStyle w:val="NousFooter"/>
        <w:rPr>
          <w:color w:val="auto"/>
        </w:rPr>
      </w:pPr>
      <w:r w:rsidRPr="00DC078B">
        <w:rPr>
          <w:color w:val="auto"/>
        </w:rPr>
        <w:tab/>
        <w:t>(v) In 2014-2017, Vic. used the correct counting of 'Year before full time Schooling' cohort.</w:t>
      </w:r>
    </w:p>
    <w:p w14:paraId="404AAA00" w14:textId="77777777" w:rsidR="00EB5E4A" w:rsidRPr="00DC078B" w:rsidRDefault="00EB5E4A" w:rsidP="00172F41">
      <w:pPr>
        <w:pStyle w:val="NousFooter"/>
        <w:rPr>
          <w:color w:val="auto"/>
        </w:rPr>
      </w:pPr>
      <w:r w:rsidRPr="00DC078B">
        <w:rPr>
          <w:color w:val="auto"/>
        </w:rPr>
        <w:tab/>
      </w:r>
      <w:proofErr w:type="gramStart"/>
      <w:r w:rsidRPr="00DC078B">
        <w:rPr>
          <w:color w:val="auto"/>
        </w:rPr>
        <w:t>(vi) )</w:t>
      </w:r>
      <w:proofErr w:type="gramEnd"/>
      <w:r w:rsidRPr="00DC078B">
        <w:rPr>
          <w:color w:val="auto"/>
        </w:rPr>
        <w:t xml:space="preserve"> In 2014-2018, NT data included children from two Families as First Teachers (</w:t>
      </w:r>
      <w:proofErr w:type="spellStart"/>
      <w:r w:rsidRPr="00DC078B">
        <w:rPr>
          <w:color w:val="auto"/>
        </w:rPr>
        <w:t>FaFT</w:t>
      </w:r>
      <w:proofErr w:type="spellEnd"/>
      <w:r w:rsidRPr="00DC078B">
        <w:rPr>
          <w:color w:val="auto"/>
        </w:rPr>
        <w:t>) centres.</w:t>
      </w:r>
    </w:p>
    <w:p w14:paraId="0B68A8E1" w14:textId="77777777" w:rsidR="00EB5E4A" w:rsidRPr="00DC078B" w:rsidRDefault="00EB5E4A" w:rsidP="0015051B">
      <w:pPr>
        <w:pStyle w:val="NousFooter"/>
        <w:rPr>
          <w:color w:val="auto"/>
        </w:rPr>
      </w:pPr>
      <w:r w:rsidRPr="00DC078B">
        <w:rPr>
          <w:color w:val="auto"/>
        </w:rPr>
        <w:tab/>
        <w:t>(vii) In 2014-2018, ACT data used alternative measures for Vulnerable and Disadvantaged (AEDC &amp; ICSEA).</w:t>
      </w:r>
    </w:p>
    <w:p w14:paraId="49238246" w14:textId="77777777" w:rsidR="00EB5E4A" w:rsidRPr="00DC3625" w:rsidRDefault="00EB5E4A" w:rsidP="00374D54">
      <w:pPr>
        <w:pStyle w:val="NousFooter"/>
      </w:pPr>
      <w:r w:rsidRPr="00DC078B">
        <w:rPr>
          <w:color w:val="auto"/>
        </w:rPr>
        <w:tab/>
        <w:t>(viii) In 2016, WA and Qld data apportioned SEIFA ‘not stated’ across quintiles.</w:t>
      </w:r>
    </w:p>
  </w:footnote>
  <w:footnote w:id="49">
    <w:p w14:paraId="72499CA8" w14:textId="77777777" w:rsidR="00EB5E4A" w:rsidRPr="00DC078B" w:rsidRDefault="00EB5E4A" w:rsidP="0004092D">
      <w:pPr>
        <w:pStyle w:val="NousFooter"/>
        <w:rPr>
          <w:color w:val="auto"/>
        </w:rPr>
      </w:pPr>
      <w:r w:rsidRPr="00DC078B">
        <w:rPr>
          <w:rStyle w:val="FootnoteReference"/>
          <w:color w:val="auto"/>
        </w:rPr>
        <w:footnoteRef/>
      </w:r>
      <w:r w:rsidRPr="00DC078B">
        <w:rPr>
          <w:color w:val="auto"/>
        </w:rPr>
        <w:t xml:space="preserve"> Sources: ABS Preschool Education, Australia (cat. No. 4240.0), 2018, ABS Australian Demographic Statistics (cat. No. 3101.0) &amp; </w:t>
      </w:r>
      <w:proofErr w:type="spellStart"/>
      <w:r w:rsidRPr="00DC078B">
        <w:rPr>
          <w:color w:val="auto"/>
        </w:rPr>
        <w:t>ABS.Stat</w:t>
      </w:r>
      <w:proofErr w:type="spellEnd"/>
      <w:r w:rsidRPr="00DC078B">
        <w:rPr>
          <w:color w:val="auto"/>
        </w:rPr>
        <w:t xml:space="preserve"> ERP by SA2 (ASGS 2016), Age and Sex, 2001 Onwards.</w:t>
      </w:r>
    </w:p>
  </w:footnote>
  <w:footnote w:id="50">
    <w:p w14:paraId="0D0BC216" w14:textId="77777777" w:rsidR="00EB5E4A" w:rsidRPr="00DC078B" w:rsidRDefault="00EB5E4A" w:rsidP="00BD2DA9">
      <w:pPr>
        <w:pStyle w:val="NousFooter"/>
        <w:ind w:left="720" w:hanging="720"/>
        <w:rPr>
          <w:color w:val="auto"/>
        </w:rPr>
      </w:pPr>
      <w:r w:rsidRPr="00DC078B">
        <w:rPr>
          <w:rStyle w:val="FootnoteReference"/>
          <w:color w:val="auto"/>
        </w:rPr>
        <w:footnoteRef/>
      </w:r>
      <w:r w:rsidRPr="00DC078B">
        <w:rPr>
          <w:color w:val="auto"/>
        </w:rPr>
        <w:t xml:space="preserve"> Notes:</w:t>
      </w:r>
      <w:r w:rsidRPr="00DC078B">
        <w:rPr>
          <w:color w:val="auto"/>
        </w:rPr>
        <w:tab/>
        <w:t xml:space="preserve">(i) Proportion for each SA2 is calculated as total enrolment / estimated </w:t>
      </w:r>
      <w:proofErr w:type="gramStart"/>
      <w:r w:rsidRPr="00DC078B">
        <w:rPr>
          <w:color w:val="auto"/>
        </w:rPr>
        <w:t>four year</w:t>
      </w:r>
      <w:proofErr w:type="gramEnd"/>
      <w:r w:rsidRPr="00DC078B">
        <w:rPr>
          <w:color w:val="auto"/>
        </w:rPr>
        <w:t xml:space="preserve"> </w:t>
      </w:r>
      <w:proofErr w:type="spellStart"/>
      <w:r w:rsidRPr="00DC078B">
        <w:rPr>
          <w:color w:val="auto"/>
        </w:rPr>
        <w:t>olds</w:t>
      </w:r>
      <w:proofErr w:type="spellEnd"/>
      <w:r w:rsidRPr="00DC078B">
        <w:rPr>
          <w:color w:val="auto"/>
        </w:rPr>
        <w:t xml:space="preserve"> population in 2018. </w:t>
      </w:r>
      <w:r w:rsidRPr="00DC078B">
        <w:rPr>
          <w:b/>
          <w:i/>
          <w:color w:val="auto"/>
        </w:rPr>
        <w:t>Total enrolment:</w:t>
      </w:r>
      <w:r w:rsidRPr="00DC078B">
        <w:rPr>
          <w:color w:val="auto"/>
        </w:rPr>
        <w:t xml:space="preserve"> Retrieved from ABS Preschool Education, Australia (cat. No. 4240.0), 2018. Note data at SA2 level is not publicly available. </w:t>
      </w:r>
      <w:r w:rsidRPr="00DC078B">
        <w:rPr>
          <w:b/>
          <w:i/>
          <w:color w:val="auto"/>
        </w:rPr>
        <w:t xml:space="preserve">Estimated </w:t>
      </w:r>
      <w:proofErr w:type="gramStart"/>
      <w:r w:rsidRPr="00DC078B">
        <w:rPr>
          <w:b/>
          <w:i/>
          <w:color w:val="auto"/>
        </w:rPr>
        <w:t>four year</w:t>
      </w:r>
      <w:proofErr w:type="gramEnd"/>
      <w:r w:rsidRPr="00DC078B">
        <w:rPr>
          <w:b/>
          <w:i/>
          <w:color w:val="auto"/>
        </w:rPr>
        <w:t xml:space="preserve"> </w:t>
      </w:r>
      <w:proofErr w:type="spellStart"/>
      <w:r w:rsidRPr="00DC078B">
        <w:rPr>
          <w:b/>
          <w:i/>
          <w:color w:val="auto"/>
        </w:rPr>
        <w:t>olds</w:t>
      </w:r>
      <w:proofErr w:type="spellEnd"/>
      <w:r w:rsidRPr="00DC078B">
        <w:rPr>
          <w:b/>
          <w:i/>
          <w:color w:val="auto"/>
        </w:rPr>
        <w:t xml:space="preserve"> population in 2018: </w:t>
      </w:r>
      <w:r w:rsidRPr="00DC078B">
        <w:rPr>
          <w:color w:val="auto"/>
        </w:rPr>
        <w:t xml:space="preserve">Apply single age distribution among age groups in each state (i.e. proportion of four year </w:t>
      </w:r>
      <w:proofErr w:type="spellStart"/>
      <w:r w:rsidRPr="00DC078B">
        <w:rPr>
          <w:color w:val="auto"/>
        </w:rPr>
        <w:t>olds</w:t>
      </w:r>
      <w:proofErr w:type="spellEnd"/>
      <w:r w:rsidRPr="00DC078B">
        <w:rPr>
          <w:color w:val="auto"/>
        </w:rPr>
        <w:t xml:space="preserve"> amongst 0-4 age group population), calculated from ABS Australian Demographic Statistics (cat. No. 3101.0), to </w:t>
      </w:r>
      <w:proofErr w:type="spellStart"/>
      <w:r w:rsidRPr="00DC078B">
        <w:rPr>
          <w:color w:val="auto"/>
        </w:rPr>
        <w:t>ABS.Stat</w:t>
      </w:r>
      <w:proofErr w:type="spellEnd"/>
      <w:r w:rsidRPr="00DC078B">
        <w:rPr>
          <w:color w:val="auto"/>
        </w:rPr>
        <w:t xml:space="preserve"> ERP by SA2 (ASGS 2016) Age and Sex, 2001 onwards.</w:t>
      </w:r>
    </w:p>
    <w:p w14:paraId="17216C95" w14:textId="77777777" w:rsidR="00EB5E4A" w:rsidRPr="00DC078B" w:rsidRDefault="00EB5E4A" w:rsidP="00BD2DA9">
      <w:pPr>
        <w:pStyle w:val="NousFooter"/>
        <w:ind w:left="720" w:hanging="720"/>
        <w:rPr>
          <w:color w:val="auto"/>
        </w:rPr>
      </w:pPr>
      <w:r w:rsidRPr="00DC078B">
        <w:rPr>
          <w:color w:val="auto"/>
        </w:rPr>
        <w:tab/>
        <w:t>(ii) Insufficient enrolments to access indicates that the number of enrolments in that area is too low to reliably report proportions.</w:t>
      </w:r>
    </w:p>
    <w:p w14:paraId="784F5882" w14:textId="77777777" w:rsidR="00EB5E4A" w:rsidRPr="00DC3625" w:rsidRDefault="00EB5E4A" w:rsidP="00BD2DA9">
      <w:pPr>
        <w:pStyle w:val="NousFooter"/>
        <w:ind w:left="720" w:hanging="720"/>
      </w:pPr>
      <w:r w:rsidRPr="00DC078B">
        <w:rPr>
          <w:color w:val="auto"/>
        </w:rPr>
        <w:tab/>
        <w:t xml:space="preserve">(iii) No enrolment data available indicates that data is suppressed by the ABS because of small numbers of </w:t>
      </w:r>
      <w:proofErr w:type="gramStart"/>
      <w:r w:rsidRPr="00DC078B">
        <w:rPr>
          <w:color w:val="auto"/>
        </w:rPr>
        <w:t>four year</w:t>
      </w:r>
      <w:proofErr w:type="gramEnd"/>
      <w:r w:rsidRPr="00DC078B">
        <w:rPr>
          <w:color w:val="auto"/>
        </w:rPr>
        <w:t xml:space="preserve"> </w:t>
      </w:r>
      <w:proofErr w:type="spellStart"/>
      <w:r w:rsidRPr="00DC078B">
        <w:rPr>
          <w:color w:val="auto"/>
        </w:rPr>
        <w:t>olds</w:t>
      </w:r>
      <w:proofErr w:type="spellEnd"/>
      <w:r w:rsidRPr="00DC078B">
        <w:rPr>
          <w:color w:val="auto"/>
        </w:rPr>
        <w:t>.</w:t>
      </w:r>
    </w:p>
  </w:footnote>
  <w:footnote w:id="51">
    <w:p w14:paraId="17035EE7" w14:textId="728C4C52" w:rsidR="00EB5E4A" w:rsidRPr="00DC078B" w:rsidRDefault="00EB5E4A" w:rsidP="008E3A98">
      <w:pPr>
        <w:pStyle w:val="FootnoteText"/>
      </w:pPr>
      <w:r w:rsidRPr="00DC078B">
        <w:rPr>
          <w:rStyle w:val="FootnoteReference"/>
        </w:rPr>
        <w:footnoteRef/>
      </w:r>
      <w:r w:rsidRPr="00DC078B">
        <w:t xml:space="preserve"> </w:t>
      </w:r>
      <w:r w:rsidRPr="00DC078B">
        <w:rPr>
          <w:szCs w:val="15"/>
          <w:lang w:eastAsia="en-AU"/>
        </w:rPr>
        <w:t>Changes to CBDC data collection from January 2019 cover actual attendance, but this data was not available at the time of publication.</w:t>
      </w:r>
    </w:p>
  </w:footnote>
  <w:footnote w:id="52">
    <w:p w14:paraId="64D2DCDE" w14:textId="0CCB143C" w:rsidR="00EB5E4A" w:rsidRPr="00DC078B" w:rsidRDefault="00EB5E4A">
      <w:pPr>
        <w:pStyle w:val="FootnoteText"/>
      </w:pPr>
      <w:r w:rsidRPr="00DC078B">
        <w:rPr>
          <w:rStyle w:val="FootnoteReference"/>
        </w:rPr>
        <w:footnoteRef/>
      </w:r>
      <w:r w:rsidRPr="00DC078B">
        <w:t xml:space="preserve"> Calculated as the number of total children aged in their state-specific Year Before Full time Schooling (YBFS) attending 600 hours per year in 2018 (Table 28, ABS 4240.0 (2018)) divide by the Population estimates, children aged in their state-specific YBFS (Table 3A.4 ROGS 2020, using ABS4240.0 (2018))</w:t>
      </w:r>
    </w:p>
  </w:footnote>
  <w:footnote w:id="53">
    <w:p w14:paraId="775C7824" w14:textId="77777777" w:rsidR="00EB5E4A" w:rsidRPr="00DC3625" w:rsidRDefault="00EB5E4A" w:rsidP="006755D1">
      <w:pPr>
        <w:pStyle w:val="NousFooter"/>
      </w:pPr>
      <w:r w:rsidRPr="00DC078B">
        <w:rPr>
          <w:rStyle w:val="FootnoteReference"/>
          <w:color w:val="auto"/>
        </w:rPr>
        <w:footnoteRef/>
      </w:r>
      <w:r w:rsidRPr="00DC078B">
        <w:rPr>
          <w:color w:val="auto"/>
        </w:rPr>
        <w:t xml:space="preserve"> Sources: ABS Preschool Education, Australia (cat. No. 4240.0), 2018 and previous years. Calculated as the number of four and </w:t>
      </w:r>
      <w:proofErr w:type="gramStart"/>
      <w:r w:rsidRPr="00DC078B">
        <w:rPr>
          <w:color w:val="auto"/>
        </w:rPr>
        <w:t>five year old</w:t>
      </w:r>
      <w:proofErr w:type="gramEnd"/>
      <w:r w:rsidRPr="00DC078B">
        <w:rPr>
          <w:color w:val="auto"/>
        </w:rPr>
        <w:t xml:space="preserve"> children attending at least one hour at a Government Preschool divided by the number of four and five year old children enrolled in Government Preschool.</w:t>
      </w:r>
    </w:p>
  </w:footnote>
  <w:footnote w:id="54">
    <w:p w14:paraId="3179EE12" w14:textId="77777777" w:rsidR="00EB5E4A" w:rsidRPr="00DC078B" w:rsidRDefault="00EB5E4A" w:rsidP="002909E9">
      <w:pPr>
        <w:pStyle w:val="NousFooter"/>
        <w:rPr>
          <w:color w:val="auto"/>
        </w:rPr>
      </w:pPr>
      <w:r w:rsidRPr="00DC078B">
        <w:rPr>
          <w:rStyle w:val="FootnoteReference"/>
          <w:color w:val="auto"/>
        </w:rPr>
        <w:footnoteRef/>
      </w:r>
      <w:r w:rsidRPr="00DC078B">
        <w:rPr>
          <w:color w:val="auto"/>
        </w:rPr>
        <w:t xml:space="preserve"> L Harrison, S Goldfield, E Metcalfe, &amp; T Moore, Early learning programs that promote children's developmental and educational outcomes, Australian Institute of Health and Welfare, Canberra, 2012.</w:t>
      </w:r>
    </w:p>
  </w:footnote>
  <w:footnote w:id="55">
    <w:p w14:paraId="2DAEFF15" w14:textId="77777777" w:rsidR="00EB5E4A" w:rsidRPr="00DC078B" w:rsidRDefault="00EB5E4A" w:rsidP="00A56AD6">
      <w:pPr>
        <w:pStyle w:val="FootnoteText"/>
      </w:pPr>
      <w:r w:rsidRPr="00DC078B">
        <w:rPr>
          <w:rStyle w:val="FootnoteReference"/>
        </w:rPr>
        <w:footnoteRef/>
      </w:r>
      <w:r w:rsidRPr="00DC078B">
        <w:t xml:space="preserve"> S Pascoe, &amp; D Brennan, Lifting Our Game: Report of the Review to Achieve Excellence in Australian Schools Through Early Childhood Interventions, Melbourne, Melbourne, 2017.</w:t>
      </w:r>
    </w:p>
  </w:footnote>
  <w:footnote w:id="56">
    <w:p w14:paraId="2D7C9A9A" w14:textId="77777777" w:rsidR="00EB5E4A" w:rsidRPr="00DC078B" w:rsidRDefault="00EB5E4A" w:rsidP="00C27718">
      <w:pPr>
        <w:pStyle w:val="FootnoteText"/>
      </w:pPr>
      <w:r w:rsidRPr="00DC078B">
        <w:rPr>
          <w:rStyle w:val="FootnoteReference"/>
        </w:rPr>
        <w:footnoteRef/>
      </w:r>
      <w:r w:rsidRPr="00DC078B">
        <w:rPr>
          <w:rStyle w:val="FootnoteReference"/>
        </w:rPr>
        <w:t xml:space="preserve"> </w:t>
      </w:r>
      <w:r w:rsidRPr="00DC078B">
        <w:t>2013 data from Attachment table 3A.41 in Report on Government Services, Australian Government Productivity Commission, 2015. 2018 data from Attachment table 3A.32 in Report on Government Services, Australian Government Productivity Commission, 2019. ACECQA data as at 30 June for each reference year and are cumulative of services with a quality rating since ratings began in June 2012. Services with more than one quality rating are reported by their most recent quality rating. Data does not include WA and Tasmania, who maintain a separate but similar quality standards assessment framework.</w:t>
      </w:r>
    </w:p>
  </w:footnote>
  <w:footnote w:id="57">
    <w:p w14:paraId="2043D4D9" w14:textId="77777777" w:rsidR="00EB5E4A" w:rsidRPr="00DC3625" w:rsidRDefault="00EB5E4A" w:rsidP="00A56AD6">
      <w:pPr>
        <w:pStyle w:val="FootnoteText"/>
        <w:rPr>
          <w:color w:val="808080" w:themeColor="background1" w:themeShade="80"/>
        </w:rPr>
      </w:pPr>
      <w:r w:rsidRPr="00DC078B">
        <w:rPr>
          <w:rStyle w:val="FootnoteReference"/>
        </w:rPr>
        <w:footnoteRef/>
      </w:r>
      <w:r w:rsidRPr="00DC078B">
        <w:t xml:space="preserve"> Preschool Education, Australia – 4240 – 2018, Australian Bureau of Statistics</w:t>
      </w:r>
      <w:r w:rsidRPr="00DC078B">
        <w:rPr>
          <w:szCs w:val="15"/>
        </w:rPr>
        <w:t>.</w:t>
      </w:r>
    </w:p>
  </w:footnote>
  <w:footnote w:id="58">
    <w:p w14:paraId="65494692" w14:textId="77777777" w:rsidR="00EB5E4A" w:rsidRPr="00DC3625" w:rsidRDefault="00EB5E4A" w:rsidP="004772F3">
      <w:pPr>
        <w:pStyle w:val="FootnoteText"/>
        <w:rPr>
          <w:color w:val="808080" w:themeColor="background1" w:themeShade="80"/>
          <w:szCs w:val="15"/>
          <w:lang w:eastAsia="en-AU"/>
        </w:rPr>
      </w:pPr>
      <w:r w:rsidRPr="00DC078B">
        <w:rPr>
          <w:rStyle w:val="FootnoteReference"/>
        </w:rPr>
        <w:footnoteRef/>
      </w:r>
      <w:r w:rsidRPr="00DC078B">
        <w:t xml:space="preserve"> K </w:t>
      </w:r>
      <w:r w:rsidRPr="00DC078B">
        <w:rPr>
          <w:szCs w:val="15"/>
          <w:lang w:eastAsia="en-AU"/>
        </w:rPr>
        <w:t xml:space="preserve">Sylva, E </w:t>
      </w:r>
      <w:proofErr w:type="spellStart"/>
      <w:r w:rsidRPr="00DC078B">
        <w:rPr>
          <w:szCs w:val="15"/>
          <w:lang w:eastAsia="en-AU"/>
        </w:rPr>
        <w:t>Melhuish</w:t>
      </w:r>
      <w:proofErr w:type="spellEnd"/>
      <w:r w:rsidRPr="00DC078B">
        <w:rPr>
          <w:szCs w:val="15"/>
          <w:lang w:eastAsia="en-AU"/>
        </w:rPr>
        <w:t xml:space="preserve">, P Sammons, I Siraj-Blatchford &amp; B Taggart, Effective provision of pre-school education (EPPE) project: Findings from the early primary years, 2004. </w:t>
      </w:r>
    </w:p>
  </w:footnote>
  <w:footnote w:id="59">
    <w:p w14:paraId="472542A7" w14:textId="77777777" w:rsidR="00EB5E4A" w:rsidRPr="00DC078B" w:rsidRDefault="00EB5E4A" w:rsidP="002C4C9C">
      <w:pPr>
        <w:pStyle w:val="NousFooter"/>
        <w:rPr>
          <w:color w:val="auto"/>
        </w:rPr>
      </w:pPr>
      <w:r w:rsidRPr="00DC078B">
        <w:rPr>
          <w:rStyle w:val="FootnoteReference"/>
          <w:color w:val="auto"/>
        </w:rPr>
        <w:footnoteRef/>
      </w:r>
      <w:r w:rsidRPr="00DC078B">
        <w:rPr>
          <w:color w:val="auto"/>
        </w:rPr>
        <w:t xml:space="preserve"> Source: ACECQA analysis of data at June 2019, provided to Nous for the purpose of this Review.</w:t>
      </w:r>
    </w:p>
  </w:footnote>
  <w:footnote w:id="60">
    <w:p w14:paraId="7B7AE4EB" w14:textId="77777777" w:rsidR="00EB5E4A" w:rsidRPr="00DC078B" w:rsidRDefault="00EB5E4A" w:rsidP="000F37AA">
      <w:pPr>
        <w:pStyle w:val="NousFooter"/>
        <w:ind w:left="720" w:hanging="720"/>
        <w:rPr>
          <w:color w:val="auto"/>
        </w:rPr>
      </w:pPr>
      <w:r w:rsidRPr="00DC078B">
        <w:rPr>
          <w:rStyle w:val="FootnoteReference"/>
          <w:color w:val="auto"/>
        </w:rPr>
        <w:footnoteRef/>
      </w:r>
      <w:r w:rsidRPr="00DC078B">
        <w:rPr>
          <w:color w:val="auto"/>
        </w:rPr>
        <w:t xml:space="preserve"> Notes:</w:t>
      </w:r>
      <w:r w:rsidRPr="00DC078B">
        <w:rPr>
          <w:color w:val="auto"/>
        </w:rPr>
        <w:tab/>
        <w:t xml:space="preserve">(i) ACECQA data as at 30 June 2019 and are cumulative of services with a quality rating since ratings began in June 2012. </w:t>
      </w:r>
    </w:p>
    <w:p w14:paraId="34AD0CEC" w14:textId="77777777" w:rsidR="00EB5E4A" w:rsidRPr="00DC078B" w:rsidRDefault="00EB5E4A" w:rsidP="00CA50FD">
      <w:pPr>
        <w:pStyle w:val="NousFooter"/>
        <w:ind w:left="720"/>
        <w:rPr>
          <w:color w:val="auto"/>
        </w:rPr>
      </w:pPr>
      <w:r w:rsidRPr="00DC078B">
        <w:rPr>
          <w:color w:val="auto"/>
        </w:rPr>
        <w:t>(ii) Services with more than one quality rating are reported by their most recent quality rating.</w:t>
      </w:r>
    </w:p>
    <w:p w14:paraId="6DD595D2" w14:textId="77777777" w:rsidR="00EB5E4A" w:rsidRPr="00DC078B" w:rsidRDefault="00EB5E4A" w:rsidP="00243961">
      <w:pPr>
        <w:pStyle w:val="NousFooter"/>
        <w:ind w:left="720"/>
        <w:rPr>
          <w:color w:val="auto"/>
        </w:rPr>
      </w:pPr>
      <w:r w:rsidRPr="00DC078B">
        <w:rPr>
          <w:color w:val="auto"/>
        </w:rPr>
        <w:t>(iii) 23 centre-based services offering preschool programs in Western Australia are included within this analysis or data. No services offering preschool programs in Tasmania are included in the ACECQA data.</w:t>
      </w:r>
    </w:p>
    <w:p w14:paraId="35E17C32" w14:textId="77777777" w:rsidR="00EB5E4A" w:rsidRPr="00DC078B" w:rsidRDefault="00EB5E4A" w:rsidP="00CA50FD">
      <w:pPr>
        <w:pStyle w:val="NousFooter"/>
        <w:ind w:left="720"/>
        <w:rPr>
          <w:color w:val="auto"/>
        </w:rPr>
      </w:pPr>
      <w:r w:rsidRPr="00DC078B">
        <w:rPr>
          <w:color w:val="auto"/>
        </w:rPr>
        <w:t>(iv) ‘Exceeding NQS’ combines services that have received an overall rating of ‘Exceeding NQS’ or ‘Excellent’. ‘Working towards NQS’ combines services that have received an overall rating of ‘Working towards NQS’ or ‘Significant improvement required’.</w:t>
      </w:r>
    </w:p>
    <w:p w14:paraId="26665B03" w14:textId="77777777" w:rsidR="00EB5E4A" w:rsidRPr="00DC078B" w:rsidRDefault="00EB5E4A" w:rsidP="00CA50FD">
      <w:pPr>
        <w:pStyle w:val="NousFooter"/>
        <w:ind w:left="720"/>
        <w:rPr>
          <w:color w:val="auto"/>
        </w:rPr>
      </w:pPr>
      <w:r w:rsidRPr="00DC078B">
        <w:rPr>
          <w:color w:val="auto"/>
        </w:rPr>
        <w:t>(v) Some proportions may not total 100% due to rounding.</w:t>
      </w:r>
    </w:p>
    <w:p w14:paraId="3FBE5B8E" w14:textId="77777777" w:rsidR="00EB5E4A" w:rsidRPr="00DC078B" w:rsidRDefault="00EB5E4A" w:rsidP="00CA50FD">
      <w:pPr>
        <w:pStyle w:val="NousFooter"/>
        <w:ind w:left="720"/>
        <w:rPr>
          <w:color w:val="auto"/>
        </w:rPr>
      </w:pPr>
      <w:r w:rsidRPr="00DC078B">
        <w:rPr>
          <w:color w:val="auto"/>
        </w:rPr>
        <w:t>(vi) Family Day Care services and services with an address that is unable to be tagged with a SEIFA classification are not included in the analysis.</w:t>
      </w:r>
    </w:p>
    <w:p w14:paraId="04CB2BC9" w14:textId="77777777" w:rsidR="00EB5E4A" w:rsidRPr="00DC3625" w:rsidRDefault="00EB5E4A" w:rsidP="00CA50FD">
      <w:pPr>
        <w:pStyle w:val="NousFooter"/>
        <w:ind w:left="720"/>
      </w:pPr>
      <w:r w:rsidRPr="00DC078B">
        <w:rPr>
          <w:color w:val="auto"/>
        </w:rPr>
        <w:t>(vii) Analysis includes preschool, defined as defined as centre-based care offering preschool programs, and CBDC services, defined as centre-based care offering long day care programs, both of any age and with a waiver.</w:t>
      </w:r>
    </w:p>
  </w:footnote>
  <w:footnote w:id="61">
    <w:p w14:paraId="015B5F4B" w14:textId="77777777" w:rsidR="00EB5E4A" w:rsidRPr="00DC078B" w:rsidRDefault="00EB5E4A">
      <w:pPr>
        <w:pStyle w:val="FootnoteText"/>
      </w:pPr>
      <w:r w:rsidRPr="00DC078B">
        <w:rPr>
          <w:rStyle w:val="FootnoteReference"/>
        </w:rPr>
        <w:footnoteRef/>
      </w:r>
      <w:r w:rsidRPr="00DC078B">
        <w:t xml:space="preserve"> Occupation projections – five years to May 2023 from</w:t>
      </w:r>
      <w:r w:rsidRPr="00DC078B">
        <w:rPr>
          <w:shd w:val="clear" w:color="auto" w:fill="FFFFFF"/>
        </w:rPr>
        <w:t xml:space="preserve"> 2018 Employment projections – for the five years to May 2023, Department of Employment, Skills, Small and Family Business, Canberra, 2018.</w:t>
      </w:r>
      <w:r w:rsidRPr="00DC078B">
        <w:t xml:space="preserve"> Last updated on 14 September 2018. Accessed November 2019. </w:t>
      </w:r>
    </w:p>
  </w:footnote>
  <w:footnote w:id="62">
    <w:p w14:paraId="2963663D" w14:textId="78B39D93" w:rsidR="00EB5E4A" w:rsidRPr="00DC078B" w:rsidRDefault="00EB5E4A" w:rsidP="00DE5305">
      <w:pPr>
        <w:pStyle w:val="FootnoteText"/>
      </w:pPr>
      <w:r w:rsidRPr="00DC078B">
        <w:rPr>
          <w:rStyle w:val="FootnoteReference"/>
        </w:rPr>
        <w:footnoteRef/>
      </w:r>
      <w:r w:rsidRPr="00DC078B">
        <w:t xml:space="preserve"> ACECQA online snapshot, available at </w:t>
      </w:r>
      <w:hyperlink r:id="rId3" w:history="1">
        <w:r w:rsidRPr="00DC078B">
          <w:rPr>
            <w:rStyle w:val="Hyperlink"/>
            <w:color w:val="auto"/>
          </w:rPr>
          <w:t>http://snapshots.acecqa.gov.au/Snapshot/waivers.html</w:t>
        </w:r>
      </w:hyperlink>
      <w:r w:rsidRPr="00DC078B">
        <w:t>. Accessed February 2019.</w:t>
      </w:r>
    </w:p>
  </w:footnote>
  <w:footnote w:id="63">
    <w:p w14:paraId="6555E928" w14:textId="1DB103F2" w:rsidR="00EB5E4A" w:rsidRPr="00DC078B" w:rsidRDefault="00EB5E4A" w:rsidP="00DE5305">
      <w:pPr>
        <w:pStyle w:val="FootnoteText"/>
      </w:pPr>
      <w:r w:rsidRPr="00DC078B">
        <w:rPr>
          <w:rStyle w:val="FootnoteReference"/>
        </w:rPr>
        <w:footnoteRef/>
      </w:r>
      <w:r w:rsidRPr="00DC078B">
        <w:t xml:space="preserve"> ACECQA online snapshot, available at </w:t>
      </w:r>
      <w:hyperlink r:id="rId4" w:history="1">
        <w:r w:rsidRPr="00DC078B">
          <w:rPr>
            <w:rStyle w:val="Hyperlink"/>
            <w:color w:val="auto"/>
          </w:rPr>
          <w:t>http://snapshots.acecqa.gov.au/Snapshot/waivers.html</w:t>
        </w:r>
      </w:hyperlink>
      <w:r w:rsidRPr="00DC078B">
        <w:t>. Accessed February 2019.</w:t>
      </w:r>
    </w:p>
  </w:footnote>
  <w:footnote w:id="64">
    <w:p w14:paraId="2BDE9550" w14:textId="77777777" w:rsidR="00EB5E4A" w:rsidRPr="00DC3625" w:rsidRDefault="00EB5E4A" w:rsidP="00F2397C">
      <w:pPr>
        <w:pStyle w:val="FootnoteText"/>
        <w:rPr>
          <w:color w:val="808080" w:themeColor="background1" w:themeShade="80"/>
        </w:rPr>
      </w:pPr>
      <w:r w:rsidRPr="00DC078B">
        <w:rPr>
          <w:rStyle w:val="FootnoteReference"/>
        </w:rPr>
        <w:footnoteRef/>
      </w:r>
      <w:r w:rsidRPr="00DC078B">
        <w:t xml:space="preserve"> P Weldon, Policy insights: The teacher workforce in Australia: Supply, demand and data issues, ACER, 2015. CBDC providers in multiple states and territories also made this claim to the Review.</w:t>
      </w:r>
    </w:p>
  </w:footnote>
  <w:footnote w:id="65">
    <w:p w14:paraId="1512DDE8" w14:textId="77777777" w:rsidR="00EB5E4A" w:rsidRPr="00DC078B" w:rsidRDefault="00EB5E4A" w:rsidP="00373EEB">
      <w:pPr>
        <w:pStyle w:val="FootnoteText"/>
      </w:pPr>
      <w:r w:rsidRPr="00DC078B">
        <w:rPr>
          <w:rStyle w:val="FootnoteReference"/>
        </w:rPr>
        <w:footnoteRef/>
      </w:r>
      <w:r w:rsidRPr="00DC078B">
        <w:t xml:space="preserve"> Source: ABS Preschool Education, Australia (cat. No. 4240.0), 2018 and previous years.</w:t>
      </w:r>
    </w:p>
  </w:footnote>
  <w:footnote w:id="66">
    <w:p w14:paraId="0FD7B778"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Source: ABS Preschool Education, Australia (cat. No. 4240.0), 2018 and previous years.</w:t>
      </w:r>
    </w:p>
  </w:footnote>
  <w:footnote w:id="67">
    <w:p w14:paraId="61A6342F" w14:textId="77777777" w:rsidR="00EB5E4A" w:rsidRPr="00DC078B" w:rsidDel="00980C89" w:rsidRDefault="00EB5E4A" w:rsidP="007A65AC">
      <w:pPr>
        <w:pStyle w:val="FootnoteText"/>
      </w:pPr>
      <w:r w:rsidRPr="00DC078B">
        <w:rPr>
          <w:rStyle w:val="FootnoteReference"/>
        </w:rPr>
        <w:footnoteRef/>
      </w:r>
      <w:r w:rsidRPr="00DC078B">
        <w:t xml:space="preserve"> Source: ABS Preschool Education, Australia (cat. No. 4240.0), 2018.</w:t>
      </w:r>
    </w:p>
  </w:footnote>
  <w:footnote w:id="68">
    <w:p w14:paraId="27ECFB01" w14:textId="77777777" w:rsidR="00EB5E4A" w:rsidRPr="00DC078B" w:rsidRDefault="00EB5E4A" w:rsidP="00042142">
      <w:pPr>
        <w:pStyle w:val="FootnoteText"/>
      </w:pPr>
      <w:r w:rsidRPr="00DC078B">
        <w:rPr>
          <w:rStyle w:val="FootnoteReference"/>
        </w:rPr>
        <w:footnoteRef/>
      </w:r>
      <w:r w:rsidRPr="00DC078B">
        <w:t xml:space="preserve"> A New Tax System (Family Assistance) (Administration) Act 1999 (</w:t>
      </w:r>
      <w:proofErr w:type="spellStart"/>
      <w:r w:rsidRPr="00DC078B">
        <w:t>Cth</w:t>
      </w:r>
      <w:proofErr w:type="spellEnd"/>
      <w:r w:rsidRPr="00DC078B">
        <w:t>) s 194D(vi).</w:t>
      </w:r>
    </w:p>
  </w:footnote>
  <w:footnote w:id="69">
    <w:p w14:paraId="49661979" w14:textId="77777777" w:rsidR="00EB5E4A" w:rsidRPr="00DC078B" w:rsidRDefault="00EB5E4A" w:rsidP="00042142">
      <w:pPr>
        <w:pStyle w:val="FootnoteText"/>
      </w:pPr>
      <w:r w:rsidRPr="00DC078B">
        <w:rPr>
          <w:rStyle w:val="FootnoteReference"/>
        </w:rPr>
        <w:footnoteRef/>
      </w:r>
      <w:r w:rsidRPr="00DC078B">
        <w:t xml:space="preserve"> Child Care Subsidy Minister’s Rules 2017 (</w:t>
      </w:r>
      <w:proofErr w:type="spellStart"/>
      <w:r w:rsidRPr="00DC078B">
        <w:t>Cth</w:t>
      </w:r>
      <w:proofErr w:type="spellEnd"/>
      <w:r w:rsidRPr="00DC078B">
        <w:t>) s 45(3)(b).</w:t>
      </w:r>
    </w:p>
  </w:footnote>
  <w:footnote w:id="70">
    <w:p w14:paraId="7750EFC2" w14:textId="2F10BE6B" w:rsidR="00EB5E4A" w:rsidRPr="00DC078B" w:rsidRDefault="00EB5E4A">
      <w:pPr>
        <w:pStyle w:val="FootnoteText"/>
      </w:pPr>
      <w:r w:rsidRPr="00DC078B">
        <w:rPr>
          <w:rStyle w:val="FootnoteReference"/>
        </w:rPr>
        <w:footnoteRef/>
      </w:r>
      <w:r w:rsidRPr="00DC078B">
        <w:t xml:space="preserve"> Child Care Subsidy minimum operating periods - special circumstance requirements, Australian Government Department of Education, Skills and Employment. Available at: </w:t>
      </w:r>
      <w:hyperlink r:id="rId5" w:history="1">
        <w:r w:rsidRPr="00DC078B">
          <w:rPr>
            <w:rStyle w:val="Hyperlink"/>
            <w:color w:val="auto"/>
          </w:rPr>
          <w:t>https://docs.education.gov.au/documents/child-care-subsidy-minimum-operating-periods-special-circumstance-requirements-fact-sheet</w:t>
        </w:r>
      </w:hyperlink>
    </w:p>
  </w:footnote>
  <w:footnote w:id="71">
    <w:p w14:paraId="74927543" w14:textId="7E722792" w:rsidR="00EB5E4A" w:rsidRPr="00DC3625" w:rsidRDefault="00EB5E4A">
      <w:pPr>
        <w:pStyle w:val="FootnoteText"/>
        <w:rPr>
          <w:color w:val="808080" w:themeColor="background1" w:themeShade="80"/>
        </w:rPr>
      </w:pPr>
      <w:r w:rsidRPr="00DC078B">
        <w:rPr>
          <w:rStyle w:val="FootnoteReference"/>
        </w:rPr>
        <w:footnoteRef/>
      </w:r>
      <w:r w:rsidRPr="00DC078B">
        <w:t xml:space="preserve"> A New Tax System (Family Assistance) (Administration) Act 1999 (</w:t>
      </w:r>
      <w:proofErr w:type="spellStart"/>
      <w:r w:rsidRPr="00DC078B">
        <w:t>Cth</w:t>
      </w:r>
      <w:proofErr w:type="spellEnd"/>
      <w:r w:rsidRPr="00DC078B">
        <w:t>) s 194D(vi).</w:t>
      </w:r>
    </w:p>
  </w:footnote>
  <w:footnote w:id="72">
    <w:p w14:paraId="402CD4C1" w14:textId="77777777" w:rsidR="00EB5E4A" w:rsidRPr="00DC3625" w:rsidRDefault="00EB5E4A" w:rsidP="008E3B7F">
      <w:pPr>
        <w:pStyle w:val="NousFooter"/>
      </w:pPr>
      <w:r w:rsidRPr="00DC078B">
        <w:rPr>
          <w:rStyle w:val="FootnoteReference"/>
          <w:color w:val="auto"/>
        </w:rPr>
        <w:footnoteRef/>
      </w:r>
      <w:r w:rsidRPr="00DC078B">
        <w:rPr>
          <w:color w:val="auto"/>
        </w:rPr>
        <w:t xml:space="preserve"> Source: ABS Preschool Education, Australia (cat. No. 4240.0), 2018.</w:t>
      </w:r>
    </w:p>
  </w:footnote>
  <w:footnote w:id="73">
    <w:p w14:paraId="12EAB640" w14:textId="5F029E63" w:rsidR="00EB5E4A" w:rsidRPr="00DC3625" w:rsidRDefault="00EB5E4A" w:rsidP="00DC41C3">
      <w:pPr>
        <w:pStyle w:val="NousFooter"/>
      </w:pPr>
      <w:r w:rsidRPr="00DC078B">
        <w:rPr>
          <w:rStyle w:val="FootnoteReference"/>
          <w:color w:val="auto"/>
        </w:rPr>
        <w:footnoteRef/>
      </w:r>
      <w:r w:rsidRPr="00DC078B">
        <w:rPr>
          <w:color w:val="auto"/>
        </w:rPr>
        <w:t xml:space="preserve"> Source: ABS Preschool Education, Australia (cat. No. 4240.0), 2018.</w:t>
      </w:r>
    </w:p>
  </w:footnote>
  <w:footnote w:id="74">
    <w:p w14:paraId="515E6953" w14:textId="77777777" w:rsidR="00EB5E4A" w:rsidRPr="00DC078B" w:rsidRDefault="00EB5E4A" w:rsidP="00E268CB">
      <w:pPr>
        <w:pStyle w:val="NousFooter"/>
        <w:rPr>
          <w:color w:val="auto"/>
          <w:vertAlign w:val="superscript"/>
        </w:rPr>
      </w:pPr>
      <w:r w:rsidRPr="00DC078B">
        <w:rPr>
          <w:rStyle w:val="FootnoteReference"/>
          <w:color w:val="auto"/>
        </w:rPr>
        <w:footnoteRef/>
      </w:r>
      <w:r w:rsidRPr="00DC078B">
        <w:rPr>
          <w:color w:val="auto"/>
        </w:rPr>
        <w:t xml:space="preserve"> L Harrison, S Goldfield, E Metcalfe, &amp; T Moore, Early learning programs that promote children's developmental and educational outcomes, Australian Institute of Health and Welfare, Canberra, 2012.</w:t>
      </w:r>
    </w:p>
  </w:footnote>
  <w:footnote w:id="75">
    <w:p w14:paraId="2DFB7835" w14:textId="77777777" w:rsidR="00EB5E4A" w:rsidRPr="00DC078B" w:rsidRDefault="00EB5E4A" w:rsidP="00E268CB">
      <w:pPr>
        <w:pStyle w:val="NousFooter"/>
        <w:rPr>
          <w:color w:val="auto"/>
        </w:rPr>
      </w:pPr>
      <w:r w:rsidRPr="00DC078B">
        <w:rPr>
          <w:rStyle w:val="FootnoteReference"/>
          <w:color w:val="auto"/>
        </w:rPr>
        <w:footnoteRef/>
      </w:r>
      <w:r w:rsidRPr="00DC078B">
        <w:rPr>
          <w:color w:val="auto"/>
        </w:rPr>
        <w:t xml:space="preserve"> D Warren, M O'Connor, D Smart, &amp; B Edwards, A Critical Review of the Early Childhood Literature, Australian Institute of Family Studies, Melbourne, 2016.</w:t>
      </w:r>
    </w:p>
  </w:footnote>
  <w:footnote w:id="76">
    <w:p w14:paraId="233F680A" w14:textId="77777777" w:rsidR="00EB5E4A" w:rsidRPr="00DC078B" w:rsidRDefault="00EB5E4A" w:rsidP="00E268CB">
      <w:pPr>
        <w:pStyle w:val="NousFooter"/>
        <w:rPr>
          <w:color w:val="auto"/>
        </w:rPr>
      </w:pPr>
      <w:r w:rsidRPr="00DC078B">
        <w:rPr>
          <w:rStyle w:val="FootnoteReference"/>
          <w:color w:val="auto"/>
        </w:rPr>
        <w:footnoteRef/>
      </w:r>
      <w:r w:rsidRPr="00DC078B">
        <w:rPr>
          <w:color w:val="auto"/>
        </w:rPr>
        <w:t xml:space="preserve"> See for example: S Pascoe, &amp; D Brennan, Lifting Our Game: Report of the Review to Achieve Excellence in Australian Schools Through Early Childhood Interventions, Melbourne, Melbourne, 2017.</w:t>
      </w:r>
    </w:p>
  </w:footnote>
  <w:footnote w:id="77">
    <w:p w14:paraId="528718DB" w14:textId="77777777" w:rsidR="00EB5E4A" w:rsidRPr="00DC3625" w:rsidRDefault="00EB5E4A" w:rsidP="00495659">
      <w:pPr>
        <w:pStyle w:val="NousFooter"/>
      </w:pPr>
      <w:r w:rsidRPr="00DC078B">
        <w:rPr>
          <w:rStyle w:val="FootnoteReference"/>
          <w:color w:val="auto"/>
        </w:rPr>
        <w:footnoteRef/>
      </w:r>
      <w:r w:rsidRPr="00DC078B">
        <w:rPr>
          <w:color w:val="auto"/>
        </w:rPr>
        <w:t xml:space="preserve"> Some jurisdictions adopt a reference fortnight to take account of their preschool delivery models, with the data converted to a week for national comparison purposes.</w:t>
      </w:r>
    </w:p>
  </w:footnote>
  <w:footnote w:id="78">
    <w:p w14:paraId="23D15F81" w14:textId="03CC7685" w:rsidR="00EB5E4A" w:rsidRPr="00DC3625" w:rsidRDefault="00EB5E4A" w:rsidP="00E268CB">
      <w:pPr>
        <w:pStyle w:val="NousFooter"/>
      </w:pPr>
      <w:r w:rsidRPr="00DC078B">
        <w:rPr>
          <w:rStyle w:val="FootnoteReference"/>
          <w:color w:val="auto"/>
        </w:rPr>
        <w:footnoteRef/>
      </w:r>
      <w:r w:rsidRPr="00DC078B">
        <w:rPr>
          <w:color w:val="auto"/>
        </w:rPr>
        <w:t xml:space="preserve"> While the NQF sets out service qualification requirements as agreed by all jurisdictions, it is worth noting that some jurisdictions go above and beyond the NQF standard in relation to their preschool programs and funding. For example, in some jurisdictions it is a requirement that preschool programs are actually delivered by a </w:t>
      </w:r>
      <w:proofErr w:type="gramStart"/>
      <w:r w:rsidRPr="00DC078B">
        <w:rPr>
          <w:color w:val="auto"/>
        </w:rPr>
        <w:t>degree-qualified</w:t>
      </w:r>
      <w:proofErr w:type="gramEnd"/>
      <w:r w:rsidRPr="00DC078B">
        <w:rPr>
          <w:color w:val="auto"/>
        </w:rPr>
        <w:t xml:space="preserve"> ECT.</w:t>
      </w:r>
    </w:p>
  </w:footnote>
  <w:footnote w:id="79">
    <w:p w14:paraId="32499874"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Source: ABS Preschool Education, Australia, 2018, Appendix 4: State-specific year before full-time schooling.</w:t>
      </w:r>
    </w:p>
  </w:footnote>
  <w:footnote w:id="80">
    <w:p w14:paraId="4C6A63A5" w14:textId="77777777" w:rsidR="00EB5E4A" w:rsidRPr="00DC078B" w:rsidRDefault="00EB5E4A" w:rsidP="00675470">
      <w:pPr>
        <w:pStyle w:val="NousFooter"/>
        <w:rPr>
          <w:color w:val="auto"/>
        </w:rPr>
      </w:pPr>
      <w:r w:rsidRPr="00DC078B">
        <w:rPr>
          <w:rStyle w:val="FootnoteReference"/>
          <w:color w:val="auto"/>
        </w:rPr>
        <w:footnoteRef/>
      </w:r>
      <w:r w:rsidRPr="00DC078B">
        <w:rPr>
          <w:color w:val="auto"/>
        </w:rPr>
        <w:t xml:space="preserve"> Source: ABS Preschool Education, Australia (cat. No. 4240.0), 2018 and previous years.</w:t>
      </w:r>
    </w:p>
  </w:footnote>
  <w:footnote w:id="81">
    <w:p w14:paraId="287D920D" w14:textId="77777777" w:rsidR="00EB5E4A" w:rsidRPr="00DC078B" w:rsidRDefault="00EB5E4A" w:rsidP="00675470">
      <w:pPr>
        <w:pStyle w:val="FootnoteText"/>
      </w:pPr>
      <w:r w:rsidRPr="00DC078B">
        <w:rPr>
          <w:rStyle w:val="FootnoteReference"/>
        </w:rPr>
        <w:footnoteRef/>
      </w:r>
      <w:r w:rsidRPr="00DC078B">
        <w:t xml:space="preserve"> Note: ABS YBFS method combines the general YBFS measure from 2013-2015 and </w:t>
      </w:r>
      <w:proofErr w:type="gramStart"/>
      <w:r w:rsidRPr="00DC078B">
        <w:t>state-specific</w:t>
      </w:r>
      <w:proofErr w:type="gramEnd"/>
      <w:r w:rsidRPr="00DC078B">
        <w:t xml:space="preserve"> YBFS measure from 2016 onwards.</w:t>
      </w:r>
    </w:p>
  </w:footnote>
  <w:footnote w:id="82">
    <w:p w14:paraId="5376D584" w14:textId="55EB6C03" w:rsidR="00EB5E4A" w:rsidRPr="00DC3625" w:rsidRDefault="00EB5E4A">
      <w:pPr>
        <w:pStyle w:val="FootnoteText"/>
        <w:rPr>
          <w:color w:val="808080" w:themeColor="background1" w:themeShade="80"/>
        </w:rPr>
      </w:pPr>
      <w:r w:rsidRPr="00DC078B">
        <w:rPr>
          <w:rStyle w:val="FootnoteReference"/>
        </w:rPr>
        <w:footnoteRef/>
      </w:r>
      <w:r w:rsidRPr="00DC078B">
        <w:t xml:space="preserve"> Calculated as the number of total children aged in their state-specific Year Before Full time Schooling (YBFS) attending 600 hours per year in 2018 (Table 28, ABS 4240.0 (2018)) divide by the Population estimates, children aged in their state-specific YBFS (Table 3A.4 ROGS 2020, using ABS4240.0 (2018)).</w:t>
      </w:r>
    </w:p>
  </w:footnote>
  <w:footnote w:id="83">
    <w:p w14:paraId="0BC24B4E" w14:textId="77777777" w:rsidR="00EB5E4A" w:rsidRPr="00DC3625" w:rsidRDefault="00EB5E4A" w:rsidP="00E268CB">
      <w:pPr>
        <w:pStyle w:val="NousFooter"/>
      </w:pPr>
      <w:r w:rsidRPr="00DC078B">
        <w:rPr>
          <w:rStyle w:val="FootnoteReference"/>
          <w:color w:val="auto"/>
        </w:rPr>
        <w:footnoteRef/>
      </w:r>
      <w:r w:rsidRPr="00DC078B">
        <w:rPr>
          <w:color w:val="auto"/>
        </w:rPr>
        <w:t xml:space="preserve"> Student attendance rate of Years 1-10 students in all schools in Australia, Australian Curriculum, Assessment and Reporting Authority. Accessed October 2019.</w:t>
      </w:r>
    </w:p>
  </w:footnote>
  <w:footnote w:id="84">
    <w:p w14:paraId="37CF9553" w14:textId="77777777" w:rsidR="00EB5E4A" w:rsidRPr="00DC3625" w:rsidRDefault="00EB5E4A" w:rsidP="00474E40">
      <w:pPr>
        <w:pStyle w:val="NousFooter"/>
      </w:pPr>
      <w:r w:rsidRPr="00DC078B">
        <w:rPr>
          <w:rStyle w:val="FootnoteReference"/>
          <w:color w:val="auto"/>
        </w:rPr>
        <w:footnoteRef/>
      </w:r>
      <w:r w:rsidRPr="00DC078B">
        <w:rPr>
          <w:color w:val="auto"/>
        </w:rPr>
        <w:t xml:space="preserve"> Part 3 in </w:t>
      </w:r>
      <w:r w:rsidRPr="00DC078B">
        <w:rPr>
          <w:rFonts w:asciiTheme="minorHAnsi" w:hAnsiTheme="minorHAnsi"/>
          <w:color w:val="auto"/>
        </w:rPr>
        <w:t>Intergovernmental Agreement on Federal Financial Relations,</w:t>
      </w:r>
      <w:r w:rsidRPr="00DC078B">
        <w:rPr>
          <w:color w:val="auto"/>
        </w:rPr>
        <w:t xml:space="preserve"> Council of Australian Governments, 2008.</w:t>
      </w:r>
    </w:p>
  </w:footnote>
  <w:footnote w:id="85">
    <w:p w14:paraId="31A06E84" w14:textId="77777777" w:rsidR="00EB5E4A" w:rsidRPr="00DC3625" w:rsidRDefault="00EB5E4A" w:rsidP="002749D9">
      <w:pPr>
        <w:pStyle w:val="NousFooter"/>
      </w:pPr>
      <w:r w:rsidRPr="00DC078B">
        <w:rPr>
          <w:rStyle w:val="FootnoteReference"/>
          <w:color w:val="auto"/>
        </w:rPr>
        <w:footnoteRef/>
      </w:r>
      <w:r w:rsidRPr="00DC078B">
        <w:rPr>
          <w:color w:val="auto"/>
        </w:rPr>
        <w:t xml:space="preserve"> Source: Attachment table 3A.8 in Report on Government Services, Australian Government Productivity Commission, 2019.</w:t>
      </w:r>
    </w:p>
  </w:footnote>
  <w:footnote w:id="86">
    <w:p w14:paraId="72BC7DDD" w14:textId="77777777" w:rsidR="00EB5E4A" w:rsidRPr="00DC078B" w:rsidRDefault="00EB5E4A" w:rsidP="002749D9">
      <w:pPr>
        <w:pStyle w:val="NousFooter"/>
        <w:rPr>
          <w:color w:val="auto"/>
        </w:rPr>
      </w:pPr>
      <w:r w:rsidRPr="00DC078B">
        <w:rPr>
          <w:rStyle w:val="FootnoteReference"/>
          <w:color w:val="auto"/>
        </w:rPr>
        <w:footnoteRef/>
      </w:r>
      <w:r w:rsidRPr="00DC078B">
        <w:rPr>
          <w:color w:val="auto"/>
        </w:rPr>
        <w:t xml:space="preserve"> Notes: </w:t>
      </w:r>
      <w:r w:rsidRPr="00DC078B">
        <w:rPr>
          <w:color w:val="auto"/>
        </w:rPr>
        <w:tab/>
        <w:t>(i) Time series financial data are adjusted to 2017-18 dollars.</w:t>
      </w:r>
    </w:p>
    <w:p w14:paraId="4435852A" w14:textId="77777777" w:rsidR="00EB5E4A" w:rsidRPr="00DC3625" w:rsidRDefault="00EB5E4A" w:rsidP="002749D9">
      <w:pPr>
        <w:pStyle w:val="NousFooter"/>
      </w:pPr>
      <w:r w:rsidRPr="00DC078B">
        <w:rPr>
          <w:color w:val="auto"/>
        </w:rPr>
        <w:tab/>
        <w:t>(ii) Funding amounts in this table do not necessarily reflect final amounts received by states and territories.</w:t>
      </w:r>
    </w:p>
  </w:footnote>
  <w:footnote w:id="87">
    <w:p w14:paraId="54427C17"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Comparisons using these figures should be made with caution since the methodology for calculating expenditure is not uniform across states and territories.</w:t>
      </w:r>
    </w:p>
  </w:footnote>
  <w:footnote w:id="88">
    <w:p w14:paraId="159F6469"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Note: The ABS made changes in late 2016 to eliminate more duplicate counts from the National Collection. This means that transition from 2016 enrolment data (used for 2018 calculations) and 2017 enrolment data (used for 2019 calculations) has a material and variable impact on different jurisdictions.</w:t>
      </w:r>
    </w:p>
  </w:footnote>
  <w:footnote w:id="89">
    <w:p w14:paraId="1EDBD2C2" w14:textId="77777777" w:rsidR="00EB5E4A" w:rsidRPr="00DC3625" w:rsidRDefault="00EB5E4A" w:rsidP="007D4A2B">
      <w:pPr>
        <w:pStyle w:val="FootnoteText"/>
        <w:rPr>
          <w:color w:val="808080" w:themeColor="background1" w:themeShade="80"/>
        </w:rPr>
      </w:pPr>
      <w:r w:rsidRPr="00DC078B">
        <w:rPr>
          <w:rStyle w:val="FootnoteReference"/>
        </w:rPr>
        <w:footnoteRef/>
      </w:r>
      <w:r w:rsidRPr="00DC078B">
        <w:t xml:space="preserve"> Inquiry Report: Childcare and Early Childhood Learning (No. 73), Australian Government Productivity Commission, 2014, Recommendation 15.10.</w:t>
      </w:r>
    </w:p>
  </w:footnote>
  <w:footnote w:id="90">
    <w:p w14:paraId="7231224F" w14:textId="77777777" w:rsidR="00EB5E4A" w:rsidRPr="00DC078B" w:rsidRDefault="00EB5E4A">
      <w:pPr>
        <w:pStyle w:val="FootnoteText"/>
      </w:pPr>
      <w:r w:rsidRPr="00DC078B">
        <w:rPr>
          <w:rStyle w:val="FootnoteReference"/>
        </w:rPr>
        <w:footnoteRef/>
      </w:r>
      <w:r w:rsidRPr="00DC078B">
        <w:t xml:space="preserve"> O’Connell et al, Quality Early Education for All Fostering creative, entrepreneurial, </w:t>
      </w:r>
      <w:proofErr w:type="gramStart"/>
      <w:r w:rsidRPr="00DC078B">
        <w:t>resilient</w:t>
      </w:r>
      <w:proofErr w:type="gramEnd"/>
      <w:r w:rsidRPr="00DC078B">
        <w:t xml:space="preserve"> and capable learners, Mitchell Institute, Melbourne, 2016, p. 17.</w:t>
      </w:r>
    </w:p>
  </w:footnote>
  <w:footnote w:id="91">
    <w:p w14:paraId="61FE15A0" w14:textId="77777777" w:rsidR="00EB5E4A" w:rsidRPr="00DC078B" w:rsidRDefault="00EB5E4A">
      <w:pPr>
        <w:pStyle w:val="FootnoteText"/>
      </w:pPr>
      <w:r w:rsidRPr="00DC078B">
        <w:rPr>
          <w:rStyle w:val="FootnoteReference"/>
        </w:rPr>
        <w:footnoteRef/>
      </w:r>
      <w:r w:rsidRPr="00DC078B">
        <w:t xml:space="preserve"> D Warren &amp; J.P. </w:t>
      </w:r>
      <w:proofErr w:type="spellStart"/>
      <w:r w:rsidRPr="00DC078B">
        <w:t>Haisken-DeNew</w:t>
      </w:r>
      <w:proofErr w:type="spellEnd"/>
      <w:r w:rsidRPr="00DC078B">
        <w:t>, Early Bird Catches the Worm: The Causal Impact of Pre-school Participation and Teacher Qualifications on Year 3 NAPLAN Cognitive Tests, cited in a summary paper of the 2013 research jointly issued with the Victorian Government.</w:t>
      </w:r>
    </w:p>
  </w:footnote>
  <w:footnote w:id="92">
    <w:p w14:paraId="6B908EBD"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J Heckman, </w:t>
      </w:r>
      <w:proofErr w:type="gramStart"/>
      <w:r w:rsidRPr="00DC078B">
        <w:t>Invest</w:t>
      </w:r>
      <w:proofErr w:type="gramEnd"/>
      <w:r w:rsidRPr="00DC078B">
        <w:t xml:space="preserve"> in early childhood development: Reduce deficits, strengthen the economy, the Heckman Equation, 2012.</w:t>
      </w:r>
    </w:p>
  </w:footnote>
  <w:footnote w:id="93">
    <w:p w14:paraId="23C0CCEB"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O’Connell et al, Quality Early Education for All Fostering creative, entrepreneurial, </w:t>
      </w:r>
      <w:proofErr w:type="gramStart"/>
      <w:r w:rsidRPr="00DC078B">
        <w:t>resilient</w:t>
      </w:r>
      <w:proofErr w:type="gramEnd"/>
      <w:r w:rsidRPr="00DC078B">
        <w:t xml:space="preserve"> and capable learners, Mitchell Institute, Melbourne, 2016, p. 29.</w:t>
      </w:r>
    </w:p>
  </w:footnote>
  <w:footnote w:id="94">
    <w:p w14:paraId="36820859" w14:textId="77777777" w:rsidR="00EB5E4A" w:rsidRPr="00DC3625" w:rsidRDefault="00EB5E4A" w:rsidP="009F5E54">
      <w:pPr>
        <w:pStyle w:val="FootnoteText"/>
        <w:rPr>
          <w:color w:val="808080" w:themeColor="background1" w:themeShade="80"/>
        </w:rPr>
      </w:pPr>
      <w:r w:rsidRPr="00DC078B">
        <w:rPr>
          <w:rStyle w:val="FootnoteReference"/>
        </w:rPr>
        <w:footnoteRef/>
      </w:r>
      <w:r w:rsidRPr="00DC078B">
        <w:t xml:space="preserve"> Preamble in Early Learning Reform Principles, Council of Australian Governments, 2018.</w:t>
      </w:r>
    </w:p>
  </w:footnote>
  <w:footnote w:id="95">
    <w:p w14:paraId="358701EB" w14:textId="77777777" w:rsidR="00EB5E4A" w:rsidRPr="00DC078B" w:rsidRDefault="00EB5E4A">
      <w:pPr>
        <w:pStyle w:val="FootnoteText"/>
      </w:pPr>
      <w:r w:rsidRPr="00DC078B">
        <w:rPr>
          <w:rStyle w:val="FootnoteReference"/>
        </w:rPr>
        <w:footnoteRef/>
      </w:r>
      <w:r w:rsidRPr="00DC078B">
        <w:t xml:space="preserve"> J Baxter &amp; K Hand, Access to early childhood education in Australia, Australian Institute of Family Studies Research Report 24, 2013, pp 35-36.</w:t>
      </w:r>
    </w:p>
  </w:footnote>
  <w:footnote w:id="96">
    <w:p w14:paraId="17616812" w14:textId="77777777" w:rsidR="00EB5E4A" w:rsidRPr="00DC078B" w:rsidRDefault="00EB5E4A" w:rsidP="00F806B7">
      <w:pPr>
        <w:pStyle w:val="FootnoteText"/>
      </w:pPr>
      <w:r w:rsidRPr="00DC078B">
        <w:rPr>
          <w:rStyle w:val="FootnoteReference"/>
        </w:rPr>
        <w:footnoteRef/>
      </w:r>
      <w:r w:rsidRPr="00DC078B">
        <w:t xml:space="preserve"> M O’Connor, E O’Connor, S Gray &amp; S </w:t>
      </w:r>
      <w:proofErr w:type="spellStart"/>
      <w:r w:rsidRPr="00DC078B">
        <w:t>Goldfeld</w:t>
      </w:r>
      <w:proofErr w:type="spellEnd"/>
      <w:r w:rsidRPr="00DC078B">
        <w:t>, Trends in preschool attendance in Australia following major policy reform: Updated evidence six years following a commitment to universal access, Early Childhood Research Quarterly, Volume 51, 2nd Quarter 2020, pp 93-99.</w:t>
      </w:r>
    </w:p>
  </w:footnote>
  <w:footnote w:id="97">
    <w:p w14:paraId="0EE229E6" w14:textId="77777777" w:rsidR="00EB5E4A" w:rsidRPr="00DC3625" w:rsidRDefault="00EB5E4A" w:rsidP="00B3772C">
      <w:pPr>
        <w:pStyle w:val="FootnoteText"/>
        <w:rPr>
          <w:color w:val="808080" w:themeColor="background1" w:themeShade="80"/>
        </w:rPr>
      </w:pPr>
      <w:r w:rsidRPr="00DC078B">
        <w:rPr>
          <w:rStyle w:val="FootnoteReference"/>
        </w:rPr>
        <w:footnoteRef/>
      </w:r>
      <w:r w:rsidRPr="00DC078B">
        <w:t xml:space="preserve"> See for example: Quality Matters in Early Childhood Education and Care: United Kingdom (England), OECD, 2012, p. 64. Barriers to Participation – the Experience of Disadvantaged Young Children, their Families and Professionals in Engaging with Early Childhood Services, Children and Families Research Centre, Macquarie University, Sydney, 2010.</w:t>
      </w:r>
    </w:p>
  </w:footnote>
  <w:footnote w:id="98">
    <w:p w14:paraId="156E083E" w14:textId="77777777" w:rsidR="00EB5E4A" w:rsidRPr="00DC3625" w:rsidRDefault="00EB5E4A" w:rsidP="00523FBF">
      <w:pPr>
        <w:rPr>
          <w:color w:val="808080" w:themeColor="background1" w:themeShade="80"/>
          <w:sz w:val="16"/>
          <w:szCs w:val="16"/>
        </w:rPr>
      </w:pPr>
      <w:r w:rsidRPr="00DC078B">
        <w:rPr>
          <w:rStyle w:val="FootnoteReference"/>
          <w:sz w:val="16"/>
          <w:szCs w:val="16"/>
        </w:rPr>
        <w:footnoteRef/>
      </w:r>
      <w:r w:rsidRPr="00DC078B">
        <w:rPr>
          <w:sz w:val="16"/>
          <w:szCs w:val="16"/>
        </w:rPr>
        <w:t xml:space="preserve"> There would be benefits and costs to these changes to data collection and reporting that should be quantified before a decision could be taken. This should consider what is already collected across jurisdictions and settings to identify best way forward and not add additional burden to the sector. </w:t>
      </w:r>
    </w:p>
  </w:footnote>
  <w:footnote w:id="99">
    <w:p w14:paraId="393EE207" w14:textId="77777777" w:rsidR="00EB5E4A" w:rsidRPr="00DC3625" w:rsidRDefault="00EB5E4A" w:rsidP="0003308C">
      <w:pPr>
        <w:pStyle w:val="NousFooter"/>
      </w:pPr>
      <w:r w:rsidRPr="00DC078B">
        <w:rPr>
          <w:rStyle w:val="FootnoteReference"/>
          <w:color w:val="auto"/>
        </w:rPr>
        <w:footnoteRef/>
      </w:r>
      <w:r w:rsidRPr="00DC078B">
        <w:rPr>
          <w:color w:val="auto"/>
        </w:rPr>
        <w:t xml:space="preserve"> K Torii, S Fox &amp; D </w:t>
      </w:r>
      <w:proofErr w:type="spellStart"/>
      <w:r w:rsidRPr="00DC078B">
        <w:rPr>
          <w:color w:val="auto"/>
        </w:rPr>
        <w:t>Cloney</w:t>
      </w:r>
      <w:proofErr w:type="spellEnd"/>
      <w:r w:rsidRPr="00DC078B">
        <w:rPr>
          <w:color w:val="auto"/>
        </w:rPr>
        <w:t>, Quality is key in Early Childhood Education in Australia, Mitchell Institute Paper 01/2017, 2017.</w:t>
      </w:r>
    </w:p>
  </w:footnote>
  <w:footnote w:id="100">
    <w:p w14:paraId="3C720687" w14:textId="77777777" w:rsidR="00EB5E4A" w:rsidRPr="00DC3625" w:rsidRDefault="00EB5E4A" w:rsidP="002A6CE9">
      <w:pPr>
        <w:pStyle w:val="NousFooter"/>
      </w:pPr>
      <w:r w:rsidRPr="00DC078B">
        <w:rPr>
          <w:rStyle w:val="FootnoteReference"/>
          <w:color w:val="auto"/>
        </w:rPr>
        <w:footnoteRef/>
      </w:r>
      <w:r w:rsidRPr="00DC078B">
        <w:rPr>
          <w:color w:val="auto"/>
        </w:rPr>
        <w:t xml:space="preserve"> Communiqué, Education Council, 28 June 2019.</w:t>
      </w:r>
    </w:p>
  </w:footnote>
  <w:footnote w:id="101">
    <w:p w14:paraId="7D7136AA" w14:textId="77777777" w:rsidR="00EB5E4A" w:rsidRPr="00DC3625" w:rsidRDefault="00EB5E4A">
      <w:pPr>
        <w:pStyle w:val="FootnoteText"/>
        <w:rPr>
          <w:color w:val="808080" w:themeColor="background1" w:themeShade="80"/>
        </w:rPr>
      </w:pPr>
      <w:r w:rsidRPr="00DC078B">
        <w:rPr>
          <w:rStyle w:val="FootnoteReference"/>
        </w:rPr>
        <w:footnoteRef/>
      </w:r>
      <w:r w:rsidRPr="00DC078B">
        <w:t xml:space="preserve"> D Gonski et al, Through Growth to Achievement Report of the Review to Achieve Educational Excellence in Australian Schools, 2018.</w:t>
      </w:r>
    </w:p>
  </w:footnote>
  <w:footnote w:id="102">
    <w:p w14:paraId="7B4B1EDA" w14:textId="77777777" w:rsidR="00EB5E4A" w:rsidRPr="00DC3625" w:rsidRDefault="00EB5E4A" w:rsidP="009E5B44">
      <w:pPr>
        <w:pStyle w:val="NousFooter"/>
      </w:pPr>
      <w:r w:rsidRPr="00DC078B">
        <w:rPr>
          <w:rStyle w:val="FootnoteReference"/>
          <w:color w:val="auto"/>
        </w:rPr>
        <w:footnoteRef/>
      </w:r>
      <w:r w:rsidRPr="00DC078B">
        <w:rPr>
          <w:color w:val="auto"/>
        </w:rPr>
        <w:t xml:space="preserve"> Nous will add the Early Learning Reform Principles to the document in mid-November 2019</w:t>
      </w:r>
    </w:p>
  </w:footnote>
  <w:footnote w:id="103">
    <w:p w14:paraId="0BEB7E38" w14:textId="77777777" w:rsidR="00EB5E4A" w:rsidRPr="00DC3625" w:rsidRDefault="00EB5E4A" w:rsidP="00D545E3">
      <w:pPr>
        <w:pStyle w:val="NousFooter"/>
      </w:pPr>
      <w:r w:rsidRPr="00DC078B">
        <w:rPr>
          <w:rStyle w:val="FootnoteReference"/>
          <w:color w:val="auto"/>
        </w:rPr>
        <w:footnoteRef/>
      </w:r>
      <w:r w:rsidRPr="00DC078B">
        <w:rPr>
          <w:color w:val="auto"/>
        </w:rPr>
        <w:t xml:space="preserve"> Since 1 January 2014, changes to the NQF resulted in a requirement that all centre-based day care and preschool services providing care must have access to an early childhood teacher. Consequently, for the purpose of the UANP Agreement Performance Indicator 1 is taken as achieved.</w:t>
      </w:r>
    </w:p>
  </w:footnote>
  <w:footnote w:id="104">
    <w:p w14:paraId="6455E8E8" w14:textId="77777777" w:rsidR="00EB5E4A" w:rsidRPr="00DC3625" w:rsidRDefault="00EB5E4A" w:rsidP="006A35A3">
      <w:pPr>
        <w:pStyle w:val="FootnoteText"/>
        <w:rPr>
          <w:color w:val="808080" w:themeColor="background1" w:themeShade="80"/>
        </w:rPr>
      </w:pPr>
      <w:r w:rsidRPr="00DC078B">
        <w:rPr>
          <w:rStyle w:val="FootnoteReference"/>
        </w:rPr>
        <w:footnoteRef/>
      </w:r>
      <w:r w:rsidRPr="00DC078B">
        <w:t xml:space="preserve"> A copy of the review can be found on the Education Council website at: </w:t>
      </w:r>
      <w:hyperlink r:id="rId6" w:history="1">
        <w:r w:rsidRPr="00DC078B">
          <w:rPr>
            <w:rStyle w:val="Hyperlink"/>
            <w:color w:val="auto"/>
          </w:rPr>
          <w:t>http://www.educationcouncil.edu.au/site/DefaultSite/filesystem/documents/Reports%20and%20publications/EC%20Publications/NP_UAECE%20Review-220415.pdf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5EAD7" w14:textId="77777777" w:rsidR="00EB5E4A" w:rsidRDefault="00EB5E4A">
    <w:pPr>
      <w:pStyle w:val="Header"/>
    </w:pPr>
    <w:r>
      <w:rPr>
        <w:noProof/>
        <w:sz w:val="20"/>
        <w:szCs w:val="20"/>
        <w:lang w:eastAsia="en-AU"/>
      </w:rPr>
      <w:drawing>
        <wp:anchor distT="0" distB="0" distL="114300" distR="114300" simplePos="0" relativeHeight="251658240" behindDoc="0" locked="0" layoutInCell="1" allowOverlap="1" wp14:anchorId="6DEBE636" wp14:editId="7D9C0D8E">
          <wp:simplePos x="0" y="0"/>
          <wp:positionH relativeFrom="page">
            <wp:posOffset>3337</wp:posOffset>
          </wp:positionH>
          <wp:positionV relativeFrom="page">
            <wp:posOffset>-6985</wp:posOffset>
          </wp:positionV>
          <wp:extent cx="7559749" cy="116958"/>
          <wp:effectExtent l="0" t="0" r="0" b="0"/>
          <wp:wrapNone/>
          <wp:docPr id="14338" name="Picture 14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9" name="Picture 1435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B6B6C" w14:textId="2654960A" w:rsidR="00EB5E4A" w:rsidRDefault="00EB5E4A" w:rsidP="009C08CE">
    <w:pPr>
      <w:pStyle w:val="Header"/>
      <w:tabs>
        <w:tab w:val="clear" w:pos="4513"/>
        <w:tab w:val="clear" w:pos="9026"/>
      </w:tabs>
    </w:pPr>
    <w:r>
      <w:rPr>
        <w:noProof/>
        <w:sz w:val="20"/>
        <w:szCs w:val="20"/>
        <w:lang w:eastAsia="en-AU"/>
      </w:rPr>
      <w:drawing>
        <wp:anchor distT="0" distB="0" distL="114300" distR="114300" simplePos="0" relativeHeight="251658257" behindDoc="0" locked="0" layoutInCell="1" allowOverlap="1" wp14:anchorId="519534BC" wp14:editId="22DAD4D5">
          <wp:simplePos x="0" y="0"/>
          <wp:positionH relativeFrom="page">
            <wp:align>left</wp:align>
          </wp:positionH>
          <wp:positionV relativeFrom="page">
            <wp:align>top</wp:align>
          </wp:positionV>
          <wp:extent cx="7560000" cy="118800"/>
          <wp:effectExtent l="0" t="0" r="3175"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7AF5" w14:textId="77777777" w:rsidR="00EB5E4A" w:rsidRDefault="00EB5E4A">
    <w:pPr>
      <w:pStyle w:val="Header"/>
    </w:pPr>
    <w:r>
      <w:rPr>
        <w:noProof/>
        <w:sz w:val="20"/>
        <w:szCs w:val="20"/>
        <w:lang w:eastAsia="en-AU"/>
      </w:rPr>
      <w:drawing>
        <wp:anchor distT="0" distB="0" distL="114300" distR="114300" simplePos="0" relativeHeight="251658244" behindDoc="0" locked="0" layoutInCell="1" allowOverlap="1" wp14:anchorId="2EB61FBD" wp14:editId="4023A5B4">
          <wp:simplePos x="0" y="0"/>
          <wp:positionH relativeFrom="page">
            <wp:align>left</wp:align>
          </wp:positionH>
          <wp:positionV relativeFrom="page">
            <wp:align>top</wp:align>
          </wp:positionV>
          <wp:extent cx="7560000" cy="118800"/>
          <wp:effectExtent l="0" t="0" r="3175" b="0"/>
          <wp:wrapNone/>
          <wp:docPr id="14343" name="Picture 14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3" name="Picture 143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AU"/>
      </w:rPr>
      <w:drawing>
        <wp:anchor distT="0" distB="0" distL="114300" distR="114300" simplePos="0" relativeHeight="251658245" behindDoc="0" locked="0" layoutInCell="1" allowOverlap="1" wp14:anchorId="589B11E1" wp14:editId="3298B851">
          <wp:simplePos x="0" y="0"/>
          <wp:positionH relativeFrom="margin">
            <wp:posOffset>-965200</wp:posOffset>
          </wp:positionH>
          <wp:positionV relativeFrom="page">
            <wp:posOffset>25400</wp:posOffset>
          </wp:positionV>
          <wp:extent cx="10692000" cy="118800"/>
          <wp:effectExtent l="0" t="0" r="0" b="0"/>
          <wp:wrapNone/>
          <wp:docPr id="14344" name="Picture 14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4" name="Picture 1434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AB6E3" w14:textId="77777777" w:rsidR="00EB5E4A" w:rsidRDefault="00EB5E4A">
    <w:pPr>
      <w:pStyle w:val="Header"/>
    </w:pPr>
    <w:r>
      <w:rPr>
        <w:noProof/>
        <w:sz w:val="20"/>
        <w:szCs w:val="20"/>
        <w:lang w:eastAsia="en-AU"/>
      </w:rPr>
      <w:drawing>
        <wp:anchor distT="0" distB="0" distL="114300" distR="114300" simplePos="0" relativeHeight="251658246" behindDoc="0" locked="0" layoutInCell="1" allowOverlap="1" wp14:anchorId="41EF71C0" wp14:editId="27E3D1AC">
          <wp:simplePos x="0" y="0"/>
          <wp:positionH relativeFrom="margin">
            <wp:posOffset>-964237</wp:posOffset>
          </wp:positionH>
          <wp:positionV relativeFrom="page">
            <wp:align>top</wp:align>
          </wp:positionV>
          <wp:extent cx="10692000" cy="118800"/>
          <wp:effectExtent l="0" t="0" r="0" b="0"/>
          <wp:wrapNone/>
          <wp:docPr id="14345" name="Picture 14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5" name="Picture 1434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BA17" w14:textId="77777777" w:rsidR="00EB5E4A" w:rsidRDefault="00EB5E4A">
    <w:pPr>
      <w:pStyle w:val="Header"/>
    </w:pPr>
    <w:r>
      <w:rPr>
        <w:noProof/>
        <w:sz w:val="20"/>
        <w:szCs w:val="20"/>
        <w:lang w:eastAsia="en-AU"/>
      </w:rPr>
      <w:drawing>
        <wp:anchor distT="0" distB="0" distL="114300" distR="114300" simplePos="0" relativeHeight="251658247" behindDoc="0" locked="0" layoutInCell="1" allowOverlap="1" wp14:anchorId="300E2D5D" wp14:editId="69EF6995">
          <wp:simplePos x="0" y="0"/>
          <wp:positionH relativeFrom="page">
            <wp:align>left</wp:align>
          </wp:positionH>
          <wp:positionV relativeFrom="page">
            <wp:align>top</wp:align>
          </wp:positionV>
          <wp:extent cx="7560000" cy="118800"/>
          <wp:effectExtent l="0" t="0" r="3175" b="0"/>
          <wp:wrapNone/>
          <wp:docPr id="14347" name="Picture 14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7" name="Picture 1434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AU"/>
      </w:rPr>
      <w:drawing>
        <wp:anchor distT="0" distB="0" distL="114300" distR="114300" simplePos="0" relativeHeight="251658248" behindDoc="0" locked="0" layoutInCell="1" allowOverlap="1" wp14:anchorId="30A6219A" wp14:editId="20B25884">
          <wp:simplePos x="0" y="0"/>
          <wp:positionH relativeFrom="margin">
            <wp:posOffset>-965200</wp:posOffset>
          </wp:positionH>
          <wp:positionV relativeFrom="page">
            <wp:posOffset>25400</wp:posOffset>
          </wp:positionV>
          <wp:extent cx="10692000" cy="118800"/>
          <wp:effectExtent l="0" t="0" r="0" b="0"/>
          <wp:wrapNone/>
          <wp:docPr id="14348" name="Picture 14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8" name="Picture 1434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5084" w14:textId="77777777" w:rsidR="00EB5E4A" w:rsidRDefault="00EB5E4A">
    <w:pPr>
      <w:pStyle w:val="Header"/>
    </w:pPr>
    <w:r w:rsidRPr="007F3F81">
      <w:rPr>
        <w:noProof/>
        <w:lang w:eastAsia="en-AU"/>
      </w:rPr>
      <w:drawing>
        <wp:anchor distT="0" distB="0" distL="114300" distR="114300" simplePos="0" relativeHeight="251658251" behindDoc="0" locked="0" layoutInCell="1" allowOverlap="1" wp14:anchorId="007C7DE6" wp14:editId="74FA7C31">
          <wp:simplePos x="0" y="0"/>
          <wp:positionH relativeFrom="page">
            <wp:align>center</wp:align>
          </wp:positionH>
          <wp:positionV relativeFrom="page">
            <wp:align>top</wp:align>
          </wp:positionV>
          <wp:extent cx="10699200" cy="1152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FD44" w14:textId="77777777" w:rsidR="00EB5E4A" w:rsidRDefault="00EB5E4A" w:rsidP="009C08CE">
    <w:pPr>
      <w:pStyle w:val="Header"/>
      <w:tabs>
        <w:tab w:val="clear" w:pos="4513"/>
        <w:tab w:val="clear" w:pos="9026"/>
      </w:tabs>
    </w:pPr>
    <w:r w:rsidRPr="009C08CE">
      <w:rPr>
        <w:noProof/>
        <w:lang w:eastAsia="en-AU"/>
      </w:rPr>
      <w:drawing>
        <wp:anchor distT="0" distB="0" distL="114300" distR="114300" simplePos="0" relativeHeight="251658252" behindDoc="1" locked="0" layoutInCell="1" allowOverlap="1" wp14:anchorId="089CA874" wp14:editId="487B6580">
          <wp:simplePos x="0" y="0"/>
          <wp:positionH relativeFrom="page">
            <wp:align>center</wp:align>
          </wp:positionH>
          <wp:positionV relativeFrom="page">
            <wp:align>top</wp:align>
          </wp:positionV>
          <wp:extent cx="10908000" cy="115200"/>
          <wp:effectExtent l="0" t="0" r="0" b="0"/>
          <wp:wrapNone/>
          <wp:docPr id="36"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705F1" w14:textId="59E0ACA6" w:rsidR="00EB5E4A" w:rsidRDefault="00EB5E4A" w:rsidP="004D306A">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BE7ED" w14:textId="77777777" w:rsidR="00DF46CC" w:rsidRDefault="00DF46CC">
    <w:r>
      <w:rPr>
        <w:noProof/>
        <w:sz w:val="20"/>
        <w:szCs w:val="20"/>
        <w:lang w:eastAsia="en-AU"/>
      </w:rPr>
      <w:drawing>
        <wp:anchor distT="0" distB="0" distL="114300" distR="114300" simplePos="0" relativeHeight="251660305" behindDoc="0" locked="0" layoutInCell="1" allowOverlap="1" wp14:anchorId="0AC7A5C4" wp14:editId="282F0388">
          <wp:simplePos x="0" y="0"/>
          <wp:positionH relativeFrom="page">
            <wp:posOffset>0</wp:posOffset>
          </wp:positionH>
          <wp:positionV relativeFrom="page">
            <wp:posOffset>0</wp:posOffset>
          </wp:positionV>
          <wp:extent cx="7562850" cy="11430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5CDB" w14:textId="5D7D8B88" w:rsidR="00EB5E4A" w:rsidRDefault="00EB5E4A" w:rsidP="005C79B3">
    <w:pPr>
      <w:pStyle w:val="Header"/>
      <w:tabs>
        <w:tab w:val="clear" w:pos="4513"/>
        <w:tab w:val="clear" w:pos="9026"/>
      </w:tabs>
    </w:pPr>
    <w:r>
      <w:rPr>
        <w:noProof/>
        <w:sz w:val="20"/>
        <w:szCs w:val="20"/>
        <w:lang w:eastAsia="en-AU"/>
      </w:rPr>
      <w:drawing>
        <wp:anchor distT="0" distB="0" distL="114300" distR="114300" simplePos="0" relativeHeight="251658254" behindDoc="0" locked="0" layoutInCell="1" allowOverlap="1" wp14:anchorId="78C78E3E" wp14:editId="12C4341A">
          <wp:simplePos x="0" y="0"/>
          <wp:positionH relativeFrom="page">
            <wp:align>left</wp:align>
          </wp:positionH>
          <wp:positionV relativeFrom="page">
            <wp:align>top</wp:align>
          </wp:positionV>
          <wp:extent cx="7560000" cy="118800"/>
          <wp:effectExtent l="0" t="0" r="3175" b="0"/>
          <wp:wrapNone/>
          <wp:docPr id="14371" name="Picture 14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1" name="Picture 1437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p w14:paraId="0BC007AB" w14:textId="77777777" w:rsidR="00EB5E4A" w:rsidRDefault="00EB5E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1FBD" w14:textId="77777777" w:rsidR="00EB5E4A" w:rsidRDefault="00EB5E4A" w:rsidP="00B25970">
    <w:pPr>
      <w:pStyle w:val="Header"/>
      <w:tabs>
        <w:tab w:val="clear" w:pos="4513"/>
        <w:tab w:val="clear" w:pos="9026"/>
      </w:tabs>
    </w:pPr>
    <w:r>
      <w:rPr>
        <w:noProof/>
        <w:sz w:val="20"/>
        <w:szCs w:val="20"/>
        <w:lang w:eastAsia="en-AU"/>
      </w:rPr>
      <w:drawing>
        <wp:anchor distT="0" distB="0" distL="114300" distR="114300" simplePos="0" relativeHeight="251658255" behindDoc="0" locked="0" layoutInCell="1" allowOverlap="1" wp14:anchorId="4899ADD1" wp14:editId="0C0F85D7">
          <wp:simplePos x="0" y="0"/>
          <wp:positionH relativeFrom="page">
            <wp:align>left</wp:align>
          </wp:positionH>
          <wp:positionV relativeFrom="page">
            <wp:align>top</wp:align>
          </wp:positionV>
          <wp:extent cx="7560000" cy="118800"/>
          <wp:effectExtent l="0" t="0" r="3175" b="0"/>
          <wp:wrapNone/>
          <wp:docPr id="14372" name="Picture 14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2" name="Picture 1437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C2325" w14:textId="72ABA462" w:rsidR="00EB5E4A" w:rsidRDefault="00EB5E4A" w:rsidP="00B25970">
    <w:pPr>
      <w:pStyle w:val="Header"/>
      <w:tabs>
        <w:tab w:val="clear" w:pos="4513"/>
        <w:tab w:val="clear" w:pos="9026"/>
      </w:tabs>
    </w:pPr>
    <w:r>
      <w:rPr>
        <w:noProof/>
        <w:sz w:val="20"/>
        <w:szCs w:val="20"/>
        <w:lang w:eastAsia="en-AU"/>
      </w:rPr>
      <w:drawing>
        <wp:anchor distT="0" distB="0" distL="114300" distR="114300" simplePos="0" relativeHeight="251658241" behindDoc="0" locked="0" layoutInCell="1" allowOverlap="1" wp14:anchorId="4899ADD1" wp14:editId="3DCE327F">
          <wp:simplePos x="0" y="0"/>
          <wp:positionH relativeFrom="page">
            <wp:align>left</wp:align>
          </wp:positionH>
          <wp:positionV relativeFrom="page">
            <wp:align>top</wp:align>
          </wp:positionV>
          <wp:extent cx="7560000" cy="118800"/>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76A60" w14:textId="77777777" w:rsidR="00EB5E4A" w:rsidRDefault="00EB5E4A">
    <w:pPr>
      <w:pStyle w:val="Header"/>
    </w:pPr>
    <w:r>
      <w:rPr>
        <w:noProof/>
        <w:sz w:val="20"/>
        <w:szCs w:val="20"/>
        <w:lang w:eastAsia="en-AU"/>
      </w:rPr>
      <w:drawing>
        <wp:anchor distT="0" distB="0" distL="114300" distR="114300" simplePos="0" relativeHeight="251658256" behindDoc="0" locked="0" layoutInCell="1" allowOverlap="1" wp14:anchorId="3058AA7C" wp14:editId="7218FBE2">
          <wp:simplePos x="0" y="0"/>
          <wp:positionH relativeFrom="page">
            <wp:align>left</wp:align>
          </wp:positionH>
          <wp:positionV relativeFrom="page">
            <wp:align>top</wp:align>
          </wp:positionV>
          <wp:extent cx="7560000" cy="118800"/>
          <wp:effectExtent l="0" t="0" r="317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88EEE" w14:textId="77777777" w:rsidR="00EB5E4A" w:rsidRPr="00DC340E" w:rsidRDefault="00EB5E4A" w:rsidP="007A67A3">
    <w:pPr>
      <w:pStyle w:val="Header"/>
      <w:tabs>
        <w:tab w:val="clear" w:pos="4513"/>
        <w:tab w:val="clear" w:pos="9026"/>
      </w:tabs>
      <w:spacing w:line="240" w:lineRule="auto"/>
      <w:rPr>
        <w:sz w:val="2"/>
        <w:szCs w:val="2"/>
      </w:rPr>
    </w:pPr>
    <w:r>
      <w:rPr>
        <w:noProof/>
        <w:sz w:val="20"/>
        <w:szCs w:val="20"/>
        <w:lang w:eastAsia="en-AU"/>
      </w:rPr>
      <w:drawing>
        <wp:anchor distT="0" distB="0" distL="114300" distR="114300" simplePos="0" relativeHeight="251658249" behindDoc="0" locked="0" layoutInCell="1" allowOverlap="1" wp14:anchorId="02675A98" wp14:editId="43840F2E">
          <wp:simplePos x="0" y="0"/>
          <wp:positionH relativeFrom="page">
            <wp:align>right</wp:align>
          </wp:positionH>
          <wp:positionV relativeFrom="page">
            <wp:align>top</wp:align>
          </wp:positionV>
          <wp:extent cx="10694504" cy="118745"/>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4504" cy="118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AE55" w14:textId="6557F053" w:rsidR="00EB5E4A" w:rsidRDefault="00EB5E4A" w:rsidP="009C08CE">
    <w:pPr>
      <w:pStyle w:val="Header"/>
      <w:tabs>
        <w:tab w:val="clear" w:pos="4513"/>
        <w:tab w:val="clear" w:pos="9026"/>
      </w:tabs>
    </w:pPr>
    <w:r>
      <w:rPr>
        <w:noProof/>
        <w:sz w:val="20"/>
        <w:szCs w:val="20"/>
        <w:lang w:eastAsia="en-AU"/>
      </w:rPr>
      <w:drawing>
        <wp:anchor distT="0" distB="0" distL="114300" distR="114300" simplePos="0" relativeHeight="251658243" behindDoc="0" locked="0" layoutInCell="1" allowOverlap="1" wp14:anchorId="794EE4C1" wp14:editId="10229878">
          <wp:simplePos x="0" y="0"/>
          <wp:positionH relativeFrom="page">
            <wp:posOffset>209550</wp:posOffset>
          </wp:positionH>
          <wp:positionV relativeFrom="page">
            <wp:posOffset>-38100</wp:posOffset>
          </wp:positionV>
          <wp:extent cx="10483850" cy="182245"/>
          <wp:effectExtent l="0" t="0" r="0" b="8255"/>
          <wp:wrapNone/>
          <wp:docPr id="14342" name="Picture 1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2" name="Picture 1434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483850" cy="18224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AU"/>
      </w:rPr>
      <w:drawing>
        <wp:anchor distT="0" distB="0" distL="114300" distR="114300" simplePos="0" relativeHeight="251658242" behindDoc="0" locked="0" layoutInCell="1" allowOverlap="1" wp14:anchorId="1970D21B" wp14:editId="1A3FF65C">
          <wp:simplePos x="0" y="0"/>
          <wp:positionH relativeFrom="page">
            <wp:align>left</wp:align>
          </wp:positionH>
          <wp:positionV relativeFrom="page">
            <wp:align>top</wp:align>
          </wp:positionV>
          <wp:extent cx="7560000" cy="118800"/>
          <wp:effectExtent l="0" t="0" r="3175" b="0"/>
          <wp:wrapNone/>
          <wp:docPr id="14341" name="Picture 14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1" name="Picture 1434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15F3"/>
    <w:multiLevelType w:val="multilevel"/>
    <w:tmpl w:val="9CD6342C"/>
    <w:numStyleLink w:val="TableexpListnumberedmultilevel"/>
  </w:abstractNum>
  <w:abstractNum w:abstractNumId="1" w15:restartNumberingAfterBreak="0">
    <w:nsid w:val="04CA79C2"/>
    <w:multiLevelType w:val="hybridMultilevel"/>
    <w:tmpl w:val="C74E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230ABC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5905FFB"/>
    <w:multiLevelType w:val="multilevel"/>
    <w:tmpl w:val="F2D8D162"/>
    <w:numStyleLink w:val="Listnumberedmultilevel"/>
  </w:abstractNum>
  <w:abstractNum w:abstractNumId="7"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C825126"/>
    <w:multiLevelType w:val="hybridMultilevel"/>
    <w:tmpl w:val="BE7663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D1D239C"/>
    <w:multiLevelType w:val="hybridMultilevel"/>
    <w:tmpl w:val="8D3C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1239E"/>
    <w:multiLevelType w:val="hybridMultilevel"/>
    <w:tmpl w:val="15FA5608"/>
    <w:lvl w:ilvl="0" w:tplc="0C09000F">
      <w:start w:val="1"/>
      <w:numFmt w:val="decimal"/>
      <w:lvlText w:val="%1."/>
      <w:lvlJc w:val="left"/>
      <w:pPr>
        <w:ind w:left="360" w:hanging="360"/>
      </w:pPr>
      <w:rPr>
        <w:rFonts w:hint="default"/>
      </w:rPr>
    </w:lvl>
    <w:lvl w:ilvl="1" w:tplc="BA549986">
      <w:numFmt w:val="bullet"/>
      <w:lvlText w:val="•"/>
      <w:lvlJc w:val="left"/>
      <w:pPr>
        <w:ind w:left="1080" w:hanging="360"/>
      </w:pPr>
      <w:rPr>
        <w:rFonts w:ascii="Segoe UI" w:eastAsia="Times New Roman"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8726A7B"/>
    <w:multiLevelType w:val="hybridMultilevel"/>
    <w:tmpl w:val="629A0C9A"/>
    <w:lvl w:ilvl="0" w:tplc="0C09000F">
      <w:start w:val="1"/>
      <w:numFmt w:val="decimal"/>
      <w:lvlText w:val="%1."/>
      <w:lvlJc w:val="left"/>
      <w:pPr>
        <w:ind w:left="360" w:hanging="360"/>
      </w:pPr>
      <w:rPr>
        <w:rFonts w:hint="default"/>
      </w:rPr>
    </w:lvl>
    <w:lvl w:ilvl="1" w:tplc="BA549986">
      <w:numFmt w:val="bullet"/>
      <w:lvlText w:val="•"/>
      <w:lvlJc w:val="left"/>
      <w:pPr>
        <w:ind w:left="1080" w:hanging="360"/>
      </w:pPr>
      <w:rPr>
        <w:rFonts w:ascii="Segoe UI" w:eastAsia="Times New Roman"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076A7E"/>
    <w:multiLevelType w:val="hybridMultilevel"/>
    <w:tmpl w:val="6C3A8A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1E7DD3"/>
    <w:multiLevelType w:val="hybridMultilevel"/>
    <w:tmpl w:val="CAD631CC"/>
    <w:lvl w:ilvl="0" w:tplc="0C09000F">
      <w:start w:val="1"/>
      <w:numFmt w:val="decimal"/>
      <w:lvlText w:val="%1."/>
      <w:lvlJc w:val="left"/>
      <w:pPr>
        <w:ind w:left="360" w:hanging="360"/>
      </w:pPr>
      <w:rPr>
        <w:rFonts w:hint="default"/>
      </w:rPr>
    </w:lvl>
    <w:lvl w:ilvl="1" w:tplc="BA549986">
      <w:numFmt w:val="bullet"/>
      <w:lvlText w:val="•"/>
      <w:lvlJc w:val="left"/>
      <w:pPr>
        <w:ind w:left="1080" w:hanging="360"/>
      </w:pPr>
      <w:rPr>
        <w:rFonts w:ascii="Segoe UI" w:eastAsia="Times New Roman"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3AF03B87"/>
    <w:multiLevelType w:val="multilevel"/>
    <w:tmpl w:val="E49A96AC"/>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17"/>
        <w:szCs w:val="17"/>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3C9E34AF"/>
    <w:multiLevelType w:val="hybridMultilevel"/>
    <w:tmpl w:val="87ECCE44"/>
    <w:lvl w:ilvl="0" w:tplc="BA549986">
      <w:numFmt w:val="bullet"/>
      <w:lvlText w:val="•"/>
      <w:lvlJc w:val="left"/>
      <w:pPr>
        <w:ind w:left="720" w:hanging="360"/>
      </w:pPr>
      <w:rPr>
        <w:rFonts w:ascii="Segoe UI" w:eastAsia="Times New Roman" w:hAnsi="Segoe UI" w:cs="Segoe UI" w:hint="default"/>
      </w:rPr>
    </w:lvl>
    <w:lvl w:ilvl="1" w:tplc="BA549986">
      <w:numFmt w:val="bullet"/>
      <w:lvlText w:val="•"/>
      <w:lvlJc w:val="left"/>
      <w:pPr>
        <w:ind w:left="1440" w:hanging="360"/>
      </w:pPr>
      <w:rPr>
        <w:rFonts w:ascii="Segoe UI" w:eastAsia="Times New Roman" w:hAnsi="Segoe UI" w:cs="Segoe U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676C4B"/>
    <w:multiLevelType w:val="hybridMultilevel"/>
    <w:tmpl w:val="AA1458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745294"/>
    <w:multiLevelType w:val="hybridMultilevel"/>
    <w:tmpl w:val="1674E154"/>
    <w:lvl w:ilvl="0" w:tplc="DAA0CBAA">
      <w:start w:val="1"/>
      <w:numFmt w:val="decimal"/>
      <w:lvlText w:val="%1."/>
      <w:lvlJc w:val="left"/>
      <w:pPr>
        <w:ind w:left="360" w:hanging="360"/>
      </w:pPr>
      <w:rPr>
        <w:rFonts w:hint="default"/>
        <w:sz w:val="17"/>
        <w:szCs w:val="1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7A111A"/>
    <w:multiLevelType w:val="hybridMultilevel"/>
    <w:tmpl w:val="D5026C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A751DBA"/>
    <w:multiLevelType w:val="hybridMultilevel"/>
    <w:tmpl w:val="E7148B6A"/>
    <w:lvl w:ilvl="0" w:tplc="745A0512">
      <w:numFmt w:val="bullet"/>
      <w:lvlText w:val="-"/>
      <w:lvlJc w:val="left"/>
      <w:pPr>
        <w:ind w:left="720" w:hanging="360"/>
      </w:pPr>
      <w:rPr>
        <w:rFonts w:ascii="Segoe UI" w:eastAsia="Calibr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AB30710"/>
    <w:multiLevelType w:val="hybridMultilevel"/>
    <w:tmpl w:val="7DA0F9D0"/>
    <w:lvl w:ilvl="0" w:tplc="50924516">
      <w:start w:val="1"/>
      <w:numFmt w:val="decimal"/>
      <w:pStyle w:val="longformcalloutnumber"/>
      <w:lvlText w:val="%1."/>
      <w:lvlJc w:val="left"/>
      <w:pPr>
        <w:ind w:left="360" w:hanging="360"/>
      </w:pPr>
      <w:rPr>
        <w:rFonts w:hint="default"/>
        <w:b w:val="0"/>
        <w:color w:val="00264D" w:themeColor="background2"/>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E86DE2"/>
    <w:multiLevelType w:val="hybridMultilevel"/>
    <w:tmpl w:val="93AEE0B2"/>
    <w:lvl w:ilvl="0" w:tplc="0C09000F">
      <w:start w:val="1"/>
      <w:numFmt w:val="decimal"/>
      <w:lvlText w:val="%1."/>
      <w:lvlJc w:val="left"/>
      <w:pPr>
        <w:ind w:left="360" w:hanging="360"/>
      </w:pPr>
      <w:rPr>
        <w:rFonts w:hint="default"/>
      </w:rPr>
    </w:lvl>
    <w:lvl w:ilvl="1" w:tplc="BA549986">
      <w:numFmt w:val="bullet"/>
      <w:lvlText w:val="•"/>
      <w:lvlJc w:val="left"/>
      <w:pPr>
        <w:ind w:left="1080" w:hanging="360"/>
      </w:pPr>
      <w:rPr>
        <w:rFonts w:ascii="Segoe UI" w:eastAsia="Times New Roman"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38A1C86"/>
    <w:multiLevelType w:val="hybridMultilevel"/>
    <w:tmpl w:val="F2FC6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5CC37CA"/>
    <w:multiLevelType w:val="hybridMultilevel"/>
    <w:tmpl w:val="10FAA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62019B7"/>
    <w:multiLevelType w:val="multilevel"/>
    <w:tmpl w:val="102819CC"/>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17"/>
        <w:szCs w:val="17"/>
      </w:rPr>
    </w:lvl>
    <w:lvl w:ilvl="2">
      <w:start w:val="1"/>
      <w:numFmt w:val="lowerRoman"/>
      <w:lvlText w:val="%3."/>
      <w:lvlJc w:val="left"/>
      <w:pPr>
        <w:ind w:left="1021" w:hanging="341"/>
      </w:pPr>
      <w:rPr>
        <w:rFonts w:ascii="Segoe UI" w:hAnsi="Segoe UI" w:hint="default"/>
        <w:sz w:val="17"/>
        <w:szCs w:val="17"/>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0" w15:restartNumberingAfterBreak="0">
    <w:nsid w:val="694002BA"/>
    <w:multiLevelType w:val="hybridMultilevel"/>
    <w:tmpl w:val="6C14B71A"/>
    <w:lvl w:ilvl="0" w:tplc="00946F3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D7A2887"/>
    <w:multiLevelType w:val="hybridMultilevel"/>
    <w:tmpl w:val="140668D4"/>
    <w:lvl w:ilvl="0" w:tplc="0C09000F">
      <w:start w:val="1"/>
      <w:numFmt w:val="decimal"/>
      <w:lvlText w:val="%1."/>
      <w:lvlJc w:val="left"/>
      <w:pPr>
        <w:ind w:left="360" w:hanging="360"/>
      </w:pPr>
      <w:rPr>
        <w:rFonts w:hint="default"/>
      </w:rPr>
    </w:lvl>
    <w:lvl w:ilvl="1" w:tplc="BA549986">
      <w:numFmt w:val="bullet"/>
      <w:lvlText w:val="•"/>
      <w:lvlJc w:val="left"/>
      <w:pPr>
        <w:ind w:left="1080" w:hanging="360"/>
      </w:pPr>
      <w:rPr>
        <w:rFonts w:ascii="Segoe UI" w:eastAsia="Times New Roman" w:hAnsi="Segoe UI" w:cs="Segoe U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E5F0B65"/>
    <w:multiLevelType w:val="multilevel"/>
    <w:tmpl w:val="A8C4EB84"/>
    <w:lvl w:ilvl="0">
      <w:start w:val="1"/>
      <w:numFmt w:val="decimal"/>
      <w:lvlText w:val="%1."/>
      <w:lvlJc w:val="left"/>
      <w:pPr>
        <w:ind w:left="340" w:hanging="340"/>
      </w:pPr>
      <w:rPr>
        <w:rFonts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4792377"/>
    <w:multiLevelType w:val="hybridMultilevel"/>
    <w:tmpl w:val="76FAD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6AB3F77"/>
    <w:multiLevelType w:val="multilevel"/>
    <w:tmpl w:val="7D8C0BE0"/>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17"/>
        <w:szCs w:val="17"/>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6" w15:restartNumberingAfterBreak="0">
    <w:nsid w:val="79B7218E"/>
    <w:multiLevelType w:val="multilevel"/>
    <w:tmpl w:val="114C1886"/>
    <w:lvl w:ilvl="0">
      <w:start w:val="1"/>
      <w:numFmt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B94BD9"/>
    <w:multiLevelType w:val="hybridMultilevel"/>
    <w:tmpl w:val="FE2A4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855D7F"/>
    <w:multiLevelType w:val="hybridMultilevel"/>
    <w:tmpl w:val="17C05E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3"/>
  </w:num>
  <w:num w:numId="2">
    <w:abstractNumId w:val="3"/>
  </w:num>
  <w:num w:numId="3">
    <w:abstractNumId w:val="14"/>
  </w:num>
  <w:num w:numId="4">
    <w:abstractNumId w:val="17"/>
  </w:num>
  <w:num w:numId="5">
    <w:abstractNumId w:val="22"/>
  </w:num>
  <w:num w:numId="6">
    <w:abstractNumId w:val="24"/>
  </w:num>
  <w:num w:numId="7">
    <w:abstractNumId w:val="26"/>
  </w:num>
  <w:num w:numId="8">
    <w:abstractNumId w:val="2"/>
  </w:num>
  <w:num w:numId="9">
    <w:abstractNumId w:val="4"/>
  </w:num>
  <w:num w:numId="10">
    <w:abstractNumId w:val="0"/>
  </w:num>
  <w:num w:numId="11">
    <w:abstractNumId w:val="28"/>
  </w:num>
  <w:num w:numId="12">
    <w:abstractNumId w:val="7"/>
  </w:num>
  <w:num w:numId="13">
    <w:abstractNumId w:val="1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9"/>
  </w:num>
  <w:num w:numId="17">
    <w:abstractNumId w:val="15"/>
  </w:num>
  <w:num w:numId="18">
    <w:abstractNumId w:val="35"/>
  </w:num>
  <w:num w:numId="19">
    <w:abstractNumId w:val="6"/>
  </w:num>
  <w:num w:numId="20">
    <w:abstractNumId w:val="38"/>
  </w:num>
  <w:num w:numId="21">
    <w:abstractNumId w:val="23"/>
  </w:num>
  <w:num w:numId="22">
    <w:abstractNumId w:val="13"/>
  </w:num>
  <w:num w:numId="23">
    <w:abstractNumId w:val="31"/>
  </w:num>
  <w:num w:numId="24">
    <w:abstractNumId w:val="10"/>
  </w:num>
  <w:num w:numId="25">
    <w:abstractNumId w:val="12"/>
  </w:num>
  <w:num w:numId="26">
    <w:abstractNumId w:val="20"/>
  </w:num>
  <w:num w:numId="27">
    <w:abstractNumId w:val="30"/>
  </w:num>
  <w:num w:numId="28">
    <w:abstractNumId w:val="36"/>
  </w:num>
  <w:num w:numId="29">
    <w:abstractNumId w:val="11"/>
  </w:num>
  <w:num w:numId="30">
    <w:abstractNumId w:val="27"/>
  </w:num>
  <w:num w:numId="31">
    <w:abstractNumId w:val="32"/>
  </w:num>
  <w:num w:numId="32">
    <w:abstractNumId w:val="8"/>
  </w:num>
  <w:num w:numId="33">
    <w:abstractNumId w:val="21"/>
  </w:num>
  <w:num w:numId="34">
    <w:abstractNumId w:val="34"/>
  </w:num>
  <w:num w:numId="35">
    <w:abstractNumId w:val="36"/>
  </w:num>
  <w:num w:numId="36">
    <w:abstractNumId w:val="36"/>
  </w:num>
  <w:num w:numId="37">
    <w:abstractNumId w:val="1"/>
  </w:num>
  <w:num w:numId="38">
    <w:abstractNumId w:val="25"/>
  </w:num>
  <w:num w:numId="39">
    <w:abstractNumId w:val="37"/>
  </w:num>
  <w:num w:numId="40">
    <w:abstractNumId w:val="5"/>
  </w:num>
  <w:num w:numId="41">
    <w:abstractNumId w:val="18"/>
  </w:num>
  <w:num w:numId="4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81"/>
  <w:drawingGridVerticalSpacing w:val="181"/>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F99"/>
    <w:rsid w:val="0000022F"/>
    <w:rsid w:val="0000050E"/>
    <w:rsid w:val="00000757"/>
    <w:rsid w:val="000008F1"/>
    <w:rsid w:val="00000A52"/>
    <w:rsid w:val="00000A87"/>
    <w:rsid w:val="00000A9B"/>
    <w:rsid w:val="00000EAA"/>
    <w:rsid w:val="00001050"/>
    <w:rsid w:val="000016CC"/>
    <w:rsid w:val="00001A24"/>
    <w:rsid w:val="00002034"/>
    <w:rsid w:val="00002412"/>
    <w:rsid w:val="0000272B"/>
    <w:rsid w:val="00002833"/>
    <w:rsid w:val="00002C4F"/>
    <w:rsid w:val="00002D3C"/>
    <w:rsid w:val="00002E06"/>
    <w:rsid w:val="00002E90"/>
    <w:rsid w:val="00003199"/>
    <w:rsid w:val="0000335C"/>
    <w:rsid w:val="00003747"/>
    <w:rsid w:val="00003ABC"/>
    <w:rsid w:val="00003C0F"/>
    <w:rsid w:val="00004470"/>
    <w:rsid w:val="0000474C"/>
    <w:rsid w:val="00004E44"/>
    <w:rsid w:val="0000543C"/>
    <w:rsid w:val="0000573D"/>
    <w:rsid w:val="000057F5"/>
    <w:rsid w:val="00005C7A"/>
    <w:rsid w:val="00005FA3"/>
    <w:rsid w:val="00006305"/>
    <w:rsid w:val="0000633F"/>
    <w:rsid w:val="00006553"/>
    <w:rsid w:val="000068F1"/>
    <w:rsid w:val="00006C3D"/>
    <w:rsid w:val="00006DB3"/>
    <w:rsid w:val="00006E2F"/>
    <w:rsid w:val="00006EE9"/>
    <w:rsid w:val="00006EF1"/>
    <w:rsid w:val="00006F55"/>
    <w:rsid w:val="00006FAC"/>
    <w:rsid w:val="00006FE9"/>
    <w:rsid w:val="00007610"/>
    <w:rsid w:val="00007A98"/>
    <w:rsid w:val="00007B0D"/>
    <w:rsid w:val="00007B3C"/>
    <w:rsid w:val="00007E49"/>
    <w:rsid w:val="0001014D"/>
    <w:rsid w:val="00010374"/>
    <w:rsid w:val="0001069E"/>
    <w:rsid w:val="000107B1"/>
    <w:rsid w:val="00010E83"/>
    <w:rsid w:val="0001104A"/>
    <w:rsid w:val="000113DF"/>
    <w:rsid w:val="000114DA"/>
    <w:rsid w:val="00011B77"/>
    <w:rsid w:val="00011DFA"/>
    <w:rsid w:val="00011E3C"/>
    <w:rsid w:val="00011E4F"/>
    <w:rsid w:val="000121AE"/>
    <w:rsid w:val="000124ED"/>
    <w:rsid w:val="000128A3"/>
    <w:rsid w:val="000129F6"/>
    <w:rsid w:val="00012DF7"/>
    <w:rsid w:val="00012F79"/>
    <w:rsid w:val="00013270"/>
    <w:rsid w:val="000135F1"/>
    <w:rsid w:val="0001392A"/>
    <w:rsid w:val="00013A84"/>
    <w:rsid w:val="00013F95"/>
    <w:rsid w:val="00014154"/>
    <w:rsid w:val="0001448C"/>
    <w:rsid w:val="00014790"/>
    <w:rsid w:val="00014864"/>
    <w:rsid w:val="0001497D"/>
    <w:rsid w:val="00014E84"/>
    <w:rsid w:val="00015D7C"/>
    <w:rsid w:val="00015D85"/>
    <w:rsid w:val="00016164"/>
    <w:rsid w:val="000163D5"/>
    <w:rsid w:val="0001640E"/>
    <w:rsid w:val="00016738"/>
    <w:rsid w:val="00016B80"/>
    <w:rsid w:val="00016F5D"/>
    <w:rsid w:val="00017558"/>
    <w:rsid w:val="00017569"/>
    <w:rsid w:val="00017689"/>
    <w:rsid w:val="00017838"/>
    <w:rsid w:val="00017CCB"/>
    <w:rsid w:val="00017D29"/>
    <w:rsid w:val="00017D30"/>
    <w:rsid w:val="00017E9E"/>
    <w:rsid w:val="0002011A"/>
    <w:rsid w:val="000204E5"/>
    <w:rsid w:val="00020548"/>
    <w:rsid w:val="000206A6"/>
    <w:rsid w:val="000207F1"/>
    <w:rsid w:val="00020AC0"/>
    <w:rsid w:val="00020C8E"/>
    <w:rsid w:val="00020D63"/>
    <w:rsid w:val="00020F74"/>
    <w:rsid w:val="0002100E"/>
    <w:rsid w:val="00021384"/>
    <w:rsid w:val="000215C0"/>
    <w:rsid w:val="0002178F"/>
    <w:rsid w:val="00021A6B"/>
    <w:rsid w:val="00021AF8"/>
    <w:rsid w:val="00021CDC"/>
    <w:rsid w:val="00021D01"/>
    <w:rsid w:val="00021E13"/>
    <w:rsid w:val="00021E93"/>
    <w:rsid w:val="00021F62"/>
    <w:rsid w:val="00022188"/>
    <w:rsid w:val="0002237B"/>
    <w:rsid w:val="000227A6"/>
    <w:rsid w:val="00022B2C"/>
    <w:rsid w:val="00022CF7"/>
    <w:rsid w:val="00023109"/>
    <w:rsid w:val="00023155"/>
    <w:rsid w:val="000232D6"/>
    <w:rsid w:val="0002377F"/>
    <w:rsid w:val="00024180"/>
    <w:rsid w:val="00024276"/>
    <w:rsid w:val="000249B8"/>
    <w:rsid w:val="00024B18"/>
    <w:rsid w:val="00024C48"/>
    <w:rsid w:val="00024C53"/>
    <w:rsid w:val="00024CF7"/>
    <w:rsid w:val="000251A0"/>
    <w:rsid w:val="0002533B"/>
    <w:rsid w:val="000255AC"/>
    <w:rsid w:val="0002596B"/>
    <w:rsid w:val="00025B4E"/>
    <w:rsid w:val="00025C06"/>
    <w:rsid w:val="000261CA"/>
    <w:rsid w:val="000263AB"/>
    <w:rsid w:val="0002644E"/>
    <w:rsid w:val="0002669E"/>
    <w:rsid w:val="00026CB5"/>
    <w:rsid w:val="00026E6B"/>
    <w:rsid w:val="00026EA2"/>
    <w:rsid w:val="00026FF7"/>
    <w:rsid w:val="00027233"/>
    <w:rsid w:val="000273F5"/>
    <w:rsid w:val="00027429"/>
    <w:rsid w:val="0002756D"/>
    <w:rsid w:val="00027752"/>
    <w:rsid w:val="00027957"/>
    <w:rsid w:val="00027D41"/>
    <w:rsid w:val="00030139"/>
    <w:rsid w:val="000304DD"/>
    <w:rsid w:val="00030774"/>
    <w:rsid w:val="000309DC"/>
    <w:rsid w:val="00030C8F"/>
    <w:rsid w:val="00030D73"/>
    <w:rsid w:val="00030ED3"/>
    <w:rsid w:val="000318B9"/>
    <w:rsid w:val="000319F7"/>
    <w:rsid w:val="00031F28"/>
    <w:rsid w:val="0003247F"/>
    <w:rsid w:val="00032BAA"/>
    <w:rsid w:val="00032E27"/>
    <w:rsid w:val="0003308C"/>
    <w:rsid w:val="00033492"/>
    <w:rsid w:val="00033668"/>
    <w:rsid w:val="00033895"/>
    <w:rsid w:val="00033A02"/>
    <w:rsid w:val="00033C2D"/>
    <w:rsid w:val="00033D97"/>
    <w:rsid w:val="00034308"/>
    <w:rsid w:val="000346B4"/>
    <w:rsid w:val="000346DF"/>
    <w:rsid w:val="00034710"/>
    <w:rsid w:val="00034DC3"/>
    <w:rsid w:val="00034DCA"/>
    <w:rsid w:val="0003546C"/>
    <w:rsid w:val="000354C1"/>
    <w:rsid w:val="00035544"/>
    <w:rsid w:val="000356C3"/>
    <w:rsid w:val="00035949"/>
    <w:rsid w:val="00035A32"/>
    <w:rsid w:val="00036131"/>
    <w:rsid w:val="000362E7"/>
    <w:rsid w:val="000366DD"/>
    <w:rsid w:val="0003670C"/>
    <w:rsid w:val="0003682C"/>
    <w:rsid w:val="00036A17"/>
    <w:rsid w:val="00036AC9"/>
    <w:rsid w:val="00036CC2"/>
    <w:rsid w:val="00036E9D"/>
    <w:rsid w:val="0003714D"/>
    <w:rsid w:val="00037553"/>
    <w:rsid w:val="0003763F"/>
    <w:rsid w:val="00037708"/>
    <w:rsid w:val="000403AB"/>
    <w:rsid w:val="00040626"/>
    <w:rsid w:val="0004092D"/>
    <w:rsid w:val="00040DBB"/>
    <w:rsid w:val="00040FA8"/>
    <w:rsid w:val="0004172B"/>
    <w:rsid w:val="000419A2"/>
    <w:rsid w:val="00041B15"/>
    <w:rsid w:val="00041B32"/>
    <w:rsid w:val="00041E9C"/>
    <w:rsid w:val="00041F38"/>
    <w:rsid w:val="00042142"/>
    <w:rsid w:val="0004270B"/>
    <w:rsid w:val="000427DE"/>
    <w:rsid w:val="00042BA6"/>
    <w:rsid w:val="000433AB"/>
    <w:rsid w:val="00043794"/>
    <w:rsid w:val="000437CD"/>
    <w:rsid w:val="00043ECF"/>
    <w:rsid w:val="00044089"/>
    <w:rsid w:val="000440DF"/>
    <w:rsid w:val="000443D9"/>
    <w:rsid w:val="000446B9"/>
    <w:rsid w:val="00044755"/>
    <w:rsid w:val="000447F4"/>
    <w:rsid w:val="00044A73"/>
    <w:rsid w:val="00044F59"/>
    <w:rsid w:val="0004502A"/>
    <w:rsid w:val="000451C3"/>
    <w:rsid w:val="000452CA"/>
    <w:rsid w:val="000455AD"/>
    <w:rsid w:val="00045608"/>
    <w:rsid w:val="0004562E"/>
    <w:rsid w:val="0004568F"/>
    <w:rsid w:val="00045A5A"/>
    <w:rsid w:val="00045B7A"/>
    <w:rsid w:val="00045EAB"/>
    <w:rsid w:val="00045FB7"/>
    <w:rsid w:val="00046154"/>
    <w:rsid w:val="000465FE"/>
    <w:rsid w:val="000466F1"/>
    <w:rsid w:val="0004694E"/>
    <w:rsid w:val="00046DD0"/>
    <w:rsid w:val="00047143"/>
    <w:rsid w:val="00047358"/>
    <w:rsid w:val="000475CA"/>
    <w:rsid w:val="000477D5"/>
    <w:rsid w:val="00047A42"/>
    <w:rsid w:val="00047C2F"/>
    <w:rsid w:val="00047E80"/>
    <w:rsid w:val="00047EA7"/>
    <w:rsid w:val="000500B7"/>
    <w:rsid w:val="000505D1"/>
    <w:rsid w:val="000508E5"/>
    <w:rsid w:val="00050B2B"/>
    <w:rsid w:val="00050C6E"/>
    <w:rsid w:val="00050ECE"/>
    <w:rsid w:val="00050F73"/>
    <w:rsid w:val="00051043"/>
    <w:rsid w:val="00051206"/>
    <w:rsid w:val="0005138A"/>
    <w:rsid w:val="000513C9"/>
    <w:rsid w:val="000515D9"/>
    <w:rsid w:val="0005195D"/>
    <w:rsid w:val="00051CB9"/>
    <w:rsid w:val="00051D9E"/>
    <w:rsid w:val="0005202A"/>
    <w:rsid w:val="000524EF"/>
    <w:rsid w:val="00052901"/>
    <w:rsid w:val="0005294B"/>
    <w:rsid w:val="00052BDD"/>
    <w:rsid w:val="00052CED"/>
    <w:rsid w:val="000533D5"/>
    <w:rsid w:val="000534D6"/>
    <w:rsid w:val="000535D6"/>
    <w:rsid w:val="00053BB9"/>
    <w:rsid w:val="00053CAE"/>
    <w:rsid w:val="00053E1F"/>
    <w:rsid w:val="00054034"/>
    <w:rsid w:val="000540D1"/>
    <w:rsid w:val="000543B9"/>
    <w:rsid w:val="00054527"/>
    <w:rsid w:val="00054707"/>
    <w:rsid w:val="00054F1A"/>
    <w:rsid w:val="00055131"/>
    <w:rsid w:val="000555BB"/>
    <w:rsid w:val="0005560F"/>
    <w:rsid w:val="00055739"/>
    <w:rsid w:val="0005575C"/>
    <w:rsid w:val="00055819"/>
    <w:rsid w:val="000559D2"/>
    <w:rsid w:val="00055E89"/>
    <w:rsid w:val="00055F19"/>
    <w:rsid w:val="00055F22"/>
    <w:rsid w:val="000560E9"/>
    <w:rsid w:val="00056477"/>
    <w:rsid w:val="0005668B"/>
    <w:rsid w:val="00056A1C"/>
    <w:rsid w:val="00057005"/>
    <w:rsid w:val="00057697"/>
    <w:rsid w:val="0005782D"/>
    <w:rsid w:val="00057880"/>
    <w:rsid w:val="0005789D"/>
    <w:rsid w:val="00057E70"/>
    <w:rsid w:val="0006012D"/>
    <w:rsid w:val="0006055D"/>
    <w:rsid w:val="0006098F"/>
    <w:rsid w:val="00060BB7"/>
    <w:rsid w:val="00061465"/>
    <w:rsid w:val="00061523"/>
    <w:rsid w:val="00061F07"/>
    <w:rsid w:val="0006204E"/>
    <w:rsid w:val="00062222"/>
    <w:rsid w:val="00062382"/>
    <w:rsid w:val="000627B7"/>
    <w:rsid w:val="00062985"/>
    <w:rsid w:val="00062C1C"/>
    <w:rsid w:val="00062EEE"/>
    <w:rsid w:val="00062F6D"/>
    <w:rsid w:val="00062FD0"/>
    <w:rsid w:val="00063475"/>
    <w:rsid w:val="00063495"/>
    <w:rsid w:val="00063498"/>
    <w:rsid w:val="0006362E"/>
    <w:rsid w:val="00063D3F"/>
    <w:rsid w:val="000642C5"/>
    <w:rsid w:val="00064507"/>
    <w:rsid w:val="00064728"/>
    <w:rsid w:val="00064756"/>
    <w:rsid w:val="00064906"/>
    <w:rsid w:val="00064A8F"/>
    <w:rsid w:val="00064D16"/>
    <w:rsid w:val="00065050"/>
    <w:rsid w:val="00065226"/>
    <w:rsid w:val="0006533E"/>
    <w:rsid w:val="000653B0"/>
    <w:rsid w:val="0006544F"/>
    <w:rsid w:val="0006577D"/>
    <w:rsid w:val="00065F97"/>
    <w:rsid w:val="00065FF8"/>
    <w:rsid w:val="0006674D"/>
    <w:rsid w:val="00066750"/>
    <w:rsid w:val="00066A4B"/>
    <w:rsid w:val="00066A8C"/>
    <w:rsid w:val="00066C1F"/>
    <w:rsid w:val="00066E13"/>
    <w:rsid w:val="000670C8"/>
    <w:rsid w:val="0006750E"/>
    <w:rsid w:val="0006755B"/>
    <w:rsid w:val="00070355"/>
    <w:rsid w:val="000703C5"/>
    <w:rsid w:val="00070485"/>
    <w:rsid w:val="0007049A"/>
    <w:rsid w:val="000706E7"/>
    <w:rsid w:val="00070812"/>
    <w:rsid w:val="00070872"/>
    <w:rsid w:val="00070957"/>
    <w:rsid w:val="00070959"/>
    <w:rsid w:val="00070A2E"/>
    <w:rsid w:val="00070B0F"/>
    <w:rsid w:val="00070B52"/>
    <w:rsid w:val="00070BAE"/>
    <w:rsid w:val="00070C8B"/>
    <w:rsid w:val="00070D04"/>
    <w:rsid w:val="000712F4"/>
    <w:rsid w:val="00071545"/>
    <w:rsid w:val="00071546"/>
    <w:rsid w:val="000716C6"/>
    <w:rsid w:val="00071846"/>
    <w:rsid w:val="00071C1E"/>
    <w:rsid w:val="00071DB3"/>
    <w:rsid w:val="0007205B"/>
    <w:rsid w:val="0007210C"/>
    <w:rsid w:val="0007218C"/>
    <w:rsid w:val="0007234C"/>
    <w:rsid w:val="000726B4"/>
    <w:rsid w:val="0007278F"/>
    <w:rsid w:val="000729D5"/>
    <w:rsid w:val="00072A01"/>
    <w:rsid w:val="00072CE2"/>
    <w:rsid w:val="00072F4A"/>
    <w:rsid w:val="00072FD4"/>
    <w:rsid w:val="00072FF7"/>
    <w:rsid w:val="00073895"/>
    <w:rsid w:val="00073BE7"/>
    <w:rsid w:val="00074272"/>
    <w:rsid w:val="00074419"/>
    <w:rsid w:val="000744D9"/>
    <w:rsid w:val="000745B5"/>
    <w:rsid w:val="00074965"/>
    <w:rsid w:val="00074ADD"/>
    <w:rsid w:val="00074BFD"/>
    <w:rsid w:val="00074DB9"/>
    <w:rsid w:val="000752DF"/>
    <w:rsid w:val="0007553A"/>
    <w:rsid w:val="00075D4E"/>
    <w:rsid w:val="000762D7"/>
    <w:rsid w:val="00076871"/>
    <w:rsid w:val="00076C58"/>
    <w:rsid w:val="00076E45"/>
    <w:rsid w:val="000773F1"/>
    <w:rsid w:val="00077860"/>
    <w:rsid w:val="00077CAC"/>
    <w:rsid w:val="00077E85"/>
    <w:rsid w:val="00077F75"/>
    <w:rsid w:val="00080007"/>
    <w:rsid w:val="000800DF"/>
    <w:rsid w:val="0008024A"/>
    <w:rsid w:val="000803A7"/>
    <w:rsid w:val="00080558"/>
    <w:rsid w:val="00080A17"/>
    <w:rsid w:val="00080CA6"/>
    <w:rsid w:val="00080D59"/>
    <w:rsid w:val="00081B7C"/>
    <w:rsid w:val="00081BF4"/>
    <w:rsid w:val="00081D74"/>
    <w:rsid w:val="00081E52"/>
    <w:rsid w:val="00081EE0"/>
    <w:rsid w:val="0008248D"/>
    <w:rsid w:val="00082DA4"/>
    <w:rsid w:val="00083177"/>
    <w:rsid w:val="00083549"/>
    <w:rsid w:val="00083992"/>
    <w:rsid w:val="000839BB"/>
    <w:rsid w:val="000839E1"/>
    <w:rsid w:val="00083DAA"/>
    <w:rsid w:val="00083E73"/>
    <w:rsid w:val="00083F8B"/>
    <w:rsid w:val="000841B6"/>
    <w:rsid w:val="000843C9"/>
    <w:rsid w:val="000848CB"/>
    <w:rsid w:val="00084AC5"/>
    <w:rsid w:val="00084B16"/>
    <w:rsid w:val="00084DCC"/>
    <w:rsid w:val="00084F2E"/>
    <w:rsid w:val="00085B7E"/>
    <w:rsid w:val="00085BFF"/>
    <w:rsid w:val="00086504"/>
    <w:rsid w:val="0008689D"/>
    <w:rsid w:val="00086988"/>
    <w:rsid w:val="00086A1A"/>
    <w:rsid w:val="00086C3A"/>
    <w:rsid w:val="000872BF"/>
    <w:rsid w:val="000874F6"/>
    <w:rsid w:val="000875DF"/>
    <w:rsid w:val="00087785"/>
    <w:rsid w:val="000877C7"/>
    <w:rsid w:val="00087940"/>
    <w:rsid w:val="000879D1"/>
    <w:rsid w:val="00087CF8"/>
    <w:rsid w:val="000902C1"/>
    <w:rsid w:val="00090324"/>
    <w:rsid w:val="00090546"/>
    <w:rsid w:val="000905C1"/>
    <w:rsid w:val="000905D9"/>
    <w:rsid w:val="0009066E"/>
    <w:rsid w:val="00090B67"/>
    <w:rsid w:val="00090BEB"/>
    <w:rsid w:val="00090C7A"/>
    <w:rsid w:val="0009139D"/>
    <w:rsid w:val="000913E4"/>
    <w:rsid w:val="000914D3"/>
    <w:rsid w:val="00091855"/>
    <w:rsid w:val="0009193A"/>
    <w:rsid w:val="00091A25"/>
    <w:rsid w:val="00091A43"/>
    <w:rsid w:val="00091A80"/>
    <w:rsid w:val="00091E69"/>
    <w:rsid w:val="000921F6"/>
    <w:rsid w:val="000923AA"/>
    <w:rsid w:val="00092851"/>
    <w:rsid w:val="00092E4F"/>
    <w:rsid w:val="00093066"/>
    <w:rsid w:val="00093554"/>
    <w:rsid w:val="0009389D"/>
    <w:rsid w:val="00093AB8"/>
    <w:rsid w:val="00093FA9"/>
    <w:rsid w:val="000945F9"/>
    <w:rsid w:val="000946F5"/>
    <w:rsid w:val="00094B70"/>
    <w:rsid w:val="00094F66"/>
    <w:rsid w:val="000952E8"/>
    <w:rsid w:val="0009534C"/>
    <w:rsid w:val="0009544C"/>
    <w:rsid w:val="00095530"/>
    <w:rsid w:val="00095BDA"/>
    <w:rsid w:val="0009624A"/>
    <w:rsid w:val="0009637F"/>
    <w:rsid w:val="000966ED"/>
    <w:rsid w:val="000968A5"/>
    <w:rsid w:val="00096E2F"/>
    <w:rsid w:val="000971C4"/>
    <w:rsid w:val="00097550"/>
    <w:rsid w:val="0009765E"/>
    <w:rsid w:val="00097FB8"/>
    <w:rsid w:val="000A05AB"/>
    <w:rsid w:val="000A0941"/>
    <w:rsid w:val="000A0B6B"/>
    <w:rsid w:val="000A0B85"/>
    <w:rsid w:val="000A0BC0"/>
    <w:rsid w:val="000A0D66"/>
    <w:rsid w:val="000A0DE5"/>
    <w:rsid w:val="000A12BC"/>
    <w:rsid w:val="000A1391"/>
    <w:rsid w:val="000A13C3"/>
    <w:rsid w:val="000A16DA"/>
    <w:rsid w:val="000A1779"/>
    <w:rsid w:val="000A18B6"/>
    <w:rsid w:val="000A1AC2"/>
    <w:rsid w:val="000A1D86"/>
    <w:rsid w:val="000A1DFE"/>
    <w:rsid w:val="000A21CA"/>
    <w:rsid w:val="000A2358"/>
    <w:rsid w:val="000A23AE"/>
    <w:rsid w:val="000A241F"/>
    <w:rsid w:val="000A2427"/>
    <w:rsid w:val="000A29C9"/>
    <w:rsid w:val="000A2A6A"/>
    <w:rsid w:val="000A2B10"/>
    <w:rsid w:val="000A2E17"/>
    <w:rsid w:val="000A2E45"/>
    <w:rsid w:val="000A2EF6"/>
    <w:rsid w:val="000A34E9"/>
    <w:rsid w:val="000A3687"/>
    <w:rsid w:val="000A3CA7"/>
    <w:rsid w:val="000A3DE5"/>
    <w:rsid w:val="000A419B"/>
    <w:rsid w:val="000A43CF"/>
    <w:rsid w:val="000A45E5"/>
    <w:rsid w:val="000A4891"/>
    <w:rsid w:val="000A50FF"/>
    <w:rsid w:val="000A51CE"/>
    <w:rsid w:val="000A51D2"/>
    <w:rsid w:val="000A5496"/>
    <w:rsid w:val="000A553B"/>
    <w:rsid w:val="000A5598"/>
    <w:rsid w:val="000A5AB8"/>
    <w:rsid w:val="000A67A2"/>
    <w:rsid w:val="000A68F9"/>
    <w:rsid w:val="000A6947"/>
    <w:rsid w:val="000A6AB0"/>
    <w:rsid w:val="000A6B43"/>
    <w:rsid w:val="000A6BFA"/>
    <w:rsid w:val="000A6EC1"/>
    <w:rsid w:val="000A6F6A"/>
    <w:rsid w:val="000A70B6"/>
    <w:rsid w:val="000A74AB"/>
    <w:rsid w:val="000A792D"/>
    <w:rsid w:val="000A7C4D"/>
    <w:rsid w:val="000A7E98"/>
    <w:rsid w:val="000A7FE9"/>
    <w:rsid w:val="000B03D0"/>
    <w:rsid w:val="000B0D88"/>
    <w:rsid w:val="000B10D8"/>
    <w:rsid w:val="000B11AD"/>
    <w:rsid w:val="000B174E"/>
    <w:rsid w:val="000B1996"/>
    <w:rsid w:val="000B19E4"/>
    <w:rsid w:val="000B1CD2"/>
    <w:rsid w:val="000B1D6E"/>
    <w:rsid w:val="000B23FC"/>
    <w:rsid w:val="000B24D2"/>
    <w:rsid w:val="000B25D4"/>
    <w:rsid w:val="000B2862"/>
    <w:rsid w:val="000B305B"/>
    <w:rsid w:val="000B31D6"/>
    <w:rsid w:val="000B37C6"/>
    <w:rsid w:val="000B4C73"/>
    <w:rsid w:val="000B4ECD"/>
    <w:rsid w:val="000B50F4"/>
    <w:rsid w:val="000B5430"/>
    <w:rsid w:val="000B549B"/>
    <w:rsid w:val="000B549F"/>
    <w:rsid w:val="000B5583"/>
    <w:rsid w:val="000B578C"/>
    <w:rsid w:val="000B5A27"/>
    <w:rsid w:val="000B5E1A"/>
    <w:rsid w:val="000B6096"/>
    <w:rsid w:val="000B616F"/>
    <w:rsid w:val="000B6367"/>
    <w:rsid w:val="000B6659"/>
    <w:rsid w:val="000B6DB7"/>
    <w:rsid w:val="000B6FFE"/>
    <w:rsid w:val="000B714A"/>
    <w:rsid w:val="000B723A"/>
    <w:rsid w:val="000B73D4"/>
    <w:rsid w:val="000B7A04"/>
    <w:rsid w:val="000B7CCF"/>
    <w:rsid w:val="000B7FDE"/>
    <w:rsid w:val="000C03B7"/>
    <w:rsid w:val="000C09FE"/>
    <w:rsid w:val="000C0A69"/>
    <w:rsid w:val="000C0AA0"/>
    <w:rsid w:val="000C0BC7"/>
    <w:rsid w:val="000C0C05"/>
    <w:rsid w:val="000C0E43"/>
    <w:rsid w:val="000C0F56"/>
    <w:rsid w:val="000C168C"/>
    <w:rsid w:val="000C19B2"/>
    <w:rsid w:val="000C1AA7"/>
    <w:rsid w:val="000C1CF1"/>
    <w:rsid w:val="000C1DD3"/>
    <w:rsid w:val="000C1E83"/>
    <w:rsid w:val="000C20B9"/>
    <w:rsid w:val="000C2157"/>
    <w:rsid w:val="000C22D7"/>
    <w:rsid w:val="000C27FF"/>
    <w:rsid w:val="000C32A8"/>
    <w:rsid w:val="000C335A"/>
    <w:rsid w:val="000C37B4"/>
    <w:rsid w:val="000C38DD"/>
    <w:rsid w:val="000C3933"/>
    <w:rsid w:val="000C3F32"/>
    <w:rsid w:val="000C3F54"/>
    <w:rsid w:val="000C451E"/>
    <w:rsid w:val="000C452D"/>
    <w:rsid w:val="000C4605"/>
    <w:rsid w:val="000C4B31"/>
    <w:rsid w:val="000C4D32"/>
    <w:rsid w:val="000C53BF"/>
    <w:rsid w:val="000C5574"/>
    <w:rsid w:val="000C593E"/>
    <w:rsid w:val="000C59E5"/>
    <w:rsid w:val="000C5A1A"/>
    <w:rsid w:val="000C5C4C"/>
    <w:rsid w:val="000C5C4D"/>
    <w:rsid w:val="000C62C0"/>
    <w:rsid w:val="000C630D"/>
    <w:rsid w:val="000C643E"/>
    <w:rsid w:val="000C64DE"/>
    <w:rsid w:val="000C6729"/>
    <w:rsid w:val="000C697C"/>
    <w:rsid w:val="000C6A65"/>
    <w:rsid w:val="000C6AE7"/>
    <w:rsid w:val="000C6B60"/>
    <w:rsid w:val="000C6D48"/>
    <w:rsid w:val="000C6FD2"/>
    <w:rsid w:val="000C76AF"/>
    <w:rsid w:val="000C78BE"/>
    <w:rsid w:val="000C7926"/>
    <w:rsid w:val="000C7990"/>
    <w:rsid w:val="000C7A40"/>
    <w:rsid w:val="000D0118"/>
    <w:rsid w:val="000D0742"/>
    <w:rsid w:val="000D0AFA"/>
    <w:rsid w:val="000D0C52"/>
    <w:rsid w:val="000D109B"/>
    <w:rsid w:val="000D1224"/>
    <w:rsid w:val="000D17EE"/>
    <w:rsid w:val="000D1A31"/>
    <w:rsid w:val="000D1CA2"/>
    <w:rsid w:val="000D26D1"/>
    <w:rsid w:val="000D29B6"/>
    <w:rsid w:val="000D2A5A"/>
    <w:rsid w:val="000D2F52"/>
    <w:rsid w:val="000D33AA"/>
    <w:rsid w:val="000D3566"/>
    <w:rsid w:val="000D3927"/>
    <w:rsid w:val="000D3C20"/>
    <w:rsid w:val="000D3D1F"/>
    <w:rsid w:val="000D3D85"/>
    <w:rsid w:val="000D3EC6"/>
    <w:rsid w:val="000D3FED"/>
    <w:rsid w:val="000D4038"/>
    <w:rsid w:val="000D4182"/>
    <w:rsid w:val="000D4195"/>
    <w:rsid w:val="000D4536"/>
    <w:rsid w:val="000D458C"/>
    <w:rsid w:val="000D467D"/>
    <w:rsid w:val="000D479E"/>
    <w:rsid w:val="000D48B6"/>
    <w:rsid w:val="000D5075"/>
    <w:rsid w:val="000D575D"/>
    <w:rsid w:val="000D57B4"/>
    <w:rsid w:val="000D5C62"/>
    <w:rsid w:val="000D5CE3"/>
    <w:rsid w:val="000D5D8D"/>
    <w:rsid w:val="000D66BB"/>
    <w:rsid w:val="000D674C"/>
    <w:rsid w:val="000D685D"/>
    <w:rsid w:val="000D68EF"/>
    <w:rsid w:val="000D69C1"/>
    <w:rsid w:val="000D6B29"/>
    <w:rsid w:val="000D6B3A"/>
    <w:rsid w:val="000D6C00"/>
    <w:rsid w:val="000D7129"/>
    <w:rsid w:val="000D722E"/>
    <w:rsid w:val="000D79CF"/>
    <w:rsid w:val="000D7AB9"/>
    <w:rsid w:val="000D7B11"/>
    <w:rsid w:val="000D7D2C"/>
    <w:rsid w:val="000E07F8"/>
    <w:rsid w:val="000E0A55"/>
    <w:rsid w:val="000E1322"/>
    <w:rsid w:val="000E14B3"/>
    <w:rsid w:val="000E17EA"/>
    <w:rsid w:val="000E18D2"/>
    <w:rsid w:val="000E1A58"/>
    <w:rsid w:val="000E22ED"/>
    <w:rsid w:val="000E232E"/>
    <w:rsid w:val="000E234C"/>
    <w:rsid w:val="000E2542"/>
    <w:rsid w:val="000E2F31"/>
    <w:rsid w:val="000E33F8"/>
    <w:rsid w:val="000E3567"/>
    <w:rsid w:val="000E39F3"/>
    <w:rsid w:val="000E3A5C"/>
    <w:rsid w:val="000E42CB"/>
    <w:rsid w:val="000E43D9"/>
    <w:rsid w:val="000E449F"/>
    <w:rsid w:val="000E4963"/>
    <w:rsid w:val="000E54A2"/>
    <w:rsid w:val="000E54E8"/>
    <w:rsid w:val="000E5747"/>
    <w:rsid w:val="000E5915"/>
    <w:rsid w:val="000E5B7D"/>
    <w:rsid w:val="000E5B95"/>
    <w:rsid w:val="000E5BC4"/>
    <w:rsid w:val="000E5D56"/>
    <w:rsid w:val="000E600D"/>
    <w:rsid w:val="000E6311"/>
    <w:rsid w:val="000E65F6"/>
    <w:rsid w:val="000E6826"/>
    <w:rsid w:val="000E6C32"/>
    <w:rsid w:val="000E6C72"/>
    <w:rsid w:val="000E6D93"/>
    <w:rsid w:val="000E720F"/>
    <w:rsid w:val="000E740A"/>
    <w:rsid w:val="000E7582"/>
    <w:rsid w:val="000E7906"/>
    <w:rsid w:val="000E7918"/>
    <w:rsid w:val="000F00CC"/>
    <w:rsid w:val="000F0144"/>
    <w:rsid w:val="000F01E4"/>
    <w:rsid w:val="000F0338"/>
    <w:rsid w:val="000F05E8"/>
    <w:rsid w:val="000F0B7C"/>
    <w:rsid w:val="000F0C17"/>
    <w:rsid w:val="000F0E24"/>
    <w:rsid w:val="000F0F0D"/>
    <w:rsid w:val="000F1897"/>
    <w:rsid w:val="000F1BED"/>
    <w:rsid w:val="000F1EC6"/>
    <w:rsid w:val="000F2223"/>
    <w:rsid w:val="000F31B4"/>
    <w:rsid w:val="000F3518"/>
    <w:rsid w:val="000F37AA"/>
    <w:rsid w:val="000F381A"/>
    <w:rsid w:val="000F3B42"/>
    <w:rsid w:val="000F48B2"/>
    <w:rsid w:val="000F48D6"/>
    <w:rsid w:val="000F492E"/>
    <w:rsid w:val="000F49FC"/>
    <w:rsid w:val="000F4B63"/>
    <w:rsid w:val="000F4F79"/>
    <w:rsid w:val="000F4FAC"/>
    <w:rsid w:val="000F53F8"/>
    <w:rsid w:val="000F5465"/>
    <w:rsid w:val="000F608B"/>
    <w:rsid w:val="000F6143"/>
    <w:rsid w:val="000F656D"/>
    <w:rsid w:val="000F6729"/>
    <w:rsid w:val="000F69BC"/>
    <w:rsid w:val="000F6A74"/>
    <w:rsid w:val="000F6AA1"/>
    <w:rsid w:val="000F6AE4"/>
    <w:rsid w:val="000F732D"/>
    <w:rsid w:val="000F746B"/>
    <w:rsid w:val="000F74C8"/>
    <w:rsid w:val="000F768A"/>
    <w:rsid w:val="000F7A36"/>
    <w:rsid w:val="000F7CFE"/>
    <w:rsid w:val="000F7D9B"/>
    <w:rsid w:val="000F7E1E"/>
    <w:rsid w:val="000F7F82"/>
    <w:rsid w:val="001002BA"/>
    <w:rsid w:val="001004CC"/>
    <w:rsid w:val="00100EA4"/>
    <w:rsid w:val="00100F59"/>
    <w:rsid w:val="00100FB3"/>
    <w:rsid w:val="00101225"/>
    <w:rsid w:val="001012CF"/>
    <w:rsid w:val="00101435"/>
    <w:rsid w:val="00101DF0"/>
    <w:rsid w:val="001022E2"/>
    <w:rsid w:val="001023CB"/>
    <w:rsid w:val="001023EA"/>
    <w:rsid w:val="0010279D"/>
    <w:rsid w:val="00102885"/>
    <w:rsid w:val="001028D0"/>
    <w:rsid w:val="001029AB"/>
    <w:rsid w:val="001039F4"/>
    <w:rsid w:val="00103B31"/>
    <w:rsid w:val="00103CA4"/>
    <w:rsid w:val="00103DA4"/>
    <w:rsid w:val="00103DF5"/>
    <w:rsid w:val="0010413C"/>
    <w:rsid w:val="0010424A"/>
    <w:rsid w:val="0010462B"/>
    <w:rsid w:val="00104ADB"/>
    <w:rsid w:val="00104F6D"/>
    <w:rsid w:val="001051BE"/>
    <w:rsid w:val="0010520A"/>
    <w:rsid w:val="00105378"/>
    <w:rsid w:val="001053B5"/>
    <w:rsid w:val="00105D6A"/>
    <w:rsid w:val="00105E3D"/>
    <w:rsid w:val="00105E9A"/>
    <w:rsid w:val="00105F99"/>
    <w:rsid w:val="0010609C"/>
    <w:rsid w:val="00106102"/>
    <w:rsid w:val="00106164"/>
    <w:rsid w:val="00106645"/>
    <w:rsid w:val="00106D65"/>
    <w:rsid w:val="0010738F"/>
    <w:rsid w:val="001078BF"/>
    <w:rsid w:val="00107DF3"/>
    <w:rsid w:val="00107FBB"/>
    <w:rsid w:val="001104F6"/>
    <w:rsid w:val="00110515"/>
    <w:rsid w:val="00110613"/>
    <w:rsid w:val="001107B5"/>
    <w:rsid w:val="00110864"/>
    <w:rsid w:val="0011097B"/>
    <w:rsid w:val="00110B86"/>
    <w:rsid w:val="00110D09"/>
    <w:rsid w:val="00111762"/>
    <w:rsid w:val="00111A44"/>
    <w:rsid w:val="00111CDB"/>
    <w:rsid w:val="00111E6C"/>
    <w:rsid w:val="00112199"/>
    <w:rsid w:val="001122A2"/>
    <w:rsid w:val="001124FA"/>
    <w:rsid w:val="0011280B"/>
    <w:rsid w:val="0011296F"/>
    <w:rsid w:val="00112A7B"/>
    <w:rsid w:val="00112E0B"/>
    <w:rsid w:val="00112E3F"/>
    <w:rsid w:val="00113139"/>
    <w:rsid w:val="00113258"/>
    <w:rsid w:val="0011340D"/>
    <w:rsid w:val="0011372E"/>
    <w:rsid w:val="00113936"/>
    <w:rsid w:val="0011423E"/>
    <w:rsid w:val="00114747"/>
    <w:rsid w:val="001149C7"/>
    <w:rsid w:val="0011534C"/>
    <w:rsid w:val="0011550E"/>
    <w:rsid w:val="001156C9"/>
    <w:rsid w:val="00115CD0"/>
    <w:rsid w:val="0011641E"/>
    <w:rsid w:val="0011646E"/>
    <w:rsid w:val="001166CD"/>
    <w:rsid w:val="00116E19"/>
    <w:rsid w:val="00117218"/>
    <w:rsid w:val="001173E0"/>
    <w:rsid w:val="0011751D"/>
    <w:rsid w:val="001175AA"/>
    <w:rsid w:val="00117A9D"/>
    <w:rsid w:val="001200BF"/>
    <w:rsid w:val="001200D4"/>
    <w:rsid w:val="00120384"/>
    <w:rsid w:val="00120531"/>
    <w:rsid w:val="001206E1"/>
    <w:rsid w:val="00120759"/>
    <w:rsid w:val="00120834"/>
    <w:rsid w:val="00120D45"/>
    <w:rsid w:val="00121313"/>
    <w:rsid w:val="00121766"/>
    <w:rsid w:val="0012195B"/>
    <w:rsid w:val="00121982"/>
    <w:rsid w:val="001219A3"/>
    <w:rsid w:val="001219EB"/>
    <w:rsid w:val="001219FC"/>
    <w:rsid w:val="00121CB8"/>
    <w:rsid w:val="00121D6B"/>
    <w:rsid w:val="00121DDF"/>
    <w:rsid w:val="001222D1"/>
    <w:rsid w:val="00122A6A"/>
    <w:rsid w:val="0012330A"/>
    <w:rsid w:val="0012340E"/>
    <w:rsid w:val="00123AFC"/>
    <w:rsid w:val="00123D43"/>
    <w:rsid w:val="00123FCC"/>
    <w:rsid w:val="00124931"/>
    <w:rsid w:val="00124947"/>
    <w:rsid w:val="00124F1D"/>
    <w:rsid w:val="001251DF"/>
    <w:rsid w:val="0012529D"/>
    <w:rsid w:val="001255D1"/>
    <w:rsid w:val="001256DC"/>
    <w:rsid w:val="00125BD6"/>
    <w:rsid w:val="00125D39"/>
    <w:rsid w:val="00126306"/>
    <w:rsid w:val="00126315"/>
    <w:rsid w:val="0012652C"/>
    <w:rsid w:val="0012693C"/>
    <w:rsid w:val="00126948"/>
    <w:rsid w:val="00126970"/>
    <w:rsid w:val="00126C6F"/>
    <w:rsid w:val="00126FB0"/>
    <w:rsid w:val="0012716B"/>
    <w:rsid w:val="00127666"/>
    <w:rsid w:val="0012787D"/>
    <w:rsid w:val="00127D24"/>
    <w:rsid w:val="0013029B"/>
    <w:rsid w:val="001302A8"/>
    <w:rsid w:val="001302F1"/>
    <w:rsid w:val="00130648"/>
    <w:rsid w:val="00130C8C"/>
    <w:rsid w:val="00130C9B"/>
    <w:rsid w:val="00130D28"/>
    <w:rsid w:val="00130E95"/>
    <w:rsid w:val="00130F34"/>
    <w:rsid w:val="00131189"/>
    <w:rsid w:val="00131697"/>
    <w:rsid w:val="00131ACE"/>
    <w:rsid w:val="00131CEE"/>
    <w:rsid w:val="00131D41"/>
    <w:rsid w:val="00132AD0"/>
    <w:rsid w:val="00132C79"/>
    <w:rsid w:val="0013313C"/>
    <w:rsid w:val="001332CD"/>
    <w:rsid w:val="00133338"/>
    <w:rsid w:val="0013393B"/>
    <w:rsid w:val="00133C08"/>
    <w:rsid w:val="00133C8A"/>
    <w:rsid w:val="00133D09"/>
    <w:rsid w:val="00133E53"/>
    <w:rsid w:val="00133ED3"/>
    <w:rsid w:val="00133EF2"/>
    <w:rsid w:val="00133F25"/>
    <w:rsid w:val="00134199"/>
    <w:rsid w:val="001345A9"/>
    <w:rsid w:val="001345D5"/>
    <w:rsid w:val="0013496C"/>
    <w:rsid w:val="00134AC7"/>
    <w:rsid w:val="00134B02"/>
    <w:rsid w:val="00134B7B"/>
    <w:rsid w:val="00134D0C"/>
    <w:rsid w:val="001352AE"/>
    <w:rsid w:val="001353FE"/>
    <w:rsid w:val="001356D8"/>
    <w:rsid w:val="00135FA1"/>
    <w:rsid w:val="00136154"/>
    <w:rsid w:val="001364EE"/>
    <w:rsid w:val="00136557"/>
    <w:rsid w:val="001365E1"/>
    <w:rsid w:val="0013681A"/>
    <w:rsid w:val="001369BE"/>
    <w:rsid w:val="00136B8E"/>
    <w:rsid w:val="0013713C"/>
    <w:rsid w:val="00137709"/>
    <w:rsid w:val="001377A3"/>
    <w:rsid w:val="0014025D"/>
    <w:rsid w:val="001403A4"/>
    <w:rsid w:val="001403BC"/>
    <w:rsid w:val="001406BE"/>
    <w:rsid w:val="0014136A"/>
    <w:rsid w:val="00141809"/>
    <w:rsid w:val="0014193A"/>
    <w:rsid w:val="00141A01"/>
    <w:rsid w:val="00141A90"/>
    <w:rsid w:val="00141ABF"/>
    <w:rsid w:val="00141B4E"/>
    <w:rsid w:val="00141E83"/>
    <w:rsid w:val="00142223"/>
    <w:rsid w:val="0014246F"/>
    <w:rsid w:val="00142BCB"/>
    <w:rsid w:val="00142C47"/>
    <w:rsid w:val="00142F5F"/>
    <w:rsid w:val="0014303D"/>
    <w:rsid w:val="0014330F"/>
    <w:rsid w:val="001434CB"/>
    <w:rsid w:val="00143C6A"/>
    <w:rsid w:val="00143CB4"/>
    <w:rsid w:val="00143CED"/>
    <w:rsid w:val="00143DD1"/>
    <w:rsid w:val="0014417E"/>
    <w:rsid w:val="001443E2"/>
    <w:rsid w:val="00144454"/>
    <w:rsid w:val="00144614"/>
    <w:rsid w:val="001451CC"/>
    <w:rsid w:val="0014538D"/>
    <w:rsid w:val="001454B3"/>
    <w:rsid w:val="00145539"/>
    <w:rsid w:val="0014599F"/>
    <w:rsid w:val="001459CE"/>
    <w:rsid w:val="00145D86"/>
    <w:rsid w:val="00146298"/>
    <w:rsid w:val="001463CE"/>
    <w:rsid w:val="00146B02"/>
    <w:rsid w:val="00146CB6"/>
    <w:rsid w:val="00146D4E"/>
    <w:rsid w:val="001473CE"/>
    <w:rsid w:val="00147767"/>
    <w:rsid w:val="00147BCE"/>
    <w:rsid w:val="0015051B"/>
    <w:rsid w:val="001505F9"/>
    <w:rsid w:val="00150BCA"/>
    <w:rsid w:val="0015159F"/>
    <w:rsid w:val="001517DB"/>
    <w:rsid w:val="00151F90"/>
    <w:rsid w:val="00151FF3"/>
    <w:rsid w:val="00152016"/>
    <w:rsid w:val="00152145"/>
    <w:rsid w:val="001523E8"/>
    <w:rsid w:val="00152630"/>
    <w:rsid w:val="001526DC"/>
    <w:rsid w:val="00152E64"/>
    <w:rsid w:val="001530BA"/>
    <w:rsid w:val="00153953"/>
    <w:rsid w:val="00153E14"/>
    <w:rsid w:val="00153F2D"/>
    <w:rsid w:val="0015429B"/>
    <w:rsid w:val="00154407"/>
    <w:rsid w:val="00154475"/>
    <w:rsid w:val="001545C7"/>
    <w:rsid w:val="001549F1"/>
    <w:rsid w:val="00154B08"/>
    <w:rsid w:val="00154B42"/>
    <w:rsid w:val="00154DA4"/>
    <w:rsid w:val="001558B6"/>
    <w:rsid w:val="00155C0B"/>
    <w:rsid w:val="00155E64"/>
    <w:rsid w:val="00155FB9"/>
    <w:rsid w:val="0015667F"/>
    <w:rsid w:val="00156920"/>
    <w:rsid w:val="001569E5"/>
    <w:rsid w:val="00156AB4"/>
    <w:rsid w:val="00156D3E"/>
    <w:rsid w:val="00156E7E"/>
    <w:rsid w:val="00156EFB"/>
    <w:rsid w:val="00156F84"/>
    <w:rsid w:val="001570D2"/>
    <w:rsid w:val="00157324"/>
    <w:rsid w:val="001577D2"/>
    <w:rsid w:val="0015788C"/>
    <w:rsid w:val="0015789B"/>
    <w:rsid w:val="00157EE6"/>
    <w:rsid w:val="00160422"/>
    <w:rsid w:val="0016043A"/>
    <w:rsid w:val="00160876"/>
    <w:rsid w:val="00160A72"/>
    <w:rsid w:val="00160DAD"/>
    <w:rsid w:val="00160DF0"/>
    <w:rsid w:val="00160E8E"/>
    <w:rsid w:val="0016111C"/>
    <w:rsid w:val="00161256"/>
    <w:rsid w:val="00161BA2"/>
    <w:rsid w:val="00161E3A"/>
    <w:rsid w:val="00162218"/>
    <w:rsid w:val="00162308"/>
    <w:rsid w:val="001626F7"/>
    <w:rsid w:val="00162740"/>
    <w:rsid w:val="00162AD9"/>
    <w:rsid w:val="00162B2F"/>
    <w:rsid w:val="00162F15"/>
    <w:rsid w:val="001630D2"/>
    <w:rsid w:val="00163102"/>
    <w:rsid w:val="00163701"/>
    <w:rsid w:val="00163B4D"/>
    <w:rsid w:val="00164064"/>
    <w:rsid w:val="001642F2"/>
    <w:rsid w:val="0016446F"/>
    <w:rsid w:val="0016503D"/>
    <w:rsid w:val="00165052"/>
    <w:rsid w:val="0016518D"/>
    <w:rsid w:val="0016581F"/>
    <w:rsid w:val="0016599B"/>
    <w:rsid w:val="001663C8"/>
    <w:rsid w:val="00166582"/>
    <w:rsid w:val="00166A5F"/>
    <w:rsid w:val="00166BBD"/>
    <w:rsid w:val="001676AB"/>
    <w:rsid w:val="0016779A"/>
    <w:rsid w:val="00167D6D"/>
    <w:rsid w:val="00167FBC"/>
    <w:rsid w:val="001704B7"/>
    <w:rsid w:val="00170666"/>
    <w:rsid w:val="00170A26"/>
    <w:rsid w:val="00170BEE"/>
    <w:rsid w:val="00170D0D"/>
    <w:rsid w:val="00171364"/>
    <w:rsid w:val="001714EE"/>
    <w:rsid w:val="00171732"/>
    <w:rsid w:val="00171FCC"/>
    <w:rsid w:val="0017274F"/>
    <w:rsid w:val="00172A1B"/>
    <w:rsid w:val="00172F41"/>
    <w:rsid w:val="00172F86"/>
    <w:rsid w:val="00173242"/>
    <w:rsid w:val="001732E2"/>
    <w:rsid w:val="001733B2"/>
    <w:rsid w:val="0017363F"/>
    <w:rsid w:val="001737B9"/>
    <w:rsid w:val="001739D1"/>
    <w:rsid w:val="0017407F"/>
    <w:rsid w:val="00174238"/>
    <w:rsid w:val="001742C9"/>
    <w:rsid w:val="001742D7"/>
    <w:rsid w:val="001747DE"/>
    <w:rsid w:val="00174902"/>
    <w:rsid w:val="001750CA"/>
    <w:rsid w:val="00175220"/>
    <w:rsid w:val="001753FD"/>
    <w:rsid w:val="0017556D"/>
    <w:rsid w:val="00175726"/>
    <w:rsid w:val="001757EE"/>
    <w:rsid w:val="001758F0"/>
    <w:rsid w:val="00175A4E"/>
    <w:rsid w:val="00175F4C"/>
    <w:rsid w:val="001763BB"/>
    <w:rsid w:val="0017659C"/>
    <w:rsid w:val="0017672C"/>
    <w:rsid w:val="00176C09"/>
    <w:rsid w:val="00176EED"/>
    <w:rsid w:val="00177117"/>
    <w:rsid w:val="001771FD"/>
    <w:rsid w:val="0017743D"/>
    <w:rsid w:val="001774BE"/>
    <w:rsid w:val="001776BD"/>
    <w:rsid w:val="00177C03"/>
    <w:rsid w:val="00177C19"/>
    <w:rsid w:val="00177EE1"/>
    <w:rsid w:val="00180CFC"/>
    <w:rsid w:val="00180D91"/>
    <w:rsid w:val="0018104D"/>
    <w:rsid w:val="00181265"/>
    <w:rsid w:val="00181308"/>
    <w:rsid w:val="001813CD"/>
    <w:rsid w:val="00181506"/>
    <w:rsid w:val="001817DF"/>
    <w:rsid w:val="00181D8E"/>
    <w:rsid w:val="001822F8"/>
    <w:rsid w:val="001825AC"/>
    <w:rsid w:val="00182718"/>
    <w:rsid w:val="001827C7"/>
    <w:rsid w:val="001829B9"/>
    <w:rsid w:val="00182C3E"/>
    <w:rsid w:val="0018346B"/>
    <w:rsid w:val="001836FD"/>
    <w:rsid w:val="00183BA9"/>
    <w:rsid w:val="00183CA3"/>
    <w:rsid w:val="00183D95"/>
    <w:rsid w:val="00184316"/>
    <w:rsid w:val="0018469D"/>
    <w:rsid w:val="00184E7B"/>
    <w:rsid w:val="001851CB"/>
    <w:rsid w:val="00185568"/>
    <w:rsid w:val="001858DA"/>
    <w:rsid w:val="00185AF9"/>
    <w:rsid w:val="00185F55"/>
    <w:rsid w:val="00186485"/>
    <w:rsid w:val="0018662E"/>
    <w:rsid w:val="0018693F"/>
    <w:rsid w:val="00186BD1"/>
    <w:rsid w:val="00186EC8"/>
    <w:rsid w:val="00186F8B"/>
    <w:rsid w:val="00187085"/>
    <w:rsid w:val="001870F4"/>
    <w:rsid w:val="00187140"/>
    <w:rsid w:val="0018788E"/>
    <w:rsid w:val="00187BB0"/>
    <w:rsid w:val="00187CF6"/>
    <w:rsid w:val="00187FFC"/>
    <w:rsid w:val="0019000F"/>
    <w:rsid w:val="001901CF"/>
    <w:rsid w:val="0019075A"/>
    <w:rsid w:val="00190930"/>
    <w:rsid w:val="00190DC1"/>
    <w:rsid w:val="001910C6"/>
    <w:rsid w:val="001910E9"/>
    <w:rsid w:val="00191249"/>
    <w:rsid w:val="00191993"/>
    <w:rsid w:val="00191B5D"/>
    <w:rsid w:val="00191CE8"/>
    <w:rsid w:val="00191EFE"/>
    <w:rsid w:val="00192519"/>
    <w:rsid w:val="00192785"/>
    <w:rsid w:val="00192ABA"/>
    <w:rsid w:val="001930B8"/>
    <w:rsid w:val="001933B9"/>
    <w:rsid w:val="00193412"/>
    <w:rsid w:val="001935EF"/>
    <w:rsid w:val="00193655"/>
    <w:rsid w:val="00193717"/>
    <w:rsid w:val="00193A79"/>
    <w:rsid w:val="00193EE2"/>
    <w:rsid w:val="00194154"/>
    <w:rsid w:val="00194391"/>
    <w:rsid w:val="0019457D"/>
    <w:rsid w:val="00194656"/>
    <w:rsid w:val="001947A3"/>
    <w:rsid w:val="00195268"/>
    <w:rsid w:val="001953CC"/>
    <w:rsid w:val="00195725"/>
    <w:rsid w:val="00195A6D"/>
    <w:rsid w:val="00195D47"/>
    <w:rsid w:val="0019600B"/>
    <w:rsid w:val="00196017"/>
    <w:rsid w:val="00196453"/>
    <w:rsid w:val="001965EA"/>
    <w:rsid w:val="00196840"/>
    <w:rsid w:val="0019684F"/>
    <w:rsid w:val="00196A6D"/>
    <w:rsid w:val="00196B73"/>
    <w:rsid w:val="00196BFE"/>
    <w:rsid w:val="00196E9A"/>
    <w:rsid w:val="001973A5"/>
    <w:rsid w:val="001975C0"/>
    <w:rsid w:val="001978B0"/>
    <w:rsid w:val="001A0684"/>
    <w:rsid w:val="001A0B95"/>
    <w:rsid w:val="001A0D09"/>
    <w:rsid w:val="001A0E21"/>
    <w:rsid w:val="001A0E64"/>
    <w:rsid w:val="001A10F3"/>
    <w:rsid w:val="001A11E2"/>
    <w:rsid w:val="001A13BF"/>
    <w:rsid w:val="001A1508"/>
    <w:rsid w:val="001A15B5"/>
    <w:rsid w:val="001A1A1A"/>
    <w:rsid w:val="001A1A2E"/>
    <w:rsid w:val="001A1E88"/>
    <w:rsid w:val="001A1E8D"/>
    <w:rsid w:val="001A24FF"/>
    <w:rsid w:val="001A273A"/>
    <w:rsid w:val="001A28AA"/>
    <w:rsid w:val="001A29D3"/>
    <w:rsid w:val="001A30CA"/>
    <w:rsid w:val="001A30FD"/>
    <w:rsid w:val="001A34DA"/>
    <w:rsid w:val="001A3B33"/>
    <w:rsid w:val="001A3BE2"/>
    <w:rsid w:val="001A3C12"/>
    <w:rsid w:val="001A42CE"/>
    <w:rsid w:val="001A4553"/>
    <w:rsid w:val="001A4634"/>
    <w:rsid w:val="001A47D5"/>
    <w:rsid w:val="001A4A5C"/>
    <w:rsid w:val="001A4BEB"/>
    <w:rsid w:val="001A4BEC"/>
    <w:rsid w:val="001A4D3E"/>
    <w:rsid w:val="001A5223"/>
    <w:rsid w:val="001A525A"/>
    <w:rsid w:val="001A58E6"/>
    <w:rsid w:val="001A599D"/>
    <w:rsid w:val="001A5B28"/>
    <w:rsid w:val="001A5CB5"/>
    <w:rsid w:val="001A5D75"/>
    <w:rsid w:val="001A5E9E"/>
    <w:rsid w:val="001A5F34"/>
    <w:rsid w:val="001A6198"/>
    <w:rsid w:val="001A67A0"/>
    <w:rsid w:val="001A68DC"/>
    <w:rsid w:val="001A6E75"/>
    <w:rsid w:val="001A73A6"/>
    <w:rsid w:val="001A79F4"/>
    <w:rsid w:val="001A7C1E"/>
    <w:rsid w:val="001A7DBE"/>
    <w:rsid w:val="001B04BC"/>
    <w:rsid w:val="001B0605"/>
    <w:rsid w:val="001B069A"/>
    <w:rsid w:val="001B06FD"/>
    <w:rsid w:val="001B07B6"/>
    <w:rsid w:val="001B08B6"/>
    <w:rsid w:val="001B0CA4"/>
    <w:rsid w:val="001B15F1"/>
    <w:rsid w:val="001B1719"/>
    <w:rsid w:val="001B186F"/>
    <w:rsid w:val="001B18C8"/>
    <w:rsid w:val="001B19A4"/>
    <w:rsid w:val="001B1DFA"/>
    <w:rsid w:val="001B2563"/>
    <w:rsid w:val="001B26F3"/>
    <w:rsid w:val="001B28A2"/>
    <w:rsid w:val="001B2985"/>
    <w:rsid w:val="001B2E75"/>
    <w:rsid w:val="001B2FF3"/>
    <w:rsid w:val="001B3101"/>
    <w:rsid w:val="001B330E"/>
    <w:rsid w:val="001B354E"/>
    <w:rsid w:val="001B375E"/>
    <w:rsid w:val="001B3986"/>
    <w:rsid w:val="001B3C8F"/>
    <w:rsid w:val="001B3D91"/>
    <w:rsid w:val="001B411C"/>
    <w:rsid w:val="001B4369"/>
    <w:rsid w:val="001B437D"/>
    <w:rsid w:val="001B453D"/>
    <w:rsid w:val="001B455C"/>
    <w:rsid w:val="001B4700"/>
    <w:rsid w:val="001B47F4"/>
    <w:rsid w:val="001B492C"/>
    <w:rsid w:val="001B4994"/>
    <w:rsid w:val="001B4B58"/>
    <w:rsid w:val="001B5623"/>
    <w:rsid w:val="001B5838"/>
    <w:rsid w:val="001B5BFD"/>
    <w:rsid w:val="001B60BD"/>
    <w:rsid w:val="001B60C5"/>
    <w:rsid w:val="001B6303"/>
    <w:rsid w:val="001B65BF"/>
    <w:rsid w:val="001B6770"/>
    <w:rsid w:val="001B67FB"/>
    <w:rsid w:val="001B6AC3"/>
    <w:rsid w:val="001B6AE9"/>
    <w:rsid w:val="001B6B0C"/>
    <w:rsid w:val="001B6DD6"/>
    <w:rsid w:val="001B7047"/>
    <w:rsid w:val="001B74CF"/>
    <w:rsid w:val="001B74FF"/>
    <w:rsid w:val="001B7860"/>
    <w:rsid w:val="001B7C2B"/>
    <w:rsid w:val="001B7E7B"/>
    <w:rsid w:val="001B7EE9"/>
    <w:rsid w:val="001C02FA"/>
    <w:rsid w:val="001C06CE"/>
    <w:rsid w:val="001C06D7"/>
    <w:rsid w:val="001C0DEB"/>
    <w:rsid w:val="001C0FC0"/>
    <w:rsid w:val="001C0FD1"/>
    <w:rsid w:val="001C1253"/>
    <w:rsid w:val="001C1458"/>
    <w:rsid w:val="001C1551"/>
    <w:rsid w:val="001C168D"/>
    <w:rsid w:val="001C1921"/>
    <w:rsid w:val="001C209E"/>
    <w:rsid w:val="001C2108"/>
    <w:rsid w:val="001C24C3"/>
    <w:rsid w:val="001C297D"/>
    <w:rsid w:val="001C2B62"/>
    <w:rsid w:val="001C2E83"/>
    <w:rsid w:val="001C308F"/>
    <w:rsid w:val="001C3D79"/>
    <w:rsid w:val="001C41DB"/>
    <w:rsid w:val="001C44A4"/>
    <w:rsid w:val="001C46B2"/>
    <w:rsid w:val="001C46D2"/>
    <w:rsid w:val="001C48EA"/>
    <w:rsid w:val="001C4BC1"/>
    <w:rsid w:val="001C4D46"/>
    <w:rsid w:val="001C5303"/>
    <w:rsid w:val="001C5307"/>
    <w:rsid w:val="001C5751"/>
    <w:rsid w:val="001C59F5"/>
    <w:rsid w:val="001C5B22"/>
    <w:rsid w:val="001C5CBA"/>
    <w:rsid w:val="001C5E69"/>
    <w:rsid w:val="001C60B2"/>
    <w:rsid w:val="001C614E"/>
    <w:rsid w:val="001C646B"/>
    <w:rsid w:val="001C67A4"/>
    <w:rsid w:val="001C682A"/>
    <w:rsid w:val="001C694B"/>
    <w:rsid w:val="001C6C93"/>
    <w:rsid w:val="001C6F22"/>
    <w:rsid w:val="001C7352"/>
    <w:rsid w:val="001C7621"/>
    <w:rsid w:val="001C783C"/>
    <w:rsid w:val="001C7D70"/>
    <w:rsid w:val="001C7EA4"/>
    <w:rsid w:val="001C7FCE"/>
    <w:rsid w:val="001D012A"/>
    <w:rsid w:val="001D042A"/>
    <w:rsid w:val="001D0496"/>
    <w:rsid w:val="001D0D83"/>
    <w:rsid w:val="001D0EAE"/>
    <w:rsid w:val="001D0FA0"/>
    <w:rsid w:val="001D13CB"/>
    <w:rsid w:val="001D17E1"/>
    <w:rsid w:val="001D1C64"/>
    <w:rsid w:val="001D2476"/>
    <w:rsid w:val="001D2806"/>
    <w:rsid w:val="001D2C3A"/>
    <w:rsid w:val="001D2C60"/>
    <w:rsid w:val="001D3017"/>
    <w:rsid w:val="001D3AC1"/>
    <w:rsid w:val="001D3CD8"/>
    <w:rsid w:val="001D4103"/>
    <w:rsid w:val="001D411F"/>
    <w:rsid w:val="001D4145"/>
    <w:rsid w:val="001D4334"/>
    <w:rsid w:val="001D4CE3"/>
    <w:rsid w:val="001D51FC"/>
    <w:rsid w:val="001D525E"/>
    <w:rsid w:val="001D53BC"/>
    <w:rsid w:val="001D58D5"/>
    <w:rsid w:val="001D5A2B"/>
    <w:rsid w:val="001D5BC6"/>
    <w:rsid w:val="001D5CD7"/>
    <w:rsid w:val="001D5F8A"/>
    <w:rsid w:val="001D6141"/>
    <w:rsid w:val="001D62AF"/>
    <w:rsid w:val="001D6491"/>
    <w:rsid w:val="001D64CC"/>
    <w:rsid w:val="001D6BEA"/>
    <w:rsid w:val="001D6C35"/>
    <w:rsid w:val="001D6C7E"/>
    <w:rsid w:val="001D7308"/>
    <w:rsid w:val="001D74B1"/>
    <w:rsid w:val="001D7521"/>
    <w:rsid w:val="001D7B8B"/>
    <w:rsid w:val="001D7D63"/>
    <w:rsid w:val="001E080C"/>
    <w:rsid w:val="001E0DDB"/>
    <w:rsid w:val="001E1865"/>
    <w:rsid w:val="001E196C"/>
    <w:rsid w:val="001E1D1B"/>
    <w:rsid w:val="001E1FE4"/>
    <w:rsid w:val="001E21B3"/>
    <w:rsid w:val="001E22B1"/>
    <w:rsid w:val="001E2E79"/>
    <w:rsid w:val="001E2F78"/>
    <w:rsid w:val="001E3097"/>
    <w:rsid w:val="001E31DD"/>
    <w:rsid w:val="001E3341"/>
    <w:rsid w:val="001E36CE"/>
    <w:rsid w:val="001E3C27"/>
    <w:rsid w:val="001E4028"/>
    <w:rsid w:val="001E4438"/>
    <w:rsid w:val="001E4806"/>
    <w:rsid w:val="001E48CB"/>
    <w:rsid w:val="001E49BB"/>
    <w:rsid w:val="001E4AC8"/>
    <w:rsid w:val="001E4BB3"/>
    <w:rsid w:val="001E4CB7"/>
    <w:rsid w:val="001E521C"/>
    <w:rsid w:val="001E52E7"/>
    <w:rsid w:val="001E5488"/>
    <w:rsid w:val="001E5544"/>
    <w:rsid w:val="001E5665"/>
    <w:rsid w:val="001E5939"/>
    <w:rsid w:val="001E59E6"/>
    <w:rsid w:val="001E5B30"/>
    <w:rsid w:val="001E5CDD"/>
    <w:rsid w:val="001E633F"/>
    <w:rsid w:val="001E649C"/>
    <w:rsid w:val="001E66EA"/>
    <w:rsid w:val="001E6850"/>
    <w:rsid w:val="001E69EA"/>
    <w:rsid w:val="001E6C3A"/>
    <w:rsid w:val="001E6D95"/>
    <w:rsid w:val="001E6FA3"/>
    <w:rsid w:val="001E7119"/>
    <w:rsid w:val="001E738B"/>
    <w:rsid w:val="001E73FA"/>
    <w:rsid w:val="001E741D"/>
    <w:rsid w:val="001E78E0"/>
    <w:rsid w:val="001F036A"/>
    <w:rsid w:val="001F0444"/>
    <w:rsid w:val="001F05DC"/>
    <w:rsid w:val="001F05E6"/>
    <w:rsid w:val="001F0843"/>
    <w:rsid w:val="001F0B2B"/>
    <w:rsid w:val="001F0B62"/>
    <w:rsid w:val="001F0DAA"/>
    <w:rsid w:val="001F0FCF"/>
    <w:rsid w:val="001F13E8"/>
    <w:rsid w:val="001F1406"/>
    <w:rsid w:val="001F149A"/>
    <w:rsid w:val="001F1740"/>
    <w:rsid w:val="001F17F4"/>
    <w:rsid w:val="001F1E2D"/>
    <w:rsid w:val="001F231C"/>
    <w:rsid w:val="001F23F7"/>
    <w:rsid w:val="001F23FC"/>
    <w:rsid w:val="001F246A"/>
    <w:rsid w:val="001F26D2"/>
    <w:rsid w:val="001F2818"/>
    <w:rsid w:val="001F2877"/>
    <w:rsid w:val="001F290E"/>
    <w:rsid w:val="001F2EC5"/>
    <w:rsid w:val="001F30EC"/>
    <w:rsid w:val="001F353C"/>
    <w:rsid w:val="001F35C4"/>
    <w:rsid w:val="001F35F9"/>
    <w:rsid w:val="001F361A"/>
    <w:rsid w:val="001F3703"/>
    <w:rsid w:val="001F3816"/>
    <w:rsid w:val="001F3AB9"/>
    <w:rsid w:val="001F3D2B"/>
    <w:rsid w:val="001F4438"/>
    <w:rsid w:val="001F4709"/>
    <w:rsid w:val="001F4976"/>
    <w:rsid w:val="001F497B"/>
    <w:rsid w:val="001F4C6B"/>
    <w:rsid w:val="001F4F30"/>
    <w:rsid w:val="001F4F46"/>
    <w:rsid w:val="001F4FAF"/>
    <w:rsid w:val="001F5117"/>
    <w:rsid w:val="001F5303"/>
    <w:rsid w:val="001F54F6"/>
    <w:rsid w:val="001F55EC"/>
    <w:rsid w:val="001F577E"/>
    <w:rsid w:val="001F5879"/>
    <w:rsid w:val="001F5927"/>
    <w:rsid w:val="001F5EC1"/>
    <w:rsid w:val="001F62BB"/>
    <w:rsid w:val="001F6462"/>
    <w:rsid w:val="001F6866"/>
    <w:rsid w:val="001F694E"/>
    <w:rsid w:val="001F6A99"/>
    <w:rsid w:val="001F6B30"/>
    <w:rsid w:val="001F6ED8"/>
    <w:rsid w:val="001F7433"/>
    <w:rsid w:val="001F7BB7"/>
    <w:rsid w:val="001F7C67"/>
    <w:rsid w:val="001F7CA9"/>
    <w:rsid w:val="001F7D38"/>
    <w:rsid w:val="001F7EC4"/>
    <w:rsid w:val="0020000D"/>
    <w:rsid w:val="002003F4"/>
    <w:rsid w:val="00200608"/>
    <w:rsid w:val="00200741"/>
    <w:rsid w:val="00200AA5"/>
    <w:rsid w:val="00201498"/>
    <w:rsid w:val="00201538"/>
    <w:rsid w:val="00201729"/>
    <w:rsid w:val="00201D2C"/>
    <w:rsid w:val="0020247C"/>
    <w:rsid w:val="002026EA"/>
    <w:rsid w:val="002028D4"/>
    <w:rsid w:val="00202A4B"/>
    <w:rsid w:val="00202A68"/>
    <w:rsid w:val="00202E71"/>
    <w:rsid w:val="002031DF"/>
    <w:rsid w:val="002032A9"/>
    <w:rsid w:val="00203509"/>
    <w:rsid w:val="00203C6E"/>
    <w:rsid w:val="00204279"/>
    <w:rsid w:val="00204425"/>
    <w:rsid w:val="00204453"/>
    <w:rsid w:val="00204756"/>
    <w:rsid w:val="00204D25"/>
    <w:rsid w:val="0020535E"/>
    <w:rsid w:val="00205D78"/>
    <w:rsid w:val="00205D94"/>
    <w:rsid w:val="00206405"/>
    <w:rsid w:val="0020645D"/>
    <w:rsid w:val="00206463"/>
    <w:rsid w:val="00206567"/>
    <w:rsid w:val="0020681B"/>
    <w:rsid w:val="00206DC2"/>
    <w:rsid w:val="00206FCF"/>
    <w:rsid w:val="00207084"/>
    <w:rsid w:val="00207438"/>
    <w:rsid w:val="00207A20"/>
    <w:rsid w:val="00207B8F"/>
    <w:rsid w:val="00210064"/>
    <w:rsid w:val="002102D8"/>
    <w:rsid w:val="00210778"/>
    <w:rsid w:val="0021097E"/>
    <w:rsid w:val="00210FC9"/>
    <w:rsid w:val="0021108D"/>
    <w:rsid w:val="0021117E"/>
    <w:rsid w:val="0021143A"/>
    <w:rsid w:val="0021152A"/>
    <w:rsid w:val="002115F4"/>
    <w:rsid w:val="002116FD"/>
    <w:rsid w:val="002118A3"/>
    <w:rsid w:val="00211963"/>
    <w:rsid w:val="00211A23"/>
    <w:rsid w:val="00211A80"/>
    <w:rsid w:val="00211FF9"/>
    <w:rsid w:val="00212268"/>
    <w:rsid w:val="002125DC"/>
    <w:rsid w:val="0021350F"/>
    <w:rsid w:val="002136C4"/>
    <w:rsid w:val="00214253"/>
    <w:rsid w:val="0021455F"/>
    <w:rsid w:val="0021482D"/>
    <w:rsid w:val="00214C96"/>
    <w:rsid w:val="00214ECB"/>
    <w:rsid w:val="0021513B"/>
    <w:rsid w:val="00215451"/>
    <w:rsid w:val="00215482"/>
    <w:rsid w:val="00215B6E"/>
    <w:rsid w:val="002161FD"/>
    <w:rsid w:val="002163A2"/>
    <w:rsid w:val="002164CC"/>
    <w:rsid w:val="00216C35"/>
    <w:rsid w:val="00216C70"/>
    <w:rsid w:val="00216F28"/>
    <w:rsid w:val="002177CF"/>
    <w:rsid w:val="00217DFA"/>
    <w:rsid w:val="0022082D"/>
    <w:rsid w:val="00220AF9"/>
    <w:rsid w:val="00220E3C"/>
    <w:rsid w:val="002210E6"/>
    <w:rsid w:val="002217A3"/>
    <w:rsid w:val="002217DF"/>
    <w:rsid w:val="002219BD"/>
    <w:rsid w:val="00221B24"/>
    <w:rsid w:val="00221B26"/>
    <w:rsid w:val="00221D0F"/>
    <w:rsid w:val="0022217F"/>
    <w:rsid w:val="0022256F"/>
    <w:rsid w:val="0022258E"/>
    <w:rsid w:val="002226F3"/>
    <w:rsid w:val="00222757"/>
    <w:rsid w:val="0022282F"/>
    <w:rsid w:val="00222878"/>
    <w:rsid w:val="00222DDC"/>
    <w:rsid w:val="00222EA2"/>
    <w:rsid w:val="00222EB7"/>
    <w:rsid w:val="0022302B"/>
    <w:rsid w:val="002230A6"/>
    <w:rsid w:val="00223B2B"/>
    <w:rsid w:val="002241C3"/>
    <w:rsid w:val="002244F2"/>
    <w:rsid w:val="002247BD"/>
    <w:rsid w:val="00224B75"/>
    <w:rsid w:val="00224C42"/>
    <w:rsid w:val="002250D3"/>
    <w:rsid w:val="00225450"/>
    <w:rsid w:val="00225716"/>
    <w:rsid w:val="00225AFB"/>
    <w:rsid w:val="00225B79"/>
    <w:rsid w:val="00225D2D"/>
    <w:rsid w:val="00225D62"/>
    <w:rsid w:val="00225FA3"/>
    <w:rsid w:val="00226202"/>
    <w:rsid w:val="002262E1"/>
    <w:rsid w:val="00226449"/>
    <w:rsid w:val="002265F7"/>
    <w:rsid w:val="0022688B"/>
    <w:rsid w:val="00226CC1"/>
    <w:rsid w:val="00226F41"/>
    <w:rsid w:val="002270AE"/>
    <w:rsid w:val="002272A1"/>
    <w:rsid w:val="0022758E"/>
    <w:rsid w:val="00227942"/>
    <w:rsid w:val="00227A4D"/>
    <w:rsid w:val="00227B68"/>
    <w:rsid w:val="0023018B"/>
    <w:rsid w:val="00231019"/>
    <w:rsid w:val="002310F2"/>
    <w:rsid w:val="00231167"/>
    <w:rsid w:val="00231289"/>
    <w:rsid w:val="0023153E"/>
    <w:rsid w:val="002315B9"/>
    <w:rsid w:val="002317DC"/>
    <w:rsid w:val="00231E4F"/>
    <w:rsid w:val="002326F1"/>
    <w:rsid w:val="0023292A"/>
    <w:rsid w:val="00232CD0"/>
    <w:rsid w:val="00233325"/>
    <w:rsid w:val="0023346F"/>
    <w:rsid w:val="00233555"/>
    <w:rsid w:val="00233A53"/>
    <w:rsid w:val="0023410A"/>
    <w:rsid w:val="00234178"/>
    <w:rsid w:val="0023441D"/>
    <w:rsid w:val="00234E64"/>
    <w:rsid w:val="002352BD"/>
    <w:rsid w:val="002353EE"/>
    <w:rsid w:val="00235AA7"/>
    <w:rsid w:val="00235BB5"/>
    <w:rsid w:val="00235BE5"/>
    <w:rsid w:val="00235F9C"/>
    <w:rsid w:val="0023608A"/>
    <w:rsid w:val="002362C8"/>
    <w:rsid w:val="002364D3"/>
    <w:rsid w:val="00236507"/>
    <w:rsid w:val="00236633"/>
    <w:rsid w:val="0023668B"/>
    <w:rsid w:val="00236837"/>
    <w:rsid w:val="00236DEA"/>
    <w:rsid w:val="00236EE0"/>
    <w:rsid w:val="00237381"/>
    <w:rsid w:val="00237459"/>
    <w:rsid w:val="00237931"/>
    <w:rsid w:val="00237B47"/>
    <w:rsid w:val="002405ED"/>
    <w:rsid w:val="00240E67"/>
    <w:rsid w:val="00240F33"/>
    <w:rsid w:val="002412A7"/>
    <w:rsid w:val="002412FD"/>
    <w:rsid w:val="00241484"/>
    <w:rsid w:val="00241920"/>
    <w:rsid w:val="00241B61"/>
    <w:rsid w:val="00241D96"/>
    <w:rsid w:val="00241DF6"/>
    <w:rsid w:val="00241F42"/>
    <w:rsid w:val="00242100"/>
    <w:rsid w:val="002423A4"/>
    <w:rsid w:val="00242523"/>
    <w:rsid w:val="00242843"/>
    <w:rsid w:val="002431C6"/>
    <w:rsid w:val="0024327B"/>
    <w:rsid w:val="002435F3"/>
    <w:rsid w:val="00243642"/>
    <w:rsid w:val="00243791"/>
    <w:rsid w:val="00243961"/>
    <w:rsid w:val="00243AC9"/>
    <w:rsid w:val="00243AFA"/>
    <w:rsid w:val="00243C4B"/>
    <w:rsid w:val="00244287"/>
    <w:rsid w:val="0024453B"/>
    <w:rsid w:val="0024471E"/>
    <w:rsid w:val="00244A50"/>
    <w:rsid w:val="00244B6D"/>
    <w:rsid w:val="00244C88"/>
    <w:rsid w:val="002451F0"/>
    <w:rsid w:val="00245212"/>
    <w:rsid w:val="00246351"/>
    <w:rsid w:val="0024644E"/>
    <w:rsid w:val="0024668A"/>
    <w:rsid w:val="002467D9"/>
    <w:rsid w:val="00246D24"/>
    <w:rsid w:val="00246ED3"/>
    <w:rsid w:val="00246EEC"/>
    <w:rsid w:val="002473F1"/>
    <w:rsid w:val="002477F0"/>
    <w:rsid w:val="00247B41"/>
    <w:rsid w:val="0025027E"/>
    <w:rsid w:val="002506EB"/>
    <w:rsid w:val="00250A5B"/>
    <w:rsid w:val="00250C5C"/>
    <w:rsid w:val="00251184"/>
    <w:rsid w:val="0025126E"/>
    <w:rsid w:val="00251292"/>
    <w:rsid w:val="0025182A"/>
    <w:rsid w:val="002519B2"/>
    <w:rsid w:val="00251BB4"/>
    <w:rsid w:val="00251E12"/>
    <w:rsid w:val="00252017"/>
    <w:rsid w:val="002527E7"/>
    <w:rsid w:val="00252C04"/>
    <w:rsid w:val="00253407"/>
    <w:rsid w:val="002536E6"/>
    <w:rsid w:val="00254104"/>
    <w:rsid w:val="0025428D"/>
    <w:rsid w:val="002544D1"/>
    <w:rsid w:val="002545AA"/>
    <w:rsid w:val="002547CD"/>
    <w:rsid w:val="002548A7"/>
    <w:rsid w:val="0025492C"/>
    <w:rsid w:val="00254D8B"/>
    <w:rsid w:val="00254F47"/>
    <w:rsid w:val="00255293"/>
    <w:rsid w:val="0025650E"/>
    <w:rsid w:val="002565DE"/>
    <w:rsid w:val="00256CBF"/>
    <w:rsid w:val="00256DEC"/>
    <w:rsid w:val="00256E1B"/>
    <w:rsid w:val="00256E5A"/>
    <w:rsid w:val="00257246"/>
    <w:rsid w:val="0025745D"/>
    <w:rsid w:val="0025757F"/>
    <w:rsid w:val="00257666"/>
    <w:rsid w:val="00257719"/>
    <w:rsid w:val="00257759"/>
    <w:rsid w:val="00257A1D"/>
    <w:rsid w:val="002606A4"/>
    <w:rsid w:val="0026074F"/>
    <w:rsid w:val="0026090E"/>
    <w:rsid w:val="002609B6"/>
    <w:rsid w:val="002609BE"/>
    <w:rsid w:val="00260B1F"/>
    <w:rsid w:val="00260FE4"/>
    <w:rsid w:val="00261094"/>
    <w:rsid w:val="0026122D"/>
    <w:rsid w:val="0026148F"/>
    <w:rsid w:val="00261694"/>
    <w:rsid w:val="00261A25"/>
    <w:rsid w:val="00261A44"/>
    <w:rsid w:val="00261AEA"/>
    <w:rsid w:val="00261B09"/>
    <w:rsid w:val="00262090"/>
    <w:rsid w:val="0026225E"/>
    <w:rsid w:val="00262289"/>
    <w:rsid w:val="002622C8"/>
    <w:rsid w:val="00262843"/>
    <w:rsid w:val="00262B2F"/>
    <w:rsid w:val="00262CA8"/>
    <w:rsid w:val="00263320"/>
    <w:rsid w:val="00263466"/>
    <w:rsid w:val="0026356E"/>
    <w:rsid w:val="002637E3"/>
    <w:rsid w:val="00263835"/>
    <w:rsid w:val="00263853"/>
    <w:rsid w:val="00263B44"/>
    <w:rsid w:val="00264143"/>
    <w:rsid w:val="0026428E"/>
    <w:rsid w:val="002643C9"/>
    <w:rsid w:val="002645AF"/>
    <w:rsid w:val="0026464B"/>
    <w:rsid w:val="0026530E"/>
    <w:rsid w:val="00265351"/>
    <w:rsid w:val="002653EB"/>
    <w:rsid w:val="002655CD"/>
    <w:rsid w:val="002658B2"/>
    <w:rsid w:val="00265B99"/>
    <w:rsid w:val="00265BC0"/>
    <w:rsid w:val="00265FCD"/>
    <w:rsid w:val="00265FF9"/>
    <w:rsid w:val="0026602B"/>
    <w:rsid w:val="002665DA"/>
    <w:rsid w:val="002668C1"/>
    <w:rsid w:val="00266920"/>
    <w:rsid w:val="00266A3F"/>
    <w:rsid w:val="00266C75"/>
    <w:rsid w:val="00266DDB"/>
    <w:rsid w:val="00266E37"/>
    <w:rsid w:val="00267021"/>
    <w:rsid w:val="002670C3"/>
    <w:rsid w:val="002670FF"/>
    <w:rsid w:val="0026734F"/>
    <w:rsid w:val="0026740C"/>
    <w:rsid w:val="00267B63"/>
    <w:rsid w:val="002704F0"/>
    <w:rsid w:val="00270534"/>
    <w:rsid w:val="002707FA"/>
    <w:rsid w:val="002709C7"/>
    <w:rsid w:val="00270EBC"/>
    <w:rsid w:val="002710CE"/>
    <w:rsid w:val="00271A90"/>
    <w:rsid w:val="00271BAE"/>
    <w:rsid w:val="00271C27"/>
    <w:rsid w:val="00271C85"/>
    <w:rsid w:val="002728AE"/>
    <w:rsid w:val="002728CB"/>
    <w:rsid w:val="00272ABB"/>
    <w:rsid w:val="00272CC3"/>
    <w:rsid w:val="00272CD4"/>
    <w:rsid w:val="00272ED6"/>
    <w:rsid w:val="00272F47"/>
    <w:rsid w:val="002730BD"/>
    <w:rsid w:val="002733D3"/>
    <w:rsid w:val="00273482"/>
    <w:rsid w:val="002734B6"/>
    <w:rsid w:val="00273DCD"/>
    <w:rsid w:val="00273FE9"/>
    <w:rsid w:val="00274143"/>
    <w:rsid w:val="00274236"/>
    <w:rsid w:val="0027424F"/>
    <w:rsid w:val="002749D9"/>
    <w:rsid w:val="00274CCC"/>
    <w:rsid w:val="00274D85"/>
    <w:rsid w:val="00274DF0"/>
    <w:rsid w:val="002758AA"/>
    <w:rsid w:val="00275982"/>
    <w:rsid w:val="00275C6E"/>
    <w:rsid w:val="00275D0E"/>
    <w:rsid w:val="00275FF0"/>
    <w:rsid w:val="002760FE"/>
    <w:rsid w:val="00276147"/>
    <w:rsid w:val="00276513"/>
    <w:rsid w:val="00276532"/>
    <w:rsid w:val="0027655A"/>
    <w:rsid w:val="0027680A"/>
    <w:rsid w:val="00276841"/>
    <w:rsid w:val="002769E5"/>
    <w:rsid w:val="00276A09"/>
    <w:rsid w:val="00276A53"/>
    <w:rsid w:val="00276F57"/>
    <w:rsid w:val="00277258"/>
    <w:rsid w:val="0027746A"/>
    <w:rsid w:val="0027757A"/>
    <w:rsid w:val="00277B75"/>
    <w:rsid w:val="0028002B"/>
    <w:rsid w:val="00280AAD"/>
    <w:rsid w:val="00280EEE"/>
    <w:rsid w:val="00280F12"/>
    <w:rsid w:val="00280F1D"/>
    <w:rsid w:val="00280F4E"/>
    <w:rsid w:val="0028113E"/>
    <w:rsid w:val="00281364"/>
    <w:rsid w:val="0028139D"/>
    <w:rsid w:val="00281CDD"/>
    <w:rsid w:val="00281D25"/>
    <w:rsid w:val="00281D42"/>
    <w:rsid w:val="00281DBA"/>
    <w:rsid w:val="00281EFD"/>
    <w:rsid w:val="00282749"/>
    <w:rsid w:val="002828A1"/>
    <w:rsid w:val="00282912"/>
    <w:rsid w:val="00282D27"/>
    <w:rsid w:val="00282D83"/>
    <w:rsid w:val="00282E4A"/>
    <w:rsid w:val="00283234"/>
    <w:rsid w:val="00283EB4"/>
    <w:rsid w:val="002844CF"/>
    <w:rsid w:val="00284700"/>
    <w:rsid w:val="002847BA"/>
    <w:rsid w:val="00284875"/>
    <w:rsid w:val="00284A90"/>
    <w:rsid w:val="00284F6E"/>
    <w:rsid w:val="00285444"/>
    <w:rsid w:val="00285501"/>
    <w:rsid w:val="002855DD"/>
    <w:rsid w:val="00285897"/>
    <w:rsid w:val="00285CBA"/>
    <w:rsid w:val="00285DDA"/>
    <w:rsid w:val="00286102"/>
    <w:rsid w:val="00286147"/>
    <w:rsid w:val="00286972"/>
    <w:rsid w:val="00286EE3"/>
    <w:rsid w:val="00286FE8"/>
    <w:rsid w:val="00287565"/>
    <w:rsid w:val="002879E1"/>
    <w:rsid w:val="00287A2E"/>
    <w:rsid w:val="002905C4"/>
    <w:rsid w:val="002909E9"/>
    <w:rsid w:val="00290D3F"/>
    <w:rsid w:val="00290FE6"/>
    <w:rsid w:val="0029185B"/>
    <w:rsid w:val="00291905"/>
    <w:rsid w:val="00291A51"/>
    <w:rsid w:val="00291B03"/>
    <w:rsid w:val="00291D9E"/>
    <w:rsid w:val="00291EDD"/>
    <w:rsid w:val="00291F53"/>
    <w:rsid w:val="002921D7"/>
    <w:rsid w:val="00292320"/>
    <w:rsid w:val="0029237C"/>
    <w:rsid w:val="00292407"/>
    <w:rsid w:val="002925C5"/>
    <w:rsid w:val="0029261D"/>
    <w:rsid w:val="00292628"/>
    <w:rsid w:val="00292631"/>
    <w:rsid w:val="002929E0"/>
    <w:rsid w:val="00292A64"/>
    <w:rsid w:val="00292A8F"/>
    <w:rsid w:val="00292CEF"/>
    <w:rsid w:val="00292D6A"/>
    <w:rsid w:val="00292D81"/>
    <w:rsid w:val="00292E14"/>
    <w:rsid w:val="00292FEC"/>
    <w:rsid w:val="0029302F"/>
    <w:rsid w:val="002930CC"/>
    <w:rsid w:val="00293198"/>
    <w:rsid w:val="0029320C"/>
    <w:rsid w:val="00293357"/>
    <w:rsid w:val="00293836"/>
    <w:rsid w:val="00293956"/>
    <w:rsid w:val="00293AFA"/>
    <w:rsid w:val="00293CAA"/>
    <w:rsid w:val="00293D07"/>
    <w:rsid w:val="00293DBB"/>
    <w:rsid w:val="00293DDA"/>
    <w:rsid w:val="00294259"/>
    <w:rsid w:val="00294496"/>
    <w:rsid w:val="0029471C"/>
    <w:rsid w:val="00294B20"/>
    <w:rsid w:val="00294EFE"/>
    <w:rsid w:val="0029527E"/>
    <w:rsid w:val="00295A20"/>
    <w:rsid w:val="00295B2B"/>
    <w:rsid w:val="00295E39"/>
    <w:rsid w:val="00295E44"/>
    <w:rsid w:val="0029620F"/>
    <w:rsid w:val="002962EC"/>
    <w:rsid w:val="00296950"/>
    <w:rsid w:val="00296A03"/>
    <w:rsid w:val="00296C69"/>
    <w:rsid w:val="00296EBC"/>
    <w:rsid w:val="00297051"/>
    <w:rsid w:val="0029763F"/>
    <w:rsid w:val="00297650"/>
    <w:rsid w:val="00297C49"/>
    <w:rsid w:val="00297C58"/>
    <w:rsid w:val="00297C9B"/>
    <w:rsid w:val="002A0229"/>
    <w:rsid w:val="002A046F"/>
    <w:rsid w:val="002A0509"/>
    <w:rsid w:val="002A0797"/>
    <w:rsid w:val="002A1446"/>
    <w:rsid w:val="002A1568"/>
    <w:rsid w:val="002A18D2"/>
    <w:rsid w:val="002A20D6"/>
    <w:rsid w:val="002A2335"/>
    <w:rsid w:val="002A2344"/>
    <w:rsid w:val="002A24B6"/>
    <w:rsid w:val="002A27F8"/>
    <w:rsid w:val="002A2962"/>
    <w:rsid w:val="002A2DA6"/>
    <w:rsid w:val="002A315C"/>
    <w:rsid w:val="002A316B"/>
    <w:rsid w:val="002A3219"/>
    <w:rsid w:val="002A3B19"/>
    <w:rsid w:val="002A3F2E"/>
    <w:rsid w:val="002A3FAC"/>
    <w:rsid w:val="002A41C4"/>
    <w:rsid w:val="002A4466"/>
    <w:rsid w:val="002A4526"/>
    <w:rsid w:val="002A4CD6"/>
    <w:rsid w:val="002A505F"/>
    <w:rsid w:val="002A509C"/>
    <w:rsid w:val="002A521D"/>
    <w:rsid w:val="002A533E"/>
    <w:rsid w:val="002A5438"/>
    <w:rsid w:val="002A5960"/>
    <w:rsid w:val="002A5E42"/>
    <w:rsid w:val="002A5F4D"/>
    <w:rsid w:val="002A5FC6"/>
    <w:rsid w:val="002A6032"/>
    <w:rsid w:val="002A643B"/>
    <w:rsid w:val="002A66D2"/>
    <w:rsid w:val="002A6B88"/>
    <w:rsid w:val="002A6C57"/>
    <w:rsid w:val="002A6CAE"/>
    <w:rsid w:val="002A6CB9"/>
    <w:rsid w:val="002A6CE9"/>
    <w:rsid w:val="002A6DDE"/>
    <w:rsid w:val="002A7236"/>
    <w:rsid w:val="002A7753"/>
    <w:rsid w:val="002A77FA"/>
    <w:rsid w:val="002A787B"/>
    <w:rsid w:val="002A7946"/>
    <w:rsid w:val="002A7FDA"/>
    <w:rsid w:val="002B0099"/>
    <w:rsid w:val="002B04B3"/>
    <w:rsid w:val="002B04E4"/>
    <w:rsid w:val="002B077D"/>
    <w:rsid w:val="002B0B86"/>
    <w:rsid w:val="002B0BA9"/>
    <w:rsid w:val="002B0BC4"/>
    <w:rsid w:val="002B0C8B"/>
    <w:rsid w:val="002B1041"/>
    <w:rsid w:val="002B139F"/>
    <w:rsid w:val="002B1B09"/>
    <w:rsid w:val="002B1C1D"/>
    <w:rsid w:val="002B1D2C"/>
    <w:rsid w:val="002B2681"/>
    <w:rsid w:val="002B290B"/>
    <w:rsid w:val="002B3117"/>
    <w:rsid w:val="002B316A"/>
    <w:rsid w:val="002B325F"/>
    <w:rsid w:val="002B34FB"/>
    <w:rsid w:val="002B3729"/>
    <w:rsid w:val="002B38DB"/>
    <w:rsid w:val="002B38DE"/>
    <w:rsid w:val="002B3C56"/>
    <w:rsid w:val="002B44FB"/>
    <w:rsid w:val="002B466A"/>
    <w:rsid w:val="002B4BE5"/>
    <w:rsid w:val="002B519C"/>
    <w:rsid w:val="002B51A8"/>
    <w:rsid w:val="002B5396"/>
    <w:rsid w:val="002B53B0"/>
    <w:rsid w:val="002B551A"/>
    <w:rsid w:val="002B5636"/>
    <w:rsid w:val="002B5682"/>
    <w:rsid w:val="002B5760"/>
    <w:rsid w:val="002B5822"/>
    <w:rsid w:val="002B59CC"/>
    <w:rsid w:val="002B5D5F"/>
    <w:rsid w:val="002B663E"/>
    <w:rsid w:val="002B68FA"/>
    <w:rsid w:val="002B6936"/>
    <w:rsid w:val="002B6B15"/>
    <w:rsid w:val="002B6C17"/>
    <w:rsid w:val="002B6CFB"/>
    <w:rsid w:val="002B7128"/>
    <w:rsid w:val="002B746B"/>
    <w:rsid w:val="002B74D5"/>
    <w:rsid w:val="002B78F1"/>
    <w:rsid w:val="002B7A6E"/>
    <w:rsid w:val="002B7DA2"/>
    <w:rsid w:val="002C0621"/>
    <w:rsid w:val="002C0B10"/>
    <w:rsid w:val="002C0CF2"/>
    <w:rsid w:val="002C0EA0"/>
    <w:rsid w:val="002C1A23"/>
    <w:rsid w:val="002C1DCA"/>
    <w:rsid w:val="002C1EC6"/>
    <w:rsid w:val="002C221A"/>
    <w:rsid w:val="002C22C3"/>
    <w:rsid w:val="002C2769"/>
    <w:rsid w:val="002C3027"/>
    <w:rsid w:val="002C3113"/>
    <w:rsid w:val="002C32A2"/>
    <w:rsid w:val="002C3692"/>
    <w:rsid w:val="002C39C3"/>
    <w:rsid w:val="002C3DEC"/>
    <w:rsid w:val="002C40B1"/>
    <w:rsid w:val="002C457C"/>
    <w:rsid w:val="002C4593"/>
    <w:rsid w:val="002C45C9"/>
    <w:rsid w:val="002C48DE"/>
    <w:rsid w:val="002C4AC5"/>
    <w:rsid w:val="002C4C9C"/>
    <w:rsid w:val="002C4D7C"/>
    <w:rsid w:val="002C4E6D"/>
    <w:rsid w:val="002C5191"/>
    <w:rsid w:val="002C522B"/>
    <w:rsid w:val="002C5312"/>
    <w:rsid w:val="002C54BC"/>
    <w:rsid w:val="002C54F9"/>
    <w:rsid w:val="002C5D24"/>
    <w:rsid w:val="002C5DBF"/>
    <w:rsid w:val="002C6647"/>
    <w:rsid w:val="002C68B8"/>
    <w:rsid w:val="002C6A06"/>
    <w:rsid w:val="002C6CD2"/>
    <w:rsid w:val="002C6F67"/>
    <w:rsid w:val="002C6FDF"/>
    <w:rsid w:val="002C7779"/>
    <w:rsid w:val="002C7BFD"/>
    <w:rsid w:val="002C7D90"/>
    <w:rsid w:val="002D006A"/>
    <w:rsid w:val="002D00E1"/>
    <w:rsid w:val="002D029A"/>
    <w:rsid w:val="002D02DA"/>
    <w:rsid w:val="002D049D"/>
    <w:rsid w:val="002D0662"/>
    <w:rsid w:val="002D0676"/>
    <w:rsid w:val="002D06CB"/>
    <w:rsid w:val="002D0951"/>
    <w:rsid w:val="002D096A"/>
    <w:rsid w:val="002D09A8"/>
    <w:rsid w:val="002D0A22"/>
    <w:rsid w:val="002D0B34"/>
    <w:rsid w:val="002D0C4E"/>
    <w:rsid w:val="002D0E46"/>
    <w:rsid w:val="002D13EE"/>
    <w:rsid w:val="002D1DDA"/>
    <w:rsid w:val="002D200E"/>
    <w:rsid w:val="002D20CC"/>
    <w:rsid w:val="002D2108"/>
    <w:rsid w:val="002D214B"/>
    <w:rsid w:val="002D21E6"/>
    <w:rsid w:val="002D250F"/>
    <w:rsid w:val="002D2523"/>
    <w:rsid w:val="002D253A"/>
    <w:rsid w:val="002D2F93"/>
    <w:rsid w:val="002D3722"/>
    <w:rsid w:val="002D3738"/>
    <w:rsid w:val="002D37AB"/>
    <w:rsid w:val="002D3C62"/>
    <w:rsid w:val="002D3D0E"/>
    <w:rsid w:val="002D3F3C"/>
    <w:rsid w:val="002D4019"/>
    <w:rsid w:val="002D4186"/>
    <w:rsid w:val="002D42F4"/>
    <w:rsid w:val="002D440A"/>
    <w:rsid w:val="002D446D"/>
    <w:rsid w:val="002D4539"/>
    <w:rsid w:val="002D46F0"/>
    <w:rsid w:val="002D48AD"/>
    <w:rsid w:val="002D4BFA"/>
    <w:rsid w:val="002D4D22"/>
    <w:rsid w:val="002D4EFA"/>
    <w:rsid w:val="002D517E"/>
    <w:rsid w:val="002D5216"/>
    <w:rsid w:val="002D57B8"/>
    <w:rsid w:val="002D5820"/>
    <w:rsid w:val="002D5CB9"/>
    <w:rsid w:val="002D5D12"/>
    <w:rsid w:val="002D5E5B"/>
    <w:rsid w:val="002D5E90"/>
    <w:rsid w:val="002D5F36"/>
    <w:rsid w:val="002D60F1"/>
    <w:rsid w:val="002D62A8"/>
    <w:rsid w:val="002D6A64"/>
    <w:rsid w:val="002D6ABC"/>
    <w:rsid w:val="002D6E20"/>
    <w:rsid w:val="002D7476"/>
    <w:rsid w:val="002D7B0A"/>
    <w:rsid w:val="002E0179"/>
    <w:rsid w:val="002E03A4"/>
    <w:rsid w:val="002E046D"/>
    <w:rsid w:val="002E0911"/>
    <w:rsid w:val="002E1396"/>
    <w:rsid w:val="002E1659"/>
    <w:rsid w:val="002E1748"/>
    <w:rsid w:val="002E1B13"/>
    <w:rsid w:val="002E1CB2"/>
    <w:rsid w:val="002E1D03"/>
    <w:rsid w:val="002E1E63"/>
    <w:rsid w:val="002E21EC"/>
    <w:rsid w:val="002E24E2"/>
    <w:rsid w:val="002E25BB"/>
    <w:rsid w:val="002E2628"/>
    <w:rsid w:val="002E291C"/>
    <w:rsid w:val="002E2A21"/>
    <w:rsid w:val="002E2C43"/>
    <w:rsid w:val="002E2D40"/>
    <w:rsid w:val="002E30FC"/>
    <w:rsid w:val="002E335B"/>
    <w:rsid w:val="002E3648"/>
    <w:rsid w:val="002E3797"/>
    <w:rsid w:val="002E3844"/>
    <w:rsid w:val="002E38B4"/>
    <w:rsid w:val="002E3992"/>
    <w:rsid w:val="002E3D35"/>
    <w:rsid w:val="002E3D79"/>
    <w:rsid w:val="002E40CA"/>
    <w:rsid w:val="002E44C0"/>
    <w:rsid w:val="002E4CD0"/>
    <w:rsid w:val="002E4DF3"/>
    <w:rsid w:val="002E4ED4"/>
    <w:rsid w:val="002E5653"/>
    <w:rsid w:val="002E5DD1"/>
    <w:rsid w:val="002E5E77"/>
    <w:rsid w:val="002E63DE"/>
    <w:rsid w:val="002E6C23"/>
    <w:rsid w:val="002E6DDF"/>
    <w:rsid w:val="002E6EAF"/>
    <w:rsid w:val="002E736F"/>
    <w:rsid w:val="002E7438"/>
    <w:rsid w:val="002E74DC"/>
    <w:rsid w:val="002E7F55"/>
    <w:rsid w:val="002F032A"/>
    <w:rsid w:val="002F04C4"/>
    <w:rsid w:val="002F0867"/>
    <w:rsid w:val="002F086C"/>
    <w:rsid w:val="002F08D6"/>
    <w:rsid w:val="002F0B1D"/>
    <w:rsid w:val="002F0CA7"/>
    <w:rsid w:val="002F0CE5"/>
    <w:rsid w:val="002F163D"/>
    <w:rsid w:val="002F1643"/>
    <w:rsid w:val="002F1703"/>
    <w:rsid w:val="002F1886"/>
    <w:rsid w:val="002F18D2"/>
    <w:rsid w:val="002F18D7"/>
    <w:rsid w:val="002F19D1"/>
    <w:rsid w:val="002F1FE8"/>
    <w:rsid w:val="002F2105"/>
    <w:rsid w:val="002F229B"/>
    <w:rsid w:val="002F23B4"/>
    <w:rsid w:val="002F251F"/>
    <w:rsid w:val="002F26C2"/>
    <w:rsid w:val="002F2700"/>
    <w:rsid w:val="002F2872"/>
    <w:rsid w:val="002F28F8"/>
    <w:rsid w:val="002F2B46"/>
    <w:rsid w:val="002F2BE3"/>
    <w:rsid w:val="002F2BFD"/>
    <w:rsid w:val="002F2C79"/>
    <w:rsid w:val="002F2D1A"/>
    <w:rsid w:val="002F2D1F"/>
    <w:rsid w:val="002F3301"/>
    <w:rsid w:val="002F3459"/>
    <w:rsid w:val="002F38D1"/>
    <w:rsid w:val="002F3DB5"/>
    <w:rsid w:val="002F407C"/>
    <w:rsid w:val="002F41D3"/>
    <w:rsid w:val="002F425F"/>
    <w:rsid w:val="002F42AD"/>
    <w:rsid w:val="002F4305"/>
    <w:rsid w:val="002F4835"/>
    <w:rsid w:val="002F4B78"/>
    <w:rsid w:val="002F4DDA"/>
    <w:rsid w:val="002F4F79"/>
    <w:rsid w:val="002F52EA"/>
    <w:rsid w:val="002F53C2"/>
    <w:rsid w:val="002F58DA"/>
    <w:rsid w:val="002F5A0E"/>
    <w:rsid w:val="002F5A69"/>
    <w:rsid w:val="002F5A6A"/>
    <w:rsid w:val="002F5D5A"/>
    <w:rsid w:val="002F6168"/>
    <w:rsid w:val="002F6303"/>
    <w:rsid w:val="002F6362"/>
    <w:rsid w:val="002F6481"/>
    <w:rsid w:val="002F6569"/>
    <w:rsid w:val="002F6932"/>
    <w:rsid w:val="002F6F82"/>
    <w:rsid w:val="002F794B"/>
    <w:rsid w:val="002F79C0"/>
    <w:rsid w:val="002F7B0E"/>
    <w:rsid w:val="00300246"/>
    <w:rsid w:val="0030033D"/>
    <w:rsid w:val="00300349"/>
    <w:rsid w:val="00300387"/>
    <w:rsid w:val="0030072F"/>
    <w:rsid w:val="003007AA"/>
    <w:rsid w:val="00300CC6"/>
    <w:rsid w:val="00300FBA"/>
    <w:rsid w:val="003013AE"/>
    <w:rsid w:val="003015F1"/>
    <w:rsid w:val="003019BC"/>
    <w:rsid w:val="00301C96"/>
    <w:rsid w:val="00301D0F"/>
    <w:rsid w:val="00301F98"/>
    <w:rsid w:val="00302076"/>
    <w:rsid w:val="00302273"/>
    <w:rsid w:val="00302951"/>
    <w:rsid w:val="00302A57"/>
    <w:rsid w:val="00302CAF"/>
    <w:rsid w:val="00302E36"/>
    <w:rsid w:val="00303217"/>
    <w:rsid w:val="00303460"/>
    <w:rsid w:val="00303E3E"/>
    <w:rsid w:val="0030442F"/>
    <w:rsid w:val="00304721"/>
    <w:rsid w:val="003048E5"/>
    <w:rsid w:val="00304EE2"/>
    <w:rsid w:val="00304EEA"/>
    <w:rsid w:val="0030515F"/>
    <w:rsid w:val="00305201"/>
    <w:rsid w:val="00305774"/>
    <w:rsid w:val="00305BF7"/>
    <w:rsid w:val="00305C69"/>
    <w:rsid w:val="00305F74"/>
    <w:rsid w:val="00306170"/>
    <w:rsid w:val="00306338"/>
    <w:rsid w:val="00306365"/>
    <w:rsid w:val="0030642E"/>
    <w:rsid w:val="00306BFC"/>
    <w:rsid w:val="00306F5C"/>
    <w:rsid w:val="00307073"/>
    <w:rsid w:val="00307176"/>
    <w:rsid w:val="00307EF7"/>
    <w:rsid w:val="0031002F"/>
    <w:rsid w:val="0031081D"/>
    <w:rsid w:val="00310BC2"/>
    <w:rsid w:val="00310C1B"/>
    <w:rsid w:val="00310C59"/>
    <w:rsid w:val="00310F69"/>
    <w:rsid w:val="00311125"/>
    <w:rsid w:val="0031120B"/>
    <w:rsid w:val="00311297"/>
    <w:rsid w:val="00311BBC"/>
    <w:rsid w:val="00311C60"/>
    <w:rsid w:val="00311C7F"/>
    <w:rsid w:val="00311D40"/>
    <w:rsid w:val="0031209A"/>
    <w:rsid w:val="003122AA"/>
    <w:rsid w:val="00312695"/>
    <w:rsid w:val="003128A0"/>
    <w:rsid w:val="00312F23"/>
    <w:rsid w:val="00313032"/>
    <w:rsid w:val="003134EF"/>
    <w:rsid w:val="00313731"/>
    <w:rsid w:val="00313815"/>
    <w:rsid w:val="00313B50"/>
    <w:rsid w:val="00313B98"/>
    <w:rsid w:val="00313C9E"/>
    <w:rsid w:val="00313DAC"/>
    <w:rsid w:val="003141F7"/>
    <w:rsid w:val="003149E7"/>
    <w:rsid w:val="003153FA"/>
    <w:rsid w:val="003155FC"/>
    <w:rsid w:val="00315ACD"/>
    <w:rsid w:val="00315BA2"/>
    <w:rsid w:val="00315BA6"/>
    <w:rsid w:val="00316A31"/>
    <w:rsid w:val="00316A32"/>
    <w:rsid w:val="00316B7B"/>
    <w:rsid w:val="00316C0E"/>
    <w:rsid w:val="00316C1E"/>
    <w:rsid w:val="00316C88"/>
    <w:rsid w:val="00316F4B"/>
    <w:rsid w:val="0031716F"/>
    <w:rsid w:val="003175D5"/>
    <w:rsid w:val="0031774A"/>
    <w:rsid w:val="003177D8"/>
    <w:rsid w:val="00317B1D"/>
    <w:rsid w:val="003205C3"/>
    <w:rsid w:val="00320659"/>
    <w:rsid w:val="003206B0"/>
    <w:rsid w:val="003206FC"/>
    <w:rsid w:val="00320783"/>
    <w:rsid w:val="003208FA"/>
    <w:rsid w:val="0032099F"/>
    <w:rsid w:val="00320B72"/>
    <w:rsid w:val="00321315"/>
    <w:rsid w:val="00321BDA"/>
    <w:rsid w:val="00321D75"/>
    <w:rsid w:val="00321DEA"/>
    <w:rsid w:val="00321F09"/>
    <w:rsid w:val="00322015"/>
    <w:rsid w:val="0032239C"/>
    <w:rsid w:val="003223DB"/>
    <w:rsid w:val="003224F0"/>
    <w:rsid w:val="00322737"/>
    <w:rsid w:val="0032287A"/>
    <w:rsid w:val="00322FBC"/>
    <w:rsid w:val="00322FBD"/>
    <w:rsid w:val="00323383"/>
    <w:rsid w:val="003233A9"/>
    <w:rsid w:val="00323491"/>
    <w:rsid w:val="0032433F"/>
    <w:rsid w:val="0032439A"/>
    <w:rsid w:val="00324FCC"/>
    <w:rsid w:val="003251D8"/>
    <w:rsid w:val="003251E9"/>
    <w:rsid w:val="003252DB"/>
    <w:rsid w:val="0032540E"/>
    <w:rsid w:val="003254E7"/>
    <w:rsid w:val="003256CA"/>
    <w:rsid w:val="00325947"/>
    <w:rsid w:val="00325C12"/>
    <w:rsid w:val="00325E37"/>
    <w:rsid w:val="00325F44"/>
    <w:rsid w:val="003261D9"/>
    <w:rsid w:val="00326294"/>
    <w:rsid w:val="0032638B"/>
    <w:rsid w:val="0032651B"/>
    <w:rsid w:val="0032667A"/>
    <w:rsid w:val="00326980"/>
    <w:rsid w:val="00326D1A"/>
    <w:rsid w:val="00326D28"/>
    <w:rsid w:val="00326E47"/>
    <w:rsid w:val="003274A9"/>
    <w:rsid w:val="00327863"/>
    <w:rsid w:val="0033011E"/>
    <w:rsid w:val="00330247"/>
    <w:rsid w:val="0033024C"/>
    <w:rsid w:val="00330529"/>
    <w:rsid w:val="00330B68"/>
    <w:rsid w:val="00330E95"/>
    <w:rsid w:val="003318BD"/>
    <w:rsid w:val="00331BC1"/>
    <w:rsid w:val="00331C04"/>
    <w:rsid w:val="00331E89"/>
    <w:rsid w:val="00331FB8"/>
    <w:rsid w:val="00332025"/>
    <w:rsid w:val="0033214C"/>
    <w:rsid w:val="00332386"/>
    <w:rsid w:val="00332511"/>
    <w:rsid w:val="003326BF"/>
    <w:rsid w:val="003326EC"/>
    <w:rsid w:val="00332866"/>
    <w:rsid w:val="00332F61"/>
    <w:rsid w:val="00332F73"/>
    <w:rsid w:val="00332F7A"/>
    <w:rsid w:val="00333403"/>
    <w:rsid w:val="0033351B"/>
    <w:rsid w:val="00333C06"/>
    <w:rsid w:val="00333DDD"/>
    <w:rsid w:val="00334099"/>
    <w:rsid w:val="003340FB"/>
    <w:rsid w:val="003341C5"/>
    <w:rsid w:val="00334219"/>
    <w:rsid w:val="0033444D"/>
    <w:rsid w:val="00334541"/>
    <w:rsid w:val="003347A0"/>
    <w:rsid w:val="00334C51"/>
    <w:rsid w:val="00334C5E"/>
    <w:rsid w:val="00334F28"/>
    <w:rsid w:val="00334FDA"/>
    <w:rsid w:val="00335158"/>
    <w:rsid w:val="00335A79"/>
    <w:rsid w:val="00336007"/>
    <w:rsid w:val="00336184"/>
    <w:rsid w:val="00336663"/>
    <w:rsid w:val="0033696C"/>
    <w:rsid w:val="00336A24"/>
    <w:rsid w:val="0033724B"/>
    <w:rsid w:val="003376AE"/>
    <w:rsid w:val="00337C3B"/>
    <w:rsid w:val="00337FA4"/>
    <w:rsid w:val="0034001A"/>
    <w:rsid w:val="0034005D"/>
    <w:rsid w:val="00340162"/>
    <w:rsid w:val="00340323"/>
    <w:rsid w:val="003405C1"/>
    <w:rsid w:val="00340AAE"/>
    <w:rsid w:val="00340B0C"/>
    <w:rsid w:val="00340C40"/>
    <w:rsid w:val="003418A3"/>
    <w:rsid w:val="00341BF3"/>
    <w:rsid w:val="00341D99"/>
    <w:rsid w:val="0034248D"/>
    <w:rsid w:val="0034279C"/>
    <w:rsid w:val="0034293B"/>
    <w:rsid w:val="003429DF"/>
    <w:rsid w:val="00342CCB"/>
    <w:rsid w:val="00343039"/>
    <w:rsid w:val="003431D5"/>
    <w:rsid w:val="003431FC"/>
    <w:rsid w:val="003432DA"/>
    <w:rsid w:val="0034351B"/>
    <w:rsid w:val="00343972"/>
    <w:rsid w:val="00343A2A"/>
    <w:rsid w:val="00343ECD"/>
    <w:rsid w:val="003440F8"/>
    <w:rsid w:val="00344B57"/>
    <w:rsid w:val="00344BF3"/>
    <w:rsid w:val="00345572"/>
    <w:rsid w:val="00345CCD"/>
    <w:rsid w:val="00345D39"/>
    <w:rsid w:val="00345E54"/>
    <w:rsid w:val="00346BF8"/>
    <w:rsid w:val="00346C26"/>
    <w:rsid w:val="00346C72"/>
    <w:rsid w:val="00346D3D"/>
    <w:rsid w:val="00346DCF"/>
    <w:rsid w:val="003471ED"/>
    <w:rsid w:val="003479EA"/>
    <w:rsid w:val="00347C4B"/>
    <w:rsid w:val="00347CBE"/>
    <w:rsid w:val="00347D39"/>
    <w:rsid w:val="00347DA5"/>
    <w:rsid w:val="00350406"/>
    <w:rsid w:val="00350681"/>
    <w:rsid w:val="0035083E"/>
    <w:rsid w:val="00351115"/>
    <w:rsid w:val="0035162A"/>
    <w:rsid w:val="003519F7"/>
    <w:rsid w:val="00351A7F"/>
    <w:rsid w:val="00351B44"/>
    <w:rsid w:val="00351B5E"/>
    <w:rsid w:val="00351C74"/>
    <w:rsid w:val="0035213D"/>
    <w:rsid w:val="00352199"/>
    <w:rsid w:val="0035260E"/>
    <w:rsid w:val="003527A5"/>
    <w:rsid w:val="003527F0"/>
    <w:rsid w:val="00352835"/>
    <w:rsid w:val="00352DC2"/>
    <w:rsid w:val="00352E08"/>
    <w:rsid w:val="00353DD6"/>
    <w:rsid w:val="00353E08"/>
    <w:rsid w:val="003540B3"/>
    <w:rsid w:val="00354D40"/>
    <w:rsid w:val="00354EB0"/>
    <w:rsid w:val="003552D0"/>
    <w:rsid w:val="0035539B"/>
    <w:rsid w:val="0035564D"/>
    <w:rsid w:val="0035575C"/>
    <w:rsid w:val="00355775"/>
    <w:rsid w:val="00355789"/>
    <w:rsid w:val="00355947"/>
    <w:rsid w:val="00355A5C"/>
    <w:rsid w:val="00355B19"/>
    <w:rsid w:val="00355C57"/>
    <w:rsid w:val="003560DE"/>
    <w:rsid w:val="003561FE"/>
    <w:rsid w:val="00356222"/>
    <w:rsid w:val="00356423"/>
    <w:rsid w:val="003566A5"/>
    <w:rsid w:val="00356965"/>
    <w:rsid w:val="00356B95"/>
    <w:rsid w:val="0035701B"/>
    <w:rsid w:val="0035746B"/>
    <w:rsid w:val="003577A4"/>
    <w:rsid w:val="00357979"/>
    <w:rsid w:val="003579E4"/>
    <w:rsid w:val="00360099"/>
    <w:rsid w:val="00360689"/>
    <w:rsid w:val="00360ABF"/>
    <w:rsid w:val="00360C73"/>
    <w:rsid w:val="00360D4A"/>
    <w:rsid w:val="00360DCD"/>
    <w:rsid w:val="003611B5"/>
    <w:rsid w:val="00361250"/>
    <w:rsid w:val="00361367"/>
    <w:rsid w:val="003614D5"/>
    <w:rsid w:val="003614EA"/>
    <w:rsid w:val="00361ECF"/>
    <w:rsid w:val="00361FEF"/>
    <w:rsid w:val="0036216C"/>
    <w:rsid w:val="003623AA"/>
    <w:rsid w:val="00362730"/>
    <w:rsid w:val="00362977"/>
    <w:rsid w:val="003629D5"/>
    <w:rsid w:val="00362C31"/>
    <w:rsid w:val="00362DEA"/>
    <w:rsid w:val="003630CF"/>
    <w:rsid w:val="0036369B"/>
    <w:rsid w:val="00363712"/>
    <w:rsid w:val="0036397F"/>
    <w:rsid w:val="0036402A"/>
    <w:rsid w:val="00364243"/>
    <w:rsid w:val="003643AA"/>
    <w:rsid w:val="003646FB"/>
    <w:rsid w:val="00364815"/>
    <w:rsid w:val="0036494F"/>
    <w:rsid w:val="003655F1"/>
    <w:rsid w:val="0036560A"/>
    <w:rsid w:val="003656E7"/>
    <w:rsid w:val="00365793"/>
    <w:rsid w:val="00365886"/>
    <w:rsid w:val="00365F17"/>
    <w:rsid w:val="00366B46"/>
    <w:rsid w:val="00366DAB"/>
    <w:rsid w:val="00367682"/>
    <w:rsid w:val="0036776E"/>
    <w:rsid w:val="00367846"/>
    <w:rsid w:val="0036785E"/>
    <w:rsid w:val="003678CA"/>
    <w:rsid w:val="0036798D"/>
    <w:rsid w:val="00367B5D"/>
    <w:rsid w:val="00367E78"/>
    <w:rsid w:val="003701D8"/>
    <w:rsid w:val="00370330"/>
    <w:rsid w:val="00370707"/>
    <w:rsid w:val="003708F3"/>
    <w:rsid w:val="003709DB"/>
    <w:rsid w:val="00370A51"/>
    <w:rsid w:val="003711DB"/>
    <w:rsid w:val="0037121C"/>
    <w:rsid w:val="00371277"/>
    <w:rsid w:val="00371364"/>
    <w:rsid w:val="003717E1"/>
    <w:rsid w:val="00371B46"/>
    <w:rsid w:val="00371C60"/>
    <w:rsid w:val="00371C8E"/>
    <w:rsid w:val="00371DAA"/>
    <w:rsid w:val="00372103"/>
    <w:rsid w:val="00372259"/>
    <w:rsid w:val="00372370"/>
    <w:rsid w:val="00372809"/>
    <w:rsid w:val="00372901"/>
    <w:rsid w:val="00372B49"/>
    <w:rsid w:val="00373076"/>
    <w:rsid w:val="003731AF"/>
    <w:rsid w:val="003735EE"/>
    <w:rsid w:val="003737B7"/>
    <w:rsid w:val="00373847"/>
    <w:rsid w:val="00373A20"/>
    <w:rsid w:val="00373ABE"/>
    <w:rsid w:val="00373B2C"/>
    <w:rsid w:val="00373EEB"/>
    <w:rsid w:val="003741FE"/>
    <w:rsid w:val="003742AD"/>
    <w:rsid w:val="00374458"/>
    <w:rsid w:val="00374524"/>
    <w:rsid w:val="00374529"/>
    <w:rsid w:val="00374678"/>
    <w:rsid w:val="00374A17"/>
    <w:rsid w:val="00374BEC"/>
    <w:rsid w:val="00374CF2"/>
    <w:rsid w:val="00374D54"/>
    <w:rsid w:val="0037515A"/>
    <w:rsid w:val="00375247"/>
    <w:rsid w:val="00375341"/>
    <w:rsid w:val="003753E8"/>
    <w:rsid w:val="003757CA"/>
    <w:rsid w:val="00375808"/>
    <w:rsid w:val="00375C29"/>
    <w:rsid w:val="00375F76"/>
    <w:rsid w:val="003764C0"/>
    <w:rsid w:val="00376709"/>
    <w:rsid w:val="0037673B"/>
    <w:rsid w:val="00376D06"/>
    <w:rsid w:val="0037707F"/>
    <w:rsid w:val="003770D0"/>
    <w:rsid w:val="003770D4"/>
    <w:rsid w:val="003770DB"/>
    <w:rsid w:val="0037746D"/>
    <w:rsid w:val="00377592"/>
    <w:rsid w:val="00377852"/>
    <w:rsid w:val="003778C9"/>
    <w:rsid w:val="00377934"/>
    <w:rsid w:val="00377E1C"/>
    <w:rsid w:val="00377FF8"/>
    <w:rsid w:val="00380288"/>
    <w:rsid w:val="00380481"/>
    <w:rsid w:val="003805D3"/>
    <w:rsid w:val="00380ADE"/>
    <w:rsid w:val="00380B4E"/>
    <w:rsid w:val="00380D7A"/>
    <w:rsid w:val="003819A2"/>
    <w:rsid w:val="00381B58"/>
    <w:rsid w:val="00381B7B"/>
    <w:rsid w:val="00381CFD"/>
    <w:rsid w:val="00382016"/>
    <w:rsid w:val="0038218C"/>
    <w:rsid w:val="003826C2"/>
    <w:rsid w:val="00382701"/>
    <w:rsid w:val="00382848"/>
    <w:rsid w:val="00382CA8"/>
    <w:rsid w:val="00383027"/>
    <w:rsid w:val="0038324C"/>
    <w:rsid w:val="00383516"/>
    <w:rsid w:val="0038370F"/>
    <w:rsid w:val="003839F1"/>
    <w:rsid w:val="00383D0E"/>
    <w:rsid w:val="0038408B"/>
    <w:rsid w:val="003841A6"/>
    <w:rsid w:val="0038476A"/>
    <w:rsid w:val="003847D1"/>
    <w:rsid w:val="00384949"/>
    <w:rsid w:val="00384AB2"/>
    <w:rsid w:val="00384DE1"/>
    <w:rsid w:val="00384E1E"/>
    <w:rsid w:val="003850B4"/>
    <w:rsid w:val="003852D4"/>
    <w:rsid w:val="003854C6"/>
    <w:rsid w:val="003856C1"/>
    <w:rsid w:val="003857D1"/>
    <w:rsid w:val="00385DB6"/>
    <w:rsid w:val="00385FB8"/>
    <w:rsid w:val="003860C3"/>
    <w:rsid w:val="0038617B"/>
    <w:rsid w:val="003861BB"/>
    <w:rsid w:val="0038666D"/>
    <w:rsid w:val="00386D26"/>
    <w:rsid w:val="00386E25"/>
    <w:rsid w:val="003872D3"/>
    <w:rsid w:val="00387340"/>
    <w:rsid w:val="00387BAF"/>
    <w:rsid w:val="00387BE1"/>
    <w:rsid w:val="003900E9"/>
    <w:rsid w:val="003901CD"/>
    <w:rsid w:val="00390587"/>
    <w:rsid w:val="00390A4C"/>
    <w:rsid w:val="00390CA1"/>
    <w:rsid w:val="00391587"/>
    <w:rsid w:val="00392338"/>
    <w:rsid w:val="003923A7"/>
    <w:rsid w:val="003923FB"/>
    <w:rsid w:val="0039254C"/>
    <w:rsid w:val="00392770"/>
    <w:rsid w:val="00392D5B"/>
    <w:rsid w:val="00392FDD"/>
    <w:rsid w:val="003932EF"/>
    <w:rsid w:val="0039349F"/>
    <w:rsid w:val="0039358C"/>
    <w:rsid w:val="00393B79"/>
    <w:rsid w:val="003940D1"/>
    <w:rsid w:val="003942B4"/>
    <w:rsid w:val="00394393"/>
    <w:rsid w:val="00394624"/>
    <w:rsid w:val="00394662"/>
    <w:rsid w:val="00394841"/>
    <w:rsid w:val="003948B5"/>
    <w:rsid w:val="0039511E"/>
    <w:rsid w:val="003951BE"/>
    <w:rsid w:val="003951E2"/>
    <w:rsid w:val="00395216"/>
    <w:rsid w:val="003952B9"/>
    <w:rsid w:val="0039546E"/>
    <w:rsid w:val="00395B39"/>
    <w:rsid w:val="00395E67"/>
    <w:rsid w:val="003962D1"/>
    <w:rsid w:val="003969F1"/>
    <w:rsid w:val="00396A84"/>
    <w:rsid w:val="00396B1A"/>
    <w:rsid w:val="00396F8A"/>
    <w:rsid w:val="00397052"/>
    <w:rsid w:val="00397EAD"/>
    <w:rsid w:val="003A0075"/>
    <w:rsid w:val="003A007B"/>
    <w:rsid w:val="003A00A4"/>
    <w:rsid w:val="003A0325"/>
    <w:rsid w:val="003A0366"/>
    <w:rsid w:val="003A04A4"/>
    <w:rsid w:val="003A0793"/>
    <w:rsid w:val="003A0A37"/>
    <w:rsid w:val="003A0C72"/>
    <w:rsid w:val="003A0F4D"/>
    <w:rsid w:val="003A14D5"/>
    <w:rsid w:val="003A160D"/>
    <w:rsid w:val="003A1626"/>
    <w:rsid w:val="003A1761"/>
    <w:rsid w:val="003A1AF2"/>
    <w:rsid w:val="003A1CDE"/>
    <w:rsid w:val="003A25D5"/>
    <w:rsid w:val="003A27E5"/>
    <w:rsid w:val="003A2B3E"/>
    <w:rsid w:val="003A2C66"/>
    <w:rsid w:val="003A2E37"/>
    <w:rsid w:val="003A2EA4"/>
    <w:rsid w:val="003A3063"/>
    <w:rsid w:val="003A3174"/>
    <w:rsid w:val="003A340C"/>
    <w:rsid w:val="003A3A6E"/>
    <w:rsid w:val="003A3CBF"/>
    <w:rsid w:val="003A3FF3"/>
    <w:rsid w:val="003A423A"/>
    <w:rsid w:val="003A45E1"/>
    <w:rsid w:val="003A4792"/>
    <w:rsid w:val="003A47BD"/>
    <w:rsid w:val="003A4846"/>
    <w:rsid w:val="003A4C2B"/>
    <w:rsid w:val="003A4D9F"/>
    <w:rsid w:val="003A4EAB"/>
    <w:rsid w:val="003A4EC4"/>
    <w:rsid w:val="003A5095"/>
    <w:rsid w:val="003A54B5"/>
    <w:rsid w:val="003A5662"/>
    <w:rsid w:val="003A5715"/>
    <w:rsid w:val="003A57C9"/>
    <w:rsid w:val="003A5C97"/>
    <w:rsid w:val="003A5D48"/>
    <w:rsid w:val="003A5DC0"/>
    <w:rsid w:val="003A6023"/>
    <w:rsid w:val="003A6505"/>
    <w:rsid w:val="003A657B"/>
    <w:rsid w:val="003A6AE6"/>
    <w:rsid w:val="003A6E00"/>
    <w:rsid w:val="003A6E1E"/>
    <w:rsid w:val="003A6F13"/>
    <w:rsid w:val="003A6F7B"/>
    <w:rsid w:val="003A7422"/>
    <w:rsid w:val="003A7657"/>
    <w:rsid w:val="003A7711"/>
    <w:rsid w:val="003A79D9"/>
    <w:rsid w:val="003A7BF2"/>
    <w:rsid w:val="003A7F4C"/>
    <w:rsid w:val="003A7FC6"/>
    <w:rsid w:val="003A7FE7"/>
    <w:rsid w:val="003B0174"/>
    <w:rsid w:val="003B0792"/>
    <w:rsid w:val="003B0D50"/>
    <w:rsid w:val="003B0D86"/>
    <w:rsid w:val="003B1218"/>
    <w:rsid w:val="003B133D"/>
    <w:rsid w:val="003B14C4"/>
    <w:rsid w:val="003B1500"/>
    <w:rsid w:val="003B15DD"/>
    <w:rsid w:val="003B1B1E"/>
    <w:rsid w:val="003B1BF3"/>
    <w:rsid w:val="003B1CC7"/>
    <w:rsid w:val="003B1D5B"/>
    <w:rsid w:val="003B2171"/>
    <w:rsid w:val="003B21D3"/>
    <w:rsid w:val="003B21E8"/>
    <w:rsid w:val="003B2365"/>
    <w:rsid w:val="003B2589"/>
    <w:rsid w:val="003B2BF3"/>
    <w:rsid w:val="003B3823"/>
    <w:rsid w:val="003B3B61"/>
    <w:rsid w:val="003B3BC9"/>
    <w:rsid w:val="003B3D81"/>
    <w:rsid w:val="003B3E7F"/>
    <w:rsid w:val="003B3E8E"/>
    <w:rsid w:val="003B3EAC"/>
    <w:rsid w:val="003B3F1E"/>
    <w:rsid w:val="003B3FE9"/>
    <w:rsid w:val="003B443C"/>
    <w:rsid w:val="003B4880"/>
    <w:rsid w:val="003B489E"/>
    <w:rsid w:val="003B4915"/>
    <w:rsid w:val="003B4A92"/>
    <w:rsid w:val="003B4E39"/>
    <w:rsid w:val="003B4EED"/>
    <w:rsid w:val="003B5423"/>
    <w:rsid w:val="003B5517"/>
    <w:rsid w:val="003B5CD2"/>
    <w:rsid w:val="003B5F40"/>
    <w:rsid w:val="003B5F4D"/>
    <w:rsid w:val="003B616A"/>
    <w:rsid w:val="003B62AA"/>
    <w:rsid w:val="003B6453"/>
    <w:rsid w:val="003B6518"/>
    <w:rsid w:val="003B6A03"/>
    <w:rsid w:val="003B6A60"/>
    <w:rsid w:val="003B6E0D"/>
    <w:rsid w:val="003B6F2F"/>
    <w:rsid w:val="003B70E7"/>
    <w:rsid w:val="003B7575"/>
    <w:rsid w:val="003B776B"/>
    <w:rsid w:val="003B7812"/>
    <w:rsid w:val="003B7833"/>
    <w:rsid w:val="003B7A23"/>
    <w:rsid w:val="003B7C5A"/>
    <w:rsid w:val="003B7D94"/>
    <w:rsid w:val="003B7ED6"/>
    <w:rsid w:val="003C004D"/>
    <w:rsid w:val="003C016C"/>
    <w:rsid w:val="003C0535"/>
    <w:rsid w:val="003C0A03"/>
    <w:rsid w:val="003C0A5F"/>
    <w:rsid w:val="003C11BE"/>
    <w:rsid w:val="003C15E4"/>
    <w:rsid w:val="003C1731"/>
    <w:rsid w:val="003C181D"/>
    <w:rsid w:val="003C1C3B"/>
    <w:rsid w:val="003C1DE3"/>
    <w:rsid w:val="003C1DFE"/>
    <w:rsid w:val="003C1F7F"/>
    <w:rsid w:val="003C2257"/>
    <w:rsid w:val="003C22DE"/>
    <w:rsid w:val="003C2459"/>
    <w:rsid w:val="003C25F3"/>
    <w:rsid w:val="003C2831"/>
    <w:rsid w:val="003C29C3"/>
    <w:rsid w:val="003C35C2"/>
    <w:rsid w:val="003C3644"/>
    <w:rsid w:val="003C37DF"/>
    <w:rsid w:val="003C3C5A"/>
    <w:rsid w:val="003C3D65"/>
    <w:rsid w:val="003C3E23"/>
    <w:rsid w:val="003C3F14"/>
    <w:rsid w:val="003C4110"/>
    <w:rsid w:val="003C427A"/>
    <w:rsid w:val="003C4389"/>
    <w:rsid w:val="003C438C"/>
    <w:rsid w:val="003C4461"/>
    <w:rsid w:val="003C4A6B"/>
    <w:rsid w:val="003C4F1F"/>
    <w:rsid w:val="003C5284"/>
    <w:rsid w:val="003C57DF"/>
    <w:rsid w:val="003C58A8"/>
    <w:rsid w:val="003C59A3"/>
    <w:rsid w:val="003C5E3B"/>
    <w:rsid w:val="003C5F95"/>
    <w:rsid w:val="003C61BD"/>
    <w:rsid w:val="003C62E1"/>
    <w:rsid w:val="003C6665"/>
    <w:rsid w:val="003C6D28"/>
    <w:rsid w:val="003C6E2C"/>
    <w:rsid w:val="003C6EAB"/>
    <w:rsid w:val="003C704A"/>
    <w:rsid w:val="003C7052"/>
    <w:rsid w:val="003C74BB"/>
    <w:rsid w:val="003C752A"/>
    <w:rsid w:val="003C788F"/>
    <w:rsid w:val="003C7B26"/>
    <w:rsid w:val="003C7E42"/>
    <w:rsid w:val="003D048C"/>
    <w:rsid w:val="003D0A07"/>
    <w:rsid w:val="003D0AC3"/>
    <w:rsid w:val="003D0D40"/>
    <w:rsid w:val="003D147D"/>
    <w:rsid w:val="003D1CEE"/>
    <w:rsid w:val="003D1E80"/>
    <w:rsid w:val="003D1FC2"/>
    <w:rsid w:val="003D2112"/>
    <w:rsid w:val="003D2233"/>
    <w:rsid w:val="003D23AD"/>
    <w:rsid w:val="003D25CE"/>
    <w:rsid w:val="003D295F"/>
    <w:rsid w:val="003D2BB2"/>
    <w:rsid w:val="003D2C55"/>
    <w:rsid w:val="003D2D77"/>
    <w:rsid w:val="003D328D"/>
    <w:rsid w:val="003D3517"/>
    <w:rsid w:val="003D35DA"/>
    <w:rsid w:val="003D3947"/>
    <w:rsid w:val="003D3B00"/>
    <w:rsid w:val="003D3B45"/>
    <w:rsid w:val="003D3E3C"/>
    <w:rsid w:val="003D3EF4"/>
    <w:rsid w:val="003D3F37"/>
    <w:rsid w:val="003D40F4"/>
    <w:rsid w:val="003D4BBE"/>
    <w:rsid w:val="003D4DB8"/>
    <w:rsid w:val="003D510C"/>
    <w:rsid w:val="003D5166"/>
    <w:rsid w:val="003D523C"/>
    <w:rsid w:val="003D59CD"/>
    <w:rsid w:val="003D6867"/>
    <w:rsid w:val="003D6A04"/>
    <w:rsid w:val="003D6B13"/>
    <w:rsid w:val="003D6EA7"/>
    <w:rsid w:val="003D6FD9"/>
    <w:rsid w:val="003D798C"/>
    <w:rsid w:val="003D7D7B"/>
    <w:rsid w:val="003D7DBB"/>
    <w:rsid w:val="003E000B"/>
    <w:rsid w:val="003E0899"/>
    <w:rsid w:val="003E0B88"/>
    <w:rsid w:val="003E0C2D"/>
    <w:rsid w:val="003E0CF9"/>
    <w:rsid w:val="003E0EDA"/>
    <w:rsid w:val="003E0F86"/>
    <w:rsid w:val="003E0FC8"/>
    <w:rsid w:val="003E103E"/>
    <w:rsid w:val="003E1779"/>
    <w:rsid w:val="003E1A1C"/>
    <w:rsid w:val="003E20CB"/>
    <w:rsid w:val="003E2190"/>
    <w:rsid w:val="003E232D"/>
    <w:rsid w:val="003E243C"/>
    <w:rsid w:val="003E261E"/>
    <w:rsid w:val="003E26F2"/>
    <w:rsid w:val="003E27C1"/>
    <w:rsid w:val="003E30CE"/>
    <w:rsid w:val="003E30D6"/>
    <w:rsid w:val="003E313B"/>
    <w:rsid w:val="003E327D"/>
    <w:rsid w:val="003E3440"/>
    <w:rsid w:val="003E359D"/>
    <w:rsid w:val="003E38B7"/>
    <w:rsid w:val="003E3CE6"/>
    <w:rsid w:val="003E412A"/>
    <w:rsid w:val="003E4428"/>
    <w:rsid w:val="003E462E"/>
    <w:rsid w:val="003E4960"/>
    <w:rsid w:val="003E4BAE"/>
    <w:rsid w:val="003E50C8"/>
    <w:rsid w:val="003E5117"/>
    <w:rsid w:val="003E52E4"/>
    <w:rsid w:val="003E5456"/>
    <w:rsid w:val="003E5647"/>
    <w:rsid w:val="003E57A5"/>
    <w:rsid w:val="003E5850"/>
    <w:rsid w:val="003E5F98"/>
    <w:rsid w:val="003E62CC"/>
    <w:rsid w:val="003E639B"/>
    <w:rsid w:val="003E65D5"/>
    <w:rsid w:val="003E6B0D"/>
    <w:rsid w:val="003E6FC8"/>
    <w:rsid w:val="003E7C43"/>
    <w:rsid w:val="003E7D0C"/>
    <w:rsid w:val="003E7DD6"/>
    <w:rsid w:val="003E7FEB"/>
    <w:rsid w:val="003F0325"/>
    <w:rsid w:val="003F0992"/>
    <w:rsid w:val="003F0ABD"/>
    <w:rsid w:val="003F0C33"/>
    <w:rsid w:val="003F0CCC"/>
    <w:rsid w:val="003F1601"/>
    <w:rsid w:val="003F1830"/>
    <w:rsid w:val="003F1C18"/>
    <w:rsid w:val="003F1E84"/>
    <w:rsid w:val="003F1F52"/>
    <w:rsid w:val="003F1F69"/>
    <w:rsid w:val="003F21B8"/>
    <w:rsid w:val="003F24B3"/>
    <w:rsid w:val="003F26F1"/>
    <w:rsid w:val="003F2726"/>
    <w:rsid w:val="003F29AC"/>
    <w:rsid w:val="003F3016"/>
    <w:rsid w:val="003F3234"/>
    <w:rsid w:val="003F335A"/>
    <w:rsid w:val="003F3390"/>
    <w:rsid w:val="003F3395"/>
    <w:rsid w:val="003F3492"/>
    <w:rsid w:val="003F3B6C"/>
    <w:rsid w:val="003F3B74"/>
    <w:rsid w:val="003F3E7A"/>
    <w:rsid w:val="003F45D2"/>
    <w:rsid w:val="003F4993"/>
    <w:rsid w:val="003F4FCB"/>
    <w:rsid w:val="003F5287"/>
    <w:rsid w:val="003F590C"/>
    <w:rsid w:val="003F59E3"/>
    <w:rsid w:val="003F63EB"/>
    <w:rsid w:val="003F6B51"/>
    <w:rsid w:val="003F6CB8"/>
    <w:rsid w:val="003F6DCE"/>
    <w:rsid w:val="003F6E03"/>
    <w:rsid w:val="003F6EA3"/>
    <w:rsid w:val="003F7557"/>
    <w:rsid w:val="003F792A"/>
    <w:rsid w:val="003F7B36"/>
    <w:rsid w:val="003F7D57"/>
    <w:rsid w:val="004012ED"/>
    <w:rsid w:val="00401354"/>
    <w:rsid w:val="0040136A"/>
    <w:rsid w:val="004013BF"/>
    <w:rsid w:val="004015A1"/>
    <w:rsid w:val="00401652"/>
    <w:rsid w:val="0040170B"/>
    <w:rsid w:val="0040185F"/>
    <w:rsid w:val="00401A46"/>
    <w:rsid w:val="00401CD5"/>
    <w:rsid w:val="00402190"/>
    <w:rsid w:val="00402310"/>
    <w:rsid w:val="0040250F"/>
    <w:rsid w:val="004027F6"/>
    <w:rsid w:val="00402BD0"/>
    <w:rsid w:val="00402E7A"/>
    <w:rsid w:val="0040307C"/>
    <w:rsid w:val="004030F2"/>
    <w:rsid w:val="00403420"/>
    <w:rsid w:val="004037AF"/>
    <w:rsid w:val="0040385D"/>
    <w:rsid w:val="00403B89"/>
    <w:rsid w:val="00403C8B"/>
    <w:rsid w:val="004044F7"/>
    <w:rsid w:val="004048A3"/>
    <w:rsid w:val="00404D12"/>
    <w:rsid w:val="00405143"/>
    <w:rsid w:val="004056C4"/>
    <w:rsid w:val="0040578C"/>
    <w:rsid w:val="004058A5"/>
    <w:rsid w:val="00405BEA"/>
    <w:rsid w:val="0040652A"/>
    <w:rsid w:val="004067BA"/>
    <w:rsid w:val="00407339"/>
    <w:rsid w:val="00407421"/>
    <w:rsid w:val="004074DA"/>
    <w:rsid w:val="00407BC2"/>
    <w:rsid w:val="00407C72"/>
    <w:rsid w:val="00407C93"/>
    <w:rsid w:val="00407E86"/>
    <w:rsid w:val="0041050A"/>
    <w:rsid w:val="00410675"/>
    <w:rsid w:val="00410A9D"/>
    <w:rsid w:val="00410C3C"/>
    <w:rsid w:val="00410F3E"/>
    <w:rsid w:val="004111C5"/>
    <w:rsid w:val="00411248"/>
    <w:rsid w:val="0041177A"/>
    <w:rsid w:val="00411ACF"/>
    <w:rsid w:val="004120A2"/>
    <w:rsid w:val="004127AD"/>
    <w:rsid w:val="00412AAF"/>
    <w:rsid w:val="00412AB4"/>
    <w:rsid w:val="00412E57"/>
    <w:rsid w:val="00412EB0"/>
    <w:rsid w:val="00413058"/>
    <w:rsid w:val="00413467"/>
    <w:rsid w:val="0041348B"/>
    <w:rsid w:val="00413512"/>
    <w:rsid w:val="0041353F"/>
    <w:rsid w:val="00413A52"/>
    <w:rsid w:val="00413AD0"/>
    <w:rsid w:val="00413D2E"/>
    <w:rsid w:val="00414058"/>
    <w:rsid w:val="0041413D"/>
    <w:rsid w:val="00414416"/>
    <w:rsid w:val="00414F3F"/>
    <w:rsid w:val="004151AB"/>
    <w:rsid w:val="004153B3"/>
    <w:rsid w:val="00415486"/>
    <w:rsid w:val="0041648C"/>
    <w:rsid w:val="0041668F"/>
    <w:rsid w:val="00416762"/>
    <w:rsid w:val="00416822"/>
    <w:rsid w:val="00416868"/>
    <w:rsid w:val="00416967"/>
    <w:rsid w:val="00416A28"/>
    <w:rsid w:val="00416B91"/>
    <w:rsid w:val="00417192"/>
    <w:rsid w:val="004179BE"/>
    <w:rsid w:val="00417E85"/>
    <w:rsid w:val="004201DF"/>
    <w:rsid w:val="0042066B"/>
    <w:rsid w:val="004209EB"/>
    <w:rsid w:val="0042113D"/>
    <w:rsid w:val="004214BE"/>
    <w:rsid w:val="00421730"/>
    <w:rsid w:val="00421F21"/>
    <w:rsid w:val="00422011"/>
    <w:rsid w:val="004223A2"/>
    <w:rsid w:val="00422490"/>
    <w:rsid w:val="00422582"/>
    <w:rsid w:val="004226EA"/>
    <w:rsid w:val="00422776"/>
    <w:rsid w:val="00422BBB"/>
    <w:rsid w:val="00423345"/>
    <w:rsid w:val="004233A4"/>
    <w:rsid w:val="0042341C"/>
    <w:rsid w:val="00423649"/>
    <w:rsid w:val="00423651"/>
    <w:rsid w:val="00423FE4"/>
    <w:rsid w:val="00423FE9"/>
    <w:rsid w:val="0042453F"/>
    <w:rsid w:val="00424697"/>
    <w:rsid w:val="0042492B"/>
    <w:rsid w:val="00424B89"/>
    <w:rsid w:val="00424C0D"/>
    <w:rsid w:val="00424C9F"/>
    <w:rsid w:val="00424CD2"/>
    <w:rsid w:val="00424D1A"/>
    <w:rsid w:val="00424F78"/>
    <w:rsid w:val="00425418"/>
    <w:rsid w:val="00425A58"/>
    <w:rsid w:val="00425D98"/>
    <w:rsid w:val="00425ED3"/>
    <w:rsid w:val="004260A5"/>
    <w:rsid w:val="004265AC"/>
    <w:rsid w:val="00427276"/>
    <w:rsid w:val="004272C5"/>
    <w:rsid w:val="00427AA7"/>
    <w:rsid w:val="00427B97"/>
    <w:rsid w:val="00427E0F"/>
    <w:rsid w:val="00427E2C"/>
    <w:rsid w:val="004302DE"/>
    <w:rsid w:val="0043054A"/>
    <w:rsid w:val="004305C9"/>
    <w:rsid w:val="004308CA"/>
    <w:rsid w:val="00430D8F"/>
    <w:rsid w:val="00430DBB"/>
    <w:rsid w:val="0043100B"/>
    <w:rsid w:val="004311C4"/>
    <w:rsid w:val="004313A7"/>
    <w:rsid w:val="004313DF"/>
    <w:rsid w:val="004315DE"/>
    <w:rsid w:val="00431A16"/>
    <w:rsid w:val="00431B24"/>
    <w:rsid w:val="004321DE"/>
    <w:rsid w:val="00432398"/>
    <w:rsid w:val="0043299A"/>
    <w:rsid w:val="004329D0"/>
    <w:rsid w:val="00432FAC"/>
    <w:rsid w:val="004331D0"/>
    <w:rsid w:val="0043392B"/>
    <w:rsid w:val="0043479A"/>
    <w:rsid w:val="00434B88"/>
    <w:rsid w:val="00434C16"/>
    <w:rsid w:val="004352B7"/>
    <w:rsid w:val="00435405"/>
    <w:rsid w:val="00435460"/>
    <w:rsid w:val="0043570B"/>
    <w:rsid w:val="00435893"/>
    <w:rsid w:val="004358D8"/>
    <w:rsid w:val="004359E3"/>
    <w:rsid w:val="00435ABC"/>
    <w:rsid w:val="00435C63"/>
    <w:rsid w:val="00435CB4"/>
    <w:rsid w:val="00435E05"/>
    <w:rsid w:val="00435E3E"/>
    <w:rsid w:val="00435F7D"/>
    <w:rsid w:val="004362AB"/>
    <w:rsid w:val="0043666F"/>
    <w:rsid w:val="004367FE"/>
    <w:rsid w:val="004369C4"/>
    <w:rsid w:val="00436CA0"/>
    <w:rsid w:val="0043708E"/>
    <w:rsid w:val="0043715A"/>
    <w:rsid w:val="00437185"/>
    <w:rsid w:val="0043791F"/>
    <w:rsid w:val="00437AE5"/>
    <w:rsid w:val="00437D9B"/>
    <w:rsid w:val="00437DBE"/>
    <w:rsid w:val="004400B2"/>
    <w:rsid w:val="004402C9"/>
    <w:rsid w:val="00440403"/>
    <w:rsid w:val="00440904"/>
    <w:rsid w:val="00440C3C"/>
    <w:rsid w:val="00440E38"/>
    <w:rsid w:val="00440EA1"/>
    <w:rsid w:val="00440EA2"/>
    <w:rsid w:val="00441102"/>
    <w:rsid w:val="0044114A"/>
    <w:rsid w:val="004411E1"/>
    <w:rsid w:val="004414CD"/>
    <w:rsid w:val="00441C87"/>
    <w:rsid w:val="00442217"/>
    <w:rsid w:val="00442273"/>
    <w:rsid w:val="00442367"/>
    <w:rsid w:val="004426E3"/>
    <w:rsid w:val="00442C71"/>
    <w:rsid w:val="00442DB8"/>
    <w:rsid w:val="00442DDC"/>
    <w:rsid w:val="00442F47"/>
    <w:rsid w:val="004430AD"/>
    <w:rsid w:val="00443336"/>
    <w:rsid w:val="00443782"/>
    <w:rsid w:val="00443B76"/>
    <w:rsid w:val="00443CB1"/>
    <w:rsid w:val="00443D7F"/>
    <w:rsid w:val="00443E1B"/>
    <w:rsid w:val="00443F19"/>
    <w:rsid w:val="00444268"/>
    <w:rsid w:val="0044429B"/>
    <w:rsid w:val="004442A7"/>
    <w:rsid w:val="004442DF"/>
    <w:rsid w:val="00444814"/>
    <w:rsid w:val="00444AEC"/>
    <w:rsid w:val="004451BC"/>
    <w:rsid w:val="004453AB"/>
    <w:rsid w:val="00445426"/>
    <w:rsid w:val="00445889"/>
    <w:rsid w:val="00445D13"/>
    <w:rsid w:val="00445D15"/>
    <w:rsid w:val="00445D21"/>
    <w:rsid w:val="00445E5A"/>
    <w:rsid w:val="00446AF7"/>
    <w:rsid w:val="00446C8B"/>
    <w:rsid w:val="00446EFE"/>
    <w:rsid w:val="00446F90"/>
    <w:rsid w:val="00446FBB"/>
    <w:rsid w:val="00447222"/>
    <w:rsid w:val="0044735F"/>
    <w:rsid w:val="004478DC"/>
    <w:rsid w:val="00447ED3"/>
    <w:rsid w:val="00450188"/>
    <w:rsid w:val="0045048E"/>
    <w:rsid w:val="00450C1C"/>
    <w:rsid w:val="004512BF"/>
    <w:rsid w:val="00451594"/>
    <w:rsid w:val="00451829"/>
    <w:rsid w:val="004518BB"/>
    <w:rsid w:val="00451AA4"/>
    <w:rsid w:val="004520BD"/>
    <w:rsid w:val="0045245F"/>
    <w:rsid w:val="00452611"/>
    <w:rsid w:val="004527A7"/>
    <w:rsid w:val="00452897"/>
    <w:rsid w:val="00453559"/>
    <w:rsid w:val="00453671"/>
    <w:rsid w:val="004547CA"/>
    <w:rsid w:val="004548D8"/>
    <w:rsid w:val="00454D75"/>
    <w:rsid w:val="00454DDA"/>
    <w:rsid w:val="004550AA"/>
    <w:rsid w:val="00455132"/>
    <w:rsid w:val="00455135"/>
    <w:rsid w:val="00455355"/>
    <w:rsid w:val="0045557B"/>
    <w:rsid w:val="00455651"/>
    <w:rsid w:val="00455B35"/>
    <w:rsid w:val="00455F1F"/>
    <w:rsid w:val="004562DE"/>
    <w:rsid w:val="00456349"/>
    <w:rsid w:val="0045648E"/>
    <w:rsid w:val="0045671E"/>
    <w:rsid w:val="004567E9"/>
    <w:rsid w:val="00456946"/>
    <w:rsid w:val="00456951"/>
    <w:rsid w:val="00456F3A"/>
    <w:rsid w:val="00457110"/>
    <w:rsid w:val="0045712E"/>
    <w:rsid w:val="004571A8"/>
    <w:rsid w:val="004574C9"/>
    <w:rsid w:val="0045767B"/>
    <w:rsid w:val="00457A79"/>
    <w:rsid w:val="00457C40"/>
    <w:rsid w:val="00460236"/>
    <w:rsid w:val="00460359"/>
    <w:rsid w:val="004605E2"/>
    <w:rsid w:val="00460D6C"/>
    <w:rsid w:val="00460DE5"/>
    <w:rsid w:val="0046109C"/>
    <w:rsid w:val="004610FC"/>
    <w:rsid w:val="00461182"/>
    <w:rsid w:val="0046124A"/>
    <w:rsid w:val="0046172B"/>
    <w:rsid w:val="0046198D"/>
    <w:rsid w:val="00461A42"/>
    <w:rsid w:val="00461ED0"/>
    <w:rsid w:val="004623DD"/>
    <w:rsid w:val="0046241C"/>
    <w:rsid w:val="00462530"/>
    <w:rsid w:val="00462A57"/>
    <w:rsid w:val="00462C49"/>
    <w:rsid w:val="00462EAB"/>
    <w:rsid w:val="0046304C"/>
    <w:rsid w:val="0046339F"/>
    <w:rsid w:val="00463A0A"/>
    <w:rsid w:val="00463B27"/>
    <w:rsid w:val="00463E24"/>
    <w:rsid w:val="00463EF7"/>
    <w:rsid w:val="0046435F"/>
    <w:rsid w:val="00464990"/>
    <w:rsid w:val="00464CB7"/>
    <w:rsid w:val="00464CE8"/>
    <w:rsid w:val="00464E75"/>
    <w:rsid w:val="004654E5"/>
    <w:rsid w:val="00465630"/>
    <w:rsid w:val="004656B7"/>
    <w:rsid w:val="00465781"/>
    <w:rsid w:val="004658FB"/>
    <w:rsid w:val="00465B67"/>
    <w:rsid w:val="00465DF1"/>
    <w:rsid w:val="00466001"/>
    <w:rsid w:val="00466055"/>
    <w:rsid w:val="0046652F"/>
    <w:rsid w:val="004665A9"/>
    <w:rsid w:val="004665AF"/>
    <w:rsid w:val="00466A6C"/>
    <w:rsid w:val="00466B00"/>
    <w:rsid w:val="00466CD1"/>
    <w:rsid w:val="00466FD4"/>
    <w:rsid w:val="0046722E"/>
    <w:rsid w:val="004672F9"/>
    <w:rsid w:val="0046752A"/>
    <w:rsid w:val="004675B7"/>
    <w:rsid w:val="00467CB6"/>
    <w:rsid w:val="0047045F"/>
    <w:rsid w:val="0047047F"/>
    <w:rsid w:val="004706E4"/>
    <w:rsid w:val="00470704"/>
    <w:rsid w:val="004709F5"/>
    <w:rsid w:val="004719F7"/>
    <w:rsid w:val="00471F67"/>
    <w:rsid w:val="00471F8D"/>
    <w:rsid w:val="0047238F"/>
    <w:rsid w:val="00472CDF"/>
    <w:rsid w:val="00472F11"/>
    <w:rsid w:val="00473321"/>
    <w:rsid w:val="0047349E"/>
    <w:rsid w:val="004734CE"/>
    <w:rsid w:val="0047359F"/>
    <w:rsid w:val="00473831"/>
    <w:rsid w:val="004739D3"/>
    <w:rsid w:val="0047424D"/>
    <w:rsid w:val="004744F3"/>
    <w:rsid w:val="004745B2"/>
    <w:rsid w:val="00474759"/>
    <w:rsid w:val="00474A8B"/>
    <w:rsid w:val="00474A8D"/>
    <w:rsid w:val="00474C5C"/>
    <w:rsid w:val="00474E40"/>
    <w:rsid w:val="00475136"/>
    <w:rsid w:val="00475675"/>
    <w:rsid w:val="004758FE"/>
    <w:rsid w:val="00475A1B"/>
    <w:rsid w:val="00475C5A"/>
    <w:rsid w:val="00476395"/>
    <w:rsid w:val="004764A2"/>
    <w:rsid w:val="004766F0"/>
    <w:rsid w:val="00476A49"/>
    <w:rsid w:val="004772F3"/>
    <w:rsid w:val="00477313"/>
    <w:rsid w:val="004773BA"/>
    <w:rsid w:val="00477432"/>
    <w:rsid w:val="00477498"/>
    <w:rsid w:val="0047783F"/>
    <w:rsid w:val="0047797C"/>
    <w:rsid w:val="00477C34"/>
    <w:rsid w:val="00477C72"/>
    <w:rsid w:val="00477CDD"/>
    <w:rsid w:val="00477D1D"/>
    <w:rsid w:val="00477EC6"/>
    <w:rsid w:val="00480060"/>
    <w:rsid w:val="00480333"/>
    <w:rsid w:val="00480452"/>
    <w:rsid w:val="00480B02"/>
    <w:rsid w:val="00481076"/>
    <w:rsid w:val="004810D7"/>
    <w:rsid w:val="004813D0"/>
    <w:rsid w:val="00481556"/>
    <w:rsid w:val="00481BF0"/>
    <w:rsid w:val="00481CD4"/>
    <w:rsid w:val="004821C3"/>
    <w:rsid w:val="0048288B"/>
    <w:rsid w:val="00482CFD"/>
    <w:rsid w:val="00482F6D"/>
    <w:rsid w:val="00482F92"/>
    <w:rsid w:val="00483240"/>
    <w:rsid w:val="004832A4"/>
    <w:rsid w:val="004833B6"/>
    <w:rsid w:val="00483406"/>
    <w:rsid w:val="00483500"/>
    <w:rsid w:val="00483899"/>
    <w:rsid w:val="00483CAC"/>
    <w:rsid w:val="00483D3F"/>
    <w:rsid w:val="004840E7"/>
    <w:rsid w:val="00484301"/>
    <w:rsid w:val="004843AB"/>
    <w:rsid w:val="00484456"/>
    <w:rsid w:val="0048472F"/>
    <w:rsid w:val="00484D7C"/>
    <w:rsid w:val="00485184"/>
    <w:rsid w:val="0048529D"/>
    <w:rsid w:val="004853AD"/>
    <w:rsid w:val="00485478"/>
    <w:rsid w:val="00485C95"/>
    <w:rsid w:val="00485E5E"/>
    <w:rsid w:val="004868C1"/>
    <w:rsid w:val="00486B07"/>
    <w:rsid w:val="00486D6F"/>
    <w:rsid w:val="00486E57"/>
    <w:rsid w:val="00486EFF"/>
    <w:rsid w:val="0048714F"/>
    <w:rsid w:val="00487518"/>
    <w:rsid w:val="00490366"/>
    <w:rsid w:val="004904FD"/>
    <w:rsid w:val="00490540"/>
    <w:rsid w:val="00490592"/>
    <w:rsid w:val="0049059F"/>
    <w:rsid w:val="00490623"/>
    <w:rsid w:val="004916DE"/>
    <w:rsid w:val="004918DF"/>
    <w:rsid w:val="00491E99"/>
    <w:rsid w:val="00492109"/>
    <w:rsid w:val="00492211"/>
    <w:rsid w:val="00492310"/>
    <w:rsid w:val="004923C6"/>
    <w:rsid w:val="0049256E"/>
    <w:rsid w:val="00492665"/>
    <w:rsid w:val="00492747"/>
    <w:rsid w:val="004927BE"/>
    <w:rsid w:val="00492C25"/>
    <w:rsid w:val="0049308B"/>
    <w:rsid w:val="004938EA"/>
    <w:rsid w:val="00493A46"/>
    <w:rsid w:val="0049442B"/>
    <w:rsid w:val="00494894"/>
    <w:rsid w:val="00494E13"/>
    <w:rsid w:val="00495030"/>
    <w:rsid w:val="00495659"/>
    <w:rsid w:val="00495CAA"/>
    <w:rsid w:val="004963B1"/>
    <w:rsid w:val="00496575"/>
    <w:rsid w:val="0049672F"/>
    <w:rsid w:val="004968BC"/>
    <w:rsid w:val="00496B71"/>
    <w:rsid w:val="00496D97"/>
    <w:rsid w:val="00496E12"/>
    <w:rsid w:val="004972FA"/>
    <w:rsid w:val="00497832"/>
    <w:rsid w:val="00497972"/>
    <w:rsid w:val="004979C5"/>
    <w:rsid w:val="00497CD9"/>
    <w:rsid w:val="004A03DF"/>
    <w:rsid w:val="004A043B"/>
    <w:rsid w:val="004A05F4"/>
    <w:rsid w:val="004A09D6"/>
    <w:rsid w:val="004A0AB5"/>
    <w:rsid w:val="004A13B9"/>
    <w:rsid w:val="004A145D"/>
    <w:rsid w:val="004A17D1"/>
    <w:rsid w:val="004A180D"/>
    <w:rsid w:val="004A1C5C"/>
    <w:rsid w:val="004A2069"/>
    <w:rsid w:val="004A206F"/>
    <w:rsid w:val="004A2504"/>
    <w:rsid w:val="004A2652"/>
    <w:rsid w:val="004A2A17"/>
    <w:rsid w:val="004A2BC6"/>
    <w:rsid w:val="004A2BD1"/>
    <w:rsid w:val="004A3138"/>
    <w:rsid w:val="004A3175"/>
    <w:rsid w:val="004A3289"/>
    <w:rsid w:val="004A328F"/>
    <w:rsid w:val="004A3332"/>
    <w:rsid w:val="004A33F0"/>
    <w:rsid w:val="004A358D"/>
    <w:rsid w:val="004A38E7"/>
    <w:rsid w:val="004A39BB"/>
    <w:rsid w:val="004A3F9A"/>
    <w:rsid w:val="004A40C1"/>
    <w:rsid w:val="004A411F"/>
    <w:rsid w:val="004A44FD"/>
    <w:rsid w:val="004A4B99"/>
    <w:rsid w:val="004A4E9D"/>
    <w:rsid w:val="004A505D"/>
    <w:rsid w:val="004A5068"/>
    <w:rsid w:val="004A5612"/>
    <w:rsid w:val="004A5750"/>
    <w:rsid w:val="004A5B7C"/>
    <w:rsid w:val="004A5E4F"/>
    <w:rsid w:val="004A6026"/>
    <w:rsid w:val="004A64AD"/>
    <w:rsid w:val="004A695A"/>
    <w:rsid w:val="004A6ACD"/>
    <w:rsid w:val="004A6CBD"/>
    <w:rsid w:val="004A71E7"/>
    <w:rsid w:val="004A748D"/>
    <w:rsid w:val="004A76D4"/>
    <w:rsid w:val="004A781B"/>
    <w:rsid w:val="004A7919"/>
    <w:rsid w:val="004A79EE"/>
    <w:rsid w:val="004A7AA0"/>
    <w:rsid w:val="004A7CA2"/>
    <w:rsid w:val="004B00AC"/>
    <w:rsid w:val="004B0210"/>
    <w:rsid w:val="004B0779"/>
    <w:rsid w:val="004B0D2A"/>
    <w:rsid w:val="004B1491"/>
    <w:rsid w:val="004B156F"/>
    <w:rsid w:val="004B1624"/>
    <w:rsid w:val="004B178A"/>
    <w:rsid w:val="004B1C0B"/>
    <w:rsid w:val="004B1DB3"/>
    <w:rsid w:val="004B2B32"/>
    <w:rsid w:val="004B2EBE"/>
    <w:rsid w:val="004B2FCA"/>
    <w:rsid w:val="004B30D2"/>
    <w:rsid w:val="004B3198"/>
    <w:rsid w:val="004B371B"/>
    <w:rsid w:val="004B39A4"/>
    <w:rsid w:val="004B39F6"/>
    <w:rsid w:val="004B3B21"/>
    <w:rsid w:val="004B3BB8"/>
    <w:rsid w:val="004B400A"/>
    <w:rsid w:val="004B403C"/>
    <w:rsid w:val="004B4217"/>
    <w:rsid w:val="004B4302"/>
    <w:rsid w:val="004B431F"/>
    <w:rsid w:val="004B4499"/>
    <w:rsid w:val="004B477F"/>
    <w:rsid w:val="004B4BD6"/>
    <w:rsid w:val="004B4C36"/>
    <w:rsid w:val="004B53EE"/>
    <w:rsid w:val="004B57B9"/>
    <w:rsid w:val="004B5BF2"/>
    <w:rsid w:val="004B5D6C"/>
    <w:rsid w:val="004B5EC1"/>
    <w:rsid w:val="004B61AC"/>
    <w:rsid w:val="004B6605"/>
    <w:rsid w:val="004B6866"/>
    <w:rsid w:val="004B69A5"/>
    <w:rsid w:val="004B6EF0"/>
    <w:rsid w:val="004B6F52"/>
    <w:rsid w:val="004B71C2"/>
    <w:rsid w:val="004B7905"/>
    <w:rsid w:val="004B7AEE"/>
    <w:rsid w:val="004B7BD4"/>
    <w:rsid w:val="004B7C18"/>
    <w:rsid w:val="004B7C7C"/>
    <w:rsid w:val="004B7D58"/>
    <w:rsid w:val="004C01DD"/>
    <w:rsid w:val="004C01F3"/>
    <w:rsid w:val="004C0EB1"/>
    <w:rsid w:val="004C13E2"/>
    <w:rsid w:val="004C15EC"/>
    <w:rsid w:val="004C2052"/>
    <w:rsid w:val="004C2087"/>
    <w:rsid w:val="004C2168"/>
    <w:rsid w:val="004C228A"/>
    <w:rsid w:val="004C2560"/>
    <w:rsid w:val="004C25F3"/>
    <w:rsid w:val="004C2C83"/>
    <w:rsid w:val="004C2DB6"/>
    <w:rsid w:val="004C2F56"/>
    <w:rsid w:val="004C30D9"/>
    <w:rsid w:val="004C3120"/>
    <w:rsid w:val="004C34CB"/>
    <w:rsid w:val="004C3EA4"/>
    <w:rsid w:val="004C44B0"/>
    <w:rsid w:val="004C4C38"/>
    <w:rsid w:val="004C4D5A"/>
    <w:rsid w:val="004C4E03"/>
    <w:rsid w:val="004C4F11"/>
    <w:rsid w:val="004C536B"/>
    <w:rsid w:val="004C5618"/>
    <w:rsid w:val="004C5A11"/>
    <w:rsid w:val="004C5DF0"/>
    <w:rsid w:val="004C618A"/>
    <w:rsid w:val="004C61E4"/>
    <w:rsid w:val="004C67E7"/>
    <w:rsid w:val="004C68BD"/>
    <w:rsid w:val="004C6CFB"/>
    <w:rsid w:val="004C710D"/>
    <w:rsid w:val="004C73A2"/>
    <w:rsid w:val="004C74B6"/>
    <w:rsid w:val="004C76D3"/>
    <w:rsid w:val="004C775E"/>
    <w:rsid w:val="004C7794"/>
    <w:rsid w:val="004C7AF8"/>
    <w:rsid w:val="004C7C50"/>
    <w:rsid w:val="004C7D91"/>
    <w:rsid w:val="004C7EDB"/>
    <w:rsid w:val="004D00B5"/>
    <w:rsid w:val="004D00EA"/>
    <w:rsid w:val="004D00FB"/>
    <w:rsid w:val="004D04D8"/>
    <w:rsid w:val="004D0580"/>
    <w:rsid w:val="004D0854"/>
    <w:rsid w:val="004D0AD9"/>
    <w:rsid w:val="004D0C13"/>
    <w:rsid w:val="004D1028"/>
    <w:rsid w:val="004D1785"/>
    <w:rsid w:val="004D1A0A"/>
    <w:rsid w:val="004D2263"/>
    <w:rsid w:val="004D2725"/>
    <w:rsid w:val="004D2D1C"/>
    <w:rsid w:val="004D306A"/>
    <w:rsid w:val="004D348D"/>
    <w:rsid w:val="004D360D"/>
    <w:rsid w:val="004D3870"/>
    <w:rsid w:val="004D3C0D"/>
    <w:rsid w:val="004D3F51"/>
    <w:rsid w:val="004D45A9"/>
    <w:rsid w:val="004D49EB"/>
    <w:rsid w:val="004D4BF8"/>
    <w:rsid w:val="004D4DB7"/>
    <w:rsid w:val="004D4EF7"/>
    <w:rsid w:val="004D4FA7"/>
    <w:rsid w:val="004D5018"/>
    <w:rsid w:val="004D523A"/>
    <w:rsid w:val="004D5465"/>
    <w:rsid w:val="004D5695"/>
    <w:rsid w:val="004D5A3F"/>
    <w:rsid w:val="004D5B6E"/>
    <w:rsid w:val="004D5FC3"/>
    <w:rsid w:val="004D62CE"/>
    <w:rsid w:val="004D634E"/>
    <w:rsid w:val="004D651B"/>
    <w:rsid w:val="004D67CC"/>
    <w:rsid w:val="004D6DFD"/>
    <w:rsid w:val="004D7DF5"/>
    <w:rsid w:val="004D7FD0"/>
    <w:rsid w:val="004E0341"/>
    <w:rsid w:val="004E038A"/>
    <w:rsid w:val="004E0402"/>
    <w:rsid w:val="004E040A"/>
    <w:rsid w:val="004E0582"/>
    <w:rsid w:val="004E0E67"/>
    <w:rsid w:val="004E1339"/>
    <w:rsid w:val="004E1416"/>
    <w:rsid w:val="004E152C"/>
    <w:rsid w:val="004E19EE"/>
    <w:rsid w:val="004E1E80"/>
    <w:rsid w:val="004E1EB1"/>
    <w:rsid w:val="004E1FE8"/>
    <w:rsid w:val="004E2763"/>
    <w:rsid w:val="004E2F25"/>
    <w:rsid w:val="004E343A"/>
    <w:rsid w:val="004E4424"/>
    <w:rsid w:val="004E4920"/>
    <w:rsid w:val="004E4D3E"/>
    <w:rsid w:val="004E4D42"/>
    <w:rsid w:val="004E4F74"/>
    <w:rsid w:val="004E5045"/>
    <w:rsid w:val="004E5218"/>
    <w:rsid w:val="004E531F"/>
    <w:rsid w:val="004E562F"/>
    <w:rsid w:val="004E59DE"/>
    <w:rsid w:val="004E616B"/>
    <w:rsid w:val="004E644B"/>
    <w:rsid w:val="004E69E2"/>
    <w:rsid w:val="004E69F6"/>
    <w:rsid w:val="004E6A18"/>
    <w:rsid w:val="004E6FD0"/>
    <w:rsid w:val="004E707C"/>
    <w:rsid w:val="004E719E"/>
    <w:rsid w:val="004E76E5"/>
    <w:rsid w:val="004E7895"/>
    <w:rsid w:val="004E7DC0"/>
    <w:rsid w:val="004E7F75"/>
    <w:rsid w:val="004F0051"/>
    <w:rsid w:val="004F0128"/>
    <w:rsid w:val="004F035E"/>
    <w:rsid w:val="004F0FAE"/>
    <w:rsid w:val="004F0FC9"/>
    <w:rsid w:val="004F15FA"/>
    <w:rsid w:val="004F1722"/>
    <w:rsid w:val="004F1818"/>
    <w:rsid w:val="004F1DF1"/>
    <w:rsid w:val="004F1E1B"/>
    <w:rsid w:val="004F1EBB"/>
    <w:rsid w:val="004F2264"/>
    <w:rsid w:val="004F2D32"/>
    <w:rsid w:val="004F2E6E"/>
    <w:rsid w:val="004F37CE"/>
    <w:rsid w:val="004F3996"/>
    <w:rsid w:val="004F3B67"/>
    <w:rsid w:val="004F3E02"/>
    <w:rsid w:val="004F3E3D"/>
    <w:rsid w:val="004F461E"/>
    <w:rsid w:val="004F4659"/>
    <w:rsid w:val="004F4AB6"/>
    <w:rsid w:val="004F4B93"/>
    <w:rsid w:val="004F5042"/>
    <w:rsid w:val="004F50C7"/>
    <w:rsid w:val="004F57F1"/>
    <w:rsid w:val="004F58C8"/>
    <w:rsid w:val="004F5D97"/>
    <w:rsid w:val="004F61B4"/>
    <w:rsid w:val="004F6344"/>
    <w:rsid w:val="004F6375"/>
    <w:rsid w:val="004F6869"/>
    <w:rsid w:val="004F6B75"/>
    <w:rsid w:val="004F6BFB"/>
    <w:rsid w:val="004F6CC3"/>
    <w:rsid w:val="004F6DC5"/>
    <w:rsid w:val="004F782F"/>
    <w:rsid w:val="004F7883"/>
    <w:rsid w:val="004F78C3"/>
    <w:rsid w:val="004F7B2B"/>
    <w:rsid w:val="004F7DFE"/>
    <w:rsid w:val="00500150"/>
    <w:rsid w:val="00500A18"/>
    <w:rsid w:val="00500B66"/>
    <w:rsid w:val="005010ED"/>
    <w:rsid w:val="00501158"/>
    <w:rsid w:val="00501347"/>
    <w:rsid w:val="0050141D"/>
    <w:rsid w:val="005016E9"/>
    <w:rsid w:val="0050186F"/>
    <w:rsid w:val="00501B9F"/>
    <w:rsid w:val="00501D51"/>
    <w:rsid w:val="00501DF8"/>
    <w:rsid w:val="00502176"/>
    <w:rsid w:val="00502A30"/>
    <w:rsid w:val="00502C7E"/>
    <w:rsid w:val="00503160"/>
    <w:rsid w:val="005031C9"/>
    <w:rsid w:val="00503607"/>
    <w:rsid w:val="005038F6"/>
    <w:rsid w:val="00503A1E"/>
    <w:rsid w:val="00503C01"/>
    <w:rsid w:val="00504592"/>
    <w:rsid w:val="005049E4"/>
    <w:rsid w:val="00504A5D"/>
    <w:rsid w:val="00504C4D"/>
    <w:rsid w:val="00504E3C"/>
    <w:rsid w:val="00505027"/>
    <w:rsid w:val="005050A6"/>
    <w:rsid w:val="005050B5"/>
    <w:rsid w:val="005053A7"/>
    <w:rsid w:val="005054AC"/>
    <w:rsid w:val="0050562F"/>
    <w:rsid w:val="00505925"/>
    <w:rsid w:val="00505EC0"/>
    <w:rsid w:val="0050639B"/>
    <w:rsid w:val="00506741"/>
    <w:rsid w:val="00506D80"/>
    <w:rsid w:val="00506F5F"/>
    <w:rsid w:val="005070DB"/>
    <w:rsid w:val="00507224"/>
    <w:rsid w:val="00507953"/>
    <w:rsid w:val="00507988"/>
    <w:rsid w:val="00507BAC"/>
    <w:rsid w:val="00507EA8"/>
    <w:rsid w:val="00510096"/>
    <w:rsid w:val="0051049D"/>
    <w:rsid w:val="00510AC7"/>
    <w:rsid w:val="00510E8E"/>
    <w:rsid w:val="00511118"/>
    <w:rsid w:val="00511332"/>
    <w:rsid w:val="00511508"/>
    <w:rsid w:val="005116F3"/>
    <w:rsid w:val="005117E0"/>
    <w:rsid w:val="00511A60"/>
    <w:rsid w:val="00511BC1"/>
    <w:rsid w:val="00511F75"/>
    <w:rsid w:val="0051214B"/>
    <w:rsid w:val="005127AB"/>
    <w:rsid w:val="0051288C"/>
    <w:rsid w:val="00512BE5"/>
    <w:rsid w:val="00512E70"/>
    <w:rsid w:val="00513051"/>
    <w:rsid w:val="0051376F"/>
    <w:rsid w:val="00513B3B"/>
    <w:rsid w:val="00513C12"/>
    <w:rsid w:val="00513DFE"/>
    <w:rsid w:val="00514345"/>
    <w:rsid w:val="005145E9"/>
    <w:rsid w:val="00514977"/>
    <w:rsid w:val="00514BFA"/>
    <w:rsid w:val="00514E2C"/>
    <w:rsid w:val="00514F7A"/>
    <w:rsid w:val="00514FEA"/>
    <w:rsid w:val="0051551C"/>
    <w:rsid w:val="00515CAB"/>
    <w:rsid w:val="00515E70"/>
    <w:rsid w:val="00515F86"/>
    <w:rsid w:val="00516189"/>
    <w:rsid w:val="00516383"/>
    <w:rsid w:val="00516559"/>
    <w:rsid w:val="00516598"/>
    <w:rsid w:val="00516A4A"/>
    <w:rsid w:val="00516FC4"/>
    <w:rsid w:val="00517581"/>
    <w:rsid w:val="005200E5"/>
    <w:rsid w:val="005201B6"/>
    <w:rsid w:val="005202D4"/>
    <w:rsid w:val="005206B9"/>
    <w:rsid w:val="00520805"/>
    <w:rsid w:val="00520B4B"/>
    <w:rsid w:val="00520C20"/>
    <w:rsid w:val="00520D92"/>
    <w:rsid w:val="00520E60"/>
    <w:rsid w:val="00520F6D"/>
    <w:rsid w:val="00520FD6"/>
    <w:rsid w:val="00521150"/>
    <w:rsid w:val="005216F0"/>
    <w:rsid w:val="0052182D"/>
    <w:rsid w:val="00521893"/>
    <w:rsid w:val="00521D38"/>
    <w:rsid w:val="00521E43"/>
    <w:rsid w:val="00522704"/>
    <w:rsid w:val="0052279F"/>
    <w:rsid w:val="00522DC9"/>
    <w:rsid w:val="00522F50"/>
    <w:rsid w:val="00523166"/>
    <w:rsid w:val="005231EA"/>
    <w:rsid w:val="005236F7"/>
    <w:rsid w:val="005238AC"/>
    <w:rsid w:val="00523FBF"/>
    <w:rsid w:val="0052437B"/>
    <w:rsid w:val="00524452"/>
    <w:rsid w:val="005244BC"/>
    <w:rsid w:val="0052466A"/>
    <w:rsid w:val="00525051"/>
    <w:rsid w:val="0052534C"/>
    <w:rsid w:val="00525592"/>
    <w:rsid w:val="005256DE"/>
    <w:rsid w:val="00525757"/>
    <w:rsid w:val="005258D9"/>
    <w:rsid w:val="00525FC5"/>
    <w:rsid w:val="0052627C"/>
    <w:rsid w:val="00526AB3"/>
    <w:rsid w:val="00526C18"/>
    <w:rsid w:val="00526E0B"/>
    <w:rsid w:val="00527335"/>
    <w:rsid w:val="00527393"/>
    <w:rsid w:val="0052740E"/>
    <w:rsid w:val="00527413"/>
    <w:rsid w:val="00527FB7"/>
    <w:rsid w:val="005303AB"/>
    <w:rsid w:val="005304D5"/>
    <w:rsid w:val="00530939"/>
    <w:rsid w:val="00530E9C"/>
    <w:rsid w:val="00530FF2"/>
    <w:rsid w:val="00531193"/>
    <w:rsid w:val="005312C5"/>
    <w:rsid w:val="00531332"/>
    <w:rsid w:val="0053171E"/>
    <w:rsid w:val="00531795"/>
    <w:rsid w:val="00531BDF"/>
    <w:rsid w:val="005324F9"/>
    <w:rsid w:val="00532570"/>
    <w:rsid w:val="00532797"/>
    <w:rsid w:val="0053294D"/>
    <w:rsid w:val="0053306B"/>
    <w:rsid w:val="005335D9"/>
    <w:rsid w:val="005345BA"/>
    <w:rsid w:val="00534619"/>
    <w:rsid w:val="0053482C"/>
    <w:rsid w:val="005349E3"/>
    <w:rsid w:val="00534BF2"/>
    <w:rsid w:val="00534F70"/>
    <w:rsid w:val="0053510D"/>
    <w:rsid w:val="005352E3"/>
    <w:rsid w:val="005357B5"/>
    <w:rsid w:val="00535ABE"/>
    <w:rsid w:val="00535FEA"/>
    <w:rsid w:val="005368EF"/>
    <w:rsid w:val="00536E99"/>
    <w:rsid w:val="005370CD"/>
    <w:rsid w:val="00537585"/>
    <w:rsid w:val="005376CD"/>
    <w:rsid w:val="00537927"/>
    <w:rsid w:val="00537B31"/>
    <w:rsid w:val="00537D60"/>
    <w:rsid w:val="00537E10"/>
    <w:rsid w:val="00537E39"/>
    <w:rsid w:val="005400AD"/>
    <w:rsid w:val="0054012A"/>
    <w:rsid w:val="005401E9"/>
    <w:rsid w:val="005404E6"/>
    <w:rsid w:val="00540853"/>
    <w:rsid w:val="00540EB1"/>
    <w:rsid w:val="00540FC8"/>
    <w:rsid w:val="005415F4"/>
    <w:rsid w:val="005415FD"/>
    <w:rsid w:val="00541632"/>
    <w:rsid w:val="0054166F"/>
    <w:rsid w:val="005417B9"/>
    <w:rsid w:val="00541A67"/>
    <w:rsid w:val="00541BBC"/>
    <w:rsid w:val="00542004"/>
    <w:rsid w:val="005427FA"/>
    <w:rsid w:val="00543144"/>
    <w:rsid w:val="00543310"/>
    <w:rsid w:val="00543A0A"/>
    <w:rsid w:val="00543C37"/>
    <w:rsid w:val="00543D1A"/>
    <w:rsid w:val="00543D25"/>
    <w:rsid w:val="00543DB2"/>
    <w:rsid w:val="00543E5B"/>
    <w:rsid w:val="00544063"/>
    <w:rsid w:val="00544776"/>
    <w:rsid w:val="00544851"/>
    <w:rsid w:val="0054493A"/>
    <w:rsid w:val="00544EE8"/>
    <w:rsid w:val="005452B4"/>
    <w:rsid w:val="00545482"/>
    <w:rsid w:val="00545897"/>
    <w:rsid w:val="00545D85"/>
    <w:rsid w:val="00546040"/>
    <w:rsid w:val="0054741C"/>
    <w:rsid w:val="0054745C"/>
    <w:rsid w:val="005475AE"/>
    <w:rsid w:val="00547888"/>
    <w:rsid w:val="00547C79"/>
    <w:rsid w:val="00547CCE"/>
    <w:rsid w:val="005505DA"/>
    <w:rsid w:val="0055090E"/>
    <w:rsid w:val="00550C94"/>
    <w:rsid w:val="00550DD5"/>
    <w:rsid w:val="0055113C"/>
    <w:rsid w:val="00551353"/>
    <w:rsid w:val="00551570"/>
    <w:rsid w:val="005517AC"/>
    <w:rsid w:val="0055185A"/>
    <w:rsid w:val="00551861"/>
    <w:rsid w:val="005519AE"/>
    <w:rsid w:val="00551E93"/>
    <w:rsid w:val="00551F58"/>
    <w:rsid w:val="00551FA8"/>
    <w:rsid w:val="00552323"/>
    <w:rsid w:val="00552552"/>
    <w:rsid w:val="00552967"/>
    <w:rsid w:val="00552F37"/>
    <w:rsid w:val="00552FCD"/>
    <w:rsid w:val="0055301F"/>
    <w:rsid w:val="00553234"/>
    <w:rsid w:val="00553251"/>
    <w:rsid w:val="0055332F"/>
    <w:rsid w:val="00553356"/>
    <w:rsid w:val="0055367A"/>
    <w:rsid w:val="005536B2"/>
    <w:rsid w:val="005538CB"/>
    <w:rsid w:val="00553B2D"/>
    <w:rsid w:val="00553CAC"/>
    <w:rsid w:val="00553D03"/>
    <w:rsid w:val="00553E52"/>
    <w:rsid w:val="0055410B"/>
    <w:rsid w:val="005542C7"/>
    <w:rsid w:val="00554400"/>
    <w:rsid w:val="005545E8"/>
    <w:rsid w:val="00554760"/>
    <w:rsid w:val="005548CF"/>
    <w:rsid w:val="00554A38"/>
    <w:rsid w:val="00554B09"/>
    <w:rsid w:val="00554BC7"/>
    <w:rsid w:val="00554C2F"/>
    <w:rsid w:val="00554CCB"/>
    <w:rsid w:val="00554D0A"/>
    <w:rsid w:val="00554D34"/>
    <w:rsid w:val="00554D5A"/>
    <w:rsid w:val="00554E36"/>
    <w:rsid w:val="00554FC1"/>
    <w:rsid w:val="0055500C"/>
    <w:rsid w:val="0055514C"/>
    <w:rsid w:val="0055518E"/>
    <w:rsid w:val="00555496"/>
    <w:rsid w:val="00555557"/>
    <w:rsid w:val="00555985"/>
    <w:rsid w:val="00555CBC"/>
    <w:rsid w:val="00555D65"/>
    <w:rsid w:val="005561CA"/>
    <w:rsid w:val="005563C6"/>
    <w:rsid w:val="00556448"/>
    <w:rsid w:val="0055647B"/>
    <w:rsid w:val="00556969"/>
    <w:rsid w:val="00556A34"/>
    <w:rsid w:val="00556B1D"/>
    <w:rsid w:val="00556ECA"/>
    <w:rsid w:val="00556F44"/>
    <w:rsid w:val="005573F7"/>
    <w:rsid w:val="005574C1"/>
    <w:rsid w:val="005575F4"/>
    <w:rsid w:val="00557ABD"/>
    <w:rsid w:val="00560A39"/>
    <w:rsid w:val="00560B7F"/>
    <w:rsid w:val="00560BE0"/>
    <w:rsid w:val="0056144A"/>
    <w:rsid w:val="00561853"/>
    <w:rsid w:val="005618B6"/>
    <w:rsid w:val="005618C8"/>
    <w:rsid w:val="005619A5"/>
    <w:rsid w:val="00561AD8"/>
    <w:rsid w:val="00561CD8"/>
    <w:rsid w:val="00561E6A"/>
    <w:rsid w:val="00562143"/>
    <w:rsid w:val="005621A2"/>
    <w:rsid w:val="00562292"/>
    <w:rsid w:val="00562BDB"/>
    <w:rsid w:val="00562E71"/>
    <w:rsid w:val="0056321F"/>
    <w:rsid w:val="00563780"/>
    <w:rsid w:val="00563BC0"/>
    <w:rsid w:val="00563DEC"/>
    <w:rsid w:val="0056409D"/>
    <w:rsid w:val="005642F4"/>
    <w:rsid w:val="005645F9"/>
    <w:rsid w:val="0056481F"/>
    <w:rsid w:val="00564EFB"/>
    <w:rsid w:val="00565451"/>
    <w:rsid w:val="0056585F"/>
    <w:rsid w:val="005658AA"/>
    <w:rsid w:val="00565A50"/>
    <w:rsid w:val="00565B27"/>
    <w:rsid w:val="00565B43"/>
    <w:rsid w:val="00565E5B"/>
    <w:rsid w:val="00565ED9"/>
    <w:rsid w:val="005665DB"/>
    <w:rsid w:val="00566A3D"/>
    <w:rsid w:val="00566C26"/>
    <w:rsid w:val="0056740D"/>
    <w:rsid w:val="00567B0B"/>
    <w:rsid w:val="00567D9C"/>
    <w:rsid w:val="00567F0E"/>
    <w:rsid w:val="00570151"/>
    <w:rsid w:val="00570230"/>
    <w:rsid w:val="005702B5"/>
    <w:rsid w:val="005702E2"/>
    <w:rsid w:val="0057044D"/>
    <w:rsid w:val="005706DD"/>
    <w:rsid w:val="0057110A"/>
    <w:rsid w:val="0057128F"/>
    <w:rsid w:val="00571543"/>
    <w:rsid w:val="00571AB8"/>
    <w:rsid w:val="005726FB"/>
    <w:rsid w:val="0057286C"/>
    <w:rsid w:val="00572F97"/>
    <w:rsid w:val="005731D6"/>
    <w:rsid w:val="00573320"/>
    <w:rsid w:val="005733B7"/>
    <w:rsid w:val="0057360B"/>
    <w:rsid w:val="005737E2"/>
    <w:rsid w:val="00573AB1"/>
    <w:rsid w:val="00573C69"/>
    <w:rsid w:val="005740CF"/>
    <w:rsid w:val="00574114"/>
    <w:rsid w:val="00574243"/>
    <w:rsid w:val="00574372"/>
    <w:rsid w:val="0057451B"/>
    <w:rsid w:val="00574542"/>
    <w:rsid w:val="0057467B"/>
    <w:rsid w:val="005747E8"/>
    <w:rsid w:val="00574B34"/>
    <w:rsid w:val="00574BD7"/>
    <w:rsid w:val="00574CBB"/>
    <w:rsid w:val="00574CEF"/>
    <w:rsid w:val="00575407"/>
    <w:rsid w:val="00575558"/>
    <w:rsid w:val="00575627"/>
    <w:rsid w:val="00575928"/>
    <w:rsid w:val="005759FF"/>
    <w:rsid w:val="00575C7D"/>
    <w:rsid w:val="005767DA"/>
    <w:rsid w:val="00576866"/>
    <w:rsid w:val="00576B3F"/>
    <w:rsid w:val="00576C49"/>
    <w:rsid w:val="00576CB7"/>
    <w:rsid w:val="00576DDC"/>
    <w:rsid w:val="00576F00"/>
    <w:rsid w:val="00576FEB"/>
    <w:rsid w:val="0057727E"/>
    <w:rsid w:val="00577840"/>
    <w:rsid w:val="005779B8"/>
    <w:rsid w:val="00577A3D"/>
    <w:rsid w:val="00577FC0"/>
    <w:rsid w:val="00580372"/>
    <w:rsid w:val="005811E8"/>
    <w:rsid w:val="00581533"/>
    <w:rsid w:val="005818D3"/>
    <w:rsid w:val="00581CFE"/>
    <w:rsid w:val="0058204E"/>
    <w:rsid w:val="0058234F"/>
    <w:rsid w:val="00582357"/>
    <w:rsid w:val="0058246F"/>
    <w:rsid w:val="0058283C"/>
    <w:rsid w:val="0058284E"/>
    <w:rsid w:val="00582988"/>
    <w:rsid w:val="00582BC6"/>
    <w:rsid w:val="005833F9"/>
    <w:rsid w:val="00583414"/>
    <w:rsid w:val="005836A0"/>
    <w:rsid w:val="00583746"/>
    <w:rsid w:val="00583A35"/>
    <w:rsid w:val="00583A90"/>
    <w:rsid w:val="00583DD8"/>
    <w:rsid w:val="00583E0D"/>
    <w:rsid w:val="00583F51"/>
    <w:rsid w:val="005847F7"/>
    <w:rsid w:val="0058481D"/>
    <w:rsid w:val="00585166"/>
    <w:rsid w:val="00585813"/>
    <w:rsid w:val="00585909"/>
    <w:rsid w:val="00585AB2"/>
    <w:rsid w:val="00585E78"/>
    <w:rsid w:val="0058608E"/>
    <w:rsid w:val="00586185"/>
    <w:rsid w:val="00586502"/>
    <w:rsid w:val="00586809"/>
    <w:rsid w:val="00586A1B"/>
    <w:rsid w:val="00586AD1"/>
    <w:rsid w:val="00586B9A"/>
    <w:rsid w:val="00586CEA"/>
    <w:rsid w:val="00586FB6"/>
    <w:rsid w:val="0058795E"/>
    <w:rsid w:val="005900F5"/>
    <w:rsid w:val="005901D2"/>
    <w:rsid w:val="00590660"/>
    <w:rsid w:val="00590722"/>
    <w:rsid w:val="00590BB1"/>
    <w:rsid w:val="00590BE3"/>
    <w:rsid w:val="005912CA"/>
    <w:rsid w:val="005915F2"/>
    <w:rsid w:val="00591D50"/>
    <w:rsid w:val="00592447"/>
    <w:rsid w:val="005924C1"/>
    <w:rsid w:val="00592636"/>
    <w:rsid w:val="00592978"/>
    <w:rsid w:val="00592CDB"/>
    <w:rsid w:val="00593129"/>
    <w:rsid w:val="005935B1"/>
    <w:rsid w:val="005936A4"/>
    <w:rsid w:val="00593C51"/>
    <w:rsid w:val="00594254"/>
    <w:rsid w:val="005942B0"/>
    <w:rsid w:val="005944A7"/>
    <w:rsid w:val="005945C7"/>
    <w:rsid w:val="00594C5B"/>
    <w:rsid w:val="00594D4C"/>
    <w:rsid w:val="0059528C"/>
    <w:rsid w:val="00595457"/>
    <w:rsid w:val="00595559"/>
    <w:rsid w:val="00595652"/>
    <w:rsid w:val="005956E8"/>
    <w:rsid w:val="005958DD"/>
    <w:rsid w:val="005959F0"/>
    <w:rsid w:val="00595A35"/>
    <w:rsid w:val="00595A61"/>
    <w:rsid w:val="00595B9E"/>
    <w:rsid w:val="00595CC6"/>
    <w:rsid w:val="00596521"/>
    <w:rsid w:val="00596686"/>
    <w:rsid w:val="00596922"/>
    <w:rsid w:val="005971C2"/>
    <w:rsid w:val="005977D4"/>
    <w:rsid w:val="00597F68"/>
    <w:rsid w:val="005A016F"/>
    <w:rsid w:val="005A017B"/>
    <w:rsid w:val="005A0182"/>
    <w:rsid w:val="005A04A0"/>
    <w:rsid w:val="005A0F5B"/>
    <w:rsid w:val="005A0FE0"/>
    <w:rsid w:val="005A117D"/>
    <w:rsid w:val="005A11E2"/>
    <w:rsid w:val="005A1702"/>
    <w:rsid w:val="005A1811"/>
    <w:rsid w:val="005A190F"/>
    <w:rsid w:val="005A1B66"/>
    <w:rsid w:val="005A1C16"/>
    <w:rsid w:val="005A1C87"/>
    <w:rsid w:val="005A1D04"/>
    <w:rsid w:val="005A215B"/>
    <w:rsid w:val="005A25AB"/>
    <w:rsid w:val="005A292B"/>
    <w:rsid w:val="005A2F35"/>
    <w:rsid w:val="005A3344"/>
    <w:rsid w:val="005A35CE"/>
    <w:rsid w:val="005A3672"/>
    <w:rsid w:val="005A38AA"/>
    <w:rsid w:val="005A3A9A"/>
    <w:rsid w:val="005A3AA8"/>
    <w:rsid w:val="005A3BD5"/>
    <w:rsid w:val="005A42BF"/>
    <w:rsid w:val="005A4327"/>
    <w:rsid w:val="005A44E1"/>
    <w:rsid w:val="005A4748"/>
    <w:rsid w:val="005A4885"/>
    <w:rsid w:val="005A4ABD"/>
    <w:rsid w:val="005A4FC5"/>
    <w:rsid w:val="005A505F"/>
    <w:rsid w:val="005A54AC"/>
    <w:rsid w:val="005A5699"/>
    <w:rsid w:val="005A5880"/>
    <w:rsid w:val="005A5928"/>
    <w:rsid w:val="005A5E03"/>
    <w:rsid w:val="005A5E44"/>
    <w:rsid w:val="005A6437"/>
    <w:rsid w:val="005A6649"/>
    <w:rsid w:val="005A66AD"/>
    <w:rsid w:val="005A7280"/>
    <w:rsid w:val="005A7595"/>
    <w:rsid w:val="005A75AB"/>
    <w:rsid w:val="005A766D"/>
    <w:rsid w:val="005A794C"/>
    <w:rsid w:val="005A7C8B"/>
    <w:rsid w:val="005A7F80"/>
    <w:rsid w:val="005B00D2"/>
    <w:rsid w:val="005B0154"/>
    <w:rsid w:val="005B016D"/>
    <w:rsid w:val="005B0332"/>
    <w:rsid w:val="005B0B3D"/>
    <w:rsid w:val="005B0D45"/>
    <w:rsid w:val="005B0E7F"/>
    <w:rsid w:val="005B0E80"/>
    <w:rsid w:val="005B10DD"/>
    <w:rsid w:val="005B1507"/>
    <w:rsid w:val="005B1754"/>
    <w:rsid w:val="005B17F6"/>
    <w:rsid w:val="005B1866"/>
    <w:rsid w:val="005B1918"/>
    <w:rsid w:val="005B1A38"/>
    <w:rsid w:val="005B1C5E"/>
    <w:rsid w:val="005B1D0B"/>
    <w:rsid w:val="005B1D65"/>
    <w:rsid w:val="005B1F75"/>
    <w:rsid w:val="005B23D3"/>
    <w:rsid w:val="005B258B"/>
    <w:rsid w:val="005B2803"/>
    <w:rsid w:val="005B2DB3"/>
    <w:rsid w:val="005B33BC"/>
    <w:rsid w:val="005B3902"/>
    <w:rsid w:val="005B3B6F"/>
    <w:rsid w:val="005B3B9F"/>
    <w:rsid w:val="005B4062"/>
    <w:rsid w:val="005B44C8"/>
    <w:rsid w:val="005B4644"/>
    <w:rsid w:val="005B526C"/>
    <w:rsid w:val="005B53E8"/>
    <w:rsid w:val="005B5C8E"/>
    <w:rsid w:val="005B5FF9"/>
    <w:rsid w:val="005B6134"/>
    <w:rsid w:val="005B622F"/>
    <w:rsid w:val="005B643A"/>
    <w:rsid w:val="005B6546"/>
    <w:rsid w:val="005B691B"/>
    <w:rsid w:val="005B6C7C"/>
    <w:rsid w:val="005B6F3B"/>
    <w:rsid w:val="005B72CE"/>
    <w:rsid w:val="005B7516"/>
    <w:rsid w:val="005B7DF6"/>
    <w:rsid w:val="005C044F"/>
    <w:rsid w:val="005C0612"/>
    <w:rsid w:val="005C06AE"/>
    <w:rsid w:val="005C0BF8"/>
    <w:rsid w:val="005C0D5D"/>
    <w:rsid w:val="005C11F8"/>
    <w:rsid w:val="005C15DD"/>
    <w:rsid w:val="005C17F4"/>
    <w:rsid w:val="005C19A6"/>
    <w:rsid w:val="005C1BFC"/>
    <w:rsid w:val="005C2105"/>
    <w:rsid w:val="005C24D6"/>
    <w:rsid w:val="005C258B"/>
    <w:rsid w:val="005C3191"/>
    <w:rsid w:val="005C32FB"/>
    <w:rsid w:val="005C356A"/>
    <w:rsid w:val="005C3593"/>
    <w:rsid w:val="005C368F"/>
    <w:rsid w:val="005C3882"/>
    <w:rsid w:val="005C3A43"/>
    <w:rsid w:val="005C3E88"/>
    <w:rsid w:val="005C42E3"/>
    <w:rsid w:val="005C47EE"/>
    <w:rsid w:val="005C584D"/>
    <w:rsid w:val="005C5B77"/>
    <w:rsid w:val="005C5BB9"/>
    <w:rsid w:val="005C5E17"/>
    <w:rsid w:val="005C5E68"/>
    <w:rsid w:val="005C6441"/>
    <w:rsid w:val="005C6577"/>
    <w:rsid w:val="005C669A"/>
    <w:rsid w:val="005C6721"/>
    <w:rsid w:val="005C6744"/>
    <w:rsid w:val="005C6789"/>
    <w:rsid w:val="005C6859"/>
    <w:rsid w:val="005C68BE"/>
    <w:rsid w:val="005C6992"/>
    <w:rsid w:val="005C6E47"/>
    <w:rsid w:val="005C726A"/>
    <w:rsid w:val="005C756B"/>
    <w:rsid w:val="005C7681"/>
    <w:rsid w:val="005C76A5"/>
    <w:rsid w:val="005C7774"/>
    <w:rsid w:val="005C77EA"/>
    <w:rsid w:val="005C79B3"/>
    <w:rsid w:val="005D054C"/>
    <w:rsid w:val="005D0608"/>
    <w:rsid w:val="005D0D31"/>
    <w:rsid w:val="005D1619"/>
    <w:rsid w:val="005D16D6"/>
    <w:rsid w:val="005D17A6"/>
    <w:rsid w:val="005D1983"/>
    <w:rsid w:val="005D1CDE"/>
    <w:rsid w:val="005D1EF1"/>
    <w:rsid w:val="005D203A"/>
    <w:rsid w:val="005D269F"/>
    <w:rsid w:val="005D2A94"/>
    <w:rsid w:val="005D2AC7"/>
    <w:rsid w:val="005D2CB1"/>
    <w:rsid w:val="005D30B5"/>
    <w:rsid w:val="005D31F0"/>
    <w:rsid w:val="005D33A5"/>
    <w:rsid w:val="005D3844"/>
    <w:rsid w:val="005D3EBA"/>
    <w:rsid w:val="005D4417"/>
    <w:rsid w:val="005D455B"/>
    <w:rsid w:val="005D4601"/>
    <w:rsid w:val="005D462A"/>
    <w:rsid w:val="005D4797"/>
    <w:rsid w:val="005D49C7"/>
    <w:rsid w:val="005D4C1A"/>
    <w:rsid w:val="005D508E"/>
    <w:rsid w:val="005D5BF7"/>
    <w:rsid w:val="005D5CF9"/>
    <w:rsid w:val="005D60D7"/>
    <w:rsid w:val="005D6422"/>
    <w:rsid w:val="005D6654"/>
    <w:rsid w:val="005D70A2"/>
    <w:rsid w:val="005D73C1"/>
    <w:rsid w:val="005D73F0"/>
    <w:rsid w:val="005D7641"/>
    <w:rsid w:val="005D7A7D"/>
    <w:rsid w:val="005D7BB8"/>
    <w:rsid w:val="005D7CF3"/>
    <w:rsid w:val="005D7D7E"/>
    <w:rsid w:val="005E00AB"/>
    <w:rsid w:val="005E019A"/>
    <w:rsid w:val="005E0244"/>
    <w:rsid w:val="005E0295"/>
    <w:rsid w:val="005E0361"/>
    <w:rsid w:val="005E087C"/>
    <w:rsid w:val="005E0F85"/>
    <w:rsid w:val="005E1303"/>
    <w:rsid w:val="005E17AC"/>
    <w:rsid w:val="005E185D"/>
    <w:rsid w:val="005E1A10"/>
    <w:rsid w:val="005E1BFC"/>
    <w:rsid w:val="005E1EE8"/>
    <w:rsid w:val="005E1EED"/>
    <w:rsid w:val="005E2455"/>
    <w:rsid w:val="005E2928"/>
    <w:rsid w:val="005E2BC6"/>
    <w:rsid w:val="005E304C"/>
    <w:rsid w:val="005E32E2"/>
    <w:rsid w:val="005E3300"/>
    <w:rsid w:val="005E3845"/>
    <w:rsid w:val="005E3B96"/>
    <w:rsid w:val="005E3F01"/>
    <w:rsid w:val="005E4123"/>
    <w:rsid w:val="005E4297"/>
    <w:rsid w:val="005E433E"/>
    <w:rsid w:val="005E4450"/>
    <w:rsid w:val="005E45BD"/>
    <w:rsid w:val="005E499A"/>
    <w:rsid w:val="005E49F6"/>
    <w:rsid w:val="005E4A4A"/>
    <w:rsid w:val="005E4D88"/>
    <w:rsid w:val="005E4E6C"/>
    <w:rsid w:val="005E5218"/>
    <w:rsid w:val="005E5B4D"/>
    <w:rsid w:val="005E5D66"/>
    <w:rsid w:val="005E6036"/>
    <w:rsid w:val="005E6121"/>
    <w:rsid w:val="005E6D27"/>
    <w:rsid w:val="005E70D8"/>
    <w:rsid w:val="005E766D"/>
    <w:rsid w:val="005E77F4"/>
    <w:rsid w:val="005E7C0D"/>
    <w:rsid w:val="005E7CB4"/>
    <w:rsid w:val="005F00EA"/>
    <w:rsid w:val="005F024B"/>
    <w:rsid w:val="005F047E"/>
    <w:rsid w:val="005F0889"/>
    <w:rsid w:val="005F0919"/>
    <w:rsid w:val="005F0B6E"/>
    <w:rsid w:val="005F0C8A"/>
    <w:rsid w:val="005F0E37"/>
    <w:rsid w:val="005F0EB8"/>
    <w:rsid w:val="005F0F97"/>
    <w:rsid w:val="005F161B"/>
    <w:rsid w:val="005F19A1"/>
    <w:rsid w:val="005F1B41"/>
    <w:rsid w:val="005F1BF7"/>
    <w:rsid w:val="005F1F4F"/>
    <w:rsid w:val="005F22C0"/>
    <w:rsid w:val="005F23C6"/>
    <w:rsid w:val="005F2445"/>
    <w:rsid w:val="005F2474"/>
    <w:rsid w:val="005F2D2E"/>
    <w:rsid w:val="005F3071"/>
    <w:rsid w:val="005F3628"/>
    <w:rsid w:val="005F382F"/>
    <w:rsid w:val="005F3B85"/>
    <w:rsid w:val="005F3C6E"/>
    <w:rsid w:val="005F3F0E"/>
    <w:rsid w:val="005F3F61"/>
    <w:rsid w:val="005F401B"/>
    <w:rsid w:val="005F42DE"/>
    <w:rsid w:val="005F4372"/>
    <w:rsid w:val="005F44DA"/>
    <w:rsid w:val="005F4828"/>
    <w:rsid w:val="005F4C10"/>
    <w:rsid w:val="005F4C31"/>
    <w:rsid w:val="005F5AA9"/>
    <w:rsid w:val="005F5C70"/>
    <w:rsid w:val="005F5D9B"/>
    <w:rsid w:val="005F5E13"/>
    <w:rsid w:val="005F5F5B"/>
    <w:rsid w:val="005F5F72"/>
    <w:rsid w:val="005F5FFF"/>
    <w:rsid w:val="005F624C"/>
    <w:rsid w:val="005F639D"/>
    <w:rsid w:val="005F6634"/>
    <w:rsid w:val="005F669B"/>
    <w:rsid w:val="005F6739"/>
    <w:rsid w:val="005F6E07"/>
    <w:rsid w:val="005F6E51"/>
    <w:rsid w:val="005F7269"/>
    <w:rsid w:val="005F7325"/>
    <w:rsid w:val="005F7FFE"/>
    <w:rsid w:val="0060049D"/>
    <w:rsid w:val="006008CD"/>
    <w:rsid w:val="00600904"/>
    <w:rsid w:val="00600DAB"/>
    <w:rsid w:val="0060128E"/>
    <w:rsid w:val="006013FA"/>
    <w:rsid w:val="00601517"/>
    <w:rsid w:val="006016A5"/>
    <w:rsid w:val="0060189E"/>
    <w:rsid w:val="00601B33"/>
    <w:rsid w:val="00601C00"/>
    <w:rsid w:val="00601E08"/>
    <w:rsid w:val="00601E18"/>
    <w:rsid w:val="00601F5A"/>
    <w:rsid w:val="00602297"/>
    <w:rsid w:val="00602428"/>
    <w:rsid w:val="006025F7"/>
    <w:rsid w:val="00602895"/>
    <w:rsid w:val="00602990"/>
    <w:rsid w:val="00602A22"/>
    <w:rsid w:val="00602F21"/>
    <w:rsid w:val="006032B9"/>
    <w:rsid w:val="00603433"/>
    <w:rsid w:val="006034B0"/>
    <w:rsid w:val="00603ABD"/>
    <w:rsid w:val="00603D13"/>
    <w:rsid w:val="00603D52"/>
    <w:rsid w:val="00603D7C"/>
    <w:rsid w:val="006043DB"/>
    <w:rsid w:val="0060467E"/>
    <w:rsid w:val="006046EE"/>
    <w:rsid w:val="0060471D"/>
    <w:rsid w:val="00604A48"/>
    <w:rsid w:val="00604D5A"/>
    <w:rsid w:val="00604D62"/>
    <w:rsid w:val="00604F35"/>
    <w:rsid w:val="00604FE0"/>
    <w:rsid w:val="0060511A"/>
    <w:rsid w:val="0060545B"/>
    <w:rsid w:val="00605866"/>
    <w:rsid w:val="00605902"/>
    <w:rsid w:val="00605965"/>
    <w:rsid w:val="00605C5C"/>
    <w:rsid w:val="00605C71"/>
    <w:rsid w:val="00605F9F"/>
    <w:rsid w:val="00606222"/>
    <w:rsid w:val="006063BF"/>
    <w:rsid w:val="00606566"/>
    <w:rsid w:val="0060657F"/>
    <w:rsid w:val="00606721"/>
    <w:rsid w:val="006067BD"/>
    <w:rsid w:val="00606E24"/>
    <w:rsid w:val="00607039"/>
    <w:rsid w:val="00607049"/>
    <w:rsid w:val="006070E4"/>
    <w:rsid w:val="0060710A"/>
    <w:rsid w:val="00607231"/>
    <w:rsid w:val="00607455"/>
    <w:rsid w:val="006076C2"/>
    <w:rsid w:val="00607B05"/>
    <w:rsid w:val="00607F06"/>
    <w:rsid w:val="00607F6D"/>
    <w:rsid w:val="006101F7"/>
    <w:rsid w:val="0061056E"/>
    <w:rsid w:val="00610576"/>
    <w:rsid w:val="00611124"/>
    <w:rsid w:val="00611281"/>
    <w:rsid w:val="006112FE"/>
    <w:rsid w:val="0061140E"/>
    <w:rsid w:val="00611866"/>
    <w:rsid w:val="0061205F"/>
    <w:rsid w:val="006124B9"/>
    <w:rsid w:val="00612D1F"/>
    <w:rsid w:val="00612D3E"/>
    <w:rsid w:val="00612EF0"/>
    <w:rsid w:val="00612F83"/>
    <w:rsid w:val="0061323A"/>
    <w:rsid w:val="00613491"/>
    <w:rsid w:val="00613725"/>
    <w:rsid w:val="006139C9"/>
    <w:rsid w:val="00613D58"/>
    <w:rsid w:val="00613F11"/>
    <w:rsid w:val="00614407"/>
    <w:rsid w:val="00614525"/>
    <w:rsid w:val="00614698"/>
    <w:rsid w:val="0061480A"/>
    <w:rsid w:val="00614944"/>
    <w:rsid w:val="00614CB5"/>
    <w:rsid w:val="00615550"/>
    <w:rsid w:val="0061564A"/>
    <w:rsid w:val="00615741"/>
    <w:rsid w:val="0061576E"/>
    <w:rsid w:val="006158A5"/>
    <w:rsid w:val="00615A87"/>
    <w:rsid w:val="00615DAB"/>
    <w:rsid w:val="00616233"/>
    <w:rsid w:val="006162D5"/>
    <w:rsid w:val="006165F3"/>
    <w:rsid w:val="006166A0"/>
    <w:rsid w:val="006166BF"/>
    <w:rsid w:val="006167C2"/>
    <w:rsid w:val="00616FD3"/>
    <w:rsid w:val="00617014"/>
    <w:rsid w:val="00617201"/>
    <w:rsid w:val="00617648"/>
    <w:rsid w:val="00617652"/>
    <w:rsid w:val="006179B2"/>
    <w:rsid w:val="006200F3"/>
    <w:rsid w:val="006202A7"/>
    <w:rsid w:val="00620471"/>
    <w:rsid w:val="006204C6"/>
    <w:rsid w:val="00620AF0"/>
    <w:rsid w:val="00621814"/>
    <w:rsid w:val="00621BB7"/>
    <w:rsid w:val="00621D43"/>
    <w:rsid w:val="00621E45"/>
    <w:rsid w:val="00621FA6"/>
    <w:rsid w:val="0062220B"/>
    <w:rsid w:val="006225A5"/>
    <w:rsid w:val="006225DA"/>
    <w:rsid w:val="00622C0E"/>
    <w:rsid w:val="00622F75"/>
    <w:rsid w:val="00623260"/>
    <w:rsid w:val="0062358B"/>
    <w:rsid w:val="00624177"/>
    <w:rsid w:val="00624334"/>
    <w:rsid w:val="006246A5"/>
    <w:rsid w:val="0062471B"/>
    <w:rsid w:val="00624A6F"/>
    <w:rsid w:val="00625270"/>
    <w:rsid w:val="0062535F"/>
    <w:rsid w:val="0062555F"/>
    <w:rsid w:val="006256D9"/>
    <w:rsid w:val="00625AF7"/>
    <w:rsid w:val="00625B9F"/>
    <w:rsid w:val="00625E95"/>
    <w:rsid w:val="0062605C"/>
    <w:rsid w:val="006262DC"/>
    <w:rsid w:val="00626677"/>
    <w:rsid w:val="00626862"/>
    <w:rsid w:val="00626B04"/>
    <w:rsid w:val="00626B8A"/>
    <w:rsid w:val="00626E4A"/>
    <w:rsid w:val="00626F25"/>
    <w:rsid w:val="00627055"/>
    <w:rsid w:val="00627150"/>
    <w:rsid w:val="006271D6"/>
    <w:rsid w:val="00627A25"/>
    <w:rsid w:val="00627D00"/>
    <w:rsid w:val="00630666"/>
    <w:rsid w:val="0063074C"/>
    <w:rsid w:val="006307CE"/>
    <w:rsid w:val="0063080B"/>
    <w:rsid w:val="006309D7"/>
    <w:rsid w:val="00630D22"/>
    <w:rsid w:val="00630E61"/>
    <w:rsid w:val="0063114E"/>
    <w:rsid w:val="0063124C"/>
    <w:rsid w:val="006312C9"/>
    <w:rsid w:val="006314DF"/>
    <w:rsid w:val="006315BB"/>
    <w:rsid w:val="0063161B"/>
    <w:rsid w:val="00631808"/>
    <w:rsid w:val="00631C6A"/>
    <w:rsid w:val="00631F37"/>
    <w:rsid w:val="0063232A"/>
    <w:rsid w:val="00632660"/>
    <w:rsid w:val="00632981"/>
    <w:rsid w:val="00632EB2"/>
    <w:rsid w:val="00632EEC"/>
    <w:rsid w:val="00633548"/>
    <w:rsid w:val="00633E54"/>
    <w:rsid w:val="0063476C"/>
    <w:rsid w:val="006349E6"/>
    <w:rsid w:val="00634D19"/>
    <w:rsid w:val="00634D8A"/>
    <w:rsid w:val="00634DE1"/>
    <w:rsid w:val="00634E90"/>
    <w:rsid w:val="006352A0"/>
    <w:rsid w:val="0063538A"/>
    <w:rsid w:val="006354F8"/>
    <w:rsid w:val="006357F3"/>
    <w:rsid w:val="00635A7E"/>
    <w:rsid w:val="00635DE2"/>
    <w:rsid w:val="0063643B"/>
    <w:rsid w:val="00637119"/>
    <w:rsid w:val="0063725E"/>
    <w:rsid w:val="0063757E"/>
    <w:rsid w:val="00637712"/>
    <w:rsid w:val="00637990"/>
    <w:rsid w:val="006379FF"/>
    <w:rsid w:val="00637A57"/>
    <w:rsid w:val="00637BBA"/>
    <w:rsid w:val="00637BC6"/>
    <w:rsid w:val="00640228"/>
    <w:rsid w:val="0064028A"/>
    <w:rsid w:val="0064028F"/>
    <w:rsid w:val="0064062C"/>
    <w:rsid w:val="0064064A"/>
    <w:rsid w:val="00640E06"/>
    <w:rsid w:val="006410D1"/>
    <w:rsid w:val="00641326"/>
    <w:rsid w:val="0064153D"/>
    <w:rsid w:val="00641550"/>
    <w:rsid w:val="00641759"/>
    <w:rsid w:val="00641783"/>
    <w:rsid w:val="0064186B"/>
    <w:rsid w:val="0064186F"/>
    <w:rsid w:val="00641B25"/>
    <w:rsid w:val="00641CE8"/>
    <w:rsid w:val="006421C1"/>
    <w:rsid w:val="006421E9"/>
    <w:rsid w:val="00642378"/>
    <w:rsid w:val="006429C3"/>
    <w:rsid w:val="006429DA"/>
    <w:rsid w:val="006429DF"/>
    <w:rsid w:val="00642B0B"/>
    <w:rsid w:val="00642D26"/>
    <w:rsid w:val="006431F6"/>
    <w:rsid w:val="0064348C"/>
    <w:rsid w:val="006439E6"/>
    <w:rsid w:val="00643D39"/>
    <w:rsid w:val="00643DE4"/>
    <w:rsid w:val="00643DF7"/>
    <w:rsid w:val="00644001"/>
    <w:rsid w:val="006444D5"/>
    <w:rsid w:val="0064485A"/>
    <w:rsid w:val="006450F2"/>
    <w:rsid w:val="00645523"/>
    <w:rsid w:val="0064553F"/>
    <w:rsid w:val="006455F2"/>
    <w:rsid w:val="00645A07"/>
    <w:rsid w:val="00645EF9"/>
    <w:rsid w:val="0064629D"/>
    <w:rsid w:val="006462D1"/>
    <w:rsid w:val="00646484"/>
    <w:rsid w:val="00646737"/>
    <w:rsid w:val="00646A75"/>
    <w:rsid w:val="00646DA2"/>
    <w:rsid w:val="00647092"/>
    <w:rsid w:val="006471E3"/>
    <w:rsid w:val="006475BC"/>
    <w:rsid w:val="00650204"/>
    <w:rsid w:val="00650459"/>
    <w:rsid w:val="00650A65"/>
    <w:rsid w:val="00650BA4"/>
    <w:rsid w:val="00651115"/>
    <w:rsid w:val="00651289"/>
    <w:rsid w:val="006512CA"/>
    <w:rsid w:val="006514FF"/>
    <w:rsid w:val="00651D70"/>
    <w:rsid w:val="00652023"/>
    <w:rsid w:val="006525EF"/>
    <w:rsid w:val="00652B07"/>
    <w:rsid w:val="00652C67"/>
    <w:rsid w:val="00652D54"/>
    <w:rsid w:val="00652E84"/>
    <w:rsid w:val="0065338E"/>
    <w:rsid w:val="00653916"/>
    <w:rsid w:val="00653AF7"/>
    <w:rsid w:val="00653C1D"/>
    <w:rsid w:val="00653D3A"/>
    <w:rsid w:val="00654111"/>
    <w:rsid w:val="0065471D"/>
    <w:rsid w:val="006547CE"/>
    <w:rsid w:val="006551AC"/>
    <w:rsid w:val="0065596B"/>
    <w:rsid w:val="00655B1F"/>
    <w:rsid w:val="00655B4E"/>
    <w:rsid w:val="00655CCB"/>
    <w:rsid w:val="00655DA6"/>
    <w:rsid w:val="00655ECD"/>
    <w:rsid w:val="006561AD"/>
    <w:rsid w:val="006562E6"/>
    <w:rsid w:val="00656B34"/>
    <w:rsid w:val="00656DEE"/>
    <w:rsid w:val="0065710C"/>
    <w:rsid w:val="006573B9"/>
    <w:rsid w:val="006578F4"/>
    <w:rsid w:val="0065794E"/>
    <w:rsid w:val="00657E8B"/>
    <w:rsid w:val="00660470"/>
    <w:rsid w:val="00660578"/>
    <w:rsid w:val="006605C6"/>
    <w:rsid w:val="00660646"/>
    <w:rsid w:val="006607D4"/>
    <w:rsid w:val="00660906"/>
    <w:rsid w:val="00660D55"/>
    <w:rsid w:val="006610BD"/>
    <w:rsid w:val="006611F8"/>
    <w:rsid w:val="00661313"/>
    <w:rsid w:val="00661502"/>
    <w:rsid w:val="00661628"/>
    <w:rsid w:val="0066168E"/>
    <w:rsid w:val="006617CA"/>
    <w:rsid w:val="00661DFB"/>
    <w:rsid w:val="00661EB9"/>
    <w:rsid w:val="00661F6C"/>
    <w:rsid w:val="00662132"/>
    <w:rsid w:val="0066213E"/>
    <w:rsid w:val="006626BF"/>
    <w:rsid w:val="006627D2"/>
    <w:rsid w:val="00662ABF"/>
    <w:rsid w:val="00662C5A"/>
    <w:rsid w:val="00662DEE"/>
    <w:rsid w:val="006630F2"/>
    <w:rsid w:val="00663848"/>
    <w:rsid w:val="006638C5"/>
    <w:rsid w:val="00663E40"/>
    <w:rsid w:val="00664644"/>
    <w:rsid w:val="00664737"/>
    <w:rsid w:val="00664CDF"/>
    <w:rsid w:val="00664F9E"/>
    <w:rsid w:val="0066510E"/>
    <w:rsid w:val="00665676"/>
    <w:rsid w:val="00665886"/>
    <w:rsid w:val="0066594D"/>
    <w:rsid w:val="0066596B"/>
    <w:rsid w:val="00665AD6"/>
    <w:rsid w:val="00665BD0"/>
    <w:rsid w:val="00665D19"/>
    <w:rsid w:val="00665FD1"/>
    <w:rsid w:val="00666081"/>
    <w:rsid w:val="006664B5"/>
    <w:rsid w:val="006667A1"/>
    <w:rsid w:val="00666821"/>
    <w:rsid w:val="006673BA"/>
    <w:rsid w:val="00667751"/>
    <w:rsid w:val="0066792D"/>
    <w:rsid w:val="00667D9F"/>
    <w:rsid w:val="00670047"/>
    <w:rsid w:val="006700B5"/>
    <w:rsid w:val="00670624"/>
    <w:rsid w:val="00670790"/>
    <w:rsid w:val="00670902"/>
    <w:rsid w:val="00670B19"/>
    <w:rsid w:val="00670F5A"/>
    <w:rsid w:val="00670FAE"/>
    <w:rsid w:val="006710F4"/>
    <w:rsid w:val="00671662"/>
    <w:rsid w:val="00671A9F"/>
    <w:rsid w:val="00671BBA"/>
    <w:rsid w:val="006722F2"/>
    <w:rsid w:val="006723A6"/>
    <w:rsid w:val="00672570"/>
    <w:rsid w:val="00672777"/>
    <w:rsid w:val="00672A78"/>
    <w:rsid w:val="006731A6"/>
    <w:rsid w:val="00673639"/>
    <w:rsid w:val="006739DE"/>
    <w:rsid w:val="00673A7F"/>
    <w:rsid w:val="00673CF0"/>
    <w:rsid w:val="00674D23"/>
    <w:rsid w:val="00675348"/>
    <w:rsid w:val="00675470"/>
    <w:rsid w:val="006755D1"/>
    <w:rsid w:val="0067561E"/>
    <w:rsid w:val="00675C1F"/>
    <w:rsid w:val="00675CB7"/>
    <w:rsid w:val="006760BF"/>
    <w:rsid w:val="0067610E"/>
    <w:rsid w:val="006761CF"/>
    <w:rsid w:val="00676201"/>
    <w:rsid w:val="006764C1"/>
    <w:rsid w:val="006765CC"/>
    <w:rsid w:val="006769B3"/>
    <w:rsid w:val="00676BBE"/>
    <w:rsid w:val="00676CB5"/>
    <w:rsid w:val="00676DE7"/>
    <w:rsid w:val="00677214"/>
    <w:rsid w:val="00677287"/>
    <w:rsid w:val="0067730F"/>
    <w:rsid w:val="006778CB"/>
    <w:rsid w:val="006779AA"/>
    <w:rsid w:val="00677CEC"/>
    <w:rsid w:val="00677D41"/>
    <w:rsid w:val="0068039E"/>
    <w:rsid w:val="006803D8"/>
    <w:rsid w:val="0068079A"/>
    <w:rsid w:val="00680B2D"/>
    <w:rsid w:val="0068128A"/>
    <w:rsid w:val="00681319"/>
    <w:rsid w:val="00681793"/>
    <w:rsid w:val="006818F8"/>
    <w:rsid w:val="00681ED0"/>
    <w:rsid w:val="0068214B"/>
    <w:rsid w:val="006825C5"/>
    <w:rsid w:val="006827A4"/>
    <w:rsid w:val="00682B51"/>
    <w:rsid w:val="00682B89"/>
    <w:rsid w:val="00682BA6"/>
    <w:rsid w:val="00682BC1"/>
    <w:rsid w:val="00682DB8"/>
    <w:rsid w:val="0068348A"/>
    <w:rsid w:val="00683807"/>
    <w:rsid w:val="00683F18"/>
    <w:rsid w:val="0068401A"/>
    <w:rsid w:val="006846D0"/>
    <w:rsid w:val="00684B95"/>
    <w:rsid w:val="00684D33"/>
    <w:rsid w:val="00685090"/>
    <w:rsid w:val="006854E4"/>
    <w:rsid w:val="006856C1"/>
    <w:rsid w:val="00685E05"/>
    <w:rsid w:val="006860B4"/>
    <w:rsid w:val="006863DF"/>
    <w:rsid w:val="00686430"/>
    <w:rsid w:val="0068695F"/>
    <w:rsid w:val="00686FBA"/>
    <w:rsid w:val="00686FED"/>
    <w:rsid w:val="006870FE"/>
    <w:rsid w:val="00687267"/>
    <w:rsid w:val="006877A4"/>
    <w:rsid w:val="00687831"/>
    <w:rsid w:val="00687C7B"/>
    <w:rsid w:val="00687FD7"/>
    <w:rsid w:val="00690016"/>
    <w:rsid w:val="006905CF"/>
    <w:rsid w:val="006908B7"/>
    <w:rsid w:val="006909F9"/>
    <w:rsid w:val="00690C76"/>
    <w:rsid w:val="00690D52"/>
    <w:rsid w:val="0069138A"/>
    <w:rsid w:val="00691999"/>
    <w:rsid w:val="00691CEB"/>
    <w:rsid w:val="00691D89"/>
    <w:rsid w:val="00691E2A"/>
    <w:rsid w:val="006920F1"/>
    <w:rsid w:val="00692246"/>
    <w:rsid w:val="00692281"/>
    <w:rsid w:val="0069229C"/>
    <w:rsid w:val="0069291D"/>
    <w:rsid w:val="00692DFA"/>
    <w:rsid w:val="006930BE"/>
    <w:rsid w:val="006935CD"/>
    <w:rsid w:val="0069394D"/>
    <w:rsid w:val="00693ABB"/>
    <w:rsid w:val="00693B1D"/>
    <w:rsid w:val="00693B47"/>
    <w:rsid w:val="00693ECC"/>
    <w:rsid w:val="00693F20"/>
    <w:rsid w:val="00693FEE"/>
    <w:rsid w:val="00694207"/>
    <w:rsid w:val="006945CC"/>
    <w:rsid w:val="006946F7"/>
    <w:rsid w:val="006947EA"/>
    <w:rsid w:val="00694F79"/>
    <w:rsid w:val="0069560C"/>
    <w:rsid w:val="00695A76"/>
    <w:rsid w:val="00695E11"/>
    <w:rsid w:val="00695F91"/>
    <w:rsid w:val="006963CC"/>
    <w:rsid w:val="006964DC"/>
    <w:rsid w:val="00696AC4"/>
    <w:rsid w:val="00696FD1"/>
    <w:rsid w:val="0069702C"/>
    <w:rsid w:val="00697324"/>
    <w:rsid w:val="0069734B"/>
    <w:rsid w:val="0069769E"/>
    <w:rsid w:val="00697961"/>
    <w:rsid w:val="00697CB0"/>
    <w:rsid w:val="00697D96"/>
    <w:rsid w:val="00697F05"/>
    <w:rsid w:val="006A029A"/>
    <w:rsid w:val="006A0439"/>
    <w:rsid w:val="006A095A"/>
    <w:rsid w:val="006A0F99"/>
    <w:rsid w:val="006A129F"/>
    <w:rsid w:val="006A146D"/>
    <w:rsid w:val="006A1601"/>
    <w:rsid w:val="006A1758"/>
    <w:rsid w:val="006A1BE0"/>
    <w:rsid w:val="006A1C58"/>
    <w:rsid w:val="006A22FE"/>
    <w:rsid w:val="006A24F4"/>
    <w:rsid w:val="006A2870"/>
    <w:rsid w:val="006A350A"/>
    <w:rsid w:val="006A35A3"/>
    <w:rsid w:val="006A3AF0"/>
    <w:rsid w:val="006A3CD0"/>
    <w:rsid w:val="006A3DC6"/>
    <w:rsid w:val="006A3EA4"/>
    <w:rsid w:val="006A3F7D"/>
    <w:rsid w:val="006A4170"/>
    <w:rsid w:val="006A419D"/>
    <w:rsid w:val="006A46C1"/>
    <w:rsid w:val="006A46F4"/>
    <w:rsid w:val="006A484E"/>
    <w:rsid w:val="006A4B96"/>
    <w:rsid w:val="006A4CF0"/>
    <w:rsid w:val="006A5590"/>
    <w:rsid w:val="006A5607"/>
    <w:rsid w:val="006A563C"/>
    <w:rsid w:val="006A569A"/>
    <w:rsid w:val="006A57A4"/>
    <w:rsid w:val="006A585B"/>
    <w:rsid w:val="006A5FE4"/>
    <w:rsid w:val="006A645B"/>
    <w:rsid w:val="006A663B"/>
    <w:rsid w:val="006A66C2"/>
    <w:rsid w:val="006A68D6"/>
    <w:rsid w:val="006A68ED"/>
    <w:rsid w:val="006A6D1E"/>
    <w:rsid w:val="006A6DC6"/>
    <w:rsid w:val="006A7817"/>
    <w:rsid w:val="006A7AF7"/>
    <w:rsid w:val="006A7B10"/>
    <w:rsid w:val="006A7C61"/>
    <w:rsid w:val="006A7D09"/>
    <w:rsid w:val="006B00A1"/>
    <w:rsid w:val="006B0582"/>
    <w:rsid w:val="006B0678"/>
    <w:rsid w:val="006B084D"/>
    <w:rsid w:val="006B0981"/>
    <w:rsid w:val="006B1153"/>
    <w:rsid w:val="006B128A"/>
    <w:rsid w:val="006B135E"/>
    <w:rsid w:val="006B1463"/>
    <w:rsid w:val="006B18CE"/>
    <w:rsid w:val="006B1901"/>
    <w:rsid w:val="006B1CE1"/>
    <w:rsid w:val="006B1E49"/>
    <w:rsid w:val="006B2A9B"/>
    <w:rsid w:val="006B31B5"/>
    <w:rsid w:val="006B34E6"/>
    <w:rsid w:val="006B35CB"/>
    <w:rsid w:val="006B3A1C"/>
    <w:rsid w:val="006B3E7C"/>
    <w:rsid w:val="006B4264"/>
    <w:rsid w:val="006B470E"/>
    <w:rsid w:val="006B48C1"/>
    <w:rsid w:val="006B4C8C"/>
    <w:rsid w:val="006B4E66"/>
    <w:rsid w:val="006B4FB5"/>
    <w:rsid w:val="006B4FBD"/>
    <w:rsid w:val="006B5014"/>
    <w:rsid w:val="006B50F7"/>
    <w:rsid w:val="006B54AC"/>
    <w:rsid w:val="006B5AB4"/>
    <w:rsid w:val="006B5AE8"/>
    <w:rsid w:val="006B5C30"/>
    <w:rsid w:val="006B5F3C"/>
    <w:rsid w:val="006B62DB"/>
    <w:rsid w:val="006B630C"/>
    <w:rsid w:val="006B6794"/>
    <w:rsid w:val="006B68BF"/>
    <w:rsid w:val="006B6C5A"/>
    <w:rsid w:val="006B6E74"/>
    <w:rsid w:val="006B709E"/>
    <w:rsid w:val="006B727C"/>
    <w:rsid w:val="006B72A5"/>
    <w:rsid w:val="006B7301"/>
    <w:rsid w:val="006B7806"/>
    <w:rsid w:val="006B7973"/>
    <w:rsid w:val="006B7DBE"/>
    <w:rsid w:val="006B7DE2"/>
    <w:rsid w:val="006C03A5"/>
    <w:rsid w:val="006C0618"/>
    <w:rsid w:val="006C0D20"/>
    <w:rsid w:val="006C10C7"/>
    <w:rsid w:val="006C13A7"/>
    <w:rsid w:val="006C14AF"/>
    <w:rsid w:val="006C1689"/>
    <w:rsid w:val="006C19EC"/>
    <w:rsid w:val="006C2178"/>
    <w:rsid w:val="006C2193"/>
    <w:rsid w:val="006C21A4"/>
    <w:rsid w:val="006C2246"/>
    <w:rsid w:val="006C2964"/>
    <w:rsid w:val="006C2CA8"/>
    <w:rsid w:val="006C2F35"/>
    <w:rsid w:val="006C3064"/>
    <w:rsid w:val="006C3324"/>
    <w:rsid w:val="006C3A8F"/>
    <w:rsid w:val="006C3C07"/>
    <w:rsid w:val="006C3DFA"/>
    <w:rsid w:val="006C3E5C"/>
    <w:rsid w:val="006C4017"/>
    <w:rsid w:val="006C417F"/>
    <w:rsid w:val="006C47CA"/>
    <w:rsid w:val="006C48E0"/>
    <w:rsid w:val="006C4E18"/>
    <w:rsid w:val="006C4ECA"/>
    <w:rsid w:val="006C5329"/>
    <w:rsid w:val="006C56C4"/>
    <w:rsid w:val="006C56EE"/>
    <w:rsid w:val="006C5821"/>
    <w:rsid w:val="006C5D80"/>
    <w:rsid w:val="006C5EB0"/>
    <w:rsid w:val="006C62F5"/>
    <w:rsid w:val="006C6A09"/>
    <w:rsid w:val="006C6DB2"/>
    <w:rsid w:val="006C6E2B"/>
    <w:rsid w:val="006C6F29"/>
    <w:rsid w:val="006C70A7"/>
    <w:rsid w:val="006C71B3"/>
    <w:rsid w:val="006C76BF"/>
    <w:rsid w:val="006C777B"/>
    <w:rsid w:val="006C7912"/>
    <w:rsid w:val="006C7C9B"/>
    <w:rsid w:val="006C7E6C"/>
    <w:rsid w:val="006D03EC"/>
    <w:rsid w:val="006D073E"/>
    <w:rsid w:val="006D09C1"/>
    <w:rsid w:val="006D0A04"/>
    <w:rsid w:val="006D0E59"/>
    <w:rsid w:val="006D15BE"/>
    <w:rsid w:val="006D16DB"/>
    <w:rsid w:val="006D180C"/>
    <w:rsid w:val="006D1D89"/>
    <w:rsid w:val="006D211E"/>
    <w:rsid w:val="006D22BC"/>
    <w:rsid w:val="006D2840"/>
    <w:rsid w:val="006D286B"/>
    <w:rsid w:val="006D28F3"/>
    <w:rsid w:val="006D2A54"/>
    <w:rsid w:val="006D2B48"/>
    <w:rsid w:val="006D2F25"/>
    <w:rsid w:val="006D302C"/>
    <w:rsid w:val="006D35C4"/>
    <w:rsid w:val="006D389A"/>
    <w:rsid w:val="006D3B4D"/>
    <w:rsid w:val="006D4130"/>
    <w:rsid w:val="006D41EB"/>
    <w:rsid w:val="006D4435"/>
    <w:rsid w:val="006D44E1"/>
    <w:rsid w:val="006D47FA"/>
    <w:rsid w:val="006D4BAB"/>
    <w:rsid w:val="006D4C2C"/>
    <w:rsid w:val="006D4C4F"/>
    <w:rsid w:val="006D4F13"/>
    <w:rsid w:val="006D5302"/>
    <w:rsid w:val="006D55DC"/>
    <w:rsid w:val="006D5A9B"/>
    <w:rsid w:val="006D5D53"/>
    <w:rsid w:val="006D5DA4"/>
    <w:rsid w:val="006D5E6C"/>
    <w:rsid w:val="006D5E78"/>
    <w:rsid w:val="006D65B6"/>
    <w:rsid w:val="006D6D47"/>
    <w:rsid w:val="006D7781"/>
    <w:rsid w:val="006D7D61"/>
    <w:rsid w:val="006D7DB3"/>
    <w:rsid w:val="006E0042"/>
    <w:rsid w:val="006E066D"/>
    <w:rsid w:val="006E0867"/>
    <w:rsid w:val="006E09F0"/>
    <w:rsid w:val="006E0CA7"/>
    <w:rsid w:val="006E1387"/>
    <w:rsid w:val="006E2121"/>
    <w:rsid w:val="006E268D"/>
    <w:rsid w:val="006E26BE"/>
    <w:rsid w:val="006E2A73"/>
    <w:rsid w:val="006E35A7"/>
    <w:rsid w:val="006E3C30"/>
    <w:rsid w:val="006E3D69"/>
    <w:rsid w:val="006E4128"/>
    <w:rsid w:val="006E4219"/>
    <w:rsid w:val="006E426D"/>
    <w:rsid w:val="006E4837"/>
    <w:rsid w:val="006E49BF"/>
    <w:rsid w:val="006E49D5"/>
    <w:rsid w:val="006E4F37"/>
    <w:rsid w:val="006E4F7F"/>
    <w:rsid w:val="006E5377"/>
    <w:rsid w:val="006E563F"/>
    <w:rsid w:val="006E5660"/>
    <w:rsid w:val="006E57F5"/>
    <w:rsid w:val="006E5B1D"/>
    <w:rsid w:val="006E5C29"/>
    <w:rsid w:val="006E5CCD"/>
    <w:rsid w:val="006E5D74"/>
    <w:rsid w:val="006E6095"/>
    <w:rsid w:val="006E60BD"/>
    <w:rsid w:val="006E6164"/>
    <w:rsid w:val="006E61EA"/>
    <w:rsid w:val="006E632F"/>
    <w:rsid w:val="006E6383"/>
    <w:rsid w:val="006E6480"/>
    <w:rsid w:val="006E68A4"/>
    <w:rsid w:val="006E6A4C"/>
    <w:rsid w:val="006E6E2F"/>
    <w:rsid w:val="006E743D"/>
    <w:rsid w:val="006E7616"/>
    <w:rsid w:val="006E781B"/>
    <w:rsid w:val="006E7D52"/>
    <w:rsid w:val="006F0089"/>
    <w:rsid w:val="006F0097"/>
    <w:rsid w:val="006F026E"/>
    <w:rsid w:val="006F027D"/>
    <w:rsid w:val="006F02CF"/>
    <w:rsid w:val="006F033E"/>
    <w:rsid w:val="006F0792"/>
    <w:rsid w:val="006F07D4"/>
    <w:rsid w:val="006F0C21"/>
    <w:rsid w:val="006F0E98"/>
    <w:rsid w:val="006F12F1"/>
    <w:rsid w:val="006F174C"/>
    <w:rsid w:val="006F1769"/>
    <w:rsid w:val="006F1824"/>
    <w:rsid w:val="006F1847"/>
    <w:rsid w:val="006F1AA9"/>
    <w:rsid w:val="006F1F11"/>
    <w:rsid w:val="006F21A0"/>
    <w:rsid w:val="006F21B5"/>
    <w:rsid w:val="006F25B0"/>
    <w:rsid w:val="006F288D"/>
    <w:rsid w:val="006F297D"/>
    <w:rsid w:val="006F2997"/>
    <w:rsid w:val="006F2D29"/>
    <w:rsid w:val="006F3152"/>
    <w:rsid w:val="006F351B"/>
    <w:rsid w:val="006F3772"/>
    <w:rsid w:val="006F3F4B"/>
    <w:rsid w:val="006F40A7"/>
    <w:rsid w:val="006F4100"/>
    <w:rsid w:val="006F420B"/>
    <w:rsid w:val="006F45B3"/>
    <w:rsid w:val="006F4C3F"/>
    <w:rsid w:val="006F53C9"/>
    <w:rsid w:val="006F58D0"/>
    <w:rsid w:val="006F5B5A"/>
    <w:rsid w:val="006F5D97"/>
    <w:rsid w:val="006F63D4"/>
    <w:rsid w:val="006F6595"/>
    <w:rsid w:val="006F66DB"/>
    <w:rsid w:val="006F6854"/>
    <w:rsid w:val="006F6C4B"/>
    <w:rsid w:val="006F6C5A"/>
    <w:rsid w:val="006F6D07"/>
    <w:rsid w:val="006F7177"/>
    <w:rsid w:val="006F738F"/>
    <w:rsid w:val="006F7E49"/>
    <w:rsid w:val="006F7F44"/>
    <w:rsid w:val="00700268"/>
    <w:rsid w:val="00700D51"/>
    <w:rsid w:val="007012E5"/>
    <w:rsid w:val="007018AE"/>
    <w:rsid w:val="00701F7A"/>
    <w:rsid w:val="00702046"/>
    <w:rsid w:val="007021FF"/>
    <w:rsid w:val="007025C2"/>
    <w:rsid w:val="00702777"/>
    <w:rsid w:val="00702905"/>
    <w:rsid w:val="007029E9"/>
    <w:rsid w:val="007029EA"/>
    <w:rsid w:val="00702AFE"/>
    <w:rsid w:val="00702C13"/>
    <w:rsid w:val="00703304"/>
    <w:rsid w:val="0070366E"/>
    <w:rsid w:val="00703981"/>
    <w:rsid w:val="00703AFA"/>
    <w:rsid w:val="00703BA5"/>
    <w:rsid w:val="007042FD"/>
    <w:rsid w:val="007044A0"/>
    <w:rsid w:val="0070467C"/>
    <w:rsid w:val="00704D63"/>
    <w:rsid w:val="00704EF0"/>
    <w:rsid w:val="00705A78"/>
    <w:rsid w:val="00705AE5"/>
    <w:rsid w:val="00705B84"/>
    <w:rsid w:val="00705D5A"/>
    <w:rsid w:val="00705F7A"/>
    <w:rsid w:val="0070621C"/>
    <w:rsid w:val="00706608"/>
    <w:rsid w:val="00706A0E"/>
    <w:rsid w:val="007071F2"/>
    <w:rsid w:val="007073B3"/>
    <w:rsid w:val="0070748C"/>
    <w:rsid w:val="00707505"/>
    <w:rsid w:val="007075D5"/>
    <w:rsid w:val="007076CF"/>
    <w:rsid w:val="00707DC5"/>
    <w:rsid w:val="007101ED"/>
    <w:rsid w:val="007102A7"/>
    <w:rsid w:val="0071067A"/>
    <w:rsid w:val="00710997"/>
    <w:rsid w:val="00710A20"/>
    <w:rsid w:val="00710AF8"/>
    <w:rsid w:val="00710B32"/>
    <w:rsid w:val="00710C35"/>
    <w:rsid w:val="00710C36"/>
    <w:rsid w:val="00710FFC"/>
    <w:rsid w:val="0071136E"/>
    <w:rsid w:val="007118CD"/>
    <w:rsid w:val="007118F3"/>
    <w:rsid w:val="00711C1C"/>
    <w:rsid w:val="00711F55"/>
    <w:rsid w:val="00712258"/>
    <w:rsid w:val="00712377"/>
    <w:rsid w:val="007123B2"/>
    <w:rsid w:val="00712564"/>
    <w:rsid w:val="007127AE"/>
    <w:rsid w:val="007129D2"/>
    <w:rsid w:val="00712C44"/>
    <w:rsid w:val="00712EFA"/>
    <w:rsid w:val="00713005"/>
    <w:rsid w:val="0071341D"/>
    <w:rsid w:val="00713657"/>
    <w:rsid w:val="00713708"/>
    <w:rsid w:val="00713731"/>
    <w:rsid w:val="00713D24"/>
    <w:rsid w:val="00714127"/>
    <w:rsid w:val="007141CA"/>
    <w:rsid w:val="00714513"/>
    <w:rsid w:val="0071459E"/>
    <w:rsid w:val="007146E4"/>
    <w:rsid w:val="00714CAC"/>
    <w:rsid w:val="00715113"/>
    <w:rsid w:val="00715315"/>
    <w:rsid w:val="007153A0"/>
    <w:rsid w:val="00715510"/>
    <w:rsid w:val="0071574C"/>
    <w:rsid w:val="0071598E"/>
    <w:rsid w:val="00715A38"/>
    <w:rsid w:val="00715DAB"/>
    <w:rsid w:val="00715E51"/>
    <w:rsid w:val="00716187"/>
    <w:rsid w:val="00716642"/>
    <w:rsid w:val="007167D8"/>
    <w:rsid w:val="00716B31"/>
    <w:rsid w:val="00717292"/>
    <w:rsid w:val="007172E0"/>
    <w:rsid w:val="0071734C"/>
    <w:rsid w:val="0071750E"/>
    <w:rsid w:val="007176AB"/>
    <w:rsid w:val="007178FF"/>
    <w:rsid w:val="00717A3F"/>
    <w:rsid w:val="00720088"/>
    <w:rsid w:val="0072022F"/>
    <w:rsid w:val="0072089B"/>
    <w:rsid w:val="00720A1F"/>
    <w:rsid w:val="00720A4B"/>
    <w:rsid w:val="00720F32"/>
    <w:rsid w:val="0072149C"/>
    <w:rsid w:val="00721967"/>
    <w:rsid w:val="00721B2D"/>
    <w:rsid w:val="00721BB2"/>
    <w:rsid w:val="00721BFC"/>
    <w:rsid w:val="00721C86"/>
    <w:rsid w:val="00721C88"/>
    <w:rsid w:val="007221DE"/>
    <w:rsid w:val="007222AD"/>
    <w:rsid w:val="0072267E"/>
    <w:rsid w:val="00722732"/>
    <w:rsid w:val="0072307E"/>
    <w:rsid w:val="007231A5"/>
    <w:rsid w:val="007236AD"/>
    <w:rsid w:val="0072380E"/>
    <w:rsid w:val="00723BCE"/>
    <w:rsid w:val="00724209"/>
    <w:rsid w:val="007243B2"/>
    <w:rsid w:val="0072450E"/>
    <w:rsid w:val="007245EE"/>
    <w:rsid w:val="00724935"/>
    <w:rsid w:val="0072494D"/>
    <w:rsid w:val="0072496E"/>
    <w:rsid w:val="00724F4C"/>
    <w:rsid w:val="00725752"/>
    <w:rsid w:val="00725866"/>
    <w:rsid w:val="00725B8D"/>
    <w:rsid w:val="00725FF1"/>
    <w:rsid w:val="007268A9"/>
    <w:rsid w:val="00726DA6"/>
    <w:rsid w:val="00727788"/>
    <w:rsid w:val="00727828"/>
    <w:rsid w:val="00727C10"/>
    <w:rsid w:val="007300FA"/>
    <w:rsid w:val="007301B2"/>
    <w:rsid w:val="00730254"/>
    <w:rsid w:val="00730280"/>
    <w:rsid w:val="00730326"/>
    <w:rsid w:val="00730930"/>
    <w:rsid w:val="00730F39"/>
    <w:rsid w:val="0073102D"/>
    <w:rsid w:val="00731780"/>
    <w:rsid w:val="00731B0A"/>
    <w:rsid w:val="00731FEF"/>
    <w:rsid w:val="00732338"/>
    <w:rsid w:val="007324D5"/>
    <w:rsid w:val="007327C1"/>
    <w:rsid w:val="007328F8"/>
    <w:rsid w:val="00732C88"/>
    <w:rsid w:val="00733544"/>
    <w:rsid w:val="00733754"/>
    <w:rsid w:val="007338E1"/>
    <w:rsid w:val="00733D28"/>
    <w:rsid w:val="00733F39"/>
    <w:rsid w:val="00734132"/>
    <w:rsid w:val="0073419A"/>
    <w:rsid w:val="007344E8"/>
    <w:rsid w:val="00734603"/>
    <w:rsid w:val="0073484A"/>
    <w:rsid w:val="0073489D"/>
    <w:rsid w:val="00734997"/>
    <w:rsid w:val="00734A92"/>
    <w:rsid w:val="00734CC6"/>
    <w:rsid w:val="00734CDF"/>
    <w:rsid w:val="00734EC9"/>
    <w:rsid w:val="00734F48"/>
    <w:rsid w:val="007350E3"/>
    <w:rsid w:val="00735292"/>
    <w:rsid w:val="00735321"/>
    <w:rsid w:val="00735420"/>
    <w:rsid w:val="00735725"/>
    <w:rsid w:val="00735741"/>
    <w:rsid w:val="00735968"/>
    <w:rsid w:val="00736013"/>
    <w:rsid w:val="00736085"/>
    <w:rsid w:val="0073608D"/>
    <w:rsid w:val="007360C7"/>
    <w:rsid w:val="00736693"/>
    <w:rsid w:val="00736A57"/>
    <w:rsid w:val="00736F35"/>
    <w:rsid w:val="007372CB"/>
    <w:rsid w:val="0073755C"/>
    <w:rsid w:val="0073766A"/>
    <w:rsid w:val="007376A6"/>
    <w:rsid w:val="00737B94"/>
    <w:rsid w:val="00737BC9"/>
    <w:rsid w:val="007403EE"/>
    <w:rsid w:val="00740505"/>
    <w:rsid w:val="00740680"/>
    <w:rsid w:val="00740912"/>
    <w:rsid w:val="00740940"/>
    <w:rsid w:val="00740AFD"/>
    <w:rsid w:val="00740ED6"/>
    <w:rsid w:val="00741176"/>
    <w:rsid w:val="0074121D"/>
    <w:rsid w:val="00741267"/>
    <w:rsid w:val="0074193B"/>
    <w:rsid w:val="00742111"/>
    <w:rsid w:val="007427E0"/>
    <w:rsid w:val="00742915"/>
    <w:rsid w:val="00742C0E"/>
    <w:rsid w:val="00742E9D"/>
    <w:rsid w:val="007432E2"/>
    <w:rsid w:val="0074353C"/>
    <w:rsid w:val="007439C5"/>
    <w:rsid w:val="00743E1F"/>
    <w:rsid w:val="00743F99"/>
    <w:rsid w:val="00744146"/>
    <w:rsid w:val="007447AC"/>
    <w:rsid w:val="00744F0D"/>
    <w:rsid w:val="00744F25"/>
    <w:rsid w:val="00744FDF"/>
    <w:rsid w:val="007455A7"/>
    <w:rsid w:val="00745BFB"/>
    <w:rsid w:val="00745D20"/>
    <w:rsid w:val="00745F27"/>
    <w:rsid w:val="007460F7"/>
    <w:rsid w:val="00746190"/>
    <w:rsid w:val="00746419"/>
    <w:rsid w:val="00746B6D"/>
    <w:rsid w:val="00747DD7"/>
    <w:rsid w:val="0075023C"/>
    <w:rsid w:val="007504E8"/>
    <w:rsid w:val="00750595"/>
    <w:rsid w:val="007509CC"/>
    <w:rsid w:val="00750C26"/>
    <w:rsid w:val="00750C60"/>
    <w:rsid w:val="00750CC1"/>
    <w:rsid w:val="00750DA0"/>
    <w:rsid w:val="00751043"/>
    <w:rsid w:val="00751827"/>
    <w:rsid w:val="007518F1"/>
    <w:rsid w:val="00751F9A"/>
    <w:rsid w:val="0075207C"/>
    <w:rsid w:val="00752118"/>
    <w:rsid w:val="007521C5"/>
    <w:rsid w:val="00752463"/>
    <w:rsid w:val="007524F5"/>
    <w:rsid w:val="00752519"/>
    <w:rsid w:val="00752735"/>
    <w:rsid w:val="00752F0A"/>
    <w:rsid w:val="00752FD6"/>
    <w:rsid w:val="0075324D"/>
    <w:rsid w:val="00753366"/>
    <w:rsid w:val="00753370"/>
    <w:rsid w:val="0075371B"/>
    <w:rsid w:val="00753E78"/>
    <w:rsid w:val="00753EDF"/>
    <w:rsid w:val="007548BC"/>
    <w:rsid w:val="00754C0D"/>
    <w:rsid w:val="00754E79"/>
    <w:rsid w:val="007553F4"/>
    <w:rsid w:val="007555AA"/>
    <w:rsid w:val="007555DB"/>
    <w:rsid w:val="0075585B"/>
    <w:rsid w:val="00755A30"/>
    <w:rsid w:val="00755BEB"/>
    <w:rsid w:val="00756044"/>
    <w:rsid w:val="0075607A"/>
    <w:rsid w:val="007561D1"/>
    <w:rsid w:val="0075637C"/>
    <w:rsid w:val="007563FE"/>
    <w:rsid w:val="00756436"/>
    <w:rsid w:val="00756729"/>
    <w:rsid w:val="007567A5"/>
    <w:rsid w:val="00756A12"/>
    <w:rsid w:val="00756CF0"/>
    <w:rsid w:val="00757178"/>
    <w:rsid w:val="00757340"/>
    <w:rsid w:val="007573F4"/>
    <w:rsid w:val="007579F9"/>
    <w:rsid w:val="00757F54"/>
    <w:rsid w:val="00760295"/>
    <w:rsid w:val="007603BB"/>
    <w:rsid w:val="007607D2"/>
    <w:rsid w:val="00760A0C"/>
    <w:rsid w:val="00760A6E"/>
    <w:rsid w:val="00760D6A"/>
    <w:rsid w:val="00760EAE"/>
    <w:rsid w:val="00761134"/>
    <w:rsid w:val="00761F02"/>
    <w:rsid w:val="00762081"/>
    <w:rsid w:val="00762374"/>
    <w:rsid w:val="007623E5"/>
    <w:rsid w:val="007624D8"/>
    <w:rsid w:val="007625F6"/>
    <w:rsid w:val="00762977"/>
    <w:rsid w:val="00762AC8"/>
    <w:rsid w:val="00763336"/>
    <w:rsid w:val="007634EE"/>
    <w:rsid w:val="0076358F"/>
    <w:rsid w:val="00763822"/>
    <w:rsid w:val="00763832"/>
    <w:rsid w:val="007645C9"/>
    <w:rsid w:val="007645F1"/>
    <w:rsid w:val="00764704"/>
    <w:rsid w:val="00764C81"/>
    <w:rsid w:val="00765037"/>
    <w:rsid w:val="007652C8"/>
    <w:rsid w:val="007658F0"/>
    <w:rsid w:val="00765ACF"/>
    <w:rsid w:val="00765AEF"/>
    <w:rsid w:val="007660E5"/>
    <w:rsid w:val="0076625A"/>
    <w:rsid w:val="007669D1"/>
    <w:rsid w:val="00766BEF"/>
    <w:rsid w:val="00766DAF"/>
    <w:rsid w:val="00766E8C"/>
    <w:rsid w:val="00766EFA"/>
    <w:rsid w:val="00767166"/>
    <w:rsid w:val="00767236"/>
    <w:rsid w:val="007672FC"/>
    <w:rsid w:val="0076779F"/>
    <w:rsid w:val="00767A0E"/>
    <w:rsid w:val="00767C93"/>
    <w:rsid w:val="00767E31"/>
    <w:rsid w:val="00770618"/>
    <w:rsid w:val="00770909"/>
    <w:rsid w:val="00770E14"/>
    <w:rsid w:val="00770F13"/>
    <w:rsid w:val="00771346"/>
    <w:rsid w:val="0077162E"/>
    <w:rsid w:val="00771B5A"/>
    <w:rsid w:val="00771D0B"/>
    <w:rsid w:val="00771DB7"/>
    <w:rsid w:val="0077225B"/>
    <w:rsid w:val="007726B6"/>
    <w:rsid w:val="0077273C"/>
    <w:rsid w:val="0077295E"/>
    <w:rsid w:val="00772A75"/>
    <w:rsid w:val="00772DEF"/>
    <w:rsid w:val="0077313C"/>
    <w:rsid w:val="00773183"/>
    <w:rsid w:val="007732EE"/>
    <w:rsid w:val="00773753"/>
    <w:rsid w:val="00773E1C"/>
    <w:rsid w:val="00773EED"/>
    <w:rsid w:val="0077410D"/>
    <w:rsid w:val="0077445F"/>
    <w:rsid w:val="007752FB"/>
    <w:rsid w:val="0077532A"/>
    <w:rsid w:val="00775685"/>
    <w:rsid w:val="00775B26"/>
    <w:rsid w:val="00775DA8"/>
    <w:rsid w:val="007762F0"/>
    <w:rsid w:val="00776C2A"/>
    <w:rsid w:val="00776DD2"/>
    <w:rsid w:val="00777162"/>
    <w:rsid w:val="007774E3"/>
    <w:rsid w:val="00777B5D"/>
    <w:rsid w:val="00780557"/>
    <w:rsid w:val="00780CC7"/>
    <w:rsid w:val="00780DE6"/>
    <w:rsid w:val="00780EBE"/>
    <w:rsid w:val="0078124C"/>
    <w:rsid w:val="00781527"/>
    <w:rsid w:val="00781579"/>
    <w:rsid w:val="007815E2"/>
    <w:rsid w:val="007817D6"/>
    <w:rsid w:val="0078185C"/>
    <w:rsid w:val="0078205C"/>
    <w:rsid w:val="007825F0"/>
    <w:rsid w:val="00782A50"/>
    <w:rsid w:val="00782BA2"/>
    <w:rsid w:val="00782CD7"/>
    <w:rsid w:val="00782F60"/>
    <w:rsid w:val="00782FF5"/>
    <w:rsid w:val="007830EE"/>
    <w:rsid w:val="007832D4"/>
    <w:rsid w:val="00783737"/>
    <w:rsid w:val="0078381F"/>
    <w:rsid w:val="00783944"/>
    <w:rsid w:val="00783C88"/>
    <w:rsid w:val="00783CFD"/>
    <w:rsid w:val="00783F90"/>
    <w:rsid w:val="007842C4"/>
    <w:rsid w:val="007844D4"/>
    <w:rsid w:val="007845BA"/>
    <w:rsid w:val="00784AFB"/>
    <w:rsid w:val="00784B15"/>
    <w:rsid w:val="0078525F"/>
    <w:rsid w:val="007852E3"/>
    <w:rsid w:val="00785329"/>
    <w:rsid w:val="00785C0C"/>
    <w:rsid w:val="00785EA9"/>
    <w:rsid w:val="00785FDB"/>
    <w:rsid w:val="007861EC"/>
    <w:rsid w:val="00786434"/>
    <w:rsid w:val="00786ABE"/>
    <w:rsid w:val="00787100"/>
    <w:rsid w:val="00787441"/>
    <w:rsid w:val="0078757B"/>
    <w:rsid w:val="007875DF"/>
    <w:rsid w:val="0078792E"/>
    <w:rsid w:val="00790047"/>
    <w:rsid w:val="0079042A"/>
    <w:rsid w:val="00790445"/>
    <w:rsid w:val="007907FD"/>
    <w:rsid w:val="00790BFB"/>
    <w:rsid w:val="007913D7"/>
    <w:rsid w:val="0079175F"/>
    <w:rsid w:val="00791ABC"/>
    <w:rsid w:val="00791EB0"/>
    <w:rsid w:val="007921D1"/>
    <w:rsid w:val="0079227C"/>
    <w:rsid w:val="00792473"/>
    <w:rsid w:val="007924D7"/>
    <w:rsid w:val="00792522"/>
    <w:rsid w:val="007926F6"/>
    <w:rsid w:val="007933E0"/>
    <w:rsid w:val="007935F4"/>
    <w:rsid w:val="0079367D"/>
    <w:rsid w:val="007941DB"/>
    <w:rsid w:val="00794201"/>
    <w:rsid w:val="0079463C"/>
    <w:rsid w:val="00794670"/>
    <w:rsid w:val="00794993"/>
    <w:rsid w:val="00794BCB"/>
    <w:rsid w:val="00794FAF"/>
    <w:rsid w:val="00794FBA"/>
    <w:rsid w:val="007952A1"/>
    <w:rsid w:val="00795399"/>
    <w:rsid w:val="00795797"/>
    <w:rsid w:val="0079586A"/>
    <w:rsid w:val="00795EB9"/>
    <w:rsid w:val="007968D6"/>
    <w:rsid w:val="0079698F"/>
    <w:rsid w:val="00796D56"/>
    <w:rsid w:val="00796F42"/>
    <w:rsid w:val="0079746B"/>
    <w:rsid w:val="0079759A"/>
    <w:rsid w:val="00797664"/>
    <w:rsid w:val="007978F9"/>
    <w:rsid w:val="00797C2A"/>
    <w:rsid w:val="00797CAF"/>
    <w:rsid w:val="007A00D0"/>
    <w:rsid w:val="007A0118"/>
    <w:rsid w:val="007A0ABF"/>
    <w:rsid w:val="007A0DCF"/>
    <w:rsid w:val="007A0EA2"/>
    <w:rsid w:val="007A153A"/>
    <w:rsid w:val="007A16C1"/>
    <w:rsid w:val="007A1760"/>
    <w:rsid w:val="007A182C"/>
    <w:rsid w:val="007A1976"/>
    <w:rsid w:val="007A1992"/>
    <w:rsid w:val="007A1B04"/>
    <w:rsid w:val="007A1CB2"/>
    <w:rsid w:val="007A1FBF"/>
    <w:rsid w:val="007A304E"/>
    <w:rsid w:val="007A3ACC"/>
    <w:rsid w:val="007A3F54"/>
    <w:rsid w:val="007A422D"/>
    <w:rsid w:val="007A466A"/>
    <w:rsid w:val="007A473E"/>
    <w:rsid w:val="007A49BD"/>
    <w:rsid w:val="007A4D05"/>
    <w:rsid w:val="007A4D33"/>
    <w:rsid w:val="007A4F2A"/>
    <w:rsid w:val="007A4F89"/>
    <w:rsid w:val="007A503F"/>
    <w:rsid w:val="007A550F"/>
    <w:rsid w:val="007A5BE7"/>
    <w:rsid w:val="007A5C2B"/>
    <w:rsid w:val="007A616E"/>
    <w:rsid w:val="007A621C"/>
    <w:rsid w:val="007A6520"/>
    <w:rsid w:val="007A65AC"/>
    <w:rsid w:val="007A6627"/>
    <w:rsid w:val="007A67A3"/>
    <w:rsid w:val="007A6937"/>
    <w:rsid w:val="007A701E"/>
    <w:rsid w:val="007A7065"/>
    <w:rsid w:val="007A709A"/>
    <w:rsid w:val="007A75AC"/>
    <w:rsid w:val="007A772B"/>
    <w:rsid w:val="007B02DA"/>
    <w:rsid w:val="007B05AD"/>
    <w:rsid w:val="007B0772"/>
    <w:rsid w:val="007B0825"/>
    <w:rsid w:val="007B08A0"/>
    <w:rsid w:val="007B09AE"/>
    <w:rsid w:val="007B0A3B"/>
    <w:rsid w:val="007B0F99"/>
    <w:rsid w:val="007B1074"/>
    <w:rsid w:val="007B15C6"/>
    <w:rsid w:val="007B1660"/>
    <w:rsid w:val="007B1801"/>
    <w:rsid w:val="007B1919"/>
    <w:rsid w:val="007B1D94"/>
    <w:rsid w:val="007B24A6"/>
    <w:rsid w:val="007B2710"/>
    <w:rsid w:val="007B2D18"/>
    <w:rsid w:val="007B2DB5"/>
    <w:rsid w:val="007B33F4"/>
    <w:rsid w:val="007B3630"/>
    <w:rsid w:val="007B3670"/>
    <w:rsid w:val="007B3686"/>
    <w:rsid w:val="007B36B5"/>
    <w:rsid w:val="007B36E2"/>
    <w:rsid w:val="007B3B33"/>
    <w:rsid w:val="007B3CA8"/>
    <w:rsid w:val="007B3DE0"/>
    <w:rsid w:val="007B4366"/>
    <w:rsid w:val="007B43AE"/>
    <w:rsid w:val="007B4638"/>
    <w:rsid w:val="007B4BB5"/>
    <w:rsid w:val="007B4EDF"/>
    <w:rsid w:val="007B4F69"/>
    <w:rsid w:val="007B5078"/>
    <w:rsid w:val="007B50AA"/>
    <w:rsid w:val="007B5AD2"/>
    <w:rsid w:val="007B5DC6"/>
    <w:rsid w:val="007B6176"/>
    <w:rsid w:val="007B631B"/>
    <w:rsid w:val="007B65C1"/>
    <w:rsid w:val="007B6792"/>
    <w:rsid w:val="007B6A21"/>
    <w:rsid w:val="007B6DD1"/>
    <w:rsid w:val="007B6F49"/>
    <w:rsid w:val="007B70A7"/>
    <w:rsid w:val="007B70D6"/>
    <w:rsid w:val="007B7377"/>
    <w:rsid w:val="007B7576"/>
    <w:rsid w:val="007B7810"/>
    <w:rsid w:val="007B7937"/>
    <w:rsid w:val="007B7AEA"/>
    <w:rsid w:val="007B7CBB"/>
    <w:rsid w:val="007B7D16"/>
    <w:rsid w:val="007C06CC"/>
    <w:rsid w:val="007C06DD"/>
    <w:rsid w:val="007C084D"/>
    <w:rsid w:val="007C0AA1"/>
    <w:rsid w:val="007C0B14"/>
    <w:rsid w:val="007C1061"/>
    <w:rsid w:val="007C1451"/>
    <w:rsid w:val="007C14CE"/>
    <w:rsid w:val="007C1608"/>
    <w:rsid w:val="007C1712"/>
    <w:rsid w:val="007C17AC"/>
    <w:rsid w:val="007C18E7"/>
    <w:rsid w:val="007C1C9A"/>
    <w:rsid w:val="007C2464"/>
    <w:rsid w:val="007C29B6"/>
    <w:rsid w:val="007C2D68"/>
    <w:rsid w:val="007C2EA3"/>
    <w:rsid w:val="007C318D"/>
    <w:rsid w:val="007C3263"/>
    <w:rsid w:val="007C3921"/>
    <w:rsid w:val="007C3AE9"/>
    <w:rsid w:val="007C3E99"/>
    <w:rsid w:val="007C4093"/>
    <w:rsid w:val="007C4257"/>
    <w:rsid w:val="007C42D6"/>
    <w:rsid w:val="007C44D4"/>
    <w:rsid w:val="007C4502"/>
    <w:rsid w:val="007C4570"/>
    <w:rsid w:val="007C4706"/>
    <w:rsid w:val="007C474C"/>
    <w:rsid w:val="007C498F"/>
    <w:rsid w:val="007C52B0"/>
    <w:rsid w:val="007C53D1"/>
    <w:rsid w:val="007C54AE"/>
    <w:rsid w:val="007C5688"/>
    <w:rsid w:val="007C591E"/>
    <w:rsid w:val="007C591F"/>
    <w:rsid w:val="007C598A"/>
    <w:rsid w:val="007C5B34"/>
    <w:rsid w:val="007C5FD5"/>
    <w:rsid w:val="007C6302"/>
    <w:rsid w:val="007C6452"/>
    <w:rsid w:val="007C667E"/>
    <w:rsid w:val="007C6BF0"/>
    <w:rsid w:val="007C6E04"/>
    <w:rsid w:val="007C6E11"/>
    <w:rsid w:val="007C6F0A"/>
    <w:rsid w:val="007C7292"/>
    <w:rsid w:val="007C729C"/>
    <w:rsid w:val="007C74B4"/>
    <w:rsid w:val="007C7731"/>
    <w:rsid w:val="007C7AA0"/>
    <w:rsid w:val="007C7C5A"/>
    <w:rsid w:val="007C7CD2"/>
    <w:rsid w:val="007C7DC4"/>
    <w:rsid w:val="007C7EFB"/>
    <w:rsid w:val="007C7FAB"/>
    <w:rsid w:val="007D0343"/>
    <w:rsid w:val="007D05E9"/>
    <w:rsid w:val="007D0716"/>
    <w:rsid w:val="007D0893"/>
    <w:rsid w:val="007D0988"/>
    <w:rsid w:val="007D1348"/>
    <w:rsid w:val="007D135E"/>
    <w:rsid w:val="007D13E7"/>
    <w:rsid w:val="007D14A4"/>
    <w:rsid w:val="007D1689"/>
    <w:rsid w:val="007D1697"/>
    <w:rsid w:val="007D172B"/>
    <w:rsid w:val="007D1755"/>
    <w:rsid w:val="007D177C"/>
    <w:rsid w:val="007D1BC3"/>
    <w:rsid w:val="007D1DA3"/>
    <w:rsid w:val="007D2493"/>
    <w:rsid w:val="007D25ED"/>
    <w:rsid w:val="007D266B"/>
    <w:rsid w:val="007D2B10"/>
    <w:rsid w:val="007D2E9B"/>
    <w:rsid w:val="007D3346"/>
    <w:rsid w:val="007D3614"/>
    <w:rsid w:val="007D3698"/>
    <w:rsid w:val="007D3800"/>
    <w:rsid w:val="007D38AF"/>
    <w:rsid w:val="007D3ACC"/>
    <w:rsid w:val="007D3D9D"/>
    <w:rsid w:val="007D4773"/>
    <w:rsid w:val="007D4A2B"/>
    <w:rsid w:val="007D4B07"/>
    <w:rsid w:val="007D503F"/>
    <w:rsid w:val="007D5876"/>
    <w:rsid w:val="007D58A2"/>
    <w:rsid w:val="007D598F"/>
    <w:rsid w:val="007D5DC4"/>
    <w:rsid w:val="007D5F91"/>
    <w:rsid w:val="007D603C"/>
    <w:rsid w:val="007D62CF"/>
    <w:rsid w:val="007D6574"/>
    <w:rsid w:val="007D785F"/>
    <w:rsid w:val="007E041B"/>
    <w:rsid w:val="007E0576"/>
    <w:rsid w:val="007E0980"/>
    <w:rsid w:val="007E0A1A"/>
    <w:rsid w:val="007E0E6F"/>
    <w:rsid w:val="007E10FF"/>
    <w:rsid w:val="007E1352"/>
    <w:rsid w:val="007E15D9"/>
    <w:rsid w:val="007E19E6"/>
    <w:rsid w:val="007E1A70"/>
    <w:rsid w:val="007E1C18"/>
    <w:rsid w:val="007E1D40"/>
    <w:rsid w:val="007E1E00"/>
    <w:rsid w:val="007E2459"/>
    <w:rsid w:val="007E2C02"/>
    <w:rsid w:val="007E32AD"/>
    <w:rsid w:val="007E387A"/>
    <w:rsid w:val="007E3A5E"/>
    <w:rsid w:val="007E3B3F"/>
    <w:rsid w:val="007E3CA4"/>
    <w:rsid w:val="007E3D87"/>
    <w:rsid w:val="007E3F1A"/>
    <w:rsid w:val="007E46EC"/>
    <w:rsid w:val="007E481F"/>
    <w:rsid w:val="007E4B4F"/>
    <w:rsid w:val="007E4FE8"/>
    <w:rsid w:val="007E5373"/>
    <w:rsid w:val="007E54F1"/>
    <w:rsid w:val="007E5604"/>
    <w:rsid w:val="007E57B9"/>
    <w:rsid w:val="007E5879"/>
    <w:rsid w:val="007E597A"/>
    <w:rsid w:val="007E5996"/>
    <w:rsid w:val="007E59CB"/>
    <w:rsid w:val="007E5DFA"/>
    <w:rsid w:val="007E6BD2"/>
    <w:rsid w:val="007E6C88"/>
    <w:rsid w:val="007E703B"/>
    <w:rsid w:val="007E70AE"/>
    <w:rsid w:val="007E72E3"/>
    <w:rsid w:val="007E730B"/>
    <w:rsid w:val="007E734C"/>
    <w:rsid w:val="007E777B"/>
    <w:rsid w:val="007E7BDA"/>
    <w:rsid w:val="007E7CEB"/>
    <w:rsid w:val="007E7F1A"/>
    <w:rsid w:val="007F0400"/>
    <w:rsid w:val="007F0457"/>
    <w:rsid w:val="007F087B"/>
    <w:rsid w:val="007F08C7"/>
    <w:rsid w:val="007F0AB9"/>
    <w:rsid w:val="007F0C4F"/>
    <w:rsid w:val="007F0D39"/>
    <w:rsid w:val="007F0F7A"/>
    <w:rsid w:val="007F14DB"/>
    <w:rsid w:val="007F1656"/>
    <w:rsid w:val="007F1658"/>
    <w:rsid w:val="007F1739"/>
    <w:rsid w:val="007F1AAC"/>
    <w:rsid w:val="007F1B4D"/>
    <w:rsid w:val="007F21EE"/>
    <w:rsid w:val="007F2299"/>
    <w:rsid w:val="007F2651"/>
    <w:rsid w:val="007F292D"/>
    <w:rsid w:val="007F2BC0"/>
    <w:rsid w:val="007F2DBC"/>
    <w:rsid w:val="007F2DBF"/>
    <w:rsid w:val="007F3074"/>
    <w:rsid w:val="007F3409"/>
    <w:rsid w:val="007F3606"/>
    <w:rsid w:val="007F375D"/>
    <w:rsid w:val="007F3A46"/>
    <w:rsid w:val="007F3F57"/>
    <w:rsid w:val="007F4B0F"/>
    <w:rsid w:val="007F4B50"/>
    <w:rsid w:val="007F4CF6"/>
    <w:rsid w:val="007F4EAF"/>
    <w:rsid w:val="007F5416"/>
    <w:rsid w:val="007F5ADE"/>
    <w:rsid w:val="007F5BF4"/>
    <w:rsid w:val="007F5D0C"/>
    <w:rsid w:val="007F60EE"/>
    <w:rsid w:val="007F615D"/>
    <w:rsid w:val="007F6F3D"/>
    <w:rsid w:val="007F6FA1"/>
    <w:rsid w:val="007F71FF"/>
    <w:rsid w:val="007F78C6"/>
    <w:rsid w:val="007F7E69"/>
    <w:rsid w:val="008004C6"/>
    <w:rsid w:val="0080061B"/>
    <w:rsid w:val="008006FE"/>
    <w:rsid w:val="0080076C"/>
    <w:rsid w:val="0080099D"/>
    <w:rsid w:val="00800B1E"/>
    <w:rsid w:val="00800C2E"/>
    <w:rsid w:val="008010B8"/>
    <w:rsid w:val="0080115C"/>
    <w:rsid w:val="0080115D"/>
    <w:rsid w:val="00801A6D"/>
    <w:rsid w:val="00801D06"/>
    <w:rsid w:val="00801DCF"/>
    <w:rsid w:val="00801F1F"/>
    <w:rsid w:val="00801F65"/>
    <w:rsid w:val="008026DA"/>
    <w:rsid w:val="00802794"/>
    <w:rsid w:val="0080279B"/>
    <w:rsid w:val="00802D65"/>
    <w:rsid w:val="00802F2F"/>
    <w:rsid w:val="0080315A"/>
    <w:rsid w:val="0080362F"/>
    <w:rsid w:val="00803C2B"/>
    <w:rsid w:val="00804099"/>
    <w:rsid w:val="00804127"/>
    <w:rsid w:val="0080414C"/>
    <w:rsid w:val="00804669"/>
    <w:rsid w:val="00804915"/>
    <w:rsid w:val="00804C2E"/>
    <w:rsid w:val="008054CB"/>
    <w:rsid w:val="00805761"/>
    <w:rsid w:val="00805877"/>
    <w:rsid w:val="00805A94"/>
    <w:rsid w:val="00805AAC"/>
    <w:rsid w:val="00805DC0"/>
    <w:rsid w:val="0080655F"/>
    <w:rsid w:val="00806605"/>
    <w:rsid w:val="00806697"/>
    <w:rsid w:val="00806DBB"/>
    <w:rsid w:val="00806DC4"/>
    <w:rsid w:val="00806E2D"/>
    <w:rsid w:val="00806F65"/>
    <w:rsid w:val="008071B5"/>
    <w:rsid w:val="00807915"/>
    <w:rsid w:val="00807B38"/>
    <w:rsid w:val="00807BFF"/>
    <w:rsid w:val="00807DE1"/>
    <w:rsid w:val="00807F3E"/>
    <w:rsid w:val="00810058"/>
    <w:rsid w:val="008101A9"/>
    <w:rsid w:val="0081052E"/>
    <w:rsid w:val="00810683"/>
    <w:rsid w:val="00810765"/>
    <w:rsid w:val="0081076B"/>
    <w:rsid w:val="00810AFF"/>
    <w:rsid w:val="00810DE4"/>
    <w:rsid w:val="00810ECE"/>
    <w:rsid w:val="00810F42"/>
    <w:rsid w:val="0081155D"/>
    <w:rsid w:val="00811AE9"/>
    <w:rsid w:val="00811B5E"/>
    <w:rsid w:val="00811DBC"/>
    <w:rsid w:val="00811F20"/>
    <w:rsid w:val="00811FE7"/>
    <w:rsid w:val="00812021"/>
    <w:rsid w:val="0081205E"/>
    <w:rsid w:val="00812137"/>
    <w:rsid w:val="00812285"/>
    <w:rsid w:val="00812291"/>
    <w:rsid w:val="00812669"/>
    <w:rsid w:val="00812690"/>
    <w:rsid w:val="00812B84"/>
    <w:rsid w:val="00812CA4"/>
    <w:rsid w:val="00812D6C"/>
    <w:rsid w:val="00812F32"/>
    <w:rsid w:val="00813147"/>
    <w:rsid w:val="00813776"/>
    <w:rsid w:val="008138C4"/>
    <w:rsid w:val="008139E7"/>
    <w:rsid w:val="00813EE7"/>
    <w:rsid w:val="008141F9"/>
    <w:rsid w:val="00814363"/>
    <w:rsid w:val="00814A95"/>
    <w:rsid w:val="00814AFF"/>
    <w:rsid w:val="00814B73"/>
    <w:rsid w:val="00814C50"/>
    <w:rsid w:val="00814FB1"/>
    <w:rsid w:val="008152EB"/>
    <w:rsid w:val="0081536E"/>
    <w:rsid w:val="008153DA"/>
    <w:rsid w:val="008157C1"/>
    <w:rsid w:val="00815984"/>
    <w:rsid w:val="00815FD9"/>
    <w:rsid w:val="00816295"/>
    <w:rsid w:val="0081673E"/>
    <w:rsid w:val="00816838"/>
    <w:rsid w:val="00816C12"/>
    <w:rsid w:val="00816F19"/>
    <w:rsid w:val="00820298"/>
    <w:rsid w:val="0082043D"/>
    <w:rsid w:val="00820877"/>
    <w:rsid w:val="008212D9"/>
    <w:rsid w:val="0082150C"/>
    <w:rsid w:val="00821609"/>
    <w:rsid w:val="008216D5"/>
    <w:rsid w:val="0082198D"/>
    <w:rsid w:val="00821C24"/>
    <w:rsid w:val="00821C72"/>
    <w:rsid w:val="008220BC"/>
    <w:rsid w:val="00822202"/>
    <w:rsid w:val="00822364"/>
    <w:rsid w:val="00822450"/>
    <w:rsid w:val="008224E1"/>
    <w:rsid w:val="008230F4"/>
    <w:rsid w:val="00823368"/>
    <w:rsid w:val="0082381B"/>
    <w:rsid w:val="00823AE5"/>
    <w:rsid w:val="00823B71"/>
    <w:rsid w:val="00823DA1"/>
    <w:rsid w:val="00823E26"/>
    <w:rsid w:val="00824030"/>
    <w:rsid w:val="00824211"/>
    <w:rsid w:val="0082441B"/>
    <w:rsid w:val="0082468C"/>
    <w:rsid w:val="008246C4"/>
    <w:rsid w:val="008247DB"/>
    <w:rsid w:val="00824A21"/>
    <w:rsid w:val="0082523E"/>
    <w:rsid w:val="0082534C"/>
    <w:rsid w:val="008254D7"/>
    <w:rsid w:val="00825556"/>
    <w:rsid w:val="00825748"/>
    <w:rsid w:val="008258B4"/>
    <w:rsid w:val="00825D22"/>
    <w:rsid w:val="00825E1E"/>
    <w:rsid w:val="008260F7"/>
    <w:rsid w:val="008261A4"/>
    <w:rsid w:val="00826795"/>
    <w:rsid w:val="00826D48"/>
    <w:rsid w:val="008271F0"/>
    <w:rsid w:val="00827E6A"/>
    <w:rsid w:val="00827EFE"/>
    <w:rsid w:val="00827F20"/>
    <w:rsid w:val="008300CE"/>
    <w:rsid w:val="008307FC"/>
    <w:rsid w:val="008308F5"/>
    <w:rsid w:val="0083094C"/>
    <w:rsid w:val="008309A0"/>
    <w:rsid w:val="00830B4F"/>
    <w:rsid w:val="00830BCC"/>
    <w:rsid w:val="008311FD"/>
    <w:rsid w:val="00831626"/>
    <w:rsid w:val="0083173A"/>
    <w:rsid w:val="00831757"/>
    <w:rsid w:val="00832109"/>
    <w:rsid w:val="00832376"/>
    <w:rsid w:val="0083243D"/>
    <w:rsid w:val="00832BEC"/>
    <w:rsid w:val="00832DD9"/>
    <w:rsid w:val="0083345F"/>
    <w:rsid w:val="0083368B"/>
    <w:rsid w:val="008339B5"/>
    <w:rsid w:val="008339EA"/>
    <w:rsid w:val="008340F6"/>
    <w:rsid w:val="0083415D"/>
    <w:rsid w:val="00834308"/>
    <w:rsid w:val="00834324"/>
    <w:rsid w:val="008343B0"/>
    <w:rsid w:val="00834688"/>
    <w:rsid w:val="008348B6"/>
    <w:rsid w:val="008348C0"/>
    <w:rsid w:val="008348EA"/>
    <w:rsid w:val="00834A0E"/>
    <w:rsid w:val="00834A8D"/>
    <w:rsid w:val="00834C0E"/>
    <w:rsid w:val="00834C47"/>
    <w:rsid w:val="00834EB8"/>
    <w:rsid w:val="00835110"/>
    <w:rsid w:val="0083580F"/>
    <w:rsid w:val="0083581D"/>
    <w:rsid w:val="00835C55"/>
    <w:rsid w:val="0083601E"/>
    <w:rsid w:val="008367CA"/>
    <w:rsid w:val="0083692C"/>
    <w:rsid w:val="00836DCB"/>
    <w:rsid w:val="008372B3"/>
    <w:rsid w:val="00837307"/>
    <w:rsid w:val="0083745E"/>
    <w:rsid w:val="008376B2"/>
    <w:rsid w:val="00837A5E"/>
    <w:rsid w:val="00837D77"/>
    <w:rsid w:val="0084006B"/>
    <w:rsid w:val="00840194"/>
    <w:rsid w:val="00840227"/>
    <w:rsid w:val="008404A1"/>
    <w:rsid w:val="008405C6"/>
    <w:rsid w:val="0084066D"/>
    <w:rsid w:val="0084079D"/>
    <w:rsid w:val="00840CEE"/>
    <w:rsid w:val="00840DDC"/>
    <w:rsid w:val="00840E2E"/>
    <w:rsid w:val="008410D6"/>
    <w:rsid w:val="0084149F"/>
    <w:rsid w:val="00841A66"/>
    <w:rsid w:val="00842144"/>
    <w:rsid w:val="008424C3"/>
    <w:rsid w:val="008426A8"/>
    <w:rsid w:val="0084280D"/>
    <w:rsid w:val="00842B91"/>
    <w:rsid w:val="0084380B"/>
    <w:rsid w:val="00843813"/>
    <w:rsid w:val="0084394F"/>
    <w:rsid w:val="00843B1B"/>
    <w:rsid w:val="00843B23"/>
    <w:rsid w:val="00843E30"/>
    <w:rsid w:val="0084423A"/>
    <w:rsid w:val="00844716"/>
    <w:rsid w:val="008447F5"/>
    <w:rsid w:val="00844823"/>
    <w:rsid w:val="00844A0D"/>
    <w:rsid w:val="00844F07"/>
    <w:rsid w:val="00845314"/>
    <w:rsid w:val="0084540B"/>
    <w:rsid w:val="008459B7"/>
    <w:rsid w:val="00845F6A"/>
    <w:rsid w:val="0084616C"/>
    <w:rsid w:val="008463B0"/>
    <w:rsid w:val="0084641A"/>
    <w:rsid w:val="008464A8"/>
    <w:rsid w:val="00846942"/>
    <w:rsid w:val="00847089"/>
    <w:rsid w:val="0084745E"/>
    <w:rsid w:val="0084759C"/>
    <w:rsid w:val="00847835"/>
    <w:rsid w:val="00847EEB"/>
    <w:rsid w:val="0085015A"/>
    <w:rsid w:val="00850439"/>
    <w:rsid w:val="00850752"/>
    <w:rsid w:val="00850987"/>
    <w:rsid w:val="008509EA"/>
    <w:rsid w:val="00850CE9"/>
    <w:rsid w:val="00850D61"/>
    <w:rsid w:val="00850F63"/>
    <w:rsid w:val="008512BE"/>
    <w:rsid w:val="0085147C"/>
    <w:rsid w:val="008516BB"/>
    <w:rsid w:val="00851891"/>
    <w:rsid w:val="00851B49"/>
    <w:rsid w:val="00851BF2"/>
    <w:rsid w:val="00851D89"/>
    <w:rsid w:val="00851FB4"/>
    <w:rsid w:val="008524C2"/>
    <w:rsid w:val="008525C4"/>
    <w:rsid w:val="00852BFF"/>
    <w:rsid w:val="00852D61"/>
    <w:rsid w:val="00852E82"/>
    <w:rsid w:val="00852F9A"/>
    <w:rsid w:val="008534E2"/>
    <w:rsid w:val="00853606"/>
    <w:rsid w:val="0085382D"/>
    <w:rsid w:val="00853B4D"/>
    <w:rsid w:val="00853C9F"/>
    <w:rsid w:val="00853EDC"/>
    <w:rsid w:val="00853FAF"/>
    <w:rsid w:val="008540C3"/>
    <w:rsid w:val="008545EC"/>
    <w:rsid w:val="00855380"/>
    <w:rsid w:val="008554AF"/>
    <w:rsid w:val="00855823"/>
    <w:rsid w:val="00855DF7"/>
    <w:rsid w:val="00856031"/>
    <w:rsid w:val="0085606A"/>
    <w:rsid w:val="008563A6"/>
    <w:rsid w:val="0085669E"/>
    <w:rsid w:val="00856872"/>
    <w:rsid w:val="00856965"/>
    <w:rsid w:val="00856A86"/>
    <w:rsid w:val="00857284"/>
    <w:rsid w:val="0085764F"/>
    <w:rsid w:val="00857897"/>
    <w:rsid w:val="00857D12"/>
    <w:rsid w:val="00857E35"/>
    <w:rsid w:val="008601BE"/>
    <w:rsid w:val="00860780"/>
    <w:rsid w:val="00860866"/>
    <w:rsid w:val="00860900"/>
    <w:rsid w:val="00860AC5"/>
    <w:rsid w:val="00860F51"/>
    <w:rsid w:val="0086115D"/>
    <w:rsid w:val="008617A3"/>
    <w:rsid w:val="008617F6"/>
    <w:rsid w:val="00861871"/>
    <w:rsid w:val="00861C5A"/>
    <w:rsid w:val="00861F7F"/>
    <w:rsid w:val="0086205B"/>
    <w:rsid w:val="0086223F"/>
    <w:rsid w:val="0086231E"/>
    <w:rsid w:val="00862AF0"/>
    <w:rsid w:val="00862D5B"/>
    <w:rsid w:val="00863135"/>
    <w:rsid w:val="008631D3"/>
    <w:rsid w:val="0086344D"/>
    <w:rsid w:val="0086353F"/>
    <w:rsid w:val="0086384E"/>
    <w:rsid w:val="00863AE0"/>
    <w:rsid w:val="008640C3"/>
    <w:rsid w:val="00864E29"/>
    <w:rsid w:val="008650F2"/>
    <w:rsid w:val="008654B6"/>
    <w:rsid w:val="008654D8"/>
    <w:rsid w:val="0086571F"/>
    <w:rsid w:val="008658F9"/>
    <w:rsid w:val="0086597D"/>
    <w:rsid w:val="00865B23"/>
    <w:rsid w:val="00865C52"/>
    <w:rsid w:val="00866223"/>
    <w:rsid w:val="008662FD"/>
    <w:rsid w:val="0086649A"/>
    <w:rsid w:val="0086668F"/>
    <w:rsid w:val="00866CAB"/>
    <w:rsid w:val="008671E7"/>
    <w:rsid w:val="00867904"/>
    <w:rsid w:val="00867C81"/>
    <w:rsid w:val="00867CC1"/>
    <w:rsid w:val="0087029F"/>
    <w:rsid w:val="008707DD"/>
    <w:rsid w:val="00870CBB"/>
    <w:rsid w:val="00870FAD"/>
    <w:rsid w:val="008710D3"/>
    <w:rsid w:val="0087116A"/>
    <w:rsid w:val="00871215"/>
    <w:rsid w:val="008712FF"/>
    <w:rsid w:val="008713D9"/>
    <w:rsid w:val="008714BF"/>
    <w:rsid w:val="008718C1"/>
    <w:rsid w:val="00872273"/>
    <w:rsid w:val="008724E8"/>
    <w:rsid w:val="0087250D"/>
    <w:rsid w:val="0087251F"/>
    <w:rsid w:val="00872C16"/>
    <w:rsid w:val="00872D06"/>
    <w:rsid w:val="00872D13"/>
    <w:rsid w:val="00872ED3"/>
    <w:rsid w:val="008730F9"/>
    <w:rsid w:val="00873C1D"/>
    <w:rsid w:val="00873E0B"/>
    <w:rsid w:val="00873E68"/>
    <w:rsid w:val="00873E83"/>
    <w:rsid w:val="00873F68"/>
    <w:rsid w:val="008748F7"/>
    <w:rsid w:val="00874CA4"/>
    <w:rsid w:val="00874DAC"/>
    <w:rsid w:val="0087539E"/>
    <w:rsid w:val="008755C7"/>
    <w:rsid w:val="0087561D"/>
    <w:rsid w:val="0087570C"/>
    <w:rsid w:val="00875BB1"/>
    <w:rsid w:val="00875BBC"/>
    <w:rsid w:val="008761AF"/>
    <w:rsid w:val="00876C28"/>
    <w:rsid w:val="00876C29"/>
    <w:rsid w:val="00876F29"/>
    <w:rsid w:val="00876F9D"/>
    <w:rsid w:val="008774F3"/>
    <w:rsid w:val="00877782"/>
    <w:rsid w:val="00877795"/>
    <w:rsid w:val="00877B61"/>
    <w:rsid w:val="00877B6A"/>
    <w:rsid w:val="00877CA6"/>
    <w:rsid w:val="0088015B"/>
    <w:rsid w:val="0088051C"/>
    <w:rsid w:val="0088064D"/>
    <w:rsid w:val="00880784"/>
    <w:rsid w:val="00880926"/>
    <w:rsid w:val="00880A09"/>
    <w:rsid w:val="0088109F"/>
    <w:rsid w:val="0088115B"/>
    <w:rsid w:val="008817D4"/>
    <w:rsid w:val="00881AEB"/>
    <w:rsid w:val="00882733"/>
    <w:rsid w:val="008828A7"/>
    <w:rsid w:val="0088290A"/>
    <w:rsid w:val="0088293E"/>
    <w:rsid w:val="00882956"/>
    <w:rsid w:val="00882970"/>
    <w:rsid w:val="00882FA9"/>
    <w:rsid w:val="00883184"/>
    <w:rsid w:val="008836F0"/>
    <w:rsid w:val="00883B3C"/>
    <w:rsid w:val="00883C09"/>
    <w:rsid w:val="008840DD"/>
    <w:rsid w:val="0088451F"/>
    <w:rsid w:val="0088461B"/>
    <w:rsid w:val="00884A17"/>
    <w:rsid w:val="00884BEE"/>
    <w:rsid w:val="00885462"/>
    <w:rsid w:val="0088557C"/>
    <w:rsid w:val="008857D3"/>
    <w:rsid w:val="00885AC1"/>
    <w:rsid w:val="00885BA7"/>
    <w:rsid w:val="0088600A"/>
    <w:rsid w:val="008861DA"/>
    <w:rsid w:val="0088653F"/>
    <w:rsid w:val="00886929"/>
    <w:rsid w:val="00886BAA"/>
    <w:rsid w:val="00887126"/>
    <w:rsid w:val="008871FD"/>
    <w:rsid w:val="008873A0"/>
    <w:rsid w:val="00887934"/>
    <w:rsid w:val="00887B81"/>
    <w:rsid w:val="00887EC6"/>
    <w:rsid w:val="008901A8"/>
    <w:rsid w:val="008904A6"/>
    <w:rsid w:val="00890E5A"/>
    <w:rsid w:val="008912A6"/>
    <w:rsid w:val="00891735"/>
    <w:rsid w:val="008918FA"/>
    <w:rsid w:val="00891CDD"/>
    <w:rsid w:val="00892255"/>
    <w:rsid w:val="008922F3"/>
    <w:rsid w:val="00892497"/>
    <w:rsid w:val="008924D1"/>
    <w:rsid w:val="00892576"/>
    <w:rsid w:val="00892781"/>
    <w:rsid w:val="00892964"/>
    <w:rsid w:val="00892BAF"/>
    <w:rsid w:val="00893314"/>
    <w:rsid w:val="00893717"/>
    <w:rsid w:val="00893971"/>
    <w:rsid w:val="00893D41"/>
    <w:rsid w:val="00893F8F"/>
    <w:rsid w:val="00894375"/>
    <w:rsid w:val="00894609"/>
    <w:rsid w:val="00894671"/>
    <w:rsid w:val="00894930"/>
    <w:rsid w:val="00894B7E"/>
    <w:rsid w:val="00894D01"/>
    <w:rsid w:val="00894EA9"/>
    <w:rsid w:val="008954C3"/>
    <w:rsid w:val="00895611"/>
    <w:rsid w:val="00895661"/>
    <w:rsid w:val="008959A6"/>
    <w:rsid w:val="008962C7"/>
    <w:rsid w:val="008966D5"/>
    <w:rsid w:val="00896708"/>
    <w:rsid w:val="00896AC0"/>
    <w:rsid w:val="00896C08"/>
    <w:rsid w:val="008970E5"/>
    <w:rsid w:val="00897635"/>
    <w:rsid w:val="0089766B"/>
    <w:rsid w:val="00897683"/>
    <w:rsid w:val="00897B46"/>
    <w:rsid w:val="00897C06"/>
    <w:rsid w:val="00897FAC"/>
    <w:rsid w:val="008A0A8A"/>
    <w:rsid w:val="008A0B52"/>
    <w:rsid w:val="008A0D4A"/>
    <w:rsid w:val="008A1019"/>
    <w:rsid w:val="008A12CD"/>
    <w:rsid w:val="008A1512"/>
    <w:rsid w:val="008A192D"/>
    <w:rsid w:val="008A199A"/>
    <w:rsid w:val="008A1ACB"/>
    <w:rsid w:val="008A1FF7"/>
    <w:rsid w:val="008A2185"/>
    <w:rsid w:val="008A2298"/>
    <w:rsid w:val="008A2359"/>
    <w:rsid w:val="008A239D"/>
    <w:rsid w:val="008A23C5"/>
    <w:rsid w:val="008A2491"/>
    <w:rsid w:val="008A24EE"/>
    <w:rsid w:val="008A2510"/>
    <w:rsid w:val="008A255A"/>
    <w:rsid w:val="008A27C8"/>
    <w:rsid w:val="008A29E9"/>
    <w:rsid w:val="008A2B8F"/>
    <w:rsid w:val="008A2D4F"/>
    <w:rsid w:val="008A2D58"/>
    <w:rsid w:val="008A3110"/>
    <w:rsid w:val="008A3336"/>
    <w:rsid w:val="008A3450"/>
    <w:rsid w:val="008A36EF"/>
    <w:rsid w:val="008A370D"/>
    <w:rsid w:val="008A3777"/>
    <w:rsid w:val="008A42A3"/>
    <w:rsid w:val="008A4331"/>
    <w:rsid w:val="008A4493"/>
    <w:rsid w:val="008A4746"/>
    <w:rsid w:val="008A4BA8"/>
    <w:rsid w:val="008A4D82"/>
    <w:rsid w:val="008A50E8"/>
    <w:rsid w:val="008A53B6"/>
    <w:rsid w:val="008A55C6"/>
    <w:rsid w:val="008A55E4"/>
    <w:rsid w:val="008A57B9"/>
    <w:rsid w:val="008A5A90"/>
    <w:rsid w:val="008A5F42"/>
    <w:rsid w:val="008A6284"/>
    <w:rsid w:val="008A62BA"/>
    <w:rsid w:val="008A657D"/>
    <w:rsid w:val="008A6862"/>
    <w:rsid w:val="008A6D7E"/>
    <w:rsid w:val="008A6E58"/>
    <w:rsid w:val="008A6F20"/>
    <w:rsid w:val="008A7693"/>
    <w:rsid w:val="008A76F6"/>
    <w:rsid w:val="008A788D"/>
    <w:rsid w:val="008A78A3"/>
    <w:rsid w:val="008A7BB2"/>
    <w:rsid w:val="008B0042"/>
    <w:rsid w:val="008B0070"/>
    <w:rsid w:val="008B0127"/>
    <w:rsid w:val="008B061D"/>
    <w:rsid w:val="008B0701"/>
    <w:rsid w:val="008B1002"/>
    <w:rsid w:val="008B1101"/>
    <w:rsid w:val="008B114A"/>
    <w:rsid w:val="008B119D"/>
    <w:rsid w:val="008B11FA"/>
    <w:rsid w:val="008B1308"/>
    <w:rsid w:val="008B170E"/>
    <w:rsid w:val="008B20F4"/>
    <w:rsid w:val="008B2373"/>
    <w:rsid w:val="008B2603"/>
    <w:rsid w:val="008B26E1"/>
    <w:rsid w:val="008B2770"/>
    <w:rsid w:val="008B2953"/>
    <w:rsid w:val="008B2E4D"/>
    <w:rsid w:val="008B2F61"/>
    <w:rsid w:val="008B3339"/>
    <w:rsid w:val="008B34CE"/>
    <w:rsid w:val="008B396A"/>
    <w:rsid w:val="008B3B2D"/>
    <w:rsid w:val="008B3CC1"/>
    <w:rsid w:val="008B40F9"/>
    <w:rsid w:val="008B4E86"/>
    <w:rsid w:val="008B521D"/>
    <w:rsid w:val="008B52EF"/>
    <w:rsid w:val="008B550E"/>
    <w:rsid w:val="008B5533"/>
    <w:rsid w:val="008B55D1"/>
    <w:rsid w:val="008B56BC"/>
    <w:rsid w:val="008B5F3A"/>
    <w:rsid w:val="008B65A0"/>
    <w:rsid w:val="008B6AB7"/>
    <w:rsid w:val="008B6EA7"/>
    <w:rsid w:val="008B6F5C"/>
    <w:rsid w:val="008B7246"/>
    <w:rsid w:val="008B72C4"/>
    <w:rsid w:val="008B781C"/>
    <w:rsid w:val="008B7DAD"/>
    <w:rsid w:val="008C0043"/>
    <w:rsid w:val="008C01FA"/>
    <w:rsid w:val="008C0211"/>
    <w:rsid w:val="008C04AC"/>
    <w:rsid w:val="008C0582"/>
    <w:rsid w:val="008C08C2"/>
    <w:rsid w:val="008C19F0"/>
    <w:rsid w:val="008C1A69"/>
    <w:rsid w:val="008C1EEE"/>
    <w:rsid w:val="008C1F92"/>
    <w:rsid w:val="008C282F"/>
    <w:rsid w:val="008C293B"/>
    <w:rsid w:val="008C2C8B"/>
    <w:rsid w:val="008C314C"/>
    <w:rsid w:val="008C32C2"/>
    <w:rsid w:val="008C3539"/>
    <w:rsid w:val="008C36EF"/>
    <w:rsid w:val="008C3BFD"/>
    <w:rsid w:val="008C3C0E"/>
    <w:rsid w:val="008C3D0C"/>
    <w:rsid w:val="008C3DA9"/>
    <w:rsid w:val="008C3DE0"/>
    <w:rsid w:val="008C3E22"/>
    <w:rsid w:val="008C3EF2"/>
    <w:rsid w:val="008C41E7"/>
    <w:rsid w:val="008C43CB"/>
    <w:rsid w:val="008C484C"/>
    <w:rsid w:val="008C49EA"/>
    <w:rsid w:val="008C4A8D"/>
    <w:rsid w:val="008C4BD3"/>
    <w:rsid w:val="008C526C"/>
    <w:rsid w:val="008C56E4"/>
    <w:rsid w:val="008C5909"/>
    <w:rsid w:val="008C5D6C"/>
    <w:rsid w:val="008C5DE5"/>
    <w:rsid w:val="008C6074"/>
    <w:rsid w:val="008C609D"/>
    <w:rsid w:val="008C620B"/>
    <w:rsid w:val="008C6305"/>
    <w:rsid w:val="008C6319"/>
    <w:rsid w:val="008C6770"/>
    <w:rsid w:val="008C6806"/>
    <w:rsid w:val="008C68F3"/>
    <w:rsid w:val="008C699E"/>
    <w:rsid w:val="008C6A45"/>
    <w:rsid w:val="008C6F5D"/>
    <w:rsid w:val="008C7664"/>
    <w:rsid w:val="008C7864"/>
    <w:rsid w:val="008C787E"/>
    <w:rsid w:val="008C7B3E"/>
    <w:rsid w:val="008C7DC7"/>
    <w:rsid w:val="008C7F47"/>
    <w:rsid w:val="008C7FE8"/>
    <w:rsid w:val="008D02BB"/>
    <w:rsid w:val="008D0572"/>
    <w:rsid w:val="008D085A"/>
    <w:rsid w:val="008D0906"/>
    <w:rsid w:val="008D0BF4"/>
    <w:rsid w:val="008D0D8C"/>
    <w:rsid w:val="008D0DB5"/>
    <w:rsid w:val="008D0F5F"/>
    <w:rsid w:val="008D175B"/>
    <w:rsid w:val="008D17C2"/>
    <w:rsid w:val="008D1A0F"/>
    <w:rsid w:val="008D1CB4"/>
    <w:rsid w:val="008D23A8"/>
    <w:rsid w:val="008D244E"/>
    <w:rsid w:val="008D2748"/>
    <w:rsid w:val="008D2AD5"/>
    <w:rsid w:val="008D2DA5"/>
    <w:rsid w:val="008D2E42"/>
    <w:rsid w:val="008D3020"/>
    <w:rsid w:val="008D3542"/>
    <w:rsid w:val="008D3660"/>
    <w:rsid w:val="008D384C"/>
    <w:rsid w:val="008D388B"/>
    <w:rsid w:val="008D3B92"/>
    <w:rsid w:val="008D3CF1"/>
    <w:rsid w:val="008D4147"/>
    <w:rsid w:val="008D41C7"/>
    <w:rsid w:val="008D4309"/>
    <w:rsid w:val="008D4592"/>
    <w:rsid w:val="008D4875"/>
    <w:rsid w:val="008D52DC"/>
    <w:rsid w:val="008D5615"/>
    <w:rsid w:val="008D564E"/>
    <w:rsid w:val="008D568F"/>
    <w:rsid w:val="008D5B46"/>
    <w:rsid w:val="008D60AA"/>
    <w:rsid w:val="008D62D1"/>
    <w:rsid w:val="008D684E"/>
    <w:rsid w:val="008D6AF3"/>
    <w:rsid w:val="008D6B9E"/>
    <w:rsid w:val="008D6C62"/>
    <w:rsid w:val="008D6CA6"/>
    <w:rsid w:val="008D6E22"/>
    <w:rsid w:val="008D746D"/>
    <w:rsid w:val="008D7478"/>
    <w:rsid w:val="008D7812"/>
    <w:rsid w:val="008D7915"/>
    <w:rsid w:val="008D7BDA"/>
    <w:rsid w:val="008D7EC8"/>
    <w:rsid w:val="008E0259"/>
    <w:rsid w:val="008E02ED"/>
    <w:rsid w:val="008E052B"/>
    <w:rsid w:val="008E0695"/>
    <w:rsid w:val="008E0834"/>
    <w:rsid w:val="008E0973"/>
    <w:rsid w:val="008E0997"/>
    <w:rsid w:val="008E0C49"/>
    <w:rsid w:val="008E0C9A"/>
    <w:rsid w:val="008E0E49"/>
    <w:rsid w:val="008E101B"/>
    <w:rsid w:val="008E1669"/>
    <w:rsid w:val="008E169B"/>
    <w:rsid w:val="008E18B4"/>
    <w:rsid w:val="008E1A92"/>
    <w:rsid w:val="008E1C6A"/>
    <w:rsid w:val="008E1F66"/>
    <w:rsid w:val="008E26D4"/>
    <w:rsid w:val="008E29F7"/>
    <w:rsid w:val="008E2EDF"/>
    <w:rsid w:val="008E3150"/>
    <w:rsid w:val="008E318D"/>
    <w:rsid w:val="008E36AB"/>
    <w:rsid w:val="008E3A98"/>
    <w:rsid w:val="008E3B7F"/>
    <w:rsid w:val="008E467E"/>
    <w:rsid w:val="008E4BB3"/>
    <w:rsid w:val="008E5053"/>
    <w:rsid w:val="008E5167"/>
    <w:rsid w:val="008E51E6"/>
    <w:rsid w:val="008E57EE"/>
    <w:rsid w:val="008E5A75"/>
    <w:rsid w:val="008E5AEE"/>
    <w:rsid w:val="008E5B26"/>
    <w:rsid w:val="008E5BF4"/>
    <w:rsid w:val="008E602E"/>
    <w:rsid w:val="008E6213"/>
    <w:rsid w:val="008E63A9"/>
    <w:rsid w:val="008E64D4"/>
    <w:rsid w:val="008E6740"/>
    <w:rsid w:val="008E69DF"/>
    <w:rsid w:val="008E70C0"/>
    <w:rsid w:val="008E7250"/>
    <w:rsid w:val="008E74D8"/>
    <w:rsid w:val="008E7544"/>
    <w:rsid w:val="008E7B2E"/>
    <w:rsid w:val="008E7CC1"/>
    <w:rsid w:val="008E7D6E"/>
    <w:rsid w:val="008E7E1E"/>
    <w:rsid w:val="008F0457"/>
    <w:rsid w:val="008F0B29"/>
    <w:rsid w:val="008F0CDF"/>
    <w:rsid w:val="008F0FCE"/>
    <w:rsid w:val="008F144B"/>
    <w:rsid w:val="008F14E8"/>
    <w:rsid w:val="008F1519"/>
    <w:rsid w:val="008F160E"/>
    <w:rsid w:val="008F1799"/>
    <w:rsid w:val="008F1A3F"/>
    <w:rsid w:val="008F1B59"/>
    <w:rsid w:val="008F1BF6"/>
    <w:rsid w:val="008F270A"/>
    <w:rsid w:val="008F272A"/>
    <w:rsid w:val="008F2935"/>
    <w:rsid w:val="008F2E99"/>
    <w:rsid w:val="008F2EBF"/>
    <w:rsid w:val="008F3058"/>
    <w:rsid w:val="008F340D"/>
    <w:rsid w:val="008F3498"/>
    <w:rsid w:val="008F3666"/>
    <w:rsid w:val="008F37B3"/>
    <w:rsid w:val="008F3894"/>
    <w:rsid w:val="008F3B04"/>
    <w:rsid w:val="008F4334"/>
    <w:rsid w:val="008F43AE"/>
    <w:rsid w:val="008F4ACF"/>
    <w:rsid w:val="008F4ED0"/>
    <w:rsid w:val="008F505E"/>
    <w:rsid w:val="008F5753"/>
    <w:rsid w:val="008F5A88"/>
    <w:rsid w:val="008F5F89"/>
    <w:rsid w:val="008F62A2"/>
    <w:rsid w:val="008F6654"/>
    <w:rsid w:val="008F66D9"/>
    <w:rsid w:val="008F6A3C"/>
    <w:rsid w:val="008F7174"/>
    <w:rsid w:val="008F7191"/>
    <w:rsid w:val="008F71D1"/>
    <w:rsid w:val="008F7406"/>
    <w:rsid w:val="008F7577"/>
    <w:rsid w:val="008F7842"/>
    <w:rsid w:val="008F7AE5"/>
    <w:rsid w:val="008F7D75"/>
    <w:rsid w:val="008F7F13"/>
    <w:rsid w:val="009003B2"/>
    <w:rsid w:val="0090069F"/>
    <w:rsid w:val="0090070B"/>
    <w:rsid w:val="00900A89"/>
    <w:rsid w:val="00900C54"/>
    <w:rsid w:val="00900DB2"/>
    <w:rsid w:val="00900DE5"/>
    <w:rsid w:val="00900EBB"/>
    <w:rsid w:val="009010CA"/>
    <w:rsid w:val="0090119E"/>
    <w:rsid w:val="009012C2"/>
    <w:rsid w:val="009019DC"/>
    <w:rsid w:val="00901A97"/>
    <w:rsid w:val="00901F4B"/>
    <w:rsid w:val="009020C3"/>
    <w:rsid w:val="0090227E"/>
    <w:rsid w:val="00902658"/>
    <w:rsid w:val="00902784"/>
    <w:rsid w:val="00902A91"/>
    <w:rsid w:val="00902AF3"/>
    <w:rsid w:val="00902C6C"/>
    <w:rsid w:val="00902C7A"/>
    <w:rsid w:val="00903227"/>
    <w:rsid w:val="0090339F"/>
    <w:rsid w:val="009035F9"/>
    <w:rsid w:val="009035FC"/>
    <w:rsid w:val="0090370B"/>
    <w:rsid w:val="00903767"/>
    <w:rsid w:val="00903A3E"/>
    <w:rsid w:val="00903B0E"/>
    <w:rsid w:val="00903FA0"/>
    <w:rsid w:val="009040C6"/>
    <w:rsid w:val="0090474F"/>
    <w:rsid w:val="00904D6F"/>
    <w:rsid w:val="00904D72"/>
    <w:rsid w:val="00904D99"/>
    <w:rsid w:val="00904E94"/>
    <w:rsid w:val="00904F3D"/>
    <w:rsid w:val="00905142"/>
    <w:rsid w:val="00905173"/>
    <w:rsid w:val="00905590"/>
    <w:rsid w:val="00905873"/>
    <w:rsid w:val="009060D1"/>
    <w:rsid w:val="00906318"/>
    <w:rsid w:val="00906967"/>
    <w:rsid w:val="00906A2F"/>
    <w:rsid w:val="009070C7"/>
    <w:rsid w:val="00907368"/>
    <w:rsid w:val="0090789D"/>
    <w:rsid w:val="009079BF"/>
    <w:rsid w:val="00907D11"/>
    <w:rsid w:val="00910388"/>
    <w:rsid w:val="009109C9"/>
    <w:rsid w:val="00910B62"/>
    <w:rsid w:val="00910DEE"/>
    <w:rsid w:val="00910F8F"/>
    <w:rsid w:val="00910FB6"/>
    <w:rsid w:val="0091120E"/>
    <w:rsid w:val="009113F3"/>
    <w:rsid w:val="0091174A"/>
    <w:rsid w:val="0091195D"/>
    <w:rsid w:val="00911BDC"/>
    <w:rsid w:val="00911C74"/>
    <w:rsid w:val="00911E56"/>
    <w:rsid w:val="00911FA5"/>
    <w:rsid w:val="00912152"/>
    <w:rsid w:val="00912195"/>
    <w:rsid w:val="009121B5"/>
    <w:rsid w:val="00912285"/>
    <w:rsid w:val="00912338"/>
    <w:rsid w:val="009126BA"/>
    <w:rsid w:val="009128B9"/>
    <w:rsid w:val="00912B93"/>
    <w:rsid w:val="00912CA1"/>
    <w:rsid w:val="00912DB7"/>
    <w:rsid w:val="00912E09"/>
    <w:rsid w:val="00912F82"/>
    <w:rsid w:val="0091319B"/>
    <w:rsid w:val="0091325D"/>
    <w:rsid w:val="00913549"/>
    <w:rsid w:val="009136C1"/>
    <w:rsid w:val="009136ED"/>
    <w:rsid w:val="009138D0"/>
    <w:rsid w:val="009139EA"/>
    <w:rsid w:val="00913E3C"/>
    <w:rsid w:val="009143DB"/>
    <w:rsid w:val="009145F4"/>
    <w:rsid w:val="0091482C"/>
    <w:rsid w:val="00914C6C"/>
    <w:rsid w:val="00914CCF"/>
    <w:rsid w:val="00914EB7"/>
    <w:rsid w:val="00914FCA"/>
    <w:rsid w:val="009154CE"/>
    <w:rsid w:val="0091567D"/>
    <w:rsid w:val="0091577B"/>
    <w:rsid w:val="00915BE3"/>
    <w:rsid w:val="0091631B"/>
    <w:rsid w:val="009165F9"/>
    <w:rsid w:val="00916756"/>
    <w:rsid w:val="009169C4"/>
    <w:rsid w:val="00916E61"/>
    <w:rsid w:val="00916FCB"/>
    <w:rsid w:val="0091733E"/>
    <w:rsid w:val="00917540"/>
    <w:rsid w:val="0091788F"/>
    <w:rsid w:val="00917AAE"/>
    <w:rsid w:val="00917DD0"/>
    <w:rsid w:val="00917FBC"/>
    <w:rsid w:val="00920270"/>
    <w:rsid w:val="009202E3"/>
    <w:rsid w:val="00920522"/>
    <w:rsid w:val="00920638"/>
    <w:rsid w:val="00920CAC"/>
    <w:rsid w:val="009210A4"/>
    <w:rsid w:val="009214B3"/>
    <w:rsid w:val="00921764"/>
    <w:rsid w:val="00921E38"/>
    <w:rsid w:val="0092202D"/>
    <w:rsid w:val="00922389"/>
    <w:rsid w:val="00922474"/>
    <w:rsid w:val="00922945"/>
    <w:rsid w:val="00922A94"/>
    <w:rsid w:val="00922C93"/>
    <w:rsid w:val="0092326B"/>
    <w:rsid w:val="00923753"/>
    <w:rsid w:val="00923973"/>
    <w:rsid w:val="00923BD1"/>
    <w:rsid w:val="00923D87"/>
    <w:rsid w:val="00923E08"/>
    <w:rsid w:val="00924003"/>
    <w:rsid w:val="00924776"/>
    <w:rsid w:val="009248C7"/>
    <w:rsid w:val="0092492B"/>
    <w:rsid w:val="00924B4F"/>
    <w:rsid w:val="0092546D"/>
    <w:rsid w:val="00925481"/>
    <w:rsid w:val="0092568C"/>
    <w:rsid w:val="0092581F"/>
    <w:rsid w:val="00925DEE"/>
    <w:rsid w:val="00925FCE"/>
    <w:rsid w:val="009266BB"/>
    <w:rsid w:val="009266F0"/>
    <w:rsid w:val="0092683E"/>
    <w:rsid w:val="00926DC5"/>
    <w:rsid w:val="00927063"/>
    <w:rsid w:val="00927529"/>
    <w:rsid w:val="00927B3E"/>
    <w:rsid w:val="00927DC6"/>
    <w:rsid w:val="00927E6B"/>
    <w:rsid w:val="00930164"/>
    <w:rsid w:val="0093017C"/>
    <w:rsid w:val="00930732"/>
    <w:rsid w:val="0093078B"/>
    <w:rsid w:val="00930C01"/>
    <w:rsid w:val="00930E41"/>
    <w:rsid w:val="00931121"/>
    <w:rsid w:val="009320E1"/>
    <w:rsid w:val="00932B45"/>
    <w:rsid w:val="00932E9C"/>
    <w:rsid w:val="009333D8"/>
    <w:rsid w:val="009335AD"/>
    <w:rsid w:val="009335E1"/>
    <w:rsid w:val="0093386E"/>
    <w:rsid w:val="009338D0"/>
    <w:rsid w:val="00934550"/>
    <w:rsid w:val="0093484E"/>
    <w:rsid w:val="00934F03"/>
    <w:rsid w:val="00935899"/>
    <w:rsid w:val="009359EE"/>
    <w:rsid w:val="00935D3C"/>
    <w:rsid w:val="00935D5D"/>
    <w:rsid w:val="00935DB0"/>
    <w:rsid w:val="00935F22"/>
    <w:rsid w:val="0093645A"/>
    <w:rsid w:val="00936D1E"/>
    <w:rsid w:val="009373E0"/>
    <w:rsid w:val="009374DD"/>
    <w:rsid w:val="00937A48"/>
    <w:rsid w:val="009402AF"/>
    <w:rsid w:val="00940507"/>
    <w:rsid w:val="0094067C"/>
    <w:rsid w:val="00940A1B"/>
    <w:rsid w:val="00940ACF"/>
    <w:rsid w:val="00940D2B"/>
    <w:rsid w:val="009417A8"/>
    <w:rsid w:val="0094187F"/>
    <w:rsid w:val="00941968"/>
    <w:rsid w:val="00941AF3"/>
    <w:rsid w:val="00941D01"/>
    <w:rsid w:val="0094217C"/>
    <w:rsid w:val="00942ADF"/>
    <w:rsid w:val="00942C0D"/>
    <w:rsid w:val="00942C85"/>
    <w:rsid w:val="00942F65"/>
    <w:rsid w:val="00943006"/>
    <w:rsid w:val="00943244"/>
    <w:rsid w:val="009433CF"/>
    <w:rsid w:val="009435D6"/>
    <w:rsid w:val="009435F3"/>
    <w:rsid w:val="009438C4"/>
    <w:rsid w:val="00943A3C"/>
    <w:rsid w:val="00943B34"/>
    <w:rsid w:val="00943B50"/>
    <w:rsid w:val="00943B64"/>
    <w:rsid w:val="00943C3D"/>
    <w:rsid w:val="00943E87"/>
    <w:rsid w:val="00943F2A"/>
    <w:rsid w:val="009441DE"/>
    <w:rsid w:val="0094421B"/>
    <w:rsid w:val="0094457F"/>
    <w:rsid w:val="00944956"/>
    <w:rsid w:val="00944B52"/>
    <w:rsid w:val="00944DEC"/>
    <w:rsid w:val="009453CD"/>
    <w:rsid w:val="00945453"/>
    <w:rsid w:val="00945720"/>
    <w:rsid w:val="00945757"/>
    <w:rsid w:val="009459C8"/>
    <w:rsid w:val="00945B1A"/>
    <w:rsid w:val="00945D12"/>
    <w:rsid w:val="00945DAD"/>
    <w:rsid w:val="00945F2A"/>
    <w:rsid w:val="0094648C"/>
    <w:rsid w:val="009466C1"/>
    <w:rsid w:val="00946751"/>
    <w:rsid w:val="009477E0"/>
    <w:rsid w:val="009478FC"/>
    <w:rsid w:val="00947E8D"/>
    <w:rsid w:val="00947F85"/>
    <w:rsid w:val="00950046"/>
    <w:rsid w:val="0095013A"/>
    <w:rsid w:val="009503AF"/>
    <w:rsid w:val="00950636"/>
    <w:rsid w:val="00950A4C"/>
    <w:rsid w:val="00951027"/>
    <w:rsid w:val="0095118A"/>
    <w:rsid w:val="0095131E"/>
    <w:rsid w:val="009513F3"/>
    <w:rsid w:val="009514A4"/>
    <w:rsid w:val="0095160A"/>
    <w:rsid w:val="00951D23"/>
    <w:rsid w:val="0095299D"/>
    <w:rsid w:val="00952B40"/>
    <w:rsid w:val="00952E2B"/>
    <w:rsid w:val="00953BF1"/>
    <w:rsid w:val="00953CB3"/>
    <w:rsid w:val="00953ED1"/>
    <w:rsid w:val="00954285"/>
    <w:rsid w:val="00954679"/>
    <w:rsid w:val="009546F6"/>
    <w:rsid w:val="0095497E"/>
    <w:rsid w:val="009549B9"/>
    <w:rsid w:val="00954DFC"/>
    <w:rsid w:val="00954F72"/>
    <w:rsid w:val="00954F85"/>
    <w:rsid w:val="00955828"/>
    <w:rsid w:val="00955F2D"/>
    <w:rsid w:val="00955F8E"/>
    <w:rsid w:val="0095636E"/>
    <w:rsid w:val="009564ED"/>
    <w:rsid w:val="00956561"/>
    <w:rsid w:val="00956793"/>
    <w:rsid w:val="00956951"/>
    <w:rsid w:val="009569F6"/>
    <w:rsid w:val="00956B6F"/>
    <w:rsid w:val="00956BFC"/>
    <w:rsid w:val="00956E6C"/>
    <w:rsid w:val="00957431"/>
    <w:rsid w:val="0095760F"/>
    <w:rsid w:val="009578E6"/>
    <w:rsid w:val="00957AAF"/>
    <w:rsid w:val="00957D13"/>
    <w:rsid w:val="00957E64"/>
    <w:rsid w:val="00957F4B"/>
    <w:rsid w:val="0096015B"/>
    <w:rsid w:val="00960325"/>
    <w:rsid w:val="009605E8"/>
    <w:rsid w:val="00960CE4"/>
    <w:rsid w:val="009612BB"/>
    <w:rsid w:val="00961B99"/>
    <w:rsid w:val="00961D18"/>
    <w:rsid w:val="00961D69"/>
    <w:rsid w:val="00961E36"/>
    <w:rsid w:val="00961FDB"/>
    <w:rsid w:val="0096200D"/>
    <w:rsid w:val="00962843"/>
    <w:rsid w:val="00962C10"/>
    <w:rsid w:val="00962F47"/>
    <w:rsid w:val="00963136"/>
    <w:rsid w:val="009636D4"/>
    <w:rsid w:val="00964554"/>
    <w:rsid w:val="009649AD"/>
    <w:rsid w:val="00964D68"/>
    <w:rsid w:val="00964EE2"/>
    <w:rsid w:val="009650F3"/>
    <w:rsid w:val="009655D1"/>
    <w:rsid w:val="00965BF4"/>
    <w:rsid w:val="00965DE5"/>
    <w:rsid w:val="0096629B"/>
    <w:rsid w:val="0096652A"/>
    <w:rsid w:val="0096696F"/>
    <w:rsid w:val="00966AB9"/>
    <w:rsid w:val="00966B49"/>
    <w:rsid w:val="00966D4D"/>
    <w:rsid w:val="009671BE"/>
    <w:rsid w:val="0096736B"/>
    <w:rsid w:val="0096784E"/>
    <w:rsid w:val="00967C4C"/>
    <w:rsid w:val="00967F60"/>
    <w:rsid w:val="00970026"/>
    <w:rsid w:val="009705B0"/>
    <w:rsid w:val="00970DBD"/>
    <w:rsid w:val="00971298"/>
    <w:rsid w:val="00971411"/>
    <w:rsid w:val="0097181B"/>
    <w:rsid w:val="00971945"/>
    <w:rsid w:val="009719BE"/>
    <w:rsid w:val="00971A6F"/>
    <w:rsid w:val="00971D4C"/>
    <w:rsid w:val="00971E57"/>
    <w:rsid w:val="00971F5B"/>
    <w:rsid w:val="009722B3"/>
    <w:rsid w:val="009723C1"/>
    <w:rsid w:val="00972768"/>
    <w:rsid w:val="00972794"/>
    <w:rsid w:val="0097336E"/>
    <w:rsid w:val="009734CF"/>
    <w:rsid w:val="00973575"/>
    <w:rsid w:val="00973902"/>
    <w:rsid w:val="00973AB1"/>
    <w:rsid w:val="00973B78"/>
    <w:rsid w:val="00973C0D"/>
    <w:rsid w:val="00973D75"/>
    <w:rsid w:val="00973F14"/>
    <w:rsid w:val="0097403C"/>
    <w:rsid w:val="009740A3"/>
    <w:rsid w:val="009740C2"/>
    <w:rsid w:val="0097414A"/>
    <w:rsid w:val="0097424A"/>
    <w:rsid w:val="0097438E"/>
    <w:rsid w:val="00974BD3"/>
    <w:rsid w:val="00974C6E"/>
    <w:rsid w:val="00974CC0"/>
    <w:rsid w:val="00974FDC"/>
    <w:rsid w:val="009755AD"/>
    <w:rsid w:val="00975796"/>
    <w:rsid w:val="00975A2D"/>
    <w:rsid w:val="00975E50"/>
    <w:rsid w:val="00976278"/>
    <w:rsid w:val="009762F7"/>
    <w:rsid w:val="00976466"/>
    <w:rsid w:val="00976529"/>
    <w:rsid w:val="00976847"/>
    <w:rsid w:val="009768A6"/>
    <w:rsid w:val="009768C5"/>
    <w:rsid w:val="00976B26"/>
    <w:rsid w:val="00976B5D"/>
    <w:rsid w:val="00976BBC"/>
    <w:rsid w:val="00976C27"/>
    <w:rsid w:val="00976D71"/>
    <w:rsid w:val="009771C4"/>
    <w:rsid w:val="009774C9"/>
    <w:rsid w:val="009774DA"/>
    <w:rsid w:val="009775D6"/>
    <w:rsid w:val="009778BA"/>
    <w:rsid w:val="00977B0C"/>
    <w:rsid w:val="00977C75"/>
    <w:rsid w:val="00977CE4"/>
    <w:rsid w:val="009802E3"/>
    <w:rsid w:val="00980410"/>
    <w:rsid w:val="009804C9"/>
    <w:rsid w:val="009804E9"/>
    <w:rsid w:val="00980A31"/>
    <w:rsid w:val="00980C89"/>
    <w:rsid w:val="00980EF7"/>
    <w:rsid w:val="00980F63"/>
    <w:rsid w:val="00980F7A"/>
    <w:rsid w:val="009810D6"/>
    <w:rsid w:val="00981796"/>
    <w:rsid w:val="0098248A"/>
    <w:rsid w:val="009827EB"/>
    <w:rsid w:val="00982AC4"/>
    <w:rsid w:val="009831EA"/>
    <w:rsid w:val="009833D8"/>
    <w:rsid w:val="009836F7"/>
    <w:rsid w:val="00983C78"/>
    <w:rsid w:val="00983DEE"/>
    <w:rsid w:val="00983EF9"/>
    <w:rsid w:val="009841C1"/>
    <w:rsid w:val="009842E1"/>
    <w:rsid w:val="009845B7"/>
    <w:rsid w:val="0098468C"/>
    <w:rsid w:val="00984BD2"/>
    <w:rsid w:val="00984D27"/>
    <w:rsid w:val="00984F62"/>
    <w:rsid w:val="00985253"/>
    <w:rsid w:val="009852AB"/>
    <w:rsid w:val="009854F4"/>
    <w:rsid w:val="009855F5"/>
    <w:rsid w:val="00985A0E"/>
    <w:rsid w:val="00985CDC"/>
    <w:rsid w:val="0098605C"/>
    <w:rsid w:val="00986132"/>
    <w:rsid w:val="00986813"/>
    <w:rsid w:val="00986C0F"/>
    <w:rsid w:val="00986D3F"/>
    <w:rsid w:val="00986F1D"/>
    <w:rsid w:val="009878E2"/>
    <w:rsid w:val="00987A76"/>
    <w:rsid w:val="00987B29"/>
    <w:rsid w:val="00987BEF"/>
    <w:rsid w:val="00987C30"/>
    <w:rsid w:val="00987CD6"/>
    <w:rsid w:val="00987D83"/>
    <w:rsid w:val="00987F89"/>
    <w:rsid w:val="00987FD9"/>
    <w:rsid w:val="00990010"/>
    <w:rsid w:val="0099013F"/>
    <w:rsid w:val="00990D0E"/>
    <w:rsid w:val="00991253"/>
    <w:rsid w:val="009913E3"/>
    <w:rsid w:val="00991438"/>
    <w:rsid w:val="009917AA"/>
    <w:rsid w:val="00991A5C"/>
    <w:rsid w:val="00991B72"/>
    <w:rsid w:val="00991C04"/>
    <w:rsid w:val="009924EC"/>
    <w:rsid w:val="0099292E"/>
    <w:rsid w:val="00992B5A"/>
    <w:rsid w:val="00992E80"/>
    <w:rsid w:val="00993083"/>
    <w:rsid w:val="009930D3"/>
    <w:rsid w:val="00993477"/>
    <w:rsid w:val="00993D4C"/>
    <w:rsid w:val="00993FC9"/>
    <w:rsid w:val="00994303"/>
    <w:rsid w:val="0099441A"/>
    <w:rsid w:val="00994452"/>
    <w:rsid w:val="00994788"/>
    <w:rsid w:val="009949A4"/>
    <w:rsid w:val="00994FF9"/>
    <w:rsid w:val="009951D0"/>
    <w:rsid w:val="00995360"/>
    <w:rsid w:val="009955EC"/>
    <w:rsid w:val="009956F6"/>
    <w:rsid w:val="0099589A"/>
    <w:rsid w:val="00995964"/>
    <w:rsid w:val="00995B06"/>
    <w:rsid w:val="00996075"/>
    <w:rsid w:val="00996261"/>
    <w:rsid w:val="009963A0"/>
    <w:rsid w:val="00996443"/>
    <w:rsid w:val="00997753"/>
    <w:rsid w:val="00997A52"/>
    <w:rsid w:val="00997A89"/>
    <w:rsid w:val="00997A8C"/>
    <w:rsid w:val="00997DAE"/>
    <w:rsid w:val="009A007D"/>
    <w:rsid w:val="009A022B"/>
    <w:rsid w:val="009A064C"/>
    <w:rsid w:val="009A07B1"/>
    <w:rsid w:val="009A086D"/>
    <w:rsid w:val="009A0909"/>
    <w:rsid w:val="009A09D3"/>
    <w:rsid w:val="009A103C"/>
    <w:rsid w:val="009A10C9"/>
    <w:rsid w:val="009A10F4"/>
    <w:rsid w:val="009A1181"/>
    <w:rsid w:val="009A1685"/>
    <w:rsid w:val="009A189A"/>
    <w:rsid w:val="009A1E0D"/>
    <w:rsid w:val="009A1EA8"/>
    <w:rsid w:val="009A1F34"/>
    <w:rsid w:val="009A1F45"/>
    <w:rsid w:val="009A1FD9"/>
    <w:rsid w:val="009A2335"/>
    <w:rsid w:val="009A2524"/>
    <w:rsid w:val="009A257A"/>
    <w:rsid w:val="009A2725"/>
    <w:rsid w:val="009A2ADA"/>
    <w:rsid w:val="009A2BD6"/>
    <w:rsid w:val="009A2DEE"/>
    <w:rsid w:val="009A30F3"/>
    <w:rsid w:val="009A3468"/>
    <w:rsid w:val="009A36B2"/>
    <w:rsid w:val="009A37EB"/>
    <w:rsid w:val="009A3DD2"/>
    <w:rsid w:val="009A48ED"/>
    <w:rsid w:val="009A4A19"/>
    <w:rsid w:val="009A50A7"/>
    <w:rsid w:val="009A50F4"/>
    <w:rsid w:val="009A5113"/>
    <w:rsid w:val="009A5208"/>
    <w:rsid w:val="009A57B1"/>
    <w:rsid w:val="009A585B"/>
    <w:rsid w:val="009A5946"/>
    <w:rsid w:val="009A5F0D"/>
    <w:rsid w:val="009A61D2"/>
    <w:rsid w:val="009A620B"/>
    <w:rsid w:val="009A62B6"/>
    <w:rsid w:val="009A63FB"/>
    <w:rsid w:val="009A658A"/>
    <w:rsid w:val="009A67E7"/>
    <w:rsid w:val="009A69F5"/>
    <w:rsid w:val="009A6CF3"/>
    <w:rsid w:val="009A7D80"/>
    <w:rsid w:val="009B0028"/>
    <w:rsid w:val="009B03E1"/>
    <w:rsid w:val="009B05D6"/>
    <w:rsid w:val="009B0631"/>
    <w:rsid w:val="009B0849"/>
    <w:rsid w:val="009B1841"/>
    <w:rsid w:val="009B1E3A"/>
    <w:rsid w:val="009B225E"/>
    <w:rsid w:val="009B251A"/>
    <w:rsid w:val="009B2592"/>
    <w:rsid w:val="009B328E"/>
    <w:rsid w:val="009B3291"/>
    <w:rsid w:val="009B337E"/>
    <w:rsid w:val="009B35FA"/>
    <w:rsid w:val="009B3AD0"/>
    <w:rsid w:val="009B3E59"/>
    <w:rsid w:val="009B3EF5"/>
    <w:rsid w:val="009B3F0E"/>
    <w:rsid w:val="009B4721"/>
    <w:rsid w:val="009B4A97"/>
    <w:rsid w:val="009B4C2C"/>
    <w:rsid w:val="009B4E14"/>
    <w:rsid w:val="009B5B81"/>
    <w:rsid w:val="009B5FDF"/>
    <w:rsid w:val="009B6134"/>
    <w:rsid w:val="009B660F"/>
    <w:rsid w:val="009B6AD7"/>
    <w:rsid w:val="009B6BF9"/>
    <w:rsid w:val="009B6DB9"/>
    <w:rsid w:val="009B6F50"/>
    <w:rsid w:val="009B7084"/>
    <w:rsid w:val="009B70B9"/>
    <w:rsid w:val="009B7438"/>
    <w:rsid w:val="009B7690"/>
    <w:rsid w:val="009B7800"/>
    <w:rsid w:val="009B799D"/>
    <w:rsid w:val="009B7AEA"/>
    <w:rsid w:val="009B7D35"/>
    <w:rsid w:val="009B7E5C"/>
    <w:rsid w:val="009C0037"/>
    <w:rsid w:val="009C0110"/>
    <w:rsid w:val="009C01C7"/>
    <w:rsid w:val="009C08CE"/>
    <w:rsid w:val="009C08DC"/>
    <w:rsid w:val="009C0BD2"/>
    <w:rsid w:val="009C0C69"/>
    <w:rsid w:val="009C15E3"/>
    <w:rsid w:val="009C1638"/>
    <w:rsid w:val="009C1641"/>
    <w:rsid w:val="009C1663"/>
    <w:rsid w:val="009C16A3"/>
    <w:rsid w:val="009C1E16"/>
    <w:rsid w:val="009C1FE8"/>
    <w:rsid w:val="009C2332"/>
    <w:rsid w:val="009C2573"/>
    <w:rsid w:val="009C29A3"/>
    <w:rsid w:val="009C2A49"/>
    <w:rsid w:val="009C2B2B"/>
    <w:rsid w:val="009C2B3E"/>
    <w:rsid w:val="009C2E96"/>
    <w:rsid w:val="009C2FD1"/>
    <w:rsid w:val="009C3216"/>
    <w:rsid w:val="009C322D"/>
    <w:rsid w:val="009C3265"/>
    <w:rsid w:val="009C33D7"/>
    <w:rsid w:val="009C34D9"/>
    <w:rsid w:val="009C3863"/>
    <w:rsid w:val="009C39B7"/>
    <w:rsid w:val="009C39CE"/>
    <w:rsid w:val="009C400A"/>
    <w:rsid w:val="009C434F"/>
    <w:rsid w:val="009C4364"/>
    <w:rsid w:val="009C44BB"/>
    <w:rsid w:val="009C44D3"/>
    <w:rsid w:val="009C466F"/>
    <w:rsid w:val="009C4992"/>
    <w:rsid w:val="009C4C6C"/>
    <w:rsid w:val="009C4C6E"/>
    <w:rsid w:val="009C4ED2"/>
    <w:rsid w:val="009C5006"/>
    <w:rsid w:val="009C514B"/>
    <w:rsid w:val="009C526D"/>
    <w:rsid w:val="009C5426"/>
    <w:rsid w:val="009C56E1"/>
    <w:rsid w:val="009C57CF"/>
    <w:rsid w:val="009C59BC"/>
    <w:rsid w:val="009C5AC2"/>
    <w:rsid w:val="009C5CD7"/>
    <w:rsid w:val="009C612E"/>
    <w:rsid w:val="009C61AD"/>
    <w:rsid w:val="009C6470"/>
    <w:rsid w:val="009C65BF"/>
    <w:rsid w:val="009C69EB"/>
    <w:rsid w:val="009C6BB8"/>
    <w:rsid w:val="009C7003"/>
    <w:rsid w:val="009C750F"/>
    <w:rsid w:val="009C786B"/>
    <w:rsid w:val="009C7DCA"/>
    <w:rsid w:val="009C7F47"/>
    <w:rsid w:val="009D01E4"/>
    <w:rsid w:val="009D043F"/>
    <w:rsid w:val="009D0604"/>
    <w:rsid w:val="009D0763"/>
    <w:rsid w:val="009D08F9"/>
    <w:rsid w:val="009D0B9B"/>
    <w:rsid w:val="009D0D80"/>
    <w:rsid w:val="009D1025"/>
    <w:rsid w:val="009D1122"/>
    <w:rsid w:val="009D1545"/>
    <w:rsid w:val="009D1592"/>
    <w:rsid w:val="009D15F5"/>
    <w:rsid w:val="009D16D6"/>
    <w:rsid w:val="009D19C7"/>
    <w:rsid w:val="009D1AE7"/>
    <w:rsid w:val="009D1CC1"/>
    <w:rsid w:val="009D1E2F"/>
    <w:rsid w:val="009D1ECF"/>
    <w:rsid w:val="009D1F8A"/>
    <w:rsid w:val="009D2162"/>
    <w:rsid w:val="009D2572"/>
    <w:rsid w:val="009D296D"/>
    <w:rsid w:val="009D2982"/>
    <w:rsid w:val="009D2D21"/>
    <w:rsid w:val="009D2DAC"/>
    <w:rsid w:val="009D2E64"/>
    <w:rsid w:val="009D31DF"/>
    <w:rsid w:val="009D320F"/>
    <w:rsid w:val="009D3563"/>
    <w:rsid w:val="009D3624"/>
    <w:rsid w:val="009D36D1"/>
    <w:rsid w:val="009D3722"/>
    <w:rsid w:val="009D3917"/>
    <w:rsid w:val="009D3922"/>
    <w:rsid w:val="009D3E0B"/>
    <w:rsid w:val="009D3E76"/>
    <w:rsid w:val="009D4207"/>
    <w:rsid w:val="009D4551"/>
    <w:rsid w:val="009D4643"/>
    <w:rsid w:val="009D4963"/>
    <w:rsid w:val="009D4A32"/>
    <w:rsid w:val="009D4C63"/>
    <w:rsid w:val="009D4EB7"/>
    <w:rsid w:val="009D50B9"/>
    <w:rsid w:val="009D5158"/>
    <w:rsid w:val="009D558B"/>
    <w:rsid w:val="009D5608"/>
    <w:rsid w:val="009D5647"/>
    <w:rsid w:val="009D5BA8"/>
    <w:rsid w:val="009D5F67"/>
    <w:rsid w:val="009D5F78"/>
    <w:rsid w:val="009D62A4"/>
    <w:rsid w:val="009D62C9"/>
    <w:rsid w:val="009D6366"/>
    <w:rsid w:val="009D63AD"/>
    <w:rsid w:val="009D67C2"/>
    <w:rsid w:val="009D686E"/>
    <w:rsid w:val="009D6937"/>
    <w:rsid w:val="009D6C13"/>
    <w:rsid w:val="009D7237"/>
    <w:rsid w:val="009D7378"/>
    <w:rsid w:val="009D7BF2"/>
    <w:rsid w:val="009E0337"/>
    <w:rsid w:val="009E04D7"/>
    <w:rsid w:val="009E07DA"/>
    <w:rsid w:val="009E07E9"/>
    <w:rsid w:val="009E0A4B"/>
    <w:rsid w:val="009E0BB3"/>
    <w:rsid w:val="009E1023"/>
    <w:rsid w:val="009E1325"/>
    <w:rsid w:val="009E156E"/>
    <w:rsid w:val="009E1BD2"/>
    <w:rsid w:val="009E1BD6"/>
    <w:rsid w:val="009E1E69"/>
    <w:rsid w:val="009E24C4"/>
    <w:rsid w:val="009E268F"/>
    <w:rsid w:val="009E26EE"/>
    <w:rsid w:val="009E273D"/>
    <w:rsid w:val="009E28B1"/>
    <w:rsid w:val="009E2A49"/>
    <w:rsid w:val="009E2DED"/>
    <w:rsid w:val="009E30F9"/>
    <w:rsid w:val="009E328C"/>
    <w:rsid w:val="009E32C1"/>
    <w:rsid w:val="009E339D"/>
    <w:rsid w:val="009E3F85"/>
    <w:rsid w:val="009E3FFB"/>
    <w:rsid w:val="009E4132"/>
    <w:rsid w:val="009E460D"/>
    <w:rsid w:val="009E4AD0"/>
    <w:rsid w:val="009E4B03"/>
    <w:rsid w:val="009E4FD8"/>
    <w:rsid w:val="009E560B"/>
    <w:rsid w:val="009E5AC9"/>
    <w:rsid w:val="009E5B28"/>
    <w:rsid w:val="009E5B44"/>
    <w:rsid w:val="009E5D42"/>
    <w:rsid w:val="009E6456"/>
    <w:rsid w:val="009E65D2"/>
    <w:rsid w:val="009E6D1B"/>
    <w:rsid w:val="009E7054"/>
    <w:rsid w:val="009E7324"/>
    <w:rsid w:val="009E768C"/>
    <w:rsid w:val="009E7710"/>
    <w:rsid w:val="009E776F"/>
    <w:rsid w:val="009E7DDB"/>
    <w:rsid w:val="009E7EAE"/>
    <w:rsid w:val="009E7FA5"/>
    <w:rsid w:val="009F04D4"/>
    <w:rsid w:val="009F0790"/>
    <w:rsid w:val="009F092D"/>
    <w:rsid w:val="009F09A4"/>
    <w:rsid w:val="009F0F35"/>
    <w:rsid w:val="009F18C5"/>
    <w:rsid w:val="009F20E4"/>
    <w:rsid w:val="009F258C"/>
    <w:rsid w:val="009F2899"/>
    <w:rsid w:val="009F2988"/>
    <w:rsid w:val="009F29B1"/>
    <w:rsid w:val="009F39AD"/>
    <w:rsid w:val="009F3D31"/>
    <w:rsid w:val="009F3E79"/>
    <w:rsid w:val="009F44B9"/>
    <w:rsid w:val="009F4C65"/>
    <w:rsid w:val="009F504D"/>
    <w:rsid w:val="009F542B"/>
    <w:rsid w:val="009F58B7"/>
    <w:rsid w:val="009F599D"/>
    <w:rsid w:val="009F5DBF"/>
    <w:rsid w:val="009F5E54"/>
    <w:rsid w:val="009F6369"/>
    <w:rsid w:val="009F651F"/>
    <w:rsid w:val="009F6561"/>
    <w:rsid w:val="009F66B4"/>
    <w:rsid w:val="009F6E75"/>
    <w:rsid w:val="009F6EB6"/>
    <w:rsid w:val="009F6F1A"/>
    <w:rsid w:val="009F703B"/>
    <w:rsid w:val="009F70F7"/>
    <w:rsid w:val="009F7189"/>
    <w:rsid w:val="009F720A"/>
    <w:rsid w:val="009F7481"/>
    <w:rsid w:val="009F7AB6"/>
    <w:rsid w:val="009F7BD0"/>
    <w:rsid w:val="009F7D47"/>
    <w:rsid w:val="00A00160"/>
    <w:rsid w:val="00A002ED"/>
    <w:rsid w:val="00A003DF"/>
    <w:rsid w:val="00A005F2"/>
    <w:rsid w:val="00A00D28"/>
    <w:rsid w:val="00A00DF6"/>
    <w:rsid w:val="00A012FD"/>
    <w:rsid w:val="00A015F4"/>
    <w:rsid w:val="00A01B01"/>
    <w:rsid w:val="00A01B35"/>
    <w:rsid w:val="00A01CC7"/>
    <w:rsid w:val="00A01DF0"/>
    <w:rsid w:val="00A0202B"/>
    <w:rsid w:val="00A02BCA"/>
    <w:rsid w:val="00A02D36"/>
    <w:rsid w:val="00A02ECD"/>
    <w:rsid w:val="00A02F0A"/>
    <w:rsid w:val="00A03018"/>
    <w:rsid w:val="00A031B5"/>
    <w:rsid w:val="00A03279"/>
    <w:rsid w:val="00A03343"/>
    <w:rsid w:val="00A03915"/>
    <w:rsid w:val="00A03DC3"/>
    <w:rsid w:val="00A045BF"/>
    <w:rsid w:val="00A05450"/>
    <w:rsid w:val="00A0559A"/>
    <w:rsid w:val="00A0575D"/>
    <w:rsid w:val="00A05967"/>
    <w:rsid w:val="00A059FE"/>
    <w:rsid w:val="00A05E0B"/>
    <w:rsid w:val="00A065BB"/>
    <w:rsid w:val="00A0667A"/>
    <w:rsid w:val="00A0677A"/>
    <w:rsid w:val="00A069EF"/>
    <w:rsid w:val="00A06A33"/>
    <w:rsid w:val="00A06C77"/>
    <w:rsid w:val="00A0705D"/>
    <w:rsid w:val="00A072BC"/>
    <w:rsid w:val="00A077A3"/>
    <w:rsid w:val="00A078A8"/>
    <w:rsid w:val="00A07958"/>
    <w:rsid w:val="00A079D8"/>
    <w:rsid w:val="00A07AA0"/>
    <w:rsid w:val="00A10052"/>
    <w:rsid w:val="00A100A2"/>
    <w:rsid w:val="00A10131"/>
    <w:rsid w:val="00A10144"/>
    <w:rsid w:val="00A10771"/>
    <w:rsid w:val="00A10AED"/>
    <w:rsid w:val="00A10C03"/>
    <w:rsid w:val="00A10DFB"/>
    <w:rsid w:val="00A11107"/>
    <w:rsid w:val="00A111D0"/>
    <w:rsid w:val="00A1153A"/>
    <w:rsid w:val="00A115FD"/>
    <w:rsid w:val="00A11734"/>
    <w:rsid w:val="00A11908"/>
    <w:rsid w:val="00A11EC3"/>
    <w:rsid w:val="00A120CA"/>
    <w:rsid w:val="00A1211C"/>
    <w:rsid w:val="00A1216A"/>
    <w:rsid w:val="00A1221A"/>
    <w:rsid w:val="00A123F3"/>
    <w:rsid w:val="00A12771"/>
    <w:rsid w:val="00A129BF"/>
    <w:rsid w:val="00A12C12"/>
    <w:rsid w:val="00A13060"/>
    <w:rsid w:val="00A136E7"/>
    <w:rsid w:val="00A13822"/>
    <w:rsid w:val="00A1390D"/>
    <w:rsid w:val="00A1402D"/>
    <w:rsid w:val="00A140D3"/>
    <w:rsid w:val="00A14334"/>
    <w:rsid w:val="00A14393"/>
    <w:rsid w:val="00A143EA"/>
    <w:rsid w:val="00A14474"/>
    <w:rsid w:val="00A1451A"/>
    <w:rsid w:val="00A14691"/>
    <w:rsid w:val="00A1469F"/>
    <w:rsid w:val="00A1479D"/>
    <w:rsid w:val="00A14811"/>
    <w:rsid w:val="00A14D1D"/>
    <w:rsid w:val="00A1524A"/>
    <w:rsid w:val="00A15429"/>
    <w:rsid w:val="00A15722"/>
    <w:rsid w:val="00A15C3D"/>
    <w:rsid w:val="00A15C82"/>
    <w:rsid w:val="00A163DB"/>
    <w:rsid w:val="00A163F0"/>
    <w:rsid w:val="00A16456"/>
    <w:rsid w:val="00A1663A"/>
    <w:rsid w:val="00A1666D"/>
    <w:rsid w:val="00A16793"/>
    <w:rsid w:val="00A169B5"/>
    <w:rsid w:val="00A17138"/>
    <w:rsid w:val="00A1713E"/>
    <w:rsid w:val="00A173CE"/>
    <w:rsid w:val="00A17542"/>
    <w:rsid w:val="00A17786"/>
    <w:rsid w:val="00A17CE0"/>
    <w:rsid w:val="00A17DD2"/>
    <w:rsid w:val="00A200C1"/>
    <w:rsid w:val="00A20182"/>
    <w:rsid w:val="00A20365"/>
    <w:rsid w:val="00A203DA"/>
    <w:rsid w:val="00A205E6"/>
    <w:rsid w:val="00A20815"/>
    <w:rsid w:val="00A20B0E"/>
    <w:rsid w:val="00A20DF4"/>
    <w:rsid w:val="00A21019"/>
    <w:rsid w:val="00A21129"/>
    <w:rsid w:val="00A2117A"/>
    <w:rsid w:val="00A21988"/>
    <w:rsid w:val="00A219BF"/>
    <w:rsid w:val="00A21B2B"/>
    <w:rsid w:val="00A21BC6"/>
    <w:rsid w:val="00A21D1C"/>
    <w:rsid w:val="00A21D8D"/>
    <w:rsid w:val="00A21E2D"/>
    <w:rsid w:val="00A22033"/>
    <w:rsid w:val="00A220C3"/>
    <w:rsid w:val="00A2211D"/>
    <w:rsid w:val="00A22124"/>
    <w:rsid w:val="00A22326"/>
    <w:rsid w:val="00A22382"/>
    <w:rsid w:val="00A22419"/>
    <w:rsid w:val="00A2241D"/>
    <w:rsid w:val="00A226A8"/>
    <w:rsid w:val="00A227B2"/>
    <w:rsid w:val="00A22933"/>
    <w:rsid w:val="00A22E50"/>
    <w:rsid w:val="00A23033"/>
    <w:rsid w:val="00A23A1A"/>
    <w:rsid w:val="00A23E41"/>
    <w:rsid w:val="00A23ED3"/>
    <w:rsid w:val="00A240E7"/>
    <w:rsid w:val="00A24302"/>
    <w:rsid w:val="00A2475C"/>
    <w:rsid w:val="00A2486B"/>
    <w:rsid w:val="00A24A85"/>
    <w:rsid w:val="00A24CD0"/>
    <w:rsid w:val="00A24E9F"/>
    <w:rsid w:val="00A25241"/>
    <w:rsid w:val="00A2566D"/>
    <w:rsid w:val="00A258B9"/>
    <w:rsid w:val="00A25E8D"/>
    <w:rsid w:val="00A26055"/>
    <w:rsid w:val="00A263E5"/>
    <w:rsid w:val="00A264F5"/>
    <w:rsid w:val="00A2654C"/>
    <w:rsid w:val="00A2793E"/>
    <w:rsid w:val="00A27DF0"/>
    <w:rsid w:val="00A304EE"/>
    <w:rsid w:val="00A30673"/>
    <w:rsid w:val="00A30733"/>
    <w:rsid w:val="00A3074E"/>
    <w:rsid w:val="00A3098F"/>
    <w:rsid w:val="00A30C48"/>
    <w:rsid w:val="00A30DC4"/>
    <w:rsid w:val="00A30E20"/>
    <w:rsid w:val="00A30FD8"/>
    <w:rsid w:val="00A310AB"/>
    <w:rsid w:val="00A310CC"/>
    <w:rsid w:val="00A312F4"/>
    <w:rsid w:val="00A31312"/>
    <w:rsid w:val="00A31361"/>
    <w:rsid w:val="00A31543"/>
    <w:rsid w:val="00A315C2"/>
    <w:rsid w:val="00A319E8"/>
    <w:rsid w:val="00A32327"/>
    <w:rsid w:val="00A3233F"/>
    <w:rsid w:val="00A326D5"/>
    <w:rsid w:val="00A326DB"/>
    <w:rsid w:val="00A32946"/>
    <w:rsid w:val="00A32988"/>
    <w:rsid w:val="00A32C6C"/>
    <w:rsid w:val="00A32FEA"/>
    <w:rsid w:val="00A33037"/>
    <w:rsid w:val="00A3311E"/>
    <w:rsid w:val="00A331EA"/>
    <w:rsid w:val="00A3344C"/>
    <w:rsid w:val="00A336A2"/>
    <w:rsid w:val="00A3382B"/>
    <w:rsid w:val="00A33981"/>
    <w:rsid w:val="00A34227"/>
    <w:rsid w:val="00A34243"/>
    <w:rsid w:val="00A345D8"/>
    <w:rsid w:val="00A346D2"/>
    <w:rsid w:val="00A349E8"/>
    <w:rsid w:val="00A34C57"/>
    <w:rsid w:val="00A34F12"/>
    <w:rsid w:val="00A35294"/>
    <w:rsid w:val="00A35819"/>
    <w:rsid w:val="00A359C1"/>
    <w:rsid w:val="00A35FBA"/>
    <w:rsid w:val="00A36032"/>
    <w:rsid w:val="00A3679F"/>
    <w:rsid w:val="00A367D0"/>
    <w:rsid w:val="00A36C0B"/>
    <w:rsid w:val="00A36C2A"/>
    <w:rsid w:val="00A37395"/>
    <w:rsid w:val="00A3747F"/>
    <w:rsid w:val="00A37536"/>
    <w:rsid w:val="00A37566"/>
    <w:rsid w:val="00A375D9"/>
    <w:rsid w:val="00A37782"/>
    <w:rsid w:val="00A37AD1"/>
    <w:rsid w:val="00A37B49"/>
    <w:rsid w:val="00A37CB4"/>
    <w:rsid w:val="00A37F7A"/>
    <w:rsid w:val="00A37FFD"/>
    <w:rsid w:val="00A4028D"/>
    <w:rsid w:val="00A402FD"/>
    <w:rsid w:val="00A40320"/>
    <w:rsid w:val="00A40547"/>
    <w:rsid w:val="00A40A62"/>
    <w:rsid w:val="00A40C59"/>
    <w:rsid w:val="00A4107D"/>
    <w:rsid w:val="00A4151A"/>
    <w:rsid w:val="00A416BE"/>
    <w:rsid w:val="00A41F90"/>
    <w:rsid w:val="00A420E0"/>
    <w:rsid w:val="00A4215B"/>
    <w:rsid w:val="00A4230D"/>
    <w:rsid w:val="00A4260F"/>
    <w:rsid w:val="00A42804"/>
    <w:rsid w:val="00A42D6E"/>
    <w:rsid w:val="00A42FBE"/>
    <w:rsid w:val="00A434B9"/>
    <w:rsid w:val="00A43708"/>
    <w:rsid w:val="00A43964"/>
    <w:rsid w:val="00A43B52"/>
    <w:rsid w:val="00A43B7F"/>
    <w:rsid w:val="00A43BAC"/>
    <w:rsid w:val="00A43F33"/>
    <w:rsid w:val="00A43F67"/>
    <w:rsid w:val="00A44099"/>
    <w:rsid w:val="00A4453C"/>
    <w:rsid w:val="00A44D38"/>
    <w:rsid w:val="00A44F0B"/>
    <w:rsid w:val="00A4516B"/>
    <w:rsid w:val="00A452CA"/>
    <w:rsid w:val="00A4541F"/>
    <w:rsid w:val="00A454CA"/>
    <w:rsid w:val="00A45738"/>
    <w:rsid w:val="00A45958"/>
    <w:rsid w:val="00A45999"/>
    <w:rsid w:val="00A45AA1"/>
    <w:rsid w:val="00A45B88"/>
    <w:rsid w:val="00A45C32"/>
    <w:rsid w:val="00A45D14"/>
    <w:rsid w:val="00A45D3C"/>
    <w:rsid w:val="00A4601F"/>
    <w:rsid w:val="00A46035"/>
    <w:rsid w:val="00A460AB"/>
    <w:rsid w:val="00A46139"/>
    <w:rsid w:val="00A46563"/>
    <w:rsid w:val="00A466B2"/>
    <w:rsid w:val="00A468BC"/>
    <w:rsid w:val="00A4693F"/>
    <w:rsid w:val="00A4709C"/>
    <w:rsid w:val="00A471AE"/>
    <w:rsid w:val="00A4726D"/>
    <w:rsid w:val="00A47311"/>
    <w:rsid w:val="00A477E3"/>
    <w:rsid w:val="00A47B4F"/>
    <w:rsid w:val="00A47E22"/>
    <w:rsid w:val="00A47FA7"/>
    <w:rsid w:val="00A50678"/>
    <w:rsid w:val="00A507BC"/>
    <w:rsid w:val="00A50A5B"/>
    <w:rsid w:val="00A50B4B"/>
    <w:rsid w:val="00A512ED"/>
    <w:rsid w:val="00A51430"/>
    <w:rsid w:val="00A5176E"/>
    <w:rsid w:val="00A51AC9"/>
    <w:rsid w:val="00A51C43"/>
    <w:rsid w:val="00A51FBF"/>
    <w:rsid w:val="00A5240B"/>
    <w:rsid w:val="00A52442"/>
    <w:rsid w:val="00A52664"/>
    <w:rsid w:val="00A528CD"/>
    <w:rsid w:val="00A52B83"/>
    <w:rsid w:val="00A52C41"/>
    <w:rsid w:val="00A533FF"/>
    <w:rsid w:val="00A53938"/>
    <w:rsid w:val="00A5398E"/>
    <w:rsid w:val="00A53B05"/>
    <w:rsid w:val="00A53BA1"/>
    <w:rsid w:val="00A53BED"/>
    <w:rsid w:val="00A53C1A"/>
    <w:rsid w:val="00A53DC4"/>
    <w:rsid w:val="00A53E44"/>
    <w:rsid w:val="00A53F3B"/>
    <w:rsid w:val="00A53FB1"/>
    <w:rsid w:val="00A54143"/>
    <w:rsid w:val="00A54320"/>
    <w:rsid w:val="00A547E5"/>
    <w:rsid w:val="00A54A15"/>
    <w:rsid w:val="00A54ACA"/>
    <w:rsid w:val="00A5598A"/>
    <w:rsid w:val="00A55CB6"/>
    <w:rsid w:val="00A55DDA"/>
    <w:rsid w:val="00A56316"/>
    <w:rsid w:val="00A567C0"/>
    <w:rsid w:val="00A56A2F"/>
    <w:rsid w:val="00A56AD6"/>
    <w:rsid w:val="00A56C45"/>
    <w:rsid w:val="00A56D79"/>
    <w:rsid w:val="00A56ED8"/>
    <w:rsid w:val="00A57051"/>
    <w:rsid w:val="00A5710E"/>
    <w:rsid w:val="00A57144"/>
    <w:rsid w:val="00A57523"/>
    <w:rsid w:val="00A57885"/>
    <w:rsid w:val="00A57992"/>
    <w:rsid w:val="00A57AFF"/>
    <w:rsid w:val="00A57CE2"/>
    <w:rsid w:val="00A604CF"/>
    <w:rsid w:val="00A60CBB"/>
    <w:rsid w:val="00A60E78"/>
    <w:rsid w:val="00A611BD"/>
    <w:rsid w:val="00A61209"/>
    <w:rsid w:val="00A61401"/>
    <w:rsid w:val="00A619D0"/>
    <w:rsid w:val="00A61BD3"/>
    <w:rsid w:val="00A61CB6"/>
    <w:rsid w:val="00A62059"/>
    <w:rsid w:val="00A627AA"/>
    <w:rsid w:val="00A62B3A"/>
    <w:rsid w:val="00A62C85"/>
    <w:rsid w:val="00A63471"/>
    <w:rsid w:val="00A63A93"/>
    <w:rsid w:val="00A63D07"/>
    <w:rsid w:val="00A648A2"/>
    <w:rsid w:val="00A649AC"/>
    <w:rsid w:val="00A64B72"/>
    <w:rsid w:val="00A64E60"/>
    <w:rsid w:val="00A65077"/>
    <w:rsid w:val="00A651AB"/>
    <w:rsid w:val="00A654ED"/>
    <w:rsid w:val="00A658A4"/>
    <w:rsid w:val="00A65BF1"/>
    <w:rsid w:val="00A65CAC"/>
    <w:rsid w:val="00A65E5C"/>
    <w:rsid w:val="00A65F9E"/>
    <w:rsid w:val="00A65FBF"/>
    <w:rsid w:val="00A66001"/>
    <w:rsid w:val="00A6682A"/>
    <w:rsid w:val="00A66E19"/>
    <w:rsid w:val="00A6711A"/>
    <w:rsid w:val="00A67210"/>
    <w:rsid w:val="00A6768F"/>
    <w:rsid w:val="00A677F0"/>
    <w:rsid w:val="00A678B0"/>
    <w:rsid w:val="00A67AD0"/>
    <w:rsid w:val="00A67D1B"/>
    <w:rsid w:val="00A67D8F"/>
    <w:rsid w:val="00A7016A"/>
    <w:rsid w:val="00A70A89"/>
    <w:rsid w:val="00A70C08"/>
    <w:rsid w:val="00A70C21"/>
    <w:rsid w:val="00A70C4F"/>
    <w:rsid w:val="00A70D38"/>
    <w:rsid w:val="00A71188"/>
    <w:rsid w:val="00A713DB"/>
    <w:rsid w:val="00A714D5"/>
    <w:rsid w:val="00A7197E"/>
    <w:rsid w:val="00A71D0B"/>
    <w:rsid w:val="00A71D22"/>
    <w:rsid w:val="00A71D2E"/>
    <w:rsid w:val="00A71D98"/>
    <w:rsid w:val="00A71DD3"/>
    <w:rsid w:val="00A72136"/>
    <w:rsid w:val="00A72318"/>
    <w:rsid w:val="00A7240C"/>
    <w:rsid w:val="00A725CE"/>
    <w:rsid w:val="00A729FF"/>
    <w:rsid w:val="00A72AC9"/>
    <w:rsid w:val="00A72EBA"/>
    <w:rsid w:val="00A72F79"/>
    <w:rsid w:val="00A734E9"/>
    <w:rsid w:val="00A737C3"/>
    <w:rsid w:val="00A73A2D"/>
    <w:rsid w:val="00A73AB1"/>
    <w:rsid w:val="00A743C3"/>
    <w:rsid w:val="00A743CC"/>
    <w:rsid w:val="00A745C5"/>
    <w:rsid w:val="00A74B6C"/>
    <w:rsid w:val="00A7546A"/>
    <w:rsid w:val="00A7573E"/>
    <w:rsid w:val="00A75CD5"/>
    <w:rsid w:val="00A76047"/>
    <w:rsid w:val="00A760FE"/>
    <w:rsid w:val="00A762F6"/>
    <w:rsid w:val="00A763E6"/>
    <w:rsid w:val="00A765E6"/>
    <w:rsid w:val="00A76846"/>
    <w:rsid w:val="00A76B2F"/>
    <w:rsid w:val="00A76C4A"/>
    <w:rsid w:val="00A771D5"/>
    <w:rsid w:val="00A771FE"/>
    <w:rsid w:val="00A7764E"/>
    <w:rsid w:val="00A77CA7"/>
    <w:rsid w:val="00A77EC0"/>
    <w:rsid w:val="00A806ED"/>
    <w:rsid w:val="00A808B9"/>
    <w:rsid w:val="00A809D2"/>
    <w:rsid w:val="00A80B2E"/>
    <w:rsid w:val="00A80C4E"/>
    <w:rsid w:val="00A80D08"/>
    <w:rsid w:val="00A8107E"/>
    <w:rsid w:val="00A813EE"/>
    <w:rsid w:val="00A818F4"/>
    <w:rsid w:val="00A81B1C"/>
    <w:rsid w:val="00A81B50"/>
    <w:rsid w:val="00A81E13"/>
    <w:rsid w:val="00A82584"/>
    <w:rsid w:val="00A827B0"/>
    <w:rsid w:val="00A82A09"/>
    <w:rsid w:val="00A82D5D"/>
    <w:rsid w:val="00A82FF6"/>
    <w:rsid w:val="00A8393D"/>
    <w:rsid w:val="00A83953"/>
    <w:rsid w:val="00A83C8F"/>
    <w:rsid w:val="00A83CD4"/>
    <w:rsid w:val="00A83E0F"/>
    <w:rsid w:val="00A83E57"/>
    <w:rsid w:val="00A84061"/>
    <w:rsid w:val="00A84095"/>
    <w:rsid w:val="00A84188"/>
    <w:rsid w:val="00A841DB"/>
    <w:rsid w:val="00A84686"/>
    <w:rsid w:val="00A84E16"/>
    <w:rsid w:val="00A84F53"/>
    <w:rsid w:val="00A85275"/>
    <w:rsid w:val="00A85330"/>
    <w:rsid w:val="00A85420"/>
    <w:rsid w:val="00A855E5"/>
    <w:rsid w:val="00A85C38"/>
    <w:rsid w:val="00A85C48"/>
    <w:rsid w:val="00A85D60"/>
    <w:rsid w:val="00A85D91"/>
    <w:rsid w:val="00A86382"/>
    <w:rsid w:val="00A865C3"/>
    <w:rsid w:val="00A86671"/>
    <w:rsid w:val="00A866B7"/>
    <w:rsid w:val="00A86735"/>
    <w:rsid w:val="00A86E6F"/>
    <w:rsid w:val="00A870D7"/>
    <w:rsid w:val="00A87A79"/>
    <w:rsid w:val="00A901A1"/>
    <w:rsid w:val="00A9040A"/>
    <w:rsid w:val="00A906AF"/>
    <w:rsid w:val="00A907AA"/>
    <w:rsid w:val="00A90D52"/>
    <w:rsid w:val="00A90FF1"/>
    <w:rsid w:val="00A91055"/>
    <w:rsid w:val="00A912EB"/>
    <w:rsid w:val="00A9133B"/>
    <w:rsid w:val="00A91990"/>
    <w:rsid w:val="00A91D89"/>
    <w:rsid w:val="00A91DF5"/>
    <w:rsid w:val="00A92057"/>
    <w:rsid w:val="00A9220B"/>
    <w:rsid w:val="00A922C2"/>
    <w:rsid w:val="00A924A6"/>
    <w:rsid w:val="00A9256B"/>
    <w:rsid w:val="00A926C8"/>
    <w:rsid w:val="00A926FD"/>
    <w:rsid w:val="00A92916"/>
    <w:rsid w:val="00A92A87"/>
    <w:rsid w:val="00A92F9A"/>
    <w:rsid w:val="00A9393C"/>
    <w:rsid w:val="00A94048"/>
    <w:rsid w:val="00A9436F"/>
    <w:rsid w:val="00A946F0"/>
    <w:rsid w:val="00A94963"/>
    <w:rsid w:val="00A94D92"/>
    <w:rsid w:val="00A94E68"/>
    <w:rsid w:val="00A95A49"/>
    <w:rsid w:val="00A95D3E"/>
    <w:rsid w:val="00A9639C"/>
    <w:rsid w:val="00A963FF"/>
    <w:rsid w:val="00A96B04"/>
    <w:rsid w:val="00A96B72"/>
    <w:rsid w:val="00A96B8C"/>
    <w:rsid w:val="00A972AE"/>
    <w:rsid w:val="00A97503"/>
    <w:rsid w:val="00A97DA1"/>
    <w:rsid w:val="00AA03DB"/>
    <w:rsid w:val="00AA06E8"/>
    <w:rsid w:val="00AA072B"/>
    <w:rsid w:val="00AA076C"/>
    <w:rsid w:val="00AA0DC9"/>
    <w:rsid w:val="00AA1229"/>
    <w:rsid w:val="00AA1E53"/>
    <w:rsid w:val="00AA2023"/>
    <w:rsid w:val="00AA2349"/>
    <w:rsid w:val="00AA23A2"/>
    <w:rsid w:val="00AA2492"/>
    <w:rsid w:val="00AA256C"/>
    <w:rsid w:val="00AA26DC"/>
    <w:rsid w:val="00AA29B5"/>
    <w:rsid w:val="00AA2AAD"/>
    <w:rsid w:val="00AA2AC8"/>
    <w:rsid w:val="00AA2CAF"/>
    <w:rsid w:val="00AA2D5D"/>
    <w:rsid w:val="00AA2ED5"/>
    <w:rsid w:val="00AA2F40"/>
    <w:rsid w:val="00AA2F70"/>
    <w:rsid w:val="00AA30EB"/>
    <w:rsid w:val="00AA30F1"/>
    <w:rsid w:val="00AA3ABC"/>
    <w:rsid w:val="00AA3B42"/>
    <w:rsid w:val="00AA3EC0"/>
    <w:rsid w:val="00AA406E"/>
    <w:rsid w:val="00AA4246"/>
    <w:rsid w:val="00AA4477"/>
    <w:rsid w:val="00AA4B2E"/>
    <w:rsid w:val="00AA4C17"/>
    <w:rsid w:val="00AA4C30"/>
    <w:rsid w:val="00AA4D9F"/>
    <w:rsid w:val="00AA50B6"/>
    <w:rsid w:val="00AA53C4"/>
    <w:rsid w:val="00AA5644"/>
    <w:rsid w:val="00AA5CBB"/>
    <w:rsid w:val="00AA5CCC"/>
    <w:rsid w:val="00AA5D9E"/>
    <w:rsid w:val="00AA5E22"/>
    <w:rsid w:val="00AA64F4"/>
    <w:rsid w:val="00AA6559"/>
    <w:rsid w:val="00AA6586"/>
    <w:rsid w:val="00AA6F18"/>
    <w:rsid w:val="00AA7393"/>
    <w:rsid w:val="00AA75C7"/>
    <w:rsid w:val="00AA7616"/>
    <w:rsid w:val="00AB04C1"/>
    <w:rsid w:val="00AB0502"/>
    <w:rsid w:val="00AB060B"/>
    <w:rsid w:val="00AB063B"/>
    <w:rsid w:val="00AB071D"/>
    <w:rsid w:val="00AB0B4E"/>
    <w:rsid w:val="00AB0F8D"/>
    <w:rsid w:val="00AB1033"/>
    <w:rsid w:val="00AB1306"/>
    <w:rsid w:val="00AB13BD"/>
    <w:rsid w:val="00AB1A62"/>
    <w:rsid w:val="00AB1B74"/>
    <w:rsid w:val="00AB1C80"/>
    <w:rsid w:val="00AB1D89"/>
    <w:rsid w:val="00AB1DBD"/>
    <w:rsid w:val="00AB2060"/>
    <w:rsid w:val="00AB20F9"/>
    <w:rsid w:val="00AB2493"/>
    <w:rsid w:val="00AB24B2"/>
    <w:rsid w:val="00AB298D"/>
    <w:rsid w:val="00AB30CC"/>
    <w:rsid w:val="00AB30F6"/>
    <w:rsid w:val="00AB321A"/>
    <w:rsid w:val="00AB396F"/>
    <w:rsid w:val="00AB3B0B"/>
    <w:rsid w:val="00AB3B1E"/>
    <w:rsid w:val="00AB3CCF"/>
    <w:rsid w:val="00AB3FE0"/>
    <w:rsid w:val="00AB419D"/>
    <w:rsid w:val="00AB419E"/>
    <w:rsid w:val="00AB467F"/>
    <w:rsid w:val="00AB4829"/>
    <w:rsid w:val="00AB4B96"/>
    <w:rsid w:val="00AB5039"/>
    <w:rsid w:val="00AB50C4"/>
    <w:rsid w:val="00AB5226"/>
    <w:rsid w:val="00AB5360"/>
    <w:rsid w:val="00AB5B31"/>
    <w:rsid w:val="00AB617F"/>
    <w:rsid w:val="00AB6445"/>
    <w:rsid w:val="00AB66C6"/>
    <w:rsid w:val="00AB6D45"/>
    <w:rsid w:val="00AB6FD6"/>
    <w:rsid w:val="00AB7145"/>
    <w:rsid w:val="00AB721D"/>
    <w:rsid w:val="00AB72EA"/>
    <w:rsid w:val="00AB735C"/>
    <w:rsid w:val="00AB7CDB"/>
    <w:rsid w:val="00AB7D5D"/>
    <w:rsid w:val="00AC121B"/>
    <w:rsid w:val="00AC1236"/>
    <w:rsid w:val="00AC16DB"/>
    <w:rsid w:val="00AC1A06"/>
    <w:rsid w:val="00AC1A57"/>
    <w:rsid w:val="00AC1E72"/>
    <w:rsid w:val="00AC1ED6"/>
    <w:rsid w:val="00AC2328"/>
    <w:rsid w:val="00AC246A"/>
    <w:rsid w:val="00AC24B1"/>
    <w:rsid w:val="00AC2504"/>
    <w:rsid w:val="00AC262C"/>
    <w:rsid w:val="00AC28BA"/>
    <w:rsid w:val="00AC2A96"/>
    <w:rsid w:val="00AC2B59"/>
    <w:rsid w:val="00AC2C0B"/>
    <w:rsid w:val="00AC2D68"/>
    <w:rsid w:val="00AC2F02"/>
    <w:rsid w:val="00AC3041"/>
    <w:rsid w:val="00AC3074"/>
    <w:rsid w:val="00AC3145"/>
    <w:rsid w:val="00AC35F4"/>
    <w:rsid w:val="00AC3601"/>
    <w:rsid w:val="00AC3604"/>
    <w:rsid w:val="00AC3858"/>
    <w:rsid w:val="00AC3C57"/>
    <w:rsid w:val="00AC3EFA"/>
    <w:rsid w:val="00AC4231"/>
    <w:rsid w:val="00AC45EE"/>
    <w:rsid w:val="00AC46A2"/>
    <w:rsid w:val="00AC4BEA"/>
    <w:rsid w:val="00AC4D19"/>
    <w:rsid w:val="00AC5113"/>
    <w:rsid w:val="00AC553D"/>
    <w:rsid w:val="00AC580A"/>
    <w:rsid w:val="00AC5846"/>
    <w:rsid w:val="00AC5BFD"/>
    <w:rsid w:val="00AC5F28"/>
    <w:rsid w:val="00AC63EC"/>
    <w:rsid w:val="00AC6DA9"/>
    <w:rsid w:val="00AC7478"/>
    <w:rsid w:val="00AC75ED"/>
    <w:rsid w:val="00AC77AB"/>
    <w:rsid w:val="00AC7F62"/>
    <w:rsid w:val="00AD0477"/>
    <w:rsid w:val="00AD0607"/>
    <w:rsid w:val="00AD06EC"/>
    <w:rsid w:val="00AD0CC1"/>
    <w:rsid w:val="00AD0EAE"/>
    <w:rsid w:val="00AD1014"/>
    <w:rsid w:val="00AD1055"/>
    <w:rsid w:val="00AD16AD"/>
    <w:rsid w:val="00AD1EA3"/>
    <w:rsid w:val="00AD236B"/>
    <w:rsid w:val="00AD278C"/>
    <w:rsid w:val="00AD27BD"/>
    <w:rsid w:val="00AD2811"/>
    <w:rsid w:val="00AD28E1"/>
    <w:rsid w:val="00AD36F2"/>
    <w:rsid w:val="00AD3AB5"/>
    <w:rsid w:val="00AD3E2B"/>
    <w:rsid w:val="00AD4012"/>
    <w:rsid w:val="00AD45F1"/>
    <w:rsid w:val="00AD4694"/>
    <w:rsid w:val="00AD471A"/>
    <w:rsid w:val="00AD4779"/>
    <w:rsid w:val="00AD523F"/>
    <w:rsid w:val="00AD55CC"/>
    <w:rsid w:val="00AD5744"/>
    <w:rsid w:val="00AD59E5"/>
    <w:rsid w:val="00AD5B06"/>
    <w:rsid w:val="00AD5BFD"/>
    <w:rsid w:val="00AD5C9D"/>
    <w:rsid w:val="00AD61CD"/>
    <w:rsid w:val="00AD62DA"/>
    <w:rsid w:val="00AD663D"/>
    <w:rsid w:val="00AD6983"/>
    <w:rsid w:val="00AD6D00"/>
    <w:rsid w:val="00AD6E90"/>
    <w:rsid w:val="00AD743F"/>
    <w:rsid w:val="00AD75FF"/>
    <w:rsid w:val="00AD76EF"/>
    <w:rsid w:val="00AD77CF"/>
    <w:rsid w:val="00AD77E2"/>
    <w:rsid w:val="00AE01F1"/>
    <w:rsid w:val="00AE028D"/>
    <w:rsid w:val="00AE032E"/>
    <w:rsid w:val="00AE0680"/>
    <w:rsid w:val="00AE097E"/>
    <w:rsid w:val="00AE1109"/>
    <w:rsid w:val="00AE1119"/>
    <w:rsid w:val="00AE2766"/>
    <w:rsid w:val="00AE2A1C"/>
    <w:rsid w:val="00AE2C33"/>
    <w:rsid w:val="00AE2DD9"/>
    <w:rsid w:val="00AE3162"/>
    <w:rsid w:val="00AE3186"/>
    <w:rsid w:val="00AE38DA"/>
    <w:rsid w:val="00AE3B92"/>
    <w:rsid w:val="00AE3D06"/>
    <w:rsid w:val="00AE3D45"/>
    <w:rsid w:val="00AE40D2"/>
    <w:rsid w:val="00AE4277"/>
    <w:rsid w:val="00AE452F"/>
    <w:rsid w:val="00AE4761"/>
    <w:rsid w:val="00AE4CCA"/>
    <w:rsid w:val="00AE52CD"/>
    <w:rsid w:val="00AE54C5"/>
    <w:rsid w:val="00AE57E5"/>
    <w:rsid w:val="00AE5AE1"/>
    <w:rsid w:val="00AE63AB"/>
    <w:rsid w:val="00AE6501"/>
    <w:rsid w:val="00AE657E"/>
    <w:rsid w:val="00AE6642"/>
    <w:rsid w:val="00AE6CB4"/>
    <w:rsid w:val="00AE6DFE"/>
    <w:rsid w:val="00AE6F6B"/>
    <w:rsid w:val="00AE6FCC"/>
    <w:rsid w:val="00AE702A"/>
    <w:rsid w:val="00AE70D2"/>
    <w:rsid w:val="00AE785D"/>
    <w:rsid w:val="00AE7910"/>
    <w:rsid w:val="00AE7A80"/>
    <w:rsid w:val="00AE7B56"/>
    <w:rsid w:val="00AE7D1B"/>
    <w:rsid w:val="00AE7D9B"/>
    <w:rsid w:val="00AE7E49"/>
    <w:rsid w:val="00AE7FEF"/>
    <w:rsid w:val="00AF0126"/>
    <w:rsid w:val="00AF01A6"/>
    <w:rsid w:val="00AF0709"/>
    <w:rsid w:val="00AF0DF5"/>
    <w:rsid w:val="00AF0E98"/>
    <w:rsid w:val="00AF116C"/>
    <w:rsid w:val="00AF122A"/>
    <w:rsid w:val="00AF1D74"/>
    <w:rsid w:val="00AF1E84"/>
    <w:rsid w:val="00AF1EBA"/>
    <w:rsid w:val="00AF2341"/>
    <w:rsid w:val="00AF280E"/>
    <w:rsid w:val="00AF2B6B"/>
    <w:rsid w:val="00AF2C20"/>
    <w:rsid w:val="00AF3268"/>
    <w:rsid w:val="00AF33A2"/>
    <w:rsid w:val="00AF364B"/>
    <w:rsid w:val="00AF36B7"/>
    <w:rsid w:val="00AF379E"/>
    <w:rsid w:val="00AF3A2B"/>
    <w:rsid w:val="00AF3D27"/>
    <w:rsid w:val="00AF3D9C"/>
    <w:rsid w:val="00AF3FB5"/>
    <w:rsid w:val="00AF3FEC"/>
    <w:rsid w:val="00AF4063"/>
    <w:rsid w:val="00AF43D1"/>
    <w:rsid w:val="00AF4572"/>
    <w:rsid w:val="00AF46B0"/>
    <w:rsid w:val="00AF48BD"/>
    <w:rsid w:val="00AF49E5"/>
    <w:rsid w:val="00AF4E87"/>
    <w:rsid w:val="00AF5013"/>
    <w:rsid w:val="00AF520B"/>
    <w:rsid w:val="00AF5340"/>
    <w:rsid w:val="00AF57F1"/>
    <w:rsid w:val="00AF5999"/>
    <w:rsid w:val="00AF5EE1"/>
    <w:rsid w:val="00AF6310"/>
    <w:rsid w:val="00AF6519"/>
    <w:rsid w:val="00AF652E"/>
    <w:rsid w:val="00AF65F9"/>
    <w:rsid w:val="00AF6763"/>
    <w:rsid w:val="00AF714B"/>
    <w:rsid w:val="00AF7257"/>
    <w:rsid w:val="00AF73D3"/>
    <w:rsid w:val="00AF7546"/>
    <w:rsid w:val="00AF75D1"/>
    <w:rsid w:val="00AF76E4"/>
    <w:rsid w:val="00AF7721"/>
    <w:rsid w:val="00AF7D0F"/>
    <w:rsid w:val="00AF7D12"/>
    <w:rsid w:val="00B0009A"/>
    <w:rsid w:val="00B001F3"/>
    <w:rsid w:val="00B009D4"/>
    <w:rsid w:val="00B00CF8"/>
    <w:rsid w:val="00B0134A"/>
    <w:rsid w:val="00B016AD"/>
    <w:rsid w:val="00B01738"/>
    <w:rsid w:val="00B01950"/>
    <w:rsid w:val="00B01B6D"/>
    <w:rsid w:val="00B01B89"/>
    <w:rsid w:val="00B01FBA"/>
    <w:rsid w:val="00B02053"/>
    <w:rsid w:val="00B025C1"/>
    <w:rsid w:val="00B02975"/>
    <w:rsid w:val="00B02DA3"/>
    <w:rsid w:val="00B02E14"/>
    <w:rsid w:val="00B02EDF"/>
    <w:rsid w:val="00B0318B"/>
    <w:rsid w:val="00B032C9"/>
    <w:rsid w:val="00B0345A"/>
    <w:rsid w:val="00B03476"/>
    <w:rsid w:val="00B035BC"/>
    <w:rsid w:val="00B036B7"/>
    <w:rsid w:val="00B036C9"/>
    <w:rsid w:val="00B037BC"/>
    <w:rsid w:val="00B03B2B"/>
    <w:rsid w:val="00B03D70"/>
    <w:rsid w:val="00B03F19"/>
    <w:rsid w:val="00B03F7B"/>
    <w:rsid w:val="00B04132"/>
    <w:rsid w:val="00B04162"/>
    <w:rsid w:val="00B041FA"/>
    <w:rsid w:val="00B0438A"/>
    <w:rsid w:val="00B045FE"/>
    <w:rsid w:val="00B04627"/>
    <w:rsid w:val="00B0481E"/>
    <w:rsid w:val="00B04D57"/>
    <w:rsid w:val="00B04E5B"/>
    <w:rsid w:val="00B05897"/>
    <w:rsid w:val="00B058A9"/>
    <w:rsid w:val="00B058BE"/>
    <w:rsid w:val="00B05C50"/>
    <w:rsid w:val="00B05EB1"/>
    <w:rsid w:val="00B06092"/>
    <w:rsid w:val="00B06185"/>
    <w:rsid w:val="00B06658"/>
    <w:rsid w:val="00B066EE"/>
    <w:rsid w:val="00B06C1D"/>
    <w:rsid w:val="00B06C6D"/>
    <w:rsid w:val="00B07081"/>
    <w:rsid w:val="00B070A3"/>
    <w:rsid w:val="00B073BD"/>
    <w:rsid w:val="00B073FC"/>
    <w:rsid w:val="00B07946"/>
    <w:rsid w:val="00B07978"/>
    <w:rsid w:val="00B07E1E"/>
    <w:rsid w:val="00B1020C"/>
    <w:rsid w:val="00B103E0"/>
    <w:rsid w:val="00B11125"/>
    <w:rsid w:val="00B11533"/>
    <w:rsid w:val="00B116A8"/>
    <w:rsid w:val="00B1194F"/>
    <w:rsid w:val="00B11978"/>
    <w:rsid w:val="00B121D4"/>
    <w:rsid w:val="00B12253"/>
    <w:rsid w:val="00B123D6"/>
    <w:rsid w:val="00B126CB"/>
    <w:rsid w:val="00B12876"/>
    <w:rsid w:val="00B128CA"/>
    <w:rsid w:val="00B128CB"/>
    <w:rsid w:val="00B12947"/>
    <w:rsid w:val="00B131D7"/>
    <w:rsid w:val="00B13244"/>
    <w:rsid w:val="00B13503"/>
    <w:rsid w:val="00B136C7"/>
    <w:rsid w:val="00B1378A"/>
    <w:rsid w:val="00B13C07"/>
    <w:rsid w:val="00B13D68"/>
    <w:rsid w:val="00B13F7B"/>
    <w:rsid w:val="00B142F4"/>
    <w:rsid w:val="00B15132"/>
    <w:rsid w:val="00B15344"/>
    <w:rsid w:val="00B1545A"/>
    <w:rsid w:val="00B15A07"/>
    <w:rsid w:val="00B16263"/>
    <w:rsid w:val="00B16336"/>
    <w:rsid w:val="00B164FC"/>
    <w:rsid w:val="00B16770"/>
    <w:rsid w:val="00B167C8"/>
    <w:rsid w:val="00B16B01"/>
    <w:rsid w:val="00B16C3C"/>
    <w:rsid w:val="00B16F44"/>
    <w:rsid w:val="00B171C9"/>
    <w:rsid w:val="00B200E5"/>
    <w:rsid w:val="00B2020E"/>
    <w:rsid w:val="00B2045E"/>
    <w:rsid w:val="00B20460"/>
    <w:rsid w:val="00B204CD"/>
    <w:rsid w:val="00B208A0"/>
    <w:rsid w:val="00B20929"/>
    <w:rsid w:val="00B20A04"/>
    <w:rsid w:val="00B20B18"/>
    <w:rsid w:val="00B21212"/>
    <w:rsid w:val="00B21FB5"/>
    <w:rsid w:val="00B22040"/>
    <w:rsid w:val="00B222A3"/>
    <w:rsid w:val="00B2255A"/>
    <w:rsid w:val="00B22754"/>
    <w:rsid w:val="00B22816"/>
    <w:rsid w:val="00B22A6C"/>
    <w:rsid w:val="00B22A8E"/>
    <w:rsid w:val="00B22EC9"/>
    <w:rsid w:val="00B2322F"/>
    <w:rsid w:val="00B23301"/>
    <w:rsid w:val="00B2330F"/>
    <w:rsid w:val="00B2335A"/>
    <w:rsid w:val="00B237B8"/>
    <w:rsid w:val="00B238DF"/>
    <w:rsid w:val="00B23C22"/>
    <w:rsid w:val="00B23E0D"/>
    <w:rsid w:val="00B241AD"/>
    <w:rsid w:val="00B2490D"/>
    <w:rsid w:val="00B249A1"/>
    <w:rsid w:val="00B24ECA"/>
    <w:rsid w:val="00B2556A"/>
    <w:rsid w:val="00B2563A"/>
    <w:rsid w:val="00B25970"/>
    <w:rsid w:val="00B259C8"/>
    <w:rsid w:val="00B25A45"/>
    <w:rsid w:val="00B25AAB"/>
    <w:rsid w:val="00B25E97"/>
    <w:rsid w:val="00B26023"/>
    <w:rsid w:val="00B26777"/>
    <w:rsid w:val="00B267C9"/>
    <w:rsid w:val="00B2684D"/>
    <w:rsid w:val="00B269C9"/>
    <w:rsid w:val="00B26B2F"/>
    <w:rsid w:val="00B2743F"/>
    <w:rsid w:val="00B27657"/>
    <w:rsid w:val="00B278C5"/>
    <w:rsid w:val="00B27979"/>
    <w:rsid w:val="00B2799A"/>
    <w:rsid w:val="00B304FA"/>
    <w:rsid w:val="00B307A3"/>
    <w:rsid w:val="00B307E3"/>
    <w:rsid w:val="00B30958"/>
    <w:rsid w:val="00B30CD6"/>
    <w:rsid w:val="00B315BA"/>
    <w:rsid w:val="00B31657"/>
    <w:rsid w:val="00B31AC6"/>
    <w:rsid w:val="00B31BF5"/>
    <w:rsid w:val="00B31CCC"/>
    <w:rsid w:val="00B31D78"/>
    <w:rsid w:val="00B31EFC"/>
    <w:rsid w:val="00B32018"/>
    <w:rsid w:val="00B3214F"/>
    <w:rsid w:val="00B324F3"/>
    <w:rsid w:val="00B327E6"/>
    <w:rsid w:val="00B32D0C"/>
    <w:rsid w:val="00B32EE7"/>
    <w:rsid w:val="00B33003"/>
    <w:rsid w:val="00B33038"/>
    <w:rsid w:val="00B33094"/>
    <w:rsid w:val="00B331C8"/>
    <w:rsid w:val="00B33854"/>
    <w:rsid w:val="00B33F8A"/>
    <w:rsid w:val="00B3440D"/>
    <w:rsid w:val="00B345F5"/>
    <w:rsid w:val="00B3469E"/>
    <w:rsid w:val="00B34729"/>
    <w:rsid w:val="00B3478B"/>
    <w:rsid w:val="00B34880"/>
    <w:rsid w:val="00B34BA9"/>
    <w:rsid w:val="00B34BD8"/>
    <w:rsid w:val="00B34F43"/>
    <w:rsid w:val="00B3515E"/>
    <w:rsid w:val="00B35199"/>
    <w:rsid w:val="00B35381"/>
    <w:rsid w:val="00B357B4"/>
    <w:rsid w:val="00B3587B"/>
    <w:rsid w:val="00B35BDC"/>
    <w:rsid w:val="00B35F93"/>
    <w:rsid w:val="00B36553"/>
    <w:rsid w:val="00B36B0C"/>
    <w:rsid w:val="00B371DD"/>
    <w:rsid w:val="00B373AD"/>
    <w:rsid w:val="00B37476"/>
    <w:rsid w:val="00B374D5"/>
    <w:rsid w:val="00B3772C"/>
    <w:rsid w:val="00B37785"/>
    <w:rsid w:val="00B377C2"/>
    <w:rsid w:val="00B3797A"/>
    <w:rsid w:val="00B37A22"/>
    <w:rsid w:val="00B37ABA"/>
    <w:rsid w:val="00B4088C"/>
    <w:rsid w:val="00B4093A"/>
    <w:rsid w:val="00B4094A"/>
    <w:rsid w:val="00B40F25"/>
    <w:rsid w:val="00B4105D"/>
    <w:rsid w:val="00B4155D"/>
    <w:rsid w:val="00B415D8"/>
    <w:rsid w:val="00B41705"/>
    <w:rsid w:val="00B4177A"/>
    <w:rsid w:val="00B417F7"/>
    <w:rsid w:val="00B41E26"/>
    <w:rsid w:val="00B42707"/>
    <w:rsid w:val="00B427A7"/>
    <w:rsid w:val="00B4314D"/>
    <w:rsid w:val="00B4342D"/>
    <w:rsid w:val="00B43507"/>
    <w:rsid w:val="00B43866"/>
    <w:rsid w:val="00B439CA"/>
    <w:rsid w:val="00B43A51"/>
    <w:rsid w:val="00B43AA4"/>
    <w:rsid w:val="00B43E2F"/>
    <w:rsid w:val="00B43E90"/>
    <w:rsid w:val="00B441DD"/>
    <w:rsid w:val="00B44395"/>
    <w:rsid w:val="00B4493C"/>
    <w:rsid w:val="00B44CB5"/>
    <w:rsid w:val="00B44D32"/>
    <w:rsid w:val="00B45027"/>
    <w:rsid w:val="00B45311"/>
    <w:rsid w:val="00B45449"/>
    <w:rsid w:val="00B45790"/>
    <w:rsid w:val="00B459FA"/>
    <w:rsid w:val="00B45B97"/>
    <w:rsid w:val="00B45E3F"/>
    <w:rsid w:val="00B45F72"/>
    <w:rsid w:val="00B46051"/>
    <w:rsid w:val="00B46A64"/>
    <w:rsid w:val="00B46CDA"/>
    <w:rsid w:val="00B46F14"/>
    <w:rsid w:val="00B47311"/>
    <w:rsid w:val="00B47325"/>
    <w:rsid w:val="00B477C9"/>
    <w:rsid w:val="00B47947"/>
    <w:rsid w:val="00B47B01"/>
    <w:rsid w:val="00B47E0C"/>
    <w:rsid w:val="00B501EF"/>
    <w:rsid w:val="00B50316"/>
    <w:rsid w:val="00B50A46"/>
    <w:rsid w:val="00B50DA1"/>
    <w:rsid w:val="00B50E51"/>
    <w:rsid w:val="00B50F67"/>
    <w:rsid w:val="00B511CD"/>
    <w:rsid w:val="00B515B4"/>
    <w:rsid w:val="00B5196A"/>
    <w:rsid w:val="00B51A6A"/>
    <w:rsid w:val="00B51BB7"/>
    <w:rsid w:val="00B51F52"/>
    <w:rsid w:val="00B51FA0"/>
    <w:rsid w:val="00B52288"/>
    <w:rsid w:val="00B5229E"/>
    <w:rsid w:val="00B527F9"/>
    <w:rsid w:val="00B530BB"/>
    <w:rsid w:val="00B5316C"/>
    <w:rsid w:val="00B5344E"/>
    <w:rsid w:val="00B534AA"/>
    <w:rsid w:val="00B539D4"/>
    <w:rsid w:val="00B540D7"/>
    <w:rsid w:val="00B5416E"/>
    <w:rsid w:val="00B5427B"/>
    <w:rsid w:val="00B54389"/>
    <w:rsid w:val="00B543FF"/>
    <w:rsid w:val="00B548DD"/>
    <w:rsid w:val="00B54FFF"/>
    <w:rsid w:val="00B55066"/>
    <w:rsid w:val="00B55253"/>
    <w:rsid w:val="00B553E4"/>
    <w:rsid w:val="00B55403"/>
    <w:rsid w:val="00B55410"/>
    <w:rsid w:val="00B5584F"/>
    <w:rsid w:val="00B559A8"/>
    <w:rsid w:val="00B55D79"/>
    <w:rsid w:val="00B56506"/>
    <w:rsid w:val="00B56620"/>
    <w:rsid w:val="00B568A8"/>
    <w:rsid w:val="00B57607"/>
    <w:rsid w:val="00B57796"/>
    <w:rsid w:val="00B57812"/>
    <w:rsid w:val="00B57831"/>
    <w:rsid w:val="00B57D5F"/>
    <w:rsid w:val="00B57F2E"/>
    <w:rsid w:val="00B60636"/>
    <w:rsid w:val="00B608A0"/>
    <w:rsid w:val="00B60F56"/>
    <w:rsid w:val="00B61193"/>
    <w:rsid w:val="00B61206"/>
    <w:rsid w:val="00B612B4"/>
    <w:rsid w:val="00B61532"/>
    <w:rsid w:val="00B61536"/>
    <w:rsid w:val="00B615EA"/>
    <w:rsid w:val="00B616FD"/>
    <w:rsid w:val="00B6176F"/>
    <w:rsid w:val="00B61A24"/>
    <w:rsid w:val="00B61BFB"/>
    <w:rsid w:val="00B61C20"/>
    <w:rsid w:val="00B61ECC"/>
    <w:rsid w:val="00B61F21"/>
    <w:rsid w:val="00B61F46"/>
    <w:rsid w:val="00B61FBE"/>
    <w:rsid w:val="00B626A1"/>
    <w:rsid w:val="00B62D9D"/>
    <w:rsid w:val="00B62E29"/>
    <w:rsid w:val="00B63322"/>
    <w:rsid w:val="00B6341B"/>
    <w:rsid w:val="00B63890"/>
    <w:rsid w:val="00B63DB1"/>
    <w:rsid w:val="00B63ED2"/>
    <w:rsid w:val="00B64110"/>
    <w:rsid w:val="00B642C7"/>
    <w:rsid w:val="00B6433B"/>
    <w:rsid w:val="00B64398"/>
    <w:rsid w:val="00B6482A"/>
    <w:rsid w:val="00B64893"/>
    <w:rsid w:val="00B6489D"/>
    <w:rsid w:val="00B648C8"/>
    <w:rsid w:val="00B64A9B"/>
    <w:rsid w:val="00B64C02"/>
    <w:rsid w:val="00B650D2"/>
    <w:rsid w:val="00B65527"/>
    <w:rsid w:val="00B657BA"/>
    <w:rsid w:val="00B6582F"/>
    <w:rsid w:val="00B658AC"/>
    <w:rsid w:val="00B65B8E"/>
    <w:rsid w:val="00B65BEA"/>
    <w:rsid w:val="00B65CFA"/>
    <w:rsid w:val="00B66083"/>
    <w:rsid w:val="00B6642F"/>
    <w:rsid w:val="00B66935"/>
    <w:rsid w:val="00B669CB"/>
    <w:rsid w:val="00B66AE3"/>
    <w:rsid w:val="00B66C33"/>
    <w:rsid w:val="00B66E26"/>
    <w:rsid w:val="00B66EF0"/>
    <w:rsid w:val="00B67123"/>
    <w:rsid w:val="00B67360"/>
    <w:rsid w:val="00B67379"/>
    <w:rsid w:val="00B6745D"/>
    <w:rsid w:val="00B6766C"/>
    <w:rsid w:val="00B67B6C"/>
    <w:rsid w:val="00B67C63"/>
    <w:rsid w:val="00B70427"/>
    <w:rsid w:val="00B70FDC"/>
    <w:rsid w:val="00B713DC"/>
    <w:rsid w:val="00B715E6"/>
    <w:rsid w:val="00B71951"/>
    <w:rsid w:val="00B71A67"/>
    <w:rsid w:val="00B71E03"/>
    <w:rsid w:val="00B72266"/>
    <w:rsid w:val="00B7263D"/>
    <w:rsid w:val="00B727AB"/>
    <w:rsid w:val="00B72833"/>
    <w:rsid w:val="00B7294C"/>
    <w:rsid w:val="00B72AD1"/>
    <w:rsid w:val="00B72B36"/>
    <w:rsid w:val="00B72DE1"/>
    <w:rsid w:val="00B72E9C"/>
    <w:rsid w:val="00B72EE2"/>
    <w:rsid w:val="00B7320D"/>
    <w:rsid w:val="00B73766"/>
    <w:rsid w:val="00B737F7"/>
    <w:rsid w:val="00B73F06"/>
    <w:rsid w:val="00B73FD6"/>
    <w:rsid w:val="00B7407A"/>
    <w:rsid w:val="00B74852"/>
    <w:rsid w:val="00B749CA"/>
    <w:rsid w:val="00B74A25"/>
    <w:rsid w:val="00B74B0A"/>
    <w:rsid w:val="00B74DB6"/>
    <w:rsid w:val="00B75692"/>
    <w:rsid w:val="00B75E30"/>
    <w:rsid w:val="00B7642C"/>
    <w:rsid w:val="00B76790"/>
    <w:rsid w:val="00B76DCE"/>
    <w:rsid w:val="00B76EAC"/>
    <w:rsid w:val="00B77046"/>
    <w:rsid w:val="00B7735F"/>
    <w:rsid w:val="00B778C4"/>
    <w:rsid w:val="00B77AF7"/>
    <w:rsid w:val="00B77C69"/>
    <w:rsid w:val="00B77E12"/>
    <w:rsid w:val="00B800E1"/>
    <w:rsid w:val="00B80932"/>
    <w:rsid w:val="00B80DD9"/>
    <w:rsid w:val="00B80DF7"/>
    <w:rsid w:val="00B81179"/>
    <w:rsid w:val="00B81537"/>
    <w:rsid w:val="00B81F5B"/>
    <w:rsid w:val="00B82047"/>
    <w:rsid w:val="00B82424"/>
    <w:rsid w:val="00B8243C"/>
    <w:rsid w:val="00B8259B"/>
    <w:rsid w:val="00B82C4B"/>
    <w:rsid w:val="00B82CB0"/>
    <w:rsid w:val="00B82D82"/>
    <w:rsid w:val="00B82E7E"/>
    <w:rsid w:val="00B83071"/>
    <w:rsid w:val="00B83308"/>
    <w:rsid w:val="00B83682"/>
    <w:rsid w:val="00B8378A"/>
    <w:rsid w:val="00B84055"/>
    <w:rsid w:val="00B84354"/>
    <w:rsid w:val="00B84846"/>
    <w:rsid w:val="00B84C44"/>
    <w:rsid w:val="00B84C80"/>
    <w:rsid w:val="00B84CF1"/>
    <w:rsid w:val="00B852EC"/>
    <w:rsid w:val="00B85390"/>
    <w:rsid w:val="00B85795"/>
    <w:rsid w:val="00B85819"/>
    <w:rsid w:val="00B85827"/>
    <w:rsid w:val="00B85A11"/>
    <w:rsid w:val="00B85AE6"/>
    <w:rsid w:val="00B8614B"/>
    <w:rsid w:val="00B861D1"/>
    <w:rsid w:val="00B861D4"/>
    <w:rsid w:val="00B8625B"/>
    <w:rsid w:val="00B8644A"/>
    <w:rsid w:val="00B86AA6"/>
    <w:rsid w:val="00B86BD9"/>
    <w:rsid w:val="00B86C6C"/>
    <w:rsid w:val="00B86F43"/>
    <w:rsid w:val="00B87182"/>
    <w:rsid w:val="00B87503"/>
    <w:rsid w:val="00B87710"/>
    <w:rsid w:val="00B87B89"/>
    <w:rsid w:val="00B87E12"/>
    <w:rsid w:val="00B90656"/>
    <w:rsid w:val="00B907D6"/>
    <w:rsid w:val="00B908FF"/>
    <w:rsid w:val="00B90BB1"/>
    <w:rsid w:val="00B90C1F"/>
    <w:rsid w:val="00B90CC9"/>
    <w:rsid w:val="00B90D2B"/>
    <w:rsid w:val="00B90DC4"/>
    <w:rsid w:val="00B90EAC"/>
    <w:rsid w:val="00B90FBF"/>
    <w:rsid w:val="00B917E5"/>
    <w:rsid w:val="00B91C95"/>
    <w:rsid w:val="00B91D01"/>
    <w:rsid w:val="00B91D74"/>
    <w:rsid w:val="00B91D81"/>
    <w:rsid w:val="00B91EE0"/>
    <w:rsid w:val="00B92177"/>
    <w:rsid w:val="00B921D9"/>
    <w:rsid w:val="00B9280E"/>
    <w:rsid w:val="00B9283B"/>
    <w:rsid w:val="00B92C06"/>
    <w:rsid w:val="00B9316B"/>
    <w:rsid w:val="00B93504"/>
    <w:rsid w:val="00B937E9"/>
    <w:rsid w:val="00B93846"/>
    <w:rsid w:val="00B93860"/>
    <w:rsid w:val="00B938D6"/>
    <w:rsid w:val="00B93B61"/>
    <w:rsid w:val="00B93FCF"/>
    <w:rsid w:val="00B94278"/>
    <w:rsid w:val="00B94320"/>
    <w:rsid w:val="00B94A83"/>
    <w:rsid w:val="00B94B2F"/>
    <w:rsid w:val="00B94C8E"/>
    <w:rsid w:val="00B95193"/>
    <w:rsid w:val="00B9530A"/>
    <w:rsid w:val="00B956DB"/>
    <w:rsid w:val="00B95AC5"/>
    <w:rsid w:val="00B95CD5"/>
    <w:rsid w:val="00B95DE1"/>
    <w:rsid w:val="00B95E90"/>
    <w:rsid w:val="00B96133"/>
    <w:rsid w:val="00B9617B"/>
    <w:rsid w:val="00B961D1"/>
    <w:rsid w:val="00B964F3"/>
    <w:rsid w:val="00B96527"/>
    <w:rsid w:val="00B967B1"/>
    <w:rsid w:val="00B96952"/>
    <w:rsid w:val="00B96A50"/>
    <w:rsid w:val="00B96B6E"/>
    <w:rsid w:val="00B96C1E"/>
    <w:rsid w:val="00B977F6"/>
    <w:rsid w:val="00B97C0A"/>
    <w:rsid w:val="00B97D31"/>
    <w:rsid w:val="00BA03FE"/>
    <w:rsid w:val="00BA0649"/>
    <w:rsid w:val="00BA08A5"/>
    <w:rsid w:val="00BA09CC"/>
    <w:rsid w:val="00BA0D3C"/>
    <w:rsid w:val="00BA11B5"/>
    <w:rsid w:val="00BA12B1"/>
    <w:rsid w:val="00BA1729"/>
    <w:rsid w:val="00BA1D87"/>
    <w:rsid w:val="00BA1EAE"/>
    <w:rsid w:val="00BA222D"/>
    <w:rsid w:val="00BA2AE3"/>
    <w:rsid w:val="00BA2C62"/>
    <w:rsid w:val="00BA2D97"/>
    <w:rsid w:val="00BA30C7"/>
    <w:rsid w:val="00BA335C"/>
    <w:rsid w:val="00BA3803"/>
    <w:rsid w:val="00BA3C57"/>
    <w:rsid w:val="00BA3D58"/>
    <w:rsid w:val="00BA3DB6"/>
    <w:rsid w:val="00BA3F95"/>
    <w:rsid w:val="00BA402A"/>
    <w:rsid w:val="00BA4109"/>
    <w:rsid w:val="00BA4207"/>
    <w:rsid w:val="00BA4216"/>
    <w:rsid w:val="00BA4496"/>
    <w:rsid w:val="00BA4852"/>
    <w:rsid w:val="00BA4B1C"/>
    <w:rsid w:val="00BA4B4C"/>
    <w:rsid w:val="00BA4BCF"/>
    <w:rsid w:val="00BA4E43"/>
    <w:rsid w:val="00BA533A"/>
    <w:rsid w:val="00BA5461"/>
    <w:rsid w:val="00BA5861"/>
    <w:rsid w:val="00BA59BC"/>
    <w:rsid w:val="00BA5D1A"/>
    <w:rsid w:val="00BA5FDC"/>
    <w:rsid w:val="00BA653C"/>
    <w:rsid w:val="00BA67B8"/>
    <w:rsid w:val="00BA686D"/>
    <w:rsid w:val="00BA6876"/>
    <w:rsid w:val="00BA735C"/>
    <w:rsid w:val="00BA7484"/>
    <w:rsid w:val="00BA779F"/>
    <w:rsid w:val="00BA7A5E"/>
    <w:rsid w:val="00BA7A97"/>
    <w:rsid w:val="00BA7D8C"/>
    <w:rsid w:val="00BB0277"/>
    <w:rsid w:val="00BB0333"/>
    <w:rsid w:val="00BB051F"/>
    <w:rsid w:val="00BB0633"/>
    <w:rsid w:val="00BB0BCC"/>
    <w:rsid w:val="00BB0C70"/>
    <w:rsid w:val="00BB0D72"/>
    <w:rsid w:val="00BB0DB4"/>
    <w:rsid w:val="00BB0EA3"/>
    <w:rsid w:val="00BB0EED"/>
    <w:rsid w:val="00BB1692"/>
    <w:rsid w:val="00BB1877"/>
    <w:rsid w:val="00BB1CE3"/>
    <w:rsid w:val="00BB21A2"/>
    <w:rsid w:val="00BB2235"/>
    <w:rsid w:val="00BB2AFC"/>
    <w:rsid w:val="00BB2DCF"/>
    <w:rsid w:val="00BB2EB2"/>
    <w:rsid w:val="00BB3113"/>
    <w:rsid w:val="00BB375C"/>
    <w:rsid w:val="00BB37BE"/>
    <w:rsid w:val="00BB3A5D"/>
    <w:rsid w:val="00BB3A9E"/>
    <w:rsid w:val="00BB3BE9"/>
    <w:rsid w:val="00BB3FD2"/>
    <w:rsid w:val="00BB44D7"/>
    <w:rsid w:val="00BB456D"/>
    <w:rsid w:val="00BB48CB"/>
    <w:rsid w:val="00BB492A"/>
    <w:rsid w:val="00BB4C5A"/>
    <w:rsid w:val="00BB5139"/>
    <w:rsid w:val="00BB5227"/>
    <w:rsid w:val="00BB52C1"/>
    <w:rsid w:val="00BB5D59"/>
    <w:rsid w:val="00BB5D69"/>
    <w:rsid w:val="00BB5FF3"/>
    <w:rsid w:val="00BB6089"/>
    <w:rsid w:val="00BB60DD"/>
    <w:rsid w:val="00BB6196"/>
    <w:rsid w:val="00BB6385"/>
    <w:rsid w:val="00BB63A3"/>
    <w:rsid w:val="00BB6475"/>
    <w:rsid w:val="00BB650A"/>
    <w:rsid w:val="00BB6B6C"/>
    <w:rsid w:val="00BB7183"/>
    <w:rsid w:val="00BC06EF"/>
    <w:rsid w:val="00BC07CE"/>
    <w:rsid w:val="00BC0817"/>
    <w:rsid w:val="00BC09E9"/>
    <w:rsid w:val="00BC0AB4"/>
    <w:rsid w:val="00BC0C32"/>
    <w:rsid w:val="00BC0C44"/>
    <w:rsid w:val="00BC102F"/>
    <w:rsid w:val="00BC10A7"/>
    <w:rsid w:val="00BC121A"/>
    <w:rsid w:val="00BC13A2"/>
    <w:rsid w:val="00BC14C7"/>
    <w:rsid w:val="00BC1574"/>
    <w:rsid w:val="00BC1AB8"/>
    <w:rsid w:val="00BC1CE2"/>
    <w:rsid w:val="00BC2208"/>
    <w:rsid w:val="00BC2294"/>
    <w:rsid w:val="00BC2455"/>
    <w:rsid w:val="00BC293D"/>
    <w:rsid w:val="00BC2A42"/>
    <w:rsid w:val="00BC2CE8"/>
    <w:rsid w:val="00BC2DE2"/>
    <w:rsid w:val="00BC2DF1"/>
    <w:rsid w:val="00BC3021"/>
    <w:rsid w:val="00BC3045"/>
    <w:rsid w:val="00BC3314"/>
    <w:rsid w:val="00BC36A7"/>
    <w:rsid w:val="00BC3E80"/>
    <w:rsid w:val="00BC41CE"/>
    <w:rsid w:val="00BC41DF"/>
    <w:rsid w:val="00BC4F24"/>
    <w:rsid w:val="00BC4F8A"/>
    <w:rsid w:val="00BC550A"/>
    <w:rsid w:val="00BC5759"/>
    <w:rsid w:val="00BC5E79"/>
    <w:rsid w:val="00BC63FC"/>
    <w:rsid w:val="00BC693E"/>
    <w:rsid w:val="00BC6956"/>
    <w:rsid w:val="00BC6DC8"/>
    <w:rsid w:val="00BC753C"/>
    <w:rsid w:val="00BC7D0C"/>
    <w:rsid w:val="00BD010A"/>
    <w:rsid w:val="00BD0A70"/>
    <w:rsid w:val="00BD0BB4"/>
    <w:rsid w:val="00BD0CEE"/>
    <w:rsid w:val="00BD11CE"/>
    <w:rsid w:val="00BD1279"/>
    <w:rsid w:val="00BD12C6"/>
    <w:rsid w:val="00BD12FD"/>
    <w:rsid w:val="00BD1723"/>
    <w:rsid w:val="00BD1748"/>
    <w:rsid w:val="00BD17D7"/>
    <w:rsid w:val="00BD1E9B"/>
    <w:rsid w:val="00BD1FB9"/>
    <w:rsid w:val="00BD2272"/>
    <w:rsid w:val="00BD28A7"/>
    <w:rsid w:val="00BD2B3B"/>
    <w:rsid w:val="00BD2C4D"/>
    <w:rsid w:val="00BD2C74"/>
    <w:rsid w:val="00BD2DA9"/>
    <w:rsid w:val="00BD2F49"/>
    <w:rsid w:val="00BD30DE"/>
    <w:rsid w:val="00BD311D"/>
    <w:rsid w:val="00BD3AB2"/>
    <w:rsid w:val="00BD3DBF"/>
    <w:rsid w:val="00BD3F23"/>
    <w:rsid w:val="00BD43AA"/>
    <w:rsid w:val="00BD452F"/>
    <w:rsid w:val="00BD4750"/>
    <w:rsid w:val="00BD48F3"/>
    <w:rsid w:val="00BD4CCF"/>
    <w:rsid w:val="00BD4F65"/>
    <w:rsid w:val="00BD5091"/>
    <w:rsid w:val="00BD5115"/>
    <w:rsid w:val="00BD53EB"/>
    <w:rsid w:val="00BD5754"/>
    <w:rsid w:val="00BD6715"/>
    <w:rsid w:val="00BD775A"/>
    <w:rsid w:val="00BD7F59"/>
    <w:rsid w:val="00BE02AB"/>
    <w:rsid w:val="00BE0369"/>
    <w:rsid w:val="00BE11CD"/>
    <w:rsid w:val="00BE1277"/>
    <w:rsid w:val="00BE1553"/>
    <w:rsid w:val="00BE17C3"/>
    <w:rsid w:val="00BE1B46"/>
    <w:rsid w:val="00BE1B63"/>
    <w:rsid w:val="00BE2208"/>
    <w:rsid w:val="00BE2454"/>
    <w:rsid w:val="00BE27B2"/>
    <w:rsid w:val="00BE29DF"/>
    <w:rsid w:val="00BE2BDA"/>
    <w:rsid w:val="00BE2C32"/>
    <w:rsid w:val="00BE3F9A"/>
    <w:rsid w:val="00BE4618"/>
    <w:rsid w:val="00BE4870"/>
    <w:rsid w:val="00BE4A80"/>
    <w:rsid w:val="00BE4C29"/>
    <w:rsid w:val="00BE5051"/>
    <w:rsid w:val="00BE50C6"/>
    <w:rsid w:val="00BE53C5"/>
    <w:rsid w:val="00BE54C7"/>
    <w:rsid w:val="00BE5F7D"/>
    <w:rsid w:val="00BE5FAF"/>
    <w:rsid w:val="00BE6321"/>
    <w:rsid w:val="00BE64B2"/>
    <w:rsid w:val="00BE64D2"/>
    <w:rsid w:val="00BE6669"/>
    <w:rsid w:val="00BE6700"/>
    <w:rsid w:val="00BE68EF"/>
    <w:rsid w:val="00BE6E7E"/>
    <w:rsid w:val="00BE70B3"/>
    <w:rsid w:val="00BE731E"/>
    <w:rsid w:val="00BE741A"/>
    <w:rsid w:val="00BE7508"/>
    <w:rsid w:val="00BE753D"/>
    <w:rsid w:val="00BE75FE"/>
    <w:rsid w:val="00BE7F7E"/>
    <w:rsid w:val="00BF05BB"/>
    <w:rsid w:val="00BF0712"/>
    <w:rsid w:val="00BF0BCF"/>
    <w:rsid w:val="00BF0FD8"/>
    <w:rsid w:val="00BF1142"/>
    <w:rsid w:val="00BF114E"/>
    <w:rsid w:val="00BF1304"/>
    <w:rsid w:val="00BF1399"/>
    <w:rsid w:val="00BF15D3"/>
    <w:rsid w:val="00BF15E9"/>
    <w:rsid w:val="00BF1DAB"/>
    <w:rsid w:val="00BF1F96"/>
    <w:rsid w:val="00BF2112"/>
    <w:rsid w:val="00BF2760"/>
    <w:rsid w:val="00BF2CB1"/>
    <w:rsid w:val="00BF332A"/>
    <w:rsid w:val="00BF379D"/>
    <w:rsid w:val="00BF394D"/>
    <w:rsid w:val="00BF3D90"/>
    <w:rsid w:val="00BF4861"/>
    <w:rsid w:val="00BF4990"/>
    <w:rsid w:val="00BF4C3A"/>
    <w:rsid w:val="00BF4E9D"/>
    <w:rsid w:val="00BF504E"/>
    <w:rsid w:val="00BF507D"/>
    <w:rsid w:val="00BF534C"/>
    <w:rsid w:val="00BF58B3"/>
    <w:rsid w:val="00BF5A47"/>
    <w:rsid w:val="00BF5A90"/>
    <w:rsid w:val="00BF5B91"/>
    <w:rsid w:val="00BF601E"/>
    <w:rsid w:val="00BF6112"/>
    <w:rsid w:val="00BF6955"/>
    <w:rsid w:val="00BF6DC7"/>
    <w:rsid w:val="00BF6F0E"/>
    <w:rsid w:val="00BF70CC"/>
    <w:rsid w:val="00BF7395"/>
    <w:rsid w:val="00BF7682"/>
    <w:rsid w:val="00BF76EB"/>
    <w:rsid w:val="00C00000"/>
    <w:rsid w:val="00C002E3"/>
    <w:rsid w:val="00C0048C"/>
    <w:rsid w:val="00C008D4"/>
    <w:rsid w:val="00C00C48"/>
    <w:rsid w:val="00C00C8F"/>
    <w:rsid w:val="00C0152C"/>
    <w:rsid w:val="00C01A24"/>
    <w:rsid w:val="00C01A9D"/>
    <w:rsid w:val="00C01B2F"/>
    <w:rsid w:val="00C0219B"/>
    <w:rsid w:val="00C025A0"/>
    <w:rsid w:val="00C02728"/>
    <w:rsid w:val="00C036CB"/>
    <w:rsid w:val="00C03A51"/>
    <w:rsid w:val="00C03A72"/>
    <w:rsid w:val="00C03B12"/>
    <w:rsid w:val="00C03F21"/>
    <w:rsid w:val="00C03F6D"/>
    <w:rsid w:val="00C04004"/>
    <w:rsid w:val="00C043FC"/>
    <w:rsid w:val="00C046E8"/>
    <w:rsid w:val="00C046FF"/>
    <w:rsid w:val="00C04B02"/>
    <w:rsid w:val="00C04B7A"/>
    <w:rsid w:val="00C04BB7"/>
    <w:rsid w:val="00C04F84"/>
    <w:rsid w:val="00C04FDD"/>
    <w:rsid w:val="00C052FD"/>
    <w:rsid w:val="00C0546D"/>
    <w:rsid w:val="00C059A2"/>
    <w:rsid w:val="00C059D7"/>
    <w:rsid w:val="00C0615D"/>
    <w:rsid w:val="00C06338"/>
    <w:rsid w:val="00C064B2"/>
    <w:rsid w:val="00C066D3"/>
    <w:rsid w:val="00C06A21"/>
    <w:rsid w:val="00C06A4E"/>
    <w:rsid w:val="00C06BE6"/>
    <w:rsid w:val="00C06E33"/>
    <w:rsid w:val="00C06F07"/>
    <w:rsid w:val="00C06F7F"/>
    <w:rsid w:val="00C0705C"/>
    <w:rsid w:val="00C07074"/>
    <w:rsid w:val="00C072DE"/>
    <w:rsid w:val="00C07502"/>
    <w:rsid w:val="00C07A96"/>
    <w:rsid w:val="00C07B0B"/>
    <w:rsid w:val="00C07DE2"/>
    <w:rsid w:val="00C104E7"/>
    <w:rsid w:val="00C105DF"/>
    <w:rsid w:val="00C10601"/>
    <w:rsid w:val="00C1080D"/>
    <w:rsid w:val="00C1091B"/>
    <w:rsid w:val="00C10A20"/>
    <w:rsid w:val="00C10C72"/>
    <w:rsid w:val="00C10CD5"/>
    <w:rsid w:val="00C10DA8"/>
    <w:rsid w:val="00C110CE"/>
    <w:rsid w:val="00C11172"/>
    <w:rsid w:val="00C11314"/>
    <w:rsid w:val="00C11896"/>
    <w:rsid w:val="00C118F2"/>
    <w:rsid w:val="00C119AE"/>
    <w:rsid w:val="00C119C5"/>
    <w:rsid w:val="00C11D24"/>
    <w:rsid w:val="00C11D35"/>
    <w:rsid w:val="00C11E0A"/>
    <w:rsid w:val="00C11EE6"/>
    <w:rsid w:val="00C120A3"/>
    <w:rsid w:val="00C12554"/>
    <w:rsid w:val="00C12761"/>
    <w:rsid w:val="00C1294B"/>
    <w:rsid w:val="00C12B46"/>
    <w:rsid w:val="00C12C8B"/>
    <w:rsid w:val="00C135A0"/>
    <w:rsid w:val="00C1381B"/>
    <w:rsid w:val="00C13B1C"/>
    <w:rsid w:val="00C13F7C"/>
    <w:rsid w:val="00C14524"/>
    <w:rsid w:val="00C148CA"/>
    <w:rsid w:val="00C14A37"/>
    <w:rsid w:val="00C14B80"/>
    <w:rsid w:val="00C14D72"/>
    <w:rsid w:val="00C14E0D"/>
    <w:rsid w:val="00C14F8B"/>
    <w:rsid w:val="00C15178"/>
    <w:rsid w:val="00C1532B"/>
    <w:rsid w:val="00C153D5"/>
    <w:rsid w:val="00C1574F"/>
    <w:rsid w:val="00C15A5F"/>
    <w:rsid w:val="00C15D4A"/>
    <w:rsid w:val="00C15F1E"/>
    <w:rsid w:val="00C160BC"/>
    <w:rsid w:val="00C160FD"/>
    <w:rsid w:val="00C1658A"/>
    <w:rsid w:val="00C167E0"/>
    <w:rsid w:val="00C16904"/>
    <w:rsid w:val="00C16E13"/>
    <w:rsid w:val="00C16F0E"/>
    <w:rsid w:val="00C17212"/>
    <w:rsid w:val="00C17C8B"/>
    <w:rsid w:val="00C2033C"/>
    <w:rsid w:val="00C205FC"/>
    <w:rsid w:val="00C2061B"/>
    <w:rsid w:val="00C20711"/>
    <w:rsid w:val="00C208F3"/>
    <w:rsid w:val="00C209C8"/>
    <w:rsid w:val="00C20B2A"/>
    <w:rsid w:val="00C20CF1"/>
    <w:rsid w:val="00C20CF8"/>
    <w:rsid w:val="00C211A9"/>
    <w:rsid w:val="00C212FB"/>
    <w:rsid w:val="00C21A4F"/>
    <w:rsid w:val="00C21B49"/>
    <w:rsid w:val="00C21B9E"/>
    <w:rsid w:val="00C21DEC"/>
    <w:rsid w:val="00C21EA9"/>
    <w:rsid w:val="00C220FE"/>
    <w:rsid w:val="00C22239"/>
    <w:rsid w:val="00C2242F"/>
    <w:rsid w:val="00C22567"/>
    <w:rsid w:val="00C2268A"/>
    <w:rsid w:val="00C226A9"/>
    <w:rsid w:val="00C226DB"/>
    <w:rsid w:val="00C2271B"/>
    <w:rsid w:val="00C229D2"/>
    <w:rsid w:val="00C229D5"/>
    <w:rsid w:val="00C22A55"/>
    <w:rsid w:val="00C22E42"/>
    <w:rsid w:val="00C2326D"/>
    <w:rsid w:val="00C2338D"/>
    <w:rsid w:val="00C23746"/>
    <w:rsid w:val="00C2387E"/>
    <w:rsid w:val="00C23B9E"/>
    <w:rsid w:val="00C23DFE"/>
    <w:rsid w:val="00C241A8"/>
    <w:rsid w:val="00C2434D"/>
    <w:rsid w:val="00C24395"/>
    <w:rsid w:val="00C2443E"/>
    <w:rsid w:val="00C2471D"/>
    <w:rsid w:val="00C24737"/>
    <w:rsid w:val="00C248EB"/>
    <w:rsid w:val="00C25523"/>
    <w:rsid w:val="00C259D9"/>
    <w:rsid w:val="00C26398"/>
    <w:rsid w:val="00C2674F"/>
    <w:rsid w:val="00C26B5D"/>
    <w:rsid w:val="00C26D6B"/>
    <w:rsid w:val="00C26D75"/>
    <w:rsid w:val="00C26E3B"/>
    <w:rsid w:val="00C26F73"/>
    <w:rsid w:val="00C26F80"/>
    <w:rsid w:val="00C273F3"/>
    <w:rsid w:val="00C27445"/>
    <w:rsid w:val="00C27718"/>
    <w:rsid w:val="00C27898"/>
    <w:rsid w:val="00C27AF7"/>
    <w:rsid w:val="00C27BC8"/>
    <w:rsid w:val="00C30076"/>
    <w:rsid w:val="00C30794"/>
    <w:rsid w:val="00C30984"/>
    <w:rsid w:val="00C30996"/>
    <w:rsid w:val="00C30B42"/>
    <w:rsid w:val="00C3120D"/>
    <w:rsid w:val="00C313C7"/>
    <w:rsid w:val="00C31647"/>
    <w:rsid w:val="00C31908"/>
    <w:rsid w:val="00C32139"/>
    <w:rsid w:val="00C322BE"/>
    <w:rsid w:val="00C32450"/>
    <w:rsid w:val="00C326C5"/>
    <w:rsid w:val="00C3296E"/>
    <w:rsid w:val="00C32A00"/>
    <w:rsid w:val="00C32C62"/>
    <w:rsid w:val="00C32E80"/>
    <w:rsid w:val="00C331FA"/>
    <w:rsid w:val="00C336E8"/>
    <w:rsid w:val="00C33913"/>
    <w:rsid w:val="00C33B21"/>
    <w:rsid w:val="00C33CE8"/>
    <w:rsid w:val="00C34081"/>
    <w:rsid w:val="00C340CC"/>
    <w:rsid w:val="00C34199"/>
    <w:rsid w:val="00C34687"/>
    <w:rsid w:val="00C346FF"/>
    <w:rsid w:val="00C34804"/>
    <w:rsid w:val="00C3554C"/>
    <w:rsid w:val="00C35858"/>
    <w:rsid w:val="00C35B64"/>
    <w:rsid w:val="00C35CE0"/>
    <w:rsid w:val="00C35DAE"/>
    <w:rsid w:val="00C35FB1"/>
    <w:rsid w:val="00C361BC"/>
    <w:rsid w:val="00C36436"/>
    <w:rsid w:val="00C36747"/>
    <w:rsid w:val="00C368B5"/>
    <w:rsid w:val="00C37303"/>
    <w:rsid w:val="00C373F8"/>
    <w:rsid w:val="00C37411"/>
    <w:rsid w:val="00C37791"/>
    <w:rsid w:val="00C37AF4"/>
    <w:rsid w:val="00C37BE5"/>
    <w:rsid w:val="00C37F58"/>
    <w:rsid w:val="00C4005B"/>
    <w:rsid w:val="00C40088"/>
    <w:rsid w:val="00C401C3"/>
    <w:rsid w:val="00C40292"/>
    <w:rsid w:val="00C4029D"/>
    <w:rsid w:val="00C409B6"/>
    <w:rsid w:val="00C40B1C"/>
    <w:rsid w:val="00C40B1E"/>
    <w:rsid w:val="00C40CEB"/>
    <w:rsid w:val="00C411BE"/>
    <w:rsid w:val="00C41366"/>
    <w:rsid w:val="00C418D7"/>
    <w:rsid w:val="00C41AC3"/>
    <w:rsid w:val="00C41B19"/>
    <w:rsid w:val="00C41BC9"/>
    <w:rsid w:val="00C41C64"/>
    <w:rsid w:val="00C41D26"/>
    <w:rsid w:val="00C422E3"/>
    <w:rsid w:val="00C4234E"/>
    <w:rsid w:val="00C42485"/>
    <w:rsid w:val="00C42540"/>
    <w:rsid w:val="00C4296D"/>
    <w:rsid w:val="00C429AF"/>
    <w:rsid w:val="00C429F6"/>
    <w:rsid w:val="00C42DE2"/>
    <w:rsid w:val="00C43194"/>
    <w:rsid w:val="00C43507"/>
    <w:rsid w:val="00C4362D"/>
    <w:rsid w:val="00C43659"/>
    <w:rsid w:val="00C438A1"/>
    <w:rsid w:val="00C43E2B"/>
    <w:rsid w:val="00C43F22"/>
    <w:rsid w:val="00C4430B"/>
    <w:rsid w:val="00C448DC"/>
    <w:rsid w:val="00C4526B"/>
    <w:rsid w:val="00C456C4"/>
    <w:rsid w:val="00C45716"/>
    <w:rsid w:val="00C45B0C"/>
    <w:rsid w:val="00C45C0A"/>
    <w:rsid w:val="00C46116"/>
    <w:rsid w:val="00C46120"/>
    <w:rsid w:val="00C464A3"/>
    <w:rsid w:val="00C46641"/>
    <w:rsid w:val="00C4696C"/>
    <w:rsid w:val="00C46FDC"/>
    <w:rsid w:val="00C46FF3"/>
    <w:rsid w:val="00C4743A"/>
    <w:rsid w:val="00C4752B"/>
    <w:rsid w:val="00C47759"/>
    <w:rsid w:val="00C47961"/>
    <w:rsid w:val="00C47ACE"/>
    <w:rsid w:val="00C47D85"/>
    <w:rsid w:val="00C47D93"/>
    <w:rsid w:val="00C501A0"/>
    <w:rsid w:val="00C507DC"/>
    <w:rsid w:val="00C50A49"/>
    <w:rsid w:val="00C50B0B"/>
    <w:rsid w:val="00C50DB4"/>
    <w:rsid w:val="00C50EF5"/>
    <w:rsid w:val="00C51044"/>
    <w:rsid w:val="00C51276"/>
    <w:rsid w:val="00C51484"/>
    <w:rsid w:val="00C51572"/>
    <w:rsid w:val="00C51610"/>
    <w:rsid w:val="00C51B0B"/>
    <w:rsid w:val="00C51BC7"/>
    <w:rsid w:val="00C51F66"/>
    <w:rsid w:val="00C5218E"/>
    <w:rsid w:val="00C5225F"/>
    <w:rsid w:val="00C52492"/>
    <w:rsid w:val="00C52890"/>
    <w:rsid w:val="00C52AE9"/>
    <w:rsid w:val="00C52BBE"/>
    <w:rsid w:val="00C530E9"/>
    <w:rsid w:val="00C533D2"/>
    <w:rsid w:val="00C535D2"/>
    <w:rsid w:val="00C53853"/>
    <w:rsid w:val="00C53A53"/>
    <w:rsid w:val="00C53B7E"/>
    <w:rsid w:val="00C53FC9"/>
    <w:rsid w:val="00C543B6"/>
    <w:rsid w:val="00C543E2"/>
    <w:rsid w:val="00C5445D"/>
    <w:rsid w:val="00C545C5"/>
    <w:rsid w:val="00C54808"/>
    <w:rsid w:val="00C55018"/>
    <w:rsid w:val="00C55594"/>
    <w:rsid w:val="00C555DD"/>
    <w:rsid w:val="00C55606"/>
    <w:rsid w:val="00C55706"/>
    <w:rsid w:val="00C5595A"/>
    <w:rsid w:val="00C55963"/>
    <w:rsid w:val="00C55EE0"/>
    <w:rsid w:val="00C5699B"/>
    <w:rsid w:val="00C56A0A"/>
    <w:rsid w:val="00C56D94"/>
    <w:rsid w:val="00C5700E"/>
    <w:rsid w:val="00C5741F"/>
    <w:rsid w:val="00C57429"/>
    <w:rsid w:val="00C57457"/>
    <w:rsid w:val="00C574AE"/>
    <w:rsid w:val="00C57905"/>
    <w:rsid w:val="00C57CC1"/>
    <w:rsid w:val="00C57E38"/>
    <w:rsid w:val="00C57FCF"/>
    <w:rsid w:val="00C608CC"/>
    <w:rsid w:val="00C60B66"/>
    <w:rsid w:val="00C60C82"/>
    <w:rsid w:val="00C61335"/>
    <w:rsid w:val="00C614EE"/>
    <w:rsid w:val="00C61B2F"/>
    <w:rsid w:val="00C61D0D"/>
    <w:rsid w:val="00C61D70"/>
    <w:rsid w:val="00C61F09"/>
    <w:rsid w:val="00C61F0E"/>
    <w:rsid w:val="00C6221F"/>
    <w:rsid w:val="00C62376"/>
    <w:rsid w:val="00C626D7"/>
    <w:rsid w:val="00C62BF2"/>
    <w:rsid w:val="00C62EF7"/>
    <w:rsid w:val="00C62EFC"/>
    <w:rsid w:val="00C63842"/>
    <w:rsid w:val="00C63C0A"/>
    <w:rsid w:val="00C63C97"/>
    <w:rsid w:val="00C64051"/>
    <w:rsid w:val="00C64C7B"/>
    <w:rsid w:val="00C64DFF"/>
    <w:rsid w:val="00C64F40"/>
    <w:rsid w:val="00C651F9"/>
    <w:rsid w:val="00C65269"/>
    <w:rsid w:val="00C6540F"/>
    <w:rsid w:val="00C655C5"/>
    <w:rsid w:val="00C65A2C"/>
    <w:rsid w:val="00C65BF4"/>
    <w:rsid w:val="00C65D6F"/>
    <w:rsid w:val="00C65E8E"/>
    <w:rsid w:val="00C66053"/>
    <w:rsid w:val="00C661B9"/>
    <w:rsid w:val="00C67381"/>
    <w:rsid w:val="00C67388"/>
    <w:rsid w:val="00C673EC"/>
    <w:rsid w:val="00C67890"/>
    <w:rsid w:val="00C678C6"/>
    <w:rsid w:val="00C67A04"/>
    <w:rsid w:val="00C67A41"/>
    <w:rsid w:val="00C67E1E"/>
    <w:rsid w:val="00C67ECE"/>
    <w:rsid w:val="00C705E2"/>
    <w:rsid w:val="00C70A36"/>
    <w:rsid w:val="00C70B77"/>
    <w:rsid w:val="00C71310"/>
    <w:rsid w:val="00C71620"/>
    <w:rsid w:val="00C7166B"/>
    <w:rsid w:val="00C716E9"/>
    <w:rsid w:val="00C71EAA"/>
    <w:rsid w:val="00C71EC5"/>
    <w:rsid w:val="00C72075"/>
    <w:rsid w:val="00C723F9"/>
    <w:rsid w:val="00C727CC"/>
    <w:rsid w:val="00C72BCC"/>
    <w:rsid w:val="00C72D14"/>
    <w:rsid w:val="00C72D79"/>
    <w:rsid w:val="00C72E48"/>
    <w:rsid w:val="00C73760"/>
    <w:rsid w:val="00C73F1B"/>
    <w:rsid w:val="00C74011"/>
    <w:rsid w:val="00C74314"/>
    <w:rsid w:val="00C7444E"/>
    <w:rsid w:val="00C744A7"/>
    <w:rsid w:val="00C74603"/>
    <w:rsid w:val="00C7467F"/>
    <w:rsid w:val="00C74680"/>
    <w:rsid w:val="00C74682"/>
    <w:rsid w:val="00C74ABE"/>
    <w:rsid w:val="00C74CAB"/>
    <w:rsid w:val="00C74DD8"/>
    <w:rsid w:val="00C74FF0"/>
    <w:rsid w:val="00C7518B"/>
    <w:rsid w:val="00C7548F"/>
    <w:rsid w:val="00C758C3"/>
    <w:rsid w:val="00C76059"/>
    <w:rsid w:val="00C761BF"/>
    <w:rsid w:val="00C76245"/>
    <w:rsid w:val="00C76505"/>
    <w:rsid w:val="00C765D6"/>
    <w:rsid w:val="00C7664B"/>
    <w:rsid w:val="00C76787"/>
    <w:rsid w:val="00C76B09"/>
    <w:rsid w:val="00C76EF9"/>
    <w:rsid w:val="00C772EF"/>
    <w:rsid w:val="00C77D53"/>
    <w:rsid w:val="00C77F7A"/>
    <w:rsid w:val="00C80478"/>
    <w:rsid w:val="00C80479"/>
    <w:rsid w:val="00C80653"/>
    <w:rsid w:val="00C806E6"/>
    <w:rsid w:val="00C8075A"/>
    <w:rsid w:val="00C80837"/>
    <w:rsid w:val="00C80952"/>
    <w:rsid w:val="00C80B57"/>
    <w:rsid w:val="00C80F92"/>
    <w:rsid w:val="00C81584"/>
    <w:rsid w:val="00C8170E"/>
    <w:rsid w:val="00C81F63"/>
    <w:rsid w:val="00C8211E"/>
    <w:rsid w:val="00C824BD"/>
    <w:rsid w:val="00C82773"/>
    <w:rsid w:val="00C82A07"/>
    <w:rsid w:val="00C82A40"/>
    <w:rsid w:val="00C82B21"/>
    <w:rsid w:val="00C83015"/>
    <w:rsid w:val="00C83476"/>
    <w:rsid w:val="00C837B1"/>
    <w:rsid w:val="00C83AF4"/>
    <w:rsid w:val="00C83C1F"/>
    <w:rsid w:val="00C83D7E"/>
    <w:rsid w:val="00C8413C"/>
    <w:rsid w:val="00C84248"/>
    <w:rsid w:val="00C843D3"/>
    <w:rsid w:val="00C84438"/>
    <w:rsid w:val="00C84731"/>
    <w:rsid w:val="00C849C9"/>
    <w:rsid w:val="00C84B56"/>
    <w:rsid w:val="00C84D7D"/>
    <w:rsid w:val="00C851DC"/>
    <w:rsid w:val="00C8552C"/>
    <w:rsid w:val="00C85998"/>
    <w:rsid w:val="00C85AD8"/>
    <w:rsid w:val="00C85C25"/>
    <w:rsid w:val="00C86132"/>
    <w:rsid w:val="00C8615B"/>
    <w:rsid w:val="00C86410"/>
    <w:rsid w:val="00C86699"/>
    <w:rsid w:val="00C866AD"/>
    <w:rsid w:val="00C869DB"/>
    <w:rsid w:val="00C86B65"/>
    <w:rsid w:val="00C86C75"/>
    <w:rsid w:val="00C86F78"/>
    <w:rsid w:val="00C86FEB"/>
    <w:rsid w:val="00C870FF"/>
    <w:rsid w:val="00C8714D"/>
    <w:rsid w:val="00C878CB"/>
    <w:rsid w:val="00C902F5"/>
    <w:rsid w:val="00C903C9"/>
    <w:rsid w:val="00C90ECF"/>
    <w:rsid w:val="00C914BB"/>
    <w:rsid w:val="00C917EB"/>
    <w:rsid w:val="00C91F79"/>
    <w:rsid w:val="00C92BE3"/>
    <w:rsid w:val="00C93101"/>
    <w:rsid w:val="00C933E8"/>
    <w:rsid w:val="00C93504"/>
    <w:rsid w:val="00C93897"/>
    <w:rsid w:val="00C93A4F"/>
    <w:rsid w:val="00C93AEF"/>
    <w:rsid w:val="00C93DDA"/>
    <w:rsid w:val="00C94040"/>
    <w:rsid w:val="00C94B2A"/>
    <w:rsid w:val="00C94C3D"/>
    <w:rsid w:val="00C94DD4"/>
    <w:rsid w:val="00C94E2E"/>
    <w:rsid w:val="00C950EF"/>
    <w:rsid w:val="00C952DD"/>
    <w:rsid w:val="00C95344"/>
    <w:rsid w:val="00C956FE"/>
    <w:rsid w:val="00C95821"/>
    <w:rsid w:val="00C958E7"/>
    <w:rsid w:val="00C95A6B"/>
    <w:rsid w:val="00C95B59"/>
    <w:rsid w:val="00C95C6D"/>
    <w:rsid w:val="00C95EC5"/>
    <w:rsid w:val="00C96281"/>
    <w:rsid w:val="00C962AA"/>
    <w:rsid w:val="00C962FB"/>
    <w:rsid w:val="00C963E8"/>
    <w:rsid w:val="00C96664"/>
    <w:rsid w:val="00C96681"/>
    <w:rsid w:val="00C9677B"/>
    <w:rsid w:val="00C968A6"/>
    <w:rsid w:val="00C96F81"/>
    <w:rsid w:val="00C9713F"/>
    <w:rsid w:val="00C9715D"/>
    <w:rsid w:val="00C9717B"/>
    <w:rsid w:val="00C9731A"/>
    <w:rsid w:val="00C9744A"/>
    <w:rsid w:val="00C979E9"/>
    <w:rsid w:val="00C97BD2"/>
    <w:rsid w:val="00C97BDB"/>
    <w:rsid w:val="00CA0175"/>
    <w:rsid w:val="00CA02CD"/>
    <w:rsid w:val="00CA031E"/>
    <w:rsid w:val="00CA054D"/>
    <w:rsid w:val="00CA133F"/>
    <w:rsid w:val="00CA14FB"/>
    <w:rsid w:val="00CA181F"/>
    <w:rsid w:val="00CA1AC6"/>
    <w:rsid w:val="00CA1B6D"/>
    <w:rsid w:val="00CA2381"/>
    <w:rsid w:val="00CA2556"/>
    <w:rsid w:val="00CA3230"/>
    <w:rsid w:val="00CA3856"/>
    <w:rsid w:val="00CA3A15"/>
    <w:rsid w:val="00CA4202"/>
    <w:rsid w:val="00CA42AE"/>
    <w:rsid w:val="00CA46D5"/>
    <w:rsid w:val="00CA4954"/>
    <w:rsid w:val="00CA4C03"/>
    <w:rsid w:val="00CA4C33"/>
    <w:rsid w:val="00CA50FD"/>
    <w:rsid w:val="00CA523B"/>
    <w:rsid w:val="00CA543A"/>
    <w:rsid w:val="00CA579F"/>
    <w:rsid w:val="00CA58CD"/>
    <w:rsid w:val="00CA5B3B"/>
    <w:rsid w:val="00CA5BB8"/>
    <w:rsid w:val="00CA61EF"/>
    <w:rsid w:val="00CA6578"/>
    <w:rsid w:val="00CA6B2B"/>
    <w:rsid w:val="00CA6D0E"/>
    <w:rsid w:val="00CA733F"/>
    <w:rsid w:val="00CA73B2"/>
    <w:rsid w:val="00CA74A9"/>
    <w:rsid w:val="00CA76BE"/>
    <w:rsid w:val="00CA7807"/>
    <w:rsid w:val="00CA7AFD"/>
    <w:rsid w:val="00CA7F72"/>
    <w:rsid w:val="00CB007E"/>
    <w:rsid w:val="00CB01B1"/>
    <w:rsid w:val="00CB0263"/>
    <w:rsid w:val="00CB030B"/>
    <w:rsid w:val="00CB0C95"/>
    <w:rsid w:val="00CB10D5"/>
    <w:rsid w:val="00CB10D6"/>
    <w:rsid w:val="00CB11B4"/>
    <w:rsid w:val="00CB1285"/>
    <w:rsid w:val="00CB178B"/>
    <w:rsid w:val="00CB1A11"/>
    <w:rsid w:val="00CB20E9"/>
    <w:rsid w:val="00CB2124"/>
    <w:rsid w:val="00CB2250"/>
    <w:rsid w:val="00CB2AAE"/>
    <w:rsid w:val="00CB2B23"/>
    <w:rsid w:val="00CB2BED"/>
    <w:rsid w:val="00CB3162"/>
    <w:rsid w:val="00CB318D"/>
    <w:rsid w:val="00CB39EA"/>
    <w:rsid w:val="00CB3AD6"/>
    <w:rsid w:val="00CB3F6D"/>
    <w:rsid w:val="00CB41CF"/>
    <w:rsid w:val="00CB4383"/>
    <w:rsid w:val="00CB4440"/>
    <w:rsid w:val="00CB44DA"/>
    <w:rsid w:val="00CB44F4"/>
    <w:rsid w:val="00CB4849"/>
    <w:rsid w:val="00CB48B5"/>
    <w:rsid w:val="00CB4B64"/>
    <w:rsid w:val="00CB4C61"/>
    <w:rsid w:val="00CB55F2"/>
    <w:rsid w:val="00CB59CC"/>
    <w:rsid w:val="00CB6164"/>
    <w:rsid w:val="00CB617B"/>
    <w:rsid w:val="00CB63CF"/>
    <w:rsid w:val="00CB6453"/>
    <w:rsid w:val="00CB677D"/>
    <w:rsid w:val="00CB683C"/>
    <w:rsid w:val="00CB6BD5"/>
    <w:rsid w:val="00CB71E2"/>
    <w:rsid w:val="00CB7464"/>
    <w:rsid w:val="00CB7931"/>
    <w:rsid w:val="00CB7A6B"/>
    <w:rsid w:val="00CB7C31"/>
    <w:rsid w:val="00CB7EFE"/>
    <w:rsid w:val="00CC0230"/>
    <w:rsid w:val="00CC0504"/>
    <w:rsid w:val="00CC05CB"/>
    <w:rsid w:val="00CC0638"/>
    <w:rsid w:val="00CC06C0"/>
    <w:rsid w:val="00CC0CE2"/>
    <w:rsid w:val="00CC0D82"/>
    <w:rsid w:val="00CC0F74"/>
    <w:rsid w:val="00CC10A4"/>
    <w:rsid w:val="00CC110B"/>
    <w:rsid w:val="00CC117A"/>
    <w:rsid w:val="00CC1385"/>
    <w:rsid w:val="00CC199D"/>
    <w:rsid w:val="00CC1BA6"/>
    <w:rsid w:val="00CC1F8A"/>
    <w:rsid w:val="00CC23B4"/>
    <w:rsid w:val="00CC23C9"/>
    <w:rsid w:val="00CC25CE"/>
    <w:rsid w:val="00CC27EF"/>
    <w:rsid w:val="00CC299E"/>
    <w:rsid w:val="00CC2A57"/>
    <w:rsid w:val="00CC3467"/>
    <w:rsid w:val="00CC3755"/>
    <w:rsid w:val="00CC39D0"/>
    <w:rsid w:val="00CC39F6"/>
    <w:rsid w:val="00CC3AF8"/>
    <w:rsid w:val="00CC3C2C"/>
    <w:rsid w:val="00CC3E53"/>
    <w:rsid w:val="00CC3E93"/>
    <w:rsid w:val="00CC3F1A"/>
    <w:rsid w:val="00CC3FC5"/>
    <w:rsid w:val="00CC42BA"/>
    <w:rsid w:val="00CC4865"/>
    <w:rsid w:val="00CC4B4B"/>
    <w:rsid w:val="00CC4BDD"/>
    <w:rsid w:val="00CC4DFC"/>
    <w:rsid w:val="00CC4EC7"/>
    <w:rsid w:val="00CC569E"/>
    <w:rsid w:val="00CC68A9"/>
    <w:rsid w:val="00CC6E26"/>
    <w:rsid w:val="00CC6E9A"/>
    <w:rsid w:val="00CC73CA"/>
    <w:rsid w:val="00CC750F"/>
    <w:rsid w:val="00CD0341"/>
    <w:rsid w:val="00CD0E06"/>
    <w:rsid w:val="00CD12AB"/>
    <w:rsid w:val="00CD18F1"/>
    <w:rsid w:val="00CD1AF2"/>
    <w:rsid w:val="00CD1B5A"/>
    <w:rsid w:val="00CD2206"/>
    <w:rsid w:val="00CD2436"/>
    <w:rsid w:val="00CD247E"/>
    <w:rsid w:val="00CD2C12"/>
    <w:rsid w:val="00CD3139"/>
    <w:rsid w:val="00CD323C"/>
    <w:rsid w:val="00CD3485"/>
    <w:rsid w:val="00CD34CF"/>
    <w:rsid w:val="00CD38BC"/>
    <w:rsid w:val="00CD3B22"/>
    <w:rsid w:val="00CD3C98"/>
    <w:rsid w:val="00CD4260"/>
    <w:rsid w:val="00CD42FC"/>
    <w:rsid w:val="00CD43BA"/>
    <w:rsid w:val="00CD4447"/>
    <w:rsid w:val="00CD47CC"/>
    <w:rsid w:val="00CD4959"/>
    <w:rsid w:val="00CD4AFD"/>
    <w:rsid w:val="00CD4B6F"/>
    <w:rsid w:val="00CD4BEC"/>
    <w:rsid w:val="00CD4E95"/>
    <w:rsid w:val="00CD4F37"/>
    <w:rsid w:val="00CD4F9D"/>
    <w:rsid w:val="00CD5294"/>
    <w:rsid w:val="00CD540F"/>
    <w:rsid w:val="00CD5904"/>
    <w:rsid w:val="00CD597B"/>
    <w:rsid w:val="00CD5DFF"/>
    <w:rsid w:val="00CD5EE4"/>
    <w:rsid w:val="00CD5F55"/>
    <w:rsid w:val="00CD60F0"/>
    <w:rsid w:val="00CD61EC"/>
    <w:rsid w:val="00CD6698"/>
    <w:rsid w:val="00CD6A75"/>
    <w:rsid w:val="00CD6AB6"/>
    <w:rsid w:val="00CD6C4F"/>
    <w:rsid w:val="00CD73A8"/>
    <w:rsid w:val="00CD73C2"/>
    <w:rsid w:val="00CD753F"/>
    <w:rsid w:val="00CD7713"/>
    <w:rsid w:val="00CD788A"/>
    <w:rsid w:val="00CD7D78"/>
    <w:rsid w:val="00CD7F8F"/>
    <w:rsid w:val="00CE0387"/>
    <w:rsid w:val="00CE0395"/>
    <w:rsid w:val="00CE03D4"/>
    <w:rsid w:val="00CE052F"/>
    <w:rsid w:val="00CE06CB"/>
    <w:rsid w:val="00CE076C"/>
    <w:rsid w:val="00CE0B9A"/>
    <w:rsid w:val="00CE0ED5"/>
    <w:rsid w:val="00CE0FD9"/>
    <w:rsid w:val="00CE1236"/>
    <w:rsid w:val="00CE13DB"/>
    <w:rsid w:val="00CE1509"/>
    <w:rsid w:val="00CE185D"/>
    <w:rsid w:val="00CE1C19"/>
    <w:rsid w:val="00CE1C56"/>
    <w:rsid w:val="00CE2366"/>
    <w:rsid w:val="00CE23E3"/>
    <w:rsid w:val="00CE246C"/>
    <w:rsid w:val="00CE2978"/>
    <w:rsid w:val="00CE32B4"/>
    <w:rsid w:val="00CE3558"/>
    <w:rsid w:val="00CE367E"/>
    <w:rsid w:val="00CE3C07"/>
    <w:rsid w:val="00CE41F4"/>
    <w:rsid w:val="00CE42BC"/>
    <w:rsid w:val="00CE449F"/>
    <w:rsid w:val="00CE4741"/>
    <w:rsid w:val="00CE4882"/>
    <w:rsid w:val="00CE49E0"/>
    <w:rsid w:val="00CE4A93"/>
    <w:rsid w:val="00CE4CAE"/>
    <w:rsid w:val="00CE51A0"/>
    <w:rsid w:val="00CE51CA"/>
    <w:rsid w:val="00CE5422"/>
    <w:rsid w:val="00CE588F"/>
    <w:rsid w:val="00CE5956"/>
    <w:rsid w:val="00CE599E"/>
    <w:rsid w:val="00CE5E04"/>
    <w:rsid w:val="00CE5F13"/>
    <w:rsid w:val="00CE5FF8"/>
    <w:rsid w:val="00CE628E"/>
    <w:rsid w:val="00CE64C6"/>
    <w:rsid w:val="00CE6590"/>
    <w:rsid w:val="00CE6ACE"/>
    <w:rsid w:val="00CE6BAD"/>
    <w:rsid w:val="00CE6F73"/>
    <w:rsid w:val="00CE7724"/>
    <w:rsid w:val="00CE7779"/>
    <w:rsid w:val="00CE7B2B"/>
    <w:rsid w:val="00CF0334"/>
    <w:rsid w:val="00CF06C4"/>
    <w:rsid w:val="00CF07F2"/>
    <w:rsid w:val="00CF0C26"/>
    <w:rsid w:val="00CF0EC2"/>
    <w:rsid w:val="00CF1304"/>
    <w:rsid w:val="00CF1333"/>
    <w:rsid w:val="00CF141E"/>
    <w:rsid w:val="00CF15C9"/>
    <w:rsid w:val="00CF1B00"/>
    <w:rsid w:val="00CF1FF3"/>
    <w:rsid w:val="00CF22B4"/>
    <w:rsid w:val="00CF23F4"/>
    <w:rsid w:val="00CF24D2"/>
    <w:rsid w:val="00CF260D"/>
    <w:rsid w:val="00CF296B"/>
    <w:rsid w:val="00CF2D40"/>
    <w:rsid w:val="00CF2DFC"/>
    <w:rsid w:val="00CF2FD1"/>
    <w:rsid w:val="00CF3336"/>
    <w:rsid w:val="00CF3362"/>
    <w:rsid w:val="00CF386E"/>
    <w:rsid w:val="00CF3955"/>
    <w:rsid w:val="00CF3A72"/>
    <w:rsid w:val="00CF3AD8"/>
    <w:rsid w:val="00CF40FF"/>
    <w:rsid w:val="00CF4AEE"/>
    <w:rsid w:val="00CF5896"/>
    <w:rsid w:val="00CF64D1"/>
    <w:rsid w:val="00CF6535"/>
    <w:rsid w:val="00CF69C8"/>
    <w:rsid w:val="00CF69F5"/>
    <w:rsid w:val="00CF6A82"/>
    <w:rsid w:val="00CF6AD3"/>
    <w:rsid w:val="00CF706C"/>
    <w:rsid w:val="00CF707F"/>
    <w:rsid w:val="00CF70A7"/>
    <w:rsid w:val="00CF70C5"/>
    <w:rsid w:val="00CF7304"/>
    <w:rsid w:val="00CF79ED"/>
    <w:rsid w:val="00CF7B93"/>
    <w:rsid w:val="00CF7CB8"/>
    <w:rsid w:val="00D00519"/>
    <w:rsid w:val="00D00CC0"/>
    <w:rsid w:val="00D011B4"/>
    <w:rsid w:val="00D011D2"/>
    <w:rsid w:val="00D01296"/>
    <w:rsid w:val="00D013D2"/>
    <w:rsid w:val="00D01D32"/>
    <w:rsid w:val="00D01E02"/>
    <w:rsid w:val="00D01E17"/>
    <w:rsid w:val="00D01ECF"/>
    <w:rsid w:val="00D02161"/>
    <w:rsid w:val="00D021EB"/>
    <w:rsid w:val="00D02649"/>
    <w:rsid w:val="00D0269B"/>
    <w:rsid w:val="00D0288E"/>
    <w:rsid w:val="00D028CF"/>
    <w:rsid w:val="00D02CE8"/>
    <w:rsid w:val="00D03797"/>
    <w:rsid w:val="00D03C8F"/>
    <w:rsid w:val="00D03FA1"/>
    <w:rsid w:val="00D04124"/>
    <w:rsid w:val="00D04357"/>
    <w:rsid w:val="00D04898"/>
    <w:rsid w:val="00D048E8"/>
    <w:rsid w:val="00D04F03"/>
    <w:rsid w:val="00D05053"/>
    <w:rsid w:val="00D0544A"/>
    <w:rsid w:val="00D05D06"/>
    <w:rsid w:val="00D05FEB"/>
    <w:rsid w:val="00D06212"/>
    <w:rsid w:val="00D06300"/>
    <w:rsid w:val="00D0634A"/>
    <w:rsid w:val="00D063F4"/>
    <w:rsid w:val="00D064A7"/>
    <w:rsid w:val="00D066CD"/>
    <w:rsid w:val="00D06A28"/>
    <w:rsid w:val="00D06D6E"/>
    <w:rsid w:val="00D06DA0"/>
    <w:rsid w:val="00D06DB0"/>
    <w:rsid w:val="00D06FDF"/>
    <w:rsid w:val="00D070F0"/>
    <w:rsid w:val="00D072FF"/>
    <w:rsid w:val="00D076AE"/>
    <w:rsid w:val="00D07759"/>
    <w:rsid w:val="00D07CAD"/>
    <w:rsid w:val="00D07DD7"/>
    <w:rsid w:val="00D07DF9"/>
    <w:rsid w:val="00D1013C"/>
    <w:rsid w:val="00D1019B"/>
    <w:rsid w:val="00D107AA"/>
    <w:rsid w:val="00D109B9"/>
    <w:rsid w:val="00D10A5E"/>
    <w:rsid w:val="00D10CF2"/>
    <w:rsid w:val="00D10ED1"/>
    <w:rsid w:val="00D11039"/>
    <w:rsid w:val="00D1184A"/>
    <w:rsid w:val="00D11ED1"/>
    <w:rsid w:val="00D12075"/>
    <w:rsid w:val="00D1224E"/>
    <w:rsid w:val="00D1234B"/>
    <w:rsid w:val="00D12454"/>
    <w:rsid w:val="00D1267D"/>
    <w:rsid w:val="00D1271C"/>
    <w:rsid w:val="00D12774"/>
    <w:rsid w:val="00D12859"/>
    <w:rsid w:val="00D12F6A"/>
    <w:rsid w:val="00D130BA"/>
    <w:rsid w:val="00D13465"/>
    <w:rsid w:val="00D135D4"/>
    <w:rsid w:val="00D141C2"/>
    <w:rsid w:val="00D142EF"/>
    <w:rsid w:val="00D14583"/>
    <w:rsid w:val="00D14657"/>
    <w:rsid w:val="00D14A02"/>
    <w:rsid w:val="00D14C41"/>
    <w:rsid w:val="00D1527C"/>
    <w:rsid w:val="00D152E0"/>
    <w:rsid w:val="00D15587"/>
    <w:rsid w:val="00D157E8"/>
    <w:rsid w:val="00D15A27"/>
    <w:rsid w:val="00D15AFB"/>
    <w:rsid w:val="00D15C74"/>
    <w:rsid w:val="00D15CAA"/>
    <w:rsid w:val="00D15D4B"/>
    <w:rsid w:val="00D1601E"/>
    <w:rsid w:val="00D16E6D"/>
    <w:rsid w:val="00D170E0"/>
    <w:rsid w:val="00D1723D"/>
    <w:rsid w:val="00D172A8"/>
    <w:rsid w:val="00D20317"/>
    <w:rsid w:val="00D207B1"/>
    <w:rsid w:val="00D20B7D"/>
    <w:rsid w:val="00D2144C"/>
    <w:rsid w:val="00D21864"/>
    <w:rsid w:val="00D218A2"/>
    <w:rsid w:val="00D21ACC"/>
    <w:rsid w:val="00D21D08"/>
    <w:rsid w:val="00D21D65"/>
    <w:rsid w:val="00D21E4F"/>
    <w:rsid w:val="00D22AB9"/>
    <w:rsid w:val="00D22DE6"/>
    <w:rsid w:val="00D23537"/>
    <w:rsid w:val="00D235EB"/>
    <w:rsid w:val="00D23BDC"/>
    <w:rsid w:val="00D23CCE"/>
    <w:rsid w:val="00D23CF5"/>
    <w:rsid w:val="00D23D55"/>
    <w:rsid w:val="00D23D6C"/>
    <w:rsid w:val="00D24074"/>
    <w:rsid w:val="00D241ED"/>
    <w:rsid w:val="00D241F2"/>
    <w:rsid w:val="00D24223"/>
    <w:rsid w:val="00D249C9"/>
    <w:rsid w:val="00D24C1A"/>
    <w:rsid w:val="00D24CB3"/>
    <w:rsid w:val="00D24EB9"/>
    <w:rsid w:val="00D2512D"/>
    <w:rsid w:val="00D25236"/>
    <w:rsid w:val="00D2536C"/>
    <w:rsid w:val="00D25444"/>
    <w:rsid w:val="00D255D8"/>
    <w:rsid w:val="00D25760"/>
    <w:rsid w:val="00D257EB"/>
    <w:rsid w:val="00D258AD"/>
    <w:rsid w:val="00D25A17"/>
    <w:rsid w:val="00D25DB6"/>
    <w:rsid w:val="00D260B3"/>
    <w:rsid w:val="00D26244"/>
    <w:rsid w:val="00D2654F"/>
    <w:rsid w:val="00D265F1"/>
    <w:rsid w:val="00D26651"/>
    <w:rsid w:val="00D26B20"/>
    <w:rsid w:val="00D26C14"/>
    <w:rsid w:val="00D26C59"/>
    <w:rsid w:val="00D26F49"/>
    <w:rsid w:val="00D27232"/>
    <w:rsid w:val="00D272C2"/>
    <w:rsid w:val="00D27AAF"/>
    <w:rsid w:val="00D27B9C"/>
    <w:rsid w:val="00D27DDA"/>
    <w:rsid w:val="00D27E26"/>
    <w:rsid w:val="00D27F01"/>
    <w:rsid w:val="00D303AD"/>
    <w:rsid w:val="00D303E0"/>
    <w:rsid w:val="00D30431"/>
    <w:rsid w:val="00D306B7"/>
    <w:rsid w:val="00D309E6"/>
    <w:rsid w:val="00D30A46"/>
    <w:rsid w:val="00D30AC3"/>
    <w:rsid w:val="00D30B9E"/>
    <w:rsid w:val="00D30DF5"/>
    <w:rsid w:val="00D30E68"/>
    <w:rsid w:val="00D30E75"/>
    <w:rsid w:val="00D30E99"/>
    <w:rsid w:val="00D30EE9"/>
    <w:rsid w:val="00D30F7C"/>
    <w:rsid w:val="00D31131"/>
    <w:rsid w:val="00D311B3"/>
    <w:rsid w:val="00D314AD"/>
    <w:rsid w:val="00D316F0"/>
    <w:rsid w:val="00D31978"/>
    <w:rsid w:val="00D31A4B"/>
    <w:rsid w:val="00D31BA3"/>
    <w:rsid w:val="00D31F18"/>
    <w:rsid w:val="00D31F8E"/>
    <w:rsid w:val="00D325BF"/>
    <w:rsid w:val="00D32F6D"/>
    <w:rsid w:val="00D3307D"/>
    <w:rsid w:val="00D3308C"/>
    <w:rsid w:val="00D3325A"/>
    <w:rsid w:val="00D332BF"/>
    <w:rsid w:val="00D3352F"/>
    <w:rsid w:val="00D33C41"/>
    <w:rsid w:val="00D34204"/>
    <w:rsid w:val="00D3429B"/>
    <w:rsid w:val="00D345D5"/>
    <w:rsid w:val="00D34FFE"/>
    <w:rsid w:val="00D35087"/>
    <w:rsid w:val="00D352FE"/>
    <w:rsid w:val="00D3543A"/>
    <w:rsid w:val="00D356A3"/>
    <w:rsid w:val="00D3582D"/>
    <w:rsid w:val="00D35AC7"/>
    <w:rsid w:val="00D35CDE"/>
    <w:rsid w:val="00D36112"/>
    <w:rsid w:val="00D36CE6"/>
    <w:rsid w:val="00D36FB7"/>
    <w:rsid w:val="00D371B6"/>
    <w:rsid w:val="00D371C3"/>
    <w:rsid w:val="00D37324"/>
    <w:rsid w:val="00D37354"/>
    <w:rsid w:val="00D373F9"/>
    <w:rsid w:val="00D37500"/>
    <w:rsid w:val="00D3759E"/>
    <w:rsid w:val="00D376C8"/>
    <w:rsid w:val="00D377B0"/>
    <w:rsid w:val="00D37ED7"/>
    <w:rsid w:val="00D37F6E"/>
    <w:rsid w:val="00D4018B"/>
    <w:rsid w:val="00D40306"/>
    <w:rsid w:val="00D404E2"/>
    <w:rsid w:val="00D40D6E"/>
    <w:rsid w:val="00D40F61"/>
    <w:rsid w:val="00D41250"/>
    <w:rsid w:val="00D416DC"/>
    <w:rsid w:val="00D417CC"/>
    <w:rsid w:val="00D41D12"/>
    <w:rsid w:val="00D41EBC"/>
    <w:rsid w:val="00D42181"/>
    <w:rsid w:val="00D42214"/>
    <w:rsid w:val="00D4254F"/>
    <w:rsid w:val="00D425C3"/>
    <w:rsid w:val="00D42623"/>
    <w:rsid w:val="00D42709"/>
    <w:rsid w:val="00D42787"/>
    <w:rsid w:val="00D42CC5"/>
    <w:rsid w:val="00D42E99"/>
    <w:rsid w:val="00D430B4"/>
    <w:rsid w:val="00D43197"/>
    <w:rsid w:val="00D432D1"/>
    <w:rsid w:val="00D433CC"/>
    <w:rsid w:val="00D43548"/>
    <w:rsid w:val="00D4397F"/>
    <w:rsid w:val="00D43A62"/>
    <w:rsid w:val="00D43B19"/>
    <w:rsid w:val="00D43CD0"/>
    <w:rsid w:val="00D43FB3"/>
    <w:rsid w:val="00D44032"/>
    <w:rsid w:val="00D4438F"/>
    <w:rsid w:val="00D443C0"/>
    <w:rsid w:val="00D44863"/>
    <w:rsid w:val="00D44C9D"/>
    <w:rsid w:val="00D44FA0"/>
    <w:rsid w:val="00D4503B"/>
    <w:rsid w:val="00D4506F"/>
    <w:rsid w:val="00D455E5"/>
    <w:rsid w:val="00D4571D"/>
    <w:rsid w:val="00D45A5C"/>
    <w:rsid w:val="00D45D21"/>
    <w:rsid w:val="00D45EBB"/>
    <w:rsid w:val="00D45F56"/>
    <w:rsid w:val="00D46016"/>
    <w:rsid w:val="00D46A20"/>
    <w:rsid w:val="00D46A36"/>
    <w:rsid w:val="00D46AB6"/>
    <w:rsid w:val="00D46B34"/>
    <w:rsid w:val="00D46E16"/>
    <w:rsid w:val="00D46E5D"/>
    <w:rsid w:val="00D47195"/>
    <w:rsid w:val="00D4721D"/>
    <w:rsid w:val="00D478BF"/>
    <w:rsid w:val="00D47B3C"/>
    <w:rsid w:val="00D47BBD"/>
    <w:rsid w:val="00D47C6A"/>
    <w:rsid w:val="00D47E00"/>
    <w:rsid w:val="00D47E2D"/>
    <w:rsid w:val="00D50287"/>
    <w:rsid w:val="00D506B0"/>
    <w:rsid w:val="00D506E4"/>
    <w:rsid w:val="00D50B44"/>
    <w:rsid w:val="00D50BB7"/>
    <w:rsid w:val="00D50D5E"/>
    <w:rsid w:val="00D511D5"/>
    <w:rsid w:val="00D512B5"/>
    <w:rsid w:val="00D51541"/>
    <w:rsid w:val="00D5191A"/>
    <w:rsid w:val="00D51AA6"/>
    <w:rsid w:val="00D51B62"/>
    <w:rsid w:val="00D51CA6"/>
    <w:rsid w:val="00D5239B"/>
    <w:rsid w:val="00D527F9"/>
    <w:rsid w:val="00D52809"/>
    <w:rsid w:val="00D52882"/>
    <w:rsid w:val="00D5289D"/>
    <w:rsid w:val="00D528C3"/>
    <w:rsid w:val="00D52C1E"/>
    <w:rsid w:val="00D5329C"/>
    <w:rsid w:val="00D533AD"/>
    <w:rsid w:val="00D53435"/>
    <w:rsid w:val="00D53469"/>
    <w:rsid w:val="00D5347A"/>
    <w:rsid w:val="00D53A1A"/>
    <w:rsid w:val="00D53B7C"/>
    <w:rsid w:val="00D53D5F"/>
    <w:rsid w:val="00D53EA2"/>
    <w:rsid w:val="00D53FFD"/>
    <w:rsid w:val="00D54140"/>
    <w:rsid w:val="00D544E2"/>
    <w:rsid w:val="00D544E9"/>
    <w:rsid w:val="00D545E3"/>
    <w:rsid w:val="00D54780"/>
    <w:rsid w:val="00D5485E"/>
    <w:rsid w:val="00D54902"/>
    <w:rsid w:val="00D549C5"/>
    <w:rsid w:val="00D54B7D"/>
    <w:rsid w:val="00D54C92"/>
    <w:rsid w:val="00D54D27"/>
    <w:rsid w:val="00D54DA8"/>
    <w:rsid w:val="00D5538D"/>
    <w:rsid w:val="00D55649"/>
    <w:rsid w:val="00D558A7"/>
    <w:rsid w:val="00D56149"/>
    <w:rsid w:val="00D5633A"/>
    <w:rsid w:val="00D56A8C"/>
    <w:rsid w:val="00D57363"/>
    <w:rsid w:val="00D5749F"/>
    <w:rsid w:val="00D57590"/>
    <w:rsid w:val="00D57787"/>
    <w:rsid w:val="00D579F7"/>
    <w:rsid w:val="00D57A2D"/>
    <w:rsid w:val="00D57B5F"/>
    <w:rsid w:val="00D6046F"/>
    <w:rsid w:val="00D60795"/>
    <w:rsid w:val="00D60933"/>
    <w:rsid w:val="00D60F83"/>
    <w:rsid w:val="00D6129F"/>
    <w:rsid w:val="00D6136A"/>
    <w:rsid w:val="00D61EE5"/>
    <w:rsid w:val="00D62604"/>
    <w:rsid w:val="00D62A89"/>
    <w:rsid w:val="00D62CC5"/>
    <w:rsid w:val="00D63109"/>
    <w:rsid w:val="00D631E2"/>
    <w:rsid w:val="00D63233"/>
    <w:rsid w:val="00D639E9"/>
    <w:rsid w:val="00D63CDD"/>
    <w:rsid w:val="00D645DB"/>
    <w:rsid w:val="00D645E1"/>
    <w:rsid w:val="00D64BB6"/>
    <w:rsid w:val="00D6582C"/>
    <w:rsid w:val="00D658FF"/>
    <w:rsid w:val="00D65D0A"/>
    <w:rsid w:val="00D65E95"/>
    <w:rsid w:val="00D65EF8"/>
    <w:rsid w:val="00D6630E"/>
    <w:rsid w:val="00D66E36"/>
    <w:rsid w:val="00D66FB3"/>
    <w:rsid w:val="00D67132"/>
    <w:rsid w:val="00D67398"/>
    <w:rsid w:val="00D6753B"/>
    <w:rsid w:val="00D67550"/>
    <w:rsid w:val="00D677DF"/>
    <w:rsid w:val="00D67CB2"/>
    <w:rsid w:val="00D7006A"/>
    <w:rsid w:val="00D702B5"/>
    <w:rsid w:val="00D70735"/>
    <w:rsid w:val="00D70ADE"/>
    <w:rsid w:val="00D70AF9"/>
    <w:rsid w:val="00D70EA3"/>
    <w:rsid w:val="00D70F31"/>
    <w:rsid w:val="00D714AA"/>
    <w:rsid w:val="00D716A1"/>
    <w:rsid w:val="00D7176B"/>
    <w:rsid w:val="00D71D70"/>
    <w:rsid w:val="00D71E47"/>
    <w:rsid w:val="00D7205E"/>
    <w:rsid w:val="00D720AC"/>
    <w:rsid w:val="00D72109"/>
    <w:rsid w:val="00D7273C"/>
    <w:rsid w:val="00D727BD"/>
    <w:rsid w:val="00D72A5A"/>
    <w:rsid w:val="00D72C5B"/>
    <w:rsid w:val="00D72CAB"/>
    <w:rsid w:val="00D731DB"/>
    <w:rsid w:val="00D73239"/>
    <w:rsid w:val="00D73475"/>
    <w:rsid w:val="00D734E6"/>
    <w:rsid w:val="00D74014"/>
    <w:rsid w:val="00D74449"/>
    <w:rsid w:val="00D754D5"/>
    <w:rsid w:val="00D756F5"/>
    <w:rsid w:val="00D7595D"/>
    <w:rsid w:val="00D75A0A"/>
    <w:rsid w:val="00D75F87"/>
    <w:rsid w:val="00D760FA"/>
    <w:rsid w:val="00D76246"/>
    <w:rsid w:val="00D766AD"/>
    <w:rsid w:val="00D76EBA"/>
    <w:rsid w:val="00D774CC"/>
    <w:rsid w:val="00D776E4"/>
    <w:rsid w:val="00D778B4"/>
    <w:rsid w:val="00D77BE2"/>
    <w:rsid w:val="00D80091"/>
    <w:rsid w:val="00D803D9"/>
    <w:rsid w:val="00D807B5"/>
    <w:rsid w:val="00D8092D"/>
    <w:rsid w:val="00D80A2F"/>
    <w:rsid w:val="00D80F04"/>
    <w:rsid w:val="00D81021"/>
    <w:rsid w:val="00D814E7"/>
    <w:rsid w:val="00D81628"/>
    <w:rsid w:val="00D81999"/>
    <w:rsid w:val="00D81BA1"/>
    <w:rsid w:val="00D82236"/>
    <w:rsid w:val="00D82419"/>
    <w:rsid w:val="00D82528"/>
    <w:rsid w:val="00D828BA"/>
    <w:rsid w:val="00D82E48"/>
    <w:rsid w:val="00D82FC2"/>
    <w:rsid w:val="00D833D9"/>
    <w:rsid w:val="00D835FB"/>
    <w:rsid w:val="00D8395A"/>
    <w:rsid w:val="00D83AD1"/>
    <w:rsid w:val="00D83FEF"/>
    <w:rsid w:val="00D84233"/>
    <w:rsid w:val="00D843B2"/>
    <w:rsid w:val="00D8491F"/>
    <w:rsid w:val="00D84C8C"/>
    <w:rsid w:val="00D85061"/>
    <w:rsid w:val="00D850CF"/>
    <w:rsid w:val="00D854A4"/>
    <w:rsid w:val="00D85527"/>
    <w:rsid w:val="00D85A7E"/>
    <w:rsid w:val="00D85B96"/>
    <w:rsid w:val="00D85BC2"/>
    <w:rsid w:val="00D85E79"/>
    <w:rsid w:val="00D86B31"/>
    <w:rsid w:val="00D876AC"/>
    <w:rsid w:val="00D87D47"/>
    <w:rsid w:val="00D901C7"/>
    <w:rsid w:val="00D902F5"/>
    <w:rsid w:val="00D90374"/>
    <w:rsid w:val="00D90441"/>
    <w:rsid w:val="00D90934"/>
    <w:rsid w:val="00D90AF3"/>
    <w:rsid w:val="00D90EC2"/>
    <w:rsid w:val="00D90EF5"/>
    <w:rsid w:val="00D911B1"/>
    <w:rsid w:val="00D91306"/>
    <w:rsid w:val="00D917EC"/>
    <w:rsid w:val="00D91A06"/>
    <w:rsid w:val="00D91A6C"/>
    <w:rsid w:val="00D91CDE"/>
    <w:rsid w:val="00D927FF"/>
    <w:rsid w:val="00D92B78"/>
    <w:rsid w:val="00D92CAA"/>
    <w:rsid w:val="00D92CC7"/>
    <w:rsid w:val="00D92DFA"/>
    <w:rsid w:val="00D92F8B"/>
    <w:rsid w:val="00D93573"/>
    <w:rsid w:val="00D93C1B"/>
    <w:rsid w:val="00D93C53"/>
    <w:rsid w:val="00D9427F"/>
    <w:rsid w:val="00D943AE"/>
    <w:rsid w:val="00D94773"/>
    <w:rsid w:val="00D94796"/>
    <w:rsid w:val="00D94938"/>
    <w:rsid w:val="00D94FD9"/>
    <w:rsid w:val="00D95333"/>
    <w:rsid w:val="00D956A4"/>
    <w:rsid w:val="00D957DB"/>
    <w:rsid w:val="00D958A8"/>
    <w:rsid w:val="00D95B8C"/>
    <w:rsid w:val="00D96228"/>
    <w:rsid w:val="00D96309"/>
    <w:rsid w:val="00D96823"/>
    <w:rsid w:val="00D96B71"/>
    <w:rsid w:val="00D96CAB"/>
    <w:rsid w:val="00D96F1F"/>
    <w:rsid w:val="00D972D2"/>
    <w:rsid w:val="00D9759E"/>
    <w:rsid w:val="00D97AEC"/>
    <w:rsid w:val="00D97D03"/>
    <w:rsid w:val="00D97DFE"/>
    <w:rsid w:val="00DA0265"/>
    <w:rsid w:val="00DA047E"/>
    <w:rsid w:val="00DA0727"/>
    <w:rsid w:val="00DA0771"/>
    <w:rsid w:val="00DA0899"/>
    <w:rsid w:val="00DA0DC5"/>
    <w:rsid w:val="00DA0E80"/>
    <w:rsid w:val="00DA105B"/>
    <w:rsid w:val="00DA11F2"/>
    <w:rsid w:val="00DA1834"/>
    <w:rsid w:val="00DA1C9B"/>
    <w:rsid w:val="00DA1D4F"/>
    <w:rsid w:val="00DA23AF"/>
    <w:rsid w:val="00DA2769"/>
    <w:rsid w:val="00DA2A71"/>
    <w:rsid w:val="00DA2BA9"/>
    <w:rsid w:val="00DA2C12"/>
    <w:rsid w:val="00DA3494"/>
    <w:rsid w:val="00DA37AB"/>
    <w:rsid w:val="00DA3AD8"/>
    <w:rsid w:val="00DA3C5D"/>
    <w:rsid w:val="00DA3C6B"/>
    <w:rsid w:val="00DA416C"/>
    <w:rsid w:val="00DA421F"/>
    <w:rsid w:val="00DA4A1B"/>
    <w:rsid w:val="00DA567E"/>
    <w:rsid w:val="00DA56D0"/>
    <w:rsid w:val="00DA582F"/>
    <w:rsid w:val="00DA59E6"/>
    <w:rsid w:val="00DA5C52"/>
    <w:rsid w:val="00DA5D3E"/>
    <w:rsid w:val="00DA5F4D"/>
    <w:rsid w:val="00DA5F59"/>
    <w:rsid w:val="00DA5FBF"/>
    <w:rsid w:val="00DA605D"/>
    <w:rsid w:val="00DA60E6"/>
    <w:rsid w:val="00DA640F"/>
    <w:rsid w:val="00DA66C3"/>
    <w:rsid w:val="00DA6732"/>
    <w:rsid w:val="00DA67E3"/>
    <w:rsid w:val="00DA6D3F"/>
    <w:rsid w:val="00DA7130"/>
    <w:rsid w:val="00DA7313"/>
    <w:rsid w:val="00DA7491"/>
    <w:rsid w:val="00DA7BFD"/>
    <w:rsid w:val="00DA7D2C"/>
    <w:rsid w:val="00DA7ED5"/>
    <w:rsid w:val="00DA7F3E"/>
    <w:rsid w:val="00DB0C27"/>
    <w:rsid w:val="00DB1147"/>
    <w:rsid w:val="00DB15AD"/>
    <w:rsid w:val="00DB1614"/>
    <w:rsid w:val="00DB16F8"/>
    <w:rsid w:val="00DB1AB4"/>
    <w:rsid w:val="00DB1CB1"/>
    <w:rsid w:val="00DB1CE7"/>
    <w:rsid w:val="00DB2137"/>
    <w:rsid w:val="00DB2A3C"/>
    <w:rsid w:val="00DB2C29"/>
    <w:rsid w:val="00DB2F73"/>
    <w:rsid w:val="00DB3062"/>
    <w:rsid w:val="00DB3251"/>
    <w:rsid w:val="00DB3262"/>
    <w:rsid w:val="00DB3649"/>
    <w:rsid w:val="00DB3710"/>
    <w:rsid w:val="00DB3A52"/>
    <w:rsid w:val="00DB3C51"/>
    <w:rsid w:val="00DB3DD1"/>
    <w:rsid w:val="00DB3EBE"/>
    <w:rsid w:val="00DB43BB"/>
    <w:rsid w:val="00DB443A"/>
    <w:rsid w:val="00DB4609"/>
    <w:rsid w:val="00DB47A9"/>
    <w:rsid w:val="00DB4CB5"/>
    <w:rsid w:val="00DB4E3F"/>
    <w:rsid w:val="00DB4E56"/>
    <w:rsid w:val="00DB50A9"/>
    <w:rsid w:val="00DB511B"/>
    <w:rsid w:val="00DB5144"/>
    <w:rsid w:val="00DB51CE"/>
    <w:rsid w:val="00DB549E"/>
    <w:rsid w:val="00DB5A42"/>
    <w:rsid w:val="00DB6B07"/>
    <w:rsid w:val="00DB6D53"/>
    <w:rsid w:val="00DB6E97"/>
    <w:rsid w:val="00DB70BA"/>
    <w:rsid w:val="00DB7339"/>
    <w:rsid w:val="00DB74BD"/>
    <w:rsid w:val="00DB7C5C"/>
    <w:rsid w:val="00DC0068"/>
    <w:rsid w:val="00DC01BE"/>
    <w:rsid w:val="00DC0738"/>
    <w:rsid w:val="00DC078B"/>
    <w:rsid w:val="00DC0AB0"/>
    <w:rsid w:val="00DC0B0B"/>
    <w:rsid w:val="00DC0F4D"/>
    <w:rsid w:val="00DC0FC8"/>
    <w:rsid w:val="00DC12D9"/>
    <w:rsid w:val="00DC13D0"/>
    <w:rsid w:val="00DC170F"/>
    <w:rsid w:val="00DC1A71"/>
    <w:rsid w:val="00DC1D22"/>
    <w:rsid w:val="00DC1E50"/>
    <w:rsid w:val="00DC231A"/>
    <w:rsid w:val="00DC29C4"/>
    <w:rsid w:val="00DC2A0B"/>
    <w:rsid w:val="00DC2B71"/>
    <w:rsid w:val="00DC2EAE"/>
    <w:rsid w:val="00DC33FA"/>
    <w:rsid w:val="00DC340E"/>
    <w:rsid w:val="00DC3562"/>
    <w:rsid w:val="00DC3625"/>
    <w:rsid w:val="00DC36BF"/>
    <w:rsid w:val="00DC382B"/>
    <w:rsid w:val="00DC3BDA"/>
    <w:rsid w:val="00DC3DF8"/>
    <w:rsid w:val="00DC3E8A"/>
    <w:rsid w:val="00DC3EF5"/>
    <w:rsid w:val="00DC41C3"/>
    <w:rsid w:val="00DC48B2"/>
    <w:rsid w:val="00DC4D8F"/>
    <w:rsid w:val="00DC5393"/>
    <w:rsid w:val="00DC55CE"/>
    <w:rsid w:val="00DC5B59"/>
    <w:rsid w:val="00DC5D07"/>
    <w:rsid w:val="00DC60B9"/>
    <w:rsid w:val="00DC68C5"/>
    <w:rsid w:val="00DC6A8E"/>
    <w:rsid w:val="00DC6B54"/>
    <w:rsid w:val="00DC704C"/>
    <w:rsid w:val="00DC7596"/>
    <w:rsid w:val="00DC78EF"/>
    <w:rsid w:val="00DC7E1C"/>
    <w:rsid w:val="00DC7ED5"/>
    <w:rsid w:val="00DD015F"/>
    <w:rsid w:val="00DD048B"/>
    <w:rsid w:val="00DD049D"/>
    <w:rsid w:val="00DD076E"/>
    <w:rsid w:val="00DD08C3"/>
    <w:rsid w:val="00DD1082"/>
    <w:rsid w:val="00DD112A"/>
    <w:rsid w:val="00DD1827"/>
    <w:rsid w:val="00DD1886"/>
    <w:rsid w:val="00DD189F"/>
    <w:rsid w:val="00DD1A93"/>
    <w:rsid w:val="00DD1B58"/>
    <w:rsid w:val="00DD1E03"/>
    <w:rsid w:val="00DD21E7"/>
    <w:rsid w:val="00DD2340"/>
    <w:rsid w:val="00DD242B"/>
    <w:rsid w:val="00DD245F"/>
    <w:rsid w:val="00DD29B2"/>
    <w:rsid w:val="00DD2A5C"/>
    <w:rsid w:val="00DD2D63"/>
    <w:rsid w:val="00DD2F6F"/>
    <w:rsid w:val="00DD300C"/>
    <w:rsid w:val="00DD30CC"/>
    <w:rsid w:val="00DD3162"/>
    <w:rsid w:val="00DD3694"/>
    <w:rsid w:val="00DD4279"/>
    <w:rsid w:val="00DD44A1"/>
    <w:rsid w:val="00DD44DE"/>
    <w:rsid w:val="00DD4547"/>
    <w:rsid w:val="00DD472C"/>
    <w:rsid w:val="00DD48EC"/>
    <w:rsid w:val="00DD54FA"/>
    <w:rsid w:val="00DD5673"/>
    <w:rsid w:val="00DD5B75"/>
    <w:rsid w:val="00DD61DF"/>
    <w:rsid w:val="00DD632A"/>
    <w:rsid w:val="00DD637D"/>
    <w:rsid w:val="00DD6389"/>
    <w:rsid w:val="00DD63CC"/>
    <w:rsid w:val="00DD678D"/>
    <w:rsid w:val="00DD6C20"/>
    <w:rsid w:val="00DD6CD4"/>
    <w:rsid w:val="00DD70D5"/>
    <w:rsid w:val="00DD7412"/>
    <w:rsid w:val="00DD743A"/>
    <w:rsid w:val="00DD7927"/>
    <w:rsid w:val="00DE0106"/>
    <w:rsid w:val="00DE02A4"/>
    <w:rsid w:val="00DE06C6"/>
    <w:rsid w:val="00DE07B3"/>
    <w:rsid w:val="00DE08B0"/>
    <w:rsid w:val="00DE0AEA"/>
    <w:rsid w:val="00DE149A"/>
    <w:rsid w:val="00DE1762"/>
    <w:rsid w:val="00DE197C"/>
    <w:rsid w:val="00DE1A48"/>
    <w:rsid w:val="00DE1F33"/>
    <w:rsid w:val="00DE216A"/>
    <w:rsid w:val="00DE2611"/>
    <w:rsid w:val="00DE279B"/>
    <w:rsid w:val="00DE27E3"/>
    <w:rsid w:val="00DE2995"/>
    <w:rsid w:val="00DE2CB8"/>
    <w:rsid w:val="00DE2E32"/>
    <w:rsid w:val="00DE3322"/>
    <w:rsid w:val="00DE33B8"/>
    <w:rsid w:val="00DE34BA"/>
    <w:rsid w:val="00DE371D"/>
    <w:rsid w:val="00DE37B6"/>
    <w:rsid w:val="00DE3BE7"/>
    <w:rsid w:val="00DE3CAA"/>
    <w:rsid w:val="00DE3CE4"/>
    <w:rsid w:val="00DE3DD2"/>
    <w:rsid w:val="00DE4025"/>
    <w:rsid w:val="00DE42BC"/>
    <w:rsid w:val="00DE43EB"/>
    <w:rsid w:val="00DE4443"/>
    <w:rsid w:val="00DE444B"/>
    <w:rsid w:val="00DE44DD"/>
    <w:rsid w:val="00DE46D3"/>
    <w:rsid w:val="00DE4732"/>
    <w:rsid w:val="00DE47D1"/>
    <w:rsid w:val="00DE4C5B"/>
    <w:rsid w:val="00DE4D81"/>
    <w:rsid w:val="00DE4E05"/>
    <w:rsid w:val="00DE4FBE"/>
    <w:rsid w:val="00DE5086"/>
    <w:rsid w:val="00DE5305"/>
    <w:rsid w:val="00DE5362"/>
    <w:rsid w:val="00DE55A8"/>
    <w:rsid w:val="00DE5C10"/>
    <w:rsid w:val="00DE5D81"/>
    <w:rsid w:val="00DE66CD"/>
    <w:rsid w:val="00DE68AD"/>
    <w:rsid w:val="00DE68C3"/>
    <w:rsid w:val="00DE6F08"/>
    <w:rsid w:val="00DE7008"/>
    <w:rsid w:val="00DE7272"/>
    <w:rsid w:val="00DE74D7"/>
    <w:rsid w:val="00DE7927"/>
    <w:rsid w:val="00DE7BAE"/>
    <w:rsid w:val="00DE7D7E"/>
    <w:rsid w:val="00DF061C"/>
    <w:rsid w:val="00DF0965"/>
    <w:rsid w:val="00DF0E4E"/>
    <w:rsid w:val="00DF136F"/>
    <w:rsid w:val="00DF1376"/>
    <w:rsid w:val="00DF152A"/>
    <w:rsid w:val="00DF17BF"/>
    <w:rsid w:val="00DF1BA2"/>
    <w:rsid w:val="00DF2255"/>
    <w:rsid w:val="00DF22C4"/>
    <w:rsid w:val="00DF23C5"/>
    <w:rsid w:val="00DF2C7F"/>
    <w:rsid w:val="00DF2D58"/>
    <w:rsid w:val="00DF2E6A"/>
    <w:rsid w:val="00DF3001"/>
    <w:rsid w:val="00DF3039"/>
    <w:rsid w:val="00DF306A"/>
    <w:rsid w:val="00DF3529"/>
    <w:rsid w:val="00DF3594"/>
    <w:rsid w:val="00DF37B3"/>
    <w:rsid w:val="00DF39B2"/>
    <w:rsid w:val="00DF3BFB"/>
    <w:rsid w:val="00DF3F73"/>
    <w:rsid w:val="00DF4281"/>
    <w:rsid w:val="00DF462F"/>
    <w:rsid w:val="00DF46CC"/>
    <w:rsid w:val="00DF48A0"/>
    <w:rsid w:val="00DF497A"/>
    <w:rsid w:val="00DF49A0"/>
    <w:rsid w:val="00DF4D6E"/>
    <w:rsid w:val="00DF5A97"/>
    <w:rsid w:val="00DF5ACB"/>
    <w:rsid w:val="00DF5C69"/>
    <w:rsid w:val="00DF5D61"/>
    <w:rsid w:val="00DF6112"/>
    <w:rsid w:val="00DF63CF"/>
    <w:rsid w:val="00DF64C7"/>
    <w:rsid w:val="00DF6606"/>
    <w:rsid w:val="00DF73BA"/>
    <w:rsid w:val="00DF7596"/>
    <w:rsid w:val="00DF7AA3"/>
    <w:rsid w:val="00DF7FE9"/>
    <w:rsid w:val="00E0027C"/>
    <w:rsid w:val="00E0033D"/>
    <w:rsid w:val="00E007A3"/>
    <w:rsid w:val="00E008C4"/>
    <w:rsid w:val="00E00DE4"/>
    <w:rsid w:val="00E00FBD"/>
    <w:rsid w:val="00E01029"/>
    <w:rsid w:val="00E015FB"/>
    <w:rsid w:val="00E016A1"/>
    <w:rsid w:val="00E0176F"/>
    <w:rsid w:val="00E0196A"/>
    <w:rsid w:val="00E01B63"/>
    <w:rsid w:val="00E01E39"/>
    <w:rsid w:val="00E01F71"/>
    <w:rsid w:val="00E02B69"/>
    <w:rsid w:val="00E02D75"/>
    <w:rsid w:val="00E02D95"/>
    <w:rsid w:val="00E02EF0"/>
    <w:rsid w:val="00E031CC"/>
    <w:rsid w:val="00E03564"/>
    <w:rsid w:val="00E038D4"/>
    <w:rsid w:val="00E03CF5"/>
    <w:rsid w:val="00E03E8E"/>
    <w:rsid w:val="00E042F2"/>
    <w:rsid w:val="00E04329"/>
    <w:rsid w:val="00E0446D"/>
    <w:rsid w:val="00E04560"/>
    <w:rsid w:val="00E0465C"/>
    <w:rsid w:val="00E04C20"/>
    <w:rsid w:val="00E04D3E"/>
    <w:rsid w:val="00E04FF9"/>
    <w:rsid w:val="00E05034"/>
    <w:rsid w:val="00E050EF"/>
    <w:rsid w:val="00E05624"/>
    <w:rsid w:val="00E05871"/>
    <w:rsid w:val="00E05990"/>
    <w:rsid w:val="00E05A90"/>
    <w:rsid w:val="00E05E7F"/>
    <w:rsid w:val="00E06302"/>
    <w:rsid w:val="00E0631C"/>
    <w:rsid w:val="00E063F0"/>
    <w:rsid w:val="00E064E3"/>
    <w:rsid w:val="00E065D9"/>
    <w:rsid w:val="00E06923"/>
    <w:rsid w:val="00E0699F"/>
    <w:rsid w:val="00E06E32"/>
    <w:rsid w:val="00E071C4"/>
    <w:rsid w:val="00E07BCA"/>
    <w:rsid w:val="00E10029"/>
    <w:rsid w:val="00E10C0E"/>
    <w:rsid w:val="00E10D5B"/>
    <w:rsid w:val="00E114DA"/>
    <w:rsid w:val="00E1151B"/>
    <w:rsid w:val="00E116BE"/>
    <w:rsid w:val="00E117CE"/>
    <w:rsid w:val="00E11B5C"/>
    <w:rsid w:val="00E11C47"/>
    <w:rsid w:val="00E11DE7"/>
    <w:rsid w:val="00E11EA2"/>
    <w:rsid w:val="00E11FA4"/>
    <w:rsid w:val="00E1216A"/>
    <w:rsid w:val="00E121CB"/>
    <w:rsid w:val="00E121D5"/>
    <w:rsid w:val="00E1229F"/>
    <w:rsid w:val="00E122A1"/>
    <w:rsid w:val="00E123AD"/>
    <w:rsid w:val="00E12648"/>
    <w:rsid w:val="00E126F6"/>
    <w:rsid w:val="00E12ADF"/>
    <w:rsid w:val="00E12CBB"/>
    <w:rsid w:val="00E12E40"/>
    <w:rsid w:val="00E13099"/>
    <w:rsid w:val="00E133B2"/>
    <w:rsid w:val="00E136E8"/>
    <w:rsid w:val="00E13B32"/>
    <w:rsid w:val="00E13D52"/>
    <w:rsid w:val="00E13D83"/>
    <w:rsid w:val="00E141F9"/>
    <w:rsid w:val="00E144CE"/>
    <w:rsid w:val="00E14B8B"/>
    <w:rsid w:val="00E14C24"/>
    <w:rsid w:val="00E1501F"/>
    <w:rsid w:val="00E1525A"/>
    <w:rsid w:val="00E15536"/>
    <w:rsid w:val="00E159A0"/>
    <w:rsid w:val="00E15DAF"/>
    <w:rsid w:val="00E15F8C"/>
    <w:rsid w:val="00E15FB8"/>
    <w:rsid w:val="00E1602C"/>
    <w:rsid w:val="00E16562"/>
    <w:rsid w:val="00E166A1"/>
    <w:rsid w:val="00E1682F"/>
    <w:rsid w:val="00E16AA5"/>
    <w:rsid w:val="00E1785B"/>
    <w:rsid w:val="00E17893"/>
    <w:rsid w:val="00E17CBE"/>
    <w:rsid w:val="00E17E1A"/>
    <w:rsid w:val="00E17EC5"/>
    <w:rsid w:val="00E2013F"/>
    <w:rsid w:val="00E20575"/>
    <w:rsid w:val="00E20AC0"/>
    <w:rsid w:val="00E20D29"/>
    <w:rsid w:val="00E20F8A"/>
    <w:rsid w:val="00E213E6"/>
    <w:rsid w:val="00E2149D"/>
    <w:rsid w:val="00E21B70"/>
    <w:rsid w:val="00E21C59"/>
    <w:rsid w:val="00E21E4C"/>
    <w:rsid w:val="00E2206A"/>
    <w:rsid w:val="00E221B8"/>
    <w:rsid w:val="00E223CA"/>
    <w:rsid w:val="00E223E0"/>
    <w:rsid w:val="00E22409"/>
    <w:rsid w:val="00E2251B"/>
    <w:rsid w:val="00E22B58"/>
    <w:rsid w:val="00E22BD8"/>
    <w:rsid w:val="00E2315B"/>
    <w:rsid w:val="00E233C5"/>
    <w:rsid w:val="00E23D96"/>
    <w:rsid w:val="00E241D7"/>
    <w:rsid w:val="00E24277"/>
    <w:rsid w:val="00E242EA"/>
    <w:rsid w:val="00E24BF6"/>
    <w:rsid w:val="00E24DE4"/>
    <w:rsid w:val="00E24E52"/>
    <w:rsid w:val="00E251EC"/>
    <w:rsid w:val="00E254C4"/>
    <w:rsid w:val="00E25CE4"/>
    <w:rsid w:val="00E25D2F"/>
    <w:rsid w:val="00E2622A"/>
    <w:rsid w:val="00E262BE"/>
    <w:rsid w:val="00E26364"/>
    <w:rsid w:val="00E264E4"/>
    <w:rsid w:val="00E266B5"/>
    <w:rsid w:val="00E266D1"/>
    <w:rsid w:val="00E26860"/>
    <w:rsid w:val="00E268CB"/>
    <w:rsid w:val="00E26938"/>
    <w:rsid w:val="00E26E3E"/>
    <w:rsid w:val="00E27135"/>
    <w:rsid w:val="00E2723D"/>
    <w:rsid w:val="00E274EE"/>
    <w:rsid w:val="00E278CB"/>
    <w:rsid w:val="00E279B0"/>
    <w:rsid w:val="00E27A5B"/>
    <w:rsid w:val="00E27B44"/>
    <w:rsid w:val="00E300A0"/>
    <w:rsid w:val="00E301F2"/>
    <w:rsid w:val="00E30237"/>
    <w:rsid w:val="00E30265"/>
    <w:rsid w:val="00E302A5"/>
    <w:rsid w:val="00E303FD"/>
    <w:rsid w:val="00E3054B"/>
    <w:rsid w:val="00E307C0"/>
    <w:rsid w:val="00E30873"/>
    <w:rsid w:val="00E31011"/>
    <w:rsid w:val="00E3105A"/>
    <w:rsid w:val="00E311B1"/>
    <w:rsid w:val="00E312F1"/>
    <w:rsid w:val="00E31626"/>
    <w:rsid w:val="00E31BD1"/>
    <w:rsid w:val="00E31CCF"/>
    <w:rsid w:val="00E3217C"/>
    <w:rsid w:val="00E322A0"/>
    <w:rsid w:val="00E322C2"/>
    <w:rsid w:val="00E3279A"/>
    <w:rsid w:val="00E32C9A"/>
    <w:rsid w:val="00E32F97"/>
    <w:rsid w:val="00E32F9D"/>
    <w:rsid w:val="00E33137"/>
    <w:rsid w:val="00E33194"/>
    <w:rsid w:val="00E33418"/>
    <w:rsid w:val="00E338CF"/>
    <w:rsid w:val="00E33959"/>
    <w:rsid w:val="00E33976"/>
    <w:rsid w:val="00E33E17"/>
    <w:rsid w:val="00E341B2"/>
    <w:rsid w:val="00E341C7"/>
    <w:rsid w:val="00E342FB"/>
    <w:rsid w:val="00E3474D"/>
    <w:rsid w:val="00E34ABE"/>
    <w:rsid w:val="00E34E27"/>
    <w:rsid w:val="00E3520F"/>
    <w:rsid w:val="00E352CD"/>
    <w:rsid w:val="00E35862"/>
    <w:rsid w:val="00E35CE0"/>
    <w:rsid w:val="00E35CE4"/>
    <w:rsid w:val="00E35E5A"/>
    <w:rsid w:val="00E35F11"/>
    <w:rsid w:val="00E35F25"/>
    <w:rsid w:val="00E35F7E"/>
    <w:rsid w:val="00E360D4"/>
    <w:rsid w:val="00E363C9"/>
    <w:rsid w:val="00E36569"/>
    <w:rsid w:val="00E3685C"/>
    <w:rsid w:val="00E36E40"/>
    <w:rsid w:val="00E36E82"/>
    <w:rsid w:val="00E36EE8"/>
    <w:rsid w:val="00E36F32"/>
    <w:rsid w:val="00E36F33"/>
    <w:rsid w:val="00E37660"/>
    <w:rsid w:val="00E37A34"/>
    <w:rsid w:val="00E403CF"/>
    <w:rsid w:val="00E40408"/>
    <w:rsid w:val="00E4056E"/>
    <w:rsid w:val="00E407CB"/>
    <w:rsid w:val="00E4086D"/>
    <w:rsid w:val="00E40BEB"/>
    <w:rsid w:val="00E40E7E"/>
    <w:rsid w:val="00E4120E"/>
    <w:rsid w:val="00E413EE"/>
    <w:rsid w:val="00E4152A"/>
    <w:rsid w:val="00E41870"/>
    <w:rsid w:val="00E41F38"/>
    <w:rsid w:val="00E42164"/>
    <w:rsid w:val="00E423A8"/>
    <w:rsid w:val="00E425A8"/>
    <w:rsid w:val="00E42717"/>
    <w:rsid w:val="00E4282B"/>
    <w:rsid w:val="00E42903"/>
    <w:rsid w:val="00E42B45"/>
    <w:rsid w:val="00E42F30"/>
    <w:rsid w:val="00E43440"/>
    <w:rsid w:val="00E43791"/>
    <w:rsid w:val="00E43A76"/>
    <w:rsid w:val="00E43B0D"/>
    <w:rsid w:val="00E43C98"/>
    <w:rsid w:val="00E43E49"/>
    <w:rsid w:val="00E44240"/>
    <w:rsid w:val="00E44348"/>
    <w:rsid w:val="00E443F8"/>
    <w:rsid w:val="00E4454E"/>
    <w:rsid w:val="00E44C61"/>
    <w:rsid w:val="00E450A5"/>
    <w:rsid w:val="00E45548"/>
    <w:rsid w:val="00E45A2F"/>
    <w:rsid w:val="00E45A7D"/>
    <w:rsid w:val="00E45AAC"/>
    <w:rsid w:val="00E45CF0"/>
    <w:rsid w:val="00E4627C"/>
    <w:rsid w:val="00E46A18"/>
    <w:rsid w:val="00E46BFF"/>
    <w:rsid w:val="00E47342"/>
    <w:rsid w:val="00E474FA"/>
    <w:rsid w:val="00E47809"/>
    <w:rsid w:val="00E47986"/>
    <w:rsid w:val="00E47AA3"/>
    <w:rsid w:val="00E47BD3"/>
    <w:rsid w:val="00E47CD9"/>
    <w:rsid w:val="00E47E87"/>
    <w:rsid w:val="00E47F64"/>
    <w:rsid w:val="00E500F8"/>
    <w:rsid w:val="00E50602"/>
    <w:rsid w:val="00E50640"/>
    <w:rsid w:val="00E50743"/>
    <w:rsid w:val="00E50899"/>
    <w:rsid w:val="00E50C6F"/>
    <w:rsid w:val="00E50FC6"/>
    <w:rsid w:val="00E51A5C"/>
    <w:rsid w:val="00E51D61"/>
    <w:rsid w:val="00E51E73"/>
    <w:rsid w:val="00E527AE"/>
    <w:rsid w:val="00E52FF7"/>
    <w:rsid w:val="00E533CF"/>
    <w:rsid w:val="00E53710"/>
    <w:rsid w:val="00E53763"/>
    <w:rsid w:val="00E5384E"/>
    <w:rsid w:val="00E53852"/>
    <w:rsid w:val="00E53B90"/>
    <w:rsid w:val="00E540CA"/>
    <w:rsid w:val="00E540E2"/>
    <w:rsid w:val="00E5417F"/>
    <w:rsid w:val="00E546AD"/>
    <w:rsid w:val="00E54A77"/>
    <w:rsid w:val="00E54C45"/>
    <w:rsid w:val="00E54DE9"/>
    <w:rsid w:val="00E55213"/>
    <w:rsid w:val="00E55217"/>
    <w:rsid w:val="00E557D6"/>
    <w:rsid w:val="00E55996"/>
    <w:rsid w:val="00E560DE"/>
    <w:rsid w:val="00E5616B"/>
    <w:rsid w:val="00E562C3"/>
    <w:rsid w:val="00E565E9"/>
    <w:rsid w:val="00E565ED"/>
    <w:rsid w:val="00E56635"/>
    <w:rsid w:val="00E56658"/>
    <w:rsid w:val="00E567E8"/>
    <w:rsid w:val="00E56925"/>
    <w:rsid w:val="00E569E2"/>
    <w:rsid w:val="00E56AE6"/>
    <w:rsid w:val="00E570DE"/>
    <w:rsid w:val="00E575E6"/>
    <w:rsid w:val="00E57DD5"/>
    <w:rsid w:val="00E57F5B"/>
    <w:rsid w:val="00E6036C"/>
    <w:rsid w:val="00E606A0"/>
    <w:rsid w:val="00E60CC2"/>
    <w:rsid w:val="00E60D5C"/>
    <w:rsid w:val="00E60E9F"/>
    <w:rsid w:val="00E61004"/>
    <w:rsid w:val="00E6127E"/>
    <w:rsid w:val="00E61333"/>
    <w:rsid w:val="00E61727"/>
    <w:rsid w:val="00E61783"/>
    <w:rsid w:val="00E61DA7"/>
    <w:rsid w:val="00E61EC5"/>
    <w:rsid w:val="00E6201A"/>
    <w:rsid w:val="00E62199"/>
    <w:rsid w:val="00E625A4"/>
    <w:rsid w:val="00E62654"/>
    <w:rsid w:val="00E62664"/>
    <w:rsid w:val="00E629F4"/>
    <w:rsid w:val="00E62F39"/>
    <w:rsid w:val="00E63009"/>
    <w:rsid w:val="00E6304A"/>
    <w:rsid w:val="00E6315D"/>
    <w:rsid w:val="00E6331E"/>
    <w:rsid w:val="00E637D6"/>
    <w:rsid w:val="00E63F8B"/>
    <w:rsid w:val="00E6423F"/>
    <w:rsid w:val="00E64A96"/>
    <w:rsid w:val="00E64B32"/>
    <w:rsid w:val="00E64B45"/>
    <w:rsid w:val="00E64FFE"/>
    <w:rsid w:val="00E65B77"/>
    <w:rsid w:val="00E65DA1"/>
    <w:rsid w:val="00E65E35"/>
    <w:rsid w:val="00E65EB9"/>
    <w:rsid w:val="00E65EEA"/>
    <w:rsid w:val="00E65F18"/>
    <w:rsid w:val="00E66107"/>
    <w:rsid w:val="00E661D4"/>
    <w:rsid w:val="00E663EA"/>
    <w:rsid w:val="00E66880"/>
    <w:rsid w:val="00E668C1"/>
    <w:rsid w:val="00E66940"/>
    <w:rsid w:val="00E66FC4"/>
    <w:rsid w:val="00E67194"/>
    <w:rsid w:val="00E67516"/>
    <w:rsid w:val="00E67F94"/>
    <w:rsid w:val="00E7035A"/>
    <w:rsid w:val="00E7093F"/>
    <w:rsid w:val="00E70D83"/>
    <w:rsid w:val="00E70FD5"/>
    <w:rsid w:val="00E70FEB"/>
    <w:rsid w:val="00E71182"/>
    <w:rsid w:val="00E71339"/>
    <w:rsid w:val="00E71708"/>
    <w:rsid w:val="00E71985"/>
    <w:rsid w:val="00E71AE3"/>
    <w:rsid w:val="00E71FC0"/>
    <w:rsid w:val="00E722C2"/>
    <w:rsid w:val="00E722DF"/>
    <w:rsid w:val="00E72EF9"/>
    <w:rsid w:val="00E73446"/>
    <w:rsid w:val="00E73847"/>
    <w:rsid w:val="00E73849"/>
    <w:rsid w:val="00E7398F"/>
    <w:rsid w:val="00E73B84"/>
    <w:rsid w:val="00E742AF"/>
    <w:rsid w:val="00E74789"/>
    <w:rsid w:val="00E74DC2"/>
    <w:rsid w:val="00E75010"/>
    <w:rsid w:val="00E7509E"/>
    <w:rsid w:val="00E753BD"/>
    <w:rsid w:val="00E75440"/>
    <w:rsid w:val="00E754E5"/>
    <w:rsid w:val="00E75657"/>
    <w:rsid w:val="00E75B0D"/>
    <w:rsid w:val="00E75FA1"/>
    <w:rsid w:val="00E761D9"/>
    <w:rsid w:val="00E762BC"/>
    <w:rsid w:val="00E76853"/>
    <w:rsid w:val="00E769D0"/>
    <w:rsid w:val="00E76BF1"/>
    <w:rsid w:val="00E76C6E"/>
    <w:rsid w:val="00E76FD2"/>
    <w:rsid w:val="00E7731E"/>
    <w:rsid w:val="00E77467"/>
    <w:rsid w:val="00E775DE"/>
    <w:rsid w:val="00E77D23"/>
    <w:rsid w:val="00E77D39"/>
    <w:rsid w:val="00E8017D"/>
    <w:rsid w:val="00E802FC"/>
    <w:rsid w:val="00E8055F"/>
    <w:rsid w:val="00E806C5"/>
    <w:rsid w:val="00E807F0"/>
    <w:rsid w:val="00E80F33"/>
    <w:rsid w:val="00E81499"/>
    <w:rsid w:val="00E814EA"/>
    <w:rsid w:val="00E8193D"/>
    <w:rsid w:val="00E82CE8"/>
    <w:rsid w:val="00E830F9"/>
    <w:rsid w:val="00E8319D"/>
    <w:rsid w:val="00E839A0"/>
    <w:rsid w:val="00E83BD1"/>
    <w:rsid w:val="00E83C20"/>
    <w:rsid w:val="00E83DF9"/>
    <w:rsid w:val="00E840A9"/>
    <w:rsid w:val="00E84811"/>
    <w:rsid w:val="00E84EDF"/>
    <w:rsid w:val="00E857FE"/>
    <w:rsid w:val="00E85862"/>
    <w:rsid w:val="00E86537"/>
    <w:rsid w:val="00E865BC"/>
    <w:rsid w:val="00E867F3"/>
    <w:rsid w:val="00E86885"/>
    <w:rsid w:val="00E868D6"/>
    <w:rsid w:val="00E86E2F"/>
    <w:rsid w:val="00E87932"/>
    <w:rsid w:val="00E87BB5"/>
    <w:rsid w:val="00E903FE"/>
    <w:rsid w:val="00E9057A"/>
    <w:rsid w:val="00E906D8"/>
    <w:rsid w:val="00E9074F"/>
    <w:rsid w:val="00E9106E"/>
    <w:rsid w:val="00E9127D"/>
    <w:rsid w:val="00E91283"/>
    <w:rsid w:val="00E91450"/>
    <w:rsid w:val="00E915A2"/>
    <w:rsid w:val="00E918DC"/>
    <w:rsid w:val="00E91C9C"/>
    <w:rsid w:val="00E91D87"/>
    <w:rsid w:val="00E91DD7"/>
    <w:rsid w:val="00E923C0"/>
    <w:rsid w:val="00E924EF"/>
    <w:rsid w:val="00E92817"/>
    <w:rsid w:val="00E93055"/>
    <w:rsid w:val="00E93123"/>
    <w:rsid w:val="00E93643"/>
    <w:rsid w:val="00E9364E"/>
    <w:rsid w:val="00E938EB"/>
    <w:rsid w:val="00E938F9"/>
    <w:rsid w:val="00E93ACA"/>
    <w:rsid w:val="00E94432"/>
    <w:rsid w:val="00E9474A"/>
    <w:rsid w:val="00E94A7B"/>
    <w:rsid w:val="00E94B26"/>
    <w:rsid w:val="00E94F60"/>
    <w:rsid w:val="00E95091"/>
    <w:rsid w:val="00E951C7"/>
    <w:rsid w:val="00E95726"/>
    <w:rsid w:val="00E9572F"/>
    <w:rsid w:val="00E95E61"/>
    <w:rsid w:val="00E964A6"/>
    <w:rsid w:val="00E96586"/>
    <w:rsid w:val="00E967C0"/>
    <w:rsid w:val="00E969B9"/>
    <w:rsid w:val="00E96B4B"/>
    <w:rsid w:val="00E96E20"/>
    <w:rsid w:val="00E973EA"/>
    <w:rsid w:val="00E9743B"/>
    <w:rsid w:val="00E977BE"/>
    <w:rsid w:val="00E97B0E"/>
    <w:rsid w:val="00E97EE6"/>
    <w:rsid w:val="00E97FDB"/>
    <w:rsid w:val="00EA0030"/>
    <w:rsid w:val="00EA0279"/>
    <w:rsid w:val="00EA051E"/>
    <w:rsid w:val="00EA0D16"/>
    <w:rsid w:val="00EA1001"/>
    <w:rsid w:val="00EA127C"/>
    <w:rsid w:val="00EA14C9"/>
    <w:rsid w:val="00EA184E"/>
    <w:rsid w:val="00EA195E"/>
    <w:rsid w:val="00EA1972"/>
    <w:rsid w:val="00EA1F7C"/>
    <w:rsid w:val="00EA229A"/>
    <w:rsid w:val="00EA2A94"/>
    <w:rsid w:val="00EA2E77"/>
    <w:rsid w:val="00EA2EB4"/>
    <w:rsid w:val="00EA3155"/>
    <w:rsid w:val="00EA33C2"/>
    <w:rsid w:val="00EA3466"/>
    <w:rsid w:val="00EA3807"/>
    <w:rsid w:val="00EA3DAC"/>
    <w:rsid w:val="00EA3F6A"/>
    <w:rsid w:val="00EA4092"/>
    <w:rsid w:val="00EA4655"/>
    <w:rsid w:val="00EA4724"/>
    <w:rsid w:val="00EA4F54"/>
    <w:rsid w:val="00EA56C5"/>
    <w:rsid w:val="00EA572D"/>
    <w:rsid w:val="00EA5B6E"/>
    <w:rsid w:val="00EA5C66"/>
    <w:rsid w:val="00EA5CB1"/>
    <w:rsid w:val="00EA5CDB"/>
    <w:rsid w:val="00EA6177"/>
    <w:rsid w:val="00EA62F5"/>
    <w:rsid w:val="00EA666E"/>
    <w:rsid w:val="00EA6944"/>
    <w:rsid w:val="00EA6990"/>
    <w:rsid w:val="00EA6B55"/>
    <w:rsid w:val="00EA6C3B"/>
    <w:rsid w:val="00EA70D4"/>
    <w:rsid w:val="00EA7610"/>
    <w:rsid w:val="00EA7624"/>
    <w:rsid w:val="00EA775C"/>
    <w:rsid w:val="00EA78D2"/>
    <w:rsid w:val="00EA7941"/>
    <w:rsid w:val="00EA7D3E"/>
    <w:rsid w:val="00EA7EF2"/>
    <w:rsid w:val="00EB02E4"/>
    <w:rsid w:val="00EB0360"/>
    <w:rsid w:val="00EB0945"/>
    <w:rsid w:val="00EB0BA2"/>
    <w:rsid w:val="00EB0C31"/>
    <w:rsid w:val="00EB0CE9"/>
    <w:rsid w:val="00EB0EF1"/>
    <w:rsid w:val="00EB1069"/>
    <w:rsid w:val="00EB1125"/>
    <w:rsid w:val="00EB14DA"/>
    <w:rsid w:val="00EB1C50"/>
    <w:rsid w:val="00EB1C96"/>
    <w:rsid w:val="00EB20EC"/>
    <w:rsid w:val="00EB225E"/>
    <w:rsid w:val="00EB261F"/>
    <w:rsid w:val="00EB270A"/>
    <w:rsid w:val="00EB29E1"/>
    <w:rsid w:val="00EB2A08"/>
    <w:rsid w:val="00EB2ACC"/>
    <w:rsid w:val="00EB2B68"/>
    <w:rsid w:val="00EB2D5E"/>
    <w:rsid w:val="00EB2D84"/>
    <w:rsid w:val="00EB3091"/>
    <w:rsid w:val="00EB3107"/>
    <w:rsid w:val="00EB3429"/>
    <w:rsid w:val="00EB3BBF"/>
    <w:rsid w:val="00EB4181"/>
    <w:rsid w:val="00EB418D"/>
    <w:rsid w:val="00EB43D1"/>
    <w:rsid w:val="00EB488D"/>
    <w:rsid w:val="00EB4939"/>
    <w:rsid w:val="00EB493A"/>
    <w:rsid w:val="00EB54E9"/>
    <w:rsid w:val="00EB5682"/>
    <w:rsid w:val="00EB56A7"/>
    <w:rsid w:val="00EB5CE3"/>
    <w:rsid w:val="00EB5D5F"/>
    <w:rsid w:val="00EB5E19"/>
    <w:rsid w:val="00EB5E4A"/>
    <w:rsid w:val="00EB64AC"/>
    <w:rsid w:val="00EB6B8A"/>
    <w:rsid w:val="00EB7083"/>
    <w:rsid w:val="00EB79B4"/>
    <w:rsid w:val="00EB7F7E"/>
    <w:rsid w:val="00EB7FA9"/>
    <w:rsid w:val="00EC0266"/>
    <w:rsid w:val="00EC02F4"/>
    <w:rsid w:val="00EC0EBC"/>
    <w:rsid w:val="00EC1340"/>
    <w:rsid w:val="00EC1350"/>
    <w:rsid w:val="00EC1486"/>
    <w:rsid w:val="00EC160D"/>
    <w:rsid w:val="00EC16D4"/>
    <w:rsid w:val="00EC181B"/>
    <w:rsid w:val="00EC1A1C"/>
    <w:rsid w:val="00EC21D1"/>
    <w:rsid w:val="00EC23EE"/>
    <w:rsid w:val="00EC24E9"/>
    <w:rsid w:val="00EC250F"/>
    <w:rsid w:val="00EC2C42"/>
    <w:rsid w:val="00EC310B"/>
    <w:rsid w:val="00EC320E"/>
    <w:rsid w:val="00EC3357"/>
    <w:rsid w:val="00EC365E"/>
    <w:rsid w:val="00EC3940"/>
    <w:rsid w:val="00EC4279"/>
    <w:rsid w:val="00EC4C5C"/>
    <w:rsid w:val="00EC4F07"/>
    <w:rsid w:val="00EC533A"/>
    <w:rsid w:val="00EC5549"/>
    <w:rsid w:val="00EC58A9"/>
    <w:rsid w:val="00EC5957"/>
    <w:rsid w:val="00EC5AB0"/>
    <w:rsid w:val="00EC5C36"/>
    <w:rsid w:val="00EC5D43"/>
    <w:rsid w:val="00EC671E"/>
    <w:rsid w:val="00EC68A9"/>
    <w:rsid w:val="00EC6B60"/>
    <w:rsid w:val="00EC6D9C"/>
    <w:rsid w:val="00EC7425"/>
    <w:rsid w:val="00EC7588"/>
    <w:rsid w:val="00EC78EB"/>
    <w:rsid w:val="00EC7A9C"/>
    <w:rsid w:val="00EC7AAB"/>
    <w:rsid w:val="00EC7C1D"/>
    <w:rsid w:val="00EC7D39"/>
    <w:rsid w:val="00EC7D51"/>
    <w:rsid w:val="00EC7E41"/>
    <w:rsid w:val="00ED011E"/>
    <w:rsid w:val="00ED0134"/>
    <w:rsid w:val="00ED064F"/>
    <w:rsid w:val="00ED0746"/>
    <w:rsid w:val="00ED1341"/>
    <w:rsid w:val="00ED18B8"/>
    <w:rsid w:val="00ED1AFA"/>
    <w:rsid w:val="00ED1F52"/>
    <w:rsid w:val="00ED2078"/>
    <w:rsid w:val="00ED2248"/>
    <w:rsid w:val="00ED23FA"/>
    <w:rsid w:val="00ED257F"/>
    <w:rsid w:val="00ED2B59"/>
    <w:rsid w:val="00ED2C7A"/>
    <w:rsid w:val="00ED2D09"/>
    <w:rsid w:val="00ED31D8"/>
    <w:rsid w:val="00ED35B7"/>
    <w:rsid w:val="00ED3649"/>
    <w:rsid w:val="00ED389C"/>
    <w:rsid w:val="00ED38ED"/>
    <w:rsid w:val="00ED3B58"/>
    <w:rsid w:val="00ED3C5B"/>
    <w:rsid w:val="00ED41B8"/>
    <w:rsid w:val="00ED4516"/>
    <w:rsid w:val="00ED4602"/>
    <w:rsid w:val="00ED48BB"/>
    <w:rsid w:val="00ED4C88"/>
    <w:rsid w:val="00ED5057"/>
    <w:rsid w:val="00ED515B"/>
    <w:rsid w:val="00ED5229"/>
    <w:rsid w:val="00ED5621"/>
    <w:rsid w:val="00ED5B59"/>
    <w:rsid w:val="00ED5D28"/>
    <w:rsid w:val="00ED62BC"/>
    <w:rsid w:val="00ED65A8"/>
    <w:rsid w:val="00ED674F"/>
    <w:rsid w:val="00ED6890"/>
    <w:rsid w:val="00ED68C3"/>
    <w:rsid w:val="00ED6C42"/>
    <w:rsid w:val="00ED6CEA"/>
    <w:rsid w:val="00ED7312"/>
    <w:rsid w:val="00ED7459"/>
    <w:rsid w:val="00ED7936"/>
    <w:rsid w:val="00ED7B08"/>
    <w:rsid w:val="00ED7C75"/>
    <w:rsid w:val="00EE02AA"/>
    <w:rsid w:val="00EE0410"/>
    <w:rsid w:val="00EE07A5"/>
    <w:rsid w:val="00EE0826"/>
    <w:rsid w:val="00EE0B54"/>
    <w:rsid w:val="00EE0BE5"/>
    <w:rsid w:val="00EE1BB8"/>
    <w:rsid w:val="00EE212B"/>
    <w:rsid w:val="00EE225D"/>
    <w:rsid w:val="00EE237C"/>
    <w:rsid w:val="00EE2542"/>
    <w:rsid w:val="00EE27C0"/>
    <w:rsid w:val="00EE315E"/>
    <w:rsid w:val="00EE31AC"/>
    <w:rsid w:val="00EE3298"/>
    <w:rsid w:val="00EE359F"/>
    <w:rsid w:val="00EE3819"/>
    <w:rsid w:val="00EE3C04"/>
    <w:rsid w:val="00EE3E17"/>
    <w:rsid w:val="00EE3FA2"/>
    <w:rsid w:val="00EE41E3"/>
    <w:rsid w:val="00EE440C"/>
    <w:rsid w:val="00EE46D3"/>
    <w:rsid w:val="00EE4FE8"/>
    <w:rsid w:val="00EE51E4"/>
    <w:rsid w:val="00EE5C60"/>
    <w:rsid w:val="00EE5E12"/>
    <w:rsid w:val="00EE5F1E"/>
    <w:rsid w:val="00EE60A3"/>
    <w:rsid w:val="00EE62D0"/>
    <w:rsid w:val="00EE6515"/>
    <w:rsid w:val="00EE6A3F"/>
    <w:rsid w:val="00EE6F3B"/>
    <w:rsid w:val="00EE6F56"/>
    <w:rsid w:val="00EE710D"/>
    <w:rsid w:val="00EE777C"/>
    <w:rsid w:val="00EE79BE"/>
    <w:rsid w:val="00EE7C67"/>
    <w:rsid w:val="00EF00A6"/>
    <w:rsid w:val="00EF00D6"/>
    <w:rsid w:val="00EF0172"/>
    <w:rsid w:val="00EF05A2"/>
    <w:rsid w:val="00EF07B0"/>
    <w:rsid w:val="00EF09CF"/>
    <w:rsid w:val="00EF0DD1"/>
    <w:rsid w:val="00EF0FBE"/>
    <w:rsid w:val="00EF0FEA"/>
    <w:rsid w:val="00EF1525"/>
    <w:rsid w:val="00EF1978"/>
    <w:rsid w:val="00EF1BCE"/>
    <w:rsid w:val="00EF1E16"/>
    <w:rsid w:val="00EF1EC6"/>
    <w:rsid w:val="00EF1F17"/>
    <w:rsid w:val="00EF2B59"/>
    <w:rsid w:val="00EF2B80"/>
    <w:rsid w:val="00EF2BFD"/>
    <w:rsid w:val="00EF2FF4"/>
    <w:rsid w:val="00EF357A"/>
    <w:rsid w:val="00EF3E55"/>
    <w:rsid w:val="00EF4F0E"/>
    <w:rsid w:val="00EF50B3"/>
    <w:rsid w:val="00EF50CA"/>
    <w:rsid w:val="00EF51F7"/>
    <w:rsid w:val="00EF5B80"/>
    <w:rsid w:val="00EF6460"/>
    <w:rsid w:val="00EF6722"/>
    <w:rsid w:val="00EF6A0A"/>
    <w:rsid w:val="00EF6C30"/>
    <w:rsid w:val="00EF6D17"/>
    <w:rsid w:val="00EF736F"/>
    <w:rsid w:val="00EF7D7A"/>
    <w:rsid w:val="00EF7F94"/>
    <w:rsid w:val="00EF7FF5"/>
    <w:rsid w:val="00F00B9D"/>
    <w:rsid w:val="00F00D9F"/>
    <w:rsid w:val="00F01447"/>
    <w:rsid w:val="00F01598"/>
    <w:rsid w:val="00F016A8"/>
    <w:rsid w:val="00F01A64"/>
    <w:rsid w:val="00F02013"/>
    <w:rsid w:val="00F02172"/>
    <w:rsid w:val="00F026DD"/>
    <w:rsid w:val="00F02798"/>
    <w:rsid w:val="00F029E6"/>
    <w:rsid w:val="00F02BA7"/>
    <w:rsid w:val="00F02BEB"/>
    <w:rsid w:val="00F02F01"/>
    <w:rsid w:val="00F02FCE"/>
    <w:rsid w:val="00F03802"/>
    <w:rsid w:val="00F0389E"/>
    <w:rsid w:val="00F03CC7"/>
    <w:rsid w:val="00F040BA"/>
    <w:rsid w:val="00F04262"/>
    <w:rsid w:val="00F04305"/>
    <w:rsid w:val="00F043E1"/>
    <w:rsid w:val="00F04F3F"/>
    <w:rsid w:val="00F056A7"/>
    <w:rsid w:val="00F057DA"/>
    <w:rsid w:val="00F058BB"/>
    <w:rsid w:val="00F0598C"/>
    <w:rsid w:val="00F05A5B"/>
    <w:rsid w:val="00F05CA4"/>
    <w:rsid w:val="00F06022"/>
    <w:rsid w:val="00F06105"/>
    <w:rsid w:val="00F062AD"/>
    <w:rsid w:val="00F062B0"/>
    <w:rsid w:val="00F066CA"/>
    <w:rsid w:val="00F068B5"/>
    <w:rsid w:val="00F06D22"/>
    <w:rsid w:val="00F072B0"/>
    <w:rsid w:val="00F07370"/>
    <w:rsid w:val="00F07435"/>
    <w:rsid w:val="00F075DE"/>
    <w:rsid w:val="00F07940"/>
    <w:rsid w:val="00F079C8"/>
    <w:rsid w:val="00F07A4D"/>
    <w:rsid w:val="00F07DD2"/>
    <w:rsid w:val="00F07E51"/>
    <w:rsid w:val="00F10330"/>
    <w:rsid w:val="00F106A3"/>
    <w:rsid w:val="00F106EC"/>
    <w:rsid w:val="00F108A4"/>
    <w:rsid w:val="00F115EB"/>
    <w:rsid w:val="00F11973"/>
    <w:rsid w:val="00F11A73"/>
    <w:rsid w:val="00F11BE3"/>
    <w:rsid w:val="00F11D70"/>
    <w:rsid w:val="00F11EC6"/>
    <w:rsid w:val="00F12136"/>
    <w:rsid w:val="00F12187"/>
    <w:rsid w:val="00F124D1"/>
    <w:rsid w:val="00F129B5"/>
    <w:rsid w:val="00F12B6B"/>
    <w:rsid w:val="00F12D63"/>
    <w:rsid w:val="00F12F9D"/>
    <w:rsid w:val="00F130DC"/>
    <w:rsid w:val="00F134ED"/>
    <w:rsid w:val="00F1390E"/>
    <w:rsid w:val="00F13A49"/>
    <w:rsid w:val="00F13C6C"/>
    <w:rsid w:val="00F13FA8"/>
    <w:rsid w:val="00F1401F"/>
    <w:rsid w:val="00F1439B"/>
    <w:rsid w:val="00F145EC"/>
    <w:rsid w:val="00F14639"/>
    <w:rsid w:val="00F14836"/>
    <w:rsid w:val="00F149F9"/>
    <w:rsid w:val="00F14D0D"/>
    <w:rsid w:val="00F1545A"/>
    <w:rsid w:val="00F15621"/>
    <w:rsid w:val="00F15673"/>
    <w:rsid w:val="00F15AFB"/>
    <w:rsid w:val="00F15F08"/>
    <w:rsid w:val="00F165DB"/>
    <w:rsid w:val="00F167F2"/>
    <w:rsid w:val="00F1692A"/>
    <w:rsid w:val="00F16992"/>
    <w:rsid w:val="00F16BB3"/>
    <w:rsid w:val="00F16C55"/>
    <w:rsid w:val="00F1701C"/>
    <w:rsid w:val="00F17390"/>
    <w:rsid w:val="00F1776E"/>
    <w:rsid w:val="00F17794"/>
    <w:rsid w:val="00F17820"/>
    <w:rsid w:val="00F178F7"/>
    <w:rsid w:val="00F179C9"/>
    <w:rsid w:val="00F17A13"/>
    <w:rsid w:val="00F17BA6"/>
    <w:rsid w:val="00F17BD5"/>
    <w:rsid w:val="00F2023A"/>
    <w:rsid w:val="00F20434"/>
    <w:rsid w:val="00F206DD"/>
    <w:rsid w:val="00F20EA2"/>
    <w:rsid w:val="00F20F05"/>
    <w:rsid w:val="00F21374"/>
    <w:rsid w:val="00F214E9"/>
    <w:rsid w:val="00F21D12"/>
    <w:rsid w:val="00F22515"/>
    <w:rsid w:val="00F22733"/>
    <w:rsid w:val="00F227FD"/>
    <w:rsid w:val="00F22813"/>
    <w:rsid w:val="00F228D5"/>
    <w:rsid w:val="00F22C7D"/>
    <w:rsid w:val="00F234E1"/>
    <w:rsid w:val="00F2369A"/>
    <w:rsid w:val="00F238A9"/>
    <w:rsid w:val="00F23926"/>
    <w:rsid w:val="00F2397C"/>
    <w:rsid w:val="00F23C06"/>
    <w:rsid w:val="00F24052"/>
    <w:rsid w:val="00F24134"/>
    <w:rsid w:val="00F2455C"/>
    <w:rsid w:val="00F2470B"/>
    <w:rsid w:val="00F24799"/>
    <w:rsid w:val="00F24D1A"/>
    <w:rsid w:val="00F24D72"/>
    <w:rsid w:val="00F25090"/>
    <w:rsid w:val="00F251B2"/>
    <w:rsid w:val="00F2522C"/>
    <w:rsid w:val="00F253A9"/>
    <w:rsid w:val="00F25639"/>
    <w:rsid w:val="00F25780"/>
    <w:rsid w:val="00F25A3E"/>
    <w:rsid w:val="00F25EB4"/>
    <w:rsid w:val="00F25FF2"/>
    <w:rsid w:val="00F26281"/>
    <w:rsid w:val="00F262CF"/>
    <w:rsid w:val="00F267F1"/>
    <w:rsid w:val="00F26CBD"/>
    <w:rsid w:val="00F273A3"/>
    <w:rsid w:val="00F2767A"/>
    <w:rsid w:val="00F276FC"/>
    <w:rsid w:val="00F27841"/>
    <w:rsid w:val="00F278A4"/>
    <w:rsid w:val="00F27C53"/>
    <w:rsid w:val="00F30159"/>
    <w:rsid w:val="00F303BD"/>
    <w:rsid w:val="00F307BF"/>
    <w:rsid w:val="00F30BB8"/>
    <w:rsid w:val="00F31258"/>
    <w:rsid w:val="00F3182D"/>
    <w:rsid w:val="00F31A39"/>
    <w:rsid w:val="00F31DE5"/>
    <w:rsid w:val="00F31F26"/>
    <w:rsid w:val="00F325C5"/>
    <w:rsid w:val="00F329B4"/>
    <w:rsid w:val="00F329C6"/>
    <w:rsid w:val="00F32DA1"/>
    <w:rsid w:val="00F33086"/>
    <w:rsid w:val="00F33186"/>
    <w:rsid w:val="00F3331C"/>
    <w:rsid w:val="00F33597"/>
    <w:rsid w:val="00F33A08"/>
    <w:rsid w:val="00F33A42"/>
    <w:rsid w:val="00F33ECF"/>
    <w:rsid w:val="00F34172"/>
    <w:rsid w:val="00F341EC"/>
    <w:rsid w:val="00F342C0"/>
    <w:rsid w:val="00F3442A"/>
    <w:rsid w:val="00F34629"/>
    <w:rsid w:val="00F34F72"/>
    <w:rsid w:val="00F3505A"/>
    <w:rsid w:val="00F3556A"/>
    <w:rsid w:val="00F3562A"/>
    <w:rsid w:val="00F35790"/>
    <w:rsid w:val="00F35828"/>
    <w:rsid w:val="00F35947"/>
    <w:rsid w:val="00F35AAB"/>
    <w:rsid w:val="00F35EF0"/>
    <w:rsid w:val="00F3638D"/>
    <w:rsid w:val="00F36450"/>
    <w:rsid w:val="00F3650D"/>
    <w:rsid w:val="00F365B9"/>
    <w:rsid w:val="00F36867"/>
    <w:rsid w:val="00F36E43"/>
    <w:rsid w:val="00F37071"/>
    <w:rsid w:val="00F37124"/>
    <w:rsid w:val="00F37B90"/>
    <w:rsid w:val="00F37C9C"/>
    <w:rsid w:val="00F37FDE"/>
    <w:rsid w:val="00F400C1"/>
    <w:rsid w:val="00F4071E"/>
    <w:rsid w:val="00F4085B"/>
    <w:rsid w:val="00F40A7A"/>
    <w:rsid w:val="00F40ED7"/>
    <w:rsid w:val="00F4111E"/>
    <w:rsid w:val="00F411FF"/>
    <w:rsid w:val="00F4132D"/>
    <w:rsid w:val="00F4184A"/>
    <w:rsid w:val="00F41BB2"/>
    <w:rsid w:val="00F423AD"/>
    <w:rsid w:val="00F4253A"/>
    <w:rsid w:val="00F425A0"/>
    <w:rsid w:val="00F42A0D"/>
    <w:rsid w:val="00F43003"/>
    <w:rsid w:val="00F43480"/>
    <w:rsid w:val="00F435BA"/>
    <w:rsid w:val="00F435E5"/>
    <w:rsid w:val="00F43977"/>
    <w:rsid w:val="00F439B8"/>
    <w:rsid w:val="00F43F7F"/>
    <w:rsid w:val="00F443B8"/>
    <w:rsid w:val="00F44AE4"/>
    <w:rsid w:val="00F44D8A"/>
    <w:rsid w:val="00F44FBD"/>
    <w:rsid w:val="00F452CC"/>
    <w:rsid w:val="00F453E9"/>
    <w:rsid w:val="00F459E1"/>
    <w:rsid w:val="00F45A9E"/>
    <w:rsid w:val="00F45AEF"/>
    <w:rsid w:val="00F45B59"/>
    <w:rsid w:val="00F45DAD"/>
    <w:rsid w:val="00F45FF9"/>
    <w:rsid w:val="00F46150"/>
    <w:rsid w:val="00F46219"/>
    <w:rsid w:val="00F4639D"/>
    <w:rsid w:val="00F46456"/>
    <w:rsid w:val="00F46A46"/>
    <w:rsid w:val="00F46C48"/>
    <w:rsid w:val="00F47141"/>
    <w:rsid w:val="00F473A0"/>
    <w:rsid w:val="00F4748B"/>
    <w:rsid w:val="00F4759C"/>
    <w:rsid w:val="00F47926"/>
    <w:rsid w:val="00F5009F"/>
    <w:rsid w:val="00F5056D"/>
    <w:rsid w:val="00F5058F"/>
    <w:rsid w:val="00F50841"/>
    <w:rsid w:val="00F50C52"/>
    <w:rsid w:val="00F50CD2"/>
    <w:rsid w:val="00F50E5F"/>
    <w:rsid w:val="00F5196C"/>
    <w:rsid w:val="00F5198D"/>
    <w:rsid w:val="00F519DA"/>
    <w:rsid w:val="00F51D03"/>
    <w:rsid w:val="00F51F00"/>
    <w:rsid w:val="00F52107"/>
    <w:rsid w:val="00F52249"/>
    <w:rsid w:val="00F5235D"/>
    <w:rsid w:val="00F5262B"/>
    <w:rsid w:val="00F527CE"/>
    <w:rsid w:val="00F53290"/>
    <w:rsid w:val="00F53883"/>
    <w:rsid w:val="00F538DC"/>
    <w:rsid w:val="00F539D5"/>
    <w:rsid w:val="00F53A80"/>
    <w:rsid w:val="00F53B28"/>
    <w:rsid w:val="00F53B3E"/>
    <w:rsid w:val="00F53DF4"/>
    <w:rsid w:val="00F53E44"/>
    <w:rsid w:val="00F53E8C"/>
    <w:rsid w:val="00F540B0"/>
    <w:rsid w:val="00F54359"/>
    <w:rsid w:val="00F54878"/>
    <w:rsid w:val="00F54EB8"/>
    <w:rsid w:val="00F55505"/>
    <w:rsid w:val="00F556A4"/>
    <w:rsid w:val="00F5590A"/>
    <w:rsid w:val="00F55B21"/>
    <w:rsid w:val="00F55C1F"/>
    <w:rsid w:val="00F55E84"/>
    <w:rsid w:val="00F560B9"/>
    <w:rsid w:val="00F560F6"/>
    <w:rsid w:val="00F5614C"/>
    <w:rsid w:val="00F561BC"/>
    <w:rsid w:val="00F56310"/>
    <w:rsid w:val="00F5696F"/>
    <w:rsid w:val="00F56F9A"/>
    <w:rsid w:val="00F56FB4"/>
    <w:rsid w:val="00F57201"/>
    <w:rsid w:val="00F57418"/>
    <w:rsid w:val="00F575AD"/>
    <w:rsid w:val="00F5788D"/>
    <w:rsid w:val="00F578DA"/>
    <w:rsid w:val="00F57B63"/>
    <w:rsid w:val="00F57D6C"/>
    <w:rsid w:val="00F60484"/>
    <w:rsid w:val="00F606D3"/>
    <w:rsid w:val="00F6072B"/>
    <w:rsid w:val="00F607B5"/>
    <w:rsid w:val="00F6081B"/>
    <w:rsid w:val="00F60DA5"/>
    <w:rsid w:val="00F60FB4"/>
    <w:rsid w:val="00F615E4"/>
    <w:rsid w:val="00F617BC"/>
    <w:rsid w:val="00F6183D"/>
    <w:rsid w:val="00F61960"/>
    <w:rsid w:val="00F61CAC"/>
    <w:rsid w:val="00F61FEA"/>
    <w:rsid w:val="00F62171"/>
    <w:rsid w:val="00F62189"/>
    <w:rsid w:val="00F621AE"/>
    <w:rsid w:val="00F62268"/>
    <w:rsid w:val="00F62314"/>
    <w:rsid w:val="00F62586"/>
    <w:rsid w:val="00F6258C"/>
    <w:rsid w:val="00F62E28"/>
    <w:rsid w:val="00F62FD8"/>
    <w:rsid w:val="00F631B8"/>
    <w:rsid w:val="00F633BA"/>
    <w:rsid w:val="00F6376B"/>
    <w:rsid w:val="00F638B0"/>
    <w:rsid w:val="00F63BC1"/>
    <w:rsid w:val="00F63D88"/>
    <w:rsid w:val="00F6404E"/>
    <w:rsid w:val="00F640AD"/>
    <w:rsid w:val="00F64576"/>
    <w:rsid w:val="00F64952"/>
    <w:rsid w:val="00F64CFA"/>
    <w:rsid w:val="00F64DBB"/>
    <w:rsid w:val="00F64ED1"/>
    <w:rsid w:val="00F652F7"/>
    <w:rsid w:val="00F655B7"/>
    <w:rsid w:val="00F656D1"/>
    <w:rsid w:val="00F656F3"/>
    <w:rsid w:val="00F657C1"/>
    <w:rsid w:val="00F657DE"/>
    <w:rsid w:val="00F65B20"/>
    <w:rsid w:val="00F65D4B"/>
    <w:rsid w:val="00F65DBD"/>
    <w:rsid w:val="00F660A8"/>
    <w:rsid w:val="00F6652A"/>
    <w:rsid w:val="00F669CB"/>
    <w:rsid w:val="00F66C34"/>
    <w:rsid w:val="00F66F20"/>
    <w:rsid w:val="00F670C7"/>
    <w:rsid w:val="00F67AC6"/>
    <w:rsid w:val="00F70091"/>
    <w:rsid w:val="00F70263"/>
    <w:rsid w:val="00F70334"/>
    <w:rsid w:val="00F704CB"/>
    <w:rsid w:val="00F71292"/>
    <w:rsid w:val="00F71EAE"/>
    <w:rsid w:val="00F72111"/>
    <w:rsid w:val="00F7219B"/>
    <w:rsid w:val="00F725FA"/>
    <w:rsid w:val="00F72704"/>
    <w:rsid w:val="00F72C6E"/>
    <w:rsid w:val="00F72F74"/>
    <w:rsid w:val="00F731F5"/>
    <w:rsid w:val="00F73200"/>
    <w:rsid w:val="00F7356B"/>
    <w:rsid w:val="00F73786"/>
    <w:rsid w:val="00F7381C"/>
    <w:rsid w:val="00F73C93"/>
    <w:rsid w:val="00F74134"/>
    <w:rsid w:val="00F74237"/>
    <w:rsid w:val="00F743D8"/>
    <w:rsid w:val="00F745A7"/>
    <w:rsid w:val="00F745AA"/>
    <w:rsid w:val="00F745F9"/>
    <w:rsid w:val="00F747E3"/>
    <w:rsid w:val="00F74B50"/>
    <w:rsid w:val="00F74BB7"/>
    <w:rsid w:val="00F74C53"/>
    <w:rsid w:val="00F750AD"/>
    <w:rsid w:val="00F75282"/>
    <w:rsid w:val="00F754FD"/>
    <w:rsid w:val="00F758B7"/>
    <w:rsid w:val="00F759E6"/>
    <w:rsid w:val="00F75B70"/>
    <w:rsid w:val="00F75B81"/>
    <w:rsid w:val="00F75C40"/>
    <w:rsid w:val="00F75FE5"/>
    <w:rsid w:val="00F76364"/>
    <w:rsid w:val="00F76B80"/>
    <w:rsid w:val="00F77169"/>
    <w:rsid w:val="00F77221"/>
    <w:rsid w:val="00F772F5"/>
    <w:rsid w:val="00F77878"/>
    <w:rsid w:val="00F779B2"/>
    <w:rsid w:val="00F801B5"/>
    <w:rsid w:val="00F80290"/>
    <w:rsid w:val="00F80695"/>
    <w:rsid w:val="00F806B7"/>
    <w:rsid w:val="00F80A45"/>
    <w:rsid w:val="00F811CA"/>
    <w:rsid w:val="00F813A4"/>
    <w:rsid w:val="00F814EF"/>
    <w:rsid w:val="00F816AA"/>
    <w:rsid w:val="00F81807"/>
    <w:rsid w:val="00F81A46"/>
    <w:rsid w:val="00F81C7D"/>
    <w:rsid w:val="00F81E3D"/>
    <w:rsid w:val="00F82201"/>
    <w:rsid w:val="00F82379"/>
    <w:rsid w:val="00F824D6"/>
    <w:rsid w:val="00F824F7"/>
    <w:rsid w:val="00F82D31"/>
    <w:rsid w:val="00F832CE"/>
    <w:rsid w:val="00F83414"/>
    <w:rsid w:val="00F8341F"/>
    <w:rsid w:val="00F8380A"/>
    <w:rsid w:val="00F83B59"/>
    <w:rsid w:val="00F83D01"/>
    <w:rsid w:val="00F83D04"/>
    <w:rsid w:val="00F83D52"/>
    <w:rsid w:val="00F84117"/>
    <w:rsid w:val="00F841D6"/>
    <w:rsid w:val="00F842B5"/>
    <w:rsid w:val="00F849ED"/>
    <w:rsid w:val="00F84B3E"/>
    <w:rsid w:val="00F85091"/>
    <w:rsid w:val="00F8528C"/>
    <w:rsid w:val="00F85377"/>
    <w:rsid w:val="00F85439"/>
    <w:rsid w:val="00F8575A"/>
    <w:rsid w:val="00F85AB6"/>
    <w:rsid w:val="00F862E2"/>
    <w:rsid w:val="00F863A0"/>
    <w:rsid w:val="00F865B1"/>
    <w:rsid w:val="00F86A1E"/>
    <w:rsid w:val="00F86ABA"/>
    <w:rsid w:val="00F86BB3"/>
    <w:rsid w:val="00F86DD1"/>
    <w:rsid w:val="00F86ED7"/>
    <w:rsid w:val="00F87001"/>
    <w:rsid w:val="00F8715E"/>
    <w:rsid w:val="00F8716A"/>
    <w:rsid w:val="00F872D0"/>
    <w:rsid w:val="00F87766"/>
    <w:rsid w:val="00F877B6"/>
    <w:rsid w:val="00F87DBE"/>
    <w:rsid w:val="00F90011"/>
    <w:rsid w:val="00F9001A"/>
    <w:rsid w:val="00F905CB"/>
    <w:rsid w:val="00F90753"/>
    <w:rsid w:val="00F90AA8"/>
    <w:rsid w:val="00F90BDF"/>
    <w:rsid w:val="00F90E50"/>
    <w:rsid w:val="00F91003"/>
    <w:rsid w:val="00F911F1"/>
    <w:rsid w:val="00F9127F"/>
    <w:rsid w:val="00F917AF"/>
    <w:rsid w:val="00F91E74"/>
    <w:rsid w:val="00F91ED5"/>
    <w:rsid w:val="00F92299"/>
    <w:rsid w:val="00F92717"/>
    <w:rsid w:val="00F927E2"/>
    <w:rsid w:val="00F928CE"/>
    <w:rsid w:val="00F92FCB"/>
    <w:rsid w:val="00F93127"/>
    <w:rsid w:val="00F93140"/>
    <w:rsid w:val="00F933C7"/>
    <w:rsid w:val="00F93798"/>
    <w:rsid w:val="00F939C7"/>
    <w:rsid w:val="00F93C19"/>
    <w:rsid w:val="00F93FE3"/>
    <w:rsid w:val="00F9472B"/>
    <w:rsid w:val="00F948E3"/>
    <w:rsid w:val="00F955D1"/>
    <w:rsid w:val="00F955ED"/>
    <w:rsid w:val="00F957B0"/>
    <w:rsid w:val="00F9585B"/>
    <w:rsid w:val="00F95C36"/>
    <w:rsid w:val="00F95F2A"/>
    <w:rsid w:val="00F96008"/>
    <w:rsid w:val="00F9626F"/>
    <w:rsid w:val="00F962AF"/>
    <w:rsid w:val="00F9666B"/>
    <w:rsid w:val="00F96698"/>
    <w:rsid w:val="00F96A89"/>
    <w:rsid w:val="00F96C7E"/>
    <w:rsid w:val="00F96FA9"/>
    <w:rsid w:val="00F97323"/>
    <w:rsid w:val="00F9759E"/>
    <w:rsid w:val="00F976C2"/>
    <w:rsid w:val="00F97767"/>
    <w:rsid w:val="00F97963"/>
    <w:rsid w:val="00FA02CF"/>
    <w:rsid w:val="00FA0B88"/>
    <w:rsid w:val="00FA0BB8"/>
    <w:rsid w:val="00FA0E66"/>
    <w:rsid w:val="00FA1375"/>
    <w:rsid w:val="00FA1590"/>
    <w:rsid w:val="00FA1DC8"/>
    <w:rsid w:val="00FA2173"/>
    <w:rsid w:val="00FA2932"/>
    <w:rsid w:val="00FA2A40"/>
    <w:rsid w:val="00FA2A64"/>
    <w:rsid w:val="00FA2BAB"/>
    <w:rsid w:val="00FA2D9F"/>
    <w:rsid w:val="00FA2FE2"/>
    <w:rsid w:val="00FA36DE"/>
    <w:rsid w:val="00FA3D69"/>
    <w:rsid w:val="00FA3D8D"/>
    <w:rsid w:val="00FA3DDC"/>
    <w:rsid w:val="00FA425F"/>
    <w:rsid w:val="00FA4405"/>
    <w:rsid w:val="00FA44E0"/>
    <w:rsid w:val="00FA486E"/>
    <w:rsid w:val="00FA4942"/>
    <w:rsid w:val="00FA4B94"/>
    <w:rsid w:val="00FA4BEA"/>
    <w:rsid w:val="00FA4D52"/>
    <w:rsid w:val="00FA5393"/>
    <w:rsid w:val="00FA5412"/>
    <w:rsid w:val="00FA5883"/>
    <w:rsid w:val="00FA59C8"/>
    <w:rsid w:val="00FA5AEF"/>
    <w:rsid w:val="00FA5C4D"/>
    <w:rsid w:val="00FA5DC7"/>
    <w:rsid w:val="00FA6561"/>
    <w:rsid w:val="00FA67CB"/>
    <w:rsid w:val="00FA67EA"/>
    <w:rsid w:val="00FA6881"/>
    <w:rsid w:val="00FA68F2"/>
    <w:rsid w:val="00FA6B13"/>
    <w:rsid w:val="00FA6FF0"/>
    <w:rsid w:val="00FA7038"/>
    <w:rsid w:val="00FA754E"/>
    <w:rsid w:val="00FA7841"/>
    <w:rsid w:val="00FB028B"/>
    <w:rsid w:val="00FB02AB"/>
    <w:rsid w:val="00FB02D9"/>
    <w:rsid w:val="00FB074E"/>
    <w:rsid w:val="00FB0F2A"/>
    <w:rsid w:val="00FB130F"/>
    <w:rsid w:val="00FB1499"/>
    <w:rsid w:val="00FB1518"/>
    <w:rsid w:val="00FB1B7C"/>
    <w:rsid w:val="00FB1D8E"/>
    <w:rsid w:val="00FB1E6E"/>
    <w:rsid w:val="00FB200C"/>
    <w:rsid w:val="00FB2408"/>
    <w:rsid w:val="00FB24D7"/>
    <w:rsid w:val="00FB28C1"/>
    <w:rsid w:val="00FB293E"/>
    <w:rsid w:val="00FB2D6D"/>
    <w:rsid w:val="00FB2E7D"/>
    <w:rsid w:val="00FB3107"/>
    <w:rsid w:val="00FB365A"/>
    <w:rsid w:val="00FB39C8"/>
    <w:rsid w:val="00FB3C16"/>
    <w:rsid w:val="00FB3F35"/>
    <w:rsid w:val="00FB4321"/>
    <w:rsid w:val="00FB4A0C"/>
    <w:rsid w:val="00FB4C90"/>
    <w:rsid w:val="00FB4D05"/>
    <w:rsid w:val="00FB53CD"/>
    <w:rsid w:val="00FB5638"/>
    <w:rsid w:val="00FB5893"/>
    <w:rsid w:val="00FB597B"/>
    <w:rsid w:val="00FB5BF8"/>
    <w:rsid w:val="00FB614D"/>
    <w:rsid w:val="00FB619C"/>
    <w:rsid w:val="00FB631C"/>
    <w:rsid w:val="00FB6587"/>
    <w:rsid w:val="00FB73E6"/>
    <w:rsid w:val="00FB74B2"/>
    <w:rsid w:val="00FB7830"/>
    <w:rsid w:val="00FB7844"/>
    <w:rsid w:val="00FB7910"/>
    <w:rsid w:val="00FB7AEB"/>
    <w:rsid w:val="00FB7F3B"/>
    <w:rsid w:val="00FC095C"/>
    <w:rsid w:val="00FC0CEA"/>
    <w:rsid w:val="00FC0FA7"/>
    <w:rsid w:val="00FC10E9"/>
    <w:rsid w:val="00FC116C"/>
    <w:rsid w:val="00FC12F6"/>
    <w:rsid w:val="00FC1629"/>
    <w:rsid w:val="00FC17FE"/>
    <w:rsid w:val="00FC1C90"/>
    <w:rsid w:val="00FC2211"/>
    <w:rsid w:val="00FC2217"/>
    <w:rsid w:val="00FC230D"/>
    <w:rsid w:val="00FC2414"/>
    <w:rsid w:val="00FC2587"/>
    <w:rsid w:val="00FC26D5"/>
    <w:rsid w:val="00FC2760"/>
    <w:rsid w:val="00FC2CBD"/>
    <w:rsid w:val="00FC2CE2"/>
    <w:rsid w:val="00FC2DF7"/>
    <w:rsid w:val="00FC2EFD"/>
    <w:rsid w:val="00FC2F48"/>
    <w:rsid w:val="00FC3F1A"/>
    <w:rsid w:val="00FC42C6"/>
    <w:rsid w:val="00FC4449"/>
    <w:rsid w:val="00FC4553"/>
    <w:rsid w:val="00FC4596"/>
    <w:rsid w:val="00FC4B9F"/>
    <w:rsid w:val="00FC585D"/>
    <w:rsid w:val="00FC5B69"/>
    <w:rsid w:val="00FC60CE"/>
    <w:rsid w:val="00FC66A7"/>
    <w:rsid w:val="00FC66AA"/>
    <w:rsid w:val="00FC6991"/>
    <w:rsid w:val="00FC6B9E"/>
    <w:rsid w:val="00FC6D3B"/>
    <w:rsid w:val="00FC7082"/>
    <w:rsid w:val="00FC7214"/>
    <w:rsid w:val="00FC73F9"/>
    <w:rsid w:val="00FC74BE"/>
    <w:rsid w:val="00FC77A6"/>
    <w:rsid w:val="00FC7B96"/>
    <w:rsid w:val="00FC7B97"/>
    <w:rsid w:val="00FC7DA4"/>
    <w:rsid w:val="00FD0116"/>
    <w:rsid w:val="00FD011B"/>
    <w:rsid w:val="00FD026D"/>
    <w:rsid w:val="00FD03CF"/>
    <w:rsid w:val="00FD044F"/>
    <w:rsid w:val="00FD0711"/>
    <w:rsid w:val="00FD0B31"/>
    <w:rsid w:val="00FD0DAF"/>
    <w:rsid w:val="00FD0F58"/>
    <w:rsid w:val="00FD158F"/>
    <w:rsid w:val="00FD15FD"/>
    <w:rsid w:val="00FD1E8A"/>
    <w:rsid w:val="00FD2097"/>
    <w:rsid w:val="00FD2143"/>
    <w:rsid w:val="00FD2251"/>
    <w:rsid w:val="00FD232B"/>
    <w:rsid w:val="00FD275F"/>
    <w:rsid w:val="00FD282A"/>
    <w:rsid w:val="00FD296F"/>
    <w:rsid w:val="00FD2C3C"/>
    <w:rsid w:val="00FD2F28"/>
    <w:rsid w:val="00FD3270"/>
    <w:rsid w:val="00FD34C6"/>
    <w:rsid w:val="00FD352A"/>
    <w:rsid w:val="00FD3570"/>
    <w:rsid w:val="00FD3758"/>
    <w:rsid w:val="00FD37B6"/>
    <w:rsid w:val="00FD3A1D"/>
    <w:rsid w:val="00FD3D3F"/>
    <w:rsid w:val="00FD3E84"/>
    <w:rsid w:val="00FD4013"/>
    <w:rsid w:val="00FD4077"/>
    <w:rsid w:val="00FD4154"/>
    <w:rsid w:val="00FD41AB"/>
    <w:rsid w:val="00FD454D"/>
    <w:rsid w:val="00FD4695"/>
    <w:rsid w:val="00FD4B4A"/>
    <w:rsid w:val="00FD4DBB"/>
    <w:rsid w:val="00FD4EB4"/>
    <w:rsid w:val="00FD513E"/>
    <w:rsid w:val="00FD5188"/>
    <w:rsid w:val="00FD5341"/>
    <w:rsid w:val="00FD53D8"/>
    <w:rsid w:val="00FD54A7"/>
    <w:rsid w:val="00FD54C4"/>
    <w:rsid w:val="00FD5500"/>
    <w:rsid w:val="00FD5626"/>
    <w:rsid w:val="00FD5778"/>
    <w:rsid w:val="00FD5CA3"/>
    <w:rsid w:val="00FD5F0B"/>
    <w:rsid w:val="00FD5F45"/>
    <w:rsid w:val="00FD5FB8"/>
    <w:rsid w:val="00FD6340"/>
    <w:rsid w:val="00FD63BB"/>
    <w:rsid w:val="00FD648C"/>
    <w:rsid w:val="00FD6505"/>
    <w:rsid w:val="00FD6AB1"/>
    <w:rsid w:val="00FD6C67"/>
    <w:rsid w:val="00FD6EBD"/>
    <w:rsid w:val="00FD709B"/>
    <w:rsid w:val="00FD721E"/>
    <w:rsid w:val="00FE03B4"/>
    <w:rsid w:val="00FE080A"/>
    <w:rsid w:val="00FE092F"/>
    <w:rsid w:val="00FE0B2A"/>
    <w:rsid w:val="00FE0D45"/>
    <w:rsid w:val="00FE0E72"/>
    <w:rsid w:val="00FE16DF"/>
    <w:rsid w:val="00FE19A3"/>
    <w:rsid w:val="00FE1D1B"/>
    <w:rsid w:val="00FE1D25"/>
    <w:rsid w:val="00FE1DCF"/>
    <w:rsid w:val="00FE2844"/>
    <w:rsid w:val="00FE2AB8"/>
    <w:rsid w:val="00FE2DFA"/>
    <w:rsid w:val="00FE2E5C"/>
    <w:rsid w:val="00FE2F6E"/>
    <w:rsid w:val="00FE371B"/>
    <w:rsid w:val="00FE3FDA"/>
    <w:rsid w:val="00FE46E5"/>
    <w:rsid w:val="00FE4C2B"/>
    <w:rsid w:val="00FE4C38"/>
    <w:rsid w:val="00FE4CAB"/>
    <w:rsid w:val="00FE4F77"/>
    <w:rsid w:val="00FE510F"/>
    <w:rsid w:val="00FE51D1"/>
    <w:rsid w:val="00FE54B2"/>
    <w:rsid w:val="00FE56DF"/>
    <w:rsid w:val="00FE5A31"/>
    <w:rsid w:val="00FE5B6F"/>
    <w:rsid w:val="00FE5C21"/>
    <w:rsid w:val="00FE5D3E"/>
    <w:rsid w:val="00FE5D58"/>
    <w:rsid w:val="00FE6325"/>
    <w:rsid w:val="00FE6540"/>
    <w:rsid w:val="00FE686E"/>
    <w:rsid w:val="00FE69A9"/>
    <w:rsid w:val="00FE69B5"/>
    <w:rsid w:val="00FE6A76"/>
    <w:rsid w:val="00FE6AE8"/>
    <w:rsid w:val="00FE6D31"/>
    <w:rsid w:val="00FE6DEB"/>
    <w:rsid w:val="00FE708A"/>
    <w:rsid w:val="00FE73CE"/>
    <w:rsid w:val="00FE73E7"/>
    <w:rsid w:val="00FE7514"/>
    <w:rsid w:val="00FE7831"/>
    <w:rsid w:val="00FE7BD1"/>
    <w:rsid w:val="00FF00E4"/>
    <w:rsid w:val="00FF0394"/>
    <w:rsid w:val="00FF073B"/>
    <w:rsid w:val="00FF0F65"/>
    <w:rsid w:val="00FF10F0"/>
    <w:rsid w:val="00FF132B"/>
    <w:rsid w:val="00FF1872"/>
    <w:rsid w:val="00FF1B22"/>
    <w:rsid w:val="00FF1FA9"/>
    <w:rsid w:val="00FF20D4"/>
    <w:rsid w:val="00FF235D"/>
    <w:rsid w:val="00FF2557"/>
    <w:rsid w:val="00FF268B"/>
    <w:rsid w:val="00FF283A"/>
    <w:rsid w:val="00FF2A7A"/>
    <w:rsid w:val="00FF2C57"/>
    <w:rsid w:val="00FF382F"/>
    <w:rsid w:val="00FF3B4E"/>
    <w:rsid w:val="00FF3D20"/>
    <w:rsid w:val="00FF3F91"/>
    <w:rsid w:val="00FF4058"/>
    <w:rsid w:val="00FF4480"/>
    <w:rsid w:val="00FF4568"/>
    <w:rsid w:val="00FF4585"/>
    <w:rsid w:val="00FF4950"/>
    <w:rsid w:val="00FF4A53"/>
    <w:rsid w:val="00FF4BDE"/>
    <w:rsid w:val="00FF4E44"/>
    <w:rsid w:val="00FF579C"/>
    <w:rsid w:val="00FF5833"/>
    <w:rsid w:val="00FF5CFB"/>
    <w:rsid w:val="00FF5E9F"/>
    <w:rsid w:val="00FF5F85"/>
    <w:rsid w:val="00FF6AF2"/>
    <w:rsid w:val="00FF6B66"/>
    <w:rsid w:val="00FF6D1C"/>
    <w:rsid w:val="00FF6E51"/>
    <w:rsid w:val="00FF6FDF"/>
    <w:rsid w:val="00FF70EE"/>
    <w:rsid w:val="00FF7361"/>
    <w:rsid w:val="00FF748A"/>
    <w:rsid w:val="00FF74A1"/>
    <w:rsid w:val="00FF75E9"/>
    <w:rsid w:val="00FF7D03"/>
    <w:rsid w:val="0C5679B2"/>
    <w:rsid w:val="1345CDE8"/>
    <w:rsid w:val="1B06747B"/>
    <w:rsid w:val="251FC767"/>
    <w:rsid w:val="258FC39A"/>
    <w:rsid w:val="307E0AE3"/>
    <w:rsid w:val="35231CC3"/>
    <w:rsid w:val="3CBBCAF8"/>
    <w:rsid w:val="4E25D2DC"/>
    <w:rsid w:val="5DE13254"/>
    <w:rsid w:val="63949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164814"/>
  <w15:chartTrackingRefBased/>
  <w15:docId w15:val="{C427012A-B22A-4B4E-AC00-E874DB3A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202"/>
    <w:pPr>
      <w:spacing w:after="120"/>
    </w:pPr>
    <w:rPr>
      <w:rFonts w:ascii="Segoe UI" w:hAnsi="Segoe UI"/>
      <w:sz w:val="19"/>
      <w:lang w:val="en-AU"/>
    </w:rPr>
  </w:style>
  <w:style w:type="paragraph" w:styleId="Heading1">
    <w:name w:val="heading 1"/>
    <w:basedOn w:val="Normal"/>
    <w:next w:val="Normal"/>
    <w:link w:val="Heading1Char"/>
    <w:uiPriority w:val="1"/>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351B44"/>
    <w:pPr>
      <w:keepNext/>
      <w:numPr>
        <w:ilvl w:val="1"/>
        <w:numId w:val="2"/>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DA5FBF"/>
    <w:pPr>
      <w:keepNext/>
      <w:numPr>
        <w:ilvl w:val="2"/>
        <w:numId w:val="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5117E0"/>
    <w:pPr>
      <w:numPr>
        <w:numId w:val="3"/>
      </w:numPr>
      <w:spacing w:before="60" w:after="60"/>
    </w:pPr>
    <w:rPr>
      <w:sz w:val="17"/>
    </w:rPr>
  </w:style>
  <w:style w:type="paragraph" w:customStyle="1" w:styleId="TableNListnumbered">
    <w:name w:val="Table N List (numbered)"/>
    <w:basedOn w:val="TableNBullet"/>
    <w:uiPriority w:val="2"/>
    <w:qFormat/>
    <w:rsid w:val="005117E0"/>
    <w:pPr>
      <w:numPr>
        <w:numId w:val="11"/>
      </w:numPr>
    </w:pPr>
  </w:style>
  <w:style w:type="paragraph" w:customStyle="1" w:styleId="xAppendixLevel1">
    <w:name w:val="xAppendix Level 1"/>
    <w:basedOn w:val="Heading1"/>
    <w:next w:val="Normal"/>
    <w:uiPriority w:val="98"/>
    <w:qFormat/>
    <w:rsid w:val="00FD352A"/>
    <w:pPr>
      <w:numPr>
        <w:numId w:val="1"/>
      </w:numPr>
    </w:pPr>
    <w:rPr>
      <w:bCs/>
      <w:sz w:val="44"/>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5B016D"/>
    <w:pPr>
      <w:ind w:left="340" w:hanging="34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9"/>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0"/>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B727AB"/>
    <w:pPr>
      <w:pBdr>
        <w:top w:val="single" w:sz="18" w:space="4" w:color="E6E6E1" w:themeColor="accent5"/>
      </w:pBdr>
      <w:spacing w:before="120" w:after="240"/>
    </w:pPr>
    <w:rPr>
      <w:rFonts w:ascii="Segoe UI Semilight" w:hAnsi="Segoe UI Semilight"/>
      <w:color w:val="0070C0"/>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4"/>
      </w:numPr>
      <w:ind w:left="340" w:hanging="340"/>
    </w:pPr>
  </w:style>
  <w:style w:type="paragraph" w:customStyle="1" w:styleId="longformcalloutnumber">
    <w:name w:val="long form callout number"/>
    <w:basedOn w:val="longformcalloutbullet"/>
    <w:uiPriority w:val="20"/>
    <w:qFormat/>
    <w:rsid w:val="005F382F"/>
    <w:pPr>
      <w:numPr>
        <w:numId w:val="5"/>
      </w:numPr>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2F28F8"/>
    <w:pPr>
      <w:tabs>
        <w:tab w:val="left" w:pos="851"/>
        <w:tab w:val="right" w:leader="dot" w:pos="8930"/>
      </w:tabs>
      <w:spacing w:after="100" w:line="240" w:lineRule="auto"/>
      <w:ind w:left="851" w:hanging="425"/>
    </w:pPr>
    <w:rPr>
      <w:lang w:val="en-US"/>
    </w:rPr>
  </w:style>
  <w:style w:type="paragraph" w:styleId="TOC1">
    <w:name w:val="toc 1"/>
    <w:basedOn w:val="Normal"/>
    <w:next w:val="Normal"/>
    <w:autoRedefine/>
    <w:uiPriority w:val="39"/>
    <w:unhideWhenUsed/>
    <w:rsid w:val="00E76FD2"/>
    <w:pPr>
      <w:tabs>
        <w:tab w:val="left" w:pos="426"/>
        <w:tab w:val="left" w:pos="1134"/>
        <w:tab w:val="right" w:leader="dot" w:pos="8920"/>
      </w:tabs>
      <w:spacing w:after="100" w:line="240" w:lineRule="auto"/>
      <w:ind w:left="426" w:hanging="426"/>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6"/>
      </w:numPr>
      <w:spacing w:before="60"/>
    </w:pPr>
  </w:style>
  <w:style w:type="paragraph" w:customStyle="1" w:styleId="intoductionbullet">
    <w:name w:val="intoduction bullet"/>
    <w:basedOn w:val="Sectionintroduction"/>
    <w:uiPriority w:val="21"/>
    <w:qFormat/>
    <w:rsid w:val="009A69F5"/>
    <w:pPr>
      <w:numPr>
        <w:numId w:val="7"/>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2"/>
      </w:numPr>
    </w:pPr>
  </w:style>
  <w:style w:type="numbering" w:customStyle="1" w:styleId="TableexpListnumberedmultilevel">
    <w:name w:val="Table exp List (numbered) multilevel"/>
    <w:uiPriority w:val="99"/>
    <w:rsid w:val="00F660A8"/>
    <w:pPr>
      <w:numPr>
        <w:numId w:val="8"/>
      </w:numPr>
    </w:pPr>
  </w:style>
  <w:style w:type="numbering" w:customStyle="1" w:styleId="TableNListnumberedmultilevel">
    <w:name w:val="Table N List (numbered) multilevel"/>
    <w:uiPriority w:val="99"/>
    <w:rsid w:val="00F660A8"/>
    <w:pPr>
      <w:numPr>
        <w:numId w:val="11"/>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AC2F02"/>
    <w:pPr>
      <w:spacing w:line="240" w:lineRule="auto"/>
    </w:pPr>
    <w:rPr>
      <w:rFonts w:asciiTheme="majorHAnsi" w:hAnsiTheme="majorHAnsi"/>
      <w:caps/>
      <w:color w:val="F25E21" w:themeColor="accent2"/>
      <w:sz w:val="24"/>
    </w:rPr>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Bullets"/>
    <w:basedOn w:val="Normal"/>
    <w:link w:val="ListParagraphChar"/>
    <w:uiPriority w:val="34"/>
    <w:qFormat/>
    <w:rsid w:val="00105F99"/>
    <w:pPr>
      <w:ind w:left="720"/>
      <w:contextualSpacing/>
    </w:pPr>
  </w:style>
  <w:style w:type="character" w:styleId="FootnoteReference">
    <w:name w:val="footnote reference"/>
    <w:basedOn w:val="DefaultParagraphFont"/>
    <w:uiPriority w:val="99"/>
    <w:unhideWhenUsed/>
    <w:qFormat/>
    <w:rsid w:val="00105F99"/>
    <w:rPr>
      <w:vertAlign w:val="superscript"/>
    </w:rPr>
  </w:style>
  <w:style w:type="character" w:customStyle="1" w:styleId="UnresolvedMention1">
    <w:name w:val="Unresolved Mention1"/>
    <w:basedOn w:val="DefaultParagraphFont"/>
    <w:uiPriority w:val="99"/>
    <w:semiHidden/>
    <w:unhideWhenUsed/>
    <w:rsid w:val="00876F2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56965"/>
    <w:rPr>
      <w:b/>
      <w:bCs/>
    </w:rPr>
  </w:style>
  <w:style w:type="character" w:customStyle="1" w:styleId="CommentSubjectChar">
    <w:name w:val="Comment Subject Char"/>
    <w:basedOn w:val="CommentTextChar"/>
    <w:link w:val="CommentSubject"/>
    <w:uiPriority w:val="99"/>
    <w:semiHidden/>
    <w:rsid w:val="00356965"/>
    <w:rPr>
      <w:rFonts w:ascii="Segoe UI" w:hAnsi="Segoe UI"/>
      <w:b/>
      <w:bCs/>
      <w:sz w:val="20"/>
      <w:szCs w:val="20"/>
      <w:lang w:val="en-AU"/>
    </w:rPr>
  </w:style>
  <w:style w:type="paragraph" w:styleId="Revision">
    <w:name w:val="Revision"/>
    <w:hidden/>
    <w:uiPriority w:val="99"/>
    <w:semiHidden/>
    <w:rsid w:val="00C40B1E"/>
    <w:pPr>
      <w:spacing w:after="0" w:line="240" w:lineRule="auto"/>
    </w:pPr>
    <w:rPr>
      <w:rFonts w:ascii="Segoe UI" w:hAnsi="Segoe UI"/>
      <w:sz w:val="19"/>
      <w:lang w:val="en-AU"/>
    </w:rPr>
  </w:style>
  <w:style w:type="character" w:styleId="FollowedHyperlink">
    <w:name w:val="FollowedHyperlink"/>
    <w:basedOn w:val="DefaultParagraphFont"/>
    <w:uiPriority w:val="99"/>
    <w:semiHidden/>
    <w:unhideWhenUsed/>
    <w:rsid w:val="007F1AAC"/>
    <w:rPr>
      <w:color w:val="0048C7" w:themeColor="followedHyperlink"/>
      <w:u w:val="single"/>
    </w:rPr>
  </w:style>
  <w:style w:type="paragraph" w:customStyle="1" w:styleId="Default">
    <w:name w:val="Default"/>
    <w:rsid w:val="007F1AAC"/>
    <w:pPr>
      <w:autoSpaceDE w:val="0"/>
      <w:autoSpaceDN w:val="0"/>
      <w:adjustRightInd w:val="0"/>
      <w:spacing w:after="0" w:line="240" w:lineRule="auto"/>
    </w:pPr>
    <w:rPr>
      <w:rFonts w:ascii="Verdana" w:hAnsi="Verdana" w:cs="Verdana"/>
      <w:color w:val="000000"/>
      <w:sz w:val="24"/>
      <w:szCs w:val="24"/>
      <w:lang w:val="en-AU"/>
    </w:rPr>
  </w:style>
  <w:style w:type="paragraph" w:styleId="TOCHeading">
    <w:name w:val="TOC Heading"/>
    <w:basedOn w:val="Heading1"/>
    <w:next w:val="Normal"/>
    <w:uiPriority w:val="39"/>
    <w:unhideWhenUsed/>
    <w:qFormat/>
    <w:rsid w:val="006A3DC6"/>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A46563"/>
    <w:pPr>
      <w:spacing w:after="100"/>
      <w:ind w:left="380"/>
    </w:pPr>
  </w:style>
  <w:style w:type="character" w:customStyle="1" w:styleId="TableNTextChar">
    <w:name w:val="Table N Text Char"/>
    <w:basedOn w:val="DefaultParagraphFont"/>
    <w:link w:val="TableNText"/>
    <w:uiPriority w:val="2"/>
    <w:rsid w:val="009C44D3"/>
    <w:rPr>
      <w:rFonts w:ascii="Segoe UI" w:hAnsi="Segoe UI"/>
      <w:sz w:val="17"/>
      <w:lang w:val="en-AU"/>
    </w:rPr>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qFormat/>
    <w:locked/>
    <w:rsid w:val="00592CDB"/>
    <w:rPr>
      <w:rFonts w:ascii="Segoe UI" w:hAnsi="Segoe UI"/>
      <w:sz w:val="19"/>
      <w:lang w:val="en-AU"/>
    </w:rPr>
  </w:style>
  <w:style w:type="paragraph" w:styleId="NormalWeb">
    <w:name w:val="Normal (Web)"/>
    <w:basedOn w:val="Normal"/>
    <w:uiPriority w:val="99"/>
    <w:unhideWhenUsed/>
    <w:rsid w:val="00345CC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274236"/>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274236"/>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274236"/>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274236"/>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274236"/>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274236"/>
    <w:pPr>
      <w:spacing w:after="100"/>
      <w:ind w:left="1760"/>
    </w:pPr>
    <w:rPr>
      <w:rFonts w:asciiTheme="minorHAnsi" w:eastAsiaTheme="minorEastAsia" w:hAnsiTheme="minorHAnsi"/>
      <w:sz w:val="22"/>
      <w:lang w:eastAsia="en-AU"/>
    </w:rPr>
  </w:style>
  <w:style w:type="paragraph" w:customStyle="1" w:styleId="Bulleta">
    <w:name w:val="Bullet a)"/>
    <w:basedOn w:val="Normal"/>
    <w:rsid w:val="00D645E1"/>
    <w:pPr>
      <w:spacing w:before="120" w:line="240" w:lineRule="auto"/>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7845BA"/>
    <w:rPr>
      <w:b/>
      <w:bCs/>
    </w:rPr>
  </w:style>
  <w:style w:type="paragraph" w:customStyle="1" w:styleId="TextIndent1">
    <w:name w:val="Text Indent 1"/>
    <w:basedOn w:val="Normal"/>
    <w:qFormat/>
    <w:rsid w:val="00546040"/>
    <w:pPr>
      <w:spacing w:after="200" w:line="240" w:lineRule="auto"/>
      <w:ind w:left="567" w:hanging="567"/>
    </w:pPr>
    <w:rPr>
      <w:rFonts w:ascii="Arial Narrow" w:eastAsia="Times" w:hAnsi="Arial Narrow" w:cs="Times New Roman"/>
      <w:sz w:val="20"/>
      <w:szCs w:val="20"/>
    </w:rPr>
  </w:style>
  <w:style w:type="character" w:customStyle="1" w:styleId="UnresolvedMention2">
    <w:name w:val="Unresolved Mention2"/>
    <w:basedOn w:val="DefaultParagraphFont"/>
    <w:uiPriority w:val="99"/>
    <w:semiHidden/>
    <w:unhideWhenUsed/>
    <w:rsid w:val="003A57C9"/>
    <w:rPr>
      <w:color w:val="605E5C"/>
      <w:shd w:val="clear" w:color="auto" w:fill="E1DFDD"/>
    </w:rPr>
  </w:style>
  <w:style w:type="character" w:customStyle="1" w:styleId="hps-normal1">
    <w:name w:val="hps-normal1"/>
    <w:basedOn w:val="DefaultParagraphFont"/>
    <w:rsid w:val="000A2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3537">
      <w:bodyDiv w:val="1"/>
      <w:marLeft w:val="0"/>
      <w:marRight w:val="0"/>
      <w:marTop w:val="0"/>
      <w:marBottom w:val="0"/>
      <w:divBdr>
        <w:top w:val="none" w:sz="0" w:space="0" w:color="auto"/>
        <w:left w:val="none" w:sz="0" w:space="0" w:color="auto"/>
        <w:bottom w:val="none" w:sz="0" w:space="0" w:color="auto"/>
        <w:right w:val="none" w:sz="0" w:space="0" w:color="auto"/>
      </w:divBdr>
    </w:div>
    <w:div w:id="23023822">
      <w:bodyDiv w:val="1"/>
      <w:marLeft w:val="0"/>
      <w:marRight w:val="0"/>
      <w:marTop w:val="0"/>
      <w:marBottom w:val="0"/>
      <w:divBdr>
        <w:top w:val="none" w:sz="0" w:space="0" w:color="auto"/>
        <w:left w:val="none" w:sz="0" w:space="0" w:color="auto"/>
        <w:bottom w:val="none" w:sz="0" w:space="0" w:color="auto"/>
        <w:right w:val="none" w:sz="0" w:space="0" w:color="auto"/>
      </w:divBdr>
    </w:div>
    <w:div w:id="38866627">
      <w:bodyDiv w:val="1"/>
      <w:marLeft w:val="0"/>
      <w:marRight w:val="0"/>
      <w:marTop w:val="0"/>
      <w:marBottom w:val="0"/>
      <w:divBdr>
        <w:top w:val="none" w:sz="0" w:space="0" w:color="auto"/>
        <w:left w:val="none" w:sz="0" w:space="0" w:color="auto"/>
        <w:bottom w:val="none" w:sz="0" w:space="0" w:color="auto"/>
        <w:right w:val="none" w:sz="0" w:space="0" w:color="auto"/>
      </w:divBdr>
    </w:div>
    <w:div w:id="55400204">
      <w:bodyDiv w:val="1"/>
      <w:marLeft w:val="0"/>
      <w:marRight w:val="0"/>
      <w:marTop w:val="0"/>
      <w:marBottom w:val="0"/>
      <w:divBdr>
        <w:top w:val="none" w:sz="0" w:space="0" w:color="auto"/>
        <w:left w:val="none" w:sz="0" w:space="0" w:color="auto"/>
        <w:bottom w:val="none" w:sz="0" w:space="0" w:color="auto"/>
        <w:right w:val="none" w:sz="0" w:space="0" w:color="auto"/>
      </w:divBdr>
    </w:div>
    <w:div w:id="57940608">
      <w:bodyDiv w:val="1"/>
      <w:marLeft w:val="0"/>
      <w:marRight w:val="0"/>
      <w:marTop w:val="0"/>
      <w:marBottom w:val="0"/>
      <w:divBdr>
        <w:top w:val="none" w:sz="0" w:space="0" w:color="auto"/>
        <w:left w:val="none" w:sz="0" w:space="0" w:color="auto"/>
        <w:bottom w:val="none" w:sz="0" w:space="0" w:color="auto"/>
        <w:right w:val="none" w:sz="0" w:space="0" w:color="auto"/>
      </w:divBdr>
    </w:div>
    <w:div w:id="61369510">
      <w:bodyDiv w:val="1"/>
      <w:marLeft w:val="0"/>
      <w:marRight w:val="0"/>
      <w:marTop w:val="0"/>
      <w:marBottom w:val="0"/>
      <w:divBdr>
        <w:top w:val="none" w:sz="0" w:space="0" w:color="auto"/>
        <w:left w:val="none" w:sz="0" w:space="0" w:color="auto"/>
        <w:bottom w:val="none" w:sz="0" w:space="0" w:color="auto"/>
        <w:right w:val="none" w:sz="0" w:space="0" w:color="auto"/>
      </w:divBdr>
    </w:div>
    <w:div w:id="62341670">
      <w:bodyDiv w:val="1"/>
      <w:marLeft w:val="0"/>
      <w:marRight w:val="0"/>
      <w:marTop w:val="0"/>
      <w:marBottom w:val="0"/>
      <w:divBdr>
        <w:top w:val="none" w:sz="0" w:space="0" w:color="auto"/>
        <w:left w:val="none" w:sz="0" w:space="0" w:color="auto"/>
        <w:bottom w:val="none" w:sz="0" w:space="0" w:color="auto"/>
        <w:right w:val="none" w:sz="0" w:space="0" w:color="auto"/>
      </w:divBdr>
    </w:div>
    <w:div w:id="64188497">
      <w:bodyDiv w:val="1"/>
      <w:marLeft w:val="0"/>
      <w:marRight w:val="0"/>
      <w:marTop w:val="0"/>
      <w:marBottom w:val="0"/>
      <w:divBdr>
        <w:top w:val="none" w:sz="0" w:space="0" w:color="auto"/>
        <w:left w:val="none" w:sz="0" w:space="0" w:color="auto"/>
        <w:bottom w:val="none" w:sz="0" w:space="0" w:color="auto"/>
        <w:right w:val="none" w:sz="0" w:space="0" w:color="auto"/>
      </w:divBdr>
    </w:div>
    <w:div w:id="93745091">
      <w:bodyDiv w:val="1"/>
      <w:marLeft w:val="0"/>
      <w:marRight w:val="0"/>
      <w:marTop w:val="0"/>
      <w:marBottom w:val="0"/>
      <w:divBdr>
        <w:top w:val="none" w:sz="0" w:space="0" w:color="auto"/>
        <w:left w:val="none" w:sz="0" w:space="0" w:color="auto"/>
        <w:bottom w:val="none" w:sz="0" w:space="0" w:color="auto"/>
        <w:right w:val="none" w:sz="0" w:space="0" w:color="auto"/>
      </w:divBdr>
    </w:div>
    <w:div w:id="120461264">
      <w:bodyDiv w:val="1"/>
      <w:marLeft w:val="0"/>
      <w:marRight w:val="0"/>
      <w:marTop w:val="0"/>
      <w:marBottom w:val="0"/>
      <w:divBdr>
        <w:top w:val="none" w:sz="0" w:space="0" w:color="auto"/>
        <w:left w:val="none" w:sz="0" w:space="0" w:color="auto"/>
        <w:bottom w:val="none" w:sz="0" w:space="0" w:color="auto"/>
        <w:right w:val="none" w:sz="0" w:space="0" w:color="auto"/>
      </w:divBdr>
    </w:div>
    <w:div w:id="124933138">
      <w:bodyDiv w:val="1"/>
      <w:marLeft w:val="0"/>
      <w:marRight w:val="0"/>
      <w:marTop w:val="0"/>
      <w:marBottom w:val="0"/>
      <w:divBdr>
        <w:top w:val="none" w:sz="0" w:space="0" w:color="auto"/>
        <w:left w:val="none" w:sz="0" w:space="0" w:color="auto"/>
        <w:bottom w:val="none" w:sz="0" w:space="0" w:color="auto"/>
        <w:right w:val="none" w:sz="0" w:space="0" w:color="auto"/>
      </w:divBdr>
    </w:div>
    <w:div w:id="130514349">
      <w:bodyDiv w:val="1"/>
      <w:marLeft w:val="0"/>
      <w:marRight w:val="0"/>
      <w:marTop w:val="0"/>
      <w:marBottom w:val="0"/>
      <w:divBdr>
        <w:top w:val="none" w:sz="0" w:space="0" w:color="auto"/>
        <w:left w:val="none" w:sz="0" w:space="0" w:color="auto"/>
        <w:bottom w:val="none" w:sz="0" w:space="0" w:color="auto"/>
        <w:right w:val="none" w:sz="0" w:space="0" w:color="auto"/>
      </w:divBdr>
    </w:div>
    <w:div w:id="136538184">
      <w:bodyDiv w:val="1"/>
      <w:marLeft w:val="0"/>
      <w:marRight w:val="0"/>
      <w:marTop w:val="0"/>
      <w:marBottom w:val="0"/>
      <w:divBdr>
        <w:top w:val="none" w:sz="0" w:space="0" w:color="auto"/>
        <w:left w:val="none" w:sz="0" w:space="0" w:color="auto"/>
        <w:bottom w:val="none" w:sz="0" w:space="0" w:color="auto"/>
        <w:right w:val="none" w:sz="0" w:space="0" w:color="auto"/>
      </w:divBdr>
    </w:div>
    <w:div w:id="153644124">
      <w:bodyDiv w:val="1"/>
      <w:marLeft w:val="0"/>
      <w:marRight w:val="0"/>
      <w:marTop w:val="0"/>
      <w:marBottom w:val="0"/>
      <w:divBdr>
        <w:top w:val="none" w:sz="0" w:space="0" w:color="auto"/>
        <w:left w:val="none" w:sz="0" w:space="0" w:color="auto"/>
        <w:bottom w:val="none" w:sz="0" w:space="0" w:color="auto"/>
        <w:right w:val="none" w:sz="0" w:space="0" w:color="auto"/>
      </w:divBdr>
    </w:div>
    <w:div w:id="156267822">
      <w:bodyDiv w:val="1"/>
      <w:marLeft w:val="0"/>
      <w:marRight w:val="0"/>
      <w:marTop w:val="0"/>
      <w:marBottom w:val="0"/>
      <w:divBdr>
        <w:top w:val="none" w:sz="0" w:space="0" w:color="auto"/>
        <w:left w:val="none" w:sz="0" w:space="0" w:color="auto"/>
        <w:bottom w:val="none" w:sz="0" w:space="0" w:color="auto"/>
        <w:right w:val="none" w:sz="0" w:space="0" w:color="auto"/>
      </w:divBdr>
    </w:div>
    <w:div w:id="170142292">
      <w:bodyDiv w:val="1"/>
      <w:marLeft w:val="0"/>
      <w:marRight w:val="0"/>
      <w:marTop w:val="0"/>
      <w:marBottom w:val="0"/>
      <w:divBdr>
        <w:top w:val="none" w:sz="0" w:space="0" w:color="auto"/>
        <w:left w:val="none" w:sz="0" w:space="0" w:color="auto"/>
        <w:bottom w:val="none" w:sz="0" w:space="0" w:color="auto"/>
        <w:right w:val="none" w:sz="0" w:space="0" w:color="auto"/>
      </w:divBdr>
      <w:divsChild>
        <w:div w:id="630094118">
          <w:marLeft w:val="274"/>
          <w:marRight w:val="0"/>
          <w:marTop w:val="0"/>
          <w:marBottom w:val="120"/>
          <w:divBdr>
            <w:top w:val="none" w:sz="0" w:space="0" w:color="auto"/>
            <w:left w:val="none" w:sz="0" w:space="0" w:color="auto"/>
            <w:bottom w:val="none" w:sz="0" w:space="0" w:color="auto"/>
            <w:right w:val="none" w:sz="0" w:space="0" w:color="auto"/>
          </w:divBdr>
        </w:div>
        <w:div w:id="848638325">
          <w:marLeft w:val="274"/>
          <w:marRight w:val="0"/>
          <w:marTop w:val="0"/>
          <w:marBottom w:val="120"/>
          <w:divBdr>
            <w:top w:val="none" w:sz="0" w:space="0" w:color="auto"/>
            <w:left w:val="none" w:sz="0" w:space="0" w:color="auto"/>
            <w:bottom w:val="none" w:sz="0" w:space="0" w:color="auto"/>
            <w:right w:val="none" w:sz="0" w:space="0" w:color="auto"/>
          </w:divBdr>
        </w:div>
        <w:div w:id="1714307244">
          <w:marLeft w:val="274"/>
          <w:marRight w:val="0"/>
          <w:marTop w:val="0"/>
          <w:marBottom w:val="120"/>
          <w:divBdr>
            <w:top w:val="none" w:sz="0" w:space="0" w:color="auto"/>
            <w:left w:val="none" w:sz="0" w:space="0" w:color="auto"/>
            <w:bottom w:val="none" w:sz="0" w:space="0" w:color="auto"/>
            <w:right w:val="none" w:sz="0" w:space="0" w:color="auto"/>
          </w:divBdr>
        </w:div>
        <w:div w:id="128792189">
          <w:marLeft w:val="274"/>
          <w:marRight w:val="0"/>
          <w:marTop w:val="0"/>
          <w:marBottom w:val="120"/>
          <w:divBdr>
            <w:top w:val="none" w:sz="0" w:space="0" w:color="auto"/>
            <w:left w:val="none" w:sz="0" w:space="0" w:color="auto"/>
            <w:bottom w:val="none" w:sz="0" w:space="0" w:color="auto"/>
            <w:right w:val="none" w:sz="0" w:space="0" w:color="auto"/>
          </w:divBdr>
        </w:div>
        <w:div w:id="1291932698">
          <w:marLeft w:val="274"/>
          <w:marRight w:val="0"/>
          <w:marTop w:val="0"/>
          <w:marBottom w:val="120"/>
          <w:divBdr>
            <w:top w:val="none" w:sz="0" w:space="0" w:color="auto"/>
            <w:left w:val="none" w:sz="0" w:space="0" w:color="auto"/>
            <w:bottom w:val="none" w:sz="0" w:space="0" w:color="auto"/>
            <w:right w:val="none" w:sz="0" w:space="0" w:color="auto"/>
          </w:divBdr>
        </w:div>
      </w:divsChild>
    </w:div>
    <w:div w:id="172111297">
      <w:bodyDiv w:val="1"/>
      <w:marLeft w:val="0"/>
      <w:marRight w:val="0"/>
      <w:marTop w:val="0"/>
      <w:marBottom w:val="0"/>
      <w:divBdr>
        <w:top w:val="none" w:sz="0" w:space="0" w:color="auto"/>
        <w:left w:val="none" w:sz="0" w:space="0" w:color="auto"/>
        <w:bottom w:val="none" w:sz="0" w:space="0" w:color="auto"/>
        <w:right w:val="none" w:sz="0" w:space="0" w:color="auto"/>
      </w:divBdr>
    </w:div>
    <w:div w:id="177499854">
      <w:bodyDiv w:val="1"/>
      <w:marLeft w:val="0"/>
      <w:marRight w:val="0"/>
      <w:marTop w:val="0"/>
      <w:marBottom w:val="0"/>
      <w:divBdr>
        <w:top w:val="none" w:sz="0" w:space="0" w:color="auto"/>
        <w:left w:val="none" w:sz="0" w:space="0" w:color="auto"/>
        <w:bottom w:val="none" w:sz="0" w:space="0" w:color="auto"/>
        <w:right w:val="none" w:sz="0" w:space="0" w:color="auto"/>
      </w:divBdr>
    </w:div>
    <w:div w:id="177626057">
      <w:bodyDiv w:val="1"/>
      <w:marLeft w:val="0"/>
      <w:marRight w:val="0"/>
      <w:marTop w:val="0"/>
      <w:marBottom w:val="0"/>
      <w:divBdr>
        <w:top w:val="none" w:sz="0" w:space="0" w:color="auto"/>
        <w:left w:val="none" w:sz="0" w:space="0" w:color="auto"/>
        <w:bottom w:val="none" w:sz="0" w:space="0" w:color="auto"/>
        <w:right w:val="none" w:sz="0" w:space="0" w:color="auto"/>
      </w:divBdr>
    </w:div>
    <w:div w:id="191846149">
      <w:bodyDiv w:val="1"/>
      <w:marLeft w:val="0"/>
      <w:marRight w:val="0"/>
      <w:marTop w:val="0"/>
      <w:marBottom w:val="0"/>
      <w:divBdr>
        <w:top w:val="none" w:sz="0" w:space="0" w:color="auto"/>
        <w:left w:val="none" w:sz="0" w:space="0" w:color="auto"/>
        <w:bottom w:val="none" w:sz="0" w:space="0" w:color="auto"/>
        <w:right w:val="none" w:sz="0" w:space="0" w:color="auto"/>
      </w:divBdr>
    </w:div>
    <w:div w:id="197402917">
      <w:bodyDiv w:val="1"/>
      <w:marLeft w:val="0"/>
      <w:marRight w:val="0"/>
      <w:marTop w:val="0"/>
      <w:marBottom w:val="0"/>
      <w:divBdr>
        <w:top w:val="none" w:sz="0" w:space="0" w:color="auto"/>
        <w:left w:val="none" w:sz="0" w:space="0" w:color="auto"/>
        <w:bottom w:val="none" w:sz="0" w:space="0" w:color="auto"/>
        <w:right w:val="none" w:sz="0" w:space="0" w:color="auto"/>
      </w:divBdr>
    </w:div>
    <w:div w:id="199637257">
      <w:bodyDiv w:val="1"/>
      <w:marLeft w:val="0"/>
      <w:marRight w:val="0"/>
      <w:marTop w:val="0"/>
      <w:marBottom w:val="0"/>
      <w:divBdr>
        <w:top w:val="none" w:sz="0" w:space="0" w:color="auto"/>
        <w:left w:val="none" w:sz="0" w:space="0" w:color="auto"/>
        <w:bottom w:val="none" w:sz="0" w:space="0" w:color="auto"/>
        <w:right w:val="none" w:sz="0" w:space="0" w:color="auto"/>
      </w:divBdr>
    </w:div>
    <w:div w:id="206526534">
      <w:bodyDiv w:val="1"/>
      <w:marLeft w:val="0"/>
      <w:marRight w:val="0"/>
      <w:marTop w:val="0"/>
      <w:marBottom w:val="0"/>
      <w:divBdr>
        <w:top w:val="none" w:sz="0" w:space="0" w:color="auto"/>
        <w:left w:val="none" w:sz="0" w:space="0" w:color="auto"/>
        <w:bottom w:val="none" w:sz="0" w:space="0" w:color="auto"/>
        <w:right w:val="none" w:sz="0" w:space="0" w:color="auto"/>
      </w:divBdr>
    </w:div>
    <w:div w:id="217325754">
      <w:bodyDiv w:val="1"/>
      <w:marLeft w:val="0"/>
      <w:marRight w:val="0"/>
      <w:marTop w:val="0"/>
      <w:marBottom w:val="0"/>
      <w:divBdr>
        <w:top w:val="none" w:sz="0" w:space="0" w:color="auto"/>
        <w:left w:val="none" w:sz="0" w:space="0" w:color="auto"/>
        <w:bottom w:val="none" w:sz="0" w:space="0" w:color="auto"/>
        <w:right w:val="none" w:sz="0" w:space="0" w:color="auto"/>
      </w:divBdr>
      <w:divsChild>
        <w:div w:id="41485556">
          <w:marLeft w:val="274"/>
          <w:marRight w:val="0"/>
          <w:marTop w:val="0"/>
          <w:marBottom w:val="120"/>
          <w:divBdr>
            <w:top w:val="none" w:sz="0" w:space="0" w:color="auto"/>
            <w:left w:val="none" w:sz="0" w:space="0" w:color="auto"/>
            <w:bottom w:val="none" w:sz="0" w:space="0" w:color="auto"/>
            <w:right w:val="none" w:sz="0" w:space="0" w:color="auto"/>
          </w:divBdr>
        </w:div>
      </w:divsChild>
    </w:div>
    <w:div w:id="218515744">
      <w:bodyDiv w:val="1"/>
      <w:marLeft w:val="0"/>
      <w:marRight w:val="0"/>
      <w:marTop w:val="0"/>
      <w:marBottom w:val="0"/>
      <w:divBdr>
        <w:top w:val="none" w:sz="0" w:space="0" w:color="auto"/>
        <w:left w:val="none" w:sz="0" w:space="0" w:color="auto"/>
        <w:bottom w:val="none" w:sz="0" w:space="0" w:color="auto"/>
        <w:right w:val="none" w:sz="0" w:space="0" w:color="auto"/>
      </w:divBdr>
    </w:div>
    <w:div w:id="220870721">
      <w:bodyDiv w:val="1"/>
      <w:marLeft w:val="0"/>
      <w:marRight w:val="0"/>
      <w:marTop w:val="0"/>
      <w:marBottom w:val="0"/>
      <w:divBdr>
        <w:top w:val="none" w:sz="0" w:space="0" w:color="auto"/>
        <w:left w:val="none" w:sz="0" w:space="0" w:color="auto"/>
        <w:bottom w:val="none" w:sz="0" w:space="0" w:color="auto"/>
        <w:right w:val="none" w:sz="0" w:space="0" w:color="auto"/>
      </w:divBdr>
    </w:div>
    <w:div w:id="223414554">
      <w:bodyDiv w:val="1"/>
      <w:marLeft w:val="0"/>
      <w:marRight w:val="0"/>
      <w:marTop w:val="0"/>
      <w:marBottom w:val="0"/>
      <w:divBdr>
        <w:top w:val="none" w:sz="0" w:space="0" w:color="auto"/>
        <w:left w:val="none" w:sz="0" w:space="0" w:color="auto"/>
        <w:bottom w:val="none" w:sz="0" w:space="0" w:color="auto"/>
        <w:right w:val="none" w:sz="0" w:space="0" w:color="auto"/>
      </w:divBdr>
    </w:div>
    <w:div w:id="223638249">
      <w:bodyDiv w:val="1"/>
      <w:marLeft w:val="0"/>
      <w:marRight w:val="0"/>
      <w:marTop w:val="0"/>
      <w:marBottom w:val="0"/>
      <w:divBdr>
        <w:top w:val="none" w:sz="0" w:space="0" w:color="auto"/>
        <w:left w:val="none" w:sz="0" w:space="0" w:color="auto"/>
        <w:bottom w:val="none" w:sz="0" w:space="0" w:color="auto"/>
        <w:right w:val="none" w:sz="0" w:space="0" w:color="auto"/>
      </w:divBdr>
    </w:div>
    <w:div w:id="242304592">
      <w:bodyDiv w:val="1"/>
      <w:marLeft w:val="0"/>
      <w:marRight w:val="0"/>
      <w:marTop w:val="0"/>
      <w:marBottom w:val="0"/>
      <w:divBdr>
        <w:top w:val="none" w:sz="0" w:space="0" w:color="auto"/>
        <w:left w:val="none" w:sz="0" w:space="0" w:color="auto"/>
        <w:bottom w:val="none" w:sz="0" w:space="0" w:color="auto"/>
        <w:right w:val="none" w:sz="0" w:space="0" w:color="auto"/>
      </w:divBdr>
    </w:div>
    <w:div w:id="243422805">
      <w:bodyDiv w:val="1"/>
      <w:marLeft w:val="0"/>
      <w:marRight w:val="0"/>
      <w:marTop w:val="0"/>
      <w:marBottom w:val="0"/>
      <w:divBdr>
        <w:top w:val="none" w:sz="0" w:space="0" w:color="auto"/>
        <w:left w:val="none" w:sz="0" w:space="0" w:color="auto"/>
        <w:bottom w:val="none" w:sz="0" w:space="0" w:color="auto"/>
        <w:right w:val="none" w:sz="0" w:space="0" w:color="auto"/>
      </w:divBdr>
    </w:div>
    <w:div w:id="245699951">
      <w:bodyDiv w:val="1"/>
      <w:marLeft w:val="0"/>
      <w:marRight w:val="0"/>
      <w:marTop w:val="0"/>
      <w:marBottom w:val="0"/>
      <w:divBdr>
        <w:top w:val="none" w:sz="0" w:space="0" w:color="auto"/>
        <w:left w:val="none" w:sz="0" w:space="0" w:color="auto"/>
        <w:bottom w:val="none" w:sz="0" w:space="0" w:color="auto"/>
        <w:right w:val="none" w:sz="0" w:space="0" w:color="auto"/>
      </w:divBdr>
    </w:div>
    <w:div w:id="260531723">
      <w:bodyDiv w:val="1"/>
      <w:marLeft w:val="0"/>
      <w:marRight w:val="0"/>
      <w:marTop w:val="0"/>
      <w:marBottom w:val="0"/>
      <w:divBdr>
        <w:top w:val="none" w:sz="0" w:space="0" w:color="auto"/>
        <w:left w:val="none" w:sz="0" w:space="0" w:color="auto"/>
        <w:bottom w:val="none" w:sz="0" w:space="0" w:color="auto"/>
        <w:right w:val="none" w:sz="0" w:space="0" w:color="auto"/>
      </w:divBdr>
    </w:div>
    <w:div w:id="283074068">
      <w:bodyDiv w:val="1"/>
      <w:marLeft w:val="0"/>
      <w:marRight w:val="0"/>
      <w:marTop w:val="0"/>
      <w:marBottom w:val="0"/>
      <w:divBdr>
        <w:top w:val="none" w:sz="0" w:space="0" w:color="auto"/>
        <w:left w:val="none" w:sz="0" w:space="0" w:color="auto"/>
        <w:bottom w:val="none" w:sz="0" w:space="0" w:color="auto"/>
        <w:right w:val="none" w:sz="0" w:space="0" w:color="auto"/>
      </w:divBdr>
    </w:div>
    <w:div w:id="283731839">
      <w:bodyDiv w:val="1"/>
      <w:marLeft w:val="0"/>
      <w:marRight w:val="0"/>
      <w:marTop w:val="0"/>
      <w:marBottom w:val="0"/>
      <w:divBdr>
        <w:top w:val="none" w:sz="0" w:space="0" w:color="auto"/>
        <w:left w:val="none" w:sz="0" w:space="0" w:color="auto"/>
        <w:bottom w:val="none" w:sz="0" w:space="0" w:color="auto"/>
        <w:right w:val="none" w:sz="0" w:space="0" w:color="auto"/>
      </w:divBdr>
    </w:div>
    <w:div w:id="284626793">
      <w:bodyDiv w:val="1"/>
      <w:marLeft w:val="0"/>
      <w:marRight w:val="0"/>
      <w:marTop w:val="0"/>
      <w:marBottom w:val="0"/>
      <w:divBdr>
        <w:top w:val="none" w:sz="0" w:space="0" w:color="auto"/>
        <w:left w:val="none" w:sz="0" w:space="0" w:color="auto"/>
        <w:bottom w:val="none" w:sz="0" w:space="0" w:color="auto"/>
        <w:right w:val="none" w:sz="0" w:space="0" w:color="auto"/>
      </w:divBdr>
      <w:divsChild>
        <w:div w:id="419180818">
          <w:marLeft w:val="994"/>
          <w:marRight w:val="0"/>
          <w:marTop w:val="0"/>
          <w:marBottom w:val="0"/>
          <w:divBdr>
            <w:top w:val="none" w:sz="0" w:space="0" w:color="auto"/>
            <w:left w:val="none" w:sz="0" w:space="0" w:color="auto"/>
            <w:bottom w:val="none" w:sz="0" w:space="0" w:color="auto"/>
            <w:right w:val="none" w:sz="0" w:space="0" w:color="auto"/>
          </w:divBdr>
        </w:div>
        <w:div w:id="583418060">
          <w:marLeft w:val="274"/>
          <w:marRight w:val="0"/>
          <w:marTop w:val="0"/>
          <w:marBottom w:val="0"/>
          <w:divBdr>
            <w:top w:val="none" w:sz="0" w:space="0" w:color="auto"/>
            <w:left w:val="none" w:sz="0" w:space="0" w:color="auto"/>
            <w:bottom w:val="none" w:sz="0" w:space="0" w:color="auto"/>
            <w:right w:val="none" w:sz="0" w:space="0" w:color="auto"/>
          </w:divBdr>
        </w:div>
        <w:div w:id="586622850">
          <w:marLeft w:val="994"/>
          <w:marRight w:val="0"/>
          <w:marTop w:val="0"/>
          <w:marBottom w:val="0"/>
          <w:divBdr>
            <w:top w:val="none" w:sz="0" w:space="0" w:color="auto"/>
            <w:left w:val="none" w:sz="0" w:space="0" w:color="auto"/>
            <w:bottom w:val="none" w:sz="0" w:space="0" w:color="auto"/>
            <w:right w:val="none" w:sz="0" w:space="0" w:color="auto"/>
          </w:divBdr>
        </w:div>
        <w:div w:id="1296982035">
          <w:marLeft w:val="994"/>
          <w:marRight w:val="0"/>
          <w:marTop w:val="0"/>
          <w:marBottom w:val="0"/>
          <w:divBdr>
            <w:top w:val="none" w:sz="0" w:space="0" w:color="auto"/>
            <w:left w:val="none" w:sz="0" w:space="0" w:color="auto"/>
            <w:bottom w:val="none" w:sz="0" w:space="0" w:color="auto"/>
            <w:right w:val="none" w:sz="0" w:space="0" w:color="auto"/>
          </w:divBdr>
        </w:div>
      </w:divsChild>
    </w:div>
    <w:div w:id="287586438">
      <w:bodyDiv w:val="1"/>
      <w:marLeft w:val="0"/>
      <w:marRight w:val="0"/>
      <w:marTop w:val="0"/>
      <w:marBottom w:val="0"/>
      <w:divBdr>
        <w:top w:val="none" w:sz="0" w:space="0" w:color="auto"/>
        <w:left w:val="none" w:sz="0" w:space="0" w:color="auto"/>
        <w:bottom w:val="none" w:sz="0" w:space="0" w:color="auto"/>
        <w:right w:val="none" w:sz="0" w:space="0" w:color="auto"/>
      </w:divBdr>
    </w:div>
    <w:div w:id="288626739">
      <w:bodyDiv w:val="1"/>
      <w:marLeft w:val="0"/>
      <w:marRight w:val="0"/>
      <w:marTop w:val="0"/>
      <w:marBottom w:val="0"/>
      <w:divBdr>
        <w:top w:val="none" w:sz="0" w:space="0" w:color="auto"/>
        <w:left w:val="none" w:sz="0" w:space="0" w:color="auto"/>
        <w:bottom w:val="none" w:sz="0" w:space="0" w:color="auto"/>
        <w:right w:val="none" w:sz="0" w:space="0" w:color="auto"/>
      </w:divBdr>
    </w:div>
    <w:div w:id="291711207">
      <w:bodyDiv w:val="1"/>
      <w:marLeft w:val="0"/>
      <w:marRight w:val="0"/>
      <w:marTop w:val="0"/>
      <w:marBottom w:val="0"/>
      <w:divBdr>
        <w:top w:val="none" w:sz="0" w:space="0" w:color="auto"/>
        <w:left w:val="none" w:sz="0" w:space="0" w:color="auto"/>
        <w:bottom w:val="none" w:sz="0" w:space="0" w:color="auto"/>
        <w:right w:val="none" w:sz="0" w:space="0" w:color="auto"/>
      </w:divBdr>
    </w:div>
    <w:div w:id="310913688">
      <w:bodyDiv w:val="1"/>
      <w:marLeft w:val="0"/>
      <w:marRight w:val="0"/>
      <w:marTop w:val="0"/>
      <w:marBottom w:val="0"/>
      <w:divBdr>
        <w:top w:val="none" w:sz="0" w:space="0" w:color="auto"/>
        <w:left w:val="none" w:sz="0" w:space="0" w:color="auto"/>
        <w:bottom w:val="none" w:sz="0" w:space="0" w:color="auto"/>
        <w:right w:val="none" w:sz="0" w:space="0" w:color="auto"/>
      </w:divBdr>
    </w:div>
    <w:div w:id="328874556">
      <w:bodyDiv w:val="1"/>
      <w:marLeft w:val="0"/>
      <w:marRight w:val="0"/>
      <w:marTop w:val="0"/>
      <w:marBottom w:val="0"/>
      <w:divBdr>
        <w:top w:val="none" w:sz="0" w:space="0" w:color="auto"/>
        <w:left w:val="none" w:sz="0" w:space="0" w:color="auto"/>
        <w:bottom w:val="none" w:sz="0" w:space="0" w:color="auto"/>
        <w:right w:val="none" w:sz="0" w:space="0" w:color="auto"/>
      </w:divBdr>
    </w:div>
    <w:div w:id="334190442">
      <w:bodyDiv w:val="1"/>
      <w:marLeft w:val="0"/>
      <w:marRight w:val="0"/>
      <w:marTop w:val="0"/>
      <w:marBottom w:val="0"/>
      <w:divBdr>
        <w:top w:val="none" w:sz="0" w:space="0" w:color="auto"/>
        <w:left w:val="none" w:sz="0" w:space="0" w:color="auto"/>
        <w:bottom w:val="none" w:sz="0" w:space="0" w:color="auto"/>
        <w:right w:val="none" w:sz="0" w:space="0" w:color="auto"/>
      </w:divBdr>
    </w:div>
    <w:div w:id="335496270">
      <w:bodyDiv w:val="1"/>
      <w:marLeft w:val="0"/>
      <w:marRight w:val="0"/>
      <w:marTop w:val="0"/>
      <w:marBottom w:val="0"/>
      <w:divBdr>
        <w:top w:val="none" w:sz="0" w:space="0" w:color="auto"/>
        <w:left w:val="none" w:sz="0" w:space="0" w:color="auto"/>
        <w:bottom w:val="none" w:sz="0" w:space="0" w:color="auto"/>
        <w:right w:val="none" w:sz="0" w:space="0" w:color="auto"/>
      </w:divBdr>
    </w:div>
    <w:div w:id="336542782">
      <w:bodyDiv w:val="1"/>
      <w:marLeft w:val="0"/>
      <w:marRight w:val="0"/>
      <w:marTop w:val="0"/>
      <w:marBottom w:val="0"/>
      <w:divBdr>
        <w:top w:val="none" w:sz="0" w:space="0" w:color="auto"/>
        <w:left w:val="none" w:sz="0" w:space="0" w:color="auto"/>
        <w:bottom w:val="none" w:sz="0" w:space="0" w:color="auto"/>
        <w:right w:val="none" w:sz="0" w:space="0" w:color="auto"/>
      </w:divBdr>
      <w:divsChild>
        <w:div w:id="735129584">
          <w:marLeft w:val="274"/>
          <w:marRight w:val="0"/>
          <w:marTop w:val="0"/>
          <w:marBottom w:val="120"/>
          <w:divBdr>
            <w:top w:val="none" w:sz="0" w:space="0" w:color="auto"/>
            <w:left w:val="none" w:sz="0" w:space="0" w:color="auto"/>
            <w:bottom w:val="none" w:sz="0" w:space="0" w:color="auto"/>
            <w:right w:val="none" w:sz="0" w:space="0" w:color="auto"/>
          </w:divBdr>
        </w:div>
        <w:div w:id="855119157">
          <w:marLeft w:val="274"/>
          <w:marRight w:val="0"/>
          <w:marTop w:val="0"/>
          <w:marBottom w:val="120"/>
          <w:divBdr>
            <w:top w:val="none" w:sz="0" w:space="0" w:color="auto"/>
            <w:left w:val="none" w:sz="0" w:space="0" w:color="auto"/>
            <w:bottom w:val="none" w:sz="0" w:space="0" w:color="auto"/>
            <w:right w:val="none" w:sz="0" w:space="0" w:color="auto"/>
          </w:divBdr>
        </w:div>
        <w:div w:id="1023434887">
          <w:marLeft w:val="274"/>
          <w:marRight w:val="0"/>
          <w:marTop w:val="0"/>
          <w:marBottom w:val="120"/>
          <w:divBdr>
            <w:top w:val="none" w:sz="0" w:space="0" w:color="auto"/>
            <w:left w:val="none" w:sz="0" w:space="0" w:color="auto"/>
            <w:bottom w:val="none" w:sz="0" w:space="0" w:color="auto"/>
            <w:right w:val="none" w:sz="0" w:space="0" w:color="auto"/>
          </w:divBdr>
        </w:div>
        <w:div w:id="1032877099">
          <w:marLeft w:val="274"/>
          <w:marRight w:val="0"/>
          <w:marTop w:val="0"/>
          <w:marBottom w:val="120"/>
          <w:divBdr>
            <w:top w:val="none" w:sz="0" w:space="0" w:color="auto"/>
            <w:left w:val="none" w:sz="0" w:space="0" w:color="auto"/>
            <w:bottom w:val="none" w:sz="0" w:space="0" w:color="auto"/>
            <w:right w:val="none" w:sz="0" w:space="0" w:color="auto"/>
          </w:divBdr>
        </w:div>
        <w:div w:id="1413548298">
          <w:marLeft w:val="274"/>
          <w:marRight w:val="0"/>
          <w:marTop w:val="0"/>
          <w:marBottom w:val="120"/>
          <w:divBdr>
            <w:top w:val="none" w:sz="0" w:space="0" w:color="auto"/>
            <w:left w:val="none" w:sz="0" w:space="0" w:color="auto"/>
            <w:bottom w:val="none" w:sz="0" w:space="0" w:color="auto"/>
            <w:right w:val="none" w:sz="0" w:space="0" w:color="auto"/>
          </w:divBdr>
        </w:div>
      </w:divsChild>
    </w:div>
    <w:div w:id="337540950">
      <w:bodyDiv w:val="1"/>
      <w:marLeft w:val="0"/>
      <w:marRight w:val="0"/>
      <w:marTop w:val="0"/>
      <w:marBottom w:val="0"/>
      <w:divBdr>
        <w:top w:val="none" w:sz="0" w:space="0" w:color="auto"/>
        <w:left w:val="none" w:sz="0" w:space="0" w:color="auto"/>
        <w:bottom w:val="none" w:sz="0" w:space="0" w:color="auto"/>
        <w:right w:val="none" w:sz="0" w:space="0" w:color="auto"/>
      </w:divBdr>
    </w:div>
    <w:div w:id="342055857">
      <w:bodyDiv w:val="1"/>
      <w:marLeft w:val="0"/>
      <w:marRight w:val="0"/>
      <w:marTop w:val="0"/>
      <w:marBottom w:val="0"/>
      <w:divBdr>
        <w:top w:val="none" w:sz="0" w:space="0" w:color="auto"/>
        <w:left w:val="none" w:sz="0" w:space="0" w:color="auto"/>
        <w:bottom w:val="none" w:sz="0" w:space="0" w:color="auto"/>
        <w:right w:val="none" w:sz="0" w:space="0" w:color="auto"/>
      </w:divBdr>
    </w:div>
    <w:div w:id="356663398">
      <w:bodyDiv w:val="1"/>
      <w:marLeft w:val="0"/>
      <w:marRight w:val="0"/>
      <w:marTop w:val="0"/>
      <w:marBottom w:val="0"/>
      <w:divBdr>
        <w:top w:val="none" w:sz="0" w:space="0" w:color="auto"/>
        <w:left w:val="none" w:sz="0" w:space="0" w:color="auto"/>
        <w:bottom w:val="none" w:sz="0" w:space="0" w:color="auto"/>
        <w:right w:val="none" w:sz="0" w:space="0" w:color="auto"/>
      </w:divBdr>
    </w:div>
    <w:div w:id="357899362">
      <w:bodyDiv w:val="1"/>
      <w:marLeft w:val="0"/>
      <w:marRight w:val="0"/>
      <w:marTop w:val="0"/>
      <w:marBottom w:val="0"/>
      <w:divBdr>
        <w:top w:val="none" w:sz="0" w:space="0" w:color="auto"/>
        <w:left w:val="none" w:sz="0" w:space="0" w:color="auto"/>
        <w:bottom w:val="none" w:sz="0" w:space="0" w:color="auto"/>
        <w:right w:val="none" w:sz="0" w:space="0" w:color="auto"/>
      </w:divBdr>
    </w:div>
    <w:div w:id="359550822">
      <w:bodyDiv w:val="1"/>
      <w:marLeft w:val="0"/>
      <w:marRight w:val="0"/>
      <w:marTop w:val="0"/>
      <w:marBottom w:val="0"/>
      <w:divBdr>
        <w:top w:val="none" w:sz="0" w:space="0" w:color="auto"/>
        <w:left w:val="none" w:sz="0" w:space="0" w:color="auto"/>
        <w:bottom w:val="none" w:sz="0" w:space="0" w:color="auto"/>
        <w:right w:val="none" w:sz="0" w:space="0" w:color="auto"/>
      </w:divBdr>
    </w:div>
    <w:div w:id="367606187">
      <w:bodyDiv w:val="1"/>
      <w:marLeft w:val="0"/>
      <w:marRight w:val="0"/>
      <w:marTop w:val="0"/>
      <w:marBottom w:val="0"/>
      <w:divBdr>
        <w:top w:val="none" w:sz="0" w:space="0" w:color="auto"/>
        <w:left w:val="none" w:sz="0" w:space="0" w:color="auto"/>
        <w:bottom w:val="none" w:sz="0" w:space="0" w:color="auto"/>
        <w:right w:val="none" w:sz="0" w:space="0" w:color="auto"/>
      </w:divBdr>
    </w:div>
    <w:div w:id="374159429">
      <w:bodyDiv w:val="1"/>
      <w:marLeft w:val="0"/>
      <w:marRight w:val="0"/>
      <w:marTop w:val="0"/>
      <w:marBottom w:val="0"/>
      <w:divBdr>
        <w:top w:val="none" w:sz="0" w:space="0" w:color="auto"/>
        <w:left w:val="none" w:sz="0" w:space="0" w:color="auto"/>
        <w:bottom w:val="none" w:sz="0" w:space="0" w:color="auto"/>
        <w:right w:val="none" w:sz="0" w:space="0" w:color="auto"/>
      </w:divBdr>
    </w:div>
    <w:div w:id="377122995">
      <w:bodyDiv w:val="1"/>
      <w:marLeft w:val="0"/>
      <w:marRight w:val="0"/>
      <w:marTop w:val="0"/>
      <w:marBottom w:val="0"/>
      <w:divBdr>
        <w:top w:val="none" w:sz="0" w:space="0" w:color="auto"/>
        <w:left w:val="none" w:sz="0" w:space="0" w:color="auto"/>
        <w:bottom w:val="none" w:sz="0" w:space="0" w:color="auto"/>
        <w:right w:val="none" w:sz="0" w:space="0" w:color="auto"/>
      </w:divBdr>
    </w:div>
    <w:div w:id="379941992">
      <w:bodyDiv w:val="1"/>
      <w:marLeft w:val="0"/>
      <w:marRight w:val="0"/>
      <w:marTop w:val="0"/>
      <w:marBottom w:val="0"/>
      <w:divBdr>
        <w:top w:val="none" w:sz="0" w:space="0" w:color="auto"/>
        <w:left w:val="none" w:sz="0" w:space="0" w:color="auto"/>
        <w:bottom w:val="none" w:sz="0" w:space="0" w:color="auto"/>
        <w:right w:val="none" w:sz="0" w:space="0" w:color="auto"/>
      </w:divBdr>
    </w:div>
    <w:div w:id="390542361">
      <w:bodyDiv w:val="1"/>
      <w:marLeft w:val="0"/>
      <w:marRight w:val="0"/>
      <w:marTop w:val="0"/>
      <w:marBottom w:val="0"/>
      <w:divBdr>
        <w:top w:val="none" w:sz="0" w:space="0" w:color="auto"/>
        <w:left w:val="none" w:sz="0" w:space="0" w:color="auto"/>
        <w:bottom w:val="none" w:sz="0" w:space="0" w:color="auto"/>
        <w:right w:val="none" w:sz="0" w:space="0" w:color="auto"/>
      </w:divBdr>
    </w:div>
    <w:div w:id="393623514">
      <w:bodyDiv w:val="1"/>
      <w:marLeft w:val="0"/>
      <w:marRight w:val="0"/>
      <w:marTop w:val="0"/>
      <w:marBottom w:val="0"/>
      <w:divBdr>
        <w:top w:val="none" w:sz="0" w:space="0" w:color="auto"/>
        <w:left w:val="none" w:sz="0" w:space="0" w:color="auto"/>
        <w:bottom w:val="none" w:sz="0" w:space="0" w:color="auto"/>
        <w:right w:val="none" w:sz="0" w:space="0" w:color="auto"/>
      </w:divBdr>
    </w:div>
    <w:div w:id="421533427">
      <w:bodyDiv w:val="1"/>
      <w:marLeft w:val="0"/>
      <w:marRight w:val="0"/>
      <w:marTop w:val="0"/>
      <w:marBottom w:val="0"/>
      <w:divBdr>
        <w:top w:val="none" w:sz="0" w:space="0" w:color="auto"/>
        <w:left w:val="none" w:sz="0" w:space="0" w:color="auto"/>
        <w:bottom w:val="none" w:sz="0" w:space="0" w:color="auto"/>
        <w:right w:val="none" w:sz="0" w:space="0" w:color="auto"/>
      </w:divBdr>
    </w:div>
    <w:div w:id="422801793">
      <w:bodyDiv w:val="1"/>
      <w:marLeft w:val="0"/>
      <w:marRight w:val="0"/>
      <w:marTop w:val="0"/>
      <w:marBottom w:val="0"/>
      <w:divBdr>
        <w:top w:val="none" w:sz="0" w:space="0" w:color="auto"/>
        <w:left w:val="none" w:sz="0" w:space="0" w:color="auto"/>
        <w:bottom w:val="none" w:sz="0" w:space="0" w:color="auto"/>
        <w:right w:val="none" w:sz="0" w:space="0" w:color="auto"/>
      </w:divBdr>
    </w:div>
    <w:div w:id="429207330">
      <w:bodyDiv w:val="1"/>
      <w:marLeft w:val="0"/>
      <w:marRight w:val="0"/>
      <w:marTop w:val="0"/>
      <w:marBottom w:val="0"/>
      <w:divBdr>
        <w:top w:val="none" w:sz="0" w:space="0" w:color="auto"/>
        <w:left w:val="none" w:sz="0" w:space="0" w:color="auto"/>
        <w:bottom w:val="none" w:sz="0" w:space="0" w:color="auto"/>
        <w:right w:val="none" w:sz="0" w:space="0" w:color="auto"/>
      </w:divBdr>
    </w:div>
    <w:div w:id="430248938">
      <w:bodyDiv w:val="1"/>
      <w:marLeft w:val="0"/>
      <w:marRight w:val="0"/>
      <w:marTop w:val="0"/>
      <w:marBottom w:val="0"/>
      <w:divBdr>
        <w:top w:val="none" w:sz="0" w:space="0" w:color="auto"/>
        <w:left w:val="none" w:sz="0" w:space="0" w:color="auto"/>
        <w:bottom w:val="none" w:sz="0" w:space="0" w:color="auto"/>
        <w:right w:val="none" w:sz="0" w:space="0" w:color="auto"/>
      </w:divBdr>
    </w:div>
    <w:div w:id="432550937">
      <w:bodyDiv w:val="1"/>
      <w:marLeft w:val="0"/>
      <w:marRight w:val="0"/>
      <w:marTop w:val="0"/>
      <w:marBottom w:val="0"/>
      <w:divBdr>
        <w:top w:val="none" w:sz="0" w:space="0" w:color="auto"/>
        <w:left w:val="none" w:sz="0" w:space="0" w:color="auto"/>
        <w:bottom w:val="none" w:sz="0" w:space="0" w:color="auto"/>
        <w:right w:val="none" w:sz="0" w:space="0" w:color="auto"/>
      </w:divBdr>
      <w:divsChild>
        <w:div w:id="2069500223">
          <w:marLeft w:val="0"/>
          <w:marRight w:val="0"/>
          <w:marTop w:val="0"/>
          <w:marBottom w:val="0"/>
          <w:divBdr>
            <w:top w:val="none" w:sz="0" w:space="0" w:color="auto"/>
            <w:left w:val="none" w:sz="0" w:space="0" w:color="auto"/>
            <w:bottom w:val="none" w:sz="0" w:space="0" w:color="auto"/>
            <w:right w:val="none" w:sz="0" w:space="0" w:color="auto"/>
          </w:divBdr>
        </w:div>
        <w:div w:id="1817723789">
          <w:marLeft w:val="0"/>
          <w:marRight w:val="0"/>
          <w:marTop w:val="0"/>
          <w:marBottom w:val="0"/>
          <w:divBdr>
            <w:top w:val="none" w:sz="0" w:space="0" w:color="auto"/>
            <w:left w:val="none" w:sz="0" w:space="0" w:color="auto"/>
            <w:bottom w:val="none" w:sz="0" w:space="0" w:color="auto"/>
            <w:right w:val="none" w:sz="0" w:space="0" w:color="auto"/>
          </w:divBdr>
          <w:divsChild>
            <w:div w:id="428963898">
              <w:marLeft w:val="0"/>
              <w:marRight w:val="0"/>
              <w:marTop w:val="0"/>
              <w:marBottom w:val="0"/>
              <w:divBdr>
                <w:top w:val="none" w:sz="0" w:space="0" w:color="auto"/>
                <w:left w:val="none" w:sz="0" w:space="0" w:color="auto"/>
                <w:bottom w:val="none" w:sz="0" w:space="0" w:color="auto"/>
                <w:right w:val="none" w:sz="0" w:space="0" w:color="auto"/>
              </w:divBdr>
              <w:divsChild>
                <w:div w:id="266738397">
                  <w:marLeft w:val="0"/>
                  <w:marRight w:val="0"/>
                  <w:marTop w:val="0"/>
                  <w:marBottom w:val="0"/>
                  <w:divBdr>
                    <w:top w:val="none" w:sz="0" w:space="0" w:color="auto"/>
                    <w:left w:val="none" w:sz="0" w:space="0" w:color="auto"/>
                    <w:bottom w:val="none" w:sz="0" w:space="0" w:color="auto"/>
                    <w:right w:val="none" w:sz="0" w:space="0" w:color="auto"/>
                  </w:divBdr>
                  <w:divsChild>
                    <w:div w:id="1578369084">
                      <w:marLeft w:val="0"/>
                      <w:marRight w:val="0"/>
                      <w:marTop w:val="0"/>
                      <w:marBottom w:val="0"/>
                      <w:divBdr>
                        <w:top w:val="none" w:sz="0" w:space="0" w:color="auto"/>
                        <w:left w:val="none" w:sz="0" w:space="0" w:color="auto"/>
                        <w:bottom w:val="none" w:sz="0" w:space="0" w:color="auto"/>
                        <w:right w:val="none" w:sz="0" w:space="0" w:color="auto"/>
                      </w:divBdr>
                      <w:divsChild>
                        <w:div w:id="1709647490">
                          <w:marLeft w:val="0"/>
                          <w:marRight w:val="0"/>
                          <w:marTop w:val="0"/>
                          <w:marBottom w:val="0"/>
                          <w:divBdr>
                            <w:top w:val="none" w:sz="0" w:space="0" w:color="auto"/>
                            <w:left w:val="none" w:sz="0" w:space="0" w:color="auto"/>
                            <w:bottom w:val="none" w:sz="0" w:space="0" w:color="auto"/>
                            <w:right w:val="none" w:sz="0" w:space="0" w:color="auto"/>
                          </w:divBdr>
                          <w:divsChild>
                            <w:div w:id="871111788">
                              <w:marLeft w:val="-225"/>
                              <w:marRight w:val="-225"/>
                              <w:marTop w:val="0"/>
                              <w:marBottom w:val="0"/>
                              <w:divBdr>
                                <w:top w:val="none" w:sz="0" w:space="0" w:color="auto"/>
                                <w:left w:val="none" w:sz="0" w:space="0" w:color="auto"/>
                                <w:bottom w:val="none" w:sz="0" w:space="0" w:color="auto"/>
                                <w:right w:val="none" w:sz="0" w:space="0" w:color="auto"/>
                              </w:divBdr>
                              <w:divsChild>
                                <w:div w:id="4433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285375">
      <w:bodyDiv w:val="1"/>
      <w:marLeft w:val="0"/>
      <w:marRight w:val="0"/>
      <w:marTop w:val="0"/>
      <w:marBottom w:val="0"/>
      <w:divBdr>
        <w:top w:val="none" w:sz="0" w:space="0" w:color="auto"/>
        <w:left w:val="none" w:sz="0" w:space="0" w:color="auto"/>
        <w:bottom w:val="none" w:sz="0" w:space="0" w:color="auto"/>
        <w:right w:val="none" w:sz="0" w:space="0" w:color="auto"/>
      </w:divBdr>
      <w:divsChild>
        <w:div w:id="236020273">
          <w:marLeft w:val="274"/>
          <w:marRight w:val="0"/>
          <w:marTop w:val="0"/>
          <w:marBottom w:val="120"/>
          <w:divBdr>
            <w:top w:val="none" w:sz="0" w:space="0" w:color="auto"/>
            <w:left w:val="none" w:sz="0" w:space="0" w:color="auto"/>
            <w:bottom w:val="none" w:sz="0" w:space="0" w:color="auto"/>
            <w:right w:val="none" w:sz="0" w:space="0" w:color="auto"/>
          </w:divBdr>
        </w:div>
      </w:divsChild>
    </w:div>
    <w:div w:id="436214173">
      <w:bodyDiv w:val="1"/>
      <w:marLeft w:val="0"/>
      <w:marRight w:val="0"/>
      <w:marTop w:val="0"/>
      <w:marBottom w:val="0"/>
      <w:divBdr>
        <w:top w:val="none" w:sz="0" w:space="0" w:color="auto"/>
        <w:left w:val="none" w:sz="0" w:space="0" w:color="auto"/>
        <w:bottom w:val="none" w:sz="0" w:space="0" w:color="auto"/>
        <w:right w:val="none" w:sz="0" w:space="0" w:color="auto"/>
      </w:divBdr>
    </w:div>
    <w:div w:id="451175824">
      <w:bodyDiv w:val="1"/>
      <w:marLeft w:val="0"/>
      <w:marRight w:val="0"/>
      <w:marTop w:val="0"/>
      <w:marBottom w:val="0"/>
      <w:divBdr>
        <w:top w:val="none" w:sz="0" w:space="0" w:color="auto"/>
        <w:left w:val="none" w:sz="0" w:space="0" w:color="auto"/>
        <w:bottom w:val="none" w:sz="0" w:space="0" w:color="auto"/>
        <w:right w:val="none" w:sz="0" w:space="0" w:color="auto"/>
      </w:divBdr>
    </w:div>
    <w:div w:id="462768550">
      <w:bodyDiv w:val="1"/>
      <w:marLeft w:val="0"/>
      <w:marRight w:val="0"/>
      <w:marTop w:val="0"/>
      <w:marBottom w:val="0"/>
      <w:divBdr>
        <w:top w:val="none" w:sz="0" w:space="0" w:color="auto"/>
        <w:left w:val="none" w:sz="0" w:space="0" w:color="auto"/>
        <w:bottom w:val="none" w:sz="0" w:space="0" w:color="auto"/>
        <w:right w:val="none" w:sz="0" w:space="0" w:color="auto"/>
      </w:divBdr>
    </w:div>
    <w:div w:id="477504494">
      <w:bodyDiv w:val="1"/>
      <w:marLeft w:val="0"/>
      <w:marRight w:val="0"/>
      <w:marTop w:val="0"/>
      <w:marBottom w:val="0"/>
      <w:divBdr>
        <w:top w:val="none" w:sz="0" w:space="0" w:color="auto"/>
        <w:left w:val="none" w:sz="0" w:space="0" w:color="auto"/>
        <w:bottom w:val="none" w:sz="0" w:space="0" w:color="auto"/>
        <w:right w:val="none" w:sz="0" w:space="0" w:color="auto"/>
      </w:divBdr>
    </w:div>
    <w:div w:id="488864674">
      <w:bodyDiv w:val="1"/>
      <w:marLeft w:val="0"/>
      <w:marRight w:val="0"/>
      <w:marTop w:val="0"/>
      <w:marBottom w:val="0"/>
      <w:divBdr>
        <w:top w:val="none" w:sz="0" w:space="0" w:color="auto"/>
        <w:left w:val="none" w:sz="0" w:space="0" w:color="auto"/>
        <w:bottom w:val="none" w:sz="0" w:space="0" w:color="auto"/>
        <w:right w:val="none" w:sz="0" w:space="0" w:color="auto"/>
      </w:divBdr>
    </w:div>
    <w:div w:id="495614888">
      <w:bodyDiv w:val="1"/>
      <w:marLeft w:val="0"/>
      <w:marRight w:val="0"/>
      <w:marTop w:val="0"/>
      <w:marBottom w:val="0"/>
      <w:divBdr>
        <w:top w:val="none" w:sz="0" w:space="0" w:color="auto"/>
        <w:left w:val="none" w:sz="0" w:space="0" w:color="auto"/>
        <w:bottom w:val="none" w:sz="0" w:space="0" w:color="auto"/>
        <w:right w:val="none" w:sz="0" w:space="0" w:color="auto"/>
      </w:divBdr>
    </w:div>
    <w:div w:id="496962109">
      <w:bodyDiv w:val="1"/>
      <w:marLeft w:val="0"/>
      <w:marRight w:val="0"/>
      <w:marTop w:val="0"/>
      <w:marBottom w:val="0"/>
      <w:divBdr>
        <w:top w:val="none" w:sz="0" w:space="0" w:color="auto"/>
        <w:left w:val="none" w:sz="0" w:space="0" w:color="auto"/>
        <w:bottom w:val="none" w:sz="0" w:space="0" w:color="auto"/>
        <w:right w:val="none" w:sz="0" w:space="0" w:color="auto"/>
      </w:divBdr>
    </w:div>
    <w:div w:id="498735838">
      <w:bodyDiv w:val="1"/>
      <w:marLeft w:val="0"/>
      <w:marRight w:val="0"/>
      <w:marTop w:val="0"/>
      <w:marBottom w:val="0"/>
      <w:divBdr>
        <w:top w:val="none" w:sz="0" w:space="0" w:color="auto"/>
        <w:left w:val="none" w:sz="0" w:space="0" w:color="auto"/>
        <w:bottom w:val="none" w:sz="0" w:space="0" w:color="auto"/>
        <w:right w:val="none" w:sz="0" w:space="0" w:color="auto"/>
      </w:divBdr>
    </w:div>
    <w:div w:id="503740091">
      <w:bodyDiv w:val="1"/>
      <w:marLeft w:val="0"/>
      <w:marRight w:val="0"/>
      <w:marTop w:val="0"/>
      <w:marBottom w:val="0"/>
      <w:divBdr>
        <w:top w:val="none" w:sz="0" w:space="0" w:color="auto"/>
        <w:left w:val="none" w:sz="0" w:space="0" w:color="auto"/>
        <w:bottom w:val="none" w:sz="0" w:space="0" w:color="auto"/>
        <w:right w:val="none" w:sz="0" w:space="0" w:color="auto"/>
      </w:divBdr>
    </w:div>
    <w:div w:id="516892277">
      <w:bodyDiv w:val="1"/>
      <w:marLeft w:val="0"/>
      <w:marRight w:val="0"/>
      <w:marTop w:val="0"/>
      <w:marBottom w:val="0"/>
      <w:divBdr>
        <w:top w:val="none" w:sz="0" w:space="0" w:color="auto"/>
        <w:left w:val="none" w:sz="0" w:space="0" w:color="auto"/>
        <w:bottom w:val="none" w:sz="0" w:space="0" w:color="auto"/>
        <w:right w:val="none" w:sz="0" w:space="0" w:color="auto"/>
      </w:divBdr>
    </w:div>
    <w:div w:id="531962529">
      <w:bodyDiv w:val="1"/>
      <w:marLeft w:val="0"/>
      <w:marRight w:val="0"/>
      <w:marTop w:val="0"/>
      <w:marBottom w:val="0"/>
      <w:divBdr>
        <w:top w:val="none" w:sz="0" w:space="0" w:color="auto"/>
        <w:left w:val="none" w:sz="0" w:space="0" w:color="auto"/>
        <w:bottom w:val="none" w:sz="0" w:space="0" w:color="auto"/>
        <w:right w:val="none" w:sz="0" w:space="0" w:color="auto"/>
      </w:divBdr>
    </w:div>
    <w:div w:id="537671406">
      <w:bodyDiv w:val="1"/>
      <w:marLeft w:val="0"/>
      <w:marRight w:val="0"/>
      <w:marTop w:val="0"/>
      <w:marBottom w:val="0"/>
      <w:divBdr>
        <w:top w:val="none" w:sz="0" w:space="0" w:color="auto"/>
        <w:left w:val="none" w:sz="0" w:space="0" w:color="auto"/>
        <w:bottom w:val="none" w:sz="0" w:space="0" w:color="auto"/>
        <w:right w:val="none" w:sz="0" w:space="0" w:color="auto"/>
      </w:divBdr>
    </w:div>
    <w:div w:id="540480414">
      <w:bodyDiv w:val="1"/>
      <w:marLeft w:val="0"/>
      <w:marRight w:val="0"/>
      <w:marTop w:val="0"/>
      <w:marBottom w:val="0"/>
      <w:divBdr>
        <w:top w:val="none" w:sz="0" w:space="0" w:color="auto"/>
        <w:left w:val="none" w:sz="0" w:space="0" w:color="auto"/>
        <w:bottom w:val="none" w:sz="0" w:space="0" w:color="auto"/>
        <w:right w:val="none" w:sz="0" w:space="0" w:color="auto"/>
      </w:divBdr>
    </w:div>
    <w:div w:id="541016910">
      <w:bodyDiv w:val="1"/>
      <w:marLeft w:val="0"/>
      <w:marRight w:val="0"/>
      <w:marTop w:val="0"/>
      <w:marBottom w:val="0"/>
      <w:divBdr>
        <w:top w:val="none" w:sz="0" w:space="0" w:color="auto"/>
        <w:left w:val="none" w:sz="0" w:space="0" w:color="auto"/>
        <w:bottom w:val="none" w:sz="0" w:space="0" w:color="auto"/>
        <w:right w:val="none" w:sz="0" w:space="0" w:color="auto"/>
      </w:divBdr>
    </w:div>
    <w:div w:id="543521904">
      <w:bodyDiv w:val="1"/>
      <w:marLeft w:val="0"/>
      <w:marRight w:val="0"/>
      <w:marTop w:val="0"/>
      <w:marBottom w:val="0"/>
      <w:divBdr>
        <w:top w:val="none" w:sz="0" w:space="0" w:color="auto"/>
        <w:left w:val="none" w:sz="0" w:space="0" w:color="auto"/>
        <w:bottom w:val="none" w:sz="0" w:space="0" w:color="auto"/>
        <w:right w:val="none" w:sz="0" w:space="0" w:color="auto"/>
      </w:divBdr>
    </w:div>
    <w:div w:id="550313596">
      <w:bodyDiv w:val="1"/>
      <w:marLeft w:val="0"/>
      <w:marRight w:val="0"/>
      <w:marTop w:val="0"/>
      <w:marBottom w:val="0"/>
      <w:divBdr>
        <w:top w:val="none" w:sz="0" w:space="0" w:color="auto"/>
        <w:left w:val="none" w:sz="0" w:space="0" w:color="auto"/>
        <w:bottom w:val="none" w:sz="0" w:space="0" w:color="auto"/>
        <w:right w:val="none" w:sz="0" w:space="0" w:color="auto"/>
      </w:divBdr>
    </w:div>
    <w:div w:id="555816387">
      <w:bodyDiv w:val="1"/>
      <w:marLeft w:val="0"/>
      <w:marRight w:val="0"/>
      <w:marTop w:val="0"/>
      <w:marBottom w:val="0"/>
      <w:divBdr>
        <w:top w:val="none" w:sz="0" w:space="0" w:color="auto"/>
        <w:left w:val="none" w:sz="0" w:space="0" w:color="auto"/>
        <w:bottom w:val="none" w:sz="0" w:space="0" w:color="auto"/>
        <w:right w:val="none" w:sz="0" w:space="0" w:color="auto"/>
      </w:divBdr>
    </w:div>
    <w:div w:id="574432729">
      <w:bodyDiv w:val="1"/>
      <w:marLeft w:val="0"/>
      <w:marRight w:val="0"/>
      <w:marTop w:val="0"/>
      <w:marBottom w:val="0"/>
      <w:divBdr>
        <w:top w:val="none" w:sz="0" w:space="0" w:color="auto"/>
        <w:left w:val="none" w:sz="0" w:space="0" w:color="auto"/>
        <w:bottom w:val="none" w:sz="0" w:space="0" w:color="auto"/>
        <w:right w:val="none" w:sz="0" w:space="0" w:color="auto"/>
      </w:divBdr>
    </w:div>
    <w:div w:id="582296336">
      <w:bodyDiv w:val="1"/>
      <w:marLeft w:val="0"/>
      <w:marRight w:val="0"/>
      <w:marTop w:val="0"/>
      <w:marBottom w:val="0"/>
      <w:divBdr>
        <w:top w:val="none" w:sz="0" w:space="0" w:color="auto"/>
        <w:left w:val="none" w:sz="0" w:space="0" w:color="auto"/>
        <w:bottom w:val="none" w:sz="0" w:space="0" w:color="auto"/>
        <w:right w:val="none" w:sz="0" w:space="0" w:color="auto"/>
      </w:divBdr>
      <w:divsChild>
        <w:div w:id="2144535967">
          <w:marLeft w:val="274"/>
          <w:marRight w:val="0"/>
          <w:marTop w:val="0"/>
          <w:marBottom w:val="120"/>
          <w:divBdr>
            <w:top w:val="none" w:sz="0" w:space="0" w:color="auto"/>
            <w:left w:val="none" w:sz="0" w:space="0" w:color="auto"/>
            <w:bottom w:val="none" w:sz="0" w:space="0" w:color="auto"/>
            <w:right w:val="none" w:sz="0" w:space="0" w:color="auto"/>
          </w:divBdr>
        </w:div>
      </w:divsChild>
    </w:div>
    <w:div w:id="587269658">
      <w:bodyDiv w:val="1"/>
      <w:marLeft w:val="0"/>
      <w:marRight w:val="0"/>
      <w:marTop w:val="0"/>
      <w:marBottom w:val="0"/>
      <w:divBdr>
        <w:top w:val="none" w:sz="0" w:space="0" w:color="auto"/>
        <w:left w:val="none" w:sz="0" w:space="0" w:color="auto"/>
        <w:bottom w:val="none" w:sz="0" w:space="0" w:color="auto"/>
        <w:right w:val="none" w:sz="0" w:space="0" w:color="auto"/>
      </w:divBdr>
    </w:div>
    <w:div w:id="604072092">
      <w:bodyDiv w:val="1"/>
      <w:marLeft w:val="0"/>
      <w:marRight w:val="0"/>
      <w:marTop w:val="0"/>
      <w:marBottom w:val="0"/>
      <w:divBdr>
        <w:top w:val="none" w:sz="0" w:space="0" w:color="auto"/>
        <w:left w:val="none" w:sz="0" w:space="0" w:color="auto"/>
        <w:bottom w:val="none" w:sz="0" w:space="0" w:color="auto"/>
        <w:right w:val="none" w:sz="0" w:space="0" w:color="auto"/>
      </w:divBdr>
    </w:div>
    <w:div w:id="628753190">
      <w:bodyDiv w:val="1"/>
      <w:marLeft w:val="0"/>
      <w:marRight w:val="0"/>
      <w:marTop w:val="0"/>
      <w:marBottom w:val="0"/>
      <w:divBdr>
        <w:top w:val="none" w:sz="0" w:space="0" w:color="auto"/>
        <w:left w:val="none" w:sz="0" w:space="0" w:color="auto"/>
        <w:bottom w:val="none" w:sz="0" w:space="0" w:color="auto"/>
        <w:right w:val="none" w:sz="0" w:space="0" w:color="auto"/>
      </w:divBdr>
    </w:div>
    <w:div w:id="632828315">
      <w:bodyDiv w:val="1"/>
      <w:marLeft w:val="0"/>
      <w:marRight w:val="0"/>
      <w:marTop w:val="0"/>
      <w:marBottom w:val="0"/>
      <w:divBdr>
        <w:top w:val="none" w:sz="0" w:space="0" w:color="auto"/>
        <w:left w:val="none" w:sz="0" w:space="0" w:color="auto"/>
        <w:bottom w:val="none" w:sz="0" w:space="0" w:color="auto"/>
        <w:right w:val="none" w:sz="0" w:space="0" w:color="auto"/>
      </w:divBdr>
    </w:div>
    <w:div w:id="668673875">
      <w:bodyDiv w:val="1"/>
      <w:marLeft w:val="0"/>
      <w:marRight w:val="0"/>
      <w:marTop w:val="0"/>
      <w:marBottom w:val="0"/>
      <w:divBdr>
        <w:top w:val="none" w:sz="0" w:space="0" w:color="auto"/>
        <w:left w:val="none" w:sz="0" w:space="0" w:color="auto"/>
        <w:bottom w:val="none" w:sz="0" w:space="0" w:color="auto"/>
        <w:right w:val="none" w:sz="0" w:space="0" w:color="auto"/>
      </w:divBdr>
    </w:div>
    <w:div w:id="681392991">
      <w:bodyDiv w:val="1"/>
      <w:marLeft w:val="0"/>
      <w:marRight w:val="0"/>
      <w:marTop w:val="0"/>
      <w:marBottom w:val="0"/>
      <w:divBdr>
        <w:top w:val="none" w:sz="0" w:space="0" w:color="auto"/>
        <w:left w:val="none" w:sz="0" w:space="0" w:color="auto"/>
        <w:bottom w:val="none" w:sz="0" w:space="0" w:color="auto"/>
        <w:right w:val="none" w:sz="0" w:space="0" w:color="auto"/>
      </w:divBdr>
    </w:div>
    <w:div w:id="688222279">
      <w:bodyDiv w:val="1"/>
      <w:marLeft w:val="0"/>
      <w:marRight w:val="0"/>
      <w:marTop w:val="0"/>
      <w:marBottom w:val="0"/>
      <w:divBdr>
        <w:top w:val="none" w:sz="0" w:space="0" w:color="auto"/>
        <w:left w:val="none" w:sz="0" w:space="0" w:color="auto"/>
        <w:bottom w:val="none" w:sz="0" w:space="0" w:color="auto"/>
        <w:right w:val="none" w:sz="0" w:space="0" w:color="auto"/>
      </w:divBdr>
    </w:div>
    <w:div w:id="689794435">
      <w:bodyDiv w:val="1"/>
      <w:marLeft w:val="0"/>
      <w:marRight w:val="0"/>
      <w:marTop w:val="0"/>
      <w:marBottom w:val="0"/>
      <w:divBdr>
        <w:top w:val="none" w:sz="0" w:space="0" w:color="auto"/>
        <w:left w:val="none" w:sz="0" w:space="0" w:color="auto"/>
        <w:bottom w:val="none" w:sz="0" w:space="0" w:color="auto"/>
        <w:right w:val="none" w:sz="0" w:space="0" w:color="auto"/>
      </w:divBdr>
    </w:div>
    <w:div w:id="696082705">
      <w:bodyDiv w:val="1"/>
      <w:marLeft w:val="0"/>
      <w:marRight w:val="0"/>
      <w:marTop w:val="0"/>
      <w:marBottom w:val="0"/>
      <w:divBdr>
        <w:top w:val="none" w:sz="0" w:space="0" w:color="auto"/>
        <w:left w:val="none" w:sz="0" w:space="0" w:color="auto"/>
        <w:bottom w:val="none" w:sz="0" w:space="0" w:color="auto"/>
        <w:right w:val="none" w:sz="0" w:space="0" w:color="auto"/>
      </w:divBdr>
    </w:div>
    <w:div w:id="704867061">
      <w:bodyDiv w:val="1"/>
      <w:marLeft w:val="0"/>
      <w:marRight w:val="0"/>
      <w:marTop w:val="0"/>
      <w:marBottom w:val="0"/>
      <w:divBdr>
        <w:top w:val="none" w:sz="0" w:space="0" w:color="auto"/>
        <w:left w:val="none" w:sz="0" w:space="0" w:color="auto"/>
        <w:bottom w:val="none" w:sz="0" w:space="0" w:color="auto"/>
        <w:right w:val="none" w:sz="0" w:space="0" w:color="auto"/>
      </w:divBdr>
    </w:div>
    <w:div w:id="707493550">
      <w:bodyDiv w:val="1"/>
      <w:marLeft w:val="0"/>
      <w:marRight w:val="0"/>
      <w:marTop w:val="0"/>
      <w:marBottom w:val="0"/>
      <w:divBdr>
        <w:top w:val="none" w:sz="0" w:space="0" w:color="auto"/>
        <w:left w:val="none" w:sz="0" w:space="0" w:color="auto"/>
        <w:bottom w:val="none" w:sz="0" w:space="0" w:color="auto"/>
        <w:right w:val="none" w:sz="0" w:space="0" w:color="auto"/>
      </w:divBdr>
    </w:div>
    <w:div w:id="714233441">
      <w:bodyDiv w:val="1"/>
      <w:marLeft w:val="0"/>
      <w:marRight w:val="0"/>
      <w:marTop w:val="0"/>
      <w:marBottom w:val="0"/>
      <w:divBdr>
        <w:top w:val="none" w:sz="0" w:space="0" w:color="auto"/>
        <w:left w:val="none" w:sz="0" w:space="0" w:color="auto"/>
        <w:bottom w:val="none" w:sz="0" w:space="0" w:color="auto"/>
        <w:right w:val="none" w:sz="0" w:space="0" w:color="auto"/>
      </w:divBdr>
    </w:div>
    <w:div w:id="723259424">
      <w:bodyDiv w:val="1"/>
      <w:marLeft w:val="0"/>
      <w:marRight w:val="0"/>
      <w:marTop w:val="0"/>
      <w:marBottom w:val="0"/>
      <w:divBdr>
        <w:top w:val="none" w:sz="0" w:space="0" w:color="auto"/>
        <w:left w:val="none" w:sz="0" w:space="0" w:color="auto"/>
        <w:bottom w:val="none" w:sz="0" w:space="0" w:color="auto"/>
        <w:right w:val="none" w:sz="0" w:space="0" w:color="auto"/>
      </w:divBdr>
    </w:div>
    <w:div w:id="735279563">
      <w:bodyDiv w:val="1"/>
      <w:marLeft w:val="0"/>
      <w:marRight w:val="0"/>
      <w:marTop w:val="0"/>
      <w:marBottom w:val="0"/>
      <w:divBdr>
        <w:top w:val="none" w:sz="0" w:space="0" w:color="auto"/>
        <w:left w:val="none" w:sz="0" w:space="0" w:color="auto"/>
        <w:bottom w:val="none" w:sz="0" w:space="0" w:color="auto"/>
        <w:right w:val="none" w:sz="0" w:space="0" w:color="auto"/>
      </w:divBdr>
    </w:div>
    <w:div w:id="736318468">
      <w:bodyDiv w:val="1"/>
      <w:marLeft w:val="0"/>
      <w:marRight w:val="0"/>
      <w:marTop w:val="0"/>
      <w:marBottom w:val="0"/>
      <w:divBdr>
        <w:top w:val="none" w:sz="0" w:space="0" w:color="auto"/>
        <w:left w:val="none" w:sz="0" w:space="0" w:color="auto"/>
        <w:bottom w:val="none" w:sz="0" w:space="0" w:color="auto"/>
        <w:right w:val="none" w:sz="0" w:space="0" w:color="auto"/>
      </w:divBdr>
    </w:div>
    <w:div w:id="736901873">
      <w:bodyDiv w:val="1"/>
      <w:marLeft w:val="0"/>
      <w:marRight w:val="0"/>
      <w:marTop w:val="0"/>
      <w:marBottom w:val="0"/>
      <w:divBdr>
        <w:top w:val="none" w:sz="0" w:space="0" w:color="auto"/>
        <w:left w:val="none" w:sz="0" w:space="0" w:color="auto"/>
        <w:bottom w:val="none" w:sz="0" w:space="0" w:color="auto"/>
        <w:right w:val="none" w:sz="0" w:space="0" w:color="auto"/>
      </w:divBdr>
    </w:div>
    <w:div w:id="741877951">
      <w:bodyDiv w:val="1"/>
      <w:marLeft w:val="0"/>
      <w:marRight w:val="0"/>
      <w:marTop w:val="0"/>
      <w:marBottom w:val="0"/>
      <w:divBdr>
        <w:top w:val="none" w:sz="0" w:space="0" w:color="auto"/>
        <w:left w:val="none" w:sz="0" w:space="0" w:color="auto"/>
        <w:bottom w:val="none" w:sz="0" w:space="0" w:color="auto"/>
        <w:right w:val="none" w:sz="0" w:space="0" w:color="auto"/>
      </w:divBdr>
    </w:div>
    <w:div w:id="747113666">
      <w:bodyDiv w:val="1"/>
      <w:marLeft w:val="0"/>
      <w:marRight w:val="0"/>
      <w:marTop w:val="0"/>
      <w:marBottom w:val="0"/>
      <w:divBdr>
        <w:top w:val="none" w:sz="0" w:space="0" w:color="auto"/>
        <w:left w:val="none" w:sz="0" w:space="0" w:color="auto"/>
        <w:bottom w:val="none" w:sz="0" w:space="0" w:color="auto"/>
        <w:right w:val="none" w:sz="0" w:space="0" w:color="auto"/>
      </w:divBdr>
    </w:div>
    <w:div w:id="747385179">
      <w:bodyDiv w:val="1"/>
      <w:marLeft w:val="0"/>
      <w:marRight w:val="0"/>
      <w:marTop w:val="0"/>
      <w:marBottom w:val="0"/>
      <w:divBdr>
        <w:top w:val="none" w:sz="0" w:space="0" w:color="auto"/>
        <w:left w:val="none" w:sz="0" w:space="0" w:color="auto"/>
        <w:bottom w:val="none" w:sz="0" w:space="0" w:color="auto"/>
        <w:right w:val="none" w:sz="0" w:space="0" w:color="auto"/>
      </w:divBdr>
      <w:divsChild>
        <w:div w:id="251595838">
          <w:marLeft w:val="274"/>
          <w:marRight w:val="0"/>
          <w:marTop w:val="0"/>
          <w:marBottom w:val="120"/>
          <w:divBdr>
            <w:top w:val="none" w:sz="0" w:space="0" w:color="auto"/>
            <w:left w:val="none" w:sz="0" w:space="0" w:color="auto"/>
            <w:bottom w:val="none" w:sz="0" w:space="0" w:color="auto"/>
            <w:right w:val="none" w:sz="0" w:space="0" w:color="auto"/>
          </w:divBdr>
        </w:div>
      </w:divsChild>
    </w:div>
    <w:div w:id="760685057">
      <w:bodyDiv w:val="1"/>
      <w:marLeft w:val="0"/>
      <w:marRight w:val="0"/>
      <w:marTop w:val="0"/>
      <w:marBottom w:val="0"/>
      <w:divBdr>
        <w:top w:val="none" w:sz="0" w:space="0" w:color="auto"/>
        <w:left w:val="none" w:sz="0" w:space="0" w:color="auto"/>
        <w:bottom w:val="none" w:sz="0" w:space="0" w:color="auto"/>
        <w:right w:val="none" w:sz="0" w:space="0" w:color="auto"/>
      </w:divBdr>
    </w:div>
    <w:div w:id="790127797">
      <w:bodyDiv w:val="1"/>
      <w:marLeft w:val="0"/>
      <w:marRight w:val="0"/>
      <w:marTop w:val="0"/>
      <w:marBottom w:val="0"/>
      <w:divBdr>
        <w:top w:val="none" w:sz="0" w:space="0" w:color="auto"/>
        <w:left w:val="none" w:sz="0" w:space="0" w:color="auto"/>
        <w:bottom w:val="none" w:sz="0" w:space="0" w:color="auto"/>
        <w:right w:val="none" w:sz="0" w:space="0" w:color="auto"/>
      </w:divBdr>
    </w:div>
    <w:div w:id="799034480">
      <w:bodyDiv w:val="1"/>
      <w:marLeft w:val="0"/>
      <w:marRight w:val="0"/>
      <w:marTop w:val="0"/>
      <w:marBottom w:val="0"/>
      <w:divBdr>
        <w:top w:val="none" w:sz="0" w:space="0" w:color="auto"/>
        <w:left w:val="none" w:sz="0" w:space="0" w:color="auto"/>
        <w:bottom w:val="none" w:sz="0" w:space="0" w:color="auto"/>
        <w:right w:val="none" w:sz="0" w:space="0" w:color="auto"/>
      </w:divBdr>
    </w:div>
    <w:div w:id="802115337">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15758696">
      <w:bodyDiv w:val="1"/>
      <w:marLeft w:val="0"/>
      <w:marRight w:val="0"/>
      <w:marTop w:val="0"/>
      <w:marBottom w:val="0"/>
      <w:divBdr>
        <w:top w:val="none" w:sz="0" w:space="0" w:color="auto"/>
        <w:left w:val="none" w:sz="0" w:space="0" w:color="auto"/>
        <w:bottom w:val="none" w:sz="0" w:space="0" w:color="auto"/>
        <w:right w:val="none" w:sz="0" w:space="0" w:color="auto"/>
      </w:divBdr>
    </w:div>
    <w:div w:id="844979961">
      <w:bodyDiv w:val="1"/>
      <w:marLeft w:val="0"/>
      <w:marRight w:val="0"/>
      <w:marTop w:val="0"/>
      <w:marBottom w:val="0"/>
      <w:divBdr>
        <w:top w:val="none" w:sz="0" w:space="0" w:color="auto"/>
        <w:left w:val="none" w:sz="0" w:space="0" w:color="auto"/>
        <w:bottom w:val="none" w:sz="0" w:space="0" w:color="auto"/>
        <w:right w:val="none" w:sz="0" w:space="0" w:color="auto"/>
      </w:divBdr>
    </w:div>
    <w:div w:id="846289084">
      <w:bodyDiv w:val="1"/>
      <w:marLeft w:val="0"/>
      <w:marRight w:val="0"/>
      <w:marTop w:val="0"/>
      <w:marBottom w:val="0"/>
      <w:divBdr>
        <w:top w:val="none" w:sz="0" w:space="0" w:color="auto"/>
        <w:left w:val="none" w:sz="0" w:space="0" w:color="auto"/>
        <w:bottom w:val="none" w:sz="0" w:space="0" w:color="auto"/>
        <w:right w:val="none" w:sz="0" w:space="0" w:color="auto"/>
      </w:divBdr>
    </w:div>
    <w:div w:id="864101912">
      <w:bodyDiv w:val="1"/>
      <w:marLeft w:val="0"/>
      <w:marRight w:val="0"/>
      <w:marTop w:val="0"/>
      <w:marBottom w:val="0"/>
      <w:divBdr>
        <w:top w:val="none" w:sz="0" w:space="0" w:color="auto"/>
        <w:left w:val="none" w:sz="0" w:space="0" w:color="auto"/>
        <w:bottom w:val="none" w:sz="0" w:space="0" w:color="auto"/>
        <w:right w:val="none" w:sz="0" w:space="0" w:color="auto"/>
      </w:divBdr>
    </w:div>
    <w:div w:id="864640751">
      <w:bodyDiv w:val="1"/>
      <w:marLeft w:val="0"/>
      <w:marRight w:val="0"/>
      <w:marTop w:val="0"/>
      <w:marBottom w:val="0"/>
      <w:divBdr>
        <w:top w:val="none" w:sz="0" w:space="0" w:color="auto"/>
        <w:left w:val="none" w:sz="0" w:space="0" w:color="auto"/>
        <w:bottom w:val="none" w:sz="0" w:space="0" w:color="auto"/>
        <w:right w:val="none" w:sz="0" w:space="0" w:color="auto"/>
      </w:divBdr>
    </w:div>
    <w:div w:id="865827411">
      <w:bodyDiv w:val="1"/>
      <w:marLeft w:val="0"/>
      <w:marRight w:val="0"/>
      <w:marTop w:val="0"/>
      <w:marBottom w:val="0"/>
      <w:divBdr>
        <w:top w:val="none" w:sz="0" w:space="0" w:color="auto"/>
        <w:left w:val="none" w:sz="0" w:space="0" w:color="auto"/>
        <w:bottom w:val="none" w:sz="0" w:space="0" w:color="auto"/>
        <w:right w:val="none" w:sz="0" w:space="0" w:color="auto"/>
      </w:divBdr>
    </w:div>
    <w:div w:id="867061360">
      <w:bodyDiv w:val="1"/>
      <w:marLeft w:val="0"/>
      <w:marRight w:val="0"/>
      <w:marTop w:val="0"/>
      <w:marBottom w:val="0"/>
      <w:divBdr>
        <w:top w:val="none" w:sz="0" w:space="0" w:color="auto"/>
        <w:left w:val="none" w:sz="0" w:space="0" w:color="auto"/>
        <w:bottom w:val="none" w:sz="0" w:space="0" w:color="auto"/>
        <w:right w:val="none" w:sz="0" w:space="0" w:color="auto"/>
      </w:divBdr>
    </w:div>
    <w:div w:id="869101999">
      <w:bodyDiv w:val="1"/>
      <w:marLeft w:val="0"/>
      <w:marRight w:val="0"/>
      <w:marTop w:val="0"/>
      <w:marBottom w:val="0"/>
      <w:divBdr>
        <w:top w:val="none" w:sz="0" w:space="0" w:color="auto"/>
        <w:left w:val="none" w:sz="0" w:space="0" w:color="auto"/>
        <w:bottom w:val="none" w:sz="0" w:space="0" w:color="auto"/>
        <w:right w:val="none" w:sz="0" w:space="0" w:color="auto"/>
      </w:divBdr>
    </w:div>
    <w:div w:id="875461492">
      <w:bodyDiv w:val="1"/>
      <w:marLeft w:val="0"/>
      <w:marRight w:val="0"/>
      <w:marTop w:val="0"/>
      <w:marBottom w:val="0"/>
      <w:divBdr>
        <w:top w:val="none" w:sz="0" w:space="0" w:color="auto"/>
        <w:left w:val="none" w:sz="0" w:space="0" w:color="auto"/>
        <w:bottom w:val="none" w:sz="0" w:space="0" w:color="auto"/>
        <w:right w:val="none" w:sz="0" w:space="0" w:color="auto"/>
      </w:divBdr>
    </w:div>
    <w:div w:id="877593688">
      <w:bodyDiv w:val="1"/>
      <w:marLeft w:val="0"/>
      <w:marRight w:val="0"/>
      <w:marTop w:val="0"/>
      <w:marBottom w:val="0"/>
      <w:divBdr>
        <w:top w:val="none" w:sz="0" w:space="0" w:color="auto"/>
        <w:left w:val="none" w:sz="0" w:space="0" w:color="auto"/>
        <w:bottom w:val="none" w:sz="0" w:space="0" w:color="auto"/>
        <w:right w:val="none" w:sz="0" w:space="0" w:color="auto"/>
      </w:divBdr>
    </w:div>
    <w:div w:id="883058823">
      <w:bodyDiv w:val="1"/>
      <w:marLeft w:val="0"/>
      <w:marRight w:val="0"/>
      <w:marTop w:val="0"/>
      <w:marBottom w:val="0"/>
      <w:divBdr>
        <w:top w:val="none" w:sz="0" w:space="0" w:color="auto"/>
        <w:left w:val="none" w:sz="0" w:space="0" w:color="auto"/>
        <w:bottom w:val="none" w:sz="0" w:space="0" w:color="auto"/>
        <w:right w:val="none" w:sz="0" w:space="0" w:color="auto"/>
      </w:divBdr>
    </w:div>
    <w:div w:id="884223011">
      <w:bodyDiv w:val="1"/>
      <w:marLeft w:val="0"/>
      <w:marRight w:val="0"/>
      <w:marTop w:val="0"/>
      <w:marBottom w:val="0"/>
      <w:divBdr>
        <w:top w:val="none" w:sz="0" w:space="0" w:color="auto"/>
        <w:left w:val="none" w:sz="0" w:space="0" w:color="auto"/>
        <w:bottom w:val="none" w:sz="0" w:space="0" w:color="auto"/>
        <w:right w:val="none" w:sz="0" w:space="0" w:color="auto"/>
      </w:divBdr>
    </w:div>
    <w:div w:id="893933412">
      <w:bodyDiv w:val="1"/>
      <w:marLeft w:val="0"/>
      <w:marRight w:val="0"/>
      <w:marTop w:val="0"/>
      <w:marBottom w:val="0"/>
      <w:divBdr>
        <w:top w:val="none" w:sz="0" w:space="0" w:color="auto"/>
        <w:left w:val="none" w:sz="0" w:space="0" w:color="auto"/>
        <w:bottom w:val="none" w:sz="0" w:space="0" w:color="auto"/>
        <w:right w:val="none" w:sz="0" w:space="0" w:color="auto"/>
      </w:divBdr>
    </w:div>
    <w:div w:id="900138476">
      <w:bodyDiv w:val="1"/>
      <w:marLeft w:val="0"/>
      <w:marRight w:val="0"/>
      <w:marTop w:val="0"/>
      <w:marBottom w:val="0"/>
      <w:divBdr>
        <w:top w:val="none" w:sz="0" w:space="0" w:color="auto"/>
        <w:left w:val="none" w:sz="0" w:space="0" w:color="auto"/>
        <w:bottom w:val="none" w:sz="0" w:space="0" w:color="auto"/>
        <w:right w:val="none" w:sz="0" w:space="0" w:color="auto"/>
      </w:divBdr>
    </w:div>
    <w:div w:id="903566550">
      <w:bodyDiv w:val="1"/>
      <w:marLeft w:val="0"/>
      <w:marRight w:val="0"/>
      <w:marTop w:val="0"/>
      <w:marBottom w:val="0"/>
      <w:divBdr>
        <w:top w:val="none" w:sz="0" w:space="0" w:color="auto"/>
        <w:left w:val="none" w:sz="0" w:space="0" w:color="auto"/>
        <w:bottom w:val="none" w:sz="0" w:space="0" w:color="auto"/>
        <w:right w:val="none" w:sz="0" w:space="0" w:color="auto"/>
      </w:divBdr>
    </w:div>
    <w:div w:id="918443646">
      <w:bodyDiv w:val="1"/>
      <w:marLeft w:val="0"/>
      <w:marRight w:val="0"/>
      <w:marTop w:val="0"/>
      <w:marBottom w:val="0"/>
      <w:divBdr>
        <w:top w:val="none" w:sz="0" w:space="0" w:color="auto"/>
        <w:left w:val="none" w:sz="0" w:space="0" w:color="auto"/>
        <w:bottom w:val="none" w:sz="0" w:space="0" w:color="auto"/>
        <w:right w:val="none" w:sz="0" w:space="0" w:color="auto"/>
      </w:divBdr>
    </w:div>
    <w:div w:id="923614623">
      <w:bodyDiv w:val="1"/>
      <w:marLeft w:val="0"/>
      <w:marRight w:val="0"/>
      <w:marTop w:val="0"/>
      <w:marBottom w:val="0"/>
      <w:divBdr>
        <w:top w:val="none" w:sz="0" w:space="0" w:color="auto"/>
        <w:left w:val="none" w:sz="0" w:space="0" w:color="auto"/>
        <w:bottom w:val="none" w:sz="0" w:space="0" w:color="auto"/>
        <w:right w:val="none" w:sz="0" w:space="0" w:color="auto"/>
      </w:divBdr>
    </w:div>
    <w:div w:id="949050932">
      <w:bodyDiv w:val="1"/>
      <w:marLeft w:val="0"/>
      <w:marRight w:val="0"/>
      <w:marTop w:val="0"/>
      <w:marBottom w:val="0"/>
      <w:divBdr>
        <w:top w:val="none" w:sz="0" w:space="0" w:color="auto"/>
        <w:left w:val="none" w:sz="0" w:space="0" w:color="auto"/>
        <w:bottom w:val="none" w:sz="0" w:space="0" w:color="auto"/>
        <w:right w:val="none" w:sz="0" w:space="0" w:color="auto"/>
      </w:divBdr>
    </w:div>
    <w:div w:id="949823596">
      <w:bodyDiv w:val="1"/>
      <w:marLeft w:val="0"/>
      <w:marRight w:val="0"/>
      <w:marTop w:val="0"/>
      <w:marBottom w:val="0"/>
      <w:divBdr>
        <w:top w:val="none" w:sz="0" w:space="0" w:color="auto"/>
        <w:left w:val="none" w:sz="0" w:space="0" w:color="auto"/>
        <w:bottom w:val="none" w:sz="0" w:space="0" w:color="auto"/>
        <w:right w:val="none" w:sz="0" w:space="0" w:color="auto"/>
      </w:divBdr>
    </w:div>
    <w:div w:id="958758748">
      <w:bodyDiv w:val="1"/>
      <w:marLeft w:val="0"/>
      <w:marRight w:val="0"/>
      <w:marTop w:val="0"/>
      <w:marBottom w:val="0"/>
      <w:divBdr>
        <w:top w:val="none" w:sz="0" w:space="0" w:color="auto"/>
        <w:left w:val="none" w:sz="0" w:space="0" w:color="auto"/>
        <w:bottom w:val="none" w:sz="0" w:space="0" w:color="auto"/>
        <w:right w:val="none" w:sz="0" w:space="0" w:color="auto"/>
      </w:divBdr>
    </w:div>
    <w:div w:id="962075118">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5590571">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29573005">
      <w:bodyDiv w:val="1"/>
      <w:marLeft w:val="0"/>
      <w:marRight w:val="0"/>
      <w:marTop w:val="0"/>
      <w:marBottom w:val="0"/>
      <w:divBdr>
        <w:top w:val="none" w:sz="0" w:space="0" w:color="auto"/>
        <w:left w:val="none" w:sz="0" w:space="0" w:color="auto"/>
        <w:bottom w:val="none" w:sz="0" w:space="0" w:color="auto"/>
        <w:right w:val="none" w:sz="0" w:space="0" w:color="auto"/>
      </w:divBdr>
    </w:div>
    <w:div w:id="1036663282">
      <w:bodyDiv w:val="1"/>
      <w:marLeft w:val="0"/>
      <w:marRight w:val="0"/>
      <w:marTop w:val="0"/>
      <w:marBottom w:val="0"/>
      <w:divBdr>
        <w:top w:val="none" w:sz="0" w:space="0" w:color="auto"/>
        <w:left w:val="none" w:sz="0" w:space="0" w:color="auto"/>
        <w:bottom w:val="none" w:sz="0" w:space="0" w:color="auto"/>
        <w:right w:val="none" w:sz="0" w:space="0" w:color="auto"/>
      </w:divBdr>
    </w:div>
    <w:div w:id="1042097418">
      <w:bodyDiv w:val="1"/>
      <w:marLeft w:val="0"/>
      <w:marRight w:val="0"/>
      <w:marTop w:val="0"/>
      <w:marBottom w:val="0"/>
      <w:divBdr>
        <w:top w:val="none" w:sz="0" w:space="0" w:color="auto"/>
        <w:left w:val="none" w:sz="0" w:space="0" w:color="auto"/>
        <w:bottom w:val="none" w:sz="0" w:space="0" w:color="auto"/>
        <w:right w:val="none" w:sz="0" w:space="0" w:color="auto"/>
      </w:divBdr>
    </w:div>
    <w:div w:id="1075591095">
      <w:bodyDiv w:val="1"/>
      <w:marLeft w:val="0"/>
      <w:marRight w:val="0"/>
      <w:marTop w:val="0"/>
      <w:marBottom w:val="0"/>
      <w:divBdr>
        <w:top w:val="none" w:sz="0" w:space="0" w:color="auto"/>
        <w:left w:val="none" w:sz="0" w:space="0" w:color="auto"/>
        <w:bottom w:val="none" w:sz="0" w:space="0" w:color="auto"/>
        <w:right w:val="none" w:sz="0" w:space="0" w:color="auto"/>
      </w:divBdr>
    </w:div>
    <w:div w:id="1080712524">
      <w:bodyDiv w:val="1"/>
      <w:marLeft w:val="0"/>
      <w:marRight w:val="0"/>
      <w:marTop w:val="0"/>
      <w:marBottom w:val="0"/>
      <w:divBdr>
        <w:top w:val="none" w:sz="0" w:space="0" w:color="auto"/>
        <w:left w:val="none" w:sz="0" w:space="0" w:color="auto"/>
        <w:bottom w:val="none" w:sz="0" w:space="0" w:color="auto"/>
        <w:right w:val="none" w:sz="0" w:space="0" w:color="auto"/>
      </w:divBdr>
    </w:div>
    <w:div w:id="1083065722">
      <w:bodyDiv w:val="1"/>
      <w:marLeft w:val="0"/>
      <w:marRight w:val="0"/>
      <w:marTop w:val="0"/>
      <w:marBottom w:val="0"/>
      <w:divBdr>
        <w:top w:val="none" w:sz="0" w:space="0" w:color="auto"/>
        <w:left w:val="none" w:sz="0" w:space="0" w:color="auto"/>
        <w:bottom w:val="none" w:sz="0" w:space="0" w:color="auto"/>
        <w:right w:val="none" w:sz="0" w:space="0" w:color="auto"/>
      </w:divBdr>
    </w:div>
    <w:div w:id="1084838193">
      <w:bodyDiv w:val="1"/>
      <w:marLeft w:val="0"/>
      <w:marRight w:val="0"/>
      <w:marTop w:val="0"/>
      <w:marBottom w:val="0"/>
      <w:divBdr>
        <w:top w:val="none" w:sz="0" w:space="0" w:color="auto"/>
        <w:left w:val="none" w:sz="0" w:space="0" w:color="auto"/>
        <w:bottom w:val="none" w:sz="0" w:space="0" w:color="auto"/>
        <w:right w:val="none" w:sz="0" w:space="0" w:color="auto"/>
      </w:divBdr>
    </w:div>
    <w:div w:id="1085103892">
      <w:bodyDiv w:val="1"/>
      <w:marLeft w:val="0"/>
      <w:marRight w:val="0"/>
      <w:marTop w:val="0"/>
      <w:marBottom w:val="0"/>
      <w:divBdr>
        <w:top w:val="none" w:sz="0" w:space="0" w:color="auto"/>
        <w:left w:val="none" w:sz="0" w:space="0" w:color="auto"/>
        <w:bottom w:val="none" w:sz="0" w:space="0" w:color="auto"/>
        <w:right w:val="none" w:sz="0" w:space="0" w:color="auto"/>
      </w:divBdr>
    </w:div>
    <w:div w:id="1087966187">
      <w:bodyDiv w:val="1"/>
      <w:marLeft w:val="0"/>
      <w:marRight w:val="0"/>
      <w:marTop w:val="0"/>
      <w:marBottom w:val="0"/>
      <w:divBdr>
        <w:top w:val="none" w:sz="0" w:space="0" w:color="auto"/>
        <w:left w:val="none" w:sz="0" w:space="0" w:color="auto"/>
        <w:bottom w:val="none" w:sz="0" w:space="0" w:color="auto"/>
        <w:right w:val="none" w:sz="0" w:space="0" w:color="auto"/>
      </w:divBdr>
    </w:div>
    <w:div w:id="1120534944">
      <w:bodyDiv w:val="1"/>
      <w:marLeft w:val="0"/>
      <w:marRight w:val="0"/>
      <w:marTop w:val="0"/>
      <w:marBottom w:val="0"/>
      <w:divBdr>
        <w:top w:val="none" w:sz="0" w:space="0" w:color="auto"/>
        <w:left w:val="none" w:sz="0" w:space="0" w:color="auto"/>
        <w:bottom w:val="none" w:sz="0" w:space="0" w:color="auto"/>
        <w:right w:val="none" w:sz="0" w:space="0" w:color="auto"/>
      </w:divBdr>
    </w:div>
    <w:div w:id="1122916652">
      <w:bodyDiv w:val="1"/>
      <w:marLeft w:val="0"/>
      <w:marRight w:val="0"/>
      <w:marTop w:val="0"/>
      <w:marBottom w:val="0"/>
      <w:divBdr>
        <w:top w:val="none" w:sz="0" w:space="0" w:color="auto"/>
        <w:left w:val="none" w:sz="0" w:space="0" w:color="auto"/>
        <w:bottom w:val="none" w:sz="0" w:space="0" w:color="auto"/>
        <w:right w:val="none" w:sz="0" w:space="0" w:color="auto"/>
      </w:divBdr>
    </w:div>
    <w:div w:id="1126697283">
      <w:bodyDiv w:val="1"/>
      <w:marLeft w:val="0"/>
      <w:marRight w:val="0"/>
      <w:marTop w:val="0"/>
      <w:marBottom w:val="0"/>
      <w:divBdr>
        <w:top w:val="none" w:sz="0" w:space="0" w:color="auto"/>
        <w:left w:val="none" w:sz="0" w:space="0" w:color="auto"/>
        <w:bottom w:val="none" w:sz="0" w:space="0" w:color="auto"/>
        <w:right w:val="none" w:sz="0" w:space="0" w:color="auto"/>
      </w:divBdr>
    </w:div>
    <w:div w:id="1130442627">
      <w:bodyDiv w:val="1"/>
      <w:marLeft w:val="0"/>
      <w:marRight w:val="0"/>
      <w:marTop w:val="0"/>
      <w:marBottom w:val="0"/>
      <w:divBdr>
        <w:top w:val="none" w:sz="0" w:space="0" w:color="auto"/>
        <w:left w:val="none" w:sz="0" w:space="0" w:color="auto"/>
        <w:bottom w:val="none" w:sz="0" w:space="0" w:color="auto"/>
        <w:right w:val="none" w:sz="0" w:space="0" w:color="auto"/>
      </w:divBdr>
    </w:div>
    <w:div w:id="1141458001">
      <w:bodyDiv w:val="1"/>
      <w:marLeft w:val="0"/>
      <w:marRight w:val="0"/>
      <w:marTop w:val="0"/>
      <w:marBottom w:val="0"/>
      <w:divBdr>
        <w:top w:val="none" w:sz="0" w:space="0" w:color="auto"/>
        <w:left w:val="none" w:sz="0" w:space="0" w:color="auto"/>
        <w:bottom w:val="none" w:sz="0" w:space="0" w:color="auto"/>
        <w:right w:val="none" w:sz="0" w:space="0" w:color="auto"/>
      </w:divBdr>
    </w:div>
    <w:div w:id="1147477139">
      <w:bodyDiv w:val="1"/>
      <w:marLeft w:val="0"/>
      <w:marRight w:val="0"/>
      <w:marTop w:val="0"/>
      <w:marBottom w:val="0"/>
      <w:divBdr>
        <w:top w:val="none" w:sz="0" w:space="0" w:color="auto"/>
        <w:left w:val="none" w:sz="0" w:space="0" w:color="auto"/>
        <w:bottom w:val="none" w:sz="0" w:space="0" w:color="auto"/>
        <w:right w:val="none" w:sz="0" w:space="0" w:color="auto"/>
      </w:divBdr>
    </w:div>
    <w:div w:id="1150052835">
      <w:bodyDiv w:val="1"/>
      <w:marLeft w:val="0"/>
      <w:marRight w:val="0"/>
      <w:marTop w:val="0"/>
      <w:marBottom w:val="0"/>
      <w:divBdr>
        <w:top w:val="none" w:sz="0" w:space="0" w:color="auto"/>
        <w:left w:val="none" w:sz="0" w:space="0" w:color="auto"/>
        <w:bottom w:val="none" w:sz="0" w:space="0" w:color="auto"/>
        <w:right w:val="none" w:sz="0" w:space="0" w:color="auto"/>
      </w:divBdr>
      <w:divsChild>
        <w:div w:id="2128964195">
          <w:marLeft w:val="446"/>
          <w:marRight w:val="0"/>
          <w:marTop w:val="0"/>
          <w:marBottom w:val="0"/>
          <w:divBdr>
            <w:top w:val="none" w:sz="0" w:space="0" w:color="auto"/>
            <w:left w:val="none" w:sz="0" w:space="0" w:color="auto"/>
            <w:bottom w:val="none" w:sz="0" w:space="0" w:color="auto"/>
            <w:right w:val="none" w:sz="0" w:space="0" w:color="auto"/>
          </w:divBdr>
        </w:div>
        <w:div w:id="1912082137">
          <w:marLeft w:val="446"/>
          <w:marRight w:val="0"/>
          <w:marTop w:val="0"/>
          <w:marBottom w:val="0"/>
          <w:divBdr>
            <w:top w:val="none" w:sz="0" w:space="0" w:color="auto"/>
            <w:left w:val="none" w:sz="0" w:space="0" w:color="auto"/>
            <w:bottom w:val="none" w:sz="0" w:space="0" w:color="auto"/>
            <w:right w:val="none" w:sz="0" w:space="0" w:color="auto"/>
          </w:divBdr>
        </w:div>
        <w:div w:id="2031491014">
          <w:marLeft w:val="446"/>
          <w:marRight w:val="0"/>
          <w:marTop w:val="0"/>
          <w:marBottom w:val="0"/>
          <w:divBdr>
            <w:top w:val="none" w:sz="0" w:space="0" w:color="auto"/>
            <w:left w:val="none" w:sz="0" w:space="0" w:color="auto"/>
            <w:bottom w:val="none" w:sz="0" w:space="0" w:color="auto"/>
            <w:right w:val="none" w:sz="0" w:space="0" w:color="auto"/>
          </w:divBdr>
        </w:div>
        <w:div w:id="142743919">
          <w:marLeft w:val="446"/>
          <w:marRight w:val="0"/>
          <w:marTop w:val="0"/>
          <w:marBottom w:val="0"/>
          <w:divBdr>
            <w:top w:val="none" w:sz="0" w:space="0" w:color="auto"/>
            <w:left w:val="none" w:sz="0" w:space="0" w:color="auto"/>
            <w:bottom w:val="none" w:sz="0" w:space="0" w:color="auto"/>
            <w:right w:val="none" w:sz="0" w:space="0" w:color="auto"/>
          </w:divBdr>
        </w:div>
        <w:div w:id="1183743564">
          <w:marLeft w:val="446"/>
          <w:marRight w:val="0"/>
          <w:marTop w:val="0"/>
          <w:marBottom w:val="0"/>
          <w:divBdr>
            <w:top w:val="none" w:sz="0" w:space="0" w:color="auto"/>
            <w:left w:val="none" w:sz="0" w:space="0" w:color="auto"/>
            <w:bottom w:val="none" w:sz="0" w:space="0" w:color="auto"/>
            <w:right w:val="none" w:sz="0" w:space="0" w:color="auto"/>
          </w:divBdr>
        </w:div>
      </w:divsChild>
    </w:div>
    <w:div w:id="1161627581">
      <w:bodyDiv w:val="1"/>
      <w:marLeft w:val="0"/>
      <w:marRight w:val="0"/>
      <w:marTop w:val="0"/>
      <w:marBottom w:val="0"/>
      <w:divBdr>
        <w:top w:val="none" w:sz="0" w:space="0" w:color="auto"/>
        <w:left w:val="none" w:sz="0" w:space="0" w:color="auto"/>
        <w:bottom w:val="none" w:sz="0" w:space="0" w:color="auto"/>
        <w:right w:val="none" w:sz="0" w:space="0" w:color="auto"/>
      </w:divBdr>
    </w:div>
    <w:div w:id="1162240780">
      <w:bodyDiv w:val="1"/>
      <w:marLeft w:val="0"/>
      <w:marRight w:val="0"/>
      <w:marTop w:val="0"/>
      <w:marBottom w:val="0"/>
      <w:divBdr>
        <w:top w:val="none" w:sz="0" w:space="0" w:color="auto"/>
        <w:left w:val="none" w:sz="0" w:space="0" w:color="auto"/>
        <w:bottom w:val="none" w:sz="0" w:space="0" w:color="auto"/>
        <w:right w:val="none" w:sz="0" w:space="0" w:color="auto"/>
      </w:divBdr>
    </w:div>
    <w:div w:id="1170868451">
      <w:bodyDiv w:val="1"/>
      <w:marLeft w:val="0"/>
      <w:marRight w:val="0"/>
      <w:marTop w:val="0"/>
      <w:marBottom w:val="0"/>
      <w:divBdr>
        <w:top w:val="none" w:sz="0" w:space="0" w:color="auto"/>
        <w:left w:val="none" w:sz="0" w:space="0" w:color="auto"/>
        <w:bottom w:val="none" w:sz="0" w:space="0" w:color="auto"/>
        <w:right w:val="none" w:sz="0" w:space="0" w:color="auto"/>
      </w:divBdr>
    </w:div>
    <w:div w:id="1179737928">
      <w:bodyDiv w:val="1"/>
      <w:marLeft w:val="0"/>
      <w:marRight w:val="0"/>
      <w:marTop w:val="0"/>
      <w:marBottom w:val="0"/>
      <w:divBdr>
        <w:top w:val="none" w:sz="0" w:space="0" w:color="auto"/>
        <w:left w:val="none" w:sz="0" w:space="0" w:color="auto"/>
        <w:bottom w:val="none" w:sz="0" w:space="0" w:color="auto"/>
        <w:right w:val="none" w:sz="0" w:space="0" w:color="auto"/>
      </w:divBdr>
    </w:div>
    <w:div w:id="1182553476">
      <w:bodyDiv w:val="1"/>
      <w:marLeft w:val="0"/>
      <w:marRight w:val="0"/>
      <w:marTop w:val="0"/>
      <w:marBottom w:val="0"/>
      <w:divBdr>
        <w:top w:val="none" w:sz="0" w:space="0" w:color="auto"/>
        <w:left w:val="none" w:sz="0" w:space="0" w:color="auto"/>
        <w:bottom w:val="none" w:sz="0" w:space="0" w:color="auto"/>
        <w:right w:val="none" w:sz="0" w:space="0" w:color="auto"/>
      </w:divBdr>
    </w:div>
    <w:div w:id="1191869486">
      <w:bodyDiv w:val="1"/>
      <w:marLeft w:val="0"/>
      <w:marRight w:val="0"/>
      <w:marTop w:val="0"/>
      <w:marBottom w:val="0"/>
      <w:divBdr>
        <w:top w:val="none" w:sz="0" w:space="0" w:color="auto"/>
        <w:left w:val="none" w:sz="0" w:space="0" w:color="auto"/>
        <w:bottom w:val="none" w:sz="0" w:space="0" w:color="auto"/>
        <w:right w:val="none" w:sz="0" w:space="0" w:color="auto"/>
      </w:divBdr>
    </w:div>
    <w:div w:id="1195272027">
      <w:bodyDiv w:val="1"/>
      <w:marLeft w:val="0"/>
      <w:marRight w:val="0"/>
      <w:marTop w:val="0"/>
      <w:marBottom w:val="0"/>
      <w:divBdr>
        <w:top w:val="none" w:sz="0" w:space="0" w:color="auto"/>
        <w:left w:val="none" w:sz="0" w:space="0" w:color="auto"/>
        <w:bottom w:val="none" w:sz="0" w:space="0" w:color="auto"/>
        <w:right w:val="none" w:sz="0" w:space="0" w:color="auto"/>
      </w:divBdr>
    </w:div>
    <w:div w:id="1204056730">
      <w:bodyDiv w:val="1"/>
      <w:marLeft w:val="0"/>
      <w:marRight w:val="0"/>
      <w:marTop w:val="0"/>
      <w:marBottom w:val="0"/>
      <w:divBdr>
        <w:top w:val="none" w:sz="0" w:space="0" w:color="auto"/>
        <w:left w:val="none" w:sz="0" w:space="0" w:color="auto"/>
        <w:bottom w:val="none" w:sz="0" w:space="0" w:color="auto"/>
        <w:right w:val="none" w:sz="0" w:space="0" w:color="auto"/>
      </w:divBdr>
    </w:div>
    <w:div w:id="1213730090">
      <w:bodyDiv w:val="1"/>
      <w:marLeft w:val="0"/>
      <w:marRight w:val="0"/>
      <w:marTop w:val="0"/>
      <w:marBottom w:val="0"/>
      <w:divBdr>
        <w:top w:val="none" w:sz="0" w:space="0" w:color="auto"/>
        <w:left w:val="none" w:sz="0" w:space="0" w:color="auto"/>
        <w:bottom w:val="none" w:sz="0" w:space="0" w:color="auto"/>
        <w:right w:val="none" w:sz="0" w:space="0" w:color="auto"/>
      </w:divBdr>
    </w:div>
    <w:div w:id="1215459765">
      <w:bodyDiv w:val="1"/>
      <w:marLeft w:val="0"/>
      <w:marRight w:val="0"/>
      <w:marTop w:val="0"/>
      <w:marBottom w:val="0"/>
      <w:divBdr>
        <w:top w:val="none" w:sz="0" w:space="0" w:color="auto"/>
        <w:left w:val="none" w:sz="0" w:space="0" w:color="auto"/>
        <w:bottom w:val="none" w:sz="0" w:space="0" w:color="auto"/>
        <w:right w:val="none" w:sz="0" w:space="0" w:color="auto"/>
      </w:divBdr>
    </w:div>
    <w:div w:id="1237977176">
      <w:bodyDiv w:val="1"/>
      <w:marLeft w:val="0"/>
      <w:marRight w:val="0"/>
      <w:marTop w:val="0"/>
      <w:marBottom w:val="0"/>
      <w:divBdr>
        <w:top w:val="none" w:sz="0" w:space="0" w:color="auto"/>
        <w:left w:val="none" w:sz="0" w:space="0" w:color="auto"/>
        <w:bottom w:val="none" w:sz="0" w:space="0" w:color="auto"/>
        <w:right w:val="none" w:sz="0" w:space="0" w:color="auto"/>
      </w:divBdr>
    </w:div>
    <w:div w:id="1246306779">
      <w:bodyDiv w:val="1"/>
      <w:marLeft w:val="0"/>
      <w:marRight w:val="0"/>
      <w:marTop w:val="0"/>
      <w:marBottom w:val="0"/>
      <w:divBdr>
        <w:top w:val="none" w:sz="0" w:space="0" w:color="auto"/>
        <w:left w:val="none" w:sz="0" w:space="0" w:color="auto"/>
        <w:bottom w:val="none" w:sz="0" w:space="0" w:color="auto"/>
        <w:right w:val="none" w:sz="0" w:space="0" w:color="auto"/>
      </w:divBdr>
    </w:div>
    <w:div w:id="1250312174">
      <w:bodyDiv w:val="1"/>
      <w:marLeft w:val="0"/>
      <w:marRight w:val="0"/>
      <w:marTop w:val="0"/>
      <w:marBottom w:val="0"/>
      <w:divBdr>
        <w:top w:val="none" w:sz="0" w:space="0" w:color="auto"/>
        <w:left w:val="none" w:sz="0" w:space="0" w:color="auto"/>
        <w:bottom w:val="none" w:sz="0" w:space="0" w:color="auto"/>
        <w:right w:val="none" w:sz="0" w:space="0" w:color="auto"/>
      </w:divBdr>
    </w:div>
    <w:div w:id="1272973956">
      <w:bodyDiv w:val="1"/>
      <w:marLeft w:val="0"/>
      <w:marRight w:val="0"/>
      <w:marTop w:val="0"/>
      <w:marBottom w:val="0"/>
      <w:divBdr>
        <w:top w:val="none" w:sz="0" w:space="0" w:color="auto"/>
        <w:left w:val="none" w:sz="0" w:space="0" w:color="auto"/>
        <w:bottom w:val="none" w:sz="0" w:space="0" w:color="auto"/>
        <w:right w:val="none" w:sz="0" w:space="0" w:color="auto"/>
      </w:divBdr>
    </w:div>
    <w:div w:id="1284002037">
      <w:bodyDiv w:val="1"/>
      <w:marLeft w:val="0"/>
      <w:marRight w:val="0"/>
      <w:marTop w:val="0"/>
      <w:marBottom w:val="0"/>
      <w:divBdr>
        <w:top w:val="none" w:sz="0" w:space="0" w:color="auto"/>
        <w:left w:val="none" w:sz="0" w:space="0" w:color="auto"/>
        <w:bottom w:val="none" w:sz="0" w:space="0" w:color="auto"/>
        <w:right w:val="none" w:sz="0" w:space="0" w:color="auto"/>
      </w:divBdr>
    </w:div>
    <w:div w:id="1285885303">
      <w:bodyDiv w:val="1"/>
      <w:marLeft w:val="0"/>
      <w:marRight w:val="0"/>
      <w:marTop w:val="0"/>
      <w:marBottom w:val="0"/>
      <w:divBdr>
        <w:top w:val="none" w:sz="0" w:space="0" w:color="auto"/>
        <w:left w:val="none" w:sz="0" w:space="0" w:color="auto"/>
        <w:bottom w:val="none" w:sz="0" w:space="0" w:color="auto"/>
        <w:right w:val="none" w:sz="0" w:space="0" w:color="auto"/>
      </w:divBdr>
    </w:div>
    <w:div w:id="1287541799">
      <w:bodyDiv w:val="1"/>
      <w:marLeft w:val="0"/>
      <w:marRight w:val="0"/>
      <w:marTop w:val="0"/>
      <w:marBottom w:val="0"/>
      <w:divBdr>
        <w:top w:val="none" w:sz="0" w:space="0" w:color="auto"/>
        <w:left w:val="none" w:sz="0" w:space="0" w:color="auto"/>
        <w:bottom w:val="none" w:sz="0" w:space="0" w:color="auto"/>
        <w:right w:val="none" w:sz="0" w:space="0" w:color="auto"/>
      </w:divBdr>
    </w:div>
    <w:div w:id="1290821606">
      <w:bodyDiv w:val="1"/>
      <w:marLeft w:val="0"/>
      <w:marRight w:val="0"/>
      <w:marTop w:val="0"/>
      <w:marBottom w:val="0"/>
      <w:divBdr>
        <w:top w:val="none" w:sz="0" w:space="0" w:color="auto"/>
        <w:left w:val="none" w:sz="0" w:space="0" w:color="auto"/>
        <w:bottom w:val="none" w:sz="0" w:space="0" w:color="auto"/>
        <w:right w:val="none" w:sz="0" w:space="0" w:color="auto"/>
      </w:divBdr>
    </w:div>
    <w:div w:id="1292904969">
      <w:bodyDiv w:val="1"/>
      <w:marLeft w:val="0"/>
      <w:marRight w:val="0"/>
      <w:marTop w:val="0"/>
      <w:marBottom w:val="0"/>
      <w:divBdr>
        <w:top w:val="none" w:sz="0" w:space="0" w:color="auto"/>
        <w:left w:val="none" w:sz="0" w:space="0" w:color="auto"/>
        <w:bottom w:val="none" w:sz="0" w:space="0" w:color="auto"/>
        <w:right w:val="none" w:sz="0" w:space="0" w:color="auto"/>
      </w:divBdr>
    </w:div>
    <w:div w:id="1296790252">
      <w:bodyDiv w:val="1"/>
      <w:marLeft w:val="0"/>
      <w:marRight w:val="0"/>
      <w:marTop w:val="0"/>
      <w:marBottom w:val="0"/>
      <w:divBdr>
        <w:top w:val="none" w:sz="0" w:space="0" w:color="auto"/>
        <w:left w:val="none" w:sz="0" w:space="0" w:color="auto"/>
        <w:bottom w:val="none" w:sz="0" w:space="0" w:color="auto"/>
        <w:right w:val="none" w:sz="0" w:space="0" w:color="auto"/>
      </w:divBdr>
    </w:div>
    <w:div w:id="1297027361">
      <w:bodyDiv w:val="1"/>
      <w:marLeft w:val="0"/>
      <w:marRight w:val="0"/>
      <w:marTop w:val="0"/>
      <w:marBottom w:val="0"/>
      <w:divBdr>
        <w:top w:val="none" w:sz="0" w:space="0" w:color="auto"/>
        <w:left w:val="none" w:sz="0" w:space="0" w:color="auto"/>
        <w:bottom w:val="none" w:sz="0" w:space="0" w:color="auto"/>
        <w:right w:val="none" w:sz="0" w:space="0" w:color="auto"/>
      </w:divBdr>
    </w:div>
    <w:div w:id="1297367568">
      <w:bodyDiv w:val="1"/>
      <w:marLeft w:val="0"/>
      <w:marRight w:val="0"/>
      <w:marTop w:val="0"/>
      <w:marBottom w:val="0"/>
      <w:divBdr>
        <w:top w:val="none" w:sz="0" w:space="0" w:color="auto"/>
        <w:left w:val="none" w:sz="0" w:space="0" w:color="auto"/>
        <w:bottom w:val="none" w:sz="0" w:space="0" w:color="auto"/>
        <w:right w:val="none" w:sz="0" w:space="0" w:color="auto"/>
      </w:divBdr>
    </w:div>
    <w:div w:id="1302080273">
      <w:bodyDiv w:val="1"/>
      <w:marLeft w:val="0"/>
      <w:marRight w:val="0"/>
      <w:marTop w:val="0"/>
      <w:marBottom w:val="0"/>
      <w:divBdr>
        <w:top w:val="none" w:sz="0" w:space="0" w:color="auto"/>
        <w:left w:val="none" w:sz="0" w:space="0" w:color="auto"/>
        <w:bottom w:val="none" w:sz="0" w:space="0" w:color="auto"/>
        <w:right w:val="none" w:sz="0" w:space="0" w:color="auto"/>
      </w:divBdr>
    </w:div>
    <w:div w:id="1319917275">
      <w:bodyDiv w:val="1"/>
      <w:marLeft w:val="0"/>
      <w:marRight w:val="0"/>
      <w:marTop w:val="0"/>
      <w:marBottom w:val="0"/>
      <w:divBdr>
        <w:top w:val="none" w:sz="0" w:space="0" w:color="auto"/>
        <w:left w:val="none" w:sz="0" w:space="0" w:color="auto"/>
        <w:bottom w:val="none" w:sz="0" w:space="0" w:color="auto"/>
        <w:right w:val="none" w:sz="0" w:space="0" w:color="auto"/>
      </w:divBdr>
    </w:div>
    <w:div w:id="1339889302">
      <w:bodyDiv w:val="1"/>
      <w:marLeft w:val="0"/>
      <w:marRight w:val="0"/>
      <w:marTop w:val="0"/>
      <w:marBottom w:val="0"/>
      <w:divBdr>
        <w:top w:val="none" w:sz="0" w:space="0" w:color="auto"/>
        <w:left w:val="none" w:sz="0" w:space="0" w:color="auto"/>
        <w:bottom w:val="none" w:sz="0" w:space="0" w:color="auto"/>
        <w:right w:val="none" w:sz="0" w:space="0" w:color="auto"/>
      </w:divBdr>
    </w:div>
    <w:div w:id="1351108702">
      <w:bodyDiv w:val="1"/>
      <w:marLeft w:val="0"/>
      <w:marRight w:val="0"/>
      <w:marTop w:val="0"/>
      <w:marBottom w:val="0"/>
      <w:divBdr>
        <w:top w:val="none" w:sz="0" w:space="0" w:color="auto"/>
        <w:left w:val="none" w:sz="0" w:space="0" w:color="auto"/>
        <w:bottom w:val="none" w:sz="0" w:space="0" w:color="auto"/>
        <w:right w:val="none" w:sz="0" w:space="0" w:color="auto"/>
      </w:divBdr>
    </w:div>
    <w:div w:id="1353069626">
      <w:bodyDiv w:val="1"/>
      <w:marLeft w:val="0"/>
      <w:marRight w:val="0"/>
      <w:marTop w:val="0"/>
      <w:marBottom w:val="0"/>
      <w:divBdr>
        <w:top w:val="none" w:sz="0" w:space="0" w:color="auto"/>
        <w:left w:val="none" w:sz="0" w:space="0" w:color="auto"/>
        <w:bottom w:val="none" w:sz="0" w:space="0" w:color="auto"/>
        <w:right w:val="none" w:sz="0" w:space="0" w:color="auto"/>
      </w:divBdr>
    </w:div>
    <w:div w:id="1353458077">
      <w:bodyDiv w:val="1"/>
      <w:marLeft w:val="0"/>
      <w:marRight w:val="0"/>
      <w:marTop w:val="0"/>
      <w:marBottom w:val="0"/>
      <w:divBdr>
        <w:top w:val="none" w:sz="0" w:space="0" w:color="auto"/>
        <w:left w:val="none" w:sz="0" w:space="0" w:color="auto"/>
        <w:bottom w:val="none" w:sz="0" w:space="0" w:color="auto"/>
        <w:right w:val="none" w:sz="0" w:space="0" w:color="auto"/>
      </w:divBdr>
    </w:div>
    <w:div w:id="1367411627">
      <w:bodyDiv w:val="1"/>
      <w:marLeft w:val="0"/>
      <w:marRight w:val="0"/>
      <w:marTop w:val="0"/>
      <w:marBottom w:val="0"/>
      <w:divBdr>
        <w:top w:val="none" w:sz="0" w:space="0" w:color="auto"/>
        <w:left w:val="none" w:sz="0" w:space="0" w:color="auto"/>
        <w:bottom w:val="none" w:sz="0" w:space="0" w:color="auto"/>
        <w:right w:val="none" w:sz="0" w:space="0" w:color="auto"/>
      </w:divBdr>
    </w:div>
    <w:div w:id="1396316487">
      <w:bodyDiv w:val="1"/>
      <w:marLeft w:val="0"/>
      <w:marRight w:val="0"/>
      <w:marTop w:val="0"/>
      <w:marBottom w:val="0"/>
      <w:divBdr>
        <w:top w:val="none" w:sz="0" w:space="0" w:color="auto"/>
        <w:left w:val="none" w:sz="0" w:space="0" w:color="auto"/>
        <w:bottom w:val="none" w:sz="0" w:space="0" w:color="auto"/>
        <w:right w:val="none" w:sz="0" w:space="0" w:color="auto"/>
      </w:divBdr>
    </w:div>
    <w:div w:id="1400177742">
      <w:bodyDiv w:val="1"/>
      <w:marLeft w:val="0"/>
      <w:marRight w:val="0"/>
      <w:marTop w:val="0"/>
      <w:marBottom w:val="0"/>
      <w:divBdr>
        <w:top w:val="none" w:sz="0" w:space="0" w:color="auto"/>
        <w:left w:val="none" w:sz="0" w:space="0" w:color="auto"/>
        <w:bottom w:val="none" w:sz="0" w:space="0" w:color="auto"/>
        <w:right w:val="none" w:sz="0" w:space="0" w:color="auto"/>
      </w:divBdr>
    </w:div>
    <w:div w:id="1402672933">
      <w:bodyDiv w:val="1"/>
      <w:marLeft w:val="0"/>
      <w:marRight w:val="0"/>
      <w:marTop w:val="0"/>
      <w:marBottom w:val="0"/>
      <w:divBdr>
        <w:top w:val="none" w:sz="0" w:space="0" w:color="auto"/>
        <w:left w:val="none" w:sz="0" w:space="0" w:color="auto"/>
        <w:bottom w:val="none" w:sz="0" w:space="0" w:color="auto"/>
        <w:right w:val="none" w:sz="0" w:space="0" w:color="auto"/>
      </w:divBdr>
    </w:div>
    <w:div w:id="1403218417">
      <w:bodyDiv w:val="1"/>
      <w:marLeft w:val="0"/>
      <w:marRight w:val="0"/>
      <w:marTop w:val="0"/>
      <w:marBottom w:val="0"/>
      <w:divBdr>
        <w:top w:val="none" w:sz="0" w:space="0" w:color="auto"/>
        <w:left w:val="none" w:sz="0" w:space="0" w:color="auto"/>
        <w:bottom w:val="none" w:sz="0" w:space="0" w:color="auto"/>
        <w:right w:val="none" w:sz="0" w:space="0" w:color="auto"/>
      </w:divBdr>
    </w:div>
    <w:div w:id="1406026591">
      <w:bodyDiv w:val="1"/>
      <w:marLeft w:val="0"/>
      <w:marRight w:val="0"/>
      <w:marTop w:val="0"/>
      <w:marBottom w:val="0"/>
      <w:divBdr>
        <w:top w:val="none" w:sz="0" w:space="0" w:color="auto"/>
        <w:left w:val="none" w:sz="0" w:space="0" w:color="auto"/>
        <w:bottom w:val="none" w:sz="0" w:space="0" w:color="auto"/>
        <w:right w:val="none" w:sz="0" w:space="0" w:color="auto"/>
      </w:divBdr>
    </w:div>
    <w:div w:id="1410228398">
      <w:bodyDiv w:val="1"/>
      <w:marLeft w:val="0"/>
      <w:marRight w:val="0"/>
      <w:marTop w:val="0"/>
      <w:marBottom w:val="0"/>
      <w:divBdr>
        <w:top w:val="none" w:sz="0" w:space="0" w:color="auto"/>
        <w:left w:val="none" w:sz="0" w:space="0" w:color="auto"/>
        <w:bottom w:val="none" w:sz="0" w:space="0" w:color="auto"/>
        <w:right w:val="none" w:sz="0" w:space="0" w:color="auto"/>
      </w:divBdr>
    </w:div>
    <w:div w:id="1411468682">
      <w:bodyDiv w:val="1"/>
      <w:marLeft w:val="0"/>
      <w:marRight w:val="0"/>
      <w:marTop w:val="0"/>
      <w:marBottom w:val="0"/>
      <w:divBdr>
        <w:top w:val="none" w:sz="0" w:space="0" w:color="auto"/>
        <w:left w:val="none" w:sz="0" w:space="0" w:color="auto"/>
        <w:bottom w:val="none" w:sz="0" w:space="0" w:color="auto"/>
        <w:right w:val="none" w:sz="0" w:space="0" w:color="auto"/>
      </w:divBdr>
    </w:div>
    <w:div w:id="1415126491">
      <w:bodyDiv w:val="1"/>
      <w:marLeft w:val="0"/>
      <w:marRight w:val="0"/>
      <w:marTop w:val="0"/>
      <w:marBottom w:val="0"/>
      <w:divBdr>
        <w:top w:val="none" w:sz="0" w:space="0" w:color="auto"/>
        <w:left w:val="none" w:sz="0" w:space="0" w:color="auto"/>
        <w:bottom w:val="none" w:sz="0" w:space="0" w:color="auto"/>
        <w:right w:val="none" w:sz="0" w:space="0" w:color="auto"/>
      </w:divBdr>
    </w:div>
    <w:div w:id="1416048647">
      <w:bodyDiv w:val="1"/>
      <w:marLeft w:val="0"/>
      <w:marRight w:val="0"/>
      <w:marTop w:val="0"/>
      <w:marBottom w:val="0"/>
      <w:divBdr>
        <w:top w:val="none" w:sz="0" w:space="0" w:color="auto"/>
        <w:left w:val="none" w:sz="0" w:space="0" w:color="auto"/>
        <w:bottom w:val="none" w:sz="0" w:space="0" w:color="auto"/>
        <w:right w:val="none" w:sz="0" w:space="0" w:color="auto"/>
      </w:divBdr>
    </w:div>
    <w:div w:id="1435051857">
      <w:bodyDiv w:val="1"/>
      <w:marLeft w:val="0"/>
      <w:marRight w:val="0"/>
      <w:marTop w:val="0"/>
      <w:marBottom w:val="0"/>
      <w:divBdr>
        <w:top w:val="none" w:sz="0" w:space="0" w:color="auto"/>
        <w:left w:val="none" w:sz="0" w:space="0" w:color="auto"/>
        <w:bottom w:val="none" w:sz="0" w:space="0" w:color="auto"/>
        <w:right w:val="none" w:sz="0" w:space="0" w:color="auto"/>
      </w:divBdr>
    </w:div>
    <w:div w:id="1445730621">
      <w:bodyDiv w:val="1"/>
      <w:marLeft w:val="0"/>
      <w:marRight w:val="0"/>
      <w:marTop w:val="0"/>
      <w:marBottom w:val="0"/>
      <w:divBdr>
        <w:top w:val="none" w:sz="0" w:space="0" w:color="auto"/>
        <w:left w:val="none" w:sz="0" w:space="0" w:color="auto"/>
        <w:bottom w:val="none" w:sz="0" w:space="0" w:color="auto"/>
        <w:right w:val="none" w:sz="0" w:space="0" w:color="auto"/>
      </w:divBdr>
    </w:div>
    <w:div w:id="1452237717">
      <w:bodyDiv w:val="1"/>
      <w:marLeft w:val="0"/>
      <w:marRight w:val="0"/>
      <w:marTop w:val="0"/>
      <w:marBottom w:val="0"/>
      <w:divBdr>
        <w:top w:val="none" w:sz="0" w:space="0" w:color="auto"/>
        <w:left w:val="none" w:sz="0" w:space="0" w:color="auto"/>
        <w:bottom w:val="none" w:sz="0" w:space="0" w:color="auto"/>
        <w:right w:val="none" w:sz="0" w:space="0" w:color="auto"/>
      </w:divBdr>
    </w:div>
    <w:div w:id="1461000847">
      <w:bodyDiv w:val="1"/>
      <w:marLeft w:val="0"/>
      <w:marRight w:val="0"/>
      <w:marTop w:val="0"/>
      <w:marBottom w:val="0"/>
      <w:divBdr>
        <w:top w:val="none" w:sz="0" w:space="0" w:color="auto"/>
        <w:left w:val="none" w:sz="0" w:space="0" w:color="auto"/>
        <w:bottom w:val="none" w:sz="0" w:space="0" w:color="auto"/>
        <w:right w:val="none" w:sz="0" w:space="0" w:color="auto"/>
      </w:divBdr>
    </w:div>
    <w:div w:id="1473713725">
      <w:bodyDiv w:val="1"/>
      <w:marLeft w:val="0"/>
      <w:marRight w:val="0"/>
      <w:marTop w:val="0"/>
      <w:marBottom w:val="0"/>
      <w:divBdr>
        <w:top w:val="none" w:sz="0" w:space="0" w:color="auto"/>
        <w:left w:val="none" w:sz="0" w:space="0" w:color="auto"/>
        <w:bottom w:val="none" w:sz="0" w:space="0" w:color="auto"/>
        <w:right w:val="none" w:sz="0" w:space="0" w:color="auto"/>
      </w:divBdr>
    </w:div>
    <w:div w:id="1476141679">
      <w:bodyDiv w:val="1"/>
      <w:marLeft w:val="0"/>
      <w:marRight w:val="0"/>
      <w:marTop w:val="0"/>
      <w:marBottom w:val="0"/>
      <w:divBdr>
        <w:top w:val="none" w:sz="0" w:space="0" w:color="auto"/>
        <w:left w:val="none" w:sz="0" w:space="0" w:color="auto"/>
        <w:bottom w:val="none" w:sz="0" w:space="0" w:color="auto"/>
        <w:right w:val="none" w:sz="0" w:space="0" w:color="auto"/>
      </w:divBdr>
    </w:div>
    <w:div w:id="1479154744">
      <w:bodyDiv w:val="1"/>
      <w:marLeft w:val="0"/>
      <w:marRight w:val="0"/>
      <w:marTop w:val="0"/>
      <w:marBottom w:val="0"/>
      <w:divBdr>
        <w:top w:val="none" w:sz="0" w:space="0" w:color="auto"/>
        <w:left w:val="none" w:sz="0" w:space="0" w:color="auto"/>
        <w:bottom w:val="none" w:sz="0" w:space="0" w:color="auto"/>
        <w:right w:val="none" w:sz="0" w:space="0" w:color="auto"/>
      </w:divBdr>
    </w:div>
    <w:div w:id="1486895525">
      <w:bodyDiv w:val="1"/>
      <w:marLeft w:val="0"/>
      <w:marRight w:val="0"/>
      <w:marTop w:val="0"/>
      <w:marBottom w:val="0"/>
      <w:divBdr>
        <w:top w:val="none" w:sz="0" w:space="0" w:color="auto"/>
        <w:left w:val="none" w:sz="0" w:space="0" w:color="auto"/>
        <w:bottom w:val="none" w:sz="0" w:space="0" w:color="auto"/>
        <w:right w:val="none" w:sz="0" w:space="0" w:color="auto"/>
      </w:divBdr>
    </w:div>
    <w:div w:id="1508442331">
      <w:bodyDiv w:val="1"/>
      <w:marLeft w:val="0"/>
      <w:marRight w:val="0"/>
      <w:marTop w:val="0"/>
      <w:marBottom w:val="0"/>
      <w:divBdr>
        <w:top w:val="none" w:sz="0" w:space="0" w:color="auto"/>
        <w:left w:val="none" w:sz="0" w:space="0" w:color="auto"/>
        <w:bottom w:val="none" w:sz="0" w:space="0" w:color="auto"/>
        <w:right w:val="none" w:sz="0" w:space="0" w:color="auto"/>
      </w:divBdr>
    </w:div>
    <w:div w:id="1526793889">
      <w:bodyDiv w:val="1"/>
      <w:marLeft w:val="0"/>
      <w:marRight w:val="0"/>
      <w:marTop w:val="0"/>
      <w:marBottom w:val="0"/>
      <w:divBdr>
        <w:top w:val="none" w:sz="0" w:space="0" w:color="auto"/>
        <w:left w:val="none" w:sz="0" w:space="0" w:color="auto"/>
        <w:bottom w:val="none" w:sz="0" w:space="0" w:color="auto"/>
        <w:right w:val="none" w:sz="0" w:space="0" w:color="auto"/>
      </w:divBdr>
    </w:div>
    <w:div w:id="1527018869">
      <w:bodyDiv w:val="1"/>
      <w:marLeft w:val="0"/>
      <w:marRight w:val="0"/>
      <w:marTop w:val="0"/>
      <w:marBottom w:val="0"/>
      <w:divBdr>
        <w:top w:val="none" w:sz="0" w:space="0" w:color="auto"/>
        <w:left w:val="none" w:sz="0" w:space="0" w:color="auto"/>
        <w:bottom w:val="none" w:sz="0" w:space="0" w:color="auto"/>
        <w:right w:val="none" w:sz="0" w:space="0" w:color="auto"/>
      </w:divBdr>
    </w:div>
    <w:div w:id="1540700477">
      <w:bodyDiv w:val="1"/>
      <w:marLeft w:val="0"/>
      <w:marRight w:val="0"/>
      <w:marTop w:val="0"/>
      <w:marBottom w:val="0"/>
      <w:divBdr>
        <w:top w:val="none" w:sz="0" w:space="0" w:color="auto"/>
        <w:left w:val="none" w:sz="0" w:space="0" w:color="auto"/>
        <w:bottom w:val="none" w:sz="0" w:space="0" w:color="auto"/>
        <w:right w:val="none" w:sz="0" w:space="0" w:color="auto"/>
      </w:divBdr>
    </w:div>
    <w:div w:id="1543591469">
      <w:bodyDiv w:val="1"/>
      <w:marLeft w:val="0"/>
      <w:marRight w:val="0"/>
      <w:marTop w:val="0"/>
      <w:marBottom w:val="0"/>
      <w:divBdr>
        <w:top w:val="none" w:sz="0" w:space="0" w:color="auto"/>
        <w:left w:val="none" w:sz="0" w:space="0" w:color="auto"/>
        <w:bottom w:val="none" w:sz="0" w:space="0" w:color="auto"/>
        <w:right w:val="none" w:sz="0" w:space="0" w:color="auto"/>
      </w:divBdr>
    </w:div>
    <w:div w:id="1546261173">
      <w:bodyDiv w:val="1"/>
      <w:marLeft w:val="0"/>
      <w:marRight w:val="0"/>
      <w:marTop w:val="0"/>
      <w:marBottom w:val="0"/>
      <w:divBdr>
        <w:top w:val="none" w:sz="0" w:space="0" w:color="auto"/>
        <w:left w:val="none" w:sz="0" w:space="0" w:color="auto"/>
        <w:bottom w:val="none" w:sz="0" w:space="0" w:color="auto"/>
        <w:right w:val="none" w:sz="0" w:space="0" w:color="auto"/>
      </w:divBdr>
    </w:div>
    <w:div w:id="1548955757">
      <w:bodyDiv w:val="1"/>
      <w:marLeft w:val="0"/>
      <w:marRight w:val="0"/>
      <w:marTop w:val="0"/>
      <w:marBottom w:val="0"/>
      <w:divBdr>
        <w:top w:val="none" w:sz="0" w:space="0" w:color="auto"/>
        <w:left w:val="none" w:sz="0" w:space="0" w:color="auto"/>
        <w:bottom w:val="none" w:sz="0" w:space="0" w:color="auto"/>
        <w:right w:val="none" w:sz="0" w:space="0" w:color="auto"/>
      </w:divBdr>
    </w:div>
    <w:div w:id="1556114108">
      <w:bodyDiv w:val="1"/>
      <w:marLeft w:val="0"/>
      <w:marRight w:val="0"/>
      <w:marTop w:val="0"/>
      <w:marBottom w:val="0"/>
      <w:divBdr>
        <w:top w:val="none" w:sz="0" w:space="0" w:color="auto"/>
        <w:left w:val="none" w:sz="0" w:space="0" w:color="auto"/>
        <w:bottom w:val="none" w:sz="0" w:space="0" w:color="auto"/>
        <w:right w:val="none" w:sz="0" w:space="0" w:color="auto"/>
      </w:divBdr>
    </w:div>
    <w:div w:id="1565604804">
      <w:bodyDiv w:val="1"/>
      <w:marLeft w:val="0"/>
      <w:marRight w:val="0"/>
      <w:marTop w:val="0"/>
      <w:marBottom w:val="0"/>
      <w:divBdr>
        <w:top w:val="none" w:sz="0" w:space="0" w:color="auto"/>
        <w:left w:val="none" w:sz="0" w:space="0" w:color="auto"/>
        <w:bottom w:val="none" w:sz="0" w:space="0" w:color="auto"/>
        <w:right w:val="none" w:sz="0" w:space="0" w:color="auto"/>
      </w:divBdr>
    </w:div>
    <w:div w:id="1571428860">
      <w:bodyDiv w:val="1"/>
      <w:marLeft w:val="0"/>
      <w:marRight w:val="0"/>
      <w:marTop w:val="0"/>
      <w:marBottom w:val="0"/>
      <w:divBdr>
        <w:top w:val="none" w:sz="0" w:space="0" w:color="auto"/>
        <w:left w:val="none" w:sz="0" w:space="0" w:color="auto"/>
        <w:bottom w:val="none" w:sz="0" w:space="0" w:color="auto"/>
        <w:right w:val="none" w:sz="0" w:space="0" w:color="auto"/>
      </w:divBdr>
      <w:divsChild>
        <w:div w:id="76295494">
          <w:marLeft w:val="274"/>
          <w:marRight w:val="0"/>
          <w:marTop w:val="0"/>
          <w:marBottom w:val="0"/>
          <w:divBdr>
            <w:top w:val="none" w:sz="0" w:space="0" w:color="auto"/>
            <w:left w:val="none" w:sz="0" w:space="0" w:color="auto"/>
            <w:bottom w:val="none" w:sz="0" w:space="0" w:color="auto"/>
            <w:right w:val="none" w:sz="0" w:space="0" w:color="auto"/>
          </w:divBdr>
        </w:div>
        <w:div w:id="284966733">
          <w:marLeft w:val="274"/>
          <w:marRight w:val="0"/>
          <w:marTop w:val="0"/>
          <w:marBottom w:val="0"/>
          <w:divBdr>
            <w:top w:val="none" w:sz="0" w:space="0" w:color="auto"/>
            <w:left w:val="none" w:sz="0" w:space="0" w:color="auto"/>
            <w:bottom w:val="none" w:sz="0" w:space="0" w:color="auto"/>
            <w:right w:val="none" w:sz="0" w:space="0" w:color="auto"/>
          </w:divBdr>
        </w:div>
        <w:div w:id="1125661423">
          <w:marLeft w:val="274"/>
          <w:marRight w:val="0"/>
          <w:marTop w:val="0"/>
          <w:marBottom w:val="0"/>
          <w:divBdr>
            <w:top w:val="none" w:sz="0" w:space="0" w:color="auto"/>
            <w:left w:val="none" w:sz="0" w:space="0" w:color="auto"/>
            <w:bottom w:val="none" w:sz="0" w:space="0" w:color="auto"/>
            <w:right w:val="none" w:sz="0" w:space="0" w:color="auto"/>
          </w:divBdr>
        </w:div>
        <w:div w:id="2119256870">
          <w:marLeft w:val="274"/>
          <w:marRight w:val="0"/>
          <w:marTop w:val="0"/>
          <w:marBottom w:val="0"/>
          <w:divBdr>
            <w:top w:val="none" w:sz="0" w:space="0" w:color="auto"/>
            <w:left w:val="none" w:sz="0" w:space="0" w:color="auto"/>
            <w:bottom w:val="none" w:sz="0" w:space="0" w:color="auto"/>
            <w:right w:val="none" w:sz="0" w:space="0" w:color="auto"/>
          </w:divBdr>
        </w:div>
      </w:divsChild>
    </w:div>
    <w:div w:id="1577787471">
      <w:bodyDiv w:val="1"/>
      <w:marLeft w:val="0"/>
      <w:marRight w:val="0"/>
      <w:marTop w:val="0"/>
      <w:marBottom w:val="0"/>
      <w:divBdr>
        <w:top w:val="none" w:sz="0" w:space="0" w:color="auto"/>
        <w:left w:val="none" w:sz="0" w:space="0" w:color="auto"/>
        <w:bottom w:val="none" w:sz="0" w:space="0" w:color="auto"/>
        <w:right w:val="none" w:sz="0" w:space="0" w:color="auto"/>
      </w:divBdr>
    </w:div>
    <w:div w:id="1601910398">
      <w:bodyDiv w:val="1"/>
      <w:marLeft w:val="0"/>
      <w:marRight w:val="0"/>
      <w:marTop w:val="0"/>
      <w:marBottom w:val="0"/>
      <w:divBdr>
        <w:top w:val="none" w:sz="0" w:space="0" w:color="auto"/>
        <w:left w:val="none" w:sz="0" w:space="0" w:color="auto"/>
        <w:bottom w:val="none" w:sz="0" w:space="0" w:color="auto"/>
        <w:right w:val="none" w:sz="0" w:space="0" w:color="auto"/>
      </w:divBdr>
    </w:div>
    <w:div w:id="1610239834">
      <w:bodyDiv w:val="1"/>
      <w:marLeft w:val="0"/>
      <w:marRight w:val="0"/>
      <w:marTop w:val="0"/>
      <w:marBottom w:val="0"/>
      <w:divBdr>
        <w:top w:val="none" w:sz="0" w:space="0" w:color="auto"/>
        <w:left w:val="none" w:sz="0" w:space="0" w:color="auto"/>
        <w:bottom w:val="none" w:sz="0" w:space="0" w:color="auto"/>
        <w:right w:val="none" w:sz="0" w:space="0" w:color="auto"/>
      </w:divBdr>
    </w:div>
    <w:div w:id="1611863732">
      <w:bodyDiv w:val="1"/>
      <w:marLeft w:val="0"/>
      <w:marRight w:val="0"/>
      <w:marTop w:val="0"/>
      <w:marBottom w:val="0"/>
      <w:divBdr>
        <w:top w:val="none" w:sz="0" w:space="0" w:color="auto"/>
        <w:left w:val="none" w:sz="0" w:space="0" w:color="auto"/>
        <w:bottom w:val="none" w:sz="0" w:space="0" w:color="auto"/>
        <w:right w:val="none" w:sz="0" w:space="0" w:color="auto"/>
      </w:divBdr>
    </w:div>
    <w:div w:id="1612131499">
      <w:bodyDiv w:val="1"/>
      <w:marLeft w:val="0"/>
      <w:marRight w:val="0"/>
      <w:marTop w:val="0"/>
      <w:marBottom w:val="0"/>
      <w:divBdr>
        <w:top w:val="none" w:sz="0" w:space="0" w:color="auto"/>
        <w:left w:val="none" w:sz="0" w:space="0" w:color="auto"/>
        <w:bottom w:val="none" w:sz="0" w:space="0" w:color="auto"/>
        <w:right w:val="none" w:sz="0" w:space="0" w:color="auto"/>
      </w:divBdr>
      <w:divsChild>
        <w:div w:id="1274284871">
          <w:marLeft w:val="446"/>
          <w:marRight w:val="0"/>
          <w:marTop w:val="240"/>
          <w:marBottom w:val="0"/>
          <w:divBdr>
            <w:top w:val="none" w:sz="0" w:space="0" w:color="auto"/>
            <w:left w:val="none" w:sz="0" w:space="0" w:color="auto"/>
            <w:bottom w:val="none" w:sz="0" w:space="0" w:color="auto"/>
            <w:right w:val="none" w:sz="0" w:space="0" w:color="auto"/>
          </w:divBdr>
        </w:div>
        <w:div w:id="625354240">
          <w:marLeft w:val="446"/>
          <w:marRight w:val="0"/>
          <w:marTop w:val="240"/>
          <w:marBottom w:val="0"/>
          <w:divBdr>
            <w:top w:val="none" w:sz="0" w:space="0" w:color="auto"/>
            <w:left w:val="none" w:sz="0" w:space="0" w:color="auto"/>
            <w:bottom w:val="none" w:sz="0" w:space="0" w:color="auto"/>
            <w:right w:val="none" w:sz="0" w:space="0" w:color="auto"/>
          </w:divBdr>
        </w:div>
      </w:divsChild>
    </w:div>
    <w:div w:id="1615285665">
      <w:bodyDiv w:val="1"/>
      <w:marLeft w:val="0"/>
      <w:marRight w:val="0"/>
      <w:marTop w:val="0"/>
      <w:marBottom w:val="0"/>
      <w:divBdr>
        <w:top w:val="none" w:sz="0" w:space="0" w:color="auto"/>
        <w:left w:val="none" w:sz="0" w:space="0" w:color="auto"/>
        <w:bottom w:val="none" w:sz="0" w:space="0" w:color="auto"/>
        <w:right w:val="none" w:sz="0" w:space="0" w:color="auto"/>
      </w:divBdr>
    </w:div>
    <w:div w:id="1616447120">
      <w:bodyDiv w:val="1"/>
      <w:marLeft w:val="0"/>
      <w:marRight w:val="0"/>
      <w:marTop w:val="0"/>
      <w:marBottom w:val="0"/>
      <w:divBdr>
        <w:top w:val="none" w:sz="0" w:space="0" w:color="auto"/>
        <w:left w:val="none" w:sz="0" w:space="0" w:color="auto"/>
        <w:bottom w:val="none" w:sz="0" w:space="0" w:color="auto"/>
        <w:right w:val="none" w:sz="0" w:space="0" w:color="auto"/>
      </w:divBdr>
    </w:div>
    <w:div w:id="1617444138">
      <w:bodyDiv w:val="1"/>
      <w:marLeft w:val="0"/>
      <w:marRight w:val="0"/>
      <w:marTop w:val="0"/>
      <w:marBottom w:val="0"/>
      <w:divBdr>
        <w:top w:val="none" w:sz="0" w:space="0" w:color="auto"/>
        <w:left w:val="none" w:sz="0" w:space="0" w:color="auto"/>
        <w:bottom w:val="none" w:sz="0" w:space="0" w:color="auto"/>
        <w:right w:val="none" w:sz="0" w:space="0" w:color="auto"/>
      </w:divBdr>
    </w:div>
    <w:div w:id="1626960927">
      <w:bodyDiv w:val="1"/>
      <w:marLeft w:val="0"/>
      <w:marRight w:val="0"/>
      <w:marTop w:val="0"/>
      <w:marBottom w:val="0"/>
      <w:divBdr>
        <w:top w:val="none" w:sz="0" w:space="0" w:color="auto"/>
        <w:left w:val="none" w:sz="0" w:space="0" w:color="auto"/>
        <w:bottom w:val="none" w:sz="0" w:space="0" w:color="auto"/>
        <w:right w:val="none" w:sz="0" w:space="0" w:color="auto"/>
      </w:divBdr>
    </w:div>
    <w:div w:id="1647198726">
      <w:bodyDiv w:val="1"/>
      <w:marLeft w:val="0"/>
      <w:marRight w:val="0"/>
      <w:marTop w:val="0"/>
      <w:marBottom w:val="0"/>
      <w:divBdr>
        <w:top w:val="none" w:sz="0" w:space="0" w:color="auto"/>
        <w:left w:val="none" w:sz="0" w:space="0" w:color="auto"/>
        <w:bottom w:val="none" w:sz="0" w:space="0" w:color="auto"/>
        <w:right w:val="none" w:sz="0" w:space="0" w:color="auto"/>
      </w:divBdr>
    </w:div>
    <w:div w:id="1667054139">
      <w:bodyDiv w:val="1"/>
      <w:marLeft w:val="0"/>
      <w:marRight w:val="0"/>
      <w:marTop w:val="0"/>
      <w:marBottom w:val="0"/>
      <w:divBdr>
        <w:top w:val="none" w:sz="0" w:space="0" w:color="auto"/>
        <w:left w:val="none" w:sz="0" w:space="0" w:color="auto"/>
        <w:bottom w:val="none" w:sz="0" w:space="0" w:color="auto"/>
        <w:right w:val="none" w:sz="0" w:space="0" w:color="auto"/>
      </w:divBdr>
    </w:div>
    <w:div w:id="1692954523">
      <w:bodyDiv w:val="1"/>
      <w:marLeft w:val="0"/>
      <w:marRight w:val="0"/>
      <w:marTop w:val="0"/>
      <w:marBottom w:val="0"/>
      <w:divBdr>
        <w:top w:val="none" w:sz="0" w:space="0" w:color="auto"/>
        <w:left w:val="none" w:sz="0" w:space="0" w:color="auto"/>
        <w:bottom w:val="none" w:sz="0" w:space="0" w:color="auto"/>
        <w:right w:val="none" w:sz="0" w:space="0" w:color="auto"/>
      </w:divBdr>
    </w:div>
    <w:div w:id="1728726487">
      <w:bodyDiv w:val="1"/>
      <w:marLeft w:val="0"/>
      <w:marRight w:val="0"/>
      <w:marTop w:val="0"/>
      <w:marBottom w:val="0"/>
      <w:divBdr>
        <w:top w:val="none" w:sz="0" w:space="0" w:color="auto"/>
        <w:left w:val="none" w:sz="0" w:space="0" w:color="auto"/>
        <w:bottom w:val="none" w:sz="0" w:space="0" w:color="auto"/>
        <w:right w:val="none" w:sz="0" w:space="0" w:color="auto"/>
      </w:divBdr>
    </w:div>
    <w:div w:id="1730112486">
      <w:bodyDiv w:val="1"/>
      <w:marLeft w:val="0"/>
      <w:marRight w:val="0"/>
      <w:marTop w:val="0"/>
      <w:marBottom w:val="0"/>
      <w:divBdr>
        <w:top w:val="none" w:sz="0" w:space="0" w:color="auto"/>
        <w:left w:val="none" w:sz="0" w:space="0" w:color="auto"/>
        <w:bottom w:val="none" w:sz="0" w:space="0" w:color="auto"/>
        <w:right w:val="none" w:sz="0" w:space="0" w:color="auto"/>
      </w:divBdr>
    </w:div>
    <w:div w:id="1732921709">
      <w:bodyDiv w:val="1"/>
      <w:marLeft w:val="0"/>
      <w:marRight w:val="0"/>
      <w:marTop w:val="0"/>
      <w:marBottom w:val="0"/>
      <w:divBdr>
        <w:top w:val="none" w:sz="0" w:space="0" w:color="auto"/>
        <w:left w:val="none" w:sz="0" w:space="0" w:color="auto"/>
        <w:bottom w:val="none" w:sz="0" w:space="0" w:color="auto"/>
        <w:right w:val="none" w:sz="0" w:space="0" w:color="auto"/>
      </w:divBdr>
    </w:div>
    <w:div w:id="1733309660">
      <w:bodyDiv w:val="1"/>
      <w:marLeft w:val="0"/>
      <w:marRight w:val="0"/>
      <w:marTop w:val="0"/>
      <w:marBottom w:val="0"/>
      <w:divBdr>
        <w:top w:val="none" w:sz="0" w:space="0" w:color="auto"/>
        <w:left w:val="none" w:sz="0" w:space="0" w:color="auto"/>
        <w:bottom w:val="none" w:sz="0" w:space="0" w:color="auto"/>
        <w:right w:val="none" w:sz="0" w:space="0" w:color="auto"/>
      </w:divBdr>
    </w:div>
    <w:div w:id="1740245094">
      <w:bodyDiv w:val="1"/>
      <w:marLeft w:val="0"/>
      <w:marRight w:val="0"/>
      <w:marTop w:val="0"/>
      <w:marBottom w:val="0"/>
      <w:divBdr>
        <w:top w:val="none" w:sz="0" w:space="0" w:color="auto"/>
        <w:left w:val="none" w:sz="0" w:space="0" w:color="auto"/>
        <w:bottom w:val="none" w:sz="0" w:space="0" w:color="auto"/>
        <w:right w:val="none" w:sz="0" w:space="0" w:color="auto"/>
      </w:divBdr>
    </w:div>
    <w:div w:id="1743067370">
      <w:bodyDiv w:val="1"/>
      <w:marLeft w:val="0"/>
      <w:marRight w:val="0"/>
      <w:marTop w:val="0"/>
      <w:marBottom w:val="0"/>
      <w:divBdr>
        <w:top w:val="none" w:sz="0" w:space="0" w:color="auto"/>
        <w:left w:val="none" w:sz="0" w:space="0" w:color="auto"/>
        <w:bottom w:val="none" w:sz="0" w:space="0" w:color="auto"/>
        <w:right w:val="none" w:sz="0" w:space="0" w:color="auto"/>
      </w:divBdr>
    </w:div>
    <w:div w:id="1785999880">
      <w:bodyDiv w:val="1"/>
      <w:marLeft w:val="0"/>
      <w:marRight w:val="0"/>
      <w:marTop w:val="0"/>
      <w:marBottom w:val="0"/>
      <w:divBdr>
        <w:top w:val="none" w:sz="0" w:space="0" w:color="auto"/>
        <w:left w:val="none" w:sz="0" w:space="0" w:color="auto"/>
        <w:bottom w:val="none" w:sz="0" w:space="0" w:color="auto"/>
        <w:right w:val="none" w:sz="0" w:space="0" w:color="auto"/>
      </w:divBdr>
    </w:div>
    <w:div w:id="1791314557">
      <w:bodyDiv w:val="1"/>
      <w:marLeft w:val="0"/>
      <w:marRight w:val="0"/>
      <w:marTop w:val="0"/>
      <w:marBottom w:val="0"/>
      <w:divBdr>
        <w:top w:val="none" w:sz="0" w:space="0" w:color="auto"/>
        <w:left w:val="none" w:sz="0" w:space="0" w:color="auto"/>
        <w:bottom w:val="none" w:sz="0" w:space="0" w:color="auto"/>
        <w:right w:val="none" w:sz="0" w:space="0" w:color="auto"/>
      </w:divBdr>
    </w:div>
    <w:div w:id="1805155632">
      <w:bodyDiv w:val="1"/>
      <w:marLeft w:val="0"/>
      <w:marRight w:val="0"/>
      <w:marTop w:val="0"/>
      <w:marBottom w:val="0"/>
      <w:divBdr>
        <w:top w:val="none" w:sz="0" w:space="0" w:color="auto"/>
        <w:left w:val="none" w:sz="0" w:space="0" w:color="auto"/>
        <w:bottom w:val="none" w:sz="0" w:space="0" w:color="auto"/>
        <w:right w:val="none" w:sz="0" w:space="0" w:color="auto"/>
      </w:divBdr>
    </w:div>
    <w:div w:id="1807118011">
      <w:bodyDiv w:val="1"/>
      <w:marLeft w:val="0"/>
      <w:marRight w:val="0"/>
      <w:marTop w:val="0"/>
      <w:marBottom w:val="0"/>
      <w:divBdr>
        <w:top w:val="none" w:sz="0" w:space="0" w:color="auto"/>
        <w:left w:val="none" w:sz="0" w:space="0" w:color="auto"/>
        <w:bottom w:val="none" w:sz="0" w:space="0" w:color="auto"/>
        <w:right w:val="none" w:sz="0" w:space="0" w:color="auto"/>
      </w:divBdr>
    </w:div>
    <w:div w:id="1820993751">
      <w:bodyDiv w:val="1"/>
      <w:marLeft w:val="0"/>
      <w:marRight w:val="0"/>
      <w:marTop w:val="0"/>
      <w:marBottom w:val="0"/>
      <w:divBdr>
        <w:top w:val="none" w:sz="0" w:space="0" w:color="auto"/>
        <w:left w:val="none" w:sz="0" w:space="0" w:color="auto"/>
        <w:bottom w:val="none" w:sz="0" w:space="0" w:color="auto"/>
        <w:right w:val="none" w:sz="0" w:space="0" w:color="auto"/>
      </w:divBdr>
    </w:div>
    <w:div w:id="1835683610">
      <w:bodyDiv w:val="1"/>
      <w:marLeft w:val="0"/>
      <w:marRight w:val="0"/>
      <w:marTop w:val="0"/>
      <w:marBottom w:val="0"/>
      <w:divBdr>
        <w:top w:val="none" w:sz="0" w:space="0" w:color="auto"/>
        <w:left w:val="none" w:sz="0" w:space="0" w:color="auto"/>
        <w:bottom w:val="none" w:sz="0" w:space="0" w:color="auto"/>
        <w:right w:val="none" w:sz="0" w:space="0" w:color="auto"/>
      </w:divBdr>
    </w:div>
    <w:div w:id="1841431312">
      <w:bodyDiv w:val="1"/>
      <w:marLeft w:val="0"/>
      <w:marRight w:val="0"/>
      <w:marTop w:val="0"/>
      <w:marBottom w:val="0"/>
      <w:divBdr>
        <w:top w:val="none" w:sz="0" w:space="0" w:color="auto"/>
        <w:left w:val="none" w:sz="0" w:space="0" w:color="auto"/>
        <w:bottom w:val="none" w:sz="0" w:space="0" w:color="auto"/>
        <w:right w:val="none" w:sz="0" w:space="0" w:color="auto"/>
      </w:divBdr>
    </w:div>
    <w:div w:id="1852989374">
      <w:bodyDiv w:val="1"/>
      <w:marLeft w:val="0"/>
      <w:marRight w:val="0"/>
      <w:marTop w:val="0"/>
      <w:marBottom w:val="0"/>
      <w:divBdr>
        <w:top w:val="none" w:sz="0" w:space="0" w:color="auto"/>
        <w:left w:val="none" w:sz="0" w:space="0" w:color="auto"/>
        <w:bottom w:val="none" w:sz="0" w:space="0" w:color="auto"/>
        <w:right w:val="none" w:sz="0" w:space="0" w:color="auto"/>
      </w:divBdr>
    </w:div>
    <w:div w:id="1861814184">
      <w:bodyDiv w:val="1"/>
      <w:marLeft w:val="0"/>
      <w:marRight w:val="0"/>
      <w:marTop w:val="0"/>
      <w:marBottom w:val="0"/>
      <w:divBdr>
        <w:top w:val="none" w:sz="0" w:space="0" w:color="auto"/>
        <w:left w:val="none" w:sz="0" w:space="0" w:color="auto"/>
        <w:bottom w:val="none" w:sz="0" w:space="0" w:color="auto"/>
        <w:right w:val="none" w:sz="0" w:space="0" w:color="auto"/>
      </w:divBdr>
    </w:div>
    <w:div w:id="1866597140">
      <w:bodyDiv w:val="1"/>
      <w:marLeft w:val="0"/>
      <w:marRight w:val="0"/>
      <w:marTop w:val="0"/>
      <w:marBottom w:val="0"/>
      <w:divBdr>
        <w:top w:val="none" w:sz="0" w:space="0" w:color="auto"/>
        <w:left w:val="none" w:sz="0" w:space="0" w:color="auto"/>
        <w:bottom w:val="none" w:sz="0" w:space="0" w:color="auto"/>
        <w:right w:val="none" w:sz="0" w:space="0" w:color="auto"/>
      </w:divBdr>
    </w:div>
    <w:div w:id="1866753221">
      <w:bodyDiv w:val="1"/>
      <w:marLeft w:val="0"/>
      <w:marRight w:val="0"/>
      <w:marTop w:val="0"/>
      <w:marBottom w:val="0"/>
      <w:divBdr>
        <w:top w:val="none" w:sz="0" w:space="0" w:color="auto"/>
        <w:left w:val="none" w:sz="0" w:space="0" w:color="auto"/>
        <w:bottom w:val="none" w:sz="0" w:space="0" w:color="auto"/>
        <w:right w:val="none" w:sz="0" w:space="0" w:color="auto"/>
      </w:divBdr>
    </w:div>
    <w:div w:id="1883593603">
      <w:bodyDiv w:val="1"/>
      <w:marLeft w:val="0"/>
      <w:marRight w:val="0"/>
      <w:marTop w:val="0"/>
      <w:marBottom w:val="0"/>
      <w:divBdr>
        <w:top w:val="none" w:sz="0" w:space="0" w:color="auto"/>
        <w:left w:val="none" w:sz="0" w:space="0" w:color="auto"/>
        <w:bottom w:val="none" w:sz="0" w:space="0" w:color="auto"/>
        <w:right w:val="none" w:sz="0" w:space="0" w:color="auto"/>
      </w:divBdr>
    </w:div>
    <w:div w:id="1887524361">
      <w:bodyDiv w:val="1"/>
      <w:marLeft w:val="0"/>
      <w:marRight w:val="0"/>
      <w:marTop w:val="0"/>
      <w:marBottom w:val="0"/>
      <w:divBdr>
        <w:top w:val="none" w:sz="0" w:space="0" w:color="auto"/>
        <w:left w:val="none" w:sz="0" w:space="0" w:color="auto"/>
        <w:bottom w:val="none" w:sz="0" w:space="0" w:color="auto"/>
        <w:right w:val="none" w:sz="0" w:space="0" w:color="auto"/>
      </w:divBdr>
    </w:div>
    <w:div w:id="1899784671">
      <w:bodyDiv w:val="1"/>
      <w:marLeft w:val="0"/>
      <w:marRight w:val="0"/>
      <w:marTop w:val="0"/>
      <w:marBottom w:val="0"/>
      <w:divBdr>
        <w:top w:val="none" w:sz="0" w:space="0" w:color="auto"/>
        <w:left w:val="none" w:sz="0" w:space="0" w:color="auto"/>
        <w:bottom w:val="none" w:sz="0" w:space="0" w:color="auto"/>
        <w:right w:val="none" w:sz="0" w:space="0" w:color="auto"/>
      </w:divBdr>
    </w:div>
    <w:div w:id="1901550085">
      <w:bodyDiv w:val="1"/>
      <w:marLeft w:val="0"/>
      <w:marRight w:val="0"/>
      <w:marTop w:val="0"/>
      <w:marBottom w:val="0"/>
      <w:divBdr>
        <w:top w:val="none" w:sz="0" w:space="0" w:color="auto"/>
        <w:left w:val="none" w:sz="0" w:space="0" w:color="auto"/>
        <w:bottom w:val="none" w:sz="0" w:space="0" w:color="auto"/>
        <w:right w:val="none" w:sz="0" w:space="0" w:color="auto"/>
      </w:divBdr>
    </w:div>
    <w:div w:id="1914973484">
      <w:bodyDiv w:val="1"/>
      <w:marLeft w:val="0"/>
      <w:marRight w:val="0"/>
      <w:marTop w:val="0"/>
      <w:marBottom w:val="0"/>
      <w:divBdr>
        <w:top w:val="none" w:sz="0" w:space="0" w:color="auto"/>
        <w:left w:val="none" w:sz="0" w:space="0" w:color="auto"/>
        <w:bottom w:val="none" w:sz="0" w:space="0" w:color="auto"/>
        <w:right w:val="none" w:sz="0" w:space="0" w:color="auto"/>
      </w:divBdr>
    </w:div>
    <w:div w:id="1917980370">
      <w:bodyDiv w:val="1"/>
      <w:marLeft w:val="0"/>
      <w:marRight w:val="0"/>
      <w:marTop w:val="0"/>
      <w:marBottom w:val="0"/>
      <w:divBdr>
        <w:top w:val="none" w:sz="0" w:space="0" w:color="auto"/>
        <w:left w:val="none" w:sz="0" w:space="0" w:color="auto"/>
        <w:bottom w:val="none" w:sz="0" w:space="0" w:color="auto"/>
        <w:right w:val="none" w:sz="0" w:space="0" w:color="auto"/>
      </w:divBdr>
    </w:div>
    <w:div w:id="1918251036">
      <w:bodyDiv w:val="1"/>
      <w:marLeft w:val="0"/>
      <w:marRight w:val="0"/>
      <w:marTop w:val="0"/>
      <w:marBottom w:val="0"/>
      <w:divBdr>
        <w:top w:val="none" w:sz="0" w:space="0" w:color="auto"/>
        <w:left w:val="none" w:sz="0" w:space="0" w:color="auto"/>
        <w:bottom w:val="none" w:sz="0" w:space="0" w:color="auto"/>
        <w:right w:val="none" w:sz="0" w:space="0" w:color="auto"/>
      </w:divBdr>
    </w:div>
    <w:div w:id="1919055486">
      <w:bodyDiv w:val="1"/>
      <w:marLeft w:val="0"/>
      <w:marRight w:val="0"/>
      <w:marTop w:val="0"/>
      <w:marBottom w:val="0"/>
      <w:divBdr>
        <w:top w:val="none" w:sz="0" w:space="0" w:color="auto"/>
        <w:left w:val="none" w:sz="0" w:space="0" w:color="auto"/>
        <w:bottom w:val="none" w:sz="0" w:space="0" w:color="auto"/>
        <w:right w:val="none" w:sz="0" w:space="0" w:color="auto"/>
      </w:divBdr>
    </w:div>
    <w:div w:id="1923104645">
      <w:bodyDiv w:val="1"/>
      <w:marLeft w:val="0"/>
      <w:marRight w:val="0"/>
      <w:marTop w:val="0"/>
      <w:marBottom w:val="0"/>
      <w:divBdr>
        <w:top w:val="none" w:sz="0" w:space="0" w:color="auto"/>
        <w:left w:val="none" w:sz="0" w:space="0" w:color="auto"/>
        <w:bottom w:val="none" w:sz="0" w:space="0" w:color="auto"/>
        <w:right w:val="none" w:sz="0" w:space="0" w:color="auto"/>
      </w:divBdr>
    </w:div>
    <w:div w:id="1944265883">
      <w:bodyDiv w:val="1"/>
      <w:marLeft w:val="0"/>
      <w:marRight w:val="0"/>
      <w:marTop w:val="0"/>
      <w:marBottom w:val="0"/>
      <w:divBdr>
        <w:top w:val="none" w:sz="0" w:space="0" w:color="auto"/>
        <w:left w:val="none" w:sz="0" w:space="0" w:color="auto"/>
        <w:bottom w:val="none" w:sz="0" w:space="0" w:color="auto"/>
        <w:right w:val="none" w:sz="0" w:space="0" w:color="auto"/>
      </w:divBdr>
    </w:div>
    <w:div w:id="1945578239">
      <w:bodyDiv w:val="1"/>
      <w:marLeft w:val="0"/>
      <w:marRight w:val="0"/>
      <w:marTop w:val="0"/>
      <w:marBottom w:val="0"/>
      <w:divBdr>
        <w:top w:val="none" w:sz="0" w:space="0" w:color="auto"/>
        <w:left w:val="none" w:sz="0" w:space="0" w:color="auto"/>
        <w:bottom w:val="none" w:sz="0" w:space="0" w:color="auto"/>
        <w:right w:val="none" w:sz="0" w:space="0" w:color="auto"/>
      </w:divBdr>
    </w:div>
    <w:div w:id="1949505961">
      <w:bodyDiv w:val="1"/>
      <w:marLeft w:val="0"/>
      <w:marRight w:val="0"/>
      <w:marTop w:val="0"/>
      <w:marBottom w:val="0"/>
      <w:divBdr>
        <w:top w:val="none" w:sz="0" w:space="0" w:color="auto"/>
        <w:left w:val="none" w:sz="0" w:space="0" w:color="auto"/>
        <w:bottom w:val="none" w:sz="0" w:space="0" w:color="auto"/>
        <w:right w:val="none" w:sz="0" w:space="0" w:color="auto"/>
      </w:divBdr>
    </w:div>
    <w:div w:id="1973291339">
      <w:bodyDiv w:val="1"/>
      <w:marLeft w:val="0"/>
      <w:marRight w:val="0"/>
      <w:marTop w:val="0"/>
      <w:marBottom w:val="0"/>
      <w:divBdr>
        <w:top w:val="none" w:sz="0" w:space="0" w:color="auto"/>
        <w:left w:val="none" w:sz="0" w:space="0" w:color="auto"/>
        <w:bottom w:val="none" w:sz="0" w:space="0" w:color="auto"/>
        <w:right w:val="none" w:sz="0" w:space="0" w:color="auto"/>
      </w:divBdr>
    </w:div>
    <w:div w:id="1975519470">
      <w:bodyDiv w:val="1"/>
      <w:marLeft w:val="0"/>
      <w:marRight w:val="0"/>
      <w:marTop w:val="0"/>
      <w:marBottom w:val="0"/>
      <w:divBdr>
        <w:top w:val="none" w:sz="0" w:space="0" w:color="auto"/>
        <w:left w:val="none" w:sz="0" w:space="0" w:color="auto"/>
        <w:bottom w:val="none" w:sz="0" w:space="0" w:color="auto"/>
        <w:right w:val="none" w:sz="0" w:space="0" w:color="auto"/>
      </w:divBdr>
    </w:div>
    <w:div w:id="1986666952">
      <w:bodyDiv w:val="1"/>
      <w:marLeft w:val="0"/>
      <w:marRight w:val="0"/>
      <w:marTop w:val="0"/>
      <w:marBottom w:val="0"/>
      <w:divBdr>
        <w:top w:val="none" w:sz="0" w:space="0" w:color="auto"/>
        <w:left w:val="none" w:sz="0" w:space="0" w:color="auto"/>
        <w:bottom w:val="none" w:sz="0" w:space="0" w:color="auto"/>
        <w:right w:val="none" w:sz="0" w:space="0" w:color="auto"/>
      </w:divBdr>
    </w:div>
    <w:div w:id="1988630191">
      <w:bodyDiv w:val="1"/>
      <w:marLeft w:val="0"/>
      <w:marRight w:val="0"/>
      <w:marTop w:val="0"/>
      <w:marBottom w:val="0"/>
      <w:divBdr>
        <w:top w:val="none" w:sz="0" w:space="0" w:color="auto"/>
        <w:left w:val="none" w:sz="0" w:space="0" w:color="auto"/>
        <w:bottom w:val="none" w:sz="0" w:space="0" w:color="auto"/>
        <w:right w:val="none" w:sz="0" w:space="0" w:color="auto"/>
      </w:divBdr>
    </w:div>
    <w:div w:id="1999533097">
      <w:bodyDiv w:val="1"/>
      <w:marLeft w:val="0"/>
      <w:marRight w:val="0"/>
      <w:marTop w:val="0"/>
      <w:marBottom w:val="0"/>
      <w:divBdr>
        <w:top w:val="none" w:sz="0" w:space="0" w:color="auto"/>
        <w:left w:val="none" w:sz="0" w:space="0" w:color="auto"/>
        <w:bottom w:val="none" w:sz="0" w:space="0" w:color="auto"/>
        <w:right w:val="none" w:sz="0" w:space="0" w:color="auto"/>
      </w:divBdr>
    </w:div>
    <w:div w:id="2019845958">
      <w:bodyDiv w:val="1"/>
      <w:marLeft w:val="0"/>
      <w:marRight w:val="0"/>
      <w:marTop w:val="0"/>
      <w:marBottom w:val="0"/>
      <w:divBdr>
        <w:top w:val="none" w:sz="0" w:space="0" w:color="auto"/>
        <w:left w:val="none" w:sz="0" w:space="0" w:color="auto"/>
        <w:bottom w:val="none" w:sz="0" w:space="0" w:color="auto"/>
        <w:right w:val="none" w:sz="0" w:space="0" w:color="auto"/>
      </w:divBdr>
    </w:div>
    <w:div w:id="2022052027">
      <w:bodyDiv w:val="1"/>
      <w:marLeft w:val="0"/>
      <w:marRight w:val="0"/>
      <w:marTop w:val="0"/>
      <w:marBottom w:val="0"/>
      <w:divBdr>
        <w:top w:val="none" w:sz="0" w:space="0" w:color="auto"/>
        <w:left w:val="none" w:sz="0" w:space="0" w:color="auto"/>
        <w:bottom w:val="none" w:sz="0" w:space="0" w:color="auto"/>
        <w:right w:val="none" w:sz="0" w:space="0" w:color="auto"/>
      </w:divBdr>
    </w:div>
    <w:div w:id="2032291546">
      <w:bodyDiv w:val="1"/>
      <w:marLeft w:val="0"/>
      <w:marRight w:val="0"/>
      <w:marTop w:val="0"/>
      <w:marBottom w:val="0"/>
      <w:divBdr>
        <w:top w:val="none" w:sz="0" w:space="0" w:color="auto"/>
        <w:left w:val="none" w:sz="0" w:space="0" w:color="auto"/>
        <w:bottom w:val="none" w:sz="0" w:space="0" w:color="auto"/>
        <w:right w:val="none" w:sz="0" w:space="0" w:color="auto"/>
      </w:divBdr>
      <w:divsChild>
        <w:div w:id="508180817">
          <w:marLeft w:val="274"/>
          <w:marRight w:val="0"/>
          <w:marTop w:val="0"/>
          <w:marBottom w:val="120"/>
          <w:divBdr>
            <w:top w:val="none" w:sz="0" w:space="0" w:color="auto"/>
            <w:left w:val="none" w:sz="0" w:space="0" w:color="auto"/>
            <w:bottom w:val="none" w:sz="0" w:space="0" w:color="auto"/>
            <w:right w:val="none" w:sz="0" w:space="0" w:color="auto"/>
          </w:divBdr>
        </w:div>
      </w:divsChild>
    </w:div>
    <w:div w:id="2052605806">
      <w:bodyDiv w:val="1"/>
      <w:marLeft w:val="0"/>
      <w:marRight w:val="0"/>
      <w:marTop w:val="0"/>
      <w:marBottom w:val="0"/>
      <w:divBdr>
        <w:top w:val="none" w:sz="0" w:space="0" w:color="auto"/>
        <w:left w:val="none" w:sz="0" w:space="0" w:color="auto"/>
        <w:bottom w:val="none" w:sz="0" w:space="0" w:color="auto"/>
        <w:right w:val="none" w:sz="0" w:space="0" w:color="auto"/>
      </w:divBdr>
    </w:div>
    <w:div w:id="2079327910">
      <w:bodyDiv w:val="1"/>
      <w:marLeft w:val="0"/>
      <w:marRight w:val="0"/>
      <w:marTop w:val="0"/>
      <w:marBottom w:val="0"/>
      <w:divBdr>
        <w:top w:val="none" w:sz="0" w:space="0" w:color="auto"/>
        <w:left w:val="none" w:sz="0" w:space="0" w:color="auto"/>
        <w:bottom w:val="none" w:sz="0" w:space="0" w:color="auto"/>
        <w:right w:val="none" w:sz="0" w:space="0" w:color="auto"/>
      </w:divBdr>
    </w:div>
    <w:div w:id="2083142315">
      <w:bodyDiv w:val="1"/>
      <w:marLeft w:val="0"/>
      <w:marRight w:val="0"/>
      <w:marTop w:val="0"/>
      <w:marBottom w:val="0"/>
      <w:divBdr>
        <w:top w:val="none" w:sz="0" w:space="0" w:color="auto"/>
        <w:left w:val="none" w:sz="0" w:space="0" w:color="auto"/>
        <w:bottom w:val="none" w:sz="0" w:space="0" w:color="auto"/>
        <w:right w:val="none" w:sz="0" w:space="0" w:color="auto"/>
      </w:divBdr>
    </w:div>
    <w:div w:id="2083717869">
      <w:bodyDiv w:val="1"/>
      <w:marLeft w:val="0"/>
      <w:marRight w:val="0"/>
      <w:marTop w:val="0"/>
      <w:marBottom w:val="0"/>
      <w:divBdr>
        <w:top w:val="none" w:sz="0" w:space="0" w:color="auto"/>
        <w:left w:val="none" w:sz="0" w:space="0" w:color="auto"/>
        <w:bottom w:val="none" w:sz="0" w:space="0" w:color="auto"/>
        <w:right w:val="none" w:sz="0" w:space="0" w:color="auto"/>
      </w:divBdr>
    </w:div>
    <w:div w:id="2095129332">
      <w:bodyDiv w:val="1"/>
      <w:marLeft w:val="0"/>
      <w:marRight w:val="0"/>
      <w:marTop w:val="0"/>
      <w:marBottom w:val="0"/>
      <w:divBdr>
        <w:top w:val="none" w:sz="0" w:space="0" w:color="auto"/>
        <w:left w:val="none" w:sz="0" w:space="0" w:color="auto"/>
        <w:bottom w:val="none" w:sz="0" w:space="0" w:color="auto"/>
        <w:right w:val="none" w:sz="0" w:space="0" w:color="auto"/>
      </w:divBdr>
    </w:div>
    <w:div w:id="2095200986">
      <w:bodyDiv w:val="1"/>
      <w:marLeft w:val="0"/>
      <w:marRight w:val="0"/>
      <w:marTop w:val="0"/>
      <w:marBottom w:val="0"/>
      <w:divBdr>
        <w:top w:val="none" w:sz="0" w:space="0" w:color="auto"/>
        <w:left w:val="none" w:sz="0" w:space="0" w:color="auto"/>
        <w:bottom w:val="none" w:sz="0" w:space="0" w:color="auto"/>
        <w:right w:val="none" w:sz="0" w:space="0" w:color="auto"/>
      </w:divBdr>
    </w:div>
    <w:div w:id="2099905542">
      <w:bodyDiv w:val="1"/>
      <w:marLeft w:val="0"/>
      <w:marRight w:val="0"/>
      <w:marTop w:val="0"/>
      <w:marBottom w:val="0"/>
      <w:divBdr>
        <w:top w:val="none" w:sz="0" w:space="0" w:color="auto"/>
        <w:left w:val="none" w:sz="0" w:space="0" w:color="auto"/>
        <w:bottom w:val="none" w:sz="0" w:space="0" w:color="auto"/>
        <w:right w:val="none" w:sz="0" w:space="0" w:color="auto"/>
      </w:divBdr>
    </w:div>
    <w:div w:id="2100056508">
      <w:bodyDiv w:val="1"/>
      <w:marLeft w:val="0"/>
      <w:marRight w:val="0"/>
      <w:marTop w:val="0"/>
      <w:marBottom w:val="0"/>
      <w:divBdr>
        <w:top w:val="none" w:sz="0" w:space="0" w:color="auto"/>
        <w:left w:val="none" w:sz="0" w:space="0" w:color="auto"/>
        <w:bottom w:val="none" w:sz="0" w:space="0" w:color="auto"/>
        <w:right w:val="none" w:sz="0" w:space="0" w:color="auto"/>
      </w:divBdr>
    </w:div>
    <w:div w:id="2102598567">
      <w:bodyDiv w:val="1"/>
      <w:marLeft w:val="0"/>
      <w:marRight w:val="0"/>
      <w:marTop w:val="0"/>
      <w:marBottom w:val="0"/>
      <w:divBdr>
        <w:top w:val="none" w:sz="0" w:space="0" w:color="auto"/>
        <w:left w:val="none" w:sz="0" w:space="0" w:color="auto"/>
        <w:bottom w:val="none" w:sz="0" w:space="0" w:color="auto"/>
        <w:right w:val="none" w:sz="0" w:space="0" w:color="auto"/>
      </w:divBdr>
    </w:div>
    <w:div w:id="2102793392">
      <w:bodyDiv w:val="1"/>
      <w:marLeft w:val="0"/>
      <w:marRight w:val="0"/>
      <w:marTop w:val="0"/>
      <w:marBottom w:val="0"/>
      <w:divBdr>
        <w:top w:val="none" w:sz="0" w:space="0" w:color="auto"/>
        <w:left w:val="none" w:sz="0" w:space="0" w:color="auto"/>
        <w:bottom w:val="none" w:sz="0" w:space="0" w:color="auto"/>
        <w:right w:val="none" w:sz="0" w:space="0" w:color="auto"/>
      </w:divBdr>
    </w:div>
    <w:div w:id="2104842244">
      <w:bodyDiv w:val="1"/>
      <w:marLeft w:val="0"/>
      <w:marRight w:val="0"/>
      <w:marTop w:val="0"/>
      <w:marBottom w:val="0"/>
      <w:divBdr>
        <w:top w:val="none" w:sz="0" w:space="0" w:color="auto"/>
        <w:left w:val="none" w:sz="0" w:space="0" w:color="auto"/>
        <w:bottom w:val="none" w:sz="0" w:space="0" w:color="auto"/>
        <w:right w:val="none" w:sz="0" w:space="0" w:color="auto"/>
      </w:divBdr>
    </w:div>
    <w:div w:id="2106000425">
      <w:bodyDiv w:val="1"/>
      <w:marLeft w:val="0"/>
      <w:marRight w:val="0"/>
      <w:marTop w:val="0"/>
      <w:marBottom w:val="0"/>
      <w:divBdr>
        <w:top w:val="none" w:sz="0" w:space="0" w:color="auto"/>
        <w:left w:val="none" w:sz="0" w:space="0" w:color="auto"/>
        <w:bottom w:val="none" w:sz="0" w:space="0" w:color="auto"/>
        <w:right w:val="none" w:sz="0" w:space="0" w:color="auto"/>
      </w:divBdr>
    </w:div>
    <w:div w:id="2107311210">
      <w:bodyDiv w:val="1"/>
      <w:marLeft w:val="0"/>
      <w:marRight w:val="0"/>
      <w:marTop w:val="0"/>
      <w:marBottom w:val="0"/>
      <w:divBdr>
        <w:top w:val="none" w:sz="0" w:space="0" w:color="auto"/>
        <w:left w:val="none" w:sz="0" w:space="0" w:color="auto"/>
        <w:bottom w:val="none" w:sz="0" w:space="0" w:color="auto"/>
        <w:right w:val="none" w:sz="0" w:space="0" w:color="auto"/>
      </w:divBdr>
    </w:div>
    <w:div w:id="2117745106">
      <w:bodyDiv w:val="1"/>
      <w:marLeft w:val="0"/>
      <w:marRight w:val="0"/>
      <w:marTop w:val="0"/>
      <w:marBottom w:val="0"/>
      <w:divBdr>
        <w:top w:val="none" w:sz="0" w:space="0" w:color="auto"/>
        <w:left w:val="none" w:sz="0" w:space="0" w:color="auto"/>
        <w:bottom w:val="none" w:sz="0" w:space="0" w:color="auto"/>
        <w:right w:val="none" w:sz="0" w:space="0" w:color="auto"/>
      </w:divBdr>
    </w:div>
    <w:div w:id="2145346143">
      <w:bodyDiv w:val="1"/>
      <w:marLeft w:val="0"/>
      <w:marRight w:val="0"/>
      <w:marTop w:val="0"/>
      <w:marBottom w:val="0"/>
      <w:divBdr>
        <w:top w:val="none" w:sz="0" w:space="0" w:color="auto"/>
        <w:left w:val="none" w:sz="0" w:space="0" w:color="auto"/>
        <w:bottom w:val="none" w:sz="0" w:space="0" w:color="auto"/>
        <w:right w:val="none" w:sz="0" w:space="0" w:color="auto"/>
      </w:divBdr>
    </w:div>
    <w:div w:id="214650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jpeg"/><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image" Target="media/image40.emf"/><Relationship Id="rId68" Type="http://schemas.openxmlformats.org/officeDocument/2006/relationships/hyperlink" Target="http://www.federalfinancialrelations.gov.au/content/guidelines/ShortGuide_review_2015.pdf" TargetMode="External"/><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7.emf"/><Relationship Id="rId30" Type="http://schemas.openxmlformats.org/officeDocument/2006/relationships/header" Target="header7.xml"/><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eader" Target="header9.xml"/><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emf"/><Relationship Id="rId70" Type="http://schemas.openxmlformats.org/officeDocument/2006/relationships/hyperlink" Target="https://www.education.gov.au/early-years-learning-framework-0" TargetMode="Externa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2.jpg"/><Relationship Id="rId52" Type="http://schemas.openxmlformats.org/officeDocument/2006/relationships/header" Target="header8.xml"/><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header" Target="header1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eader" Target="header15.xml"/><Relationship Id="rId7" Type="http://schemas.openxmlformats.org/officeDocument/2006/relationships/styles" Target="styles.xml"/><Relationship Id="rId71"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hyperlink" Target="https://www.coag.gov.au/sites/default/files/communique/early-learning-reform-principle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apshots.acecqa.gov.au/Snapshot/waivers.html" TargetMode="External"/><Relationship Id="rId2" Type="http://schemas.openxmlformats.org/officeDocument/2006/relationships/hyperlink" Target="http://www.coag.gov.au/sites/default/files/communique/early-learning-reform-principles.pdf" TargetMode="External"/><Relationship Id="rId1" Type="http://schemas.openxmlformats.org/officeDocument/2006/relationships/hyperlink" Target="http://www.coag.gov.au/sites/default/files/communique/early-learning-reform-principles.pdf" TargetMode="External"/><Relationship Id="rId6" Type="http://schemas.openxmlformats.org/officeDocument/2006/relationships/hyperlink" Target="http://www.educationcouncil.edu.au/site/DefaultSite/filesystem/documents/Reports%20and%20publications/EC%20Publications/NP_UAECE%20Review-220415.pdf" TargetMode="External"/><Relationship Id="rId5" Type="http://schemas.openxmlformats.org/officeDocument/2006/relationships/hyperlink" Target="https://docs.education.gov.au/documents/child-care-subsidy-minimum-operating-periods-special-circumstance-requirements-fact-sheet" TargetMode="External"/><Relationship Id="rId4" Type="http://schemas.openxmlformats.org/officeDocument/2006/relationships/hyperlink" Target="http://snapshots.acecqa.gov.au/Snapshot/waive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rchive_x003f_ xmlns="5d224c54-3862-41ec-92ec-b89863a45dd1">false</Archive_x003f_>
    <n881213a598c43e19c46d2040c5fc651 xmlns="5d224c54-3862-41ec-92ec-b89863a45dd1">
      <Terms xmlns="http://schemas.microsoft.com/office/infopath/2007/PartnerControls"/>
    </n881213a598c43e19c46d2040c5fc651>
    <Key_x0020_doc_x003f_ xmlns="5d224c54-3862-41ec-92ec-b89863a45dd1">false</Key_x0020_doc_x003f_>
    <pc8457cba08d42be841822dbe092508a xmlns="5d224c54-3862-41ec-92ec-b89863a45dd1">
      <Terms xmlns="http://schemas.microsoft.com/office/infopath/2007/PartnerControls">
        <TermInfo xmlns="http://schemas.microsoft.com/office/infopath/2007/PartnerControls">
          <TermName xmlns="http://schemas.microsoft.com/office/infopath/2007/PartnerControls">A. Admin ＆ Planning</TermName>
          <TermId xmlns="http://schemas.microsoft.com/office/infopath/2007/PartnerControls">b1f780b9-1325-41ee-b0f8-f9c50aa7f53e</TermId>
        </TermInfo>
      </Terms>
    </pc8457cba08d42be841822dbe092508a>
    <TaxCatchAll xmlns="58ad2d9a-9941-4cc2-82b1-0a60f90e7bc1">
      <Value>1</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9072369A8D914599B703FF370731B3" ma:contentTypeVersion="9" ma:contentTypeDescription="Create a new document." ma:contentTypeScope="" ma:versionID="d51a9d8da0beecfa86e131d6e931c51c">
  <xsd:schema xmlns:xsd="http://www.w3.org/2001/XMLSchema" xmlns:xs="http://www.w3.org/2001/XMLSchema" xmlns:p="http://schemas.microsoft.com/office/2006/metadata/properties" xmlns:ns2="5d224c54-3862-41ec-92ec-b89863a45dd1" xmlns:ns3="58ad2d9a-9941-4cc2-82b1-0a60f90e7bc1" targetNamespace="http://schemas.microsoft.com/office/2006/metadata/properties" ma:root="true" ma:fieldsID="4a38f8553fd48d2fc70b5fc739c9d5ab" ns2:_="" ns3:_="">
    <xsd:import namespace="5d224c54-3862-41ec-92ec-b89863a45dd1"/>
    <xsd:import namespace="58ad2d9a-9941-4cc2-82b1-0a60f90e7bc1"/>
    <xsd:element name="properties">
      <xsd:complexType>
        <xsd:sequence>
          <xsd:element name="documentManagement">
            <xsd:complexType>
              <xsd:all>
                <xsd:element ref="ns2:pc8457cba08d42be841822dbe092508a" minOccurs="0"/>
                <xsd:element ref="ns2:n881213a598c43e19c46d2040c5fc651" minOccurs="0"/>
                <xsd:element ref="ns2:Archive_x003f_" minOccurs="0"/>
                <xsd:element ref="ns2:Key_x0020_doc_x003f_" minOccurs="0"/>
                <xsd:element ref="ns3:TaxCatchAll"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4c54-3862-41ec-92ec-b89863a45dd1"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readOnly="false" ma:default="-1;#A. Admin ＆ Planning|b1f780b9-1325-41ee-b0f8-f9c50aa7f53e" ma:fieldId="{9c8457cb-a08d-42be-8418-22dbe092508a}" ma:sspId="62a39602-bab5-4ac0-a14f-71daef3a2535"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1" nillable="true" ma:taxonomy="true" ma:internalName="n881213a598c43e19c46d2040c5fc651" ma:taxonomyFieldName="Doc_x0020_type_x0020__x002d__x0020_level_x0020_2" ma:displayName="Doc type - level 2" ma:indexed="true" ma:readOnly="false" ma:fieldId="{7881213a-598c-43e1-9c46-d2040c5fc651}" ma:sspId="62a39602-bab5-4ac0-a14f-71daef3a2535" ma:termSetId="3bda15ed-e623-4b4d-b65f-38bb1b335511" ma:anchorId="cc91d83d-1e1c-4c13-b867-348b43ba510f" ma:open="true" ma:isKeyword="false">
      <xsd:complexType>
        <xsd:sequence>
          <xsd:element ref="pc:Terms" minOccurs="0" maxOccurs="1"/>
        </xsd:sequence>
      </xsd:complexType>
    </xsd:element>
    <xsd:element name="Archive_x003f_" ma:index="12" nillable="true" ma:displayName="Archive?" ma:default="0" ma:internalName="Archive_x003f_" ma:readOnly="false">
      <xsd:simpleType>
        <xsd:restriction base="dms:Boolean"/>
      </xsd:simpleType>
    </xsd:element>
    <xsd:element name="Key_x0020_doc_x003f_" ma:index="13" nillable="true" ma:displayName="Key doc?" ma:default="0" ma:internalName="Key_x0020_doc_x003f_" ma:readOnly="false">
      <xsd:simpleType>
        <xsd:restriction base="dms:Boolea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ad2d9a-9941-4cc2-82b1-0a60f90e7b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0ef56a-14bd-46fb-9837-076983f5e9c5}" ma:internalName="TaxCatchAll" ma:showField="CatchAllData" ma:web="58ad2d9a-9941-4cc2-82b1-0a60f90e7b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76D757-5CBF-484B-8567-6C5DA594E092}">
  <ds:schemaRefs>
    <ds:schemaRef ds:uri="http://schemas.openxmlformats.org/officeDocument/2006/bibliography"/>
  </ds:schemaRefs>
</ds:datastoreItem>
</file>

<file path=customXml/itemProps3.xml><?xml version="1.0" encoding="utf-8"?>
<ds:datastoreItem xmlns:ds="http://schemas.openxmlformats.org/officeDocument/2006/customXml" ds:itemID="{6CB462EA-10A7-4754-94DC-A6846B7C0C55}">
  <ds:schemaRefs>
    <ds:schemaRef ds:uri="http://schemas.microsoft.com/office/2006/documentManagement/types"/>
    <ds:schemaRef ds:uri="http://schemas.openxmlformats.org/package/2006/metadata/core-properties"/>
    <ds:schemaRef ds:uri="http://schemas.microsoft.com/office/infopath/2007/PartnerControls"/>
    <ds:schemaRef ds:uri="58ad2d9a-9941-4cc2-82b1-0a60f90e7bc1"/>
    <ds:schemaRef ds:uri="http://schemas.microsoft.com/office/2006/metadata/properties"/>
    <ds:schemaRef ds:uri="http://purl.org/dc/terms/"/>
    <ds:schemaRef ds:uri="5d224c54-3862-41ec-92ec-b89863a45dd1"/>
    <ds:schemaRef ds:uri="http://purl.org/dc/dcmitype/"/>
    <ds:schemaRef ds:uri="http://www.w3.org/XML/1998/namespace"/>
    <ds:schemaRef ds:uri="http://purl.org/dc/elements/1.1/"/>
  </ds:schemaRefs>
</ds:datastoreItem>
</file>

<file path=customXml/itemProps4.xml><?xml version="1.0" encoding="utf-8"?>
<ds:datastoreItem xmlns:ds="http://schemas.openxmlformats.org/officeDocument/2006/customXml" ds:itemID="{C4DF3976-5371-4573-92DB-0D83E76A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4c54-3862-41ec-92ec-b89863a45dd1"/>
    <ds:schemaRef ds:uri="58ad2d9a-9941-4cc2-82b1-0a60f90e7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43997</Words>
  <Characters>250785</Characters>
  <Application>Microsoft Office Word</Application>
  <DocSecurity>4</DocSecurity>
  <Lines>2089</Lines>
  <Paragraphs>588</Paragraphs>
  <ScaleCrop>false</ScaleCrop>
  <HeadingPairs>
    <vt:vector size="2" baseType="variant">
      <vt:variant>
        <vt:lpstr>Title</vt:lpstr>
      </vt:variant>
      <vt:variant>
        <vt:i4>1</vt:i4>
      </vt:variant>
    </vt:vector>
  </HeadingPairs>
  <TitlesOfParts>
    <vt:vector size="1" baseType="lpstr">
      <vt:lpstr>UANP Review: Final Review Report</vt:lpstr>
    </vt:vector>
  </TitlesOfParts>
  <Company/>
  <LinksUpToDate>false</LinksUpToDate>
  <CharactersWithSpaces>294194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UANP Review: Final Review Report</dc:title>
  <dc:subject>COAG Education Council</dc:subject>
  <dc:creator>Nick Cox</dc:creator>
  <cp:keywords/>
  <dc:description/>
  <cp:lastModifiedBy>Hill,Jodie</cp:lastModifiedBy>
  <cp:revision>2</cp:revision>
  <cp:lastPrinted>2020-10-25T23:52:00Z</cp:lastPrinted>
  <dcterms:created xsi:type="dcterms:W3CDTF">2021-07-28T07:03:00Z</dcterms:created>
  <dcterms:modified xsi:type="dcterms:W3CDTF">2021-07-28T07:03:00Z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0x010100699072369A8D914599B703FF370731B3</vt:lpwstr>
  </property>
  <property fmtid="{D5CDD505-2E9C-101B-9397-08002B2CF9AE}" pid="3" name="Project doc type">
    <vt:lpwstr>1;#A. Admin ＆ Planning|b1f780b9-1325-41ee-b0f8-f9c50aa7f53e</vt:lpwstr>
  </property>
  <property fmtid="{D5CDD505-2E9C-101B-9397-08002B2CF9AE}" pid="4" name="Doc type - level 2">
    <vt:lpwstr/>
  </property>
  <property fmtid="{D5CDD505-2E9C-101B-9397-08002B2CF9AE}" pid="5" name="Order">
    <vt:r8>54100</vt:r8>
  </property>
</Properties>
</file>