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120F4" w14:textId="77777777" w:rsidR="0051541B" w:rsidRPr="00760123" w:rsidRDefault="00760123" w:rsidP="0051541B">
      <w:pPr>
        <w:jc w:val="center"/>
        <w:rPr>
          <w:rFonts w:ascii="Arial Narrow" w:eastAsia="Arial Narrow,Times New Roman" w:hAnsi="Arial Narrow" w:cs="Arial Narrow,Times New Roman"/>
          <w:b/>
          <w:bCs/>
          <w:sz w:val="32"/>
          <w:szCs w:val="32"/>
        </w:rPr>
      </w:pPr>
      <w:r>
        <w:rPr>
          <w:rFonts w:ascii="Arial Narrow" w:eastAsia="Arial Narrow,Times New Roman" w:hAnsi="Arial Narrow" w:cs="Arial Narrow,Times New Roman"/>
          <w:b/>
          <w:bCs/>
          <w:sz w:val="32"/>
          <w:szCs w:val="32"/>
        </w:rPr>
        <w:t>Communiqué</w:t>
      </w:r>
      <w:r w:rsidR="0051541B" w:rsidRPr="00760123">
        <w:rPr>
          <w:rFonts w:ascii="Arial Narrow" w:eastAsia="Arial Narrow,Times New Roman" w:hAnsi="Arial Narrow" w:cs="Arial Narrow,Times New Roman"/>
          <w:b/>
          <w:bCs/>
          <w:sz w:val="32"/>
          <w:szCs w:val="32"/>
        </w:rPr>
        <w:t xml:space="preserve"> </w:t>
      </w:r>
    </w:p>
    <w:p w14:paraId="3B32651F" w14:textId="77777777" w:rsidR="006F1113" w:rsidRPr="00760123" w:rsidRDefault="006F1113" w:rsidP="006F1113">
      <w:pP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</w:pPr>
      <w:r w:rsidRPr="00760123"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>School funding</w:t>
      </w:r>
      <w: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 xml:space="preserve"> and reforms</w:t>
      </w:r>
    </w:p>
    <w:p w14:paraId="1B392FE7" w14:textId="72852B2F" w:rsidR="00A43DC3" w:rsidRDefault="00DE1B9F" w:rsidP="00C711A2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Education Council discussed</w:t>
      </w:r>
      <w:r w:rsidR="00E57353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Commonwealth </w:t>
      </w:r>
      <w:r w:rsidR="00D64C33" w:rsidRPr="00D64C33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funding </w:t>
      </w:r>
      <w:r w:rsidR="008F3DD9">
        <w:rPr>
          <w:rFonts w:ascii="Arial Narrow" w:eastAsia="Arial Narrow,Times New Roman" w:hAnsi="Arial Narrow" w:cs="Arial Narrow,Times New Roman"/>
          <w:bCs/>
          <w:sz w:val="24"/>
          <w:szCs w:val="24"/>
        </w:rPr>
        <w:t>arrangements</w:t>
      </w:r>
      <w:r w:rsidR="00D64C33" w:rsidRPr="00D64C33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under the </w:t>
      </w:r>
      <w:r w:rsidR="00D64C33" w:rsidRPr="00B74D1F">
        <w:rPr>
          <w:rFonts w:ascii="Arial Narrow" w:eastAsia="Arial Narrow,Times New Roman" w:hAnsi="Arial Narrow" w:cs="Arial Narrow,Times New Roman"/>
          <w:bCs/>
          <w:i/>
          <w:sz w:val="24"/>
          <w:szCs w:val="24"/>
        </w:rPr>
        <w:t>Australian Education Act</w:t>
      </w:r>
      <w:r w:rsidR="007411F1">
        <w:rPr>
          <w:rFonts w:ascii="Arial Narrow" w:eastAsia="Arial Narrow,Times New Roman" w:hAnsi="Arial Narrow" w:cs="Arial Narrow,Times New Roman"/>
          <w:bCs/>
          <w:i/>
          <w:sz w:val="24"/>
          <w:szCs w:val="24"/>
        </w:rPr>
        <w:t xml:space="preserve"> 2013</w:t>
      </w:r>
      <w:r w:rsidR="007805C2">
        <w:rPr>
          <w:rFonts w:ascii="Arial Narrow" w:eastAsia="Arial Narrow,Times New Roman" w:hAnsi="Arial Narrow" w:cs="Arial Narrow,Times New Roman"/>
          <w:bCs/>
          <w:sz w:val="24"/>
          <w:szCs w:val="24"/>
        </w:rPr>
        <w:t>.</w:t>
      </w:r>
      <w:r w:rsidR="00C711A2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 w:rsidR="0064729C" w:rsidRPr="0064729C">
        <w:rPr>
          <w:rFonts w:ascii="Arial Narrow" w:eastAsia="Arial Narrow,Times New Roman" w:hAnsi="Arial Narrow" w:cs="Arial Narrow,Times New Roman"/>
          <w:bCs/>
          <w:sz w:val="24"/>
          <w:szCs w:val="24"/>
        </w:rPr>
        <w:t>Ministers discussed</w:t>
      </w:r>
      <w:r w:rsidR="00AC6E73" w:rsidRPr="00AF05CA">
        <w:rPr>
          <w:rFonts w:ascii="Arial Narrow" w:eastAsia="Arial Narrow,Times New Roman" w:hAnsi="Arial Narrow" w:cs="Arial Narrow,Times New Roman"/>
          <w:bCs/>
          <w:sz w:val="24"/>
          <w:szCs w:val="24"/>
        </w:rPr>
        <w:t>, but did not agree in their current form,</w:t>
      </w:r>
      <w:r w:rsidR="0064729C" w:rsidRPr="0064729C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the Commonwealth’s proposed School Funding and Reform Principles that </w:t>
      </w:r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could form the basis of </w:t>
      </w:r>
      <w:r w:rsidR="00D74E32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an interim national agreement </w:t>
      </w:r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>to allow Commonwealth funding in the 2018 school year</w:t>
      </w:r>
      <w:r w:rsidR="00D74E32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.  </w:t>
      </w:r>
      <w:r w:rsidR="0030054E" w:rsidRPr="0030054E">
        <w:rPr>
          <w:rFonts w:ascii="Arial Narrow" w:eastAsia="Arial Narrow,Times New Roman" w:hAnsi="Arial Narrow" w:cs="Arial Narrow,Times New Roman"/>
          <w:bCs/>
          <w:sz w:val="24"/>
          <w:szCs w:val="24"/>
        </w:rPr>
        <w:t>States and territories agreed to provide further feedback on the Principles</w:t>
      </w:r>
      <w:r w:rsidR="0030054E">
        <w:rPr>
          <w:rFonts w:ascii="Arial Narrow" w:eastAsia="Arial Narrow,Times New Roman" w:hAnsi="Arial Narrow" w:cs="Arial Narrow,Times New Roman"/>
          <w:bCs/>
          <w:sz w:val="24"/>
          <w:szCs w:val="24"/>
        </w:rPr>
        <w:t>.</w:t>
      </w:r>
    </w:p>
    <w:p w14:paraId="605E6F60" w14:textId="27C0F4CD" w:rsidR="007411F1" w:rsidRDefault="00C55A53" w:rsidP="00C711A2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Ministers agreed that </w:t>
      </w:r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the Commonwealth Government will seek agreement from Education Council about national school funding processes and reforms, recognising the significant impact of new Commonwealth funding arrangements on state and territory investment. </w:t>
      </w:r>
    </w:p>
    <w:p w14:paraId="34B7CF9E" w14:textId="6ADA8B14" w:rsidR="00D41B6A" w:rsidRPr="00BB22D6" w:rsidRDefault="00BB22D6" w:rsidP="00D41B6A">
      <w:pPr>
        <w:spacing w:after="0" w:line="240" w:lineRule="auto"/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The Education Council further discussed the membership, composition</w:t>
      </w:r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and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operations of the </w:t>
      </w:r>
      <w:r w:rsidRPr="00BB22D6">
        <w:rPr>
          <w:rFonts w:ascii="Arial Narrow" w:eastAsia="Arial Narrow,Times New Roman" w:hAnsi="Arial Narrow" w:cs="Arial Narrow,Times New Roman"/>
          <w:bCs/>
          <w:sz w:val="24"/>
          <w:szCs w:val="24"/>
        </w:rPr>
        <w:t>National School Resourcing Board</w:t>
      </w:r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and the Terms of Reference for its first review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.</w:t>
      </w:r>
    </w:p>
    <w:p w14:paraId="7A2B9E97" w14:textId="77777777" w:rsidR="00BB22D6" w:rsidRPr="00D41B6A" w:rsidRDefault="00BB22D6" w:rsidP="00D41B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</w:p>
    <w:p w14:paraId="2B3120F6" w14:textId="4C83AE7F" w:rsidR="00616224" w:rsidRPr="00760123" w:rsidRDefault="0078569F" w:rsidP="00616224">
      <w:pP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>NAPLAN Online</w:t>
      </w:r>
    </w:p>
    <w:p w14:paraId="6AF10EC4" w14:textId="1C26CDFD" w:rsidR="006F1113" w:rsidRDefault="00232DC7" w:rsidP="0091777D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The Education Council </w:t>
      </w:r>
      <w:r w:rsidR="00C56DDC" w:rsidRPr="00C56DDC">
        <w:rPr>
          <w:rFonts w:ascii="Arial Narrow" w:eastAsia="Arial Narrow,Times New Roman" w:hAnsi="Arial Narrow" w:cs="Arial Narrow,Times New Roman"/>
          <w:bCs/>
          <w:sz w:val="24"/>
          <w:szCs w:val="24"/>
        </w:rPr>
        <w:t>received an update on the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key events to take place</w:t>
      </w:r>
      <w:r w:rsidR="00C56DDC" w:rsidRPr="00C56DDC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in the lead up to the </w:t>
      </w:r>
      <w:r w:rsidR="00C56DDC" w:rsidRPr="00C56DDC">
        <w:rPr>
          <w:rFonts w:ascii="Arial Narrow" w:eastAsia="Arial Narrow,Times New Roman" w:hAnsi="Arial Narrow" w:cs="Arial Narrow,Times New Roman"/>
          <w:bCs/>
          <w:sz w:val="24"/>
          <w:szCs w:val="24"/>
        </w:rPr>
        <w:t>implementation of NAPLAN Online from 2018</w:t>
      </w:r>
      <w:r w:rsidR="0091777D">
        <w:rPr>
          <w:rFonts w:ascii="Arial Narrow" w:eastAsia="Arial Narrow,Times New Roman" w:hAnsi="Arial Narrow" w:cs="Arial Narrow,Times New Roman"/>
          <w:bCs/>
          <w:sz w:val="24"/>
          <w:szCs w:val="24"/>
        </w:rPr>
        <w:t>.</w:t>
      </w:r>
      <w:r w:rsidR="00C56DDC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 </w:t>
      </w:r>
    </w:p>
    <w:p w14:paraId="34DC55CB" w14:textId="6C388859" w:rsidR="00E319B4" w:rsidRDefault="00E319B4" w:rsidP="00AF5C63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Ministers c</w:t>
      </w:r>
      <w:r w:rsidR="00EF2AD4">
        <w:rPr>
          <w:rFonts w:ascii="Arial Narrow" w:eastAsia="Arial Narrow,Times New Roman" w:hAnsi="Arial Narrow" w:cs="Arial Narrow,Times New Roman"/>
          <w:bCs/>
          <w:sz w:val="24"/>
          <w:szCs w:val="24"/>
        </w:rPr>
        <w:t>onfirmed their commitment to</w:t>
      </w:r>
      <w:r w:rsidR="00CB7043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ensuring the integrity of </w:t>
      </w:r>
      <w:r w:rsidR="009D4A95">
        <w:rPr>
          <w:rFonts w:ascii="Arial Narrow" w:eastAsia="Arial Narrow,Times New Roman" w:hAnsi="Arial Narrow" w:cs="Arial Narrow,Times New Roman"/>
          <w:bCs/>
          <w:sz w:val="24"/>
          <w:szCs w:val="24"/>
        </w:rPr>
        <w:t>the marking of NAPLAN</w:t>
      </w:r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writing</w:t>
      </w:r>
      <w:r w:rsidR="009D4A95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as the transition to an online environment commences</w:t>
      </w:r>
      <w:r w:rsidR="00A64B57">
        <w:rPr>
          <w:rFonts w:ascii="Arial Narrow" w:eastAsia="Arial Narrow,Times New Roman" w:hAnsi="Arial Narrow" w:cs="Arial Narrow,Times New Roman"/>
          <w:bCs/>
          <w:sz w:val="24"/>
          <w:szCs w:val="24"/>
        </w:rPr>
        <w:t>, with in-principle agreement that</w:t>
      </w:r>
      <w:r w:rsidR="00CB7043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 w:rsidR="00A64B57">
        <w:rPr>
          <w:rFonts w:ascii="Arial Narrow" w:eastAsia="Arial Narrow,Times New Roman" w:hAnsi="Arial Narrow" w:cs="Arial Narrow,Times New Roman"/>
          <w:bCs/>
          <w:sz w:val="24"/>
          <w:szCs w:val="24"/>
        </w:rPr>
        <w:t>i</w:t>
      </w:r>
      <w:r w:rsidR="00CB7043">
        <w:rPr>
          <w:rFonts w:ascii="Arial Narrow" w:eastAsia="Arial Narrow,Times New Roman" w:hAnsi="Arial Narrow" w:cs="Arial Narrow,Times New Roman"/>
          <w:bCs/>
          <w:sz w:val="24"/>
          <w:szCs w:val="24"/>
        </w:rPr>
        <w:t>n 2018, all NAPLAN writing scripts undertaken online will be double scored (by both computer and a human assessor)</w:t>
      </w:r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>, with a detailed proposal provided to Education Council in December outlining expected costs and funding options for double scoring</w:t>
      </w:r>
      <w:r w:rsidR="009D4A95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.  </w:t>
      </w:r>
      <w:r w:rsidR="008136D7">
        <w:rPr>
          <w:rFonts w:ascii="Arial Narrow" w:eastAsia="Arial Narrow,Times New Roman" w:hAnsi="Arial Narrow" w:cs="Arial Narrow,Times New Roman"/>
          <w:bCs/>
          <w:sz w:val="24"/>
          <w:szCs w:val="24"/>
        </w:rPr>
        <w:t>The Education Council also agreed that t</w:t>
      </w:r>
      <w:r w:rsidR="008F3DD9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he </w:t>
      </w:r>
      <w:r w:rsidR="009D4A95">
        <w:rPr>
          <w:rFonts w:ascii="Arial Narrow" w:eastAsia="Arial Narrow,Times New Roman" w:hAnsi="Arial Narrow" w:cs="Arial Narrow,Times New Roman"/>
          <w:bCs/>
          <w:sz w:val="24"/>
          <w:szCs w:val="24"/>
        </w:rPr>
        <w:t>Year 3 writing assessment will</w:t>
      </w:r>
      <w:r w:rsidR="00E702A2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continue to be conducted using pen and paper tests.</w:t>
      </w:r>
    </w:p>
    <w:p w14:paraId="3277B57D" w14:textId="356EF43F" w:rsidR="008136D7" w:rsidRDefault="008136D7" w:rsidP="00AF5C63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Ministers will </w:t>
      </w:r>
      <w:r w:rsidR="001C0D25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consider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at their December meeting ways to </w:t>
      </w:r>
      <w:r w:rsidR="0080679D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maximise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the diagnostic value of NAPLAN, advice regarding test development and quality assurance, the readiness of the online assessment platform, and the outcome of School Readiness Tests </w:t>
      </w:r>
      <w:r w:rsidR="0030054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to inform the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number of schools states and territories </w:t>
      </w:r>
      <w:r w:rsidR="0030054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have identified as eligible to commence </w:t>
      </w:r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the transition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to NAPLAN Online in 2018.</w:t>
      </w:r>
    </w:p>
    <w:p w14:paraId="10E28779" w14:textId="77777777" w:rsidR="00040CF8" w:rsidRPr="00B67DCB" w:rsidRDefault="00040CF8" w:rsidP="00040CF8">
      <w:pP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</w:pPr>
      <w:r w:rsidRPr="00B67DCB"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>Year 1 check</w:t>
      </w:r>
    </w:p>
    <w:p w14:paraId="6E630525" w14:textId="2C947D41" w:rsidR="000713FD" w:rsidRDefault="000713FD" w:rsidP="000713FD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 w:rsidRPr="00072182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Ministers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noted a </w:t>
      </w:r>
      <w:r w:rsidRPr="00072182">
        <w:rPr>
          <w:rFonts w:ascii="Arial Narrow" w:eastAsia="Arial Narrow,Times New Roman" w:hAnsi="Arial Narrow" w:cs="Arial Narrow,Times New Roman"/>
          <w:bCs/>
          <w:sz w:val="24"/>
          <w:szCs w:val="24"/>
        </w:rPr>
        <w:t>report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from the </w:t>
      </w:r>
      <w:r w:rsidR="00D74C43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Commonwealth Minister’s </w:t>
      </w:r>
      <w:r w:rsidRPr="00B67DCB">
        <w:rPr>
          <w:rFonts w:ascii="Arial Narrow" w:eastAsia="Arial Narrow,Times New Roman" w:hAnsi="Arial Narrow" w:cs="Arial Narrow,Times New Roman"/>
          <w:bCs/>
          <w:sz w:val="24"/>
          <w:szCs w:val="24"/>
        </w:rPr>
        <w:t>Year 1 Literacy and Numeracy Check Expert Advisory Panel. This report included advice and recommendations around the development and implementation of a national Year</w:t>
      </w:r>
      <w:r w:rsidR="00BB22D6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1 literacy and numeracy check </w:t>
      </w:r>
      <w:r w:rsidRPr="00B67DCB">
        <w:rPr>
          <w:rFonts w:ascii="Arial Narrow" w:eastAsia="Arial Narrow,Times New Roman" w:hAnsi="Arial Narrow" w:cs="Arial Narrow,Times New Roman"/>
          <w:bCs/>
          <w:sz w:val="24"/>
          <w:szCs w:val="24"/>
        </w:rPr>
        <w:t>and an overview of what early years’ literacy and numeracy activities are already implemented at the jurisdictional level.</w:t>
      </w:r>
    </w:p>
    <w:p w14:paraId="6AA4C3FC" w14:textId="551434E6" w:rsidR="008136D7" w:rsidRDefault="000713FD" w:rsidP="008136D7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Council </w:t>
      </w:r>
      <w:r w:rsidR="008136D7" w:rsidRPr="008136D7">
        <w:rPr>
          <w:rFonts w:ascii="Arial Narrow" w:eastAsia="Arial Narrow,Times New Roman" w:hAnsi="Arial Narrow" w:cs="Arial Narrow,Times New Roman"/>
          <w:bCs/>
          <w:sz w:val="24"/>
          <w:szCs w:val="24"/>
        </w:rPr>
        <w:t>agree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d</w:t>
      </w:r>
      <w:r w:rsidR="008136D7" w:rsidRPr="008136D7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that such checks are best utilised as diagnostic tools for </w:t>
      </w:r>
      <w:proofErr w:type="gramStart"/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>teachers, and</w:t>
      </w:r>
      <w:proofErr w:type="gramEnd"/>
      <w:r w:rsidR="007411F1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should not be used for the purposes of national assessment or reporting. Ministers further agreed</w:t>
      </w:r>
      <w:r w:rsidR="007411F1" w:rsidRPr="008136D7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 w:rsidR="008136D7" w:rsidRPr="008136D7">
        <w:rPr>
          <w:rFonts w:ascii="Arial Narrow" w:eastAsia="Arial Narrow,Times New Roman" w:hAnsi="Arial Narrow" w:cs="Arial Narrow,Times New Roman"/>
          <w:bCs/>
          <w:sz w:val="24"/>
          <w:szCs w:val="24"/>
        </w:rPr>
        <w:t>to discuss existing jurisdictional activities and initiatives and the findings of the Panel as part of a broader discussion at the December 2017 Education Council meeting, which will include the Chair of the Panel and other panel members as appropriate.</w:t>
      </w:r>
    </w:p>
    <w:p w14:paraId="20CDD4BD" w14:textId="77777777" w:rsidR="00AC6E73" w:rsidRDefault="00AC6E73">
      <w:pP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br w:type="page"/>
      </w:r>
    </w:p>
    <w:p w14:paraId="18F51BC9" w14:textId="7423E9D0" w:rsidR="007805C2" w:rsidRPr="0067607E" w:rsidRDefault="007805C2" w:rsidP="007805C2">
      <w:pP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</w:pPr>
      <w:r w:rsidRPr="0067607E"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lastRenderedPageBreak/>
        <w:t xml:space="preserve">Review of </w:t>
      </w:r>
      <w:r w:rsidR="00427F95"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>t</w:t>
      </w:r>
      <w:r w:rsidRPr="0067607E"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 xml:space="preserve">eacher </w:t>
      </w:r>
      <w:r w:rsidR="00427F95"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>r</w:t>
      </w:r>
      <w:r w:rsidRPr="0067607E"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>egistration</w:t>
      </w:r>
    </w:p>
    <w:p w14:paraId="0E37A2E1" w14:textId="0D2FE079" w:rsidR="007805C2" w:rsidRPr="007504B2" w:rsidRDefault="007805C2" w:rsidP="007805C2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Education Council noted that </w:t>
      </w:r>
      <w:r w:rsidR="0079151F">
        <w:rPr>
          <w:rFonts w:ascii="Arial Narrow" w:eastAsia="Arial Narrow,Times New Roman" w:hAnsi="Arial Narrow" w:cs="Arial Narrow,Times New Roman"/>
          <w:bCs/>
          <w:sz w:val="24"/>
          <w:szCs w:val="24"/>
        </w:rPr>
        <w:t>the Australian Institute for Teaching and School Leadership</w:t>
      </w:r>
      <w:r w:rsidRPr="0067607E">
        <w:rPr>
          <w:rFonts w:ascii="Arial Narrow" w:eastAsia="Arial Narrow,Times New Roman" w:hAnsi="Arial Narrow" w:cs="Arial Narrow,Times New Roman"/>
          <w:bCs/>
          <w:sz w:val="24"/>
          <w:szCs w:val="24"/>
        </w:rPr>
        <w:t>, in consultation with states</w:t>
      </w:r>
      <w:r w:rsidR="0079151F">
        <w:rPr>
          <w:rFonts w:ascii="Arial Narrow" w:eastAsia="Arial Narrow,Times New Roman" w:hAnsi="Arial Narrow" w:cs="Arial Narrow,Times New Roman"/>
          <w:bCs/>
          <w:sz w:val="24"/>
          <w:szCs w:val="24"/>
        </w:rPr>
        <w:t>,</w:t>
      </w:r>
      <w:r w:rsidRPr="0067607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territories and other key stakeholders,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would</w:t>
      </w:r>
      <w:r w:rsidRPr="0067607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undertake a national review of teacher registration to consider its rigour and quality, with a view to improving national consistency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. </w:t>
      </w:r>
      <w:r w:rsidR="0079151F">
        <w:rPr>
          <w:rFonts w:ascii="Arial Narrow" w:eastAsia="Arial Narrow,Times New Roman" w:hAnsi="Arial Narrow" w:cs="Arial Narrow,Times New Roman"/>
          <w:bCs/>
          <w:sz w:val="24"/>
          <w:szCs w:val="24"/>
        </w:rPr>
        <w:t>T</w:t>
      </w:r>
      <w:r w:rsidRPr="0067607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he </w:t>
      </w:r>
      <w:r w:rsidR="0030054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final </w:t>
      </w:r>
      <w:r w:rsidRPr="0067607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review </w:t>
      </w:r>
      <w:r w:rsidR="0030054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report </w:t>
      </w:r>
      <w:r w:rsidR="0079151F">
        <w:rPr>
          <w:rFonts w:ascii="Arial Narrow" w:eastAsia="Arial Narrow,Times New Roman" w:hAnsi="Arial Narrow" w:cs="Arial Narrow,Times New Roman"/>
          <w:bCs/>
          <w:sz w:val="24"/>
          <w:szCs w:val="24"/>
        </w:rPr>
        <w:t>will</w:t>
      </w:r>
      <w:r w:rsidR="0079151F" w:rsidRPr="0067607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 w:rsidRPr="0067607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be </w:t>
      </w:r>
      <w:r w:rsidR="0030054E">
        <w:rPr>
          <w:rFonts w:ascii="Arial Narrow" w:eastAsia="Arial Narrow,Times New Roman" w:hAnsi="Arial Narrow" w:cs="Arial Narrow,Times New Roman"/>
          <w:bCs/>
          <w:sz w:val="24"/>
          <w:szCs w:val="24"/>
        </w:rPr>
        <w:t>provided</w:t>
      </w:r>
      <w:r w:rsidRPr="0067607E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to Education Council for </w:t>
      </w:r>
      <w:r w:rsidR="0079151F">
        <w:rPr>
          <w:rFonts w:ascii="Arial Narrow" w:eastAsia="Arial Narrow,Times New Roman" w:hAnsi="Arial Narrow" w:cs="Arial Narrow,Times New Roman"/>
          <w:bCs/>
          <w:sz w:val="24"/>
          <w:szCs w:val="24"/>
        </w:rPr>
        <w:t>agreement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. </w:t>
      </w:r>
    </w:p>
    <w:p w14:paraId="598FF2FE" w14:textId="4FE2E67D" w:rsidR="007D6518" w:rsidRPr="00760123" w:rsidRDefault="007D6518" w:rsidP="007D6518">
      <w:pP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>Child immunisation</w:t>
      </w:r>
    </w:p>
    <w:p w14:paraId="6ED09B1D" w14:textId="77777777" w:rsidR="00BB22D6" w:rsidRDefault="007805C2" w:rsidP="007805C2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Ministers considered advice on a range of </w:t>
      </w:r>
      <w:r w:rsidRPr="000D0B55">
        <w:rPr>
          <w:rFonts w:ascii="Arial Narrow" w:eastAsia="Arial Narrow,Times New Roman" w:hAnsi="Arial Narrow" w:cs="Arial Narrow,Times New Roman"/>
          <w:bCs/>
          <w:sz w:val="24"/>
          <w:szCs w:val="24"/>
        </w:rPr>
        <w:t>options to implement a consistent national approach to increase immunisation rates in early education and care services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and to publish service level immunisation rates as set out in the COAG Communiqué of 9 June 2017</w:t>
      </w:r>
      <w:r w:rsidRPr="000D0B55">
        <w:rPr>
          <w:rFonts w:ascii="Arial Narrow" w:eastAsia="Arial Narrow,Times New Roman" w:hAnsi="Arial Narrow" w:cs="Arial Narrow,Times New Roman"/>
          <w:bCs/>
          <w:sz w:val="24"/>
          <w:szCs w:val="24"/>
        </w:rPr>
        <w:t>.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</w:p>
    <w:p w14:paraId="674269AA" w14:textId="2FFD6C8B" w:rsidR="00BB22D6" w:rsidRDefault="007805C2" w:rsidP="007805C2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The Education Council </w:t>
      </w:r>
      <w:r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>acknowledge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d the</w:t>
      </w:r>
      <w:r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important </w:t>
      </w:r>
      <w:r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work </w:t>
      </w:r>
      <w:r w:rsidR="006252C6">
        <w:rPr>
          <w:rFonts w:ascii="Arial Narrow" w:eastAsia="Arial Narrow,Times New Roman" w:hAnsi="Arial Narrow" w:cs="Arial Narrow,Times New Roman"/>
          <w:bCs/>
          <w:sz w:val="24"/>
          <w:szCs w:val="24"/>
        </w:rPr>
        <w:t>currently</w:t>
      </w:r>
      <w:r w:rsidR="006252C6"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>being undertaken to raise immunisation rates more broadly, particularly under the National Immunisation Strategy. Given the initiatives already in play in the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early education and care</w:t>
      </w:r>
      <w:r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sector,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Ministers noted</w:t>
      </w:r>
      <w:r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the immunisation rates o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f children attending approved </w:t>
      </w:r>
      <w:proofErr w:type="gramStart"/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child care</w:t>
      </w:r>
      <w:proofErr w:type="gramEnd"/>
      <w:r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are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>already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likely to be</w:t>
      </w:r>
      <w:r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high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and further actions </w:t>
      </w:r>
      <w:r w:rsidR="006252C6">
        <w:rPr>
          <w:rFonts w:ascii="Arial Narrow" w:eastAsia="Arial Narrow,Times New Roman" w:hAnsi="Arial Narrow" w:cs="Arial Narrow,Times New Roman"/>
          <w:bCs/>
          <w:sz w:val="24"/>
          <w:szCs w:val="24"/>
        </w:rPr>
        <w:t>should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improve herd immunity and further consolidate this strong result</w:t>
      </w:r>
      <w:r w:rsidRPr="003A485B">
        <w:rPr>
          <w:rFonts w:ascii="Arial Narrow" w:eastAsia="Arial Narrow,Times New Roman" w:hAnsi="Arial Narrow" w:cs="Arial Narrow,Times New Roman"/>
          <w:bCs/>
          <w:sz w:val="24"/>
          <w:szCs w:val="24"/>
        </w:rPr>
        <w:t>.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</w:p>
    <w:p w14:paraId="3DBBC0D0" w14:textId="3037C9B8" w:rsidR="007805C2" w:rsidRDefault="007805C2" w:rsidP="007805C2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Ministers discussed options to meet COAG’s request and noted </w:t>
      </w:r>
      <w:r w:rsidRPr="006E5F00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detailed further development work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would be required</w:t>
      </w:r>
      <w:r w:rsidRPr="006E5F00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to support future decision making 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including privacy, regulatory and cost considerations and arrangements for vulnerable and excluded children so the educational outcomes of these children are not compromised</w:t>
      </w:r>
      <w:r w:rsidRPr="000D0B55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from a lack of access to early childhood education</w:t>
      </w: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.</w:t>
      </w:r>
    </w:p>
    <w:p w14:paraId="588608DD" w14:textId="37017ACC" w:rsidR="00040CF8" w:rsidRDefault="007805C2" w:rsidP="00D15269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Cs/>
          <w:sz w:val="24"/>
          <w:szCs w:val="24"/>
        </w:rPr>
        <w:t>This advice will be considered by the Health Council before being provided to the Council of Australian Governments later in the year.</w:t>
      </w:r>
    </w:p>
    <w:p w14:paraId="561BAC70" w14:textId="018BFDA7" w:rsidR="00D15269" w:rsidRPr="00D15269" w:rsidRDefault="007D6518" w:rsidP="00D15269">
      <w:pP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</w:pPr>
      <w: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 xml:space="preserve">Education and Care Services </w:t>
      </w:r>
      <w:r w:rsidR="00040CF8"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 xml:space="preserve">National Amendment </w:t>
      </w:r>
      <w:r>
        <w:rPr>
          <w:rFonts w:ascii="Arial Narrow" w:eastAsia="Arial Narrow,Times New Roman" w:hAnsi="Arial Narrow" w:cs="Arial Narrow,Times New Roman"/>
          <w:b/>
          <w:bCs/>
          <w:sz w:val="24"/>
          <w:szCs w:val="24"/>
        </w:rPr>
        <w:t>Regulations</w:t>
      </w:r>
    </w:p>
    <w:p w14:paraId="5F7C993D" w14:textId="540A2134" w:rsidR="00F972E6" w:rsidRDefault="00582519" w:rsidP="00582519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 w:rsidRPr="00582519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Council </w:t>
      </w:r>
      <w:r w:rsidR="00040CF8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made </w:t>
      </w:r>
      <w:r w:rsidRPr="00582519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the Education and Care Services National Amendment Regulations 2017 (Amendment Regulations), which give effect to </w:t>
      </w:r>
      <w:proofErr w:type="gramStart"/>
      <w:r w:rsidRPr="00582519">
        <w:rPr>
          <w:rFonts w:ascii="Arial Narrow" w:eastAsia="Arial Narrow,Times New Roman" w:hAnsi="Arial Narrow" w:cs="Arial Narrow,Times New Roman"/>
          <w:bCs/>
          <w:sz w:val="24"/>
          <w:szCs w:val="24"/>
        </w:rPr>
        <w:t>a number of</w:t>
      </w:r>
      <w:proofErr w:type="gramEnd"/>
      <w:r w:rsidRPr="00582519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recommendations arising from the 2014 Review of the National Partnership Agreement on the National Quality Agenda for Earl</w:t>
      </w:r>
      <w:r w:rsidR="00F972E6">
        <w:rPr>
          <w:rFonts w:ascii="Arial Narrow" w:eastAsia="Arial Narrow,Times New Roman" w:hAnsi="Arial Narrow" w:cs="Arial Narrow,Times New Roman"/>
          <w:bCs/>
          <w:sz w:val="24"/>
          <w:szCs w:val="24"/>
        </w:rPr>
        <w:t>y Childhood Education and Care.</w:t>
      </w:r>
      <w:r w:rsidR="00106614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 </w:t>
      </w:r>
      <w:r w:rsidR="00106614" w:rsidRPr="00106614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The Amendment Regulations will be published at: </w:t>
      </w:r>
      <w:hyperlink r:id="rId9" w:history="1">
        <w:r w:rsidR="00106614" w:rsidRPr="00DA2823">
          <w:rPr>
            <w:rStyle w:val="Hyperlink"/>
            <w:rFonts w:ascii="Arial Narrow" w:eastAsia="Arial Narrow,Times New Roman" w:hAnsi="Arial Narrow" w:cs="Arial Narrow,Times New Roman"/>
            <w:sz w:val="24"/>
            <w:szCs w:val="24"/>
          </w:rPr>
          <w:t>https://www.legislation.nsw.gov.au/</w:t>
        </w:r>
      </w:hyperlink>
      <w:r w:rsidR="00106614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</w:p>
    <w:p w14:paraId="19FA9E44" w14:textId="55F82B25" w:rsidR="00582519" w:rsidRPr="00582519" w:rsidRDefault="00582519" w:rsidP="00582519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 w:rsidRPr="00582519">
        <w:rPr>
          <w:rFonts w:ascii="Arial Narrow" w:eastAsia="Arial Narrow,Times New Roman" w:hAnsi="Arial Narrow" w:cs="Arial Narrow,Times New Roman"/>
          <w:bCs/>
          <w:sz w:val="24"/>
          <w:szCs w:val="24"/>
        </w:rPr>
        <w:t>The Amendment Regulations, coupled with previously agreed changes to the Education and Care Services National Law, will commence from 1 October 2017 in all states and territories</w:t>
      </w:r>
      <w:r w:rsidR="00F94FB9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(except Western Australia, where changes will commence no later than 1 October 2018).</w:t>
      </w:r>
      <w:r w:rsidRPr="00582519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Working with all jurisdictions, the Australian Children’s Education &amp; Care Quality Authority has published, and will continue to publish, a suite of guidance materials to support sector stakeholders to understand and prepare for the changes.  </w:t>
      </w:r>
      <w:r w:rsidR="005933DD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Further advice can be found at: </w:t>
      </w:r>
      <w:hyperlink r:id="rId10" w:history="1">
        <w:r w:rsidR="005933DD" w:rsidRPr="005D1DE5">
          <w:rPr>
            <w:rStyle w:val="Hyperlink"/>
            <w:rFonts w:ascii="Arial Narrow" w:eastAsia="Arial Narrow,Times New Roman" w:hAnsi="Arial Narrow" w:cs="Arial Narrow,Times New Roman"/>
            <w:sz w:val="24"/>
            <w:szCs w:val="24"/>
          </w:rPr>
          <w:t>http://www.acecqa.gov.au/nqf-changes</w:t>
        </w:r>
      </w:hyperlink>
      <w:r w:rsidR="005933DD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</w:p>
    <w:p w14:paraId="13AD9C7D" w14:textId="4DF627BA" w:rsidR="00940C57" w:rsidRDefault="00940C57">
      <w:pPr>
        <w:rPr>
          <w:rFonts w:ascii="Arial Narrow" w:eastAsia="Arial Narrow,Times New Roman" w:hAnsi="Arial Narrow" w:cs="Arial Narrow,Times New Roman"/>
          <w:bCs/>
          <w:sz w:val="24"/>
          <w:szCs w:val="24"/>
        </w:rPr>
      </w:pPr>
      <w:r w:rsidRPr="00940C57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The Education Council </w:t>
      </w:r>
      <w:r w:rsidR="001B2A92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also </w:t>
      </w:r>
      <w:r w:rsidRPr="00940C57">
        <w:rPr>
          <w:rFonts w:ascii="Arial Narrow" w:eastAsia="Arial Narrow,Times New Roman" w:hAnsi="Arial Narrow" w:cs="Arial Narrow,Times New Roman"/>
          <w:bCs/>
          <w:sz w:val="24"/>
          <w:szCs w:val="24"/>
        </w:rPr>
        <w:t>intends to extend several transitional provisions in the Education and Care Services National Regulations primarily relating to staffing and qualifications arrangements in the children’s education and care sector</w:t>
      </w:r>
      <w:r w:rsidR="00106614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before the end of 2017</w:t>
      </w:r>
      <w:r w:rsidRPr="00940C57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. Extending the provisions to 2020 will allow for sector continuity and </w:t>
      </w:r>
      <w:proofErr w:type="gramStart"/>
      <w:r w:rsidRPr="00940C57">
        <w:rPr>
          <w:rFonts w:ascii="Arial Narrow" w:eastAsia="Arial Narrow,Times New Roman" w:hAnsi="Arial Narrow" w:cs="Arial Narrow,Times New Roman"/>
          <w:bCs/>
          <w:sz w:val="24"/>
          <w:szCs w:val="24"/>
        </w:rPr>
        <w:t>certainty, and</w:t>
      </w:r>
      <w:proofErr w:type="gramEnd"/>
      <w:r w:rsidRPr="00940C57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support the availability of qualified educators to maintain current quality safeguards for children’s education and care. </w:t>
      </w:r>
      <w:r w:rsidR="00106614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 w:rsidR="00106614" w:rsidRPr="00940C57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The relevant </w:t>
      </w:r>
      <w:r w:rsidR="00106614">
        <w:rPr>
          <w:rFonts w:ascii="Arial Narrow" w:eastAsia="Arial Narrow,Times New Roman" w:hAnsi="Arial Narrow" w:cs="Arial Narrow,Times New Roman"/>
          <w:bCs/>
          <w:sz w:val="24"/>
          <w:szCs w:val="24"/>
        </w:rPr>
        <w:t>Regulation</w:t>
      </w:r>
      <w:r w:rsidR="00106614" w:rsidRPr="00940C57">
        <w:rPr>
          <w:rFonts w:ascii="Arial Narrow" w:eastAsia="Arial Narrow,Times New Roman" w:hAnsi="Arial Narrow" w:cs="Arial Narrow,Times New Roman"/>
          <w:bCs/>
          <w:sz w:val="24"/>
          <w:szCs w:val="24"/>
        </w:rPr>
        <w:t>s are: 239A, 240, 242, 264 and 300.</w:t>
      </w:r>
      <w:r w:rsidR="00BB22D6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</w:t>
      </w:r>
      <w:r w:rsidRPr="00940C57">
        <w:rPr>
          <w:rFonts w:ascii="Arial Narrow" w:eastAsia="Arial Narrow,Times New Roman" w:hAnsi="Arial Narrow" w:cs="Arial Narrow,Times New Roman"/>
          <w:bCs/>
          <w:sz w:val="24"/>
          <w:szCs w:val="24"/>
        </w:rPr>
        <w:t>The</w:t>
      </w:r>
      <w:r w:rsidR="00BB22D6">
        <w:rPr>
          <w:rFonts w:ascii="Arial Narrow" w:eastAsia="Arial Narrow,Times New Roman" w:hAnsi="Arial Narrow" w:cs="Arial Narrow,Times New Roman"/>
          <w:bCs/>
          <w:sz w:val="24"/>
          <w:szCs w:val="24"/>
        </w:rPr>
        <w:t>se</w:t>
      </w:r>
      <w:r w:rsidRPr="00940C57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provisions are not being extended in Victoria</w:t>
      </w:r>
      <w:r w:rsidR="00106614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 i</w:t>
      </w:r>
      <w:r w:rsidR="00106614" w:rsidRPr="00106614">
        <w:rPr>
          <w:rFonts w:ascii="Arial Narrow" w:eastAsia="Arial Narrow,Times New Roman" w:hAnsi="Arial Narrow" w:cs="Arial Narrow,Times New Roman"/>
          <w:bCs/>
          <w:sz w:val="24"/>
          <w:szCs w:val="24"/>
        </w:rPr>
        <w:t>n recognition of the progress made in developing the qualifications o</w:t>
      </w:r>
      <w:r w:rsidR="00106614">
        <w:rPr>
          <w:rFonts w:ascii="Arial Narrow" w:eastAsia="Arial Narrow,Times New Roman" w:hAnsi="Arial Narrow" w:cs="Arial Narrow,Times New Roman"/>
          <w:bCs/>
          <w:sz w:val="24"/>
          <w:szCs w:val="24"/>
        </w:rPr>
        <w:t>f the early childhood workforce</w:t>
      </w:r>
      <w:r w:rsidRPr="00940C57">
        <w:rPr>
          <w:rFonts w:ascii="Arial Narrow" w:eastAsia="Arial Narrow,Times New Roman" w:hAnsi="Arial Narrow" w:cs="Arial Narrow,Times New Roman"/>
          <w:bCs/>
          <w:sz w:val="24"/>
          <w:szCs w:val="24"/>
        </w:rPr>
        <w:t xml:space="preserve">.  </w:t>
      </w:r>
    </w:p>
    <w:p w14:paraId="2B31210F" w14:textId="450654B2" w:rsidR="004B629C" w:rsidRDefault="007C1756">
      <w:pPr>
        <w:rPr>
          <w:rFonts w:ascii="Arial Narrow" w:eastAsia="Arial Narrow,Times New Roman" w:hAnsi="Arial Narrow" w:cs="Arial Narrow,Times New Roman"/>
          <w:bCs/>
          <w:sz w:val="18"/>
          <w:szCs w:val="18"/>
        </w:rPr>
      </w:pPr>
      <w:r>
        <w:rPr>
          <w:rFonts w:ascii="Arial Narrow" w:eastAsia="Arial Narrow,Times New Roman" w:hAnsi="Arial Narrow" w:cs="Arial Narrow,Times New Roman"/>
          <w:bCs/>
          <w:sz w:val="18"/>
          <w:szCs w:val="18"/>
        </w:rPr>
        <w:t>__</w:t>
      </w:r>
      <w:r w:rsidR="008C7169">
        <w:rPr>
          <w:rFonts w:ascii="Arial Narrow" w:eastAsia="Arial Narrow,Times New Roman" w:hAnsi="Arial Narrow" w:cs="Arial Narrow,Times New Roman"/>
          <w:bCs/>
          <w:sz w:val="18"/>
          <w:szCs w:val="18"/>
        </w:rPr>
        <w:t>____</w:t>
      </w:r>
    </w:p>
    <w:p w14:paraId="2B312110" w14:textId="5029B536" w:rsidR="009918EE" w:rsidRPr="009918EE" w:rsidRDefault="009918EE">
      <w:pPr>
        <w:rPr>
          <w:rFonts w:ascii="Arial Narrow" w:eastAsia="Arial Narrow,Times New Roman" w:hAnsi="Arial Narrow" w:cs="Arial Narrow,Times New Roman"/>
          <w:bCs/>
          <w:sz w:val="18"/>
          <w:szCs w:val="18"/>
        </w:rPr>
      </w:pPr>
      <w:r w:rsidRPr="009918EE">
        <w:rPr>
          <w:rFonts w:ascii="Arial Narrow" w:eastAsia="Arial Narrow,Times New Roman" w:hAnsi="Arial Narrow" w:cs="Arial Narrow,Times New Roman"/>
          <w:bCs/>
          <w:sz w:val="18"/>
          <w:szCs w:val="18"/>
        </w:rPr>
        <w:t xml:space="preserve">Media queries: </w:t>
      </w:r>
      <w:r w:rsidR="0078569F">
        <w:rPr>
          <w:rFonts w:ascii="Arial Narrow" w:eastAsia="Arial Narrow,Times New Roman" w:hAnsi="Arial Narrow" w:cs="Arial Narrow,Times New Roman"/>
          <w:bCs/>
          <w:sz w:val="18"/>
          <w:szCs w:val="18"/>
        </w:rPr>
        <w:t xml:space="preserve">Greg </w:t>
      </w:r>
      <w:proofErr w:type="spellStart"/>
      <w:r w:rsidR="0078569F">
        <w:rPr>
          <w:rFonts w:ascii="Arial Narrow" w:eastAsia="Arial Narrow,Times New Roman" w:hAnsi="Arial Narrow" w:cs="Arial Narrow,Times New Roman"/>
          <w:bCs/>
          <w:sz w:val="18"/>
          <w:szCs w:val="18"/>
        </w:rPr>
        <w:t>Donaghue</w:t>
      </w:r>
      <w:proofErr w:type="spellEnd"/>
      <w:r w:rsidR="0078569F">
        <w:rPr>
          <w:rFonts w:ascii="Arial Narrow" w:eastAsia="Arial Narrow,Times New Roman" w:hAnsi="Arial Narrow" w:cs="Arial Narrow,Times New Roman"/>
          <w:bCs/>
          <w:sz w:val="18"/>
          <w:szCs w:val="18"/>
        </w:rPr>
        <w:t xml:space="preserve">, </w:t>
      </w:r>
      <w:r w:rsidRPr="009918EE">
        <w:rPr>
          <w:rFonts w:ascii="Arial Narrow" w:eastAsia="Arial Narrow,Times New Roman" w:hAnsi="Arial Narrow" w:cs="Arial Narrow,Times New Roman"/>
          <w:bCs/>
          <w:sz w:val="18"/>
          <w:szCs w:val="18"/>
        </w:rPr>
        <w:t>Education Council</w:t>
      </w:r>
      <w:r w:rsidR="00D13CBD">
        <w:rPr>
          <w:rFonts w:ascii="Arial Narrow" w:eastAsia="Arial Narrow,Times New Roman" w:hAnsi="Arial Narrow" w:cs="Arial Narrow,Times New Roman"/>
          <w:bCs/>
          <w:sz w:val="18"/>
          <w:szCs w:val="18"/>
        </w:rPr>
        <w:t xml:space="preserve"> S</w:t>
      </w:r>
      <w:r w:rsidR="00B801AA">
        <w:rPr>
          <w:rFonts w:ascii="Arial Narrow" w:eastAsia="Arial Narrow,Times New Roman" w:hAnsi="Arial Narrow" w:cs="Arial Narrow,Times New Roman"/>
          <w:bCs/>
          <w:sz w:val="18"/>
          <w:szCs w:val="18"/>
        </w:rPr>
        <w:t>ecretariat</w:t>
      </w:r>
      <w:r w:rsidRPr="009918EE">
        <w:rPr>
          <w:rFonts w:ascii="Arial Narrow" w:eastAsia="Arial Narrow,Times New Roman" w:hAnsi="Arial Narrow" w:cs="Arial Narrow,Times New Roman"/>
          <w:bCs/>
          <w:sz w:val="18"/>
          <w:szCs w:val="18"/>
        </w:rPr>
        <w:t xml:space="preserve">, </w:t>
      </w:r>
      <w:r w:rsidR="00661039">
        <w:rPr>
          <w:rFonts w:ascii="Arial Narrow" w:eastAsia="Arial Narrow,Times New Roman" w:hAnsi="Arial Narrow" w:cs="Arial Narrow,Times New Roman"/>
          <w:bCs/>
          <w:sz w:val="18"/>
          <w:szCs w:val="18"/>
        </w:rPr>
        <w:t>0423 748 320</w:t>
      </w:r>
      <w:r w:rsidRPr="009918EE">
        <w:rPr>
          <w:rFonts w:ascii="Arial Narrow" w:eastAsia="Arial Narrow,Times New Roman" w:hAnsi="Arial Narrow" w:cs="Arial Narrow,Times New Roman"/>
          <w:bCs/>
          <w:sz w:val="18"/>
          <w:szCs w:val="18"/>
        </w:rPr>
        <w:t xml:space="preserve"> or </w:t>
      </w:r>
      <w:hyperlink r:id="rId11" w:history="1">
        <w:r w:rsidR="0078569F" w:rsidRPr="005D1DE5">
          <w:rPr>
            <w:rStyle w:val="Hyperlink"/>
            <w:rFonts w:ascii="Arial Narrow" w:eastAsia="Arial Narrow,Times New Roman" w:hAnsi="Arial Narrow" w:cs="Arial Narrow,Times New Roman"/>
            <w:sz w:val="18"/>
            <w:szCs w:val="18"/>
          </w:rPr>
          <w:t>greg.donaghue@ec.edu.au</w:t>
        </w:r>
      </w:hyperlink>
      <w:r w:rsidR="00CC1BF4">
        <w:rPr>
          <w:rFonts w:ascii="Arial Narrow" w:eastAsia="Arial Narrow,Times New Roman" w:hAnsi="Arial Narrow" w:cs="Arial Narrow,Times New Roman"/>
          <w:bCs/>
          <w:sz w:val="18"/>
          <w:szCs w:val="18"/>
        </w:rPr>
        <w:t xml:space="preserve"> </w:t>
      </w:r>
    </w:p>
    <w:sectPr w:rsidR="009918EE" w:rsidRPr="009918EE" w:rsidSect="00C55A5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1134" w:bottom="1077" w:left="119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86AD5" w14:textId="77777777" w:rsidR="005E399F" w:rsidRDefault="005E399F" w:rsidP="0051541B">
      <w:pPr>
        <w:spacing w:after="0" w:line="240" w:lineRule="auto"/>
      </w:pPr>
      <w:r>
        <w:separator/>
      </w:r>
    </w:p>
  </w:endnote>
  <w:endnote w:type="continuationSeparator" w:id="0">
    <w:p w14:paraId="02310C58" w14:textId="77777777" w:rsidR="005E399F" w:rsidRDefault="005E399F" w:rsidP="0051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,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1806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1211B" w14:textId="4BA40A4E" w:rsidR="00A1022B" w:rsidRDefault="00A102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0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31211C" w14:textId="77777777" w:rsidR="00A1022B" w:rsidRDefault="00A10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A2BB8" w14:textId="77777777" w:rsidR="005E399F" w:rsidRDefault="005E399F" w:rsidP="0051541B">
      <w:pPr>
        <w:spacing w:after="0" w:line="240" w:lineRule="auto"/>
      </w:pPr>
      <w:r>
        <w:separator/>
      </w:r>
    </w:p>
  </w:footnote>
  <w:footnote w:type="continuationSeparator" w:id="0">
    <w:p w14:paraId="56844DAA" w14:textId="77777777" w:rsidR="005E399F" w:rsidRDefault="005E399F" w:rsidP="0051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7D711" w14:textId="0D04FCA5" w:rsidR="00A1022B" w:rsidRDefault="00A10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142" w:type="dxa"/>
      <w:tblLook w:val="00A0" w:firstRow="1" w:lastRow="0" w:firstColumn="1" w:lastColumn="0" w:noHBand="0" w:noVBand="0"/>
    </w:tblPr>
    <w:tblGrid>
      <w:gridCol w:w="3126"/>
      <w:gridCol w:w="6655"/>
    </w:tblGrid>
    <w:tr w:rsidR="00A1022B" w:rsidRPr="005168F6" w14:paraId="2B312119" w14:textId="77777777" w:rsidTr="0051541B">
      <w:trPr>
        <w:trHeight w:val="1140"/>
      </w:trPr>
      <w:tc>
        <w:tcPr>
          <w:tcW w:w="3126" w:type="dxa"/>
          <w:shd w:val="clear" w:color="auto" w:fill="auto"/>
        </w:tcPr>
        <w:p w14:paraId="2B312115" w14:textId="77777777" w:rsidR="00A1022B" w:rsidRPr="005168F6" w:rsidRDefault="00A1022B" w:rsidP="0051541B">
          <w:pPr>
            <w:spacing w:after="0" w:line="240" w:lineRule="auto"/>
            <w:jc w:val="center"/>
            <w:rPr>
              <w:rFonts w:ascii="Arial Narrow" w:hAnsi="Arial Narrow"/>
              <w:b/>
              <w:sz w:val="23"/>
              <w:lang w:bidi="x-none"/>
            </w:rPr>
          </w:pPr>
          <w:r w:rsidRPr="005168F6">
            <w:rPr>
              <w:rFonts w:ascii="Arial Narrow" w:hAnsi="Arial Narrow"/>
              <w:noProof/>
              <w:lang w:eastAsia="en-AU"/>
            </w:rPr>
            <w:drawing>
              <wp:inline distT="0" distB="0" distL="0" distR="0" wp14:anchorId="2B31211D" wp14:editId="39ABC54B">
                <wp:extent cx="1847619" cy="654050"/>
                <wp:effectExtent l="0" t="0" r="635" b="0"/>
                <wp:docPr id="2" name="Picture 1" descr="Education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ducation Coun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228" cy="655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shd w:val="clear" w:color="auto" w:fill="auto"/>
        </w:tcPr>
        <w:p w14:paraId="3D3258DF" w14:textId="77777777" w:rsidR="00A1022B" w:rsidRDefault="00A1022B" w:rsidP="0051541B">
          <w:pPr>
            <w:spacing w:after="0" w:line="240" w:lineRule="auto"/>
            <w:jc w:val="right"/>
            <w:rPr>
              <w:rFonts w:ascii="Arial Narrow" w:eastAsia="Arial Narrow" w:hAnsi="Arial Narrow" w:cs="Arial Narrow"/>
              <w:color w:val="D85601"/>
              <w:szCs w:val="20"/>
            </w:rPr>
          </w:pPr>
        </w:p>
        <w:p w14:paraId="6C8FA771" w14:textId="77777777" w:rsidR="00A1022B" w:rsidRDefault="00A1022B" w:rsidP="0051541B">
          <w:pPr>
            <w:spacing w:after="0" w:line="240" w:lineRule="auto"/>
            <w:jc w:val="right"/>
            <w:rPr>
              <w:rFonts w:ascii="Arial Narrow" w:eastAsia="Arial Narrow" w:hAnsi="Arial Narrow" w:cs="Arial Narrow"/>
              <w:color w:val="D85601"/>
              <w:szCs w:val="20"/>
            </w:rPr>
          </w:pPr>
        </w:p>
        <w:p w14:paraId="5BD9502A" w14:textId="77777777" w:rsidR="00A1022B" w:rsidRDefault="00A1022B" w:rsidP="0051541B">
          <w:pPr>
            <w:spacing w:after="0" w:line="240" w:lineRule="auto"/>
            <w:jc w:val="right"/>
            <w:rPr>
              <w:rFonts w:ascii="Arial Narrow" w:eastAsia="Arial Narrow" w:hAnsi="Arial Narrow" w:cs="Arial Narrow"/>
              <w:color w:val="D85601"/>
              <w:szCs w:val="20"/>
            </w:rPr>
          </w:pPr>
        </w:p>
        <w:p w14:paraId="2B312117" w14:textId="7D23A762" w:rsidR="00A1022B" w:rsidRPr="005168F6" w:rsidRDefault="00A1022B" w:rsidP="0051541B">
          <w:pPr>
            <w:spacing w:after="0" w:line="240" w:lineRule="auto"/>
            <w:jc w:val="right"/>
            <w:rPr>
              <w:rFonts w:ascii="Arial Narrow" w:hAnsi="Arial Narrow"/>
              <w:color w:val="D85601"/>
              <w:lang w:bidi="x-none"/>
            </w:rPr>
          </w:pPr>
          <w:r w:rsidRPr="005B197A">
            <w:rPr>
              <w:rFonts w:ascii="Arial Narrow" w:eastAsia="Arial Narrow" w:hAnsi="Arial Narrow" w:cs="Arial Narrow"/>
              <w:szCs w:val="20"/>
            </w:rPr>
            <w:t>15 September 2017, Adelaide</w:t>
          </w:r>
        </w:p>
        <w:p w14:paraId="2B312118" w14:textId="77777777" w:rsidR="00A1022B" w:rsidRPr="005168F6" w:rsidRDefault="00A1022B" w:rsidP="0051541B">
          <w:pPr>
            <w:spacing w:after="0" w:line="240" w:lineRule="auto"/>
            <w:jc w:val="right"/>
            <w:rPr>
              <w:rFonts w:ascii="Arial Narrow" w:hAnsi="Arial Narrow"/>
              <w:b/>
              <w:color w:val="D85601"/>
              <w:sz w:val="20"/>
              <w:lang w:bidi="x-none"/>
            </w:rPr>
          </w:pPr>
        </w:p>
      </w:tc>
    </w:tr>
  </w:tbl>
  <w:p w14:paraId="2B31211A" w14:textId="135CEFE8" w:rsidR="00A1022B" w:rsidRDefault="00A10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354CE" w14:textId="5CBE5663" w:rsidR="00A1022B" w:rsidRDefault="00A10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1B"/>
    <w:rsid w:val="000113D0"/>
    <w:rsid w:val="000225AF"/>
    <w:rsid w:val="0003418F"/>
    <w:rsid w:val="00040CF8"/>
    <w:rsid w:val="00051F96"/>
    <w:rsid w:val="00057F83"/>
    <w:rsid w:val="000713FD"/>
    <w:rsid w:val="00081F86"/>
    <w:rsid w:val="00083C13"/>
    <w:rsid w:val="00096EE6"/>
    <w:rsid w:val="000A2F9E"/>
    <w:rsid w:val="000A4711"/>
    <w:rsid w:val="000A4BB2"/>
    <w:rsid w:val="000A6F1D"/>
    <w:rsid w:val="000B041C"/>
    <w:rsid w:val="000B0B17"/>
    <w:rsid w:val="000B1DA5"/>
    <w:rsid w:val="000B2046"/>
    <w:rsid w:val="000C7A2B"/>
    <w:rsid w:val="000D0B55"/>
    <w:rsid w:val="000E684C"/>
    <w:rsid w:val="00100528"/>
    <w:rsid w:val="00106614"/>
    <w:rsid w:val="00111972"/>
    <w:rsid w:val="001134F7"/>
    <w:rsid w:val="00116789"/>
    <w:rsid w:val="00121B22"/>
    <w:rsid w:val="00153651"/>
    <w:rsid w:val="0015729D"/>
    <w:rsid w:val="00172B3A"/>
    <w:rsid w:val="00176845"/>
    <w:rsid w:val="001A0723"/>
    <w:rsid w:val="001B2A92"/>
    <w:rsid w:val="001B57BD"/>
    <w:rsid w:val="001B6366"/>
    <w:rsid w:val="001C0A55"/>
    <w:rsid w:val="001C0D25"/>
    <w:rsid w:val="001D2613"/>
    <w:rsid w:val="001D46C5"/>
    <w:rsid w:val="001D6D10"/>
    <w:rsid w:val="001F21FC"/>
    <w:rsid w:val="0020164D"/>
    <w:rsid w:val="0021366B"/>
    <w:rsid w:val="00230062"/>
    <w:rsid w:val="00232DC7"/>
    <w:rsid w:val="00264A6D"/>
    <w:rsid w:val="002654FC"/>
    <w:rsid w:val="0026766A"/>
    <w:rsid w:val="00267D32"/>
    <w:rsid w:val="00291EA6"/>
    <w:rsid w:val="002A2607"/>
    <w:rsid w:val="002B51C5"/>
    <w:rsid w:val="002B5E95"/>
    <w:rsid w:val="002C2660"/>
    <w:rsid w:val="002D7C37"/>
    <w:rsid w:val="002E2C36"/>
    <w:rsid w:val="002F06FE"/>
    <w:rsid w:val="002F1216"/>
    <w:rsid w:val="002F162C"/>
    <w:rsid w:val="002F2BCC"/>
    <w:rsid w:val="002F4D80"/>
    <w:rsid w:val="0030054E"/>
    <w:rsid w:val="00300777"/>
    <w:rsid w:val="00314291"/>
    <w:rsid w:val="003171F3"/>
    <w:rsid w:val="00321B1D"/>
    <w:rsid w:val="003233EF"/>
    <w:rsid w:val="003343F8"/>
    <w:rsid w:val="0034064A"/>
    <w:rsid w:val="00343AE1"/>
    <w:rsid w:val="00350FA6"/>
    <w:rsid w:val="00362D6D"/>
    <w:rsid w:val="003752FF"/>
    <w:rsid w:val="00377032"/>
    <w:rsid w:val="00382EC5"/>
    <w:rsid w:val="00393511"/>
    <w:rsid w:val="00394E38"/>
    <w:rsid w:val="003A2CC3"/>
    <w:rsid w:val="003A3F46"/>
    <w:rsid w:val="003B6BD6"/>
    <w:rsid w:val="003C0015"/>
    <w:rsid w:val="003F1677"/>
    <w:rsid w:val="003F3C98"/>
    <w:rsid w:val="003F4F3A"/>
    <w:rsid w:val="00415075"/>
    <w:rsid w:val="00426EB4"/>
    <w:rsid w:val="00427F95"/>
    <w:rsid w:val="00440E88"/>
    <w:rsid w:val="00447563"/>
    <w:rsid w:val="00462A2A"/>
    <w:rsid w:val="00475F8C"/>
    <w:rsid w:val="004903EB"/>
    <w:rsid w:val="00493B5A"/>
    <w:rsid w:val="00496C42"/>
    <w:rsid w:val="004A1393"/>
    <w:rsid w:val="004A1808"/>
    <w:rsid w:val="004A7DBA"/>
    <w:rsid w:val="004B629C"/>
    <w:rsid w:val="004B6475"/>
    <w:rsid w:val="004D02AB"/>
    <w:rsid w:val="004D2745"/>
    <w:rsid w:val="004D7726"/>
    <w:rsid w:val="004D7A8A"/>
    <w:rsid w:val="004D7E6F"/>
    <w:rsid w:val="004F04EE"/>
    <w:rsid w:val="00513602"/>
    <w:rsid w:val="0051541B"/>
    <w:rsid w:val="005244D8"/>
    <w:rsid w:val="00530F45"/>
    <w:rsid w:val="00536D2D"/>
    <w:rsid w:val="005407E7"/>
    <w:rsid w:val="00547721"/>
    <w:rsid w:val="00552151"/>
    <w:rsid w:val="00573F94"/>
    <w:rsid w:val="00582519"/>
    <w:rsid w:val="0058432E"/>
    <w:rsid w:val="005933DD"/>
    <w:rsid w:val="00593C39"/>
    <w:rsid w:val="00597348"/>
    <w:rsid w:val="005A1552"/>
    <w:rsid w:val="005B024A"/>
    <w:rsid w:val="005B197A"/>
    <w:rsid w:val="005B41FC"/>
    <w:rsid w:val="005D1B81"/>
    <w:rsid w:val="005D4FB1"/>
    <w:rsid w:val="005D53B4"/>
    <w:rsid w:val="005E399F"/>
    <w:rsid w:val="005E765A"/>
    <w:rsid w:val="005F6911"/>
    <w:rsid w:val="00611694"/>
    <w:rsid w:val="00613523"/>
    <w:rsid w:val="00616224"/>
    <w:rsid w:val="006252C6"/>
    <w:rsid w:val="0064729C"/>
    <w:rsid w:val="00652725"/>
    <w:rsid w:val="00653317"/>
    <w:rsid w:val="00661039"/>
    <w:rsid w:val="00665E25"/>
    <w:rsid w:val="00667BD3"/>
    <w:rsid w:val="0067005B"/>
    <w:rsid w:val="00670BC0"/>
    <w:rsid w:val="00692030"/>
    <w:rsid w:val="00692D78"/>
    <w:rsid w:val="00696FB1"/>
    <w:rsid w:val="006A7976"/>
    <w:rsid w:val="006B3791"/>
    <w:rsid w:val="006B3B6F"/>
    <w:rsid w:val="006B47F1"/>
    <w:rsid w:val="006C45FF"/>
    <w:rsid w:val="006C5105"/>
    <w:rsid w:val="006E05EB"/>
    <w:rsid w:val="006E1A32"/>
    <w:rsid w:val="006E3404"/>
    <w:rsid w:val="006E555C"/>
    <w:rsid w:val="006F1113"/>
    <w:rsid w:val="006F33CF"/>
    <w:rsid w:val="007075B3"/>
    <w:rsid w:val="007411F1"/>
    <w:rsid w:val="007417D0"/>
    <w:rsid w:val="0074353D"/>
    <w:rsid w:val="00760123"/>
    <w:rsid w:val="0076705D"/>
    <w:rsid w:val="007700C4"/>
    <w:rsid w:val="007805C2"/>
    <w:rsid w:val="0078569F"/>
    <w:rsid w:val="0079151F"/>
    <w:rsid w:val="0079457F"/>
    <w:rsid w:val="007951FA"/>
    <w:rsid w:val="007A0B5C"/>
    <w:rsid w:val="007B150C"/>
    <w:rsid w:val="007B1D07"/>
    <w:rsid w:val="007B6173"/>
    <w:rsid w:val="007C10D4"/>
    <w:rsid w:val="007C1756"/>
    <w:rsid w:val="007D053F"/>
    <w:rsid w:val="007D6518"/>
    <w:rsid w:val="00803B66"/>
    <w:rsid w:val="0080679D"/>
    <w:rsid w:val="008136D7"/>
    <w:rsid w:val="00834E9D"/>
    <w:rsid w:val="00840E24"/>
    <w:rsid w:val="00844AD3"/>
    <w:rsid w:val="0084519F"/>
    <w:rsid w:val="00853896"/>
    <w:rsid w:val="00853CE1"/>
    <w:rsid w:val="00862A11"/>
    <w:rsid w:val="008840E3"/>
    <w:rsid w:val="00893340"/>
    <w:rsid w:val="00893425"/>
    <w:rsid w:val="00897888"/>
    <w:rsid w:val="008C7169"/>
    <w:rsid w:val="008F3DD9"/>
    <w:rsid w:val="008F6C9E"/>
    <w:rsid w:val="0091777D"/>
    <w:rsid w:val="00931A20"/>
    <w:rsid w:val="00940C57"/>
    <w:rsid w:val="00940F59"/>
    <w:rsid w:val="00956E92"/>
    <w:rsid w:val="009603F1"/>
    <w:rsid w:val="009730E8"/>
    <w:rsid w:val="009918EE"/>
    <w:rsid w:val="009A0763"/>
    <w:rsid w:val="009A2EB4"/>
    <w:rsid w:val="009B1843"/>
    <w:rsid w:val="009B678E"/>
    <w:rsid w:val="009C5F5F"/>
    <w:rsid w:val="009D3776"/>
    <w:rsid w:val="009D4A95"/>
    <w:rsid w:val="009E1AF1"/>
    <w:rsid w:val="009F6DBD"/>
    <w:rsid w:val="00A0480F"/>
    <w:rsid w:val="00A1022B"/>
    <w:rsid w:val="00A17E56"/>
    <w:rsid w:val="00A2593F"/>
    <w:rsid w:val="00A275F0"/>
    <w:rsid w:val="00A33BB0"/>
    <w:rsid w:val="00A3656C"/>
    <w:rsid w:val="00A36ABB"/>
    <w:rsid w:val="00A41AD7"/>
    <w:rsid w:val="00A43DC3"/>
    <w:rsid w:val="00A57AE3"/>
    <w:rsid w:val="00A64B57"/>
    <w:rsid w:val="00A90611"/>
    <w:rsid w:val="00A95E26"/>
    <w:rsid w:val="00AC6E73"/>
    <w:rsid w:val="00AD7945"/>
    <w:rsid w:val="00AF38E6"/>
    <w:rsid w:val="00AF5C63"/>
    <w:rsid w:val="00B032FE"/>
    <w:rsid w:val="00B16798"/>
    <w:rsid w:val="00B228EC"/>
    <w:rsid w:val="00B25D24"/>
    <w:rsid w:val="00B269E5"/>
    <w:rsid w:val="00B644C6"/>
    <w:rsid w:val="00B66267"/>
    <w:rsid w:val="00B671DB"/>
    <w:rsid w:val="00B7021C"/>
    <w:rsid w:val="00B73CFF"/>
    <w:rsid w:val="00B74D1F"/>
    <w:rsid w:val="00B801AA"/>
    <w:rsid w:val="00B81F9B"/>
    <w:rsid w:val="00B8224F"/>
    <w:rsid w:val="00B83225"/>
    <w:rsid w:val="00B94F49"/>
    <w:rsid w:val="00BA2174"/>
    <w:rsid w:val="00BB22D6"/>
    <w:rsid w:val="00BB7EAE"/>
    <w:rsid w:val="00BD106A"/>
    <w:rsid w:val="00BD218C"/>
    <w:rsid w:val="00BD7F8A"/>
    <w:rsid w:val="00C0284B"/>
    <w:rsid w:val="00C02C2B"/>
    <w:rsid w:val="00C10762"/>
    <w:rsid w:val="00C13351"/>
    <w:rsid w:val="00C236F5"/>
    <w:rsid w:val="00C4382F"/>
    <w:rsid w:val="00C44152"/>
    <w:rsid w:val="00C5504B"/>
    <w:rsid w:val="00C55A53"/>
    <w:rsid w:val="00C56DDC"/>
    <w:rsid w:val="00C711A2"/>
    <w:rsid w:val="00CA0B58"/>
    <w:rsid w:val="00CA67F8"/>
    <w:rsid w:val="00CA7247"/>
    <w:rsid w:val="00CA7592"/>
    <w:rsid w:val="00CB12AE"/>
    <w:rsid w:val="00CB1C53"/>
    <w:rsid w:val="00CB7043"/>
    <w:rsid w:val="00CC1BF4"/>
    <w:rsid w:val="00CE1DA1"/>
    <w:rsid w:val="00CE3510"/>
    <w:rsid w:val="00CF1DAB"/>
    <w:rsid w:val="00CF5EFC"/>
    <w:rsid w:val="00D026B2"/>
    <w:rsid w:val="00D13CBD"/>
    <w:rsid w:val="00D15269"/>
    <w:rsid w:val="00D16AAB"/>
    <w:rsid w:val="00D32900"/>
    <w:rsid w:val="00D41B6A"/>
    <w:rsid w:val="00D52390"/>
    <w:rsid w:val="00D557DE"/>
    <w:rsid w:val="00D64C33"/>
    <w:rsid w:val="00D66251"/>
    <w:rsid w:val="00D74C43"/>
    <w:rsid w:val="00D74E32"/>
    <w:rsid w:val="00D8076B"/>
    <w:rsid w:val="00D90826"/>
    <w:rsid w:val="00D94C8C"/>
    <w:rsid w:val="00D95A46"/>
    <w:rsid w:val="00DA7B8A"/>
    <w:rsid w:val="00DB29C0"/>
    <w:rsid w:val="00DC2390"/>
    <w:rsid w:val="00DC6177"/>
    <w:rsid w:val="00DC7BA6"/>
    <w:rsid w:val="00DD5CA0"/>
    <w:rsid w:val="00DE0FED"/>
    <w:rsid w:val="00DE1B9F"/>
    <w:rsid w:val="00DE314E"/>
    <w:rsid w:val="00E04D1D"/>
    <w:rsid w:val="00E15FE2"/>
    <w:rsid w:val="00E319B4"/>
    <w:rsid w:val="00E36BE8"/>
    <w:rsid w:val="00E44C2D"/>
    <w:rsid w:val="00E57353"/>
    <w:rsid w:val="00E62D43"/>
    <w:rsid w:val="00E65F44"/>
    <w:rsid w:val="00E702A2"/>
    <w:rsid w:val="00E74C6E"/>
    <w:rsid w:val="00E83187"/>
    <w:rsid w:val="00EA22DD"/>
    <w:rsid w:val="00EA40D8"/>
    <w:rsid w:val="00EB0B74"/>
    <w:rsid w:val="00EC0ED3"/>
    <w:rsid w:val="00ED2053"/>
    <w:rsid w:val="00ED397A"/>
    <w:rsid w:val="00ED68FF"/>
    <w:rsid w:val="00ED6D90"/>
    <w:rsid w:val="00ED70EB"/>
    <w:rsid w:val="00EE08FB"/>
    <w:rsid w:val="00EF2AD4"/>
    <w:rsid w:val="00EF38A1"/>
    <w:rsid w:val="00EF41EC"/>
    <w:rsid w:val="00F04950"/>
    <w:rsid w:val="00F06DC3"/>
    <w:rsid w:val="00F24315"/>
    <w:rsid w:val="00F33EA6"/>
    <w:rsid w:val="00F37A08"/>
    <w:rsid w:val="00F40DBD"/>
    <w:rsid w:val="00F43476"/>
    <w:rsid w:val="00F607B8"/>
    <w:rsid w:val="00F92720"/>
    <w:rsid w:val="00F94FB9"/>
    <w:rsid w:val="00F972E6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3120F2"/>
  <w15:docId w15:val="{33EBD165-BE97-4CD9-83E4-7FCD3DAB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1B"/>
  </w:style>
  <w:style w:type="paragraph" w:styleId="Footer">
    <w:name w:val="footer"/>
    <w:basedOn w:val="Normal"/>
    <w:link w:val="FooterChar"/>
    <w:uiPriority w:val="99"/>
    <w:unhideWhenUsed/>
    <w:rsid w:val="00515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1B"/>
  </w:style>
  <w:style w:type="paragraph" w:styleId="BalloonText">
    <w:name w:val="Balloon Text"/>
    <w:basedOn w:val="Normal"/>
    <w:link w:val="BalloonTextChar"/>
    <w:uiPriority w:val="99"/>
    <w:semiHidden/>
    <w:unhideWhenUsed/>
    <w:rsid w:val="0095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34F7"/>
    <w:rPr>
      <w:color w:val="0563C1" w:themeColor="hyperlink"/>
      <w:u w:val="single"/>
    </w:rPr>
  </w:style>
  <w:style w:type="paragraph" w:customStyle="1" w:styleId="Default">
    <w:name w:val="Default"/>
    <w:rsid w:val="003A3F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Indent1">
    <w:name w:val="Text Indent 1"/>
    <w:basedOn w:val="Normal"/>
    <w:qFormat/>
    <w:rsid w:val="00D15269"/>
    <w:pPr>
      <w:spacing w:after="200" w:line="240" w:lineRule="auto"/>
      <w:ind w:left="567" w:hanging="567"/>
    </w:pPr>
    <w:rPr>
      <w:rFonts w:ascii="Arial Narrow" w:eastAsia="Times" w:hAnsi="Arial Narrow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569F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16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71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eg.donaghue@ec.edu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cecqa.gov.au/nqf-chang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gislation.nsw.gov.au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4B21195524449560DD0BC5FB760F" ma:contentTypeVersion="13" ma:contentTypeDescription="Create a new document." ma:contentTypeScope="" ma:versionID="8ce2cacc72ac896890ff7719605ae797">
  <xsd:schema xmlns:xsd="http://www.w3.org/2001/XMLSchema" xmlns:xs="http://www.w3.org/2001/XMLSchema" xmlns:p="http://schemas.microsoft.com/office/2006/metadata/properties" xmlns:ns2="8440eedc-c955-44f8-8ad1-0c2758abd32a" xmlns:ns3="d6acb117-0eac-4b2f-8ab4-0d22aba0ec2f" targetNamespace="http://schemas.microsoft.com/office/2006/metadata/properties" ma:root="true" ma:fieldsID="962454b19c5177d70a5280a114b7be27" ns2:_="" ns3:_="">
    <xsd:import namespace="8440eedc-c955-44f8-8ad1-0c2758abd32a"/>
    <xsd:import namespace="d6acb117-0eac-4b2f-8ab4-0d22aba0ec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0eedc-c955-44f8-8ad1-0c2758ab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cb117-0eac-4b2f-8ab4-0d22aba0e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33DD3-21B4-4A3F-A478-4CC2E28F0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7D915-80DB-4D00-950E-6CE55377A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0eedc-c955-44f8-8ad1-0c2758abd32a"/>
    <ds:schemaRef ds:uri="d6acb117-0eac-4b2f-8ab4-0d22aba0e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AFDB1-6B61-4763-AD3E-360E83F945D8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d6acb117-0eac-4b2f-8ab4-0d22aba0ec2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440eedc-c955-44f8-8ad1-0c2758abd3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Donaghue</dc:creator>
  <cp:lastModifiedBy>FISHER,Luke</cp:lastModifiedBy>
  <cp:revision>4</cp:revision>
  <cp:lastPrinted>2021-07-06T02:22:00Z</cp:lastPrinted>
  <dcterms:created xsi:type="dcterms:W3CDTF">2017-09-22T07:10:00Z</dcterms:created>
  <dcterms:modified xsi:type="dcterms:W3CDTF">2021-07-06T02:22:00Z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0x01010088564B21195524449560DD0BC5FB760F</vt:lpwstr>
  </property>
  <property fmtid="{D5CDD505-2E9C-101B-9397-08002B2CF9AE}" pid="3" name="_dlc_DocIdItemGuid">
    <vt:lpwstr>50fda93e-60e1-4ba4-b8c3-994b51b539fb</vt:lpwstr>
  </property>
</Properties>
</file>